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1744B">
      <w:pPr>
        <w:pStyle w:val="19"/>
        <w:tabs>
          <w:tab w:val="left" w:pos="2771"/>
          <w:tab w:val="clear" w:pos="900"/>
          <w:tab w:val="clear" w:pos="2740"/>
          <w:tab w:val="clear" w:pos="4580"/>
          <w:tab w:val="clear" w:pos="6400"/>
          <w:tab w:val="clear" w:pos="8240"/>
          <w:tab w:val="clear" w:pos="10060"/>
          <w:tab w:val="clear" w:pos="11900"/>
          <w:tab w:val="clear" w:pos="13740"/>
        </w:tabs>
        <w:spacing w:line="360" w:lineRule="auto"/>
        <w:rPr>
          <w:rFonts w:hint="eastAsia" w:ascii="宋体" w:hAnsi="宋体" w:eastAsia="宋体" w:cs="宋体"/>
          <w:b/>
          <w:color w:val="auto"/>
          <w:kern w:val="2"/>
          <w:sz w:val="30"/>
          <w:szCs w:val="30"/>
          <w:highlight w:val="none"/>
        </w:rPr>
      </w:pPr>
      <w:bookmarkStart w:id="718" w:name="_GoBack"/>
      <w:bookmarkEnd w:id="718"/>
      <w:r>
        <w:rPr>
          <w:rFonts w:hint="eastAsia" w:ascii="宋体" w:hAnsi="宋体" w:eastAsia="宋体" w:cs="宋体"/>
          <w:b/>
          <w:color w:val="auto"/>
          <w:kern w:val="2"/>
          <w:sz w:val="30"/>
          <w:szCs w:val="30"/>
          <w:highlight w:val="none"/>
        </w:rPr>
        <w:tab/>
      </w:r>
    </w:p>
    <w:p w14:paraId="6D9A6F26">
      <w:pPr>
        <w:pStyle w:val="19"/>
        <w:spacing w:line="360" w:lineRule="auto"/>
        <w:rPr>
          <w:rFonts w:hint="eastAsia" w:ascii="宋体" w:hAnsi="宋体" w:eastAsia="宋体" w:cs="宋体"/>
          <w:b/>
          <w:color w:val="auto"/>
          <w:kern w:val="2"/>
          <w:sz w:val="30"/>
          <w:szCs w:val="30"/>
          <w:highlight w:val="none"/>
        </w:rPr>
      </w:pPr>
    </w:p>
    <w:p w14:paraId="75FE61CF">
      <w:pPr>
        <w:spacing w:line="360" w:lineRule="auto"/>
        <w:rPr>
          <w:rFonts w:hint="eastAsia" w:eastAsia="宋体"/>
          <w:b/>
          <w:color w:val="auto"/>
          <w:spacing w:val="26"/>
          <w:kern w:val="2"/>
          <w:sz w:val="72"/>
          <w:szCs w:val="72"/>
          <w:highlight w:val="none"/>
        </w:rPr>
      </w:pPr>
    </w:p>
    <w:p w14:paraId="5EA06A38">
      <w:pPr>
        <w:spacing w:line="360" w:lineRule="auto"/>
        <w:ind w:firstLine="775" w:firstLineChars="100"/>
        <w:rPr>
          <w:rFonts w:hint="eastAsia" w:eastAsia="宋体"/>
          <w:b/>
          <w:color w:val="auto"/>
          <w:spacing w:val="26"/>
          <w:kern w:val="2"/>
          <w:sz w:val="52"/>
          <w:szCs w:val="52"/>
          <w:highlight w:val="none"/>
        </w:rPr>
      </w:pPr>
      <w:r>
        <w:rPr>
          <w:rFonts w:hint="eastAsia" w:eastAsia="宋体"/>
          <w:b/>
          <w:color w:val="auto"/>
          <w:spacing w:val="26"/>
          <w:kern w:val="2"/>
          <w:sz w:val="72"/>
          <w:szCs w:val="72"/>
          <w:highlight w:val="none"/>
        </w:rPr>
        <w:t>竞 争 性 磋 商 文 件</w:t>
      </w:r>
    </w:p>
    <w:p w14:paraId="0441FA81">
      <w:pPr>
        <w:spacing w:line="360" w:lineRule="auto"/>
        <w:rPr>
          <w:rFonts w:hint="eastAsia" w:eastAsia="宋体"/>
          <w:color w:val="auto"/>
          <w:kern w:val="2"/>
          <w:sz w:val="28"/>
          <w:szCs w:val="28"/>
          <w:highlight w:val="none"/>
        </w:rPr>
      </w:pPr>
    </w:p>
    <w:p w14:paraId="581E8C44">
      <w:pPr>
        <w:pStyle w:val="19"/>
        <w:spacing w:line="360" w:lineRule="auto"/>
        <w:rPr>
          <w:rFonts w:hint="eastAsia" w:ascii="宋体" w:hAnsi="宋体" w:eastAsia="宋体" w:cs="宋体"/>
          <w:color w:val="auto"/>
          <w:highlight w:val="none"/>
        </w:rPr>
      </w:pPr>
    </w:p>
    <w:p w14:paraId="0713EFCD">
      <w:pPr>
        <w:pStyle w:val="19"/>
        <w:spacing w:line="360" w:lineRule="auto"/>
        <w:rPr>
          <w:rFonts w:hint="eastAsia" w:ascii="宋体" w:hAnsi="宋体" w:eastAsia="宋体" w:cs="宋体"/>
          <w:color w:val="auto"/>
          <w:highlight w:val="none"/>
        </w:rPr>
      </w:pPr>
    </w:p>
    <w:p w14:paraId="5B6B2DAC">
      <w:pPr>
        <w:pStyle w:val="19"/>
        <w:spacing w:line="360" w:lineRule="auto"/>
        <w:rPr>
          <w:rFonts w:hint="eastAsia" w:ascii="宋体" w:hAnsi="宋体" w:eastAsia="宋体" w:cs="宋体"/>
          <w:color w:val="auto"/>
          <w:highlight w:val="none"/>
        </w:rPr>
      </w:pPr>
    </w:p>
    <w:p w14:paraId="331E23E2">
      <w:pPr>
        <w:pStyle w:val="19"/>
        <w:spacing w:line="360" w:lineRule="auto"/>
        <w:rPr>
          <w:rFonts w:hint="eastAsia" w:ascii="宋体" w:hAnsi="宋体" w:eastAsia="宋体" w:cs="宋体"/>
          <w:color w:val="auto"/>
          <w:kern w:val="2"/>
          <w:sz w:val="32"/>
          <w:szCs w:val="32"/>
          <w:highlight w:val="none"/>
        </w:rPr>
      </w:pPr>
    </w:p>
    <w:p w14:paraId="4738BE53">
      <w:pPr>
        <w:autoSpaceDE w:val="0"/>
        <w:autoSpaceDN w:val="0"/>
        <w:adjustRightInd w:val="0"/>
        <w:spacing w:line="360" w:lineRule="auto"/>
        <w:ind w:left="2530" w:hanging="2530" w:hangingChars="700"/>
        <w:jc w:val="left"/>
        <w:rPr>
          <w:rFonts w:hint="default" w:ascii="宋体" w:hAnsi="宋体" w:eastAsia="宋体" w:cs="宋体"/>
          <w:b/>
          <w:bCs/>
          <w:color w:val="auto"/>
          <w:kern w:val="0"/>
          <w:sz w:val="36"/>
          <w:szCs w:val="36"/>
          <w:highlight w:val="none"/>
          <w:lang w:val="en-US" w:eastAsia="zh-CN"/>
        </w:rPr>
      </w:pPr>
      <w:r>
        <w:rPr>
          <w:rFonts w:hint="eastAsia" w:ascii="宋体" w:hAnsi="宋体" w:eastAsia="宋体" w:cs="宋体"/>
          <w:b/>
          <w:bCs/>
          <w:color w:val="auto"/>
          <w:kern w:val="0"/>
          <w:sz w:val="36"/>
          <w:szCs w:val="36"/>
          <w:highlight w:val="none"/>
          <w:lang w:val="zh-CN"/>
        </w:rPr>
        <w:t>采购项目编号：</w:t>
      </w:r>
      <w:r>
        <w:rPr>
          <w:rFonts w:hint="eastAsia" w:eastAsia="宋体"/>
          <w:b/>
          <w:bCs/>
          <w:color w:val="auto"/>
          <w:sz w:val="36"/>
          <w:szCs w:val="36"/>
          <w:lang w:val="zh-CN"/>
        </w:rPr>
        <w:t>QHZX-磋商（货物）2026-047</w:t>
      </w:r>
    </w:p>
    <w:p w14:paraId="09308577">
      <w:pPr>
        <w:autoSpaceDE w:val="0"/>
        <w:autoSpaceDN w:val="0"/>
        <w:adjustRightInd w:val="0"/>
        <w:spacing w:line="360" w:lineRule="auto"/>
        <w:ind w:left="2530" w:hanging="2530" w:hangingChars="700"/>
        <w:jc w:val="left"/>
        <w:rPr>
          <w:rFonts w:hint="eastAsia" w:ascii="宋体" w:hAnsi="宋体" w:eastAsia="宋体" w:cs="宋体"/>
          <w:b/>
          <w:bCs/>
          <w:color w:val="auto"/>
          <w:kern w:val="0"/>
          <w:sz w:val="36"/>
          <w:szCs w:val="36"/>
          <w:highlight w:val="none"/>
          <w:lang w:val="zh-CN"/>
        </w:rPr>
      </w:pPr>
    </w:p>
    <w:p w14:paraId="44003614">
      <w:pPr>
        <w:autoSpaceDE w:val="0"/>
        <w:autoSpaceDN w:val="0"/>
        <w:adjustRightInd w:val="0"/>
        <w:spacing w:line="360" w:lineRule="auto"/>
        <w:ind w:left="2530" w:hanging="2530" w:hangingChars="700"/>
        <w:jc w:val="left"/>
        <w:rPr>
          <w:rFonts w:hint="default" w:ascii="宋体" w:hAnsi="宋体" w:eastAsia="宋体" w:cs="宋体"/>
          <w:b/>
          <w:bCs/>
          <w:color w:val="auto"/>
          <w:kern w:val="0"/>
          <w:sz w:val="36"/>
          <w:szCs w:val="36"/>
          <w:highlight w:val="none"/>
          <w:lang w:val="en-US" w:eastAsia="zh-CN"/>
        </w:rPr>
      </w:pPr>
      <w:r>
        <w:rPr>
          <w:rFonts w:hint="eastAsia" w:ascii="宋体" w:hAnsi="宋体" w:eastAsia="宋体" w:cs="宋体"/>
          <w:b/>
          <w:bCs/>
          <w:color w:val="auto"/>
          <w:kern w:val="0"/>
          <w:sz w:val="36"/>
          <w:szCs w:val="36"/>
          <w:highlight w:val="none"/>
          <w:lang w:val="zh-CN"/>
        </w:rPr>
        <w:t>采购项目名称：</w:t>
      </w:r>
      <w:r>
        <w:rPr>
          <w:rFonts w:hint="eastAsia" w:eastAsia="宋体" w:cs="宋体"/>
          <w:b/>
          <w:bCs/>
          <w:color w:val="auto"/>
          <w:kern w:val="0"/>
          <w:sz w:val="36"/>
          <w:szCs w:val="36"/>
          <w:highlight w:val="none"/>
          <w:lang w:val="zh-CN"/>
        </w:rPr>
        <w:t>青海民族大学经济管理学院省级实验教学示范中心更新项目</w:t>
      </w:r>
    </w:p>
    <w:p w14:paraId="37A934F6">
      <w:pPr>
        <w:autoSpaceDE w:val="0"/>
        <w:autoSpaceDN w:val="0"/>
        <w:adjustRightInd w:val="0"/>
        <w:spacing w:line="360" w:lineRule="auto"/>
        <w:ind w:left="2530" w:hanging="2530" w:hangingChars="700"/>
        <w:jc w:val="left"/>
        <w:rPr>
          <w:rFonts w:hint="eastAsia" w:ascii="宋体" w:hAnsi="宋体" w:eastAsia="宋体" w:cs="宋体"/>
          <w:b/>
          <w:bCs/>
          <w:color w:val="auto"/>
          <w:kern w:val="0"/>
          <w:sz w:val="36"/>
          <w:szCs w:val="36"/>
          <w:highlight w:val="none"/>
          <w:lang w:val="zh-CN"/>
        </w:rPr>
      </w:pPr>
    </w:p>
    <w:p w14:paraId="786192EE">
      <w:pPr>
        <w:autoSpaceDE w:val="0"/>
        <w:autoSpaceDN w:val="0"/>
        <w:adjustRightInd w:val="0"/>
        <w:spacing w:line="360" w:lineRule="auto"/>
        <w:ind w:left="2530" w:hanging="2530" w:hangingChars="700"/>
        <w:jc w:val="left"/>
        <w:rPr>
          <w:rFonts w:hint="default" w:ascii="宋体" w:hAnsi="宋体" w:eastAsia="宋体" w:cs="宋体"/>
          <w:b/>
          <w:bCs/>
          <w:color w:val="auto"/>
          <w:kern w:val="0"/>
          <w:sz w:val="36"/>
          <w:szCs w:val="36"/>
          <w:highlight w:val="none"/>
          <w:lang w:val="en-US" w:eastAsia="zh-CN"/>
        </w:rPr>
      </w:pPr>
      <w:r>
        <w:rPr>
          <w:rFonts w:hint="eastAsia" w:ascii="宋体" w:hAnsi="宋体" w:eastAsia="宋体" w:cs="宋体"/>
          <w:b/>
          <w:bCs/>
          <w:color w:val="auto"/>
          <w:kern w:val="0"/>
          <w:sz w:val="36"/>
          <w:szCs w:val="36"/>
          <w:highlight w:val="none"/>
          <w:lang w:val="zh-CN"/>
        </w:rPr>
        <w:t>采</w:t>
      </w:r>
      <w:r>
        <w:rPr>
          <w:rFonts w:hint="eastAsia" w:ascii="宋体" w:hAnsi="宋体" w:eastAsia="宋体" w:cs="宋体"/>
          <w:b/>
          <w:bCs/>
          <w:color w:val="auto"/>
          <w:kern w:val="0"/>
          <w:sz w:val="36"/>
          <w:szCs w:val="36"/>
          <w:highlight w:val="none"/>
          <w:lang w:val="en-US" w:eastAsia="zh-CN"/>
        </w:rPr>
        <w:t xml:space="preserve">   </w:t>
      </w:r>
      <w:r>
        <w:rPr>
          <w:rFonts w:hint="eastAsia" w:ascii="宋体" w:hAnsi="宋体" w:eastAsia="宋体" w:cs="宋体"/>
          <w:b/>
          <w:bCs/>
          <w:color w:val="auto"/>
          <w:kern w:val="0"/>
          <w:sz w:val="36"/>
          <w:szCs w:val="36"/>
          <w:highlight w:val="none"/>
          <w:lang w:val="zh-CN"/>
        </w:rPr>
        <w:t>购</w:t>
      </w:r>
      <w:r>
        <w:rPr>
          <w:rFonts w:hint="eastAsia" w:ascii="宋体" w:hAnsi="宋体" w:eastAsia="宋体" w:cs="宋体"/>
          <w:b/>
          <w:bCs/>
          <w:color w:val="auto"/>
          <w:kern w:val="0"/>
          <w:sz w:val="36"/>
          <w:szCs w:val="36"/>
          <w:highlight w:val="none"/>
          <w:lang w:val="en-US" w:eastAsia="zh-CN"/>
        </w:rPr>
        <w:t xml:space="preserve">   </w:t>
      </w:r>
      <w:r>
        <w:rPr>
          <w:rFonts w:hint="eastAsia" w:ascii="宋体" w:hAnsi="宋体" w:eastAsia="宋体" w:cs="宋体"/>
          <w:b/>
          <w:bCs/>
          <w:color w:val="auto"/>
          <w:kern w:val="0"/>
          <w:sz w:val="36"/>
          <w:szCs w:val="36"/>
          <w:highlight w:val="none"/>
          <w:lang w:val="zh-CN"/>
        </w:rPr>
        <w:t>人：</w:t>
      </w:r>
      <w:r>
        <w:rPr>
          <w:rFonts w:hint="eastAsia" w:eastAsia="宋体" w:cs="宋体"/>
          <w:b/>
          <w:bCs/>
          <w:color w:val="auto"/>
          <w:kern w:val="0"/>
          <w:sz w:val="36"/>
          <w:szCs w:val="36"/>
          <w:highlight w:val="none"/>
          <w:lang w:val="zh-CN" w:eastAsia="zh-CN"/>
        </w:rPr>
        <w:t>青海民族大学</w:t>
      </w:r>
      <w:r>
        <w:rPr>
          <w:rFonts w:hint="eastAsia" w:ascii="宋体" w:hAnsi="宋体" w:eastAsia="宋体" w:cs="宋体"/>
          <w:b/>
          <w:bCs/>
          <w:color w:val="auto"/>
          <w:kern w:val="0"/>
          <w:sz w:val="36"/>
          <w:szCs w:val="36"/>
          <w:highlight w:val="none"/>
          <w:lang w:val="en-US" w:eastAsia="zh-CN"/>
        </w:rPr>
        <w:t xml:space="preserve"> </w:t>
      </w:r>
    </w:p>
    <w:p w14:paraId="0923FACF">
      <w:pPr>
        <w:autoSpaceDE w:val="0"/>
        <w:autoSpaceDN w:val="0"/>
        <w:adjustRightInd w:val="0"/>
        <w:spacing w:line="360" w:lineRule="auto"/>
        <w:ind w:left="2530" w:hanging="2530" w:hangingChars="700"/>
        <w:jc w:val="left"/>
        <w:rPr>
          <w:rFonts w:hint="eastAsia" w:ascii="宋体" w:hAnsi="宋体" w:eastAsia="宋体" w:cs="宋体"/>
          <w:b/>
          <w:bCs/>
          <w:color w:val="auto"/>
          <w:kern w:val="0"/>
          <w:sz w:val="36"/>
          <w:szCs w:val="36"/>
          <w:highlight w:val="none"/>
          <w:lang w:val="zh-CN"/>
        </w:rPr>
      </w:pPr>
    </w:p>
    <w:p w14:paraId="0E4DE8B7">
      <w:pPr>
        <w:autoSpaceDE w:val="0"/>
        <w:autoSpaceDN w:val="0"/>
        <w:adjustRightInd w:val="0"/>
        <w:spacing w:line="360" w:lineRule="auto"/>
        <w:ind w:left="2530" w:hanging="2530" w:hangingChars="700"/>
        <w:jc w:val="left"/>
        <w:rPr>
          <w:rFonts w:hint="eastAsia" w:ascii="宋体" w:hAnsi="宋体" w:eastAsia="宋体" w:cs="宋体"/>
          <w:b/>
          <w:bCs/>
          <w:color w:val="auto"/>
          <w:kern w:val="0"/>
          <w:sz w:val="36"/>
          <w:szCs w:val="36"/>
          <w:highlight w:val="none"/>
          <w:lang w:val="zh-CN"/>
        </w:rPr>
      </w:pPr>
      <w:r>
        <w:rPr>
          <w:rFonts w:hint="eastAsia" w:ascii="宋体" w:hAnsi="宋体" w:eastAsia="宋体" w:cs="宋体"/>
          <w:b/>
          <w:bCs/>
          <w:color w:val="auto"/>
          <w:kern w:val="0"/>
          <w:sz w:val="36"/>
          <w:szCs w:val="36"/>
          <w:highlight w:val="none"/>
          <w:lang w:val="zh-CN"/>
        </w:rPr>
        <w:t>采购代理机构：青海中旭工程项目管理有限公司</w:t>
      </w:r>
    </w:p>
    <w:p w14:paraId="1574A902">
      <w:pPr>
        <w:spacing w:line="360" w:lineRule="auto"/>
        <w:rPr>
          <w:rFonts w:hint="eastAsia" w:eastAsia="宋体"/>
          <w:b/>
          <w:color w:val="auto"/>
          <w:kern w:val="2"/>
          <w:sz w:val="36"/>
          <w:szCs w:val="36"/>
          <w:highlight w:val="none"/>
        </w:rPr>
      </w:pPr>
    </w:p>
    <w:p w14:paraId="3397C9EB">
      <w:pPr>
        <w:spacing w:line="360" w:lineRule="auto"/>
        <w:rPr>
          <w:rFonts w:eastAsia="宋体"/>
          <w:color w:val="auto"/>
          <w:sz w:val="36"/>
          <w:szCs w:val="36"/>
          <w:highlight w:val="none"/>
        </w:rPr>
        <w:sectPr>
          <w:headerReference r:id="rId7" w:type="first"/>
          <w:headerReference r:id="rId5" w:type="default"/>
          <w:footerReference r:id="rId8" w:type="default"/>
          <w:headerReference r:id="rId6" w:type="even"/>
          <w:footerReference r:id="rId9" w:type="even"/>
          <w:pgSz w:w="11906" w:h="16838"/>
          <w:pgMar w:top="1440" w:right="1145" w:bottom="1100" w:left="1088" w:header="1021" w:footer="867" w:gutter="0"/>
          <w:pgBorders w:offsetFrom="page">
            <w:top w:val="none" w:sz="0" w:space="0"/>
            <w:left w:val="none" w:sz="0" w:space="0"/>
            <w:bottom w:val="none" w:sz="0" w:space="0"/>
            <w:right w:val="none" w:sz="0" w:space="0"/>
          </w:pgBorders>
          <w:pgNumType w:start="1"/>
          <w:cols w:space="720" w:num="1"/>
          <w:docGrid w:linePitch="312" w:charSpace="0"/>
        </w:sectPr>
      </w:pPr>
      <w:r>
        <w:rPr>
          <w:rFonts w:hint="eastAsia" w:eastAsia="宋体"/>
          <w:b/>
          <w:color w:val="auto"/>
          <w:kern w:val="2"/>
          <w:sz w:val="36"/>
          <w:szCs w:val="36"/>
          <w:highlight w:val="none"/>
        </w:rPr>
        <w:t xml:space="preserve">日     </w:t>
      </w:r>
      <w:r>
        <w:rPr>
          <w:rFonts w:hint="eastAsia" w:eastAsia="宋体"/>
          <w:b/>
          <w:color w:val="auto"/>
          <w:kern w:val="2"/>
          <w:sz w:val="36"/>
          <w:szCs w:val="36"/>
          <w:highlight w:val="none"/>
          <w:lang w:val="en-US" w:eastAsia="zh-CN"/>
        </w:rPr>
        <w:t xml:space="preserve"> </w:t>
      </w:r>
      <w:r>
        <w:rPr>
          <w:rFonts w:hint="eastAsia" w:eastAsia="宋体"/>
          <w:b/>
          <w:color w:val="auto"/>
          <w:kern w:val="2"/>
          <w:sz w:val="36"/>
          <w:szCs w:val="36"/>
          <w:highlight w:val="none"/>
        </w:rPr>
        <w:t xml:space="preserve">  </w:t>
      </w:r>
      <w:r>
        <w:rPr>
          <w:rFonts w:hint="eastAsia" w:eastAsia="宋体"/>
          <w:b/>
          <w:color w:val="auto"/>
          <w:kern w:val="2"/>
          <w:sz w:val="36"/>
          <w:szCs w:val="36"/>
          <w:highlight w:val="none"/>
          <w:lang w:val="en-US" w:eastAsia="zh-CN"/>
        </w:rPr>
        <w:t xml:space="preserve"> </w:t>
      </w:r>
      <w:r>
        <w:rPr>
          <w:rFonts w:hint="eastAsia" w:eastAsia="宋体"/>
          <w:b/>
          <w:color w:val="auto"/>
          <w:kern w:val="2"/>
          <w:sz w:val="36"/>
          <w:szCs w:val="36"/>
          <w:highlight w:val="none"/>
        </w:rPr>
        <w:t xml:space="preserve"> 期：</w:t>
      </w:r>
      <w:r>
        <w:rPr>
          <w:rFonts w:hint="eastAsia" w:eastAsia="宋体"/>
          <w:b/>
          <w:color w:val="auto"/>
          <w:kern w:val="2"/>
          <w:sz w:val="36"/>
          <w:szCs w:val="36"/>
          <w:highlight w:val="none"/>
          <w:lang w:eastAsia="zh-CN"/>
        </w:rPr>
        <w:t>202</w:t>
      </w:r>
      <w:r>
        <w:rPr>
          <w:rFonts w:hint="eastAsia" w:eastAsia="宋体"/>
          <w:b/>
          <w:color w:val="auto"/>
          <w:kern w:val="2"/>
          <w:sz w:val="36"/>
          <w:szCs w:val="36"/>
          <w:highlight w:val="none"/>
          <w:lang w:val="en-US" w:eastAsia="zh-CN"/>
        </w:rPr>
        <w:t>6</w:t>
      </w:r>
      <w:r>
        <w:rPr>
          <w:rFonts w:hint="eastAsia" w:eastAsia="宋体"/>
          <w:b/>
          <w:color w:val="auto"/>
          <w:kern w:val="2"/>
          <w:sz w:val="36"/>
          <w:szCs w:val="36"/>
          <w:highlight w:val="none"/>
          <w:lang w:eastAsia="zh-CN"/>
        </w:rPr>
        <w:t>年</w:t>
      </w:r>
      <w:r>
        <w:rPr>
          <w:rFonts w:hint="eastAsia" w:eastAsia="宋体"/>
          <w:b/>
          <w:color w:val="auto"/>
          <w:kern w:val="2"/>
          <w:sz w:val="36"/>
          <w:szCs w:val="36"/>
          <w:highlight w:val="none"/>
          <w:lang w:val="en-US" w:eastAsia="zh-CN"/>
        </w:rPr>
        <w:t>07</w:t>
      </w:r>
      <w:r>
        <w:rPr>
          <w:rFonts w:hint="eastAsia" w:eastAsia="宋体"/>
          <w:b/>
          <w:color w:val="auto"/>
          <w:kern w:val="2"/>
          <w:sz w:val="36"/>
          <w:szCs w:val="36"/>
          <w:highlight w:val="none"/>
          <w:lang w:eastAsia="zh-CN"/>
        </w:rPr>
        <w:t>月</w:t>
      </w:r>
    </w:p>
    <w:p w14:paraId="37BDA15D">
      <w:pPr>
        <w:pStyle w:val="32"/>
        <w:tabs>
          <w:tab w:val="right" w:leader="dot" w:pos="9880"/>
        </w:tabs>
        <w:spacing w:line="360" w:lineRule="auto"/>
        <w:rPr>
          <w:rFonts w:hint="eastAsia" w:ascii="宋体" w:hAnsi="宋体" w:cs="宋体"/>
          <w:bCs/>
          <w:color w:val="auto"/>
          <w:sz w:val="24"/>
          <w:szCs w:val="24"/>
          <w:highlight w:val="none"/>
          <w:lang w:val="zh-CN"/>
        </w:rPr>
      </w:pPr>
      <w:bookmarkStart w:id="0" w:name="_Toc4344"/>
      <w:bookmarkStart w:id="1" w:name="_Toc495666255"/>
      <w:bookmarkStart w:id="2" w:name="_Toc10494"/>
      <w:bookmarkStart w:id="3" w:name="_Toc1801"/>
      <w:bookmarkStart w:id="4" w:name="_Toc495567938"/>
      <w:bookmarkStart w:id="5" w:name="_Toc7616"/>
      <w:bookmarkStart w:id="6" w:name="_Toc325725996"/>
      <w:r>
        <w:rPr>
          <w:rFonts w:hint="eastAsia" w:ascii="宋体" w:hAnsi="宋体" w:cs="宋体"/>
          <w:b/>
          <w:color w:val="auto"/>
          <w:sz w:val="24"/>
          <w:szCs w:val="24"/>
          <w:highlight w:val="none"/>
          <w:lang w:val="zh-CN"/>
        </w:rPr>
        <w:fldChar w:fldCharType="begin"/>
      </w:r>
      <w:r>
        <w:rPr>
          <w:rFonts w:hint="eastAsia" w:ascii="宋体" w:hAnsi="宋体" w:cs="宋体"/>
          <w:b/>
          <w:color w:val="auto"/>
          <w:sz w:val="24"/>
          <w:szCs w:val="24"/>
          <w:highlight w:val="none"/>
          <w:lang w:val="zh-CN"/>
        </w:rPr>
        <w:instrText xml:space="preserve">TOC \o "1-2" \h \u </w:instrText>
      </w:r>
      <w:r>
        <w:rPr>
          <w:rFonts w:hint="eastAsia" w:ascii="宋体" w:hAnsi="宋体" w:cs="宋体"/>
          <w:b/>
          <w:color w:val="auto"/>
          <w:sz w:val="24"/>
          <w:szCs w:val="24"/>
          <w:highlight w:val="none"/>
          <w:lang w:val="zh-CN"/>
        </w:rPr>
        <w:fldChar w:fldCharType="separate"/>
      </w:r>
      <w:r>
        <w:rPr>
          <w:rFonts w:hint="eastAsia" w:ascii="宋体" w:hAnsi="宋体" w:cs="宋体"/>
          <w:bCs/>
          <w:color w:val="auto"/>
          <w:sz w:val="24"/>
          <w:szCs w:val="24"/>
          <w:highlight w:val="none"/>
          <w:lang w:val="zh-CN"/>
        </w:rPr>
        <w:fldChar w:fldCharType="begin"/>
      </w:r>
      <w:r>
        <w:rPr>
          <w:rFonts w:hint="eastAsia" w:ascii="宋体" w:hAnsi="宋体" w:cs="宋体"/>
          <w:bCs/>
          <w:color w:val="auto"/>
          <w:sz w:val="24"/>
          <w:szCs w:val="24"/>
          <w:highlight w:val="none"/>
          <w:lang w:val="zh-CN"/>
        </w:rPr>
        <w:instrText xml:space="preserve"> HYPERLINK \l _Toc32571 </w:instrText>
      </w:r>
      <w:r>
        <w:rPr>
          <w:rFonts w:hint="eastAsia" w:ascii="宋体" w:hAnsi="宋体" w:cs="宋体"/>
          <w:bCs/>
          <w:color w:val="auto"/>
          <w:sz w:val="24"/>
          <w:szCs w:val="24"/>
          <w:highlight w:val="none"/>
          <w:lang w:val="zh-CN"/>
        </w:rPr>
        <w:fldChar w:fldCharType="separate"/>
      </w:r>
    </w:p>
    <w:p w14:paraId="00AA3921">
      <w:pPr>
        <w:spacing w:line="360" w:lineRule="auto"/>
        <w:jc w:val="center"/>
        <w:rPr>
          <w:rFonts w:hint="eastAsia" w:eastAsia="宋体"/>
          <w:color w:val="auto"/>
          <w:sz w:val="24"/>
          <w:szCs w:val="24"/>
          <w:highlight w:val="none"/>
        </w:rPr>
      </w:pPr>
      <w:r>
        <w:rPr>
          <w:rFonts w:hint="eastAsia" w:eastAsia="宋体"/>
          <w:color w:val="auto"/>
          <w:sz w:val="24"/>
          <w:szCs w:val="24"/>
          <w:highlight w:val="none"/>
        </w:rPr>
        <w:t>目录</w:t>
      </w:r>
    </w:p>
    <w:p w14:paraId="7AF4FC4A">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TOC \o "1-3" \h \u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_Toc3748 </w:instrText>
      </w:r>
      <w:r>
        <w:rPr>
          <w:rFonts w:hint="eastAsia" w:ascii="宋体" w:hAnsi="宋体" w:cs="宋体"/>
          <w:color w:val="auto"/>
          <w:sz w:val="24"/>
          <w:szCs w:val="24"/>
          <w:highlight w:val="none"/>
        </w:rPr>
        <w:fldChar w:fldCharType="separate"/>
      </w:r>
      <w:r>
        <w:rPr>
          <w:rFonts w:hint="eastAsia" w:ascii="宋体" w:hAnsi="宋体" w:cs="宋体"/>
          <w:bCs/>
          <w:color w:val="auto"/>
          <w:sz w:val="24"/>
          <w:szCs w:val="24"/>
          <w:highlight w:val="none"/>
          <w:lang w:val="zh-CN"/>
        </w:rPr>
        <w:t>第一部分 竞争性磋商</w:t>
      </w:r>
      <w:r>
        <w:rPr>
          <w:rFonts w:hint="eastAsia" w:ascii="宋体" w:hAnsi="宋体" w:cs="宋体"/>
          <w:bCs/>
          <w:color w:val="auto"/>
          <w:sz w:val="24"/>
          <w:szCs w:val="24"/>
          <w:highlight w:val="none"/>
          <w:lang w:val="en-US" w:eastAsia="zh-CN"/>
        </w:rPr>
        <w:t>邀请</w:t>
      </w:r>
      <w:r>
        <w:rPr>
          <w:rFonts w:hint="eastAsia" w:ascii="宋体" w:hAnsi="宋体" w:cs="宋体"/>
          <w:color w:val="auto"/>
          <w:sz w:val="24"/>
          <w:szCs w:val="24"/>
          <w:highlight w:val="none"/>
        </w:rPr>
        <w:tab/>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fldChar w:fldCharType="end"/>
      </w:r>
    </w:p>
    <w:p w14:paraId="5EBB4656">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_Toc22141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lang w:val="zh-CN"/>
        </w:rPr>
        <w:t>第二部分</w:t>
      </w:r>
      <w:r>
        <w:rPr>
          <w:rFonts w:hint="eastAsia" w:ascii="宋体" w:hAnsi="宋体" w:cs="宋体"/>
          <w:color w:val="auto"/>
          <w:kern w:val="28"/>
          <w:sz w:val="24"/>
          <w:szCs w:val="24"/>
          <w:highlight w:val="none"/>
        </w:rPr>
        <w:t xml:space="preserve"> </w:t>
      </w:r>
      <w:r>
        <w:rPr>
          <w:rFonts w:hint="eastAsia" w:ascii="宋体" w:hAnsi="宋体" w:cs="宋体"/>
          <w:color w:val="auto"/>
          <w:sz w:val="24"/>
          <w:szCs w:val="24"/>
          <w:highlight w:val="none"/>
          <w:lang w:val="zh-CN"/>
        </w:rPr>
        <w:t>供应商须知前附表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_Toc22141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51DB35E">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_Toc15991 </w:instrText>
      </w:r>
      <w:r>
        <w:rPr>
          <w:rFonts w:hint="eastAsia" w:ascii="宋体" w:hAnsi="宋体" w:cs="宋体"/>
          <w:color w:val="auto"/>
          <w:sz w:val="24"/>
          <w:szCs w:val="24"/>
          <w:highlight w:val="none"/>
        </w:rPr>
        <w:fldChar w:fldCharType="separate"/>
      </w:r>
      <w:r>
        <w:rPr>
          <w:rFonts w:hint="eastAsia" w:ascii="宋体" w:hAnsi="宋体" w:cs="宋体"/>
          <w:color w:val="auto"/>
          <w:kern w:val="28"/>
          <w:sz w:val="24"/>
          <w:szCs w:val="24"/>
          <w:highlight w:val="none"/>
        </w:rPr>
        <w:t>第三部分 供应商须知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_Toc15991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970D331">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_Toc2475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一、说  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_Toc2475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6D96A6A">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_Toc6553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1.适用范围</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_Toc6553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7371857">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_Toc25696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2.采购方式、合格的供应商</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_Toc25696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23E7F8D1">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_Toc26310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3.磋商费用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_Toc26310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1F4EC09">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lang w:val="zh-CN"/>
        </w:rPr>
        <w:t>二、磋商文件说明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45EB8BD">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_Toc14488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4.磋商文件的构成</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_Toc14488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25FF8DC5">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_Toc4082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5.磋商文件的质疑</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_Toc4082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4625D78">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_Toc7330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6.磋商文件的澄清、修改</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_Toc7330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B4D5D9C">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_Toc15885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三、响应文件的编制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_Toc15885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6A9837FE">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_Toc17482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7.响应文件的语言及度量衡单位</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_Toc17482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308F1C2">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_Toc28488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8.磋商保证金</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_Toc28488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8E6A88A">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_Toc32153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9.磋商有效期</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_Toc32153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EAE91C0">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_Toc2936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10.响应文件构成</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_Toc2936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FD19BB5">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_Toc17237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11.响应文件编印和签署</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_Toc17237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63D8851B">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_Toc4993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四、响应文件的递交</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_Toc4993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C3D3ED7">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_Toc23939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12.响应文件的密封和标记</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_Toc23939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9</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AE6C549">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_Toc11648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13.提交响应文件截止时间、地点</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_Toc11648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3679032">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_Toc20310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五、磋商过程</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_Toc20310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685A063">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_Toc13022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14.磋商过程</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_Toc13022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6B250C21">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_Toc29147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六、磋商程序及方法</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_Toc29147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943EA4D">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_Toc27160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15.磋商小组</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_Toc27160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10</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49A7958">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_Toc19443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16.磋商程序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_Toc19443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11</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C1CDF1D">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_Toc18461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17.评审办法</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_Toc18461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12</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04582B2">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_Toc10781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七、确定成交供应商</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_Toc10781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13</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1381652">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_Toc3474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18.推荐并确定成交供应商</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_Toc3474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091AD91F">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_Toc24581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19.成交通知</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_Toc24581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ABF4DE3">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_Toc26276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八、授予合同</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_Toc26276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569BA7A7">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_Toc15246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20.签订合同</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_Toc15246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BBBA869">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_Toc6769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九、磋商活动终止</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_Toc6769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F153558">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_Toc23829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21.终止情形</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_Toc23829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15</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3B14790C">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_Toc20142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lang w:val="zh-CN"/>
        </w:rPr>
        <w:t>十、处罚</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_Toc20142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8756625">
      <w:pPr>
        <w:pStyle w:val="33"/>
        <w:tabs>
          <w:tab w:val="right" w:leader="dot" w:pos="9880"/>
        </w:tabs>
        <w:spacing w:line="360" w:lineRule="auto"/>
        <w:ind w:left="42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_Toc1803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22.处罚情形</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_Toc1803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1078586">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_Toc18795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十一、其他</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_Toc18795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78E25D17">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_Toc18196 </w:instrText>
      </w:r>
      <w:r>
        <w:rPr>
          <w:rFonts w:hint="eastAsia" w:ascii="宋体" w:hAnsi="宋体" w:cs="宋体"/>
          <w:color w:val="auto"/>
          <w:sz w:val="24"/>
          <w:szCs w:val="24"/>
          <w:highlight w:val="none"/>
        </w:rPr>
        <w:fldChar w:fldCharType="separate"/>
      </w:r>
      <w:r>
        <w:rPr>
          <w:rFonts w:hint="eastAsia" w:ascii="宋体" w:hAnsi="宋体" w:cs="宋体"/>
          <w:color w:val="auto"/>
          <w:kern w:val="28"/>
          <w:sz w:val="24"/>
          <w:szCs w:val="24"/>
          <w:highlight w:val="none"/>
        </w:rPr>
        <w:t>第四部分 采购项目合同书</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_Toc18196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17</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47736175">
      <w:pPr>
        <w:pStyle w:val="33"/>
        <w:tabs>
          <w:tab w:val="right" w:leader="dot" w:pos="9880"/>
        </w:tabs>
        <w:spacing w:line="360" w:lineRule="auto"/>
        <w:ind w:leftChars="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_Toc10800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第五部分 磋商响应文件格式</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_Toc10800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18</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2BA4C8A1">
      <w:pPr>
        <w:pStyle w:val="32"/>
        <w:tabs>
          <w:tab w:val="right" w:leader="dot" w:pos="988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_Toc7462 </w:instrText>
      </w:r>
      <w:r>
        <w:rPr>
          <w:rFonts w:hint="eastAsia" w:ascii="宋体" w:hAnsi="宋体" w:cs="宋体"/>
          <w:color w:val="auto"/>
          <w:sz w:val="24"/>
          <w:szCs w:val="24"/>
          <w:highlight w:val="none"/>
        </w:rPr>
        <w:fldChar w:fldCharType="separate"/>
      </w:r>
      <w:r>
        <w:rPr>
          <w:rFonts w:hint="eastAsia" w:ascii="宋体" w:hAnsi="宋体" w:cs="宋体"/>
          <w:color w:val="auto"/>
          <w:kern w:val="28"/>
          <w:sz w:val="24"/>
          <w:szCs w:val="24"/>
          <w:highlight w:val="none"/>
        </w:rPr>
        <w:t xml:space="preserve">第六部分 </w:t>
      </w:r>
      <w:r>
        <w:rPr>
          <w:rFonts w:hint="eastAsia" w:ascii="宋体" w:hAnsi="宋体" w:cs="宋体"/>
          <w:color w:val="auto"/>
          <w:kern w:val="28"/>
          <w:sz w:val="24"/>
          <w:szCs w:val="24"/>
          <w:highlight w:val="none"/>
          <w:lang w:val="zh-CN"/>
        </w:rPr>
        <w:t>采购项目服务要求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_Toc7462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56</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fldChar w:fldCharType="end"/>
      </w:r>
    </w:p>
    <w:p w14:paraId="1524E1F3">
      <w:pPr>
        <w:spacing w:line="360" w:lineRule="auto"/>
        <w:rPr>
          <w:rFonts w:hint="eastAsia" w:eastAsia="宋体" w:cs="Times New Roman"/>
          <w:b/>
          <w:color w:val="auto"/>
          <w:sz w:val="24"/>
          <w:szCs w:val="24"/>
          <w:highlight w:val="none"/>
          <w:lang w:val="zh-CN"/>
        </w:rPr>
      </w:pPr>
      <w:r>
        <w:rPr>
          <w:rFonts w:hint="eastAsia" w:eastAsia="宋体"/>
          <w:color w:val="auto"/>
          <w:sz w:val="24"/>
          <w:szCs w:val="24"/>
          <w:highlight w:val="none"/>
        </w:rPr>
        <w:fldChar w:fldCharType="end"/>
      </w:r>
      <w:r>
        <w:rPr>
          <w:rFonts w:hint="eastAsia" w:eastAsia="宋体"/>
          <w:bCs/>
          <w:color w:val="auto"/>
          <w:sz w:val="24"/>
          <w:szCs w:val="24"/>
          <w:highlight w:val="none"/>
          <w:lang w:val="zh-CN"/>
        </w:rPr>
        <w:fldChar w:fldCharType="end"/>
      </w:r>
      <w:r>
        <w:rPr>
          <w:rFonts w:hint="eastAsia" w:eastAsia="宋体"/>
          <w:b/>
          <w:color w:val="auto"/>
          <w:sz w:val="24"/>
          <w:szCs w:val="24"/>
          <w:highlight w:val="none"/>
          <w:lang w:val="zh-CN"/>
        </w:rPr>
        <w:fldChar w:fldCharType="end"/>
      </w:r>
    </w:p>
    <w:p w14:paraId="0BF5511B">
      <w:pPr>
        <w:pStyle w:val="32"/>
        <w:tabs>
          <w:tab w:val="right" w:leader="dot" w:pos="9880"/>
        </w:tabs>
        <w:rPr>
          <w:rFonts w:hint="eastAsia" w:ascii="宋体" w:hAnsi="宋体"/>
          <w:b/>
          <w:color w:val="auto"/>
          <w:sz w:val="24"/>
          <w:szCs w:val="24"/>
          <w:highlight w:val="none"/>
        </w:rPr>
        <w:sectPr>
          <w:footerReference r:id="rId10" w:type="default"/>
          <w:pgSz w:w="11910" w:h="16840"/>
          <w:pgMar w:top="1360" w:right="930" w:bottom="1220" w:left="1100" w:header="1000" w:footer="1034" w:gutter="0"/>
          <w:pgBorders w:offsetFrom="page">
            <w:top w:val="single" w:color="auto" w:sz="12" w:space="24"/>
            <w:left w:val="single" w:color="auto" w:sz="12" w:space="24"/>
            <w:bottom w:val="single" w:color="auto" w:sz="12" w:space="24"/>
            <w:right w:val="single" w:color="auto" w:sz="12" w:space="24"/>
          </w:pgBorders>
          <w:pgNumType w:start="1"/>
          <w:cols w:space="720" w:num="1"/>
        </w:sectPr>
      </w:pPr>
      <w:bookmarkStart w:id="7" w:name="_Toc9794"/>
    </w:p>
    <w:bookmarkEnd w:id="0"/>
    <w:bookmarkEnd w:id="1"/>
    <w:bookmarkEnd w:id="2"/>
    <w:bookmarkEnd w:id="3"/>
    <w:bookmarkEnd w:id="4"/>
    <w:bookmarkEnd w:id="5"/>
    <w:bookmarkEnd w:id="7"/>
    <w:p w14:paraId="452963E1">
      <w:pPr>
        <w:pStyle w:val="32"/>
        <w:numPr>
          <w:ilvl w:val="0"/>
          <w:numId w:val="0"/>
        </w:numPr>
        <w:tabs>
          <w:tab w:val="right" w:leader="dot" w:pos="9880"/>
        </w:tabs>
        <w:jc w:val="center"/>
        <w:outlineLvl w:val="0"/>
        <w:rPr>
          <w:rFonts w:hint="eastAsia" w:ascii="宋体" w:hAnsi="宋体" w:cs="宋体"/>
          <w:b/>
          <w:bCs/>
          <w:color w:val="auto"/>
          <w:sz w:val="36"/>
          <w:szCs w:val="32"/>
          <w:highlight w:val="none"/>
          <w:lang w:val="zh-CN"/>
        </w:rPr>
      </w:pPr>
      <w:r>
        <w:rPr>
          <w:rFonts w:hint="eastAsia" w:ascii="宋体" w:hAnsi="宋体" w:eastAsia="宋体" w:cs="宋体"/>
          <w:b/>
          <w:bCs/>
          <w:color w:val="auto"/>
          <w:sz w:val="36"/>
          <w:szCs w:val="32"/>
          <w:lang w:val="zh-CN" w:eastAsia="zh-CN" w:bidi="ar-SA"/>
        </w:rPr>
        <w:t>第一部分</w:t>
      </w:r>
      <w:r>
        <w:rPr>
          <w:rFonts w:hint="eastAsia" w:ascii="宋体" w:hAnsi="宋体" w:cs="宋体"/>
          <w:b/>
          <w:bCs/>
          <w:color w:val="auto"/>
          <w:sz w:val="36"/>
          <w:szCs w:val="32"/>
          <w:lang w:val="en-US" w:eastAsia="zh-CN" w:bidi="ar-SA"/>
        </w:rPr>
        <w:t xml:space="preserve"> </w:t>
      </w:r>
      <w:r>
        <w:rPr>
          <w:rFonts w:hint="eastAsia" w:ascii="宋体" w:hAnsi="宋体" w:cs="宋体"/>
          <w:b/>
          <w:bCs/>
          <w:color w:val="auto"/>
          <w:sz w:val="36"/>
          <w:szCs w:val="32"/>
          <w:highlight w:val="none"/>
          <w:lang w:val="zh-CN"/>
        </w:rPr>
        <w:t>竞争性磋商</w:t>
      </w:r>
    </w:p>
    <w:p w14:paraId="13E595DD">
      <w:pPr>
        <w:pStyle w:val="32"/>
        <w:tabs>
          <w:tab w:val="right" w:leader="dot" w:pos="9880"/>
        </w:tabs>
        <w:ind w:left="3132"/>
        <w:rPr>
          <w:rFonts w:hint="eastAsia" w:ascii="宋体" w:hAnsi="宋体" w:cs="宋体"/>
          <w:b/>
          <w:bCs/>
          <w:color w:val="auto"/>
          <w:sz w:val="36"/>
          <w:szCs w:val="32"/>
          <w:highlight w:val="none"/>
          <w:lang w:val="zh-CN"/>
        </w:rPr>
      </w:pPr>
    </w:p>
    <w:p w14:paraId="7B56A3A7">
      <w:pPr>
        <w:spacing w:after="240" w:line="360" w:lineRule="auto"/>
        <w:ind w:firstLine="482"/>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青海中旭</w:t>
      </w:r>
      <w:r>
        <w:rPr>
          <w:rFonts w:hint="eastAsia" w:ascii="宋体" w:hAnsi="宋体" w:eastAsia="宋体" w:cs="宋体"/>
          <w:color w:val="auto"/>
          <w:sz w:val="24"/>
          <w:szCs w:val="24"/>
          <w:highlight w:val="none"/>
          <w:lang w:val="zh-CN" w:eastAsia="zh-CN"/>
        </w:rPr>
        <w:t>工程项目管理有限公司受</w:t>
      </w:r>
      <w:r>
        <w:rPr>
          <w:rFonts w:hint="eastAsia" w:cs="Arial"/>
          <w:color w:val="auto"/>
          <w:sz w:val="24"/>
          <w:u w:val="single"/>
          <w:lang w:eastAsia="zh-CN"/>
        </w:rPr>
        <w:t>青海民族大学</w:t>
      </w:r>
      <w:r>
        <w:rPr>
          <w:rFonts w:hint="eastAsia" w:ascii="宋体" w:hAnsi="宋体" w:eastAsia="宋体" w:cs="宋体"/>
          <w:color w:val="auto"/>
          <w:sz w:val="24"/>
          <w:szCs w:val="24"/>
          <w:highlight w:val="none"/>
          <w:lang w:val="zh-CN" w:eastAsia="zh-CN"/>
        </w:rPr>
        <w:t>委托，拟对</w:t>
      </w:r>
      <w:r>
        <w:rPr>
          <w:rFonts w:hint="eastAsia" w:ascii="宋体" w:hAnsi="宋体" w:eastAsia="宋体" w:cs="宋体"/>
          <w:color w:val="auto"/>
          <w:sz w:val="24"/>
          <w:u w:val="single"/>
          <w:lang w:val="zh-CN" w:eastAsia="zh-CN"/>
        </w:rPr>
        <w:t>“</w:t>
      </w:r>
      <w:r>
        <w:rPr>
          <w:rFonts w:hint="eastAsia" w:cs="Arial"/>
          <w:color w:val="auto"/>
          <w:sz w:val="24"/>
          <w:u w:val="single"/>
          <w:lang w:eastAsia="zh-CN"/>
        </w:rPr>
        <w:t>青海民族大学经济管理学院省级实验教学示范中心更新项目</w:t>
      </w:r>
      <w:r>
        <w:rPr>
          <w:rFonts w:hint="eastAsia" w:ascii="宋体" w:hAnsi="宋体" w:eastAsia="宋体" w:cs="宋体"/>
          <w:color w:val="auto"/>
          <w:sz w:val="24"/>
          <w:u w:val="single"/>
          <w:lang w:val="en-US" w:eastAsia="zh-CN"/>
        </w:rPr>
        <w:t>”</w:t>
      </w:r>
      <w:r>
        <w:rPr>
          <w:rFonts w:hint="eastAsia" w:ascii="宋体" w:hAnsi="宋体" w:cs="Arial"/>
          <w:color w:val="auto"/>
          <w:sz w:val="24"/>
          <w:u w:val="single"/>
          <w:lang w:val="en-US" w:eastAsia="zh-CN"/>
        </w:rPr>
        <w:t>（项目编号：</w:t>
      </w:r>
      <w:r>
        <w:rPr>
          <w:rFonts w:hint="eastAsia" w:cs="Arial"/>
          <w:color w:val="auto"/>
          <w:sz w:val="24"/>
          <w:u w:val="single"/>
          <w:lang w:val="zh-CN" w:eastAsia="zh-CN"/>
        </w:rPr>
        <w:t>QHZX-磋商（货物）2026-047</w:t>
      </w:r>
      <w:r>
        <w:rPr>
          <w:rFonts w:hint="eastAsia" w:ascii="宋体" w:hAnsi="宋体" w:cs="Arial"/>
          <w:color w:val="auto"/>
          <w:sz w:val="24"/>
          <w:u w:val="single"/>
          <w:lang w:val="en-US" w:eastAsia="zh-CN"/>
        </w:rPr>
        <w:t>）</w:t>
      </w:r>
      <w:r>
        <w:rPr>
          <w:rFonts w:hint="eastAsia" w:ascii="宋体" w:hAnsi="宋体" w:cs="Arial"/>
          <w:color w:val="auto"/>
          <w:sz w:val="24"/>
          <w:u w:val="single"/>
          <w:lang w:val="zh-CN" w:eastAsia="zh-CN"/>
        </w:rPr>
        <w:t>，</w:t>
      </w:r>
      <w:r>
        <w:rPr>
          <w:rFonts w:hint="eastAsia" w:ascii="宋体" w:hAnsi="宋体" w:eastAsia="宋体" w:cs="宋体"/>
          <w:color w:val="auto"/>
          <w:sz w:val="24"/>
          <w:szCs w:val="24"/>
          <w:highlight w:val="none"/>
          <w:lang w:val="zh-CN" w:eastAsia="zh-CN"/>
        </w:rPr>
        <w:t>进行国内竞争性磋商采购。现予以公告，欢迎符合条件的供应商前来参加</w:t>
      </w:r>
      <w:r>
        <w:rPr>
          <w:rFonts w:hint="eastAsia" w:ascii="宋体" w:hAnsi="宋体" w:eastAsia="宋体" w:cs="宋体"/>
          <w:color w:val="auto"/>
          <w:sz w:val="24"/>
          <w:szCs w:val="24"/>
          <w:highlight w:val="none"/>
          <w:lang w:val="en-US" w:eastAsia="zh-CN"/>
        </w:rPr>
        <w:t>此次</w:t>
      </w:r>
      <w:r>
        <w:rPr>
          <w:rFonts w:hint="eastAsia" w:ascii="宋体" w:hAnsi="宋体" w:eastAsia="宋体" w:cs="宋体"/>
          <w:color w:val="auto"/>
          <w:sz w:val="24"/>
          <w:szCs w:val="24"/>
          <w:highlight w:val="none"/>
          <w:lang w:val="zh-CN" w:eastAsia="zh-CN"/>
        </w:rPr>
        <w:t>磋商</w:t>
      </w:r>
      <w:r>
        <w:rPr>
          <w:rFonts w:hint="eastAsia" w:ascii="宋体" w:hAnsi="宋体" w:eastAsia="宋体" w:cs="宋体"/>
          <w:color w:val="auto"/>
          <w:sz w:val="24"/>
          <w:szCs w:val="24"/>
          <w:highlight w:val="none"/>
          <w:lang w:val="zh-CN"/>
        </w:rPr>
        <w:t>。</w:t>
      </w:r>
    </w:p>
    <w:tbl>
      <w:tblPr>
        <w:tblStyle w:val="24"/>
        <w:tblW w:w="9459" w:type="dxa"/>
        <w:jc w:val="center"/>
        <w:tblLayout w:type="fixed"/>
        <w:tblCellMar>
          <w:top w:w="0" w:type="dxa"/>
          <w:left w:w="57" w:type="dxa"/>
          <w:bottom w:w="0" w:type="dxa"/>
          <w:right w:w="57" w:type="dxa"/>
        </w:tblCellMar>
      </w:tblPr>
      <w:tblGrid>
        <w:gridCol w:w="2653"/>
        <w:gridCol w:w="6806"/>
      </w:tblGrid>
      <w:tr w14:paraId="6CF29AC8">
        <w:tblPrEx>
          <w:tblCellMar>
            <w:top w:w="0" w:type="dxa"/>
            <w:left w:w="57" w:type="dxa"/>
            <w:bottom w:w="0" w:type="dxa"/>
            <w:right w:w="57" w:type="dxa"/>
          </w:tblCellMar>
        </w:tblPrEx>
        <w:trPr>
          <w:trHeight w:val="116"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3C22C0D7">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采购项目编号</w:t>
            </w:r>
          </w:p>
        </w:tc>
        <w:tc>
          <w:tcPr>
            <w:tcW w:w="6806" w:type="dxa"/>
            <w:tcBorders>
              <w:top w:val="single" w:color="000000" w:sz="4" w:space="0"/>
              <w:left w:val="nil"/>
              <w:bottom w:val="single" w:color="000000" w:sz="4" w:space="0"/>
              <w:right w:val="single" w:color="000000" w:sz="4" w:space="0"/>
            </w:tcBorders>
            <w:noWrap w:val="0"/>
            <w:vAlign w:val="center"/>
          </w:tcPr>
          <w:p w14:paraId="5B2BAE91">
            <w:pPr>
              <w:pStyle w:val="34"/>
              <w:widowControl w:val="0"/>
              <w:autoSpaceDE w:val="0"/>
              <w:autoSpaceDN w:val="0"/>
              <w:adjustRightInd w:val="0"/>
              <w:spacing w:before="0" w:after="0" w:line="360" w:lineRule="auto"/>
              <w:jc w:val="left"/>
              <w:rPr>
                <w:rFonts w:hint="default" w:ascii="宋体" w:hAnsi="宋体" w:eastAsia="宋体" w:cs="宋体"/>
                <w:color w:val="auto"/>
                <w:sz w:val="24"/>
                <w:szCs w:val="24"/>
                <w:highlight w:val="none"/>
                <w:lang w:val="en-US" w:eastAsia="zh-CN" w:bidi="ar-SA"/>
              </w:rPr>
            </w:pPr>
            <w:r>
              <w:rPr>
                <w:rFonts w:hint="eastAsia" w:ascii="宋体" w:hAnsi="宋体" w:eastAsia="宋体" w:cs="宋体"/>
                <w:sz w:val="24"/>
                <w:szCs w:val="24"/>
                <w:lang w:val="en-US" w:eastAsia="zh-CN"/>
              </w:rPr>
              <w:t>QHZX-磋商（货物）2026-047</w:t>
            </w:r>
          </w:p>
        </w:tc>
      </w:tr>
      <w:tr w14:paraId="658C964D">
        <w:tblPrEx>
          <w:tblCellMar>
            <w:top w:w="0" w:type="dxa"/>
            <w:left w:w="57" w:type="dxa"/>
            <w:bottom w:w="0" w:type="dxa"/>
            <w:right w:w="57" w:type="dxa"/>
          </w:tblCellMar>
        </w:tblPrEx>
        <w:trPr>
          <w:trHeight w:val="229"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5974E6FF">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采购项目名称</w:t>
            </w:r>
          </w:p>
        </w:tc>
        <w:tc>
          <w:tcPr>
            <w:tcW w:w="6806" w:type="dxa"/>
            <w:tcBorders>
              <w:top w:val="single" w:color="000000" w:sz="4" w:space="0"/>
              <w:left w:val="nil"/>
              <w:bottom w:val="single" w:color="000000" w:sz="4" w:space="0"/>
              <w:right w:val="single" w:color="000000" w:sz="4" w:space="0"/>
            </w:tcBorders>
            <w:noWrap w:val="0"/>
            <w:vAlign w:val="center"/>
          </w:tcPr>
          <w:p w14:paraId="2D19AE70">
            <w:pPr>
              <w:pStyle w:val="34"/>
              <w:widowControl w:val="0"/>
              <w:autoSpaceDE w:val="0"/>
              <w:autoSpaceDN w:val="0"/>
              <w:adjustRightInd w:val="0"/>
              <w:spacing w:before="0" w:after="0" w:line="360" w:lineRule="auto"/>
              <w:jc w:val="left"/>
              <w:rPr>
                <w:rFonts w:hint="default" w:ascii="宋体" w:hAnsi="宋体" w:eastAsia="宋体" w:cs="宋体"/>
                <w:color w:val="auto"/>
                <w:sz w:val="24"/>
                <w:szCs w:val="24"/>
                <w:highlight w:val="none"/>
                <w:lang w:val="en-US" w:eastAsia="zh-CN" w:bidi="ar-SA"/>
              </w:rPr>
            </w:pPr>
            <w:r>
              <w:rPr>
                <w:rFonts w:hint="eastAsia" w:ascii="宋体" w:hAnsi="宋体" w:eastAsia="宋体" w:cs="宋体"/>
                <w:sz w:val="24"/>
                <w:szCs w:val="24"/>
                <w:lang w:val="en-US" w:eastAsia="zh-CN"/>
              </w:rPr>
              <w:t>青海民族大学经济管理学院省级实验教学示范中心更新项目</w:t>
            </w:r>
          </w:p>
        </w:tc>
      </w:tr>
      <w:tr w14:paraId="67789C99">
        <w:tblPrEx>
          <w:tblCellMar>
            <w:top w:w="0" w:type="dxa"/>
            <w:left w:w="57" w:type="dxa"/>
            <w:bottom w:w="0" w:type="dxa"/>
            <w:right w:w="57" w:type="dxa"/>
          </w:tblCellMar>
        </w:tblPrEx>
        <w:trPr>
          <w:trHeight w:val="90"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542E2005">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采购方式</w:t>
            </w:r>
          </w:p>
        </w:tc>
        <w:tc>
          <w:tcPr>
            <w:tcW w:w="6806" w:type="dxa"/>
            <w:tcBorders>
              <w:top w:val="single" w:color="000000" w:sz="4" w:space="0"/>
              <w:left w:val="nil"/>
              <w:bottom w:val="single" w:color="000000" w:sz="4" w:space="0"/>
              <w:right w:val="single" w:color="000000" w:sz="4" w:space="0"/>
            </w:tcBorders>
            <w:noWrap w:val="0"/>
            <w:vAlign w:val="center"/>
          </w:tcPr>
          <w:p w14:paraId="5D0C7F1F">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竞争性</w:t>
            </w:r>
            <w:r>
              <w:rPr>
                <w:rFonts w:hint="eastAsia" w:ascii="宋体" w:hAnsi="宋体" w:eastAsia="宋体" w:cs="宋体"/>
                <w:color w:val="auto"/>
                <w:sz w:val="24"/>
                <w:szCs w:val="24"/>
                <w:highlight w:val="none"/>
                <w:lang w:val="zh-CN" w:eastAsia="zh-CN" w:bidi="ar-SA"/>
              </w:rPr>
              <w:t>磋商</w:t>
            </w:r>
          </w:p>
        </w:tc>
      </w:tr>
      <w:tr w14:paraId="56C0D5EC">
        <w:tblPrEx>
          <w:tblCellMar>
            <w:top w:w="0" w:type="dxa"/>
            <w:left w:w="57" w:type="dxa"/>
            <w:bottom w:w="0" w:type="dxa"/>
            <w:right w:w="57" w:type="dxa"/>
          </w:tblCellMar>
        </w:tblPrEx>
        <w:trPr>
          <w:trHeight w:val="136"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4BB99859">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采购预算额度</w:t>
            </w:r>
          </w:p>
        </w:tc>
        <w:tc>
          <w:tcPr>
            <w:tcW w:w="6806" w:type="dxa"/>
            <w:tcBorders>
              <w:top w:val="single" w:color="000000" w:sz="4" w:space="0"/>
              <w:left w:val="nil"/>
              <w:bottom w:val="single" w:color="000000" w:sz="4" w:space="0"/>
              <w:right w:val="single" w:color="000000" w:sz="4" w:space="0"/>
            </w:tcBorders>
            <w:noWrap w:val="0"/>
            <w:vAlign w:val="center"/>
          </w:tcPr>
          <w:p w14:paraId="1D7E098C">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val="en-US" w:eastAsia="zh-CN" w:bidi="ar-SA"/>
              </w:rPr>
            </w:pPr>
            <w:r>
              <w:rPr>
                <w:rFonts w:hint="eastAsia" w:ascii="宋体" w:hAnsi="宋体" w:cs="宋体"/>
                <w:color w:val="auto"/>
                <w:sz w:val="24"/>
                <w:highlight w:val="none"/>
                <w:lang w:val="zh-CN" w:eastAsia="zh-CN"/>
              </w:rPr>
              <w:t>人民币</w:t>
            </w:r>
            <w:r>
              <w:rPr>
                <w:rFonts w:hint="eastAsia" w:ascii="宋体" w:hAnsi="宋体" w:cs="宋体"/>
                <w:color w:val="auto"/>
                <w:sz w:val="24"/>
                <w:highlight w:val="none"/>
                <w:lang w:val="en-US" w:eastAsia="zh-CN"/>
              </w:rPr>
              <w:t>360000.00元（大写：叁拾陆万元整）</w:t>
            </w:r>
          </w:p>
        </w:tc>
      </w:tr>
      <w:tr w14:paraId="5D7B7E1A">
        <w:tblPrEx>
          <w:tblCellMar>
            <w:top w:w="0" w:type="dxa"/>
            <w:left w:w="57" w:type="dxa"/>
            <w:bottom w:w="0" w:type="dxa"/>
            <w:right w:w="57" w:type="dxa"/>
          </w:tblCellMar>
        </w:tblPrEx>
        <w:trPr>
          <w:trHeight w:val="136"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4DF613A2">
            <w:pPr>
              <w:spacing w:line="360" w:lineRule="auto"/>
              <w:rPr>
                <w:rFonts w:hint="eastAsia" w:ascii="宋体" w:hAnsi="宋体" w:eastAsia="宋体" w:cs="宋体"/>
                <w:color w:val="auto"/>
                <w:sz w:val="24"/>
                <w:szCs w:val="24"/>
                <w:highlight w:val="none"/>
                <w:lang w:val="ru-RU" w:eastAsia="zh-CN" w:bidi="ar-SA"/>
              </w:rPr>
            </w:pPr>
            <w:r>
              <w:rPr>
                <w:rFonts w:hint="eastAsia" w:ascii="宋体" w:hAnsi="宋体" w:eastAsia="宋体" w:cs="宋体"/>
                <w:color w:val="auto"/>
                <w:sz w:val="24"/>
                <w:szCs w:val="24"/>
                <w:highlight w:val="none"/>
                <w:lang w:val="ru-RU" w:eastAsia="zh-CN" w:bidi="ar-SA"/>
              </w:rPr>
              <w:t>项目分包个数</w:t>
            </w:r>
          </w:p>
        </w:tc>
        <w:tc>
          <w:tcPr>
            <w:tcW w:w="6806" w:type="dxa"/>
            <w:tcBorders>
              <w:top w:val="single" w:color="000000" w:sz="4" w:space="0"/>
              <w:left w:val="nil"/>
              <w:bottom w:val="single" w:color="000000" w:sz="4" w:space="0"/>
              <w:right w:val="single" w:color="000000" w:sz="4" w:space="0"/>
            </w:tcBorders>
            <w:noWrap w:val="0"/>
            <w:vAlign w:val="center"/>
          </w:tcPr>
          <w:p w14:paraId="72053686">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无</w:t>
            </w:r>
          </w:p>
        </w:tc>
      </w:tr>
      <w:tr w14:paraId="0E16D26E">
        <w:tblPrEx>
          <w:tblCellMar>
            <w:top w:w="0" w:type="dxa"/>
            <w:left w:w="57" w:type="dxa"/>
            <w:bottom w:w="0" w:type="dxa"/>
            <w:right w:w="57" w:type="dxa"/>
          </w:tblCellMar>
        </w:tblPrEx>
        <w:trPr>
          <w:trHeight w:val="136"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696B3DD2">
            <w:pPr>
              <w:spacing w:line="360" w:lineRule="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采购项目要求</w:t>
            </w:r>
          </w:p>
        </w:tc>
        <w:tc>
          <w:tcPr>
            <w:tcW w:w="6806" w:type="dxa"/>
            <w:tcBorders>
              <w:top w:val="single" w:color="000000" w:sz="4" w:space="0"/>
              <w:left w:val="nil"/>
              <w:bottom w:val="single" w:color="000000" w:sz="4" w:space="0"/>
              <w:right w:val="single" w:color="000000" w:sz="4" w:space="0"/>
            </w:tcBorders>
            <w:noWrap w:val="0"/>
            <w:vAlign w:val="center"/>
          </w:tcPr>
          <w:p w14:paraId="7B8D3208">
            <w:pPr>
              <w:pStyle w:val="34"/>
              <w:widowControl w:val="0"/>
              <w:autoSpaceDE w:val="0"/>
              <w:autoSpaceDN w:val="0"/>
              <w:adjustRightInd w:val="0"/>
              <w:spacing w:before="0" w:after="0" w:line="360" w:lineRule="auto"/>
              <w:jc w:val="left"/>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eastAsia="zh-CN"/>
              </w:rPr>
              <w:t>具体内容详见《竞争性磋商文件》</w:t>
            </w:r>
            <w:r>
              <w:rPr>
                <w:rFonts w:hint="eastAsia" w:eastAsia="宋体" w:cs="宋体"/>
                <w:color w:val="auto"/>
                <w:sz w:val="24"/>
                <w:szCs w:val="24"/>
                <w:highlight w:val="none"/>
                <w:lang w:eastAsia="zh-CN"/>
              </w:rPr>
              <w:t>。</w:t>
            </w:r>
          </w:p>
        </w:tc>
      </w:tr>
      <w:tr w14:paraId="3D758FE4">
        <w:tblPrEx>
          <w:tblCellMar>
            <w:top w:w="0" w:type="dxa"/>
            <w:left w:w="57" w:type="dxa"/>
            <w:bottom w:w="0" w:type="dxa"/>
            <w:right w:w="57" w:type="dxa"/>
          </w:tblCellMar>
        </w:tblPrEx>
        <w:trPr>
          <w:trHeight w:val="392"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0779EF0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w:t>
            </w:r>
          </w:p>
        </w:tc>
        <w:tc>
          <w:tcPr>
            <w:tcW w:w="6806" w:type="dxa"/>
            <w:tcBorders>
              <w:top w:val="single" w:color="000000" w:sz="4" w:space="0"/>
              <w:left w:val="nil"/>
              <w:bottom w:val="single" w:color="000000" w:sz="4" w:space="0"/>
              <w:right w:val="single" w:color="000000" w:sz="4" w:space="0"/>
            </w:tcBorders>
            <w:noWrap w:val="0"/>
            <w:vAlign w:val="center"/>
          </w:tcPr>
          <w:p w14:paraId="33571C76">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(1)符合《政府采购法》第22条条件，并提供下列材料：</w:t>
            </w:r>
          </w:p>
          <w:p w14:paraId="55EE1531">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的营业执照等证明文件，自然人的身份证明。</w:t>
            </w:r>
          </w:p>
          <w:p w14:paraId="44E4B21D">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2）财务状况报告，依法缴纳税收和社会保障资金的相关材料。</w:t>
            </w:r>
          </w:p>
          <w:p w14:paraId="3A580916">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3）具备履行合同所必需的设备和专业技术能力的证明材料</w:t>
            </w: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lang w:val="zh-CN" w:eastAsia="zh-CN"/>
              </w:rPr>
              <w:t>须</w:t>
            </w:r>
            <w:r>
              <w:rPr>
                <w:rFonts w:hint="eastAsia" w:ascii="宋体" w:hAnsi="宋体" w:eastAsia="宋体" w:cs="宋体"/>
                <w:sz w:val="24"/>
                <w:szCs w:val="24"/>
                <w:highlight w:val="none"/>
                <w:lang w:val="zh-CN"/>
              </w:rPr>
              <w:t>提供承诺函）</w:t>
            </w:r>
            <w:r>
              <w:rPr>
                <w:rFonts w:hint="eastAsia" w:ascii="宋体" w:hAnsi="宋体" w:eastAsia="宋体" w:cs="宋体"/>
                <w:sz w:val="24"/>
                <w:szCs w:val="24"/>
                <w:highlight w:val="none"/>
                <w:lang w:val="zh-CN" w:eastAsia="zh-CN"/>
              </w:rPr>
              <w:t>。</w:t>
            </w:r>
          </w:p>
          <w:p w14:paraId="6CB1D420">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4）参加政府采购活动前3年内在经营活动中没有重大违法记录的书面声明。</w:t>
            </w:r>
          </w:p>
          <w:p w14:paraId="32BCE7AE">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5）具备法律、行政法规规定的其他条件的证明材料。</w:t>
            </w:r>
          </w:p>
          <w:p w14:paraId="595BF895">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(2)单位负责人为同一人或者存在直接控股、管理关系的不同</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，不得参加同一合同项下的政府采购活动。否则，皆取消投标资格；</w:t>
            </w:r>
          </w:p>
          <w:p w14:paraId="3C1DC742">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(3)为本采购项目提供整体设计、规范编制或者项目管理、监理、检测等服务的</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，不得再参加该采购项目的其他采购活动；</w:t>
            </w:r>
          </w:p>
          <w:p w14:paraId="2A00489C">
            <w:pPr>
              <w:pStyle w:val="34"/>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(4)本项目不接受</w:t>
            </w:r>
            <w:r>
              <w:rPr>
                <w:rFonts w:hint="eastAsia" w:ascii="宋体" w:hAnsi="宋体" w:eastAsia="宋体" w:cs="宋体"/>
                <w:sz w:val="24"/>
                <w:szCs w:val="24"/>
                <w:highlight w:val="none"/>
                <w:lang w:eastAsia="zh-CN"/>
              </w:rPr>
              <w:t>供应商</w:t>
            </w:r>
            <w:r>
              <w:rPr>
                <w:rFonts w:hint="eastAsia" w:ascii="宋体" w:hAnsi="宋体" w:eastAsia="宋体" w:cs="宋体"/>
                <w:sz w:val="24"/>
                <w:szCs w:val="24"/>
                <w:highlight w:val="none"/>
              </w:rPr>
              <w:t>以联合体方式进行投标；</w:t>
            </w:r>
          </w:p>
          <w:p w14:paraId="29A31253">
            <w:pPr>
              <w:pStyle w:val="45"/>
              <w:widowControl w:val="0"/>
              <w:autoSpaceDE w:val="0"/>
              <w:autoSpaceDN w:val="0"/>
              <w:adjustRightInd w:val="0"/>
              <w:spacing w:before="0" w:after="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(5)经信用中国（www.creditchina.gov.cn）、中国政府采购网（www.ccgp.gov.cn）等渠道查询后，列入失信被执行人、重大税收违法</w:t>
            </w:r>
            <w:r>
              <w:rPr>
                <w:rFonts w:hint="eastAsia" w:ascii="宋体" w:hAnsi="宋体" w:eastAsia="宋体" w:cs="宋体"/>
                <w:sz w:val="24"/>
                <w:szCs w:val="24"/>
                <w:highlight w:val="none"/>
                <w:lang w:val="en-US" w:eastAsia="zh-CN"/>
              </w:rPr>
              <w:t>失信主体</w:t>
            </w:r>
            <w:r>
              <w:rPr>
                <w:rFonts w:hint="eastAsia" w:ascii="宋体" w:hAnsi="宋体" w:eastAsia="宋体" w:cs="宋体"/>
                <w:sz w:val="24"/>
                <w:szCs w:val="24"/>
                <w:highlight w:val="none"/>
              </w:rPr>
              <w:t>、政府采购严重违法失信行为记录名单的，取消投标资格；</w:t>
            </w:r>
          </w:p>
          <w:p w14:paraId="3F7EA5A9">
            <w:pPr>
              <w:widowControl/>
              <w:spacing w:line="360" w:lineRule="auto"/>
              <w:ind w:firstLine="0" w:firstLineChars="0"/>
              <w:rPr>
                <w:rFonts w:hint="eastAsia"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r>
              <w:rPr>
                <w:rFonts w:hint="eastAsia" w:ascii="宋体" w:hAnsi="宋体" w:eastAsia="宋体" w:cs="宋体"/>
                <w:color w:val="000000" w:themeColor="text1"/>
                <w:sz w:val="24"/>
                <w:szCs w:val="24"/>
                <w:highlight w:val="none"/>
                <w:lang w:val="ru-RU" w:eastAsia="zh-CN" w:bidi="ar-SA"/>
                <w14:textFill>
                  <w14:solidFill>
                    <w14:schemeClr w14:val="tx1"/>
                  </w14:solidFill>
                </w14:textFill>
              </w:rPr>
              <w:t>其他要求：</w:t>
            </w:r>
            <w:r>
              <w:rPr>
                <w:rFonts w:hint="eastAsia" w:ascii="宋体" w:hAnsi="宋体" w:eastAsia="宋体" w:cs="宋体"/>
                <w:color w:val="000000" w:themeColor="text1"/>
                <w:sz w:val="24"/>
                <w:szCs w:val="22"/>
                <w:highlight w:val="none"/>
                <w:lang w:val="zh-CN" w:eastAsia="zh-CN"/>
                <w14:textFill>
                  <w14:solidFill>
                    <w14:schemeClr w14:val="tx1"/>
                  </w14:solidFill>
                </w14:textFill>
              </w:rPr>
              <w:t>本次采购要求供应商具有合法的营业</w:t>
            </w:r>
            <w:r>
              <w:rPr>
                <w:rFonts w:hint="eastAsia" w:ascii="宋体" w:hAnsi="宋体" w:eastAsia="宋体" w:cs="宋体"/>
                <w:color w:val="000000" w:themeColor="text1"/>
                <w:sz w:val="24"/>
                <w:szCs w:val="24"/>
                <w:highlight w:val="none"/>
                <w:lang w:val="zh-CN" w:eastAsia="zh-CN"/>
                <w14:textFill>
                  <w14:solidFill>
                    <w14:schemeClr w14:val="tx1"/>
                  </w14:solidFill>
                </w14:textFill>
              </w:rPr>
              <w:t>执照，并在人员、设备、资金等方面具有相应的</w:t>
            </w:r>
            <w:r>
              <w:rPr>
                <w:rFonts w:hint="eastAsia" w:eastAsia="宋体" w:cs="宋体"/>
                <w:color w:val="000000" w:themeColor="text1"/>
                <w:sz w:val="24"/>
                <w:szCs w:val="24"/>
                <w:highlight w:val="none"/>
                <w:lang w:val="en-US" w:eastAsia="zh-CN"/>
                <w14:textFill>
                  <w14:solidFill>
                    <w14:schemeClr w14:val="tx1"/>
                  </w14:solidFill>
                </w14:textFill>
              </w:rPr>
              <w:t>供货及服务</w:t>
            </w:r>
            <w:r>
              <w:rPr>
                <w:rFonts w:hint="eastAsia" w:ascii="宋体" w:hAnsi="宋体" w:eastAsia="宋体" w:cs="宋体"/>
                <w:color w:val="000000" w:themeColor="text1"/>
                <w:sz w:val="24"/>
                <w:szCs w:val="24"/>
                <w:highlight w:val="none"/>
                <w:lang w:val="zh-CN" w:eastAsia="zh-CN"/>
                <w14:textFill>
                  <w14:solidFill>
                    <w14:schemeClr w14:val="tx1"/>
                  </w14:solidFill>
                </w14:textFill>
              </w:rPr>
              <w:t>能力。</w:t>
            </w:r>
          </w:p>
        </w:tc>
      </w:tr>
      <w:tr w14:paraId="7DC91E13">
        <w:tblPrEx>
          <w:tblCellMar>
            <w:top w:w="0" w:type="dxa"/>
            <w:left w:w="57" w:type="dxa"/>
            <w:bottom w:w="0" w:type="dxa"/>
            <w:right w:w="57" w:type="dxa"/>
          </w:tblCellMar>
        </w:tblPrEx>
        <w:trPr>
          <w:trHeight w:val="1003"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6ADEDD3A">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zh-CN" w:eastAsia="zh-CN"/>
                <w14:textFill>
                  <w14:solidFill>
                    <w14:schemeClr w14:val="tx1"/>
                  </w14:solidFill>
                </w14:textFill>
              </w:rPr>
              <w:t>获取磋商采购文件的时间期限</w:t>
            </w:r>
          </w:p>
        </w:tc>
        <w:tc>
          <w:tcPr>
            <w:tcW w:w="6806" w:type="dxa"/>
            <w:tcBorders>
              <w:top w:val="single" w:color="000000" w:sz="4" w:space="0"/>
              <w:left w:val="nil"/>
              <w:bottom w:val="single" w:color="000000" w:sz="4" w:space="0"/>
              <w:right w:val="single" w:color="000000" w:sz="4" w:space="0"/>
            </w:tcBorders>
            <w:noWrap w:val="0"/>
            <w:vAlign w:val="center"/>
          </w:tcPr>
          <w:p w14:paraId="7299A956">
            <w:pPr>
              <w:spacing w:line="360" w:lineRule="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eastAsia="宋体" w:cs="宋体"/>
                <w:color w:val="000000" w:themeColor="text1"/>
                <w:sz w:val="24"/>
                <w:szCs w:val="24"/>
                <w:highlight w:val="none"/>
                <w:lang w:val="en-US" w:eastAsia="zh-CN"/>
                <w14:textFill>
                  <w14:solidFill>
                    <w14:schemeClr w14:val="tx1"/>
                  </w14:solidFill>
                </w14:textFill>
              </w:rPr>
              <w:t>2026年07月28</w:t>
            </w:r>
            <w:r>
              <w:rPr>
                <w:rFonts w:hint="eastAsia" w:ascii="宋体" w:hAnsi="宋体" w:eastAsia="宋体" w:cs="宋体"/>
                <w:color w:val="000000" w:themeColor="text1"/>
                <w:sz w:val="24"/>
                <w:szCs w:val="24"/>
                <w:highlight w:val="none"/>
                <w:lang w:val="en-US" w:eastAsia="zh-CN"/>
                <w14:textFill>
                  <w14:solidFill>
                    <w14:schemeClr w14:val="tx1"/>
                  </w14:solidFill>
                </w14:textFill>
              </w:rPr>
              <w:t>日至</w:t>
            </w:r>
            <w:r>
              <w:rPr>
                <w:rFonts w:hint="eastAsia" w:eastAsia="宋体" w:cs="宋体"/>
                <w:color w:val="000000" w:themeColor="text1"/>
                <w:sz w:val="24"/>
                <w:szCs w:val="24"/>
                <w:highlight w:val="none"/>
                <w:lang w:val="en-US" w:eastAsia="zh-CN"/>
                <w14:textFill>
                  <w14:solidFill>
                    <w14:schemeClr w14:val="tx1"/>
                  </w14:solidFill>
                </w14:textFill>
              </w:rPr>
              <w:t>2026年08月03</w:t>
            </w:r>
            <w:r>
              <w:rPr>
                <w:rFonts w:hint="eastAsia" w:ascii="宋体" w:hAnsi="宋体" w:eastAsia="宋体" w:cs="宋体"/>
                <w:color w:val="000000" w:themeColor="text1"/>
                <w:sz w:val="24"/>
                <w:szCs w:val="24"/>
                <w:highlight w:val="none"/>
                <w:lang w:val="en-US" w:eastAsia="zh-CN"/>
                <w14:textFill>
                  <w14:solidFill>
                    <w14:schemeClr w14:val="tx1"/>
                  </w14:solidFill>
                </w14:textFill>
              </w:rPr>
              <w:t>日，每天上午9:00-11:30,下午13:30-17:30（午休、节假日除外）</w:t>
            </w:r>
            <w:r>
              <w:rPr>
                <w:rFonts w:hint="eastAsia" w:eastAsia="宋体" w:cs="宋体"/>
                <w:color w:val="000000" w:themeColor="text1"/>
                <w:sz w:val="24"/>
                <w:szCs w:val="24"/>
                <w:highlight w:val="none"/>
                <w:lang w:val="en-US" w:eastAsia="zh-CN"/>
                <w14:textFill>
                  <w14:solidFill>
                    <w14:schemeClr w14:val="tx1"/>
                  </w14:solidFill>
                </w14:textFill>
              </w:rPr>
              <w:t>。</w:t>
            </w:r>
          </w:p>
        </w:tc>
      </w:tr>
      <w:tr w14:paraId="5F1C4431">
        <w:tblPrEx>
          <w:tblCellMar>
            <w:top w:w="0" w:type="dxa"/>
            <w:left w:w="57" w:type="dxa"/>
            <w:bottom w:w="0" w:type="dxa"/>
            <w:right w:w="57" w:type="dxa"/>
          </w:tblCellMar>
        </w:tblPrEx>
        <w:trPr>
          <w:trHeight w:val="656"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755CA2A4">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获取磋商采购文件方式</w:t>
            </w:r>
          </w:p>
        </w:tc>
        <w:tc>
          <w:tcPr>
            <w:tcW w:w="6806" w:type="dxa"/>
            <w:tcBorders>
              <w:top w:val="single" w:color="000000" w:sz="4" w:space="0"/>
              <w:left w:val="nil"/>
              <w:bottom w:val="single" w:color="000000" w:sz="4" w:space="0"/>
              <w:right w:val="single" w:color="000000" w:sz="4" w:space="0"/>
            </w:tcBorders>
            <w:noWrap w:val="0"/>
            <w:vAlign w:val="center"/>
          </w:tcPr>
          <w:p w14:paraId="1F4F5729">
            <w:pPr>
              <w:spacing w:line="360" w:lineRule="auto"/>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线上</w:t>
            </w:r>
            <w:r>
              <w:rPr>
                <w:rFonts w:hint="eastAsia" w:ascii="宋体" w:hAnsi="宋体" w:eastAsia="宋体" w:cs="宋体"/>
                <w:color w:val="auto"/>
                <w:sz w:val="24"/>
                <w:szCs w:val="24"/>
                <w:highlight w:val="none"/>
                <w:lang w:val="zh-CN" w:eastAsia="zh-CN"/>
              </w:rPr>
              <w:t>购买</w:t>
            </w:r>
          </w:p>
        </w:tc>
      </w:tr>
      <w:tr w14:paraId="01BD4196">
        <w:tblPrEx>
          <w:tblCellMar>
            <w:top w:w="0" w:type="dxa"/>
            <w:left w:w="57" w:type="dxa"/>
            <w:bottom w:w="0" w:type="dxa"/>
            <w:right w:w="57" w:type="dxa"/>
          </w:tblCellMar>
        </w:tblPrEx>
        <w:trPr>
          <w:trHeight w:val="523"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57C4011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采购文件售价</w:t>
            </w:r>
          </w:p>
        </w:tc>
        <w:tc>
          <w:tcPr>
            <w:tcW w:w="6806" w:type="dxa"/>
            <w:tcBorders>
              <w:top w:val="single" w:color="000000" w:sz="4" w:space="0"/>
              <w:left w:val="nil"/>
              <w:bottom w:val="single" w:color="000000" w:sz="4" w:space="0"/>
              <w:right w:val="single" w:color="000000" w:sz="4" w:space="0"/>
            </w:tcBorders>
            <w:noWrap w:val="0"/>
            <w:vAlign w:val="center"/>
          </w:tcPr>
          <w:p w14:paraId="0AEF785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500</w:t>
            </w:r>
            <w:r>
              <w:rPr>
                <w:rFonts w:hint="eastAsia" w:ascii="宋体" w:hAnsi="宋体" w:eastAsia="宋体" w:cs="宋体"/>
                <w:color w:val="auto"/>
                <w:sz w:val="24"/>
                <w:szCs w:val="24"/>
                <w:highlight w:val="none"/>
                <w:lang w:val="zh-CN" w:eastAsia="zh-CN"/>
              </w:rPr>
              <w:t>元/包（磋商采购文件售后不退</w:t>
            </w:r>
            <w:r>
              <w:rPr>
                <w:rFonts w:hint="eastAsia" w:eastAsia="宋体" w:cs="宋体"/>
                <w:color w:val="auto"/>
                <w:sz w:val="24"/>
                <w:szCs w:val="24"/>
                <w:highlight w:val="none"/>
                <w:lang w:val="zh-CN" w:eastAsia="zh-CN"/>
              </w:rPr>
              <w:t>，</w:t>
            </w:r>
            <w:r>
              <w:rPr>
                <w:rFonts w:hint="eastAsia" w:eastAsia="宋体" w:cs="宋体"/>
                <w:color w:val="auto"/>
                <w:sz w:val="24"/>
                <w:szCs w:val="24"/>
                <w:highlight w:val="none"/>
                <w:lang w:val="en-US" w:eastAsia="zh-CN"/>
              </w:rPr>
              <w:t>磋商</w:t>
            </w:r>
            <w:r>
              <w:rPr>
                <w:rFonts w:hint="eastAsia" w:ascii="宋体" w:hAnsi="宋体" w:eastAsia="宋体" w:cs="宋体"/>
                <w:color w:val="auto"/>
                <w:sz w:val="24"/>
                <w:szCs w:val="24"/>
                <w:highlight w:val="none"/>
                <w:lang w:val="zh-CN" w:eastAsia="zh-CN"/>
              </w:rPr>
              <w:t>资格不能转让</w:t>
            </w:r>
            <w:r>
              <w:rPr>
                <w:rFonts w:hint="eastAsia"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zh-CN" w:eastAsia="zh-CN"/>
              </w:rPr>
              <w:t>）</w:t>
            </w:r>
          </w:p>
        </w:tc>
      </w:tr>
      <w:tr w14:paraId="1EFE9B6B">
        <w:tblPrEx>
          <w:tblCellMar>
            <w:top w:w="0" w:type="dxa"/>
            <w:left w:w="57" w:type="dxa"/>
            <w:bottom w:w="0" w:type="dxa"/>
            <w:right w:w="57" w:type="dxa"/>
          </w:tblCellMar>
        </w:tblPrEx>
        <w:trPr>
          <w:trHeight w:val="90"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39910B3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获取磋商文件时应提供材料</w:t>
            </w:r>
          </w:p>
        </w:tc>
        <w:tc>
          <w:tcPr>
            <w:tcW w:w="6806" w:type="dxa"/>
            <w:tcBorders>
              <w:top w:val="single" w:color="000000" w:sz="4" w:space="0"/>
              <w:left w:val="nil"/>
              <w:bottom w:val="single" w:color="000000" w:sz="4" w:space="0"/>
              <w:right w:val="single" w:color="000000" w:sz="4" w:space="0"/>
            </w:tcBorders>
            <w:noWrap w:val="0"/>
            <w:vAlign w:val="center"/>
          </w:tcPr>
          <w:p w14:paraId="7451F4C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1、供应商的营业执照（副本）复印件。</w:t>
            </w:r>
          </w:p>
          <w:p w14:paraId="387E111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2、法人授权委托书（原件）。</w:t>
            </w:r>
          </w:p>
          <w:p w14:paraId="56EC199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3、法人身份证复印件、被授权人身份证复印件。</w:t>
            </w:r>
          </w:p>
          <w:p w14:paraId="3CD62D0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4、开户许可证复印件。</w:t>
            </w:r>
          </w:p>
          <w:p w14:paraId="597B3054">
            <w:pPr>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注：以上资料除原件外均需加盖公章（采购代理机构对以上资料留存备案）</w:t>
            </w:r>
            <w:r>
              <w:rPr>
                <w:rFonts w:hint="eastAsia" w:ascii="宋体" w:hAnsi="宋体" w:eastAsia="宋体" w:cs="宋体"/>
                <w:color w:val="auto"/>
                <w:sz w:val="24"/>
                <w:szCs w:val="24"/>
                <w:highlight w:val="none"/>
                <w:lang w:eastAsia="zh-CN"/>
              </w:rPr>
              <w:t>；</w:t>
            </w:r>
          </w:p>
        </w:tc>
      </w:tr>
      <w:tr w14:paraId="37D72136">
        <w:tblPrEx>
          <w:tblCellMar>
            <w:top w:w="0" w:type="dxa"/>
            <w:left w:w="57" w:type="dxa"/>
            <w:bottom w:w="0" w:type="dxa"/>
            <w:right w:w="57" w:type="dxa"/>
          </w:tblCellMar>
        </w:tblPrEx>
        <w:trPr>
          <w:trHeight w:val="90"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0530A83F">
            <w:pPr>
              <w:pageBreakBefore w:val="0"/>
              <w:kinsoku/>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标书购买联系人及电话</w:t>
            </w:r>
          </w:p>
        </w:tc>
        <w:tc>
          <w:tcPr>
            <w:tcW w:w="6806" w:type="dxa"/>
            <w:tcBorders>
              <w:top w:val="single" w:color="000000" w:sz="4" w:space="0"/>
              <w:left w:val="nil"/>
              <w:bottom w:val="single" w:color="000000" w:sz="4" w:space="0"/>
              <w:right w:val="single" w:color="000000" w:sz="4" w:space="0"/>
            </w:tcBorders>
            <w:noWrap w:val="0"/>
            <w:vAlign w:val="center"/>
          </w:tcPr>
          <w:p w14:paraId="07FA818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余女士</w:t>
            </w:r>
          </w:p>
          <w:p w14:paraId="085909F7">
            <w:pPr>
              <w:spacing w:line="360" w:lineRule="auto"/>
              <w:rPr>
                <w:rFonts w:hint="eastAsia"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联系电话：</w:t>
            </w:r>
            <w:r>
              <w:rPr>
                <w:rFonts w:hint="eastAsia" w:eastAsia="宋体" w:cs="宋体"/>
                <w:color w:val="auto"/>
                <w:sz w:val="24"/>
                <w:szCs w:val="24"/>
                <w:highlight w:val="none"/>
                <w:lang w:val="en-US" w:eastAsia="zh-CN"/>
              </w:rPr>
              <w:t>0971-5218441</w:t>
            </w:r>
          </w:p>
          <w:p w14:paraId="597E327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邮箱账号：qhzhongxu@163.com</w:t>
            </w:r>
          </w:p>
          <w:p w14:paraId="0CE09AF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联系地址：</w:t>
            </w:r>
            <w:r>
              <w:rPr>
                <w:rFonts w:hint="eastAsia" w:eastAsia="宋体" w:cs="宋体"/>
                <w:color w:val="auto"/>
                <w:sz w:val="24"/>
                <w:szCs w:val="24"/>
                <w:highlight w:val="none"/>
                <w:lang w:val="zh-CN"/>
              </w:rPr>
              <w:t>青海省西宁市五四西路64号红星美凯龙世博广场6楼东北角F8069号</w:t>
            </w:r>
            <w:r>
              <w:rPr>
                <w:rFonts w:hint="eastAsia" w:ascii="宋体" w:hAnsi="宋体" w:eastAsia="宋体" w:cs="宋体"/>
                <w:color w:val="auto"/>
                <w:sz w:val="24"/>
                <w:szCs w:val="24"/>
                <w:highlight w:val="none"/>
                <w:lang w:val="zh-CN"/>
              </w:rPr>
              <w:t>（青海中旭工程项目管理有限公司）</w:t>
            </w:r>
          </w:p>
        </w:tc>
      </w:tr>
      <w:tr w14:paraId="646998FE">
        <w:tblPrEx>
          <w:tblCellMar>
            <w:top w:w="0" w:type="dxa"/>
            <w:left w:w="57" w:type="dxa"/>
            <w:bottom w:w="0" w:type="dxa"/>
            <w:right w:w="57" w:type="dxa"/>
          </w:tblCellMar>
        </w:tblPrEx>
        <w:trPr>
          <w:trHeight w:val="90"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327C95B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提交响应文件截止时间</w:t>
            </w:r>
          </w:p>
        </w:tc>
        <w:tc>
          <w:tcPr>
            <w:tcW w:w="6806" w:type="dxa"/>
            <w:tcBorders>
              <w:top w:val="single" w:color="000000" w:sz="4" w:space="0"/>
              <w:left w:val="nil"/>
              <w:bottom w:val="single" w:color="000000" w:sz="4" w:space="0"/>
              <w:right w:val="single" w:color="000000" w:sz="4" w:space="0"/>
            </w:tcBorders>
            <w:noWrap w:val="0"/>
            <w:vAlign w:val="center"/>
          </w:tcPr>
          <w:p w14:paraId="2A477BE6">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eastAsia="宋体" w:cs="宋体"/>
                <w:color w:val="000000" w:themeColor="text1"/>
                <w:sz w:val="24"/>
                <w:szCs w:val="24"/>
                <w:highlight w:val="none"/>
                <w:lang w:eastAsia="zh-CN"/>
                <w14:textFill>
                  <w14:solidFill>
                    <w14:schemeClr w14:val="tx1"/>
                  </w14:solidFill>
                </w14:textFill>
              </w:rPr>
              <w:t>202</w:t>
            </w:r>
            <w:r>
              <w:rPr>
                <w:rFonts w:hint="eastAsia" w:eastAsia="宋体" w:cs="宋体"/>
                <w:color w:val="000000" w:themeColor="text1"/>
                <w:sz w:val="24"/>
                <w:szCs w:val="24"/>
                <w:highlight w:val="none"/>
                <w:lang w:val="en-US" w:eastAsia="zh-CN"/>
                <w14:textFill>
                  <w14:solidFill>
                    <w14:schemeClr w14:val="tx1"/>
                  </w14:solidFill>
                </w14:textFill>
              </w:rPr>
              <w:t>6</w:t>
            </w:r>
            <w:r>
              <w:rPr>
                <w:rFonts w:hint="eastAsia" w:eastAsia="宋体" w:cs="宋体"/>
                <w:color w:val="000000" w:themeColor="text1"/>
                <w:sz w:val="24"/>
                <w:szCs w:val="24"/>
                <w:highlight w:val="none"/>
                <w:lang w:eastAsia="zh-CN"/>
                <w14:textFill>
                  <w14:solidFill>
                    <w14:schemeClr w14:val="tx1"/>
                  </w14:solidFill>
                </w14:textFill>
              </w:rPr>
              <w:t>年</w:t>
            </w:r>
            <w:r>
              <w:rPr>
                <w:rFonts w:hint="eastAsia" w:eastAsia="宋体" w:cs="宋体"/>
                <w:color w:val="000000" w:themeColor="text1"/>
                <w:sz w:val="24"/>
                <w:szCs w:val="24"/>
                <w:highlight w:val="none"/>
                <w:lang w:val="en-US" w:eastAsia="zh-CN"/>
                <w14:textFill>
                  <w14:solidFill>
                    <w14:schemeClr w14:val="tx1"/>
                  </w14:solidFill>
                </w14:textFill>
              </w:rPr>
              <w:t>08</w:t>
            </w:r>
            <w:r>
              <w:rPr>
                <w:rFonts w:hint="eastAsia" w:eastAsia="宋体" w:cs="宋体"/>
                <w:color w:val="000000" w:themeColor="text1"/>
                <w:sz w:val="24"/>
                <w:szCs w:val="24"/>
                <w:highlight w:val="none"/>
                <w:lang w:eastAsia="zh-CN"/>
                <w14:textFill>
                  <w14:solidFill>
                    <w14:schemeClr w14:val="tx1"/>
                  </w14:solidFill>
                </w14:textFill>
              </w:rPr>
              <w:t>月</w:t>
            </w:r>
            <w:r>
              <w:rPr>
                <w:rFonts w:hint="eastAsia" w:eastAsia="宋体" w:cs="宋体"/>
                <w:color w:val="000000" w:themeColor="text1"/>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sz w:val="24"/>
                <w:szCs w:val="24"/>
                <w:highlight w:val="none"/>
                <w:lang w:eastAsia="zh-CN"/>
                <w14:textFill>
                  <w14:solidFill>
                    <w14:schemeClr w14:val="tx1"/>
                  </w14:solidFill>
                </w14:textFill>
              </w:rPr>
              <w:t>日</w:t>
            </w:r>
            <w:r>
              <w:rPr>
                <w:rFonts w:hint="eastAsia" w:eastAsia="宋体" w:cs="宋体"/>
                <w:color w:val="000000" w:themeColor="text1"/>
                <w:sz w:val="24"/>
                <w:szCs w:val="24"/>
                <w:highlight w:val="none"/>
                <w:lang w:val="en-US" w:eastAsia="zh-CN"/>
                <w14:textFill>
                  <w14:solidFill>
                    <w14:schemeClr w14:val="tx1"/>
                  </w14:solidFill>
                </w14:textFill>
              </w:rPr>
              <w:t>上</w:t>
            </w:r>
            <w:r>
              <w:rPr>
                <w:rFonts w:hint="eastAsia" w:ascii="宋体" w:hAnsi="宋体" w:eastAsia="宋体" w:cs="宋体"/>
                <w:color w:val="000000" w:themeColor="text1"/>
                <w:sz w:val="24"/>
                <w:szCs w:val="24"/>
                <w:highlight w:val="none"/>
                <w14:textFill>
                  <w14:solidFill>
                    <w14:schemeClr w14:val="tx1"/>
                  </w14:solidFill>
                </w14:textFill>
              </w:rPr>
              <w:t>午</w:t>
            </w:r>
            <w:r>
              <w:rPr>
                <w:rFonts w:hint="eastAsia" w:eastAsia="宋体" w:cs="宋体"/>
                <w:color w:val="000000" w:themeColor="text1"/>
                <w:sz w:val="24"/>
                <w:szCs w:val="24"/>
                <w:highlight w:val="none"/>
                <w:lang w:val="en-US" w:eastAsia="zh-CN"/>
                <w14:textFill>
                  <w14:solidFill>
                    <w14:schemeClr w14:val="tx1"/>
                  </w14:solidFill>
                </w14:textFill>
              </w:rPr>
              <w:t>09</w:t>
            </w:r>
            <w:r>
              <w:rPr>
                <w:rFonts w:hint="eastAsia" w:ascii="宋体" w:hAnsi="宋体" w:eastAsia="宋体" w:cs="宋体"/>
                <w:color w:val="000000" w:themeColor="text1"/>
                <w:sz w:val="24"/>
                <w:szCs w:val="24"/>
                <w:highlight w:val="none"/>
                <w14:textFill>
                  <w14:solidFill>
                    <w14:schemeClr w14:val="tx1"/>
                  </w14:solidFill>
                </w14:textFill>
              </w:rPr>
              <w:t>时30分（北京时间）</w:t>
            </w:r>
          </w:p>
        </w:tc>
      </w:tr>
      <w:tr w14:paraId="7BE96334">
        <w:tblPrEx>
          <w:tblCellMar>
            <w:top w:w="0" w:type="dxa"/>
            <w:left w:w="57" w:type="dxa"/>
            <w:bottom w:w="0" w:type="dxa"/>
            <w:right w:w="57" w:type="dxa"/>
          </w:tblCellMar>
        </w:tblPrEx>
        <w:trPr>
          <w:trHeight w:val="116"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26CE72E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响应文件开启时间</w:t>
            </w:r>
          </w:p>
        </w:tc>
        <w:tc>
          <w:tcPr>
            <w:tcW w:w="6806" w:type="dxa"/>
            <w:tcBorders>
              <w:top w:val="single" w:color="000000" w:sz="4" w:space="0"/>
              <w:left w:val="nil"/>
              <w:bottom w:val="single" w:color="000000" w:sz="4" w:space="0"/>
              <w:right w:val="single" w:color="000000" w:sz="4" w:space="0"/>
            </w:tcBorders>
            <w:noWrap w:val="0"/>
            <w:vAlign w:val="center"/>
          </w:tcPr>
          <w:p w14:paraId="4CC5A5FB">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eastAsia="宋体" w:cs="宋体"/>
                <w:color w:val="000000" w:themeColor="text1"/>
                <w:sz w:val="24"/>
                <w:szCs w:val="24"/>
                <w:highlight w:val="none"/>
                <w:lang w:eastAsia="zh-CN"/>
                <w14:textFill>
                  <w14:solidFill>
                    <w14:schemeClr w14:val="tx1"/>
                  </w14:solidFill>
                </w14:textFill>
              </w:rPr>
              <w:t>202</w:t>
            </w:r>
            <w:r>
              <w:rPr>
                <w:rFonts w:hint="eastAsia" w:eastAsia="宋体" w:cs="宋体"/>
                <w:color w:val="000000" w:themeColor="text1"/>
                <w:sz w:val="24"/>
                <w:szCs w:val="24"/>
                <w:highlight w:val="none"/>
                <w:lang w:val="en-US" w:eastAsia="zh-CN"/>
                <w14:textFill>
                  <w14:solidFill>
                    <w14:schemeClr w14:val="tx1"/>
                  </w14:solidFill>
                </w14:textFill>
              </w:rPr>
              <w:t>6</w:t>
            </w:r>
            <w:r>
              <w:rPr>
                <w:rFonts w:hint="eastAsia" w:eastAsia="宋体" w:cs="宋体"/>
                <w:color w:val="000000" w:themeColor="text1"/>
                <w:sz w:val="24"/>
                <w:szCs w:val="24"/>
                <w:highlight w:val="none"/>
                <w:lang w:eastAsia="zh-CN"/>
                <w14:textFill>
                  <w14:solidFill>
                    <w14:schemeClr w14:val="tx1"/>
                  </w14:solidFill>
                </w14:textFill>
              </w:rPr>
              <w:t>年</w:t>
            </w:r>
            <w:r>
              <w:rPr>
                <w:rFonts w:hint="eastAsia" w:eastAsia="宋体" w:cs="宋体"/>
                <w:color w:val="000000" w:themeColor="text1"/>
                <w:sz w:val="24"/>
                <w:szCs w:val="24"/>
                <w:highlight w:val="none"/>
                <w:lang w:val="en-US" w:eastAsia="zh-CN"/>
                <w14:textFill>
                  <w14:solidFill>
                    <w14:schemeClr w14:val="tx1"/>
                  </w14:solidFill>
                </w14:textFill>
              </w:rPr>
              <w:t>08</w:t>
            </w:r>
            <w:r>
              <w:rPr>
                <w:rFonts w:hint="eastAsia" w:eastAsia="宋体" w:cs="宋体"/>
                <w:color w:val="000000" w:themeColor="text1"/>
                <w:sz w:val="24"/>
                <w:szCs w:val="24"/>
                <w:highlight w:val="none"/>
                <w:lang w:eastAsia="zh-CN"/>
                <w14:textFill>
                  <w14:solidFill>
                    <w14:schemeClr w14:val="tx1"/>
                  </w14:solidFill>
                </w14:textFill>
              </w:rPr>
              <w:t>月</w:t>
            </w:r>
            <w:r>
              <w:rPr>
                <w:rFonts w:hint="eastAsia" w:eastAsia="宋体" w:cs="宋体"/>
                <w:color w:val="000000" w:themeColor="text1"/>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sz w:val="24"/>
                <w:szCs w:val="24"/>
                <w:highlight w:val="none"/>
                <w:lang w:eastAsia="zh-CN"/>
                <w14:textFill>
                  <w14:solidFill>
                    <w14:schemeClr w14:val="tx1"/>
                  </w14:solidFill>
                </w14:textFill>
              </w:rPr>
              <w:t>日</w:t>
            </w:r>
            <w:r>
              <w:rPr>
                <w:rFonts w:hint="eastAsia" w:eastAsia="宋体" w:cs="宋体"/>
                <w:color w:val="000000" w:themeColor="text1"/>
                <w:sz w:val="24"/>
                <w:szCs w:val="24"/>
                <w:highlight w:val="none"/>
                <w:lang w:val="en-US" w:eastAsia="zh-CN"/>
                <w14:textFill>
                  <w14:solidFill>
                    <w14:schemeClr w14:val="tx1"/>
                  </w14:solidFill>
                </w14:textFill>
              </w:rPr>
              <w:t>上</w:t>
            </w:r>
            <w:r>
              <w:rPr>
                <w:rFonts w:hint="eastAsia" w:ascii="宋体" w:hAnsi="宋体" w:eastAsia="宋体" w:cs="宋体"/>
                <w:color w:val="000000" w:themeColor="text1"/>
                <w:sz w:val="24"/>
                <w:szCs w:val="24"/>
                <w:highlight w:val="none"/>
                <w14:textFill>
                  <w14:solidFill>
                    <w14:schemeClr w14:val="tx1"/>
                  </w14:solidFill>
                </w14:textFill>
              </w:rPr>
              <w:t>午</w:t>
            </w:r>
            <w:r>
              <w:rPr>
                <w:rFonts w:hint="eastAsia" w:eastAsia="宋体" w:cs="宋体"/>
                <w:color w:val="000000" w:themeColor="text1"/>
                <w:sz w:val="24"/>
                <w:szCs w:val="24"/>
                <w:highlight w:val="none"/>
                <w:lang w:val="en-US" w:eastAsia="zh-CN"/>
                <w14:textFill>
                  <w14:solidFill>
                    <w14:schemeClr w14:val="tx1"/>
                  </w14:solidFill>
                </w14:textFill>
              </w:rPr>
              <w:t>09</w:t>
            </w:r>
            <w:r>
              <w:rPr>
                <w:rFonts w:hint="eastAsia" w:ascii="宋体" w:hAnsi="宋体" w:eastAsia="宋体" w:cs="宋体"/>
                <w:color w:val="000000" w:themeColor="text1"/>
                <w:sz w:val="24"/>
                <w:szCs w:val="24"/>
                <w:highlight w:val="none"/>
                <w14:textFill>
                  <w14:solidFill>
                    <w14:schemeClr w14:val="tx1"/>
                  </w14:solidFill>
                </w14:textFill>
              </w:rPr>
              <w:t>时30分（北京时间）</w:t>
            </w:r>
          </w:p>
        </w:tc>
      </w:tr>
      <w:tr w14:paraId="2CDE933F">
        <w:tblPrEx>
          <w:tblCellMar>
            <w:top w:w="0" w:type="dxa"/>
            <w:left w:w="57" w:type="dxa"/>
            <w:bottom w:w="0" w:type="dxa"/>
            <w:right w:w="57" w:type="dxa"/>
          </w:tblCellMar>
        </w:tblPrEx>
        <w:trPr>
          <w:trHeight w:val="229"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3C25FBC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提交响应文件地点</w:t>
            </w:r>
          </w:p>
        </w:tc>
        <w:tc>
          <w:tcPr>
            <w:tcW w:w="6806" w:type="dxa"/>
            <w:tcBorders>
              <w:top w:val="single" w:color="000000" w:sz="4" w:space="0"/>
              <w:left w:val="nil"/>
              <w:bottom w:val="single" w:color="000000" w:sz="4" w:space="0"/>
              <w:right w:val="single" w:color="000000" w:sz="4" w:space="0"/>
            </w:tcBorders>
            <w:noWrap w:val="0"/>
            <w:vAlign w:val="center"/>
          </w:tcPr>
          <w:p w14:paraId="56453E12">
            <w:p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eastAsia="宋体" w:cs="宋体"/>
                <w:color w:val="000000" w:themeColor="text1"/>
                <w:sz w:val="24"/>
                <w:szCs w:val="24"/>
                <w:highlight w:val="none"/>
                <w:lang w:eastAsia="zh-CN"/>
                <w14:textFill>
                  <w14:solidFill>
                    <w14:schemeClr w14:val="tx1"/>
                  </w14:solidFill>
                </w14:textFill>
              </w:rPr>
              <w:t>青海省西宁市五四西路64号红星美凯龙世博广场6楼东北角F8069号</w:t>
            </w:r>
            <w:r>
              <w:rPr>
                <w:rFonts w:hint="eastAsia" w:ascii="宋体" w:hAnsi="宋体" w:eastAsia="宋体" w:cs="宋体"/>
                <w:color w:val="000000" w:themeColor="text1"/>
                <w:sz w:val="24"/>
                <w:szCs w:val="24"/>
                <w:highlight w:val="none"/>
                <w14:textFill>
                  <w14:solidFill>
                    <w14:schemeClr w14:val="tx1"/>
                  </w14:solidFill>
                </w14:textFill>
              </w:rPr>
              <w:t>（青海中旭工程项目管理有限公司）</w:t>
            </w:r>
          </w:p>
        </w:tc>
      </w:tr>
      <w:tr w14:paraId="5A5A5400">
        <w:tblPrEx>
          <w:tblCellMar>
            <w:top w:w="0" w:type="dxa"/>
            <w:left w:w="57" w:type="dxa"/>
            <w:bottom w:w="0" w:type="dxa"/>
            <w:right w:w="57" w:type="dxa"/>
          </w:tblCellMar>
        </w:tblPrEx>
        <w:trPr>
          <w:trHeight w:val="410"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43F7254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采购人及联系人电话</w:t>
            </w:r>
          </w:p>
        </w:tc>
        <w:tc>
          <w:tcPr>
            <w:tcW w:w="6806" w:type="dxa"/>
            <w:tcBorders>
              <w:top w:val="single" w:color="000000" w:sz="4" w:space="0"/>
              <w:left w:val="nil"/>
              <w:bottom w:val="single" w:color="000000" w:sz="4" w:space="0"/>
              <w:right w:val="single" w:color="000000" w:sz="4" w:space="0"/>
            </w:tcBorders>
            <w:noWrap w:val="0"/>
            <w:vAlign w:val="center"/>
          </w:tcPr>
          <w:p w14:paraId="3DCEB608">
            <w:pPr>
              <w:autoSpaceDE w:val="0"/>
              <w:autoSpaceDN w:val="0"/>
              <w:adjustRightInd w:val="0"/>
              <w:spacing w:line="360" w:lineRule="auto"/>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w:t>
            </w:r>
            <w:r>
              <w:rPr>
                <w:rFonts w:hint="eastAsia" w:eastAsia="宋体" w:cs="宋体"/>
                <w:color w:val="auto"/>
                <w:sz w:val="24"/>
                <w:highlight w:val="none"/>
                <w:lang w:val="en-US" w:eastAsia="zh-CN"/>
              </w:rPr>
              <w:t>青海民族大学</w:t>
            </w:r>
          </w:p>
          <w:p w14:paraId="1AB46ACC">
            <w:pPr>
              <w:autoSpaceDE w:val="0"/>
              <w:autoSpaceDN w:val="0"/>
              <w:adjustRightInd w:val="0"/>
              <w:spacing w:line="360" w:lineRule="auto"/>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zh-CN" w:eastAsia="zh-CN"/>
              </w:rPr>
              <w:t>联系人：</w:t>
            </w:r>
            <w:r>
              <w:rPr>
                <w:rFonts w:hint="eastAsia" w:eastAsia="宋体" w:cs="宋体"/>
                <w:color w:val="auto"/>
                <w:sz w:val="24"/>
                <w:szCs w:val="24"/>
                <w:highlight w:val="none"/>
                <w:lang w:val="en-US" w:eastAsia="zh-CN"/>
              </w:rPr>
              <w:t>李先生</w:t>
            </w:r>
            <w:r>
              <w:rPr>
                <w:rFonts w:hint="eastAsia" w:ascii="宋体" w:hAnsi="宋体" w:eastAsia="宋体" w:cs="宋体"/>
                <w:color w:val="auto"/>
                <w:sz w:val="24"/>
                <w:szCs w:val="24"/>
                <w:highlight w:val="none"/>
                <w:lang w:val="en-US" w:eastAsia="zh-CN"/>
              </w:rPr>
              <w:t xml:space="preserve"> </w:t>
            </w:r>
          </w:p>
          <w:p w14:paraId="66936421">
            <w:pPr>
              <w:autoSpaceDE w:val="0"/>
              <w:autoSpaceDN w:val="0"/>
              <w:adjustRightInd w:val="0"/>
              <w:spacing w:line="360" w:lineRule="auto"/>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zh-CN" w:eastAsia="zh-CN"/>
              </w:rPr>
              <w:t>联系电话：</w:t>
            </w:r>
            <w:r>
              <w:rPr>
                <w:rFonts w:hint="eastAsia" w:ascii="宋体" w:hAnsi="宋体" w:eastAsia="宋体" w:cs="宋体"/>
                <w:i w:val="0"/>
                <w:iCs w:val="0"/>
                <w:caps w:val="0"/>
                <w:color w:val="000000"/>
                <w:spacing w:val="0"/>
                <w:sz w:val="24"/>
                <w:szCs w:val="24"/>
                <w:highlight w:val="none"/>
                <w:shd w:val="clear" w:color="auto" w:fill="FFFFFF"/>
              </w:rPr>
              <w:t>0971-8802687</w:t>
            </w:r>
          </w:p>
          <w:p w14:paraId="054E78EF">
            <w:pPr>
              <w:autoSpaceDE w:val="0"/>
              <w:autoSpaceDN w:val="0"/>
              <w:adjustRightIn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lang w:val="zh-CN" w:eastAsia="zh-CN"/>
              </w:rPr>
              <w:t>地址：</w:t>
            </w:r>
            <w:r>
              <w:rPr>
                <w:rFonts w:hint="eastAsia" w:ascii="宋体" w:hAnsi="宋体" w:eastAsia="宋体" w:cs="宋体"/>
                <w:i w:val="0"/>
                <w:iCs w:val="0"/>
                <w:caps w:val="0"/>
                <w:color w:val="000000"/>
                <w:spacing w:val="0"/>
                <w:sz w:val="24"/>
                <w:szCs w:val="24"/>
                <w:shd w:val="clear" w:color="auto" w:fill="FFFFFF"/>
              </w:rPr>
              <w:t>西宁市城东区八一中路3号</w:t>
            </w:r>
          </w:p>
        </w:tc>
      </w:tr>
      <w:tr w14:paraId="6DE9E09B">
        <w:tblPrEx>
          <w:tblCellMar>
            <w:top w:w="0" w:type="dxa"/>
            <w:left w:w="57" w:type="dxa"/>
            <w:bottom w:w="0" w:type="dxa"/>
            <w:right w:w="57" w:type="dxa"/>
          </w:tblCellMar>
        </w:tblPrEx>
        <w:trPr>
          <w:trHeight w:val="569"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180DCCA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采购代理机构及联系人电话</w:t>
            </w:r>
          </w:p>
        </w:tc>
        <w:tc>
          <w:tcPr>
            <w:tcW w:w="6806" w:type="dxa"/>
            <w:tcBorders>
              <w:top w:val="single" w:color="000000" w:sz="4" w:space="0"/>
              <w:left w:val="nil"/>
              <w:bottom w:val="single" w:color="000000" w:sz="4" w:space="0"/>
              <w:right w:val="single" w:color="000000" w:sz="4" w:space="0"/>
            </w:tcBorders>
            <w:noWrap w:val="0"/>
            <w:vAlign w:val="center"/>
          </w:tcPr>
          <w:p w14:paraId="412784F3">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采购代理机构：青海中旭工程项目管理有限公司</w:t>
            </w:r>
          </w:p>
          <w:p w14:paraId="0BE51402">
            <w:pPr>
              <w:autoSpaceDE w:val="0"/>
              <w:autoSpaceDN w:val="0"/>
              <w:adjustRightIn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联系人：</w:t>
            </w:r>
            <w:r>
              <w:rPr>
                <w:rFonts w:hint="eastAsia" w:eastAsia="宋体" w:cs="宋体"/>
                <w:color w:val="auto"/>
                <w:sz w:val="24"/>
                <w:szCs w:val="24"/>
                <w:highlight w:val="none"/>
                <w:lang w:val="en-US" w:eastAsia="zh-CN"/>
              </w:rPr>
              <w:t>喇女士</w:t>
            </w:r>
          </w:p>
          <w:p w14:paraId="05574615">
            <w:pPr>
              <w:autoSpaceDE w:val="0"/>
              <w:autoSpaceDN w:val="0"/>
              <w:adjustRightInd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联系电话：</w:t>
            </w:r>
            <w:r>
              <w:rPr>
                <w:rFonts w:hint="eastAsia" w:eastAsia="宋体" w:cs="宋体"/>
                <w:color w:val="auto"/>
                <w:sz w:val="24"/>
                <w:szCs w:val="24"/>
                <w:highlight w:val="none"/>
                <w:lang w:val="en-US" w:eastAsia="zh-CN"/>
              </w:rPr>
              <w:t>0971-5218441</w:t>
            </w:r>
          </w:p>
          <w:p w14:paraId="7E8FD13D">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联系地址：</w:t>
            </w:r>
            <w:r>
              <w:rPr>
                <w:rFonts w:hint="eastAsia" w:eastAsia="宋体" w:cs="宋体"/>
                <w:color w:val="auto"/>
                <w:sz w:val="24"/>
                <w:szCs w:val="24"/>
                <w:highlight w:val="none"/>
                <w:lang w:val="zh-CN"/>
              </w:rPr>
              <w:t>青海省西宁市五四西路64号红星美凯龙世博广场6楼东北角F8069号</w:t>
            </w:r>
          </w:p>
        </w:tc>
      </w:tr>
      <w:tr w14:paraId="15E524DC">
        <w:tblPrEx>
          <w:tblCellMar>
            <w:top w:w="0" w:type="dxa"/>
            <w:left w:w="57" w:type="dxa"/>
            <w:bottom w:w="0" w:type="dxa"/>
            <w:right w:w="57" w:type="dxa"/>
          </w:tblCellMar>
        </w:tblPrEx>
        <w:trPr>
          <w:trHeight w:val="343" w:hRule="atLeast"/>
          <w:jc w:val="center"/>
        </w:trPr>
        <w:tc>
          <w:tcPr>
            <w:tcW w:w="26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46B8C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采购代理机构开户银行</w:t>
            </w:r>
          </w:p>
        </w:tc>
        <w:tc>
          <w:tcPr>
            <w:tcW w:w="6806" w:type="dxa"/>
            <w:tcBorders>
              <w:top w:val="single" w:color="000000" w:sz="4" w:space="0"/>
              <w:left w:val="nil"/>
              <w:bottom w:val="single" w:color="000000" w:sz="4" w:space="0"/>
              <w:right w:val="single" w:color="000000" w:sz="4" w:space="0"/>
            </w:tcBorders>
            <w:shd w:val="clear" w:color="auto" w:fill="FFFFFF"/>
            <w:noWrap w:val="0"/>
            <w:vAlign w:val="center"/>
          </w:tcPr>
          <w:p w14:paraId="01350B04">
            <w:pPr>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兴业银行西宁分行营业部</w:t>
            </w:r>
          </w:p>
        </w:tc>
      </w:tr>
      <w:tr w14:paraId="60276001">
        <w:tblPrEx>
          <w:tblCellMar>
            <w:top w:w="0" w:type="dxa"/>
            <w:left w:w="57" w:type="dxa"/>
            <w:bottom w:w="0" w:type="dxa"/>
            <w:right w:w="57" w:type="dxa"/>
          </w:tblCellMar>
        </w:tblPrEx>
        <w:trPr>
          <w:trHeight w:val="116" w:hRule="atLeast"/>
          <w:jc w:val="center"/>
        </w:trPr>
        <w:tc>
          <w:tcPr>
            <w:tcW w:w="26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4564E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收款人</w:t>
            </w:r>
          </w:p>
        </w:tc>
        <w:tc>
          <w:tcPr>
            <w:tcW w:w="6806" w:type="dxa"/>
            <w:tcBorders>
              <w:top w:val="single" w:color="000000" w:sz="4" w:space="0"/>
              <w:left w:val="nil"/>
              <w:bottom w:val="single" w:color="000000" w:sz="4" w:space="0"/>
              <w:right w:val="single" w:color="000000" w:sz="4" w:space="0"/>
            </w:tcBorders>
            <w:shd w:val="clear" w:color="auto" w:fill="FFFFFF"/>
            <w:noWrap w:val="0"/>
            <w:vAlign w:val="center"/>
          </w:tcPr>
          <w:p w14:paraId="5238645D">
            <w:pPr>
              <w:spacing w:line="360" w:lineRule="auto"/>
              <w:jc w:val="left"/>
              <w:rPr>
                <w:rFonts w:hint="eastAsia" w:ascii="宋体" w:hAnsi="宋体" w:eastAsia="宋体" w:cs="宋体"/>
                <w:b/>
                <w:bCs/>
                <w:color w:val="auto"/>
                <w:sz w:val="24"/>
                <w:szCs w:val="24"/>
                <w:highlight w:val="none"/>
                <w:lang w:val="zh-CN"/>
              </w:rPr>
            </w:pPr>
            <w:r>
              <w:rPr>
                <w:rFonts w:hint="eastAsia" w:ascii="宋体" w:hAnsi="宋体" w:eastAsia="宋体" w:cs="宋体"/>
                <w:color w:val="auto"/>
                <w:sz w:val="24"/>
                <w:szCs w:val="24"/>
                <w:highlight w:val="none"/>
                <w:lang w:val="zh-CN"/>
              </w:rPr>
              <w:t>青海中旭工程项目管理有限公司</w:t>
            </w:r>
          </w:p>
        </w:tc>
      </w:tr>
      <w:tr w14:paraId="1EE071D6">
        <w:tblPrEx>
          <w:tblCellMar>
            <w:top w:w="0" w:type="dxa"/>
            <w:left w:w="57" w:type="dxa"/>
            <w:bottom w:w="0" w:type="dxa"/>
            <w:right w:w="57" w:type="dxa"/>
          </w:tblCellMar>
        </w:tblPrEx>
        <w:trPr>
          <w:trHeight w:val="116" w:hRule="atLeast"/>
          <w:jc w:val="center"/>
        </w:trPr>
        <w:tc>
          <w:tcPr>
            <w:tcW w:w="26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91D0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6806" w:type="dxa"/>
            <w:tcBorders>
              <w:top w:val="single" w:color="000000" w:sz="4" w:space="0"/>
              <w:left w:val="nil"/>
              <w:bottom w:val="single" w:color="000000" w:sz="4" w:space="0"/>
              <w:right w:val="single" w:color="000000" w:sz="4" w:space="0"/>
            </w:tcBorders>
            <w:shd w:val="clear" w:color="auto" w:fill="FFFFFF"/>
            <w:noWrap w:val="0"/>
            <w:vAlign w:val="center"/>
          </w:tcPr>
          <w:p w14:paraId="5FC51636">
            <w:pPr>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632010100100376299（开户行号：309851000028</w:t>
            </w:r>
            <w:r>
              <w:rPr>
                <w:rFonts w:hint="eastAsia" w:ascii="宋体" w:hAnsi="宋体" w:eastAsia="宋体" w:cs="宋体"/>
                <w:color w:val="auto"/>
                <w:sz w:val="24"/>
                <w:szCs w:val="24"/>
                <w:highlight w:val="none"/>
                <w:lang w:val="zh-CN" w:eastAsia="zh-CN"/>
              </w:rPr>
              <w:t>）</w:t>
            </w:r>
          </w:p>
        </w:tc>
      </w:tr>
      <w:tr w14:paraId="19DF10AA">
        <w:tblPrEx>
          <w:tblCellMar>
            <w:top w:w="0" w:type="dxa"/>
            <w:left w:w="57" w:type="dxa"/>
            <w:bottom w:w="0" w:type="dxa"/>
            <w:right w:w="57" w:type="dxa"/>
          </w:tblCellMar>
        </w:tblPrEx>
        <w:trPr>
          <w:trHeight w:val="680" w:hRule="atLeast"/>
          <w:jc w:val="center"/>
        </w:trPr>
        <w:tc>
          <w:tcPr>
            <w:tcW w:w="2653" w:type="dxa"/>
            <w:tcBorders>
              <w:top w:val="single" w:color="000000" w:sz="4" w:space="0"/>
              <w:left w:val="single" w:color="000000" w:sz="4" w:space="0"/>
              <w:bottom w:val="single" w:color="000000" w:sz="4" w:space="0"/>
              <w:right w:val="single" w:color="000000" w:sz="4" w:space="0"/>
            </w:tcBorders>
            <w:noWrap w:val="0"/>
            <w:vAlign w:val="center"/>
          </w:tcPr>
          <w:p w14:paraId="395BDDD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w:t>
            </w:r>
          </w:p>
        </w:tc>
        <w:tc>
          <w:tcPr>
            <w:tcW w:w="6806" w:type="dxa"/>
            <w:tcBorders>
              <w:top w:val="single" w:color="000000" w:sz="4" w:space="0"/>
              <w:left w:val="nil"/>
              <w:bottom w:val="single" w:color="000000" w:sz="4" w:space="0"/>
              <w:right w:val="single" w:color="000000" w:sz="4" w:space="0"/>
            </w:tcBorders>
            <w:noWrap w:val="0"/>
            <w:vAlign w:val="center"/>
          </w:tcPr>
          <w:p w14:paraId="00B4CAE6">
            <w:pPr>
              <w:numPr>
                <w:ilvl w:val="0"/>
                <w:numId w:val="0"/>
              </w:numPr>
              <w:autoSpaceDE w:val="0"/>
              <w:autoSpaceDN w:val="0"/>
              <w:spacing w:line="360" w:lineRule="auto"/>
              <w:rPr>
                <w:rFonts w:hint="eastAsia" w:eastAsia="宋体"/>
                <w:sz w:val="24"/>
                <w:szCs w:val="24"/>
                <w:lang w:val="zh-CN"/>
              </w:rPr>
            </w:pPr>
            <w:r>
              <w:rPr>
                <w:rFonts w:hint="eastAsia" w:ascii="宋体" w:hAnsi="宋体" w:eastAsia="宋体" w:cs="宋体"/>
                <w:color w:val="000000"/>
                <w:sz w:val="24"/>
                <w:szCs w:val="24"/>
                <w:lang w:val="zh-CN" w:eastAsia="zh-CN" w:bidi="ar-SA"/>
              </w:rPr>
              <w:t>1、</w:t>
            </w:r>
            <w:r>
              <w:rPr>
                <w:rFonts w:hint="eastAsia" w:eastAsia="宋体"/>
                <w:sz w:val="24"/>
                <w:szCs w:val="24"/>
                <w:lang w:val="zh-CN"/>
              </w:rPr>
              <w:t>本次采购不接受供应商以邮寄、电报、电话、传真等形式的响应文件；</w:t>
            </w:r>
          </w:p>
          <w:p w14:paraId="4BC1EE1B">
            <w:pPr>
              <w:spacing w:line="360" w:lineRule="auto"/>
              <w:jc w:val="left"/>
              <w:rPr>
                <w:rFonts w:hint="eastAsia" w:ascii="宋体" w:hAnsi="宋体" w:eastAsia="宋体" w:cs="宋体"/>
                <w:color w:val="auto"/>
                <w:sz w:val="24"/>
                <w:szCs w:val="24"/>
                <w:highlight w:val="none"/>
                <w:lang w:val="en-US" w:eastAsia="zh-CN"/>
              </w:rPr>
            </w:pPr>
            <w:r>
              <w:rPr>
                <w:rFonts w:hint="eastAsia" w:eastAsia="宋体"/>
                <w:sz w:val="24"/>
                <w:szCs w:val="24"/>
                <w:lang w:val="en-US" w:eastAsia="zh-CN"/>
              </w:rPr>
              <w:t>2、</w:t>
            </w:r>
            <w:r>
              <w:rPr>
                <w:rFonts w:hint="eastAsia" w:eastAsia="宋体"/>
                <w:sz w:val="24"/>
                <w:szCs w:val="24"/>
                <w:lang w:val="zh-CN"/>
              </w:rPr>
              <w:t>本项目竞争性磋商公告同时在《中国采购与招标网》《青海项目信息网》上发布。</w:t>
            </w:r>
          </w:p>
        </w:tc>
      </w:tr>
    </w:tbl>
    <w:p w14:paraId="13313E1A">
      <w:pPr>
        <w:tabs>
          <w:tab w:val="left" w:pos="8306"/>
        </w:tabs>
        <w:spacing w:before="240" w:after="240" w:line="360" w:lineRule="auto"/>
        <w:ind w:right="640" w:firstLine="199" w:firstLineChars="83"/>
        <w:jc w:val="righ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青海中旭工程项目管理有限公司</w:t>
      </w:r>
    </w:p>
    <w:p w14:paraId="63A6FAB8">
      <w:pPr>
        <w:spacing w:before="240" w:after="24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eastAsia="宋体" w:cs="宋体"/>
          <w:color w:val="auto"/>
          <w:sz w:val="24"/>
          <w:szCs w:val="24"/>
          <w:highlight w:val="none"/>
          <w:lang w:eastAsia="zh-CN"/>
        </w:rPr>
        <w:t>202</w:t>
      </w:r>
      <w:r>
        <w:rPr>
          <w:rFonts w:hint="eastAsia" w:eastAsia="宋体" w:cs="宋体"/>
          <w:color w:val="auto"/>
          <w:sz w:val="24"/>
          <w:szCs w:val="24"/>
          <w:highlight w:val="none"/>
          <w:lang w:val="en-US" w:eastAsia="zh-CN"/>
        </w:rPr>
        <w:t>6</w:t>
      </w:r>
      <w:r>
        <w:rPr>
          <w:rFonts w:hint="eastAsia" w:eastAsia="宋体" w:cs="宋体"/>
          <w:color w:val="auto"/>
          <w:sz w:val="24"/>
          <w:szCs w:val="24"/>
          <w:highlight w:val="none"/>
          <w:lang w:eastAsia="zh-CN"/>
        </w:rPr>
        <w:t>年</w:t>
      </w:r>
      <w:r>
        <w:rPr>
          <w:rFonts w:hint="eastAsia" w:eastAsia="宋体" w:cs="宋体"/>
          <w:color w:val="auto"/>
          <w:sz w:val="24"/>
          <w:szCs w:val="24"/>
          <w:highlight w:val="none"/>
          <w:lang w:val="en-US" w:eastAsia="zh-CN"/>
        </w:rPr>
        <w:t>07</w:t>
      </w:r>
      <w:r>
        <w:rPr>
          <w:rFonts w:hint="eastAsia" w:eastAsia="宋体" w:cs="宋体"/>
          <w:color w:val="auto"/>
          <w:sz w:val="24"/>
          <w:szCs w:val="24"/>
          <w:highlight w:val="none"/>
          <w:lang w:eastAsia="zh-CN"/>
        </w:rPr>
        <w:t>月</w:t>
      </w:r>
      <w:r>
        <w:rPr>
          <w:rFonts w:hint="eastAsia" w:eastAsia="宋体" w:cs="宋体"/>
          <w:color w:val="auto"/>
          <w:sz w:val="24"/>
          <w:szCs w:val="24"/>
          <w:highlight w:val="none"/>
          <w:lang w:val="en-US" w:eastAsia="zh-CN"/>
        </w:rPr>
        <w:t>27</w:t>
      </w:r>
      <w:r>
        <w:rPr>
          <w:rFonts w:hint="eastAsia" w:eastAsia="宋体" w:cs="宋体"/>
          <w:color w:val="auto"/>
          <w:sz w:val="24"/>
          <w:szCs w:val="24"/>
          <w:highlight w:val="none"/>
          <w:lang w:eastAsia="zh-CN"/>
        </w:rPr>
        <w:t>日</w:t>
      </w:r>
    </w:p>
    <w:p w14:paraId="72860A18">
      <w:pPr>
        <w:pStyle w:val="21"/>
        <w:spacing w:before="0" w:after="0"/>
        <w:rPr>
          <w:rFonts w:hint="eastAsia" w:ascii="宋体" w:hAnsi="宋体"/>
          <w:color w:val="auto"/>
          <w:highlight w:val="none"/>
          <w:lang w:val="zh-CN"/>
        </w:rPr>
      </w:pPr>
      <w:r>
        <w:rPr>
          <w:rFonts w:hint="eastAsia" w:ascii="宋体" w:hAnsi="宋体" w:eastAsia="宋体" w:cs="宋体"/>
          <w:color w:val="auto"/>
          <w:sz w:val="24"/>
          <w:szCs w:val="24"/>
          <w:highlight w:val="none"/>
        </w:rPr>
        <w:br w:type="page"/>
      </w:r>
      <w:bookmarkStart w:id="8" w:name="_Toc495567939"/>
      <w:bookmarkStart w:id="9" w:name="_Toc22141"/>
      <w:bookmarkStart w:id="10" w:name="_Toc495666256"/>
      <w:bookmarkStart w:id="11" w:name="_Toc21471"/>
      <w:bookmarkStart w:id="12" w:name="_Toc14075"/>
      <w:bookmarkStart w:id="13" w:name="_Toc27773"/>
      <w:bookmarkStart w:id="14" w:name="_Toc9821"/>
      <w:bookmarkStart w:id="15" w:name="_Toc3201"/>
      <w:bookmarkStart w:id="16" w:name="_Toc6982"/>
      <w:r>
        <w:rPr>
          <w:rFonts w:hint="eastAsia" w:ascii="宋体" w:hAnsi="宋体"/>
          <w:color w:val="auto"/>
          <w:highlight w:val="none"/>
          <w:lang w:val="zh-CN"/>
        </w:rPr>
        <w:t>第二部分</w:t>
      </w:r>
      <w:r>
        <w:rPr>
          <w:rFonts w:hint="eastAsia" w:ascii="宋体" w:hAnsi="宋体"/>
          <w:color w:val="auto"/>
          <w:kern w:val="28"/>
          <w:szCs w:val="20"/>
          <w:highlight w:val="none"/>
        </w:rPr>
        <w:t xml:space="preserve"> </w:t>
      </w:r>
      <w:r>
        <w:rPr>
          <w:rFonts w:hint="eastAsia" w:ascii="宋体" w:hAnsi="宋体"/>
          <w:color w:val="auto"/>
          <w:highlight w:val="none"/>
          <w:lang w:val="zh-CN"/>
        </w:rPr>
        <w:t>供应商须知前附表</w:t>
      </w:r>
      <w:bookmarkEnd w:id="8"/>
      <w:bookmarkEnd w:id="9"/>
      <w:bookmarkEnd w:id="10"/>
      <w:bookmarkEnd w:id="11"/>
      <w:bookmarkEnd w:id="12"/>
      <w:bookmarkEnd w:id="13"/>
      <w:bookmarkEnd w:id="14"/>
      <w:bookmarkEnd w:id="15"/>
      <w:bookmarkEnd w:id="16"/>
    </w:p>
    <w:tbl>
      <w:tblPr>
        <w:tblStyle w:val="24"/>
        <w:tblW w:w="9093" w:type="dxa"/>
        <w:jc w:val="center"/>
        <w:tblLayout w:type="fixed"/>
        <w:tblCellMar>
          <w:top w:w="0" w:type="dxa"/>
          <w:left w:w="57" w:type="dxa"/>
          <w:bottom w:w="0" w:type="dxa"/>
          <w:right w:w="57" w:type="dxa"/>
        </w:tblCellMar>
      </w:tblPr>
      <w:tblGrid>
        <w:gridCol w:w="785"/>
        <w:gridCol w:w="2093"/>
        <w:gridCol w:w="6215"/>
      </w:tblGrid>
      <w:tr w14:paraId="216B503A">
        <w:tblPrEx>
          <w:tblCellMar>
            <w:top w:w="0" w:type="dxa"/>
            <w:left w:w="57" w:type="dxa"/>
            <w:bottom w:w="0" w:type="dxa"/>
            <w:right w:w="57" w:type="dxa"/>
          </w:tblCellMar>
        </w:tblPrEx>
        <w:trPr>
          <w:trHeight w:val="345"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470F7D5">
            <w:pPr>
              <w:autoSpaceDE w:val="0"/>
              <w:autoSpaceDN w:val="0"/>
              <w:spacing w:line="360" w:lineRule="auto"/>
              <w:jc w:val="center"/>
              <w:rPr>
                <w:rFonts w:hint="eastAsia" w:eastAsia="宋体"/>
                <w:color w:val="auto"/>
                <w:sz w:val="24"/>
                <w:szCs w:val="24"/>
                <w:highlight w:val="none"/>
                <w:lang w:val="zh-CN"/>
              </w:rPr>
            </w:pPr>
            <w:r>
              <w:rPr>
                <w:rFonts w:hint="eastAsia" w:eastAsia="宋体"/>
                <w:color w:val="auto"/>
                <w:sz w:val="24"/>
                <w:szCs w:val="24"/>
                <w:highlight w:val="none"/>
                <w:lang w:val="zh-CN"/>
              </w:rPr>
              <w:t>序号</w:t>
            </w:r>
          </w:p>
        </w:tc>
        <w:tc>
          <w:tcPr>
            <w:tcW w:w="8308" w:type="dxa"/>
            <w:gridSpan w:val="2"/>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4BAE087">
            <w:pPr>
              <w:autoSpaceDE w:val="0"/>
              <w:autoSpaceDN w:val="0"/>
              <w:spacing w:line="360" w:lineRule="auto"/>
              <w:jc w:val="center"/>
              <w:rPr>
                <w:rFonts w:hint="eastAsia" w:eastAsia="宋体"/>
                <w:color w:val="auto"/>
                <w:sz w:val="24"/>
                <w:szCs w:val="24"/>
                <w:highlight w:val="none"/>
                <w:lang w:val="zh-CN"/>
              </w:rPr>
            </w:pPr>
            <w:r>
              <w:rPr>
                <w:rFonts w:hint="eastAsia" w:eastAsia="宋体"/>
                <w:color w:val="auto"/>
                <w:sz w:val="24"/>
                <w:szCs w:val="24"/>
                <w:highlight w:val="none"/>
                <w:lang w:val="zh-CN"/>
              </w:rPr>
              <w:t>内容</w:t>
            </w:r>
          </w:p>
        </w:tc>
      </w:tr>
      <w:tr w14:paraId="26B3CAA0">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74CCBCA">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C3E52D4">
            <w:pPr>
              <w:autoSpaceDE w:val="0"/>
              <w:autoSpaceDN w:val="0"/>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采购项目编号</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EC9A272">
            <w:pPr>
              <w:autoSpaceDE w:val="0"/>
              <w:autoSpaceDN w:val="0"/>
              <w:adjustRightInd w:val="0"/>
              <w:spacing w:line="360" w:lineRule="auto"/>
              <w:jc w:val="left"/>
              <w:rPr>
                <w:rFonts w:hint="default" w:ascii="宋体" w:hAnsi="宋体" w:eastAsia="宋体" w:cs="宋体"/>
                <w:color w:val="auto"/>
                <w:sz w:val="24"/>
                <w:szCs w:val="24"/>
                <w:highlight w:val="none"/>
                <w:lang w:val="en-US" w:eastAsia="zh-CN"/>
              </w:rPr>
            </w:pPr>
            <w:r>
              <w:rPr>
                <w:rFonts w:hint="eastAsia" w:eastAsia="宋体" w:cs="宋体"/>
                <w:sz w:val="24"/>
                <w:szCs w:val="24"/>
                <w:lang w:val="en-US" w:eastAsia="zh-CN"/>
              </w:rPr>
              <w:t>QHZX-磋商（货物）2026-047</w:t>
            </w:r>
          </w:p>
        </w:tc>
      </w:tr>
      <w:tr w14:paraId="42910EE0">
        <w:tblPrEx>
          <w:tblCellMar>
            <w:top w:w="0" w:type="dxa"/>
            <w:left w:w="57" w:type="dxa"/>
            <w:bottom w:w="0" w:type="dxa"/>
            <w:right w:w="57" w:type="dxa"/>
          </w:tblCellMar>
        </w:tblPrEx>
        <w:trPr>
          <w:trHeight w:val="564"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27ED3F6">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1DF96A3">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采购项目名称</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7341FA7">
            <w:pPr>
              <w:autoSpaceDE w:val="0"/>
              <w:autoSpaceDN w:val="0"/>
              <w:adjustRightInd w:val="0"/>
              <w:spacing w:line="360" w:lineRule="auto"/>
              <w:jc w:val="left"/>
              <w:rPr>
                <w:rFonts w:hint="default" w:ascii="宋体" w:hAnsi="宋体" w:eastAsia="宋体" w:cs="宋体"/>
                <w:color w:val="auto"/>
                <w:sz w:val="24"/>
                <w:szCs w:val="24"/>
                <w:highlight w:val="none"/>
                <w:lang w:val="en-US" w:eastAsia="zh-CN"/>
              </w:rPr>
            </w:pPr>
            <w:r>
              <w:rPr>
                <w:rFonts w:hint="eastAsia" w:eastAsia="宋体" w:cs="宋体"/>
                <w:sz w:val="24"/>
                <w:szCs w:val="24"/>
                <w:lang w:val="en-US" w:eastAsia="zh-CN"/>
              </w:rPr>
              <w:t>青海民族大学经济管理学院省级实验教学示范中心更新项目</w:t>
            </w:r>
          </w:p>
        </w:tc>
      </w:tr>
      <w:tr w14:paraId="75E067C5">
        <w:tblPrEx>
          <w:tblCellMar>
            <w:top w:w="0" w:type="dxa"/>
            <w:left w:w="57" w:type="dxa"/>
            <w:bottom w:w="0" w:type="dxa"/>
            <w:right w:w="57" w:type="dxa"/>
          </w:tblCellMar>
        </w:tblPrEx>
        <w:trPr>
          <w:trHeight w:val="90"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07E1A2F">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29EE6A8">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采购人</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CA5C479">
            <w:pPr>
              <w:autoSpaceDE w:val="0"/>
              <w:autoSpaceDN w:val="0"/>
              <w:spacing w:line="360" w:lineRule="auto"/>
              <w:rPr>
                <w:rFonts w:hint="eastAsia" w:ascii="宋体" w:hAnsi="宋体" w:eastAsia="宋体" w:cs="宋体"/>
                <w:color w:val="auto"/>
                <w:sz w:val="24"/>
                <w:szCs w:val="24"/>
                <w:highlight w:val="none"/>
                <w:lang w:val="en-US" w:eastAsia="zh-CN"/>
              </w:rPr>
            </w:pPr>
            <w:r>
              <w:rPr>
                <w:rFonts w:hint="eastAsia" w:cs="Arial"/>
                <w:color w:val="auto"/>
                <w:sz w:val="24"/>
                <w:lang w:eastAsia="zh-CN"/>
              </w:rPr>
              <w:t>青海民族大学</w:t>
            </w:r>
          </w:p>
        </w:tc>
      </w:tr>
      <w:tr w14:paraId="4A039588">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4E1AECF">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F9EF287">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采购代理机构</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6EF7E46">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青海中旭工程项目管理有限公司</w:t>
            </w:r>
          </w:p>
        </w:tc>
      </w:tr>
      <w:tr w14:paraId="7B13FACF">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13F4F19">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62D7A1D">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4D6859C">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竞争性磋商</w:t>
            </w:r>
          </w:p>
        </w:tc>
      </w:tr>
      <w:tr w14:paraId="37E4FBBB">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484CA23">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18023B1">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评分办法</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3885021">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综合评分法</w:t>
            </w:r>
          </w:p>
        </w:tc>
      </w:tr>
      <w:tr w14:paraId="7F175845">
        <w:tblPrEx>
          <w:tblCellMar>
            <w:top w:w="0" w:type="dxa"/>
            <w:left w:w="57" w:type="dxa"/>
            <w:bottom w:w="0" w:type="dxa"/>
            <w:right w:w="57" w:type="dxa"/>
          </w:tblCellMar>
        </w:tblPrEx>
        <w:trPr>
          <w:trHeight w:val="515"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FCF9950">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A38FFFA">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采购预算控制额度</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809AA77">
            <w:pPr>
              <w:autoSpaceDE w:val="0"/>
              <w:autoSpaceDN w:val="0"/>
              <w:adjustRightInd w:val="0"/>
              <w:spacing w:line="360" w:lineRule="auto"/>
              <w:rPr>
                <w:rFonts w:hint="eastAsia" w:ascii="宋体" w:hAnsi="宋体" w:eastAsia="宋体" w:cs="宋体"/>
                <w:color w:val="auto"/>
                <w:sz w:val="24"/>
                <w:szCs w:val="24"/>
                <w:highlight w:val="none"/>
                <w:lang w:val="zh-CN"/>
              </w:rPr>
            </w:pPr>
            <w:r>
              <w:rPr>
                <w:rFonts w:hint="eastAsia" w:ascii="宋体" w:hAnsi="宋体" w:cs="宋体"/>
                <w:color w:val="auto"/>
                <w:sz w:val="24"/>
                <w:highlight w:val="none"/>
                <w:lang w:val="zh-CN" w:eastAsia="zh-CN"/>
              </w:rPr>
              <w:t>人民币</w:t>
            </w:r>
            <w:r>
              <w:rPr>
                <w:rFonts w:hint="eastAsia" w:cs="宋体"/>
                <w:color w:val="auto"/>
                <w:sz w:val="24"/>
                <w:highlight w:val="none"/>
                <w:lang w:val="en-US" w:eastAsia="zh-CN"/>
              </w:rPr>
              <w:t>3600</w:t>
            </w:r>
            <w:r>
              <w:rPr>
                <w:rFonts w:hint="eastAsia" w:ascii="宋体" w:hAnsi="宋体" w:cs="宋体"/>
                <w:color w:val="auto"/>
                <w:sz w:val="24"/>
                <w:highlight w:val="none"/>
                <w:lang w:val="en-US" w:eastAsia="zh-CN"/>
              </w:rPr>
              <w:t>00.00元（大写：</w:t>
            </w:r>
            <w:r>
              <w:rPr>
                <w:rFonts w:hint="eastAsia" w:cs="宋体"/>
                <w:color w:val="auto"/>
                <w:sz w:val="24"/>
                <w:highlight w:val="none"/>
                <w:lang w:val="en-US" w:eastAsia="zh-CN"/>
              </w:rPr>
              <w:t>叁拾陆万</w:t>
            </w:r>
            <w:r>
              <w:rPr>
                <w:rFonts w:hint="eastAsia" w:ascii="宋体" w:hAnsi="宋体" w:cs="宋体"/>
                <w:color w:val="auto"/>
                <w:sz w:val="24"/>
                <w:highlight w:val="none"/>
                <w:lang w:val="en-US" w:eastAsia="zh-CN"/>
              </w:rPr>
              <w:t>元整）</w:t>
            </w:r>
          </w:p>
        </w:tc>
      </w:tr>
      <w:tr w14:paraId="1DB80BCC">
        <w:tblPrEx>
          <w:tblCellMar>
            <w:top w:w="0" w:type="dxa"/>
            <w:left w:w="57" w:type="dxa"/>
            <w:bottom w:w="0" w:type="dxa"/>
            <w:right w:w="57" w:type="dxa"/>
          </w:tblCellMar>
        </w:tblPrEx>
        <w:trPr>
          <w:trHeight w:val="480"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575AB94">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AB37EAC">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采购要求</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8131D6A">
            <w:pPr>
              <w:numPr>
                <w:ilvl w:val="0"/>
                <w:numId w:val="0"/>
              </w:numP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eastAsia="zh-CN"/>
              </w:rPr>
              <w:t>具体内容详见《竞争性磋商文件》</w:t>
            </w:r>
            <w:r>
              <w:rPr>
                <w:rFonts w:hint="eastAsia" w:eastAsia="宋体" w:cs="宋体"/>
                <w:color w:val="auto"/>
                <w:sz w:val="24"/>
                <w:szCs w:val="24"/>
                <w:highlight w:val="none"/>
                <w:lang w:eastAsia="zh-CN"/>
              </w:rPr>
              <w:t>。</w:t>
            </w:r>
          </w:p>
        </w:tc>
      </w:tr>
      <w:tr w14:paraId="30538F1D">
        <w:tblPrEx>
          <w:tblCellMar>
            <w:top w:w="0" w:type="dxa"/>
            <w:left w:w="57" w:type="dxa"/>
            <w:bottom w:w="0" w:type="dxa"/>
            <w:right w:w="57" w:type="dxa"/>
          </w:tblCellMar>
        </w:tblPrEx>
        <w:trPr>
          <w:trHeight w:val="2978"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3FDD2E5">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005ADD1">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磋商保证金</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04C5F29">
            <w:pPr>
              <w:autoSpaceDE w:val="0"/>
              <w:autoSpaceDN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zh-CN"/>
              </w:rPr>
              <w:t>磋商保证金：</w:t>
            </w:r>
            <w:r>
              <w:rPr>
                <w:rFonts w:hint="eastAsia" w:eastAsia="宋体" w:cs="宋体"/>
                <w:b/>
                <w:bCs/>
                <w:color w:val="auto"/>
                <w:sz w:val="24"/>
                <w:szCs w:val="24"/>
                <w:highlight w:val="none"/>
                <w:lang w:val="en-US" w:eastAsia="zh-CN"/>
              </w:rPr>
              <w:t>本项目不收取保证金</w:t>
            </w:r>
          </w:p>
          <w:p w14:paraId="2EE73879">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收款单位：青海中旭工程项目管理有限公司</w:t>
            </w:r>
          </w:p>
          <w:p w14:paraId="091871E3">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开 户 行：兴业银行西宁分行营业部</w:t>
            </w:r>
          </w:p>
          <w:p w14:paraId="7C4DFA9D">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银行账号：632010100100376299</w:t>
            </w:r>
          </w:p>
          <w:p w14:paraId="3CA9AA43">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开户行号：</w:t>
            </w:r>
            <w:r>
              <w:rPr>
                <w:rFonts w:hint="eastAsia" w:ascii="宋体" w:hAnsi="宋体" w:eastAsia="宋体" w:cs="宋体"/>
                <w:color w:val="auto"/>
                <w:sz w:val="24"/>
                <w:szCs w:val="24"/>
                <w:highlight w:val="none"/>
              </w:rPr>
              <w:t>309851000028</w:t>
            </w:r>
          </w:p>
          <w:p w14:paraId="285DDA98">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缴费时间：磋商截止期</w:t>
            </w:r>
            <w:r>
              <w:rPr>
                <w:rFonts w:hint="eastAsia" w:eastAsia="宋体" w:cs="宋体"/>
                <w:color w:val="auto"/>
                <w:sz w:val="24"/>
                <w:szCs w:val="24"/>
                <w:highlight w:val="none"/>
                <w:lang w:val="en-US" w:eastAsia="zh-CN"/>
              </w:rPr>
              <w:t>为开标前</w:t>
            </w:r>
            <w:r>
              <w:rPr>
                <w:rFonts w:hint="eastAsia" w:ascii="宋体" w:hAnsi="宋体" w:eastAsia="宋体" w:cs="宋体"/>
                <w:color w:val="auto"/>
                <w:sz w:val="24"/>
                <w:szCs w:val="24"/>
                <w:highlight w:val="none"/>
                <w:lang w:val="zh-CN"/>
              </w:rPr>
              <w:t>以银行到账时间为准。</w:t>
            </w:r>
          </w:p>
        </w:tc>
      </w:tr>
      <w:tr w14:paraId="59735AC9">
        <w:tblPrEx>
          <w:tblCellMar>
            <w:top w:w="0" w:type="dxa"/>
            <w:left w:w="57" w:type="dxa"/>
            <w:bottom w:w="0" w:type="dxa"/>
            <w:right w:w="57" w:type="dxa"/>
          </w:tblCellMar>
        </w:tblPrEx>
        <w:trPr>
          <w:trHeight w:val="1932"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C873011">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0CFC23A">
            <w:pPr>
              <w:autoSpaceDE w:val="0"/>
              <w:autoSpaceDN w:val="0"/>
              <w:spacing w:line="360" w:lineRule="auto"/>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磋商保证金缴纳形式</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086ED44">
            <w:pPr>
              <w:autoSpaceDE w:val="0"/>
              <w:autoSpaceDN w:val="0"/>
              <w:spacing w:line="360" w:lineRule="auto"/>
              <w:rPr>
                <w:rFonts w:hint="eastAsia" w:ascii="宋体" w:hAnsi="宋体" w:eastAsia="宋体" w:cs="宋体"/>
                <w:color w:val="auto"/>
                <w:sz w:val="24"/>
                <w:szCs w:val="24"/>
                <w:highlight w:val="none"/>
                <w:lang w:val="zh-CN"/>
              </w:rPr>
            </w:pPr>
            <w:r>
              <w:rPr>
                <w:rFonts w:ascii="宋体" w:hAnsi="宋体" w:eastAsia="宋体" w:cs="宋体"/>
                <w:sz w:val="24"/>
                <w:szCs w:val="24"/>
                <w:highlight w:val="none"/>
              </w:rPr>
              <w:t>保证金应当以支票、汇票、本票或者金融机构、担保机构出具的保函等非现金形式提交。通过银行转账的，</w:t>
            </w:r>
            <w:r>
              <w:rPr>
                <w:rFonts w:hint="eastAsia" w:ascii="宋体" w:hAnsi="宋体" w:eastAsia="宋体" w:cs="宋体"/>
                <w:color w:val="auto"/>
                <w:sz w:val="24"/>
                <w:szCs w:val="24"/>
                <w:highlight w:val="none"/>
                <w:lang w:val="zh-CN"/>
              </w:rPr>
              <w:t>须由供应商从其基本账户转入指定专用账户，汇单附言栏内注明项目名称及用途，附基本账户开户许可证复印件</w:t>
            </w:r>
            <w:r>
              <w:rPr>
                <w:rFonts w:hint="eastAsia" w:eastAsia="宋体" w:cs="宋体"/>
                <w:color w:val="auto"/>
                <w:sz w:val="24"/>
                <w:szCs w:val="24"/>
                <w:highlight w:val="none"/>
                <w:lang w:val="zh-CN"/>
              </w:rPr>
              <w:t>。</w:t>
            </w:r>
          </w:p>
          <w:p w14:paraId="2DD49367">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供应商未按照磋商文件要求提交磋商保证金的，磋商无效。</w:t>
            </w:r>
          </w:p>
        </w:tc>
      </w:tr>
      <w:tr w14:paraId="5C9DE0BF">
        <w:tblPrEx>
          <w:tblCellMar>
            <w:top w:w="0" w:type="dxa"/>
            <w:left w:w="57" w:type="dxa"/>
            <w:bottom w:w="0" w:type="dxa"/>
            <w:right w:w="57" w:type="dxa"/>
          </w:tblCellMar>
        </w:tblPrEx>
        <w:trPr>
          <w:trHeight w:val="328"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B014DF7">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A17C088">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磋商保证金退还</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3B69878">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未成交供应商的磋商保证金在成交通知书发出后5个工作日内退还，成交供应商的磋商保证金在采购合同签订后5个工作日内退还。</w:t>
            </w:r>
          </w:p>
        </w:tc>
      </w:tr>
      <w:tr w14:paraId="648E1812">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FD704D5">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DF176E3">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递交响应文件方式</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D4DC431">
            <w:pPr>
              <w:autoSpaceDE w:val="0"/>
              <w:autoSpaceDN w:val="0"/>
              <w:spacing w:line="360" w:lineRule="auto"/>
              <w:rPr>
                <w:rFonts w:hint="default" w:ascii="宋体" w:hAnsi="宋体" w:eastAsia="宋体" w:cs="宋体"/>
                <w:color w:val="auto"/>
                <w:sz w:val="24"/>
                <w:szCs w:val="24"/>
                <w:highlight w:val="none"/>
                <w:lang w:val="en-US" w:eastAsia="zh-CN"/>
              </w:rPr>
            </w:pPr>
            <w:r>
              <w:rPr>
                <w:rFonts w:hint="eastAsia" w:eastAsia="宋体"/>
                <w:color w:val="auto"/>
                <w:sz w:val="24"/>
                <w:szCs w:val="24"/>
                <w:highlight w:val="none"/>
                <w:lang w:val="zh-CN"/>
              </w:rPr>
              <w:t>现场递交，不接受邮寄投标。</w:t>
            </w:r>
          </w:p>
        </w:tc>
      </w:tr>
      <w:tr w14:paraId="5962FF01">
        <w:tblPrEx>
          <w:tblCellMar>
            <w:top w:w="0" w:type="dxa"/>
            <w:left w:w="57" w:type="dxa"/>
            <w:bottom w:w="0" w:type="dxa"/>
            <w:right w:w="57" w:type="dxa"/>
          </w:tblCellMar>
        </w:tblPrEx>
        <w:trPr>
          <w:trHeight w:val="538"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12C6666B">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7BE9993">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答疑澄清方式</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2784982">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采用</w:t>
            </w:r>
            <w:r>
              <w:rPr>
                <w:rFonts w:hint="eastAsia" w:eastAsia="宋体" w:cs="宋体"/>
                <w:color w:val="auto"/>
                <w:sz w:val="24"/>
                <w:szCs w:val="24"/>
                <w:highlight w:val="none"/>
                <w:lang w:val="en-US" w:eastAsia="zh-CN"/>
              </w:rPr>
              <w:t>现场</w:t>
            </w:r>
            <w:r>
              <w:rPr>
                <w:rFonts w:hint="eastAsia" w:ascii="宋体" w:hAnsi="宋体" w:eastAsia="宋体" w:cs="宋体"/>
                <w:color w:val="auto"/>
                <w:sz w:val="24"/>
                <w:szCs w:val="24"/>
                <w:highlight w:val="none"/>
                <w:lang w:val="zh-CN"/>
              </w:rPr>
              <w:t>答疑。供应商须提供准确的联系方式（手机和固定电话），应在规定的时间内</w:t>
            </w:r>
            <w:r>
              <w:rPr>
                <w:rFonts w:hint="eastAsia" w:eastAsia="宋体" w:cs="宋体"/>
                <w:color w:val="auto"/>
                <w:sz w:val="24"/>
                <w:szCs w:val="24"/>
                <w:highlight w:val="none"/>
                <w:lang w:val="en-US" w:eastAsia="zh-CN"/>
              </w:rPr>
              <w:t>现场</w:t>
            </w:r>
            <w:r>
              <w:rPr>
                <w:rFonts w:hint="eastAsia" w:ascii="宋体" w:hAnsi="宋体" w:eastAsia="宋体" w:cs="宋体"/>
                <w:color w:val="auto"/>
                <w:sz w:val="24"/>
                <w:szCs w:val="24"/>
                <w:highlight w:val="none"/>
                <w:lang w:val="zh-CN"/>
              </w:rPr>
              <w:t>进行答疑澄清，如在规定的时间内联系无果的，视同放弃答疑。</w:t>
            </w:r>
          </w:p>
        </w:tc>
      </w:tr>
      <w:tr w14:paraId="0BC022DE">
        <w:tblPrEx>
          <w:tblCellMar>
            <w:top w:w="0" w:type="dxa"/>
            <w:left w:w="57" w:type="dxa"/>
            <w:bottom w:w="0" w:type="dxa"/>
            <w:right w:w="57" w:type="dxa"/>
          </w:tblCellMar>
        </w:tblPrEx>
        <w:trPr>
          <w:trHeight w:val="1040"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212F328">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C2F9840">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代理服务费收取</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4618E38">
            <w:pPr>
              <w:autoSpaceDE w:val="0"/>
              <w:autoSpaceDN w:val="0"/>
              <w:spacing w:line="360" w:lineRule="auto"/>
              <w:rPr>
                <w:rFonts w:hint="default"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收</w:t>
            </w:r>
            <w:r>
              <w:rPr>
                <w:rFonts w:hint="eastAsia" w:eastAsia="宋体" w:cs="宋体"/>
                <w:color w:val="000000" w:themeColor="text1"/>
                <w:sz w:val="24"/>
                <w:szCs w:val="24"/>
                <w:highlight w:val="none"/>
                <w:lang w:val="en-US" w:eastAsia="zh-CN"/>
                <w14:textFill>
                  <w14:solidFill>
                    <w14:schemeClr w14:val="tx1"/>
                  </w14:solidFill>
                </w14:textFill>
              </w:rPr>
              <w:t>取对象：成交供应商</w:t>
            </w:r>
          </w:p>
          <w:p w14:paraId="6BA0A054">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收取方式：按《关于进一步放开建设项目专业服务价格的通知》（发改价格〔2015〕299号）。</w:t>
            </w:r>
          </w:p>
          <w:p w14:paraId="62968CF7">
            <w:pPr>
              <w:autoSpaceDE w:val="0"/>
              <w:autoSpaceDN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zh-CN"/>
              </w:rPr>
              <w:t>收取金额：小写金额：¥</w:t>
            </w:r>
            <w:r>
              <w:rPr>
                <w:rFonts w:hint="eastAsia" w:eastAsia="宋体" w:cs="宋体"/>
                <w:b/>
                <w:bCs/>
                <w:color w:val="auto"/>
                <w:sz w:val="24"/>
                <w:szCs w:val="24"/>
                <w:highlight w:val="none"/>
                <w:lang w:val="en-US" w:eastAsia="zh-CN"/>
              </w:rPr>
              <w:t>5000.00</w:t>
            </w:r>
            <w:r>
              <w:rPr>
                <w:rFonts w:hint="eastAsia" w:ascii="宋体" w:hAnsi="宋体" w:eastAsia="宋体" w:cs="宋体"/>
                <w:b/>
                <w:bCs/>
                <w:color w:val="auto"/>
                <w:sz w:val="24"/>
                <w:szCs w:val="24"/>
                <w:highlight w:val="none"/>
              </w:rPr>
              <w:t>元；</w:t>
            </w:r>
          </w:p>
          <w:p w14:paraId="10AF22A2">
            <w:pPr>
              <w:autoSpaceDE w:val="0"/>
              <w:autoSpaceDN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大写金额：</w:t>
            </w:r>
            <w:r>
              <w:rPr>
                <w:rFonts w:hint="eastAsia" w:eastAsia="宋体" w:cs="宋体"/>
                <w:b/>
                <w:bCs/>
                <w:color w:val="auto"/>
                <w:sz w:val="24"/>
                <w:szCs w:val="24"/>
                <w:highlight w:val="none"/>
                <w:lang w:val="en-US" w:eastAsia="zh-CN"/>
              </w:rPr>
              <w:t>伍仟元整</w:t>
            </w:r>
            <w:r>
              <w:rPr>
                <w:rFonts w:hint="eastAsia" w:ascii="宋体" w:hAnsi="宋体" w:eastAsia="宋体" w:cs="宋体"/>
                <w:b/>
                <w:bCs/>
                <w:color w:val="auto"/>
                <w:sz w:val="24"/>
                <w:szCs w:val="24"/>
                <w:highlight w:val="none"/>
              </w:rPr>
              <w:t>。</w:t>
            </w:r>
          </w:p>
          <w:p w14:paraId="175476FC">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收取单位：青海中旭工程项目管理有限公司</w:t>
            </w:r>
          </w:p>
          <w:p w14:paraId="7B1E9578">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开户银行：中国农业银行股份有限公司西宁城西万达</w:t>
            </w:r>
            <w:r>
              <w:rPr>
                <w:rFonts w:hint="eastAsia" w:eastAsia="宋体" w:cs="宋体"/>
                <w:color w:val="auto"/>
                <w:sz w:val="24"/>
                <w:szCs w:val="24"/>
                <w:highlight w:val="none"/>
                <w:lang w:val="zh-CN"/>
              </w:rPr>
              <w:t>广场</w:t>
            </w:r>
            <w:r>
              <w:rPr>
                <w:rFonts w:hint="eastAsia" w:ascii="宋体" w:hAnsi="宋体" w:eastAsia="宋体" w:cs="宋体"/>
                <w:color w:val="auto"/>
                <w:sz w:val="24"/>
                <w:szCs w:val="24"/>
                <w:highlight w:val="none"/>
                <w:lang w:val="zh-CN"/>
              </w:rPr>
              <w:t>支行</w:t>
            </w:r>
          </w:p>
          <w:p w14:paraId="06B6E04C">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代理服务费账号：28043001040001791（开户行号：103851004307）</w:t>
            </w:r>
          </w:p>
        </w:tc>
      </w:tr>
      <w:tr w14:paraId="4FD376F6">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419724E">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FC18A8F">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合同签订有效期</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437203F">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自成交通知书发出之日起30日内与采购人签订合同</w:t>
            </w:r>
          </w:p>
        </w:tc>
      </w:tr>
      <w:tr w14:paraId="559684BE">
        <w:tblPrEx>
          <w:tblCellMar>
            <w:top w:w="0" w:type="dxa"/>
            <w:left w:w="57" w:type="dxa"/>
            <w:bottom w:w="0" w:type="dxa"/>
            <w:right w:w="57" w:type="dxa"/>
          </w:tblCellMar>
        </w:tblPrEx>
        <w:trPr>
          <w:trHeight w:val="893"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5F6F0D8C">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20230AF3">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政府采购合同备案</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FA0F530">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采购合同全数返回采购代理机构鉴证，盖章。</w:t>
            </w:r>
          </w:p>
          <w:p w14:paraId="79FED9B3">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采购代理机构留存两份原件备案。</w:t>
            </w:r>
          </w:p>
        </w:tc>
      </w:tr>
      <w:tr w14:paraId="6F08D3D4">
        <w:tblPrEx>
          <w:tblCellMar>
            <w:top w:w="0" w:type="dxa"/>
            <w:left w:w="57" w:type="dxa"/>
            <w:bottom w:w="0" w:type="dxa"/>
            <w:right w:w="57" w:type="dxa"/>
          </w:tblCellMar>
        </w:tblPrEx>
        <w:trPr>
          <w:trHeight w:val="457"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93BDFD7">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C0DEB87">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磋商有效期</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AF013DD">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磋商有效期为自磋商开始之日起60</w:t>
            </w:r>
            <w:r>
              <w:rPr>
                <w:rFonts w:hint="eastAsia" w:eastAsia="宋体" w:cs="宋体"/>
                <w:color w:val="auto"/>
                <w:sz w:val="24"/>
                <w:szCs w:val="24"/>
                <w:highlight w:val="none"/>
                <w:lang w:val="en-US" w:eastAsia="zh-CN"/>
              </w:rPr>
              <w:t>日历日</w:t>
            </w:r>
          </w:p>
        </w:tc>
      </w:tr>
      <w:tr w14:paraId="5CA4992E">
        <w:tblPrEx>
          <w:tblCellMar>
            <w:top w:w="0" w:type="dxa"/>
            <w:left w:w="57" w:type="dxa"/>
            <w:bottom w:w="0" w:type="dxa"/>
            <w:right w:w="57" w:type="dxa"/>
          </w:tblCellMar>
        </w:tblPrEx>
        <w:trPr>
          <w:trHeight w:val="484" w:hRule="atLeast"/>
          <w:jc w:val="center"/>
        </w:trPr>
        <w:tc>
          <w:tcPr>
            <w:tcW w:w="7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17FF4FD">
            <w:pPr>
              <w:numPr>
                <w:ilvl w:val="0"/>
                <w:numId w:val="3"/>
              </w:numPr>
              <w:autoSpaceDE w:val="0"/>
              <w:autoSpaceDN w:val="0"/>
              <w:spacing w:line="360" w:lineRule="auto"/>
              <w:jc w:val="center"/>
              <w:rPr>
                <w:rFonts w:hint="eastAsia" w:eastAsia="宋体"/>
                <w:color w:val="auto"/>
                <w:sz w:val="24"/>
                <w:szCs w:val="24"/>
                <w:highlight w:val="none"/>
                <w:lang w:val="zh-CN"/>
              </w:rPr>
            </w:pPr>
          </w:p>
        </w:tc>
        <w:tc>
          <w:tcPr>
            <w:tcW w:w="2093"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47EF2D65">
            <w:pPr>
              <w:autoSpaceDE w:val="0"/>
              <w:autoSpaceDN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其他事项</w:t>
            </w:r>
          </w:p>
        </w:tc>
        <w:tc>
          <w:tcPr>
            <w:tcW w:w="621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7A252140">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r>
    </w:tbl>
    <w:p w14:paraId="3AE5C964">
      <w:pPr>
        <w:spacing w:line="360" w:lineRule="auto"/>
        <w:rPr>
          <w:rFonts w:hint="eastAsia" w:eastAsia="宋体"/>
          <w:color w:val="auto"/>
          <w:sz w:val="24"/>
          <w:szCs w:val="24"/>
          <w:highlight w:val="none"/>
        </w:rPr>
      </w:pPr>
    </w:p>
    <w:bookmarkEnd w:id="6"/>
    <w:p w14:paraId="2EC412B9">
      <w:pPr>
        <w:pStyle w:val="21"/>
        <w:ind w:firstLine="723"/>
        <w:rPr>
          <w:rFonts w:hint="eastAsia" w:ascii="宋体" w:hAnsi="宋体"/>
          <w:color w:val="auto"/>
          <w:kern w:val="28"/>
          <w:highlight w:val="none"/>
        </w:rPr>
      </w:pPr>
      <w:bookmarkStart w:id="17" w:name="_Toc495567940"/>
      <w:bookmarkStart w:id="18" w:name="_Toc495666257"/>
      <w:bookmarkStart w:id="19" w:name="_Toc325725997"/>
      <w:r>
        <w:rPr>
          <w:rFonts w:hint="eastAsia" w:ascii="宋体" w:hAnsi="宋体"/>
          <w:color w:val="auto"/>
          <w:kern w:val="28"/>
          <w:highlight w:val="none"/>
        </w:rPr>
        <w:br w:type="page"/>
      </w:r>
      <w:bookmarkStart w:id="20" w:name="_Toc13839"/>
      <w:bookmarkStart w:id="21" w:name="_Toc16642"/>
      <w:bookmarkStart w:id="22" w:name="_Toc26091"/>
      <w:bookmarkStart w:id="23" w:name="_Toc3237"/>
      <w:bookmarkStart w:id="24" w:name="_Toc15991"/>
      <w:bookmarkStart w:id="25" w:name="_Toc24529"/>
      <w:r>
        <w:rPr>
          <w:rFonts w:hint="eastAsia" w:ascii="宋体" w:hAnsi="宋体"/>
          <w:color w:val="auto"/>
          <w:kern w:val="28"/>
          <w:highlight w:val="none"/>
        </w:rPr>
        <w:t>第三部分 供应商须知</w:t>
      </w:r>
      <w:bookmarkEnd w:id="17"/>
      <w:bookmarkEnd w:id="18"/>
      <w:bookmarkEnd w:id="20"/>
      <w:bookmarkEnd w:id="21"/>
      <w:bookmarkEnd w:id="22"/>
      <w:bookmarkEnd w:id="23"/>
      <w:bookmarkEnd w:id="24"/>
      <w:bookmarkEnd w:id="25"/>
    </w:p>
    <w:p w14:paraId="2DE8F03E">
      <w:pPr>
        <w:pStyle w:val="2"/>
        <w:rPr>
          <w:rFonts w:hint="eastAsia" w:ascii="宋体" w:hAnsi="宋体" w:cs="宋体"/>
          <w:color w:val="auto"/>
          <w:highlight w:val="none"/>
        </w:rPr>
      </w:pPr>
      <w:bookmarkStart w:id="26" w:name="_Toc16101"/>
      <w:bookmarkStart w:id="27" w:name="_Toc25088"/>
      <w:bookmarkStart w:id="28" w:name="_Toc376936728"/>
      <w:bookmarkStart w:id="29" w:name="_Toc2475"/>
      <w:bookmarkStart w:id="30" w:name="_Toc10822"/>
      <w:bookmarkStart w:id="31" w:name="_Toc4558"/>
      <w:bookmarkStart w:id="32" w:name="_Toc14943"/>
      <w:bookmarkStart w:id="33" w:name="_Toc24622"/>
      <w:bookmarkStart w:id="34" w:name="_Toc27514"/>
      <w:r>
        <w:rPr>
          <w:rFonts w:hint="eastAsia" w:ascii="宋体" w:hAnsi="宋体" w:cs="宋体"/>
          <w:color w:val="auto"/>
          <w:highlight w:val="none"/>
        </w:rPr>
        <w:t>一、说  明</w:t>
      </w:r>
      <w:bookmarkEnd w:id="19"/>
      <w:bookmarkEnd w:id="26"/>
      <w:bookmarkEnd w:id="27"/>
      <w:bookmarkEnd w:id="28"/>
      <w:bookmarkEnd w:id="29"/>
      <w:bookmarkEnd w:id="30"/>
      <w:bookmarkEnd w:id="31"/>
      <w:bookmarkEnd w:id="32"/>
      <w:bookmarkEnd w:id="33"/>
      <w:bookmarkEnd w:id="34"/>
    </w:p>
    <w:p w14:paraId="33918A48">
      <w:pPr>
        <w:pStyle w:val="3"/>
        <w:rPr>
          <w:rFonts w:hint="eastAsia" w:ascii="宋体" w:hAnsi="宋体" w:cs="宋体"/>
          <w:color w:val="auto"/>
          <w:highlight w:val="none"/>
        </w:rPr>
      </w:pPr>
      <w:bookmarkStart w:id="35" w:name="_Toc325725998"/>
      <w:bookmarkStart w:id="36" w:name="_Toc6162"/>
      <w:bookmarkStart w:id="37" w:name="_Toc9770"/>
      <w:bookmarkStart w:id="38" w:name="_Toc376936729"/>
      <w:bookmarkStart w:id="39" w:name="_Toc29862"/>
      <w:bookmarkStart w:id="40" w:name="_Toc4801"/>
      <w:bookmarkStart w:id="41" w:name="_Toc6553"/>
      <w:bookmarkStart w:id="42" w:name="_Toc26944"/>
      <w:bookmarkStart w:id="43" w:name="_Toc495666258"/>
      <w:bookmarkStart w:id="44" w:name="_Toc10415"/>
      <w:bookmarkStart w:id="45" w:name="_Toc495567941"/>
      <w:r>
        <w:rPr>
          <w:rFonts w:hint="eastAsia" w:ascii="宋体" w:hAnsi="宋体" w:cs="宋体"/>
          <w:color w:val="auto"/>
          <w:highlight w:val="none"/>
        </w:rPr>
        <w:t>1.适用范围</w:t>
      </w:r>
      <w:bookmarkEnd w:id="35"/>
      <w:bookmarkEnd w:id="36"/>
      <w:bookmarkEnd w:id="37"/>
      <w:bookmarkEnd w:id="38"/>
      <w:bookmarkEnd w:id="39"/>
      <w:bookmarkEnd w:id="40"/>
      <w:bookmarkEnd w:id="41"/>
      <w:bookmarkEnd w:id="42"/>
      <w:bookmarkEnd w:id="43"/>
      <w:bookmarkEnd w:id="44"/>
      <w:bookmarkEnd w:id="45"/>
    </w:p>
    <w:p w14:paraId="718AE5E7">
      <w:pPr>
        <w:spacing w:line="360" w:lineRule="auto"/>
        <w:ind w:firstLine="480" w:firstLineChars="200"/>
        <w:rPr>
          <w:rFonts w:hint="eastAsia" w:eastAsia="宋体"/>
          <w:color w:val="auto"/>
          <w:sz w:val="24"/>
          <w:szCs w:val="24"/>
          <w:highlight w:val="none"/>
          <w:lang w:val="zh-CN"/>
        </w:rPr>
      </w:pPr>
      <w:bookmarkStart w:id="46" w:name="_Toc376936730"/>
      <w:bookmarkStart w:id="47" w:name="_Toc325725999"/>
      <w:bookmarkStart w:id="48" w:name="_Toc21998"/>
      <w:bookmarkStart w:id="49" w:name="_Toc31556"/>
      <w:r>
        <w:rPr>
          <w:rFonts w:hint="eastAsia" w:eastAsia="宋体"/>
          <w:color w:val="auto"/>
          <w:sz w:val="24"/>
          <w:szCs w:val="24"/>
          <w:highlight w:val="none"/>
          <w:lang w:val="zh-CN"/>
        </w:rPr>
        <w:t>1.1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lang w:val="zh-CN"/>
        </w:rPr>
        <w:t>本次磋商活动依据采购人的采购计划，仅适用于本磋商文件中所叙述的项目。</w:t>
      </w:r>
    </w:p>
    <w:p w14:paraId="110163A9">
      <w:pPr>
        <w:pStyle w:val="3"/>
        <w:rPr>
          <w:rFonts w:hint="eastAsia" w:ascii="宋体" w:hAnsi="宋体" w:cs="宋体"/>
          <w:color w:val="auto"/>
          <w:highlight w:val="none"/>
        </w:rPr>
      </w:pPr>
      <w:bookmarkStart w:id="50" w:name="_Toc3225"/>
      <w:bookmarkStart w:id="51" w:name="_Toc495567942"/>
      <w:bookmarkStart w:id="52" w:name="_Toc3862"/>
      <w:bookmarkStart w:id="53" w:name="_Toc6012"/>
      <w:bookmarkStart w:id="54" w:name="_Toc25696"/>
      <w:bookmarkStart w:id="55" w:name="_Toc8780"/>
      <w:bookmarkStart w:id="56" w:name="_Toc495666259"/>
      <w:r>
        <w:rPr>
          <w:rFonts w:hint="eastAsia" w:ascii="宋体" w:hAnsi="宋体" w:cs="宋体"/>
          <w:color w:val="auto"/>
          <w:highlight w:val="none"/>
        </w:rPr>
        <w:t>2.采购方式、合格的</w:t>
      </w:r>
      <w:bookmarkEnd w:id="46"/>
      <w:bookmarkEnd w:id="47"/>
      <w:bookmarkEnd w:id="48"/>
      <w:r>
        <w:rPr>
          <w:rFonts w:hint="eastAsia" w:ascii="宋体" w:hAnsi="宋体" w:cs="宋体"/>
          <w:color w:val="auto"/>
          <w:highlight w:val="none"/>
        </w:rPr>
        <w:t>供应商</w:t>
      </w:r>
      <w:bookmarkEnd w:id="49"/>
      <w:bookmarkEnd w:id="50"/>
      <w:bookmarkEnd w:id="51"/>
      <w:bookmarkEnd w:id="52"/>
      <w:bookmarkEnd w:id="53"/>
      <w:bookmarkEnd w:id="54"/>
      <w:bookmarkEnd w:id="55"/>
      <w:bookmarkEnd w:id="56"/>
    </w:p>
    <w:p w14:paraId="51C7C53C">
      <w:pPr>
        <w:tabs>
          <w:tab w:val="left" w:pos="840"/>
        </w:tabs>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2.1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本次采购采取竞争性磋商。</w:t>
      </w:r>
    </w:p>
    <w:p w14:paraId="119852E9">
      <w:pPr>
        <w:tabs>
          <w:tab w:val="left" w:pos="840"/>
        </w:tabs>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2.2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合格的供应商：详见第一部分</w:t>
      </w:r>
      <w:r>
        <w:rPr>
          <w:rFonts w:hint="eastAsia" w:eastAsia="宋体"/>
          <w:color w:val="auto"/>
          <w:sz w:val="24"/>
          <w:szCs w:val="24"/>
          <w:highlight w:val="none"/>
          <w:lang w:eastAsia="zh-CN"/>
        </w:rPr>
        <w:t>“</w:t>
      </w:r>
      <w:r>
        <w:rPr>
          <w:rFonts w:hint="eastAsia" w:eastAsia="宋体"/>
          <w:color w:val="auto"/>
          <w:sz w:val="24"/>
          <w:szCs w:val="24"/>
          <w:highlight w:val="none"/>
        </w:rPr>
        <w:t>供应商资格条件”。</w:t>
      </w:r>
    </w:p>
    <w:p w14:paraId="584A6B71">
      <w:pPr>
        <w:pStyle w:val="3"/>
        <w:rPr>
          <w:rFonts w:hint="eastAsia" w:ascii="宋体" w:hAnsi="宋体" w:cs="宋体"/>
          <w:color w:val="auto"/>
          <w:highlight w:val="none"/>
        </w:rPr>
      </w:pPr>
      <w:bookmarkStart w:id="57" w:name="_Toc325726000"/>
      <w:bookmarkStart w:id="58" w:name="_Toc376936731"/>
      <w:bookmarkStart w:id="59" w:name="_Toc28381"/>
      <w:bookmarkStart w:id="60" w:name="_Toc495567943"/>
      <w:bookmarkStart w:id="61" w:name="_Toc8820"/>
      <w:bookmarkStart w:id="62" w:name="_Toc26310"/>
      <w:bookmarkStart w:id="63" w:name="_Toc10317"/>
      <w:bookmarkStart w:id="64" w:name="_Toc9402"/>
      <w:bookmarkStart w:id="65" w:name="_Toc495666260"/>
      <w:bookmarkStart w:id="66" w:name="_Toc4392"/>
      <w:bookmarkStart w:id="67" w:name="_Toc8805"/>
      <w:r>
        <w:rPr>
          <w:rFonts w:hint="eastAsia" w:ascii="宋体" w:hAnsi="宋体" w:cs="宋体"/>
          <w:color w:val="auto"/>
          <w:highlight w:val="none"/>
        </w:rPr>
        <w:t>3.磋商费用</w:t>
      </w:r>
      <w:bookmarkEnd w:id="57"/>
      <w:bookmarkEnd w:id="58"/>
      <w:bookmarkEnd w:id="59"/>
      <w:bookmarkEnd w:id="60"/>
      <w:bookmarkEnd w:id="61"/>
      <w:bookmarkEnd w:id="62"/>
      <w:bookmarkEnd w:id="63"/>
      <w:bookmarkEnd w:id="64"/>
      <w:bookmarkEnd w:id="65"/>
      <w:bookmarkEnd w:id="66"/>
      <w:bookmarkEnd w:id="67"/>
    </w:p>
    <w:p w14:paraId="34686EB9">
      <w:pPr>
        <w:tabs>
          <w:tab w:val="left" w:pos="840"/>
        </w:tabs>
        <w:spacing w:line="360" w:lineRule="auto"/>
        <w:ind w:firstLine="480"/>
        <w:rPr>
          <w:rFonts w:hint="eastAsia" w:eastAsia="宋体"/>
          <w:color w:val="auto"/>
          <w:sz w:val="24"/>
          <w:szCs w:val="24"/>
          <w:highlight w:val="none"/>
        </w:rPr>
      </w:pPr>
      <w:r>
        <w:rPr>
          <w:rFonts w:hint="eastAsia" w:eastAsia="宋体"/>
          <w:color w:val="auto"/>
          <w:sz w:val="24"/>
          <w:szCs w:val="24"/>
          <w:highlight w:val="none"/>
          <w:lang w:val="en-US" w:eastAsia="zh-CN"/>
        </w:rPr>
        <w:t xml:space="preserve">3.1 </w:t>
      </w:r>
      <w:r>
        <w:rPr>
          <w:rFonts w:hint="eastAsia" w:eastAsia="宋体"/>
          <w:color w:val="auto"/>
          <w:sz w:val="24"/>
          <w:szCs w:val="24"/>
          <w:highlight w:val="none"/>
        </w:rPr>
        <w:t>供应商应自愿承担与参加本次磋商有关的费用。采购代理机构对供应商发生的费用不承担任何责任。</w:t>
      </w:r>
      <w:bookmarkStart w:id="68" w:name="_Toc18155"/>
      <w:bookmarkStart w:id="69" w:name="_Toc376936732"/>
      <w:bookmarkStart w:id="70" w:name="_Toc325726001"/>
    </w:p>
    <w:p w14:paraId="60FA5971">
      <w:pPr>
        <w:pStyle w:val="2"/>
        <w:rPr>
          <w:rFonts w:hint="eastAsia" w:ascii="宋体" w:hAnsi="宋体" w:cs="宋体"/>
          <w:color w:val="auto"/>
          <w:highlight w:val="none"/>
          <w:lang w:val="zh-CN"/>
        </w:rPr>
      </w:pPr>
      <w:bookmarkStart w:id="71" w:name="_Toc10686"/>
      <w:bookmarkStart w:id="72" w:name="_Toc23474"/>
      <w:bookmarkStart w:id="73" w:name="_Toc20"/>
      <w:bookmarkStart w:id="74" w:name="_Toc9067"/>
      <w:bookmarkStart w:id="75" w:name="_Toc14238"/>
      <w:bookmarkStart w:id="76" w:name="_Toc3406"/>
      <w:r>
        <w:rPr>
          <w:rFonts w:hint="eastAsia" w:ascii="宋体" w:hAnsi="宋体" w:cs="宋体"/>
          <w:color w:val="auto"/>
          <w:highlight w:val="none"/>
          <w:lang w:val="zh-CN"/>
        </w:rPr>
        <w:t>二、磋商文件说明</w:t>
      </w:r>
      <w:bookmarkEnd w:id="68"/>
      <w:bookmarkEnd w:id="69"/>
      <w:bookmarkEnd w:id="70"/>
      <w:bookmarkEnd w:id="71"/>
      <w:bookmarkEnd w:id="72"/>
      <w:bookmarkEnd w:id="73"/>
      <w:bookmarkEnd w:id="74"/>
      <w:bookmarkEnd w:id="75"/>
      <w:bookmarkEnd w:id="76"/>
    </w:p>
    <w:p w14:paraId="13F917B5">
      <w:pPr>
        <w:pStyle w:val="3"/>
        <w:rPr>
          <w:rFonts w:hint="eastAsia" w:ascii="宋体" w:hAnsi="宋体" w:cs="宋体"/>
          <w:color w:val="auto"/>
          <w:highlight w:val="none"/>
        </w:rPr>
      </w:pPr>
      <w:bookmarkStart w:id="77" w:name="_Toc14931"/>
      <w:bookmarkStart w:id="78" w:name="_Toc325726002"/>
      <w:bookmarkStart w:id="79" w:name="_Toc10649"/>
      <w:bookmarkStart w:id="80" w:name="_Toc495567944"/>
      <w:bookmarkStart w:id="81" w:name="_Toc25704"/>
      <w:bookmarkStart w:id="82" w:name="_Toc14153"/>
      <w:bookmarkStart w:id="83" w:name="_Toc495666261"/>
      <w:bookmarkStart w:id="84" w:name="_Toc376936733"/>
      <w:bookmarkStart w:id="85" w:name="_Toc14488"/>
      <w:bookmarkStart w:id="86" w:name="_Toc15063"/>
      <w:bookmarkStart w:id="87" w:name="_Toc14225"/>
      <w:r>
        <w:rPr>
          <w:rFonts w:hint="eastAsia" w:ascii="宋体" w:hAnsi="宋体" w:cs="宋体"/>
          <w:color w:val="auto"/>
          <w:highlight w:val="none"/>
        </w:rPr>
        <w:t>4.磋商文件的构成</w:t>
      </w:r>
      <w:bookmarkEnd w:id="77"/>
      <w:bookmarkEnd w:id="78"/>
      <w:bookmarkEnd w:id="79"/>
      <w:bookmarkEnd w:id="80"/>
      <w:bookmarkEnd w:id="81"/>
      <w:bookmarkEnd w:id="82"/>
      <w:bookmarkEnd w:id="83"/>
      <w:bookmarkEnd w:id="84"/>
      <w:bookmarkEnd w:id="85"/>
      <w:bookmarkEnd w:id="86"/>
      <w:bookmarkEnd w:id="87"/>
    </w:p>
    <w:p w14:paraId="2B2AFBB0">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4.1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磋商文件包括：</w:t>
      </w:r>
    </w:p>
    <w:p w14:paraId="4C589A19">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（1）</w:t>
      </w:r>
      <w:r>
        <w:rPr>
          <w:rFonts w:hint="eastAsia" w:eastAsia="宋体"/>
          <w:color w:val="auto"/>
          <w:sz w:val="24"/>
          <w:szCs w:val="24"/>
          <w:highlight w:val="none"/>
          <w:lang w:val="en-US" w:eastAsia="zh-CN"/>
        </w:rPr>
        <w:t>竞争性磋商</w:t>
      </w:r>
      <w:r>
        <w:rPr>
          <w:rFonts w:hint="eastAsia" w:eastAsia="宋体"/>
          <w:color w:val="auto"/>
          <w:sz w:val="24"/>
          <w:szCs w:val="24"/>
          <w:highlight w:val="none"/>
        </w:rPr>
        <w:t>公告</w:t>
      </w:r>
    </w:p>
    <w:p w14:paraId="79F2115D">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（2）</w:t>
      </w:r>
      <w:r>
        <w:rPr>
          <w:rFonts w:hint="eastAsia" w:eastAsia="宋体"/>
          <w:color w:val="auto"/>
          <w:sz w:val="24"/>
          <w:szCs w:val="24"/>
          <w:highlight w:val="none"/>
          <w:lang w:val="zh-CN"/>
        </w:rPr>
        <w:t>供应商须知前附表</w:t>
      </w:r>
    </w:p>
    <w:p w14:paraId="52FB6F8F">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（3）供应商须知</w:t>
      </w:r>
    </w:p>
    <w:p w14:paraId="1A3B00FE">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（4）采购项目合同书</w:t>
      </w:r>
    </w:p>
    <w:p w14:paraId="0500190B">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（5）响应文件格式（相关附件）</w:t>
      </w:r>
    </w:p>
    <w:p w14:paraId="649CC8AA">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（6）采购项目要求</w:t>
      </w:r>
    </w:p>
    <w:p w14:paraId="6E4BA515">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（7）磋商过程中发生的澄清、变更和补充文件</w:t>
      </w:r>
    </w:p>
    <w:p w14:paraId="6BFF12D6">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4.2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供应商应认真阅读磋商文件中列示的事项、格式、条款和要求等内容。如果供应商未按磋商文件要求提交全部资料，或者对磋商文件未作出实质性响应的，将视为无效响应。</w:t>
      </w:r>
    </w:p>
    <w:p w14:paraId="61BDED4E">
      <w:pPr>
        <w:pStyle w:val="3"/>
        <w:rPr>
          <w:rFonts w:hint="eastAsia" w:ascii="宋体" w:hAnsi="宋体" w:cs="宋体"/>
          <w:color w:val="auto"/>
          <w:highlight w:val="none"/>
        </w:rPr>
      </w:pPr>
      <w:bookmarkStart w:id="88" w:name="_Toc376936734"/>
      <w:bookmarkStart w:id="89" w:name="_Toc325726003"/>
      <w:bookmarkStart w:id="90" w:name="_Toc4082"/>
      <w:bookmarkStart w:id="91" w:name="_Toc495567945"/>
      <w:bookmarkStart w:id="92" w:name="_Toc19933"/>
      <w:bookmarkStart w:id="93" w:name="_Toc3574"/>
      <w:bookmarkStart w:id="94" w:name="_Toc495666262"/>
      <w:bookmarkStart w:id="95" w:name="_Toc6482"/>
      <w:bookmarkStart w:id="96" w:name="_Toc16793"/>
      <w:bookmarkStart w:id="97" w:name="_Toc3451"/>
      <w:bookmarkStart w:id="98" w:name="_Toc5235"/>
      <w:r>
        <w:rPr>
          <w:rFonts w:hint="eastAsia" w:ascii="宋体" w:hAnsi="宋体" w:cs="宋体"/>
          <w:color w:val="auto"/>
          <w:highlight w:val="none"/>
        </w:rPr>
        <w:t>5.磋商文件的</w:t>
      </w:r>
      <w:bookmarkEnd w:id="88"/>
      <w:bookmarkEnd w:id="89"/>
      <w:r>
        <w:rPr>
          <w:rFonts w:hint="eastAsia" w:ascii="宋体" w:hAnsi="宋体" w:cs="宋体"/>
          <w:color w:val="auto"/>
          <w:highlight w:val="none"/>
        </w:rPr>
        <w:t>质疑</w:t>
      </w:r>
      <w:bookmarkEnd w:id="90"/>
      <w:bookmarkEnd w:id="91"/>
      <w:bookmarkEnd w:id="92"/>
      <w:bookmarkEnd w:id="93"/>
      <w:bookmarkEnd w:id="94"/>
      <w:bookmarkEnd w:id="95"/>
      <w:bookmarkEnd w:id="96"/>
      <w:bookmarkEnd w:id="97"/>
      <w:bookmarkEnd w:id="98"/>
    </w:p>
    <w:p w14:paraId="68115A33">
      <w:pPr>
        <w:spacing w:line="360" w:lineRule="auto"/>
        <w:ind w:firstLine="480"/>
        <w:rPr>
          <w:rFonts w:hint="eastAsia" w:eastAsia="宋体"/>
          <w:color w:val="auto"/>
          <w:sz w:val="24"/>
          <w:szCs w:val="24"/>
          <w:highlight w:val="none"/>
        </w:rPr>
      </w:pPr>
      <w:r>
        <w:rPr>
          <w:rFonts w:hint="eastAsia" w:eastAsia="宋体"/>
          <w:color w:val="auto"/>
          <w:sz w:val="24"/>
          <w:szCs w:val="24"/>
          <w:highlight w:val="none"/>
          <w:lang w:val="en-US" w:eastAsia="zh-CN"/>
        </w:rPr>
        <w:t xml:space="preserve">5.1 </w:t>
      </w:r>
      <w:r>
        <w:rPr>
          <w:rFonts w:hint="eastAsia" w:eastAsia="宋体"/>
          <w:color w:val="auto"/>
          <w:sz w:val="24"/>
          <w:szCs w:val="24"/>
          <w:highlight w:val="none"/>
        </w:rPr>
        <w:t>供应商对磋商文件有异议的，应在提交首次响应文件截止时间至少3日前以书面形式（邮寄）提出（不接受匿名质疑），采购代理机构在收到供应商的书面质疑后视情况予以答复，并将变更事宜在青海政府采购网上发布公告，告知本项目的所有潜在供应商。</w:t>
      </w:r>
    </w:p>
    <w:p w14:paraId="015C27AC">
      <w:pPr>
        <w:pStyle w:val="3"/>
        <w:rPr>
          <w:rFonts w:hint="eastAsia" w:ascii="宋体" w:hAnsi="宋体" w:cs="宋体"/>
          <w:color w:val="auto"/>
          <w:sz w:val="24"/>
          <w:szCs w:val="24"/>
          <w:highlight w:val="none"/>
        </w:rPr>
      </w:pPr>
      <w:bookmarkStart w:id="99" w:name="_Toc7330"/>
      <w:bookmarkStart w:id="100" w:name="_Toc3484"/>
      <w:bookmarkStart w:id="101" w:name="_Toc325726004"/>
      <w:bookmarkStart w:id="102" w:name="_Toc26515"/>
      <w:bookmarkStart w:id="103" w:name="_Toc495567946"/>
      <w:bookmarkStart w:id="104" w:name="_Toc1452"/>
      <w:bookmarkStart w:id="105" w:name="_Toc29772"/>
      <w:bookmarkStart w:id="106" w:name="_Toc13050"/>
      <w:bookmarkStart w:id="107" w:name="_Toc376936735"/>
      <w:bookmarkStart w:id="108" w:name="_Toc495666263"/>
      <w:bookmarkStart w:id="109" w:name="_Toc21821"/>
      <w:r>
        <w:rPr>
          <w:rFonts w:hint="eastAsia" w:ascii="宋体" w:hAnsi="宋体" w:cs="宋体"/>
          <w:color w:val="auto"/>
          <w:sz w:val="24"/>
          <w:szCs w:val="24"/>
          <w:highlight w:val="none"/>
        </w:rPr>
        <w:t>6.磋商文件的澄清、修改</w:t>
      </w:r>
      <w:bookmarkEnd w:id="99"/>
      <w:bookmarkEnd w:id="100"/>
      <w:bookmarkEnd w:id="101"/>
      <w:bookmarkEnd w:id="102"/>
      <w:bookmarkEnd w:id="103"/>
      <w:bookmarkEnd w:id="104"/>
      <w:bookmarkEnd w:id="105"/>
      <w:bookmarkEnd w:id="106"/>
      <w:bookmarkEnd w:id="107"/>
      <w:bookmarkEnd w:id="108"/>
      <w:bookmarkEnd w:id="109"/>
    </w:p>
    <w:p w14:paraId="50FC15B4">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6.1</w:t>
      </w:r>
      <w:r>
        <w:rPr>
          <w:rFonts w:hint="eastAsia" w:eastAsia="宋体"/>
          <w:color w:val="auto"/>
          <w:sz w:val="24"/>
          <w:szCs w:val="24"/>
          <w:highlight w:val="none"/>
          <w:lang w:val="en-US" w:eastAsia="zh-CN"/>
        </w:rPr>
        <w:t xml:space="preserve"> </w:t>
      </w:r>
      <w:r>
        <w:rPr>
          <w:rFonts w:hint="eastAsia" w:eastAsia="宋体"/>
          <w:snapToGrid w:val="0"/>
          <w:color w:val="auto"/>
          <w:sz w:val="24"/>
          <w:szCs w:val="24"/>
          <w:highlight w:val="none"/>
        </w:rPr>
        <w:t>提交首次响应文件截止之日前，采购代理机构可以对已发出的磋商文件进行必要的澄清或者修改，澄清或者修改的内容作为磋商文件的组成部分。澄清或者修改的内容可能影响响应文件编制的，采购代理机构应在提交首次响应文件截止时间至少5日前，以书面形式通知所有获取磋商文件的供应商；不足5日的，采购代理机构应当顺延提交首次响应文件截止时间。</w:t>
      </w:r>
    </w:p>
    <w:p w14:paraId="6EB0B400">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6.2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在提交响应文件截止时间前，采购代理机构可以视采购具体情况，延长提交响应文件截止时间和开启时间，并在磋商文件中要求的提交响应文件截止时间和开启时间的三日前，将变更公告发布在磋商公告同一媒介。</w:t>
      </w:r>
      <w:bookmarkStart w:id="110" w:name="_Toc325726005"/>
      <w:bookmarkStart w:id="111" w:name="_Toc23340"/>
      <w:bookmarkStart w:id="112" w:name="_Toc376936736"/>
    </w:p>
    <w:p w14:paraId="77D1EA55">
      <w:pPr>
        <w:pStyle w:val="2"/>
        <w:rPr>
          <w:rFonts w:hint="eastAsia" w:ascii="宋体" w:hAnsi="宋体" w:cs="宋体"/>
          <w:color w:val="auto"/>
          <w:highlight w:val="none"/>
        </w:rPr>
      </w:pPr>
      <w:bookmarkStart w:id="113" w:name="_Toc16601"/>
      <w:bookmarkStart w:id="114" w:name="_Toc21406"/>
      <w:bookmarkStart w:id="115" w:name="_Toc15885"/>
      <w:bookmarkStart w:id="116" w:name="_Toc2872"/>
      <w:bookmarkStart w:id="117" w:name="_Toc9495"/>
      <w:bookmarkStart w:id="118" w:name="_Toc17842"/>
      <w:r>
        <w:rPr>
          <w:rFonts w:hint="eastAsia" w:ascii="宋体" w:hAnsi="宋体" w:eastAsia="宋体" w:cs="宋体"/>
          <w:b/>
          <w:bCs/>
          <w:color w:val="auto"/>
          <w:highlight w:val="none"/>
        </w:rPr>
        <w:t>三、响</w:t>
      </w:r>
      <w:r>
        <w:rPr>
          <w:rFonts w:hint="eastAsia" w:ascii="宋体" w:hAnsi="宋体" w:cs="宋体"/>
          <w:color w:val="auto"/>
          <w:highlight w:val="none"/>
        </w:rPr>
        <w:t>应文件的编制</w:t>
      </w:r>
      <w:bookmarkEnd w:id="110"/>
      <w:bookmarkEnd w:id="111"/>
      <w:bookmarkEnd w:id="112"/>
      <w:bookmarkEnd w:id="113"/>
      <w:bookmarkEnd w:id="114"/>
      <w:bookmarkEnd w:id="115"/>
      <w:bookmarkEnd w:id="116"/>
      <w:bookmarkEnd w:id="117"/>
      <w:bookmarkEnd w:id="118"/>
    </w:p>
    <w:p w14:paraId="380D6EE6">
      <w:pPr>
        <w:pStyle w:val="3"/>
        <w:rPr>
          <w:rFonts w:hint="eastAsia" w:ascii="宋体" w:hAnsi="宋体" w:cs="宋体"/>
          <w:color w:val="auto"/>
          <w:highlight w:val="none"/>
        </w:rPr>
      </w:pPr>
      <w:bookmarkStart w:id="119" w:name="_Toc17482"/>
      <w:bookmarkStart w:id="120" w:name="_Toc495666264"/>
      <w:bookmarkStart w:id="121" w:name="_Toc25531"/>
      <w:bookmarkStart w:id="122" w:name="_Toc325726006"/>
      <w:bookmarkStart w:id="123" w:name="_Toc495567947"/>
      <w:bookmarkStart w:id="124" w:name="_Toc13057"/>
      <w:bookmarkStart w:id="125" w:name="_Toc9674"/>
      <w:bookmarkStart w:id="126" w:name="_Toc30951"/>
      <w:bookmarkStart w:id="127" w:name="_Toc12260"/>
      <w:bookmarkStart w:id="128" w:name="_Toc376936737"/>
      <w:bookmarkStart w:id="129" w:name="_Toc5438"/>
      <w:r>
        <w:rPr>
          <w:rFonts w:hint="eastAsia" w:ascii="宋体" w:hAnsi="宋体" w:cs="宋体"/>
          <w:color w:val="auto"/>
          <w:highlight w:val="none"/>
        </w:rPr>
        <w:t>7.响应文件的语言及度量衡单位</w:t>
      </w:r>
      <w:bookmarkEnd w:id="119"/>
      <w:bookmarkEnd w:id="120"/>
      <w:bookmarkEnd w:id="121"/>
      <w:bookmarkEnd w:id="122"/>
      <w:bookmarkEnd w:id="123"/>
      <w:bookmarkEnd w:id="124"/>
      <w:bookmarkEnd w:id="125"/>
      <w:bookmarkEnd w:id="126"/>
      <w:bookmarkEnd w:id="127"/>
      <w:bookmarkEnd w:id="128"/>
      <w:bookmarkEnd w:id="129"/>
    </w:p>
    <w:p w14:paraId="7413D423">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7.1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供应商提交的响应文件以及供应商与采购代理机构就此磋商发生的所有来往函电均应使用简体中文。</w:t>
      </w:r>
    </w:p>
    <w:p w14:paraId="184F9288">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7.2 除磋商文件中另有规定外，响应文件所使用的度量衡单位，均须采用国家法定计量单位。</w:t>
      </w:r>
    </w:p>
    <w:p w14:paraId="4026DD89">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7.3</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附有外文资料的，须翻译成中文并加盖供应商公章，如果翻译的中文资料与外文资料存在差异和矛盾时，以中文资料为准。其准确性由供应商负责。</w:t>
      </w:r>
    </w:p>
    <w:p w14:paraId="518FA61E">
      <w:pPr>
        <w:pStyle w:val="3"/>
        <w:rPr>
          <w:rFonts w:hint="eastAsia" w:ascii="宋体" w:hAnsi="宋体" w:cs="宋体"/>
          <w:color w:val="auto"/>
          <w:highlight w:val="none"/>
        </w:rPr>
      </w:pPr>
      <w:bookmarkStart w:id="130" w:name="_Toc495666265"/>
      <w:bookmarkStart w:id="131" w:name="_Toc29754"/>
      <w:bookmarkStart w:id="132" w:name="_Toc325726012"/>
      <w:bookmarkStart w:id="133" w:name="_Toc28488"/>
      <w:bookmarkStart w:id="134" w:name="_Toc21569"/>
      <w:bookmarkStart w:id="135" w:name="_Toc14844"/>
      <w:bookmarkStart w:id="136" w:name="_Toc8155"/>
      <w:bookmarkStart w:id="137" w:name="_Toc4187"/>
      <w:bookmarkStart w:id="138" w:name="_Toc376936743"/>
      <w:bookmarkStart w:id="139" w:name="_Toc495567948"/>
      <w:bookmarkStart w:id="140" w:name="_Toc17093"/>
      <w:r>
        <w:rPr>
          <w:rFonts w:hint="eastAsia" w:ascii="宋体" w:hAnsi="宋体" w:cs="宋体"/>
          <w:color w:val="auto"/>
          <w:highlight w:val="none"/>
        </w:rPr>
        <w:t>8.磋商保证金</w:t>
      </w:r>
      <w:bookmarkEnd w:id="130"/>
      <w:bookmarkEnd w:id="131"/>
      <w:bookmarkEnd w:id="132"/>
      <w:bookmarkEnd w:id="133"/>
      <w:bookmarkEnd w:id="134"/>
      <w:bookmarkEnd w:id="135"/>
      <w:bookmarkEnd w:id="136"/>
      <w:bookmarkEnd w:id="137"/>
      <w:bookmarkEnd w:id="138"/>
      <w:bookmarkEnd w:id="139"/>
      <w:bookmarkEnd w:id="140"/>
    </w:p>
    <w:p w14:paraId="58871B6E">
      <w:pPr>
        <w:autoSpaceDE w:val="0"/>
        <w:autoSpaceDN w:val="0"/>
        <w:spacing w:line="360" w:lineRule="auto"/>
        <w:ind w:firstLine="480" w:firstLineChars="200"/>
        <w:rPr>
          <w:rFonts w:hint="eastAsia" w:eastAsia="宋体"/>
          <w:color w:val="auto"/>
          <w:sz w:val="24"/>
          <w:szCs w:val="24"/>
          <w:highlight w:val="none"/>
          <w:lang w:val="zh-CN"/>
        </w:rPr>
      </w:pPr>
      <w:r>
        <w:rPr>
          <w:rFonts w:hint="eastAsia" w:eastAsia="宋体"/>
          <w:color w:val="auto"/>
          <w:sz w:val="24"/>
          <w:szCs w:val="24"/>
          <w:highlight w:val="none"/>
        </w:rPr>
        <w:t>8</w:t>
      </w:r>
      <w:r>
        <w:rPr>
          <w:rFonts w:hint="eastAsia" w:eastAsia="宋体"/>
          <w:color w:val="auto"/>
          <w:sz w:val="24"/>
          <w:szCs w:val="24"/>
          <w:highlight w:val="none"/>
          <w:lang w:val="zh-CN"/>
        </w:rPr>
        <w:t>.1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lang w:val="zh-CN"/>
        </w:rPr>
        <w:t>供应商须在磋商文件开启时间前缴纳磋商保证金；未成交供应商的磋商保证金在成交通知书发出后5个工作日内退还，成交供应商的磋商保证金在采购合同签订后5个工作日内退还。</w:t>
      </w:r>
    </w:p>
    <w:p w14:paraId="37F0761D">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lang w:val="zh-CN"/>
        </w:rPr>
        <w:t>8.2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lang w:val="zh-CN"/>
        </w:rPr>
        <w:t>磋商保证金由供应商的基本账户以转款方式直接缴入“青海中旭工程项目管理有限公司”指定账户</w:t>
      </w:r>
      <w:r>
        <w:rPr>
          <w:rFonts w:hint="eastAsia" w:eastAsia="宋体"/>
          <w:color w:val="auto"/>
          <w:sz w:val="24"/>
          <w:szCs w:val="24"/>
          <w:highlight w:val="none"/>
        </w:rPr>
        <w:t>。</w:t>
      </w:r>
    </w:p>
    <w:p w14:paraId="357DA0E0">
      <w:pPr>
        <w:autoSpaceDE w:val="0"/>
        <w:autoSpaceDN w:val="0"/>
        <w:spacing w:line="360" w:lineRule="auto"/>
        <w:ind w:firstLine="480" w:firstLineChars="200"/>
        <w:rPr>
          <w:rFonts w:hint="eastAsia" w:eastAsia="宋体"/>
          <w:color w:val="auto"/>
          <w:sz w:val="24"/>
          <w:szCs w:val="24"/>
          <w:highlight w:val="none"/>
        </w:rPr>
      </w:pPr>
      <w:r>
        <w:rPr>
          <w:rFonts w:hint="eastAsia" w:ascii="宋体" w:hAnsi="宋体" w:eastAsia="宋体" w:cs="宋体"/>
          <w:color w:val="auto"/>
          <w:sz w:val="24"/>
          <w:szCs w:val="24"/>
          <w:highlight w:val="none"/>
        </w:rPr>
        <w:t>8.3</w:t>
      </w:r>
      <w:r>
        <w:rPr>
          <w:rFonts w:hint="eastAsia" w:eastAsia="宋体" w:cs="宋体"/>
          <w:color w:val="auto"/>
          <w:sz w:val="24"/>
          <w:szCs w:val="24"/>
          <w:highlight w:val="none"/>
          <w:lang w:val="en-US" w:eastAsia="zh-CN"/>
        </w:rPr>
        <w:t xml:space="preserve"> </w:t>
      </w:r>
      <w:r>
        <w:rPr>
          <w:rFonts w:hint="eastAsia" w:eastAsia="宋体"/>
          <w:color w:val="auto"/>
          <w:sz w:val="24"/>
          <w:szCs w:val="24"/>
          <w:highlight w:val="none"/>
        </w:rPr>
        <w:t>有下列情形之一的，磋商保证金不予退还：</w:t>
      </w:r>
    </w:p>
    <w:p w14:paraId="1673A80D">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（1）供应商在提交响应文件截止时间后撤回响应文件的；</w:t>
      </w:r>
    </w:p>
    <w:p w14:paraId="6D1D3406">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（2）供应商在响应文件中提供虚假材料的；</w:t>
      </w:r>
    </w:p>
    <w:p w14:paraId="1D27A5B6">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（3）除因不可抗力或磋商文件认可的情形以外，成交供应商不与采购人签订合同的；</w:t>
      </w:r>
    </w:p>
    <w:p w14:paraId="03668957">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（4）供应商与采购人、其他供应商或者采购代理机构恶意串通的；</w:t>
      </w:r>
    </w:p>
    <w:p w14:paraId="28396B13">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（5）磋商文件规定的其他情形。</w:t>
      </w:r>
    </w:p>
    <w:p w14:paraId="18AB08B1">
      <w:pPr>
        <w:pStyle w:val="3"/>
        <w:rPr>
          <w:rFonts w:hint="eastAsia" w:ascii="宋体" w:hAnsi="宋体" w:cs="宋体"/>
          <w:color w:val="auto"/>
          <w:highlight w:val="none"/>
        </w:rPr>
      </w:pPr>
      <w:bookmarkStart w:id="141" w:name="_Toc376936744"/>
      <w:bookmarkStart w:id="142" w:name="_Toc32704"/>
      <w:bookmarkStart w:id="143" w:name="_Toc25550"/>
      <w:bookmarkStart w:id="144" w:name="_Toc495666266"/>
      <w:bookmarkStart w:id="145" w:name="_Toc325726013"/>
      <w:bookmarkStart w:id="146" w:name="_Toc495567949"/>
      <w:bookmarkStart w:id="147" w:name="_Toc22044"/>
      <w:bookmarkStart w:id="148" w:name="_Toc32153"/>
      <w:bookmarkStart w:id="149" w:name="_Toc12375"/>
      <w:bookmarkStart w:id="150" w:name="_Toc1565"/>
      <w:bookmarkStart w:id="151" w:name="_Toc23692"/>
      <w:r>
        <w:rPr>
          <w:rFonts w:hint="eastAsia" w:ascii="宋体" w:hAnsi="宋体" w:cs="宋体"/>
          <w:color w:val="auto"/>
          <w:highlight w:val="none"/>
        </w:rPr>
        <w:t>9.磋商有效期</w:t>
      </w:r>
      <w:bookmarkEnd w:id="141"/>
      <w:bookmarkEnd w:id="142"/>
      <w:bookmarkEnd w:id="143"/>
      <w:bookmarkEnd w:id="144"/>
      <w:bookmarkEnd w:id="145"/>
      <w:bookmarkEnd w:id="146"/>
      <w:bookmarkEnd w:id="147"/>
      <w:bookmarkEnd w:id="148"/>
      <w:bookmarkEnd w:id="149"/>
      <w:bookmarkEnd w:id="150"/>
      <w:bookmarkEnd w:id="151"/>
    </w:p>
    <w:p w14:paraId="431C74EE">
      <w:pPr>
        <w:spacing w:line="360" w:lineRule="auto"/>
        <w:ind w:firstLine="480" w:firstLineChars="200"/>
        <w:rPr>
          <w:rFonts w:hint="eastAsia" w:eastAsia="宋体"/>
          <w:color w:val="auto"/>
          <w:sz w:val="24"/>
          <w:szCs w:val="24"/>
          <w:highlight w:val="none"/>
          <w:lang w:eastAsia="zh-CN"/>
        </w:rPr>
      </w:pPr>
      <w:r>
        <w:rPr>
          <w:rFonts w:hint="eastAsia" w:eastAsia="宋体"/>
          <w:color w:val="auto"/>
          <w:sz w:val="24"/>
          <w:szCs w:val="24"/>
          <w:highlight w:val="none"/>
          <w:lang w:val="en-US" w:eastAsia="zh-CN"/>
        </w:rPr>
        <w:t xml:space="preserve">9.1 </w:t>
      </w:r>
      <w:r>
        <w:rPr>
          <w:rFonts w:hint="eastAsia" w:eastAsia="宋体"/>
          <w:color w:val="auto"/>
          <w:sz w:val="24"/>
          <w:szCs w:val="24"/>
          <w:highlight w:val="none"/>
        </w:rPr>
        <w:t>磋商有效期为自磋商开始之日起60</w:t>
      </w:r>
      <w:r>
        <w:rPr>
          <w:rFonts w:hint="eastAsia" w:eastAsia="宋体"/>
          <w:color w:val="auto"/>
          <w:sz w:val="24"/>
          <w:szCs w:val="24"/>
          <w:highlight w:val="none"/>
          <w:lang w:val="en-US" w:eastAsia="zh-CN"/>
        </w:rPr>
        <w:t>日历日</w:t>
      </w:r>
      <w:r>
        <w:rPr>
          <w:rFonts w:hint="eastAsia" w:eastAsia="宋体"/>
          <w:color w:val="auto"/>
          <w:sz w:val="24"/>
          <w:szCs w:val="24"/>
          <w:highlight w:val="none"/>
          <w:lang w:eastAsia="zh-CN"/>
        </w:rPr>
        <w:t>。</w:t>
      </w:r>
    </w:p>
    <w:p w14:paraId="783158EA">
      <w:pPr>
        <w:pStyle w:val="3"/>
        <w:rPr>
          <w:rFonts w:hint="eastAsia" w:ascii="宋体" w:hAnsi="宋体" w:cs="宋体"/>
          <w:color w:val="auto"/>
          <w:highlight w:val="none"/>
        </w:rPr>
      </w:pPr>
      <w:bookmarkStart w:id="152" w:name="_Toc2936"/>
      <w:bookmarkStart w:id="153" w:name="_Toc16445"/>
      <w:bookmarkStart w:id="154" w:name="_Toc19708"/>
      <w:bookmarkStart w:id="155" w:name="_Toc22217"/>
      <w:bookmarkStart w:id="156" w:name="_Toc325726008"/>
      <w:bookmarkStart w:id="157" w:name="_Toc9321"/>
      <w:bookmarkStart w:id="158" w:name="_Toc7850"/>
      <w:bookmarkStart w:id="159" w:name="_Toc376936739"/>
      <w:bookmarkStart w:id="160" w:name="_Toc31915"/>
      <w:bookmarkStart w:id="161" w:name="_Toc495567950"/>
      <w:bookmarkStart w:id="162" w:name="_Toc495666267"/>
      <w:r>
        <w:rPr>
          <w:rFonts w:hint="eastAsia" w:ascii="宋体" w:hAnsi="宋体" w:cs="宋体"/>
          <w:color w:val="auto"/>
          <w:highlight w:val="none"/>
        </w:rPr>
        <w:t>10.响应文件构成</w:t>
      </w:r>
      <w:bookmarkEnd w:id="152"/>
      <w:bookmarkEnd w:id="153"/>
      <w:bookmarkEnd w:id="154"/>
      <w:bookmarkEnd w:id="155"/>
      <w:bookmarkEnd w:id="156"/>
      <w:bookmarkEnd w:id="157"/>
      <w:bookmarkEnd w:id="158"/>
      <w:bookmarkEnd w:id="159"/>
      <w:bookmarkEnd w:id="160"/>
      <w:bookmarkEnd w:id="161"/>
      <w:bookmarkEnd w:id="162"/>
    </w:p>
    <w:p w14:paraId="065652D4">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10</w:t>
      </w:r>
      <w:r>
        <w:rPr>
          <w:rFonts w:hint="eastAsia" w:eastAsia="宋体"/>
          <w:color w:val="auto"/>
          <w:sz w:val="24"/>
          <w:szCs w:val="24"/>
          <w:highlight w:val="none"/>
          <w:lang w:val="zh-CN"/>
        </w:rPr>
        <w:t>.1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供应商应提交相关证明材料，作为其参加磋商和成交后有能力履行合同的证明。编写的响应文件须包括以下内容（格式详见磋商文件第五部分内容）：</w:t>
      </w:r>
    </w:p>
    <w:p w14:paraId="449EF7DB">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10.1.1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磋商响应文件；</w:t>
      </w:r>
    </w:p>
    <w:p w14:paraId="09EE4649">
      <w:pPr>
        <w:spacing w:line="360" w:lineRule="auto"/>
        <w:ind w:firstLine="480" w:firstLineChars="200"/>
        <w:rPr>
          <w:rFonts w:hint="eastAsia"/>
          <w:color w:val="auto"/>
          <w:sz w:val="24"/>
          <w:szCs w:val="22"/>
          <w:highlight w:val="none"/>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_Toc24100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1、磋商函</w:t>
      </w:r>
      <w:r>
        <w:rPr>
          <w:rFonts w:hint="eastAsia" w:eastAsia="宋体"/>
          <w:color w:val="auto"/>
          <w:sz w:val="24"/>
          <w:szCs w:val="22"/>
          <w:highlight w:val="none"/>
          <w:lang w:val="zh-CN"/>
        </w:rPr>
        <w:fldChar w:fldCharType="end"/>
      </w:r>
      <w:r>
        <w:rPr>
          <w:rFonts w:hint="eastAsia"/>
          <w:color w:val="auto"/>
          <w:sz w:val="24"/>
          <w:szCs w:val="22"/>
          <w:highlight w:val="none"/>
        </w:rPr>
        <w:tab/>
      </w:r>
    </w:p>
    <w:p w14:paraId="6D6AB8EC">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_Toc15138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2、法定代表人证明书</w:t>
      </w:r>
      <w:r>
        <w:rPr>
          <w:rFonts w:hint="eastAsia" w:eastAsia="宋体"/>
          <w:color w:val="auto"/>
          <w:sz w:val="24"/>
          <w:szCs w:val="22"/>
          <w:highlight w:val="none"/>
          <w:lang w:val="zh-CN"/>
        </w:rPr>
        <w:fldChar w:fldCharType="end"/>
      </w:r>
    </w:p>
    <w:p w14:paraId="44CAEB88">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_Toc27402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3、法定代表人授权书</w:t>
      </w:r>
      <w:r>
        <w:rPr>
          <w:rFonts w:hint="eastAsia" w:eastAsia="宋体"/>
          <w:color w:val="auto"/>
          <w:sz w:val="24"/>
          <w:szCs w:val="22"/>
          <w:highlight w:val="none"/>
          <w:lang w:val="zh-CN"/>
        </w:rPr>
        <w:fldChar w:fldCharType="end"/>
      </w:r>
    </w:p>
    <w:p w14:paraId="28991CC7">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_Toc14487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4、磋商供应商承诺书</w:t>
      </w:r>
      <w:r>
        <w:rPr>
          <w:rFonts w:hint="eastAsia" w:eastAsia="宋体"/>
          <w:color w:val="auto"/>
          <w:sz w:val="24"/>
          <w:szCs w:val="22"/>
          <w:highlight w:val="none"/>
          <w:lang w:val="zh-CN"/>
        </w:rPr>
        <w:fldChar w:fldCharType="end"/>
      </w:r>
    </w:p>
    <w:p w14:paraId="2DD0506F">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_Toc25171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5、供应商诚信承诺书</w:t>
      </w:r>
      <w:r>
        <w:rPr>
          <w:rFonts w:hint="eastAsia" w:eastAsia="宋体"/>
          <w:color w:val="auto"/>
          <w:sz w:val="24"/>
          <w:szCs w:val="22"/>
          <w:highlight w:val="none"/>
          <w:lang w:val="zh-CN"/>
        </w:rPr>
        <w:fldChar w:fldCharType="end"/>
      </w:r>
    </w:p>
    <w:p w14:paraId="0FF065FF">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_Toc28522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6、资格证明材料</w:t>
      </w:r>
      <w:r>
        <w:rPr>
          <w:rFonts w:hint="eastAsia" w:eastAsia="宋体"/>
          <w:color w:val="auto"/>
          <w:sz w:val="24"/>
          <w:szCs w:val="22"/>
          <w:highlight w:val="none"/>
          <w:lang w:val="zh-CN"/>
        </w:rPr>
        <w:fldChar w:fldCharType="end"/>
      </w:r>
    </w:p>
    <w:p w14:paraId="473A723F">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_Toc9458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7、财务状况、缴纳税收和社会保障资金证明</w:t>
      </w:r>
      <w:r>
        <w:rPr>
          <w:rFonts w:hint="eastAsia" w:eastAsia="宋体"/>
          <w:color w:val="auto"/>
          <w:sz w:val="24"/>
          <w:szCs w:val="22"/>
          <w:highlight w:val="none"/>
          <w:lang w:val="zh-CN"/>
        </w:rPr>
        <w:fldChar w:fldCharType="end"/>
      </w:r>
    </w:p>
    <w:p w14:paraId="2C9C4625">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_Toc15071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8、具备履行合同所必须的设备和专业技术能力证明</w:t>
      </w:r>
    </w:p>
    <w:p w14:paraId="0A836109">
      <w:pPr>
        <w:spacing w:line="360" w:lineRule="auto"/>
        <w:rPr>
          <w:rFonts w:hint="eastAsia" w:eastAsia="宋体"/>
          <w:color w:val="auto"/>
          <w:sz w:val="24"/>
          <w:szCs w:val="22"/>
          <w:highlight w:val="none"/>
          <w:lang w:val="zh-CN"/>
        </w:rPr>
      </w:pPr>
      <w:r>
        <w:rPr>
          <w:rFonts w:hint="eastAsia" w:eastAsia="宋体"/>
          <w:color w:val="auto"/>
          <w:sz w:val="24"/>
          <w:szCs w:val="22"/>
          <w:highlight w:val="none"/>
          <w:lang w:val="zh-CN"/>
        </w:rPr>
        <w:fldChar w:fldCharType="end"/>
      </w:r>
      <w:r>
        <w:rPr>
          <w:rFonts w:hint="eastAsia" w:eastAsia="宋体"/>
          <w:color w:val="auto"/>
          <w:sz w:val="24"/>
          <w:szCs w:val="22"/>
          <w:highlight w:val="none"/>
          <w:lang w:val="en-US" w:eastAsia="zh-CN"/>
        </w:rPr>
        <w:t xml:space="preserve">    </w:t>
      </w:r>
      <w:r>
        <w:rPr>
          <w:rFonts w:hint="eastAsia" w:eastAsia="宋体"/>
          <w:color w:val="auto"/>
          <w:sz w:val="24"/>
          <w:szCs w:val="22"/>
          <w:highlight w:val="none"/>
        </w:rPr>
        <w:t>9、磋商保证金证明</w:t>
      </w:r>
    </w:p>
    <w:p w14:paraId="211B5137">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_Toc11963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10、无重大违法记录声明</w:t>
      </w:r>
      <w:r>
        <w:rPr>
          <w:rFonts w:hint="eastAsia" w:eastAsia="宋体"/>
          <w:color w:val="auto"/>
          <w:sz w:val="24"/>
          <w:szCs w:val="22"/>
          <w:highlight w:val="none"/>
          <w:lang w:val="zh-CN"/>
        </w:rPr>
        <w:fldChar w:fldCharType="end"/>
      </w:r>
    </w:p>
    <w:p w14:paraId="4D7A97A2">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_Toc26289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11、未被列入“失信被执行人”的承诺</w:t>
      </w:r>
      <w:r>
        <w:rPr>
          <w:rFonts w:hint="eastAsia" w:eastAsia="宋体"/>
          <w:color w:val="auto"/>
          <w:sz w:val="24"/>
          <w:szCs w:val="22"/>
          <w:highlight w:val="none"/>
          <w:lang w:val="zh-CN"/>
        </w:rPr>
        <w:fldChar w:fldCharType="end"/>
      </w:r>
    </w:p>
    <w:p w14:paraId="049067EB">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_Toc9955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12、评分对照表</w:t>
      </w:r>
      <w:r>
        <w:rPr>
          <w:rFonts w:hint="eastAsia" w:eastAsia="宋体"/>
          <w:color w:val="auto"/>
          <w:sz w:val="24"/>
          <w:szCs w:val="22"/>
          <w:highlight w:val="none"/>
          <w:lang w:val="zh-CN"/>
        </w:rPr>
        <w:fldChar w:fldCharType="end"/>
      </w:r>
    </w:p>
    <w:p w14:paraId="12D5DC4E">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_Toc1532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13、竞争性磋商首次报价表</w:t>
      </w:r>
      <w:r>
        <w:rPr>
          <w:rFonts w:hint="eastAsia" w:eastAsia="宋体"/>
          <w:color w:val="auto"/>
          <w:sz w:val="24"/>
          <w:szCs w:val="22"/>
          <w:highlight w:val="none"/>
          <w:lang w:val="zh-CN"/>
        </w:rPr>
        <w:fldChar w:fldCharType="end"/>
      </w:r>
    </w:p>
    <w:p w14:paraId="46C14E60">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_Toc16850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14、分项报价表</w:t>
      </w:r>
      <w:r>
        <w:rPr>
          <w:rFonts w:hint="eastAsia" w:eastAsia="宋体"/>
          <w:color w:val="auto"/>
          <w:sz w:val="24"/>
          <w:szCs w:val="22"/>
          <w:highlight w:val="none"/>
          <w:lang w:val="zh-CN"/>
        </w:rPr>
        <w:fldChar w:fldCharType="end"/>
      </w:r>
    </w:p>
    <w:p w14:paraId="54DBDB88">
      <w:pPr>
        <w:numPr>
          <w:ilvl w:val="0"/>
          <w:numId w:val="4"/>
        </w:numPr>
        <w:spacing w:line="360" w:lineRule="auto"/>
        <w:ind w:firstLine="480" w:firstLineChars="200"/>
        <w:rPr>
          <w:rFonts w:hint="eastAsia" w:eastAsia="宋体"/>
          <w:color w:val="auto"/>
          <w:sz w:val="24"/>
          <w:szCs w:val="22"/>
          <w:highlight w:val="none"/>
          <w:lang w:val="en-US" w:eastAsia="zh-CN"/>
        </w:rPr>
      </w:pPr>
      <w:r>
        <w:rPr>
          <w:rFonts w:hint="eastAsia" w:eastAsia="宋体"/>
          <w:color w:val="auto"/>
          <w:sz w:val="24"/>
          <w:szCs w:val="22"/>
          <w:highlight w:val="none"/>
          <w:lang w:val="en-US" w:eastAsia="zh-CN"/>
        </w:rPr>
        <w:t>技术规格响应表</w:t>
      </w:r>
    </w:p>
    <w:p w14:paraId="60D29083">
      <w:pPr>
        <w:spacing w:line="360" w:lineRule="auto"/>
        <w:ind w:firstLine="480" w:firstLineChars="200"/>
        <w:rPr>
          <w:rFonts w:hint="eastAsia" w:eastAsia="宋体"/>
          <w:color w:val="auto"/>
          <w:sz w:val="24"/>
          <w:szCs w:val="22"/>
          <w:highlight w:val="none"/>
          <w:lang w:val="en-US" w:eastAsia="zh-CN"/>
        </w:rPr>
      </w:pPr>
      <w:r>
        <w:rPr>
          <w:rFonts w:hint="eastAsia" w:eastAsia="宋体"/>
          <w:color w:val="auto"/>
          <w:sz w:val="24"/>
          <w:szCs w:val="22"/>
          <w:highlight w:val="none"/>
          <w:lang w:val="en-US" w:eastAsia="zh-CN"/>
        </w:rPr>
        <w:t>16、</w:t>
      </w:r>
      <w:r>
        <w:rPr>
          <w:rFonts w:hint="eastAsia" w:eastAsia="宋体"/>
          <w:color w:val="auto"/>
          <w:sz w:val="24"/>
          <w:szCs w:val="22"/>
          <w:highlight w:val="none"/>
          <w:lang w:val="zh-CN"/>
        </w:rPr>
        <w:t>磋商产品相关资料</w:t>
      </w:r>
    </w:p>
    <w:p w14:paraId="161531D1">
      <w:pPr>
        <w:numPr>
          <w:ilvl w:val="0"/>
          <w:numId w:val="0"/>
        </w:num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en-US" w:eastAsia="zh-CN"/>
        </w:rPr>
        <w:t>17、</w:t>
      </w: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_Toc6753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实施方案</w:t>
      </w:r>
      <w:r>
        <w:rPr>
          <w:rFonts w:hint="eastAsia" w:eastAsia="宋体"/>
          <w:color w:val="auto"/>
          <w:sz w:val="24"/>
          <w:szCs w:val="22"/>
          <w:highlight w:val="none"/>
          <w:lang w:val="zh-CN"/>
        </w:rPr>
        <w:fldChar w:fldCharType="end"/>
      </w:r>
    </w:p>
    <w:p w14:paraId="18CBBB1F">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_Toc26157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1</w:t>
      </w:r>
      <w:r>
        <w:rPr>
          <w:rFonts w:hint="eastAsia" w:eastAsia="宋体"/>
          <w:color w:val="auto"/>
          <w:sz w:val="24"/>
          <w:szCs w:val="22"/>
          <w:highlight w:val="none"/>
          <w:lang w:val="en-US" w:eastAsia="zh-CN"/>
        </w:rPr>
        <w:t>8</w:t>
      </w:r>
      <w:r>
        <w:rPr>
          <w:rFonts w:hint="eastAsia" w:eastAsia="宋体"/>
          <w:color w:val="auto"/>
          <w:sz w:val="24"/>
          <w:szCs w:val="22"/>
          <w:highlight w:val="none"/>
          <w:lang w:val="zh-CN"/>
        </w:rPr>
        <w:t>、供应商的业绩证明材料</w:t>
      </w:r>
      <w:r>
        <w:rPr>
          <w:rFonts w:hint="eastAsia" w:eastAsia="宋体"/>
          <w:color w:val="auto"/>
          <w:sz w:val="24"/>
          <w:szCs w:val="22"/>
          <w:highlight w:val="none"/>
          <w:lang w:val="zh-CN"/>
        </w:rPr>
        <w:fldChar w:fldCharType="end"/>
      </w:r>
    </w:p>
    <w:p w14:paraId="2A314854">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_Toc22397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en-US" w:eastAsia="zh-CN"/>
        </w:rPr>
        <w:t>19</w:t>
      </w:r>
      <w:r>
        <w:rPr>
          <w:rFonts w:hint="eastAsia" w:eastAsia="宋体"/>
          <w:color w:val="auto"/>
          <w:sz w:val="24"/>
          <w:szCs w:val="22"/>
          <w:highlight w:val="none"/>
          <w:lang w:val="zh-CN"/>
        </w:rPr>
        <w:t>、项目管理机构人员配备</w:t>
      </w:r>
    </w:p>
    <w:p w14:paraId="6444D600">
      <w:pPr>
        <w:spacing w:line="360" w:lineRule="auto"/>
        <w:ind w:firstLine="480" w:firstLineChars="200"/>
        <w:rPr>
          <w:rFonts w:hint="eastAsia" w:eastAsia="宋体"/>
          <w:color w:val="auto"/>
          <w:sz w:val="24"/>
          <w:szCs w:val="22"/>
          <w:highlight w:val="none"/>
          <w:lang w:val="zh-CN"/>
        </w:rPr>
      </w:pPr>
      <w:r>
        <w:rPr>
          <w:rFonts w:hint="eastAsia" w:eastAsia="宋体"/>
          <w:color w:val="auto"/>
          <w:sz w:val="24"/>
          <w:szCs w:val="22"/>
          <w:highlight w:val="none"/>
          <w:lang w:val="en-US" w:eastAsia="zh-CN"/>
        </w:rPr>
        <w:t>20</w:t>
      </w:r>
      <w:r>
        <w:rPr>
          <w:rFonts w:hint="eastAsia" w:eastAsia="宋体"/>
          <w:color w:val="auto"/>
          <w:sz w:val="24"/>
          <w:szCs w:val="22"/>
          <w:highlight w:val="none"/>
        </w:rPr>
        <w:t>、</w:t>
      </w:r>
      <w:r>
        <w:rPr>
          <w:rFonts w:hint="eastAsia" w:eastAsia="宋体"/>
          <w:color w:val="auto"/>
          <w:sz w:val="24"/>
          <w:szCs w:val="22"/>
          <w:highlight w:val="none"/>
          <w:lang w:val="zh-CN"/>
        </w:rPr>
        <w:fldChar w:fldCharType="begin"/>
      </w:r>
      <w:r>
        <w:rPr>
          <w:rFonts w:hint="eastAsia" w:eastAsia="宋体"/>
          <w:color w:val="auto"/>
          <w:sz w:val="24"/>
          <w:szCs w:val="22"/>
          <w:highlight w:val="none"/>
          <w:lang w:val="zh-CN"/>
        </w:rPr>
        <w:instrText xml:space="preserve"> HYPERLINK \l _Toc31467 </w:instrText>
      </w:r>
      <w:r>
        <w:rPr>
          <w:rFonts w:hint="eastAsia" w:eastAsia="宋体"/>
          <w:color w:val="auto"/>
          <w:sz w:val="24"/>
          <w:szCs w:val="22"/>
          <w:highlight w:val="none"/>
          <w:lang w:val="zh-CN"/>
        </w:rPr>
        <w:fldChar w:fldCharType="separate"/>
      </w:r>
      <w:r>
        <w:rPr>
          <w:rFonts w:hint="eastAsia" w:eastAsia="宋体"/>
          <w:color w:val="auto"/>
          <w:sz w:val="24"/>
          <w:szCs w:val="22"/>
          <w:highlight w:val="none"/>
          <w:lang w:val="zh-CN"/>
        </w:rPr>
        <w:t>磋商供应商认为在其他方面有必要说明的事项</w:t>
      </w:r>
      <w:r>
        <w:rPr>
          <w:rFonts w:hint="eastAsia" w:eastAsia="宋体"/>
          <w:color w:val="auto"/>
          <w:sz w:val="24"/>
          <w:szCs w:val="22"/>
          <w:highlight w:val="none"/>
          <w:lang w:val="zh-CN"/>
        </w:rPr>
        <w:fldChar w:fldCharType="end"/>
      </w:r>
      <w:r>
        <w:rPr>
          <w:rFonts w:hint="eastAsia" w:eastAsia="宋体"/>
          <w:color w:val="auto"/>
          <w:sz w:val="24"/>
          <w:szCs w:val="22"/>
          <w:highlight w:val="none"/>
          <w:lang w:val="zh-CN"/>
        </w:rPr>
        <w:fldChar w:fldCharType="end"/>
      </w:r>
    </w:p>
    <w:p w14:paraId="0BB98E21">
      <w:pPr>
        <w:pageBreakBefore w:val="0"/>
        <w:kinsoku/>
        <w:overflowPunct/>
        <w:topLinePunct w:val="0"/>
        <w:bidi w:val="0"/>
        <w:spacing w:line="360" w:lineRule="auto"/>
        <w:ind w:firstLine="480" w:firstLineChars="200"/>
        <w:rPr>
          <w:rFonts w:hint="eastAsia" w:ascii="宋体" w:hAnsi="宋体" w:eastAsia="宋体" w:cs="宋体"/>
          <w:color w:val="auto"/>
          <w:sz w:val="24"/>
          <w:szCs w:val="24"/>
          <w:highlight w:val="none"/>
          <w:lang w:eastAsia="zh-CN"/>
        </w:rPr>
      </w:pPr>
      <w:r>
        <w:rPr>
          <w:rFonts w:hint="eastAsia" w:eastAsia="宋体" w:cs="宋体"/>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磋商最终报价表（单独提交）</w:t>
      </w:r>
    </w:p>
    <w:p w14:paraId="04A04BBF">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注：磋商文件要求签字、盖章的地方必须由供应商的法定代表人或委托代理人按要求签字、盖章；供应商提供的扫描（或复印）件均需加盖公章。供应商须按上述内容、顺序和格式编制响应文件，并按要求编制目录、页码。</w:t>
      </w:r>
    </w:p>
    <w:p w14:paraId="0417E897">
      <w:pPr>
        <w:pStyle w:val="3"/>
        <w:rPr>
          <w:rFonts w:hint="eastAsia" w:ascii="宋体" w:hAnsi="宋体" w:cs="宋体"/>
          <w:color w:val="auto"/>
          <w:highlight w:val="none"/>
        </w:rPr>
      </w:pPr>
      <w:bookmarkStart w:id="163" w:name="_Toc28365"/>
      <w:bookmarkStart w:id="164" w:name="_Toc21997"/>
      <w:bookmarkStart w:id="165" w:name="_Toc17237"/>
      <w:bookmarkStart w:id="166" w:name="_Toc21957"/>
      <w:bookmarkStart w:id="167" w:name="_Toc495567951"/>
      <w:bookmarkStart w:id="168" w:name="_Toc16453"/>
      <w:bookmarkStart w:id="169" w:name="_Toc495666268"/>
      <w:bookmarkStart w:id="170" w:name="_Toc373392580"/>
      <w:bookmarkStart w:id="171" w:name="_Toc412617729"/>
      <w:bookmarkStart w:id="172" w:name="_Toc11377"/>
      <w:bookmarkStart w:id="173" w:name="_Toc25178"/>
      <w:r>
        <w:rPr>
          <w:rFonts w:hint="eastAsia" w:ascii="宋体" w:hAnsi="宋体" w:cs="宋体"/>
          <w:color w:val="auto"/>
          <w:highlight w:val="none"/>
        </w:rPr>
        <w:t>11.响应文件编印和签署</w:t>
      </w:r>
      <w:bookmarkEnd w:id="163"/>
      <w:bookmarkEnd w:id="164"/>
      <w:bookmarkEnd w:id="165"/>
      <w:bookmarkEnd w:id="166"/>
      <w:bookmarkEnd w:id="167"/>
      <w:bookmarkEnd w:id="168"/>
      <w:bookmarkEnd w:id="169"/>
      <w:bookmarkEnd w:id="170"/>
      <w:bookmarkEnd w:id="171"/>
      <w:bookmarkEnd w:id="172"/>
      <w:bookmarkEnd w:id="173"/>
    </w:p>
    <w:p w14:paraId="6C67A07A">
      <w:pPr>
        <w:spacing w:line="360" w:lineRule="auto"/>
        <w:ind w:firstLine="480"/>
        <w:rPr>
          <w:rFonts w:hint="eastAsia" w:eastAsia="宋体"/>
          <w:color w:val="auto"/>
          <w:sz w:val="24"/>
          <w:szCs w:val="24"/>
          <w:highlight w:val="none"/>
        </w:rPr>
      </w:pPr>
      <w:bookmarkStart w:id="174" w:name="_Toc412617730"/>
      <w:bookmarkStart w:id="175" w:name="_Toc8763"/>
      <w:bookmarkStart w:id="176" w:name="_Toc15102"/>
      <w:bookmarkStart w:id="177" w:name="_Toc371090029"/>
      <w:bookmarkStart w:id="178" w:name="_Toc376936748"/>
      <w:r>
        <w:rPr>
          <w:rFonts w:hint="eastAsia" w:eastAsia="宋体"/>
          <w:color w:val="auto"/>
          <w:sz w:val="24"/>
          <w:szCs w:val="24"/>
          <w:highlight w:val="none"/>
          <w:lang w:val="en-US" w:eastAsia="zh-CN"/>
        </w:rPr>
        <w:t xml:space="preserve">11.1 </w:t>
      </w:r>
      <w:r>
        <w:rPr>
          <w:rFonts w:hint="eastAsia" w:eastAsia="宋体"/>
          <w:color w:val="auto"/>
          <w:sz w:val="24"/>
          <w:szCs w:val="24"/>
          <w:highlight w:val="none"/>
        </w:rPr>
        <w:t>如有修改错漏处，须由供应商法定代表人或其委托代理人签字、加盖公章。</w:t>
      </w:r>
    </w:p>
    <w:p w14:paraId="2702652F">
      <w:pPr>
        <w:spacing w:line="360" w:lineRule="auto"/>
        <w:ind w:firstLine="480"/>
        <w:rPr>
          <w:rFonts w:hint="eastAsia" w:eastAsia="宋体"/>
          <w:color w:val="auto"/>
          <w:sz w:val="24"/>
          <w:szCs w:val="24"/>
          <w:highlight w:val="none"/>
        </w:rPr>
      </w:pPr>
      <w:r>
        <w:rPr>
          <w:rFonts w:hint="eastAsia" w:eastAsia="宋体"/>
          <w:color w:val="auto"/>
          <w:sz w:val="24"/>
          <w:szCs w:val="24"/>
          <w:highlight w:val="none"/>
        </w:rPr>
        <w:t>（1）供应商须依据本文件内容和响应文件格式的要求编制响应文件。</w:t>
      </w:r>
    </w:p>
    <w:p w14:paraId="5552EA6A">
      <w:pPr>
        <w:spacing w:line="360" w:lineRule="auto"/>
        <w:ind w:firstLine="48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磋商供应商应按磋商文件要求准备</w:t>
      </w:r>
      <w:r>
        <w:rPr>
          <w:rFonts w:hint="eastAsia" w:ascii="宋体" w:hAnsi="宋体" w:eastAsia="宋体" w:cs="宋体"/>
          <w:b/>
          <w:bCs/>
          <w:color w:val="auto"/>
          <w:sz w:val="24"/>
          <w:szCs w:val="24"/>
          <w:highlight w:val="none"/>
          <w:lang w:val="zh-CN"/>
        </w:rPr>
        <w:t>磋商响应文件1份正本、2份副本和相应的电子文档1份，用于单独提交的</w:t>
      </w:r>
      <w:r>
        <w:rPr>
          <w:rFonts w:hint="eastAsia" w:eastAsia="宋体" w:cs="宋体"/>
          <w:b/>
          <w:bCs/>
          <w:color w:val="auto"/>
          <w:sz w:val="24"/>
          <w:szCs w:val="24"/>
          <w:highlight w:val="none"/>
          <w:lang w:val="zh-CN"/>
        </w:rPr>
        <w:t>“</w:t>
      </w:r>
      <w:r>
        <w:rPr>
          <w:rFonts w:hint="eastAsia" w:ascii="宋体" w:hAnsi="宋体" w:eastAsia="宋体" w:cs="宋体"/>
          <w:b/>
          <w:bCs/>
          <w:color w:val="auto"/>
          <w:sz w:val="24"/>
          <w:szCs w:val="24"/>
          <w:highlight w:val="none"/>
          <w:lang w:val="zh-CN"/>
        </w:rPr>
        <w:t>竞争性磋商首次报价表”1份。</w:t>
      </w:r>
      <w:r>
        <w:rPr>
          <w:rFonts w:hint="eastAsia" w:ascii="宋体" w:hAnsi="宋体" w:eastAsia="宋体" w:cs="宋体"/>
          <w:color w:val="auto"/>
          <w:sz w:val="24"/>
          <w:szCs w:val="24"/>
          <w:highlight w:val="none"/>
          <w:lang w:val="zh-CN"/>
        </w:rPr>
        <w:t>每份磋商响应文件都必须清楚地标明</w:t>
      </w:r>
      <w:r>
        <w:rPr>
          <w:rFonts w:hint="eastAsia" w:eastAsia="宋体" w:cs="宋体"/>
          <w:color w:val="auto"/>
          <w:sz w:val="24"/>
          <w:szCs w:val="24"/>
          <w:highlight w:val="none"/>
          <w:lang w:val="zh-CN"/>
        </w:rPr>
        <w:t>“</w:t>
      </w:r>
      <w:r>
        <w:rPr>
          <w:rFonts w:hint="eastAsia" w:ascii="宋体" w:hAnsi="宋体" w:eastAsia="宋体" w:cs="宋体"/>
          <w:color w:val="auto"/>
          <w:sz w:val="24"/>
          <w:szCs w:val="24"/>
          <w:highlight w:val="none"/>
          <w:lang w:val="zh-CN"/>
        </w:rPr>
        <w:t>正本”或</w:t>
      </w:r>
      <w:r>
        <w:rPr>
          <w:rFonts w:hint="eastAsia" w:eastAsia="宋体" w:cs="宋体"/>
          <w:color w:val="auto"/>
          <w:sz w:val="24"/>
          <w:szCs w:val="24"/>
          <w:highlight w:val="none"/>
          <w:lang w:val="zh-CN"/>
        </w:rPr>
        <w:t>“</w:t>
      </w:r>
      <w:r>
        <w:rPr>
          <w:rFonts w:hint="eastAsia" w:ascii="宋体" w:hAnsi="宋体" w:eastAsia="宋体" w:cs="宋体"/>
          <w:color w:val="auto"/>
          <w:sz w:val="24"/>
          <w:szCs w:val="24"/>
          <w:highlight w:val="none"/>
          <w:lang w:val="zh-CN"/>
        </w:rPr>
        <w:t>副本”等字样。若发生正本和副本不符，以正本磋商响应文件为准。磋商响应文件统一使用A4幅面的纸张印制，必须胶装成册并编码，不得采用活页夹等可随时拆换的方式装订。</w:t>
      </w:r>
    </w:p>
    <w:p w14:paraId="776C6533">
      <w:pPr>
        <w:spacing w:line="360" w:lineRule="auto"/>
        <w:ind w:firstLine="480"/>
        <w:rPr>
          <w:rFonts w:hint="eastAsia" w:eastAsia="宋体"/>
          <w:color w:val="auto"/>
          <w:sz w:val="24"/>
          <w:szCs w:val="24"/>
          <w:highlight w:val="none"/>
        </w:rPr>
      </w:pPr>
      <w:r>
        <w:rPr>
          <w:rFonts w:hint="eastAsia" w:eastAsia="宋体"/>
          <w:color w:val="auto"/>
          <w:sz w:val="24"/>
          <w:szCs w:val="24"/>
          <w:highlight w:val="none"/>
          <w:lang w:val="zh-CN"/>
        </w:rPr>
        <w:t>（</w:t>
      </w:r>
      <w:r>
        <w:rPr>
          <w:rFonts w:hint="eastAsia" w:eastAsia="宋体"/>
          <w:color w:val="auto"/>
          <w:sz w:val="24"/>
          <w:szCs w:val="24"/>
          <w:highlight w:val="none"/>
        </w:rPr>
        <w:t>2</w:t>
      </w:r>
      <w:r>
        <w:rPr>
          <w:rFonts w:hint="eastAsia" w:eastAsia="宋体"/>
          <w:color w:val="auto"/>
          <w:sz w:val="24"/>
          <w:szCs w:val="24"/>
          <w:highlight w:val="none"/>
          <w:lang w:val="zh-CN"/>
        </w:rPr>
        <w:t>）磋商响应文件的正本和副本均需打印或用不褪色、不变质的墨水书写并由磋商供应商的委托代理人逐页加盖公章。磋商响应文件副本可采用正本的复印件，若不满足以上条件，按无效磋商处理。</w:t>
      </w:r>
    </w:p>
    <w:p w14:paraId="177DEC90">
      <w:pPr>
        <w:spacing w:line="360" w:lineRule="auto"/>
        <w:ind w:firstLine="480"/>
        <w:rPr>
          <w:rFonts w:hint="eastAsia" w:eastAsia="宋体"/>
          <w:color w:val="auto"/>
          <w:sz w:val="24"/>
          <w:szCs w:val="24"/>
          <w:highlight w:val="none"/>
          <w:lang w:val="zh-CN"/>
        </w:rPr>
      </w:pPr>
      <w:r>
        <w:rPr>
          <w:rFonts w:hint="eastAsia" w:eastAsia="宋体"/>
          <w:color w:val="auto"/>
          <w:sz w:val="24"/>
          <w:szCs w:val="24"/>
          <w:highlight w:val="none"/>
          <w:lang w:val="zh-CN"/>
        </w:rPr>
        <w:t>（</w:t>
      </w:r>
      <w:r>
        <w:rPr>
          <w:rFonts w:hint="eastAsia" w:eastAsia="宋体"/>
          <w:color w:val="auto"/>
          <w:sz w:val="24"/>
          <w:szCs w:val="24"/>
          <w:highlight w:val="none"/>
        </w:rPr>
        <w:t>3</w:t>
      </w:r>
      <w:r>
        <w:rPr>
          <w:rFonts w:hint="eastAsia" w:eastAsia="宋体"/>
          <w:color w:val="auto"/>
          <w:sz w:val="24"/>
          <w:szCs w:val="24"/>
          <w:highlight w:val="none"/>
          <w:lang w:val="zh-CN"/>
        </w:rPr>
        <w:t>）电子文档采用可读的U盘编制，须写明采购项目名称、供应商名称及磋商日期，电子文档为纸质版磋商响应文件正本的扫描件，需采用不可修改文档格式，电子文档与纸质版磋商响应文件正本内容必须完全一致，包括盖章和签字，并与书面磋商响应文件一并提交，否则，视为无效磋商。</w:t>
      </w:r>
    </w:p>
    <w:p w14:paraId="17482770">
      <w:pPr>
        <w:spacing w:line="360" w:lineRule="auto"/>
        <w:ind w:firstLine="480"/>
        <w:rPr>
          <w:rFonts w:hint="eastAsia" w:eastAsia="宋体"/>
          <w:color w:val="auto"/>
          <w:sz w:val="24"/>
          <w:szCs w:val="24"/>
          <w:highlight w:val="none"/>
        </w:rPr>
      </w:pPr>
      <w:r>
        <w:rPr>
          <w:rFonts w:hint="eastAsia" w:eastAsia="宋体"/>
          <w:color w:val="auto"/>
          <w:sz w:val="24"/>
          <w:szCs w:val="24"/>
          <w:highlight w:val="none"/>
        </w:rPr>
        <w:t>（4）磋商响应文件中不得行间插字、涂改或增删，如有修改错漏处，须由磋商供应商法人或其委托代理人签字或盖个人印鉴。</w:t>
      </w:r>
    </w:p>
    <w:p w14:paraId="6E3F6372">
      <w:pPr>
        <w:spacing w:line="360" w:lineRule="auto"/>
        <w:ind w:firstLine="480"/>
        <w:rPr>
          <w:rFonts w:hint="eastAsia" w:eastAsia="宋体"/>
          <w:color w:val="auto"/>
          <w:sz w:val="24"/>
          <w:szCs w:val="24"/>
          <w:highlight w:val="none"/>
        </w:rPr>
      </w:pPr>
      <w:r>
        <w:rPr>
          <w:rFonts w:hint="eastAsia" w:eastAsia="宋体"/>
          <w:color w:val="auto"/>
          <w:sz w:val="24"/>
          <w:szCs w:val="24"/>
          <w:highlight w:val="none"/>
        </w:rPr>
        <w:t>（5）</w:t>
      </w:r>
      <w:r>
        <w:rPr>
          <w:rFonts w:hint="eastAsia" w:eastAsia="宋体"/>
          <w:color w:val="auto"/>
          <w:sz w:val="24"/>
          <w:szCs w:val="24"/>
          <w:highlight w:val="none"/>
          <w:lang w:val="en-US" w:eastAsia="zh-CN"/>
        </w:rPr>
        <w:t>电子文档</w:t>
      </w:r>
      <w:r>
        <w:rPr>
          <w:rFonts w:hint="eastAsia" w:eastAsia="宋体"/>
          <w:color w:val="auto"/>
          <w:sz w:val="24"/>
          <w:szCs w:val="24"/>
          <w:highlight w:val="none"/>
        </w:rPr>
        <w:t>即正本的彩色扫描（必须是签盖企业公章及法人代表或授权人签字后待胶装的正本的彩色扫描），若电子标书与正本内容不符，按无效文件处理。</w:t>
      </w:r>
    </w:p>
    <w:p w14:paraId="58CDC64E">
      <w:pPr>
        <w:pStyle w:val="2"/>
        <w:rPr>
          <w:rFonts w:hint="eastAsia" w:ascii="宋体" w:hAnsi="宋体" w:cs="宋体"/>
          <w:color w:val="auto"/>
          <w:highlight w:val="none"/>
        </w:rPr>
      </w:pPr>
      <w:bookmarkStart w:id="179" w:name="_Toc17564"/>
      <w:bookmarkStart w:id="180" w:name="_Toc32124"/>
      <w:bookmarkStart w:id="181" w:name="_Toc16165"/>
      <w:bookmarkStart w:id="182" w:name="_Toc4993"/>
      <w:bookmarkStart w:id="183" w:name="_Toc22193"/>
      <w:r>
        <w:rPr>
          <w:rFonts w:hint="eastAsia" w:ascii="宋体" w:hAnsi="宋体" w:cs="宋体"/>
          <w:color w:val="auto"/>
          <w:highlight w:val="none"/>
        </w:rPr>
        <w:t>四、响应文件的递交</w:t>
      </w:r>
      <w:bookmarkEnd w:id="174"/>
      <w:bookmarkEnd w:id="175"/>
      <w:bookmarkEnd w:id="176"/>
      <w:bookmarkEnd w:id="179"/>
      <w:bookmarkEnd w:id="180"/>
      <w:bookmarkEnd w:id="181"/>
      <w:bookmarkEnd w:id="182"/>
      <w:bookmarkEnd w:id="183"/>
    </w:p>
    <w:p w14:paraId="1158FC6F">
      <w:pPr>
        <w:pStyle w:val="3"/>
        <w:rPr>
          <w:rFonts w:hint="eastAsia" w:ascii="宋体" w:hAnsi="宋体" w:cs="宋体"/>
          <w:color w:val="auto"/>
          <w:highlight w:val="none"/>
        </w:rPr>
      </w:pPr>
      <w:bookmarkStart w:id="184" w:name="_Toc325726016"/>
      <w:bookmarkStart w:id="185" w:name="_Toc1176"/>
      <w:bookmarkStart w:id="186" w:name="_Toc959"/>
      <w:bookmarkStart w:id="187" w:name="_Toc26174"/>
      <w:bookmarkStart w:id="188" w:name="_Toc495666269"/>
      <w:bookmarkStart w:id="189" w:name="_Toc412617731"/>
      <w:bookmarkStart w:id="190" w:name="_Toc495567952"/>
      <w:bookmarkStart w:id="191" w:name="_Toc23823"/>
      <w:bookmarkStart w:id="192" w:name="_Toc11961"/>
      <w:bookmarkStart w:id="193" w:name="_Toc6662"/>
      <w:bookmarkStart w:id="194" w:name="_Toc373392582"/>
      <w:bookmarkStart w:id="195" w:name="_Toc23939"/>
      <w:r>
        <w:rPr>
          <w:rFonts w:hint="eastAsia" w:ascii="宋体" w:hAnsi="宋体" w:cs="宋体"/>
          <w:color w:val="auto"/>
          <w:highlight w:val="none"/>
        </w:rPr>
        <w:t>12.响应文件的密封和标记</w:t>
      </w:r>
      <w:bookmarkEnd w:id="184"/>
      <w:bookmarkEnd w:id="185"/>
      <w:bookmarkEnd w:id="186"/>
      <w:bookmarkEnd w:id="187"/>
      <w:bookmarkEnd w:id="188"/>
      <w:bookmarkEnd w:id="189"/>
      <w:bookmarkEnd w:id="190"/>
      <w:bookmarkEnd w:id="191"/>
      <w:bookmarkEnd w:id="192"/>
      <w:bookmarkEnd w:id="193"/>
      <w:bookmarkEnd w:id="194"/>
      <w:bookmarkEnd w:id="195"/>
    </w:p>
    <w:p w14:paraId="3989B1D2">
      <w:pPr>
        <w:pStyle w:val="11"/>
        <w:spacing w:line="360" w:lineRule="auto"/>
        <w:ind w:firstLine="480" w:firstLineChars="200"/>
        <w:rPr>
          <w:rFonts w:hint="eastAsia" w:hAnsi="宋体"/>
          <w:color w:val="auto"/>
          <w:sz w:val="24"/>
          <w:szCs w:val="24"/>
          <w:highlight w:val="none"/>
          <w:lang w:val="ru-RU"/>
        </w:rPr>
      </w:pPr>
      <w:r>
        <w:rPr>
          <w:rFonts w:hint="eastAsia" w:hAnsi="宋体"/>
          <w:color w:val="auto"/>
          <w:sz w:val="24"/>
          <w:szCs w:val="24"/>
          <w:highlight w:val="none"/>
        </w:rPr>
        <w:t>12.1</w:t>
      </w:r>
      <w:r>
        <w:rPr>
          <w:rFonts w:hint="eastAsia" w:hAnsi="宋体"/>
          <w:color w:val="auto"/>
          <w:sz w:val="24"/>
          <w:szCs w:val="24"/>
          <w:highlight w:val="none"/>
          <w:lang w:val="en-US" w:eastAsia="zh-CN"/>
        </w:rPr>
        <w:t xml:space="preserve"> </w:t>
      </w:r>
      <w:r>
        <w:rPr>
          <w:rFonts w:hint="eastAsia" w:hAnsi="宋体"/>
          <w:color w:val="auto"/>
          <w:sz w:val="24"/>
          <w:szCs w:val="24"/>
          <w:highlight w:val="none"/>
        </w:rPr>
        <w:t>供应商应将响应文件</w:t>
      </w:r>
      <w:r>
        <w:rPr>
          <w:rFonts w:hint="eastAsia" w:hAnsi="宋体"/>
          <w:color w:val="auto"/>
          <w:sz w:val="24"/>
          <w:szCs w:val="24"/>
          <w:highlight w:val="none"/>
          <w:lang w:val="ru-RU" w:eastAsia="zh-CN"/>
        </w:rPr>
        <w:t>“</w:t>
      </w:r>
      <w:r>
        <w:rPr>
          <w:rFonts w:hint="eastAsia" w:hAnsi="宋体"/>
          <w:color w:val="auto"/>
          <w:sz w:val="24"/>
          <w:szCs w:val="24"/>
          <w:highlight w:val="none"/>
          <w:lang w:val="ru-RU"/>
        </w:rPr>
        <w:t>正本”</w:t>
      </w:r>
      <w:r>
        <w:rPr>
          <w:rFonts w:hint="eastAsia" w:hAnsi="宋体"/>
          <w:color w:val="auto"/>
          <w:sz w:val="24"/>
          <w:szCs w:val="24"/>
          <w:highlight w:val="none"/>
          <w:lang w:val="ru-RU" w:eastAsia="zh-CN"/>
        </w:rPr>
        <w:t>“</w:t>
      </w:r>
      <w:r>
        <w:rPr>
          <w:rFonts w:hint="eastAsia" w:hAnsi="宋体"/>
          <w:color w:val="auto"/>
          <w:sz w:val="24"/>
          <w:szCs w:val="24"/>
          <w:highlight w:val="none"/>
          <w:lang w:val="ru-RU"/>
        </w:rPr>
        <w:t>副本”</w:t>
      </w:r>
      <w:r>
        <w:rPr>
          <w:rFonts w:hint="eastAsia" w:hAnsi="宋体"/>
          <w:color w:val="auto"/>
          <w:sz w:val="24"/>
          <w:szCs w:val="24"/>
          <w:highlight w:val="none"/>
          <w:lang w:val="ru-RU" w:eastAsia="zh-CN"/>
        </w:rPr>
        <w:t>“</w:t>
      </w:r>
      <w:r>
        <w:rPr>
          <w:rFonts w:hint="eastAsia" w:hAnsi="宋体"/>
          <w:color w:val="auto"/>
          <w:sz w:val="24"/>
          <w:szCs w:val="24"/>
          <w:highlight w:val="none"/>
          <w:lang w:val="ru-RU"/>
        </w:rPr>
        <w:t>电子文档”</w:t>
      </w:r>
      <w:r>
        <w:rPr>
          <w:rFonts w:hint="eastAsia" w:hAnsi="宋体"/>
          <w:color w:val="auto"/>
          <w:sz w:val="24"/>
          <w:szCs w:val="24"/>
          <w:highlight w:val="none"/>
          <w:lang w:val="ru-RU" w:eastAsia="zh-CN"/>
        </w:rPr>
        <w:t>“</w:t>
      </w:r>
      <w:r>
        <w:rPr>
          <w:rFonts w:hint="eastAsia"/>
          <w:color w:val="auto"/>
          <w:sz w:val="24"/>
          <w:szCs w:val="24"/>
          <w:highlight w:val="none"/>
        </w:rPr>
        <w:t>首次报价表</w:t>
      </w:r>
      <w:r>
        <w:rPr>
          <w:rFonts w:hint="eastAsia" w:hAnsi="宋体"/>
          <w:color w:val="auto"/>
          <w:sz w:val="24"/>
          <w:szCs w:val="24"/>
          <w:highlight w:val="none"/>
          <w:lang w:val="ru-RU"/>
        </w:rPr>
        <w:t>”须分别装封于不同的密封袋中，加贴密封条，并在密封包装的封口处加盖供应商公章和法定代表人章；响应文件的封套上应标记</w:t>
      </w:r>
      <w:r>
        <w:rPr>
          <w:rFonts w:hint="eastAsia" w:hAnsi="宋体"/>
          <w:color w:val="auto"/>
          <w:sz w:val="24"/>
          <w:szCs w:val="24"/>
          <w:highlight w:val="none"/>
          <w:lang w:val="ru-RU" w:eastAsia="zh-CN"/>
        </w:rPr>
        <w:t>“</w:t>
      </w:r>
      <w:r>
        <w:rPr>
          <w:rFonts w:hint="eastAsia" w:hAnsi="宋体"/>
          <w:color w:val="auto"/>
          <w:sz w:val="24"/>
          <w:szCs w:val="24"/>
          <w:highlight w:val="none"/>
          <w:lang w:val="ru-RU"/>
        </w:rPr>
        <w:t>正本”</w:t>
      </w:r>
      <w:r>
        <w:rPr>
          <w:rFonts w:hint="eastAsia" w:hAnsi="宋体"/>
          <w:color w:val="auto"/>
          <w:sz w:val="24"/>
          <w:szCs w:val="24"/>
          <w:highlight w:val="none"/>
          <w:lang w:val="ru-RU" w:eastAsia="zh-CN"/>
        </w:rPr>
        <w:t>“</w:t>
      </w:r>
      <w:r>
        <w:rPr>
          <w:rFonts w:hint="eastAsia" w:hAnsi="宋体"/>
          <w:color w:val="auto"/>
          <w:sz w:val="24"/>
          <w:szCs w:val="24"/>
          <w:highlight w:val="none"/>
          <w:lang w:val="ru-RU"/>
        </w:rPr>
        <w:t>副本”</w:t>
      </w:r>
      <w:r>
        <w:rPr>
          <w:rFonts w:hint="eastAsia" w:hAnsi="宋体"/>
          <w:color w:val="auto"/>
          <w:sz w:val="24"/>
          <w:szCs w:val="24"/>
          <w:highlight w:val="none"/>
          <w:lang w:val="ru-RU" w:eastAsia="zh-CN"/>
        </w:rPr>
        <w:t>“</w:t>
      </w:r>
      <w:r>
        <w:rPr>
          <w:rFonts w:hint="eastAsia" w:hAnsi="宋体"/>
          <w:color w:val="auto"/>
          <w:sz w:val="24"/>
          <w:szCs w:val="24"/>
          <w:highlight w:val="none"/>
          <w:lang w:val="ru-RU"/>
        </w:rPr>
        <w:t>电</w:t>
      </w:r>
      <w:r>
        <w:rPr>
          <w:rFonts w:hint="eastAsia" w:hAnsi="宋体"/>
          <w:color w:val="auto"/>
          <w:sz w:val="24"/>
          <w:szCs w:val="24"/>
          <w:highlight w:val="none"/>
        </w:rPr>
        <w:t>子文档”</w:t>
      </w:r>
      <w:r>
        <w:rPr>
          <w:rFonts w:hint="eastAsia" w:hAnsi="宋体"/>
          <w:color w:val="auto"/>
          <w:sz w:val="24"/>
          <w:szCs w:val="24"/>
          <w:highlight w:val="none"/>
          <w:lang w:val="ru-RU" w:eastAsia="zh-CN"/>
        </w:rPr>
        <w:t>“</w:t>
      </w:r>
      <w:r>
        <w:rPr>
          <w:rFonts w:hint="eastAsia"/>
          <w:color w:val="auto"/>
          <w:sz w:val="24"/>
          <w:szCs w:val="24"/>
          <w:highlight w:val="none"/>
        </w:rPr>
        <w:t>首次报价表</w:t>
      </w:r>
      <w:r>
        <w:rPr>
          <w:rFonts w:hint="eastAsia" w:hAnsi="宋体"/>
          <w:color w:val="auto"/>
          <w:sz w:val="24"/>
          <w:szCs w:val="24"/>
          <w:highlight w:val="none"/>
          <w:lang w:val="ru-RU"/>
        </w:rPr>
        <w:t>”</w:t>
      </w:r>
      <w:r>
        <w:rPr>
          <w:rFonts w:hint="eastAsia" w:hAnsi="宋体"/>
          <w:color w:val="auto"/>
          <w:sz w:val="24"/>
          <w:szCs w:val="24"/>
          <w:highlight w:val="none"/>
        </w:rPr>
        <w:t>字样，并注明供应商名称、采购项目名称及编号。</w:t>
      </w:r>
    </w:p>
    <w:p w14:paraId="39594739">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12.2</w:t>
      </w:r>
      <w:r>
        <w:rPr>
          <w:rFonts w:hint="eastAsia" w:hAnsi="宋体"/>
          <w:color w:val="auto"/>
          <w:sz w:val="24"/>
          <w:szCs w:val="24"/>
          <w:highlight w:val="none"/>
          <w:lang w:val="en-US" w:eastAsia="zh-CN"/>
        </w:rPr>
        <w:t xml:space="preserve"> </w:t>
      </w:r>
      <w:r>
        <w:rPr>
          <w:rFonts w:hint="eastAsia" w:hAnsi="宋体"/>
          <w:color w:val="auto"/>
          <w:sz w:val="24"/>
          <w:szCs w:val="24"/>
          <w:highlight w:val="none"/>
        </w:rPr>
        <w:t>密封后的响应文件均应：</w:t>
      </w:r>
    </w:p>
    <w:p w14:paraId="314ED810">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（1）按</w:t>
      </w:r>
      <w:r>
        <w:rPr>
          <w:rFonts w:hint="eastAsia" w:hAnsi="宋体"/>
          <w:color w:val="auto"/>
          <w:sz w:val="24"/>
          <w:szCs w:val="24"/>
          <w:highlight w:val="none"/>
          <w:lang w:eastAsia="zh-CN"/>
        </w:rPr>
        <w:t>“</w:t>
      </w:r>
      <w:r>
        <w:rPr>
          <w:rFonts w:hint="eastAsia" w:hAnsi="宋体"/>
          <w:color w:val="auto"/>
          <w:sz w:val="24"/>
          <w:szCs w:val="24"/>
          <w:highlight w:val="none"/>
        </w:rPr>
        <w:t>供应商须知前附表”中注明的时间、地址送达；</w:t>
      </w:r>
    </w:p>
    <w:p w14:paraId="0AF272B1">
      <w:pPr>
        <w:pStyle w:val="11"/>
        <w:spacing w:line="360" w:lineRule="auto"/>
        <w:ind w:firstLine="480" w:firstLineChars="200"/>
        <w:rPr>
          <w:rFonts w:hint="eastAsia" w:hAnsi="宋体" w:eastAsia="宋体"/>
          <w:color w:val="auto"/>
          <w:sz w:val="24"/>
          <w:szCs w:val="24"/>
          <w:highlight w:val="none"/>
          <w:lang w:eastAsia="zh-CN"/>
        </w:rPr>
      </w:pPr>
      <w:r>
        <w:rPr>
          <w:rFonts w:hint="eastAsia" w:hAnsi="宋体"/>
          <w:color w:val="auto"/>
          <w:sz w:val="24"/>
          <w:szCs w:val="24"/>
          <w:highlight w:val="none"/>
        </w:rPr>
        <w:t>（2）密封袋写明</w:t>
      </w:r>
      <w:r>
        <w:rPr>
          <w:rFonts w:hint="eastAsia" w:hAnsi="宋体"/>
          <w:color w:val="auto"/>
          <w:sz w:val="24"/>
          <w:szCs w:val="24"/>
          <w:highlight w:val="none"/>
          <w:lang w:eastAsia="zh-CN"/>
        </w:rPr>
        <w:t>“</w:t>
      </w:r>
      <w:r>
        <w:rPr>
          <w:rFonts w:hint="eastAsia" w:hAnsi="宋体"/>
          <w:b/>
          <w:color w:val="auto"/>
          <w:sz w:val="24"/>
          <w:szCs w:val="24"/>
          <w:highlight w:val="none"/>
        </w:rPr>
        <w:t>于</w:t>
      </w:r>
      <w:r>
        <w:rPr>
          <w:rFonts w:hint="eastAsia" w:hAnsi="宋体"/>
          <w:b/>
          <w:color w:val="auto"/>
          <w:sz w:val="24"/>
          <w:szCs w:val="22"/>
          <w:highlight w:val="none"/>
          <w:lang w:val="zh-CN"/>
        </w:rPr>
        <w:t>202</w:t>
      </w:r>
      <w:r>
        <w:rPr>
          <w:rFonts w:hint="eastAsia" w:hAnsi="宋体"/>
          <w:b/>
          <w:color w:val="auto"/>
          <w:sz w:val="24"/>
          <w:szCs w:val="22"/>
          <w:highlight w:val="none"/>
          <w:lang w:val="en-US" w:eastAsia="zh-CN"/>
        </w:rPr>
        <w:t>6</w:t>
      </w:r>
      <w:r>
        <w:rPr>
          <w:rFonts w:hint="eastAsia" w:hAnsi="宋体"/>
          <w:b/>
          <w:color w:val="auto"/>
          <w:sz w:val="24"/>
          <w:szCs w:val="22"/>
          <w:highlight w:val="none"/>
          <w:lang w:val="zh-CN"/>
        </w:rPr>
        <w:t>年</w:t>
      </w:r>
      <w:r>
        <w:rPr>
          <w:rFonts w:hint="eastAsia" w:hAnsi="宋体"/>
          <w:b/>
          <w:color w:val="auto"/>
          <w:sz w:val="24"/>
          <w:szCs w:val="22"/>
          <w:highlight w:val="none"/>
          <w:lang w:val="en-US" w:eastAsia="zh-CN"/>
        </w:rPr>
        <w:t>xx</w:t>
      </w:r>
      <w:r>
        <w:rPr>
          <w:rFonts w:hint="eastAsia" w:hAnsi="宋体"/>
          <w:b/>
          <w:color w:val="auto"/>
          <w:sz w:val="24"/>
          <w:szCs w:val="22"/>
          <w:highlight w:val="none"/>
          <w:lang w:val="zh-CN"/>
        </w:rPr>
        <w:t>月</w:t>
      </w:r>
      <w:r>
        <w:rPr>
          <w:rFonts w:hint="eastAsia" w:hAnsi="宋体"/>
          <w:b/>
          <w:color w:val="auto"/>
          <w:sz w:val="24"/>
          <w:szCs w:val="22"/>
          <w:highlight w:val="none"/>
          <w:lang w:val="en-US" w:eastAsia="zh-CN"/>
        </w:rPr>
        <w:t>xx</w:t>
      </w:r>
      <w:r>
        <w:rPr>
          <w:rFonts w:hint="eastAsia" w:hAnsi="宋体"/>
          <w:b/>
          <w:color w:val="auto"/>
          <w:sz w:val="24"/>
          <w:szCs w:val="22"/>
          <w:highlight w:val="none"/>
          <w:lang w:val="zh-CN"/>
        </w:rPr>
        <w:t>日</w:t>
      </w:r>
      <w:r>
        <w:rPr>
          <w:rFonts w:hint="eastAsia" w:hAnsi="宋体"/>
          <w:b/>
          <w:color w:val="auto"/>
          <w:sz w:val="24"/>
          <w:szCs w:val="22"/>
          <w:highlight w:val="none"/>
          <w:lang w:val="en-US" w:eastAsia="zh-CN"/>
        </w:rPr>
        <w:t>上/下</w:t>
      </w:r>
      <w:r>
        <w:rPr>
          <w:rFonts w:hint="eastAsia" w:hAnsi="宋体"/>
          <w:b/>
          <w:color w:val="auto"/>
          <w:sz w:val="24"/>
          <w:szCs w:val="22"/>
          <w:highlight w:val="none"/>
          <w:lang w:val="zh-CN"/>
        </w:rPr>
        <w:t>午</w:t>
      </w:r>
      <w:r>
        <w:rPr>
          <w:rFonts w:hint="eastAsia" w:hAnsi="宋体"/>
          <w:b/>
          <w:color w:val="auto"/>
          <w:sz w:val="24"/>
          <w:szCs w:val="22"/>
          <w:highlight w:val="none"/>
          <w:lang w:val="en-US" w:eastAsia="zh-CN"/>
        </w:rPr>
        <w:t>xx</w:t>
      </w:r>
      <w:r>
        <w:rPr>
          <w:rFonts w:hint="eastAsia" w:hAnsi="宋体"/>
          <w:b/>
          <w:color w:val="auto"/>
          <w:sz w:val="24"/>
          <w:szCs w:val="22"/>
          <w:highlight w:val="none"/>
          <w:lang w:val="zh-CN"/>
        </w:rPr>
        <w:t>时</w:t>
      </w:r>
      <w:r>
        <w:rPr>
          <w:rFonts w:hint="eastAsia" w:hAnsi="宋体"/>
          <w:b/>
          <w:color w:val="auto"/>
          <w:sz w:val="24"/>
          <w:szCs w:val="22"/>
          <w:highlight w:val="none"/>
          <w:lang w:val="en-US" w:eastAsia="zh-CN"/>
        </w:rPr>
        <w:t>xx</w:t>
      </w:r>
      <w:r>
        <w:rPr>
          <w:rFonts w:hint="eastAsia" w:hAnsi="宋体"/>
          <w:b/>
          <w:color w:val="auto"/>
          <w:sz w:val="24"/>
          <w:szCs w:val="22"/>
          <w:highlight w:val="none"/>
          <w:lang w:val="zh-CN"/>
        </w:rPr>
        <w:t>分（北京时间）</w:t>
      </w:r>
      <w:r>
        <w:rPr>
          <w:rFonts w:hint="eastAsia" w:hAnsi="宋体"/>
          <w:b/>
          <w:color w:val="auto"/>
          <w:sz w:val="24"/>
          <w:szCs w:val="24"/>
          <w:highlight w:val="none"/>
        </w:rPr>
        <w:t>之前不准启封</w:t>
      </w:r>
      <w:r>
        <w:rPr>
          <w:rFonts w:hint="eastAsia" w:hAnsi="宋体"/>
          <w:color w:val="auto"/>
          <w:sz w:val="24"/>
          <w:szCs w:val="24"/>
          <w:highlight w:val="none"/>
        </w:rPr>
        <w:t>”标签</w:t>
      </w:r>
      <w:r>
        <w:rPr>
          <w:rFonts w:hint="eastAsia" w:hAnsi="宋体"/>
          <w:color w:val="auto"/>
          <w:sz w:val="24"/>
          <w:szCs w:val="24"/>
          <w:highlight w:val="none"/>
          <w:lang w:eastAsia="zh-CN"/>
        </w:rPr>
        <w:t>；</w:t>
      </w:r>
    </w:p>
    <w:p w14:paraId="68CC3561">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（3）供应商如投多个包，响应文件每包分别按上述规定装订（如果有）。</w:t>
      </w:r>
    </w:p>
    <w:p w14:paraId="2AE580E8">
      <w:pPr>
        <w:pStyle w:val="11"/>
        <w:spacing w:line="360" w:lineRule="auto"/>
        <w:ind w:firstLine="480" w:firstLineChars="200"/>
        <w:rPr>
          <w:rFonts w:hint="eastAsia" w:hAnsi="宋体"/>
          <w:color w:val="auto"/>
          <w:sz w:val="24"/>
          <w:szCs w:val="24"/>
          <w:highlight w:val="none"/>
          <w:shd w:val="pct10" w:color="auto" w:fill="FFFFFF"/>
        </w:rPr>
      </w:pPr>
      <w:r>
        <w:rPr>
          <w:rFonts w:hint="eastAsia" w:hAnsi="宋体"/>
          <w:color w:val="auto"/>
          <w:sz w:val="24"/>
          <w:szCs w:val="24"/>
          <w:highlight w:val="none"/>
        </w:rPr>
        <w:t>12.3</w:t>
      </w:r>
      <w:r>
        <w:rPr>
          <w:rFonts w:hint="eastAsia" w:hAnsi="宋体"/>
          <w:color w:val="auto"/>
          <w:sz w:val="24"/>
          <w:szCs w:val="24"/>
          <w:highlight w:val="none"/>
          <w:lang w:val="en-US" w:eastAsia="zh-CN"/>
        </w:rPr>
        <w:t xml:space="preserve"> </w:t>
      </w:r>
      <w:r>
        <w:rPr>
          <w:rFonts w:hint="eastAsia" w:hAnsi="宋体"/>
          <w:color w:val="auto"/>
          <w:sz w:val="24"/>
          <w:szCs w:val="24"/>
          <w:highlight w:val="none"/>
        </w:rPr>
        <w:t>如果供应商未按第12.1-12.2条要求将响应文件密封或在密封袋上加写标记的，采购代理机构将不予受理。</w:t>
      </w:r>
    </w:p>
    <w:p w14:paraId="67FCB64D">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12.4</w:t>
      </w:r>
      <w:r>
        <w:rPr>
          <w:rFonts w:hint="eastAsia" w:hAnsi="宋体"/>
          <w:color w:val="auto"/>
          <w:sz w:val="24"/>
          <w:szCs w:val="24"/>
          <w:highlight w:val="none"/>
          <w:lang w:val="en-US" w:eastAsia="zh-CN"/>
        </w:rPr>
        <w:t xml:space="preserve"> </w:t>
      </w:r>
      <w:r>
        <w:rPr>
          <w:rFonts w:hint="eastAsia" w:hAnsi="宋体"/>
          <w:color w:val="auto"/>
          <w:sz w:val="24"/>
          <w:szCs w:val="24"/>
          <w:highlight w:val="none"/>
        </w:rPr>
        <w:t>供应商以电报、电话、传真形式投标的，采购代理机构概不接受。</w:t>
      </w:r>
    </w:p>
    <w:bookmarkEnd w:id="177"/>
    <w:bookmarkEnd w:id="178"/>
    <w:p w14:paraId="47634922">
      <w:pPr>
        <w:pStyle w:val="3"/>
        <w:rPr>
          <w:rFonts w:hint="eastAsia" w:ascii="宋体" w:hAnsi="宋体" w:cs="宋体"/>
          <w:color w:val="auto"/>
          <w:highlight w:val="none"/>
        </w:rPr>
      </w:pPr>
      <w:bookmarkStart w:id="196" w:name="_Toc373392583"/>
      <w:bookmarkStart w:id="197" w:name="_Toc30756"/>
      <w:bookmarkStart w:id="198" w:name="_Toc325726017"/>
      <w:bookmarkStart w:id="199" w:name="_Toc4009"/>
      <w:bookmarkStart w:id="200" w:name="_Toc412617732"/>
      <w:bookmarkStart w:id="201" w:name="_Toc495567953"/>
      <w:bookmarkStart w:id="202" w:name="_Toc5658"/>
      <w:bookmarkStart w:id="203" w:name="_Toc11648"/>
      <w:bookmarkStart w:id="204" w:name="_Toc29673"/>
      <w:bookmarkStart w:id="205" w:name="_Toc25052"/>
      <w:bookmarkStart w:id="206" w:name="_Toc15407"/>
      <w:bookmarkStart w:id="207" w:name="_Toc495666270"/>
      <w:bookmarkStart w:id="208" w:name="_Toc371090030"/>
      <w:bookmarkStart w:id="209" w:name="_Toc376936749"/>
      <w:r>
        <w:rPr>
          <w:rFonts w:hint="eastAsia" w:ascii="宋体" w:hAnsi="宋体" w:cs="宋体"/>
          <w:color w:val="auto"/>
          <w:highlight w:val="none"/>
        </w:rPr>
        <w:t>13.</w:t>
      </w:r>
      <w:bookmarkEnd w:id="196"/>
      <w:bookmarkEnd w:id="197"/>
      <w:bookmarkEnd w:id="198"/>
      <w:bookmarkEnd w:id="199"/>
      <w:bookmarkEnd w:id="200"/>
      <w:r>
        <w:rPr>
          <w:rFonts w:hint="eastAsia" w:ascii="宋体" w:hAnsi="宋体" w:cs="宋体"/>
          <w:color w:val="auto"/>
          <w:highlight w:val="none"/>
        </w:rPr>
        <w:t>提交响应文件截止时间、地点</w:t>
      </w:r>
      <w:bookmarkEnd w:id="201"/>
      <w:bookmarkEnd w:id="202"/>
      <w:bookmarkEnd w:id="203"/>
      <w:bookmarkEnd w:id="204"/>
      <w:bookmarkEnd w:id="205"/>
      <w:bookmarkEnd w:id="206"/>
      <w:bookmarkEnd w:id="207"/>
    </w:p>
    <w:p w14:paraId="72BD8DA5">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13.1</w:t>
      </w:r>
      <w:r>
        <w:rPr>
          <w:rFonts w:hint="eastAsia" w:hAnsi="宋体"/>
          <w:color w:val="auto"/>
          <w:sz w:val="24"/>
          <w:szCs w:val="24"/>
          <w:highlight w:val="none"/>
          <w:lang w:val="en-US" w:eastAsia="zh-CN"/>
        </w:rPr>
        <w:t xml:space="preserve"> </w:t>
      </w:r>
      <w:r>
        <w:rPr>
          <w:rFonts w:hint="eastAsia" w:hAnsi="宋体"/>
          <w:color w:val="auto"/>
          <w:sz w:val="24"/>
          <w:szCs w:val="24"/>
          <w:highlight w:val="none"/>
        </w:rPr>
        <w:t>响应文件提交的截止时间及地点详见</w:t>
      </w:r>
      <w:r>
        <w:rPr>
          <w:rFonts w:hint="eastAsia" w:hAnsi="宋体"/>
          <w:color w:val="auto"/>
          <w:sz w:val="24"/>
          <w:szCs w:val="24"/>
          <w:highlight w:val="none"/>
          <w:lang w:eastAsia="zh-CN"/>
        </w:rPr>
        <w:t>“</w:t>
      </w:r>
      <w:r>
        <w:rPr>
          <w:rFonts w:hint="eastAsia" w:hAnsi="宋体"/>
          <w:color w:val="auto"/>
          <w:sz w:val="24"/>
          <w:szCs w:val="24"/>
          <w:highlight w:val="none"/>
        </w:rPr>
        <w:t>供应商须知前附表”。</w:t>
      </w:r>
    </w:p>
    <w:p w14:paraId="1C3D006A">
      <w:pPr>
        <w:pStyle w:val="11"/>
        <w:spacing w:line="360" w:lineRule="auto"/>
        <w:ind w:firstLine="480" w:firstLineChars="200"/>
        <w:rPr>
          <w:rFonts w:hint="eastAsia" w:hAnsi="宋体"/>
          <w:color w:val="auto"/>
          <w:sz w:val="24"/>
          <w:szCs w:val="24"/>
          <w:highlight w:val="none"/>
        </w:rPr>
      </w:pPr>
      <w:r>
        <w:rPr>
          <w:rFonts w:hint="eastAsia" w:hAnsi="宋体"/>
          <w:color w:val="auto"/>
          <w:sz w:val="24"/>
          <w:szCs w:val="24"/>
          <w:highlight w:val="none"/>
        </w:rPr>
        <w:t>13.2</w:t>
      </w:r>
      <w:r>
        <w:rPr>
          <w:rFonts w:hint="eastAsia" w:hAnsi="宋体"/>
          <w:color w:val="auto"/>
          <w:sz w:val="24"/>
          <w:szCs w:val="24"/>
          <w:highlight w:val="none"/>
          <w:lang w:val="en-US" w:eastAsia="zh-CN"/>
        </w:rPr>
        <w:t xml:space="preserve"> </w:t>
      </w:r>
      <w:r>
        <w:rPr>
          <w:rFonts w:hint="eastAsia" w:hAnsi="宋体"/>
          <w:color w:val="auto"/>
          <w:sz w:val="24"/>
          <w:szCs w:val="24"/>
          <w:highlight w:val="none"/>
        </w:rPr>
        <w:t>采购代理机构将拒绝接受在提交首次响应文件截止时间之后送达的响应文件。</w:t>
      </w:r>
      <w:bookmarkEnd w:id="208"/>
      <w:bookmarkEnd w:id="209"/>
      <w:bookmarkStart w:id="210" w:name="_Toc325726019"/>
      <w:bookmarkStart w:id="211" w:name="_Toc376936750"/>
      <w:bookmarkStart w:id="212" w:name="_Toc9147"/>
    </w:p>
    <w:p w14:paraId="1A15754C">
      <w:pPr>
        <w:pStyle w:val="2"/>
        <w:rPr>
          <w:rFonts w:hint="eastAsia" w:ascii="宋体" w:hAnsi="宋体" w:cs="宋体"/>
          <w:color w:val="auto"/>
          <w:highlight w:val="none"/>
        </w:rPr>
      </w:pPr>
      <w:bookmarkStart w:id="213" w:name="_Toc31387"/>
      <w:bookmarkStart w:id="214" w:name="_Toc22539"/>
      <w:bookmarkStart w:id="215" w:name="_Toc30174"/>
      <w:bookmarkStart w:id="216" w:name="_Toc5644"/>
      <w:bookmarkStart w:id="217" w:name="_Toc6481"/>
      <w:bookmarkStart w:id="218" w:name="_Toc4288"/>
      <w:bookmarkStart w:id="219" w:name="_Toc20310"/>
      <w:r>
        <w:rPr>
          <w:rFonts w:hint="eastAsia" w:ascii="宋体" w:hAnsi="宋体" w:cs="宋体"/>
          <w:color w:val="auto"/>
          <w:highlight w:val="none"/>
        </w:rPr>
        <w:t>五、</w:t>
      </w:r>
      <w:bookmarkEnd w:id="210"/>
      <w:bookmarkEnd w:id="211"/>
      <w:r>
        <w:rPr>
          <w:rFonts w:hint="eastAsia" w:ascii="宋体" w:hAnsi="宋体" w:cs="宋体"/>
          <w:color w:val="auto"/>
          <w:highlight w:val="none"/>
        </w:rPr>
        <w:t>磋商过程</w:t>
      </w:r>
      <w:bookmarkEnd w:id="212"/>
      <w:bookmarkEnd w:id="213"/>
      <w:bookmarkEnd w:id="214"/>
      <w:bookmarkEnd w:id="215"/>
      <w:bookmarkEnd w:id="216"/>
      <w:bookmarkEnd w:id="217"/>
      <w:bookmarkEnd w:id="218"/>
      <w:bookmarkEnd w:id="219"/>
    </w:p>
    <w:p w14:paraId="53F32A43">
      <w:pPr>
        <w:pStyle w:val="3"/>
        <w:rPr>
          <w:rFonts w:hint="eastAsia" w:ascii="宋体" w:hAnsi="宋体" w:cs="宋体"/>
          <w:color w:val="auto"/>
          <w:highlight w:val="none"/>
        </w:rPr>
      </w:pPr>
      <w:bookmarkStart w:id="220" w:name="_Toc376936751"/>
      <w:bookmarkStart w:id="221" w:name="_Toc325726020"/>
      <w:bookmarkStart w:id="222" w:name="_Toc26723"/>
      <w:bookmarkStart w:id="223" w:name="_Toc495666271"/>
      <w:bookmarkStart w:id="224" w:name="_Toc22737"/>
      <w:bookmarkStart w:id="225" w:name="_Toc29901"/>
      <w:bookmarkStart w:id="226" w:name="_Toc15630"/>
      <w:bookmarkStart w:id="227" w:name="_Toc13022"/>
      <w:bookmarkStart w:id="228" w:name="_Toc495567954"/>
      <w:bookmarkStart w:id="229" w:name="_Toc16202"/>
      <w:bookmarkStart w:id="230" w:name="_Toc5561"/>
      <w:r>
        <w:rPr>
          <w:rFonts w:hint="eastAsia" w:ascii="宋体" w:hAnsi="宋体" w:cs="宋体"/>
          <w:color w:val="auto"/>
          <w:highlight w:val="none"/>
        </w:rPr>
        <w:t>14.</w:t>
      </w:r>
      <w:bookmarkEnd w:id="220"/>
      <w:bookmarkEnd w:id="221"/>
      <w:r>
        <w:rPr>
          <w:rFonts w:hint="eastAsia" w:ascii="宋体" w:hAnsi="宋体" w:cs="宋体"/>
          <w:color w:val="auto"/>
          <w:highlight w:val="none"/>
        </w:rPr>
        <w:t>磋商过程</w:t>
      </w:r>
      <w:bookmarkEnd w:id="222"/>
      <w:bookmarkEnd w:id="223"/>
      <w:bookmarkEnd w:id="224"/>
      <w:bookmarkEnd w:id="225"/>
      <w:bookmarkEnd w:id="226"/>
      <w:bookmarkEnd w:id="227"/>
      <w:bookmarkEnd w:id="228"/>
      <w:bookmarkEnd w:id="229"/>
      <w:bookmarkEnd w:id="230"/>
    </w:p>
    <w:p w14:paraId="2B291E3C">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14.1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采购代理机构按本磋商文件中确定的时间和地点组织本项目的磋商活动。供应商应由其法定代表人或委托代理人参加。</w:t>
      </w:r>
    </w:p>
    <w:p w14:paraId="0072A50C">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14.2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磋商时，对不同文字文本响应文件的解释发生异议的，以中文文本为准。</w:t>
      </w:r>
    </w:p>
    <w:p w14:paraId="2D25D36C">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14.3</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磋商工作由采购代理机构组织，采购人、采购监管、纪检监察等有关方面代表可根据采购项目的具体情况列席。</w:t>
      </w:r>
    </w:p>
    <w:p w14:paraId="088C5D68">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14.4</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磋商过程有专人记录，并存档备查。</w:t>
      </w:r>
    </w:p>
    <w:p w14:paraId="0ECB885B">
      <w:pPr>
        <w:pStyle w:val="2"/>
        <w:rPr>
          <w:rFonts w:hint="eastAsia" w:ascii="宋体" w:hAnsi="宋体" w:cs="宋体"/>
          <w:color w:val="auto"/>
          <w:highlight w:val="none"/>
        </w:rPr>
      </w:pPr>
      <w:bookmarkStart w:id="231" w:name="_Toc325726021"/>
      <w:bookmarkStart w:id="232" w:name="_Toc376936752"/>
      <w:bookmarkStart w:id="233" w:name="_Toc18107"/>
      <w:bookmarkStart w:id="234" w:name="_Toc29147"/>
      <w:bookmarkStart w:id="235" w:name="_Toc17414"/>
      <w:bookmarkStart w:id="236" w:name="_Toc19030"/>
      <w:bookmarkStart w:id="237" w:name="_Toc16303"/>
      <w:bookmarkStart w:id="238" w:name="_Toc8225"/>
      <w:bookmarkStart w:id="239" w:name="_Toc13482"/>
      <w:bookmarkStart w:id="240" w:name="_Toc27021"/>
      <w:r>
        <w:rPr>
          <w:rFonts w:hint="eastAsia" w:ascii="宋体" w:hAnsi="宋体" w:cs="宋体"/>
          <w:color w:val="auto"/>
          <w:highlight w:val="none"/>
        </w:rPr>
        <w:t>六、磋商程序及方法</w:t>
      </w:r>
      <w:bookmarkEnd w:id="231"/>
      <w:bookmarkEnd w:id="232"/>
      <w:bookmarkEnd w:id="233"/>
      <w:bookmarkEnd w:id="234"/>
      <w:bookmarkEnd w:id="235"/>
      <w:bookmarkEnd w:id="236"/>
      <w:bookmarkEnd w:id="237"/>
      <w:bookmarkEnd w:id="238"/>
      <w:bookmarkEnd w:id="239"/>
      <w:bookmarkEnd w:id="240"/>
    </w:p>
    <w:p w14:paraId="7B63F317">
      <w:pPr>
        <w:pStyle w:val="3"/>
        <w:rPr>
          <w:rFonts w:hint="eastAsia" w:ascii="宋体" w:hAnsi="宋体" w:cs="宋体"/>
          <w:color w:val="auto"/>
          <w:highlight w:val="none"/>
        </w:rPr>
      </w:pPr>
      <w:bookmarkStart w:id="241" w:name="_Toc495666272"/>
      <w:bookmarkStart w:id="242" w:name="_Toc29058"/>
      <w:bookmarkStart w:id="243" w:name="_Toc21793"/>
      <w:bookmarkStart w:id="244" w:name="_Toc13947"/>
      <w:bookmarkStart w:id="245" w:name="_Toc325726022"/>
      <w:bookmarkStart w:id="246" w:name="_Toc376936753"/>
      <w:bookmarkStart w:id="247" w:name="_Toc27160"/>
      <w:bookmarkStart w:id="248" w:name="_Toc26121"/>
      <w:bookmarkStart w:id="249" w:name="_Toc495567955"/>
      <w:bookmarkStart w:id="250" w:name="_Toc23749"/>
      <w:bookmarkStart w:id="251" w:name="_Toc16935"/>
      <w:r>
        <w:rPr>
          <w:rFonts w:hint="eastAsia" w:ascii="宋体" w:hAnsi="宋体" w:cs="宋体"/>
          <w:color w:val="auto"/>
          <w:highlight w:val="none"/>
        </w:rPr>
        <w:t>15.磋商小组</w:t>
      </w:r>
      <w:bookmarkEnd w:id="241"/>
      <w:bookmarkEnd w:id="242"/>
      <w:bookmarkEnd w:id="243"/>
      <w:bookmarkEnd w:id="244"/>
      <w:bookmarkEnd w:id="245"/>
      <w:bookmarkEnd w:id="246"/>
      <w:bookmarkEnd w:id="247"/>
      <w:bookmarkEnd w:id="248"/>
      <w:bookmarkEnd w:id="249"/>
      <w:bookmarkEnd w:id="250"/>
      <w:bookmarkEnd w:id="251"/>
    </w:p>
    <w:p w14:paraId="7DB3A1F8">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15.1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采购代理机构将根据采购项目的特点依法组建磋商小组，其成员由具有一定专业水平的技术、经济等方面的专家和采购人代表等三人以上单数组成。其中技术、经济等方面的专家不少于成员总数的三分之二。采购代理机构人员不得参加本机构代理的采购项目的评审。</w:t>
      </w:r>
    </w:p>
    <w:p w14:paraId="77FEFC10">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15.2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磋商由采购代理机构负责组织，具体磋商事务由依法组建的磋商小组负责，并独立履行下列职责：</w:t>
      </w:r>
    </w:p>
    <w:p w14:paraId="4E478CB7">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（1）审查响应文件是否符合磋商文件要求，并作出评价；</w:t>
      </w:r>
    </w:p>
    <w:p w14:paraId="56549FA3">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（2）要求供应商对响应文件有关事项作出解释或澄清；</w:t>
      </w:r>
    </w:p>
    <w:p w14:paraId="3FB240AB">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（3）推荐预成交候选供应商；</w:t>
      </w:r>
    </w:p>
    <w:p w14:paraId="5A033DED">
      <w:pPr>
        <w:spacing w:line="360" w:lineRule="auto"/>
        <w:ind w:firstLine="480" w:firstLineChars="200"/>
        <w:jc w:val="left"/>
        <w:rPr>
          <w:rFonts w:hint="eastAsia" w:eastAsia="宋体"/>
          <w:color w:val="auto"/>
          <w:sz w:val="24"/>
          <w:szCs w:val="24"/>
          <w:highlight w:val="none"/>
          <w:lang w:eastAsia="zh-CN"/>
        </w:rPr>
      </w:pPr>
      <w:r>
        <w:rPr>
          <w:rFonts w:hint="eastAsia" w:eastAsia="宋体"/>
          <w:color w:val="auto"/>
          <w:sz w:val="24"/>
          <w:szCs w:val="24"/>
          <w:highlight w:val="none"/>
        </w:rPr>
        <w:t>（4）对非法干预评标工作的人员和机构进行举报或投诉</w:t>
      </w:r>
      <w:r>
        <w:rPr>
          <w:rFonts w:hint="eastAsia" w:eastAsia="宋体"/>
          <w:color w:val="auto"/>
          <w:sz w:val="24"/>
          <w:szCs w:val="24"/>
          <w:highlight w:val="none"/>
          <w:lang w:eastAsia="zh-CN"/>
        </w:rPr>
        <w:t>。</w:t>
      </w:r>
    </w:p>
    <w:p w14:paraId="35A62689">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15.3</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磋商小组应遵守并履行下列义务：</w:t>
      </w:r>
    </w:p>
    <w:p w14:paraId="02C56491">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（1）遵纪守法，客观、公正、廉洁地履行职责；</w:t>
      </w:r>
    </w:p>
    <w:p w14:paraId="1643E037">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（2）按照磋商文件规定的评审方法和评审标准进行评审，对评审意见承担磋商小组成员责任；</w:t>
      </w:r>
    </w:p>
    <w:p w14:paraId="1F32E7CE">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（3）对响应文件、磋商情况和磋商中获悉的商业秘密保密；</w:t>
      </w:r>
    </w:p>
    <w:p w14:paraId="6C7D46CE">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（4）参与磋商报告的起草；</w:t>
      </w:r>
    </w:p>
    <w:p w14:paraId="2C9FD456">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（5）解答供应商及有关方面的质疑；</w:t>
      </w:r>
    </w:p>
    <w:p w14:paraId="1D5A3991">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（6）配合纪检部门进行投诉处理工作。</w:t>
      </w:r>
    </w:p>
    <w:p w14:paraId="141C7B76">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15.4</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磋商小组所有成员应当集中与单一供应商分别进行磋商，并给予所有参加磋商的供应商平等的磋商机会。</w:t>
      </w:r>
    </w:p>
    <w:p w14:paraId="7C700ACC">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15.5</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磋商工作在有关部门的监督和严格保密的情况下依法开展，任何单位和个人不得非法干预、影响磋商工作和磋商结果。</w:t>
      </w:r>
    </w:p>
    <w:p w14:paraId="6E8C0565">
      <w:pPr>
        <w:pStyle w:val="3"/>
        <w:rPr>
          <w:rFonts w:hint="eastAsia" w:ascii="宋体" w:hAnsi="宋体" w:cs="宋体"/>
          <w:color w:val="auto"/>
          <w:highlight w:val="none"/>
        </w:rPr>
      </w:pPr>
      <w:bookmarkStart w:id="252" w:name="_Toc27086"/>
      <w:bookmarkStart w:id="253" w:name="_Toc7295"/>
      <w:bookmarkStart w:id="254" w:name="_Toc376936754"/>
      <w:bookmarkStart w:id="255" w:name="_Toc14694"/>
      <w:bookmarkStart w:id="256" w:name="_Toc15041"/>
      <w:bookmarkStart w:id="257" w:name="_Toc19937"/>
      <w:bookmarkStart w:id="258" w:name="_Toc495666273"/>
      <w:bookmarkStart w:id="259" w:name="_Toc325726023"/>
      <w:bookmarkStart w:id="260" w:name="_Toc6528"/>
      <w:bookmarkStart w:id="261" w:name="_Toc495567956"/>
      <w:bookmarkStart w:id="262" w:name="_Toc19443"/>
      <w:r>
        <w:rPr>
          <w:rFonts w:hint="eastAsia" w:ascii="宋体" w:hAnsi="宋体" w:cs="宋体"/>
          <w:color w:val="auto"/>
          <w:highlight w:val="none"/>
        </w:rPr>
        <w:t>16.磋商程序</w:t>
      </w:r>
      <w:bookmarkEnd w:id="252"/>
      <w:bookmarkEnd w:id="253"/>
      <w:bookmarkEnd w:id="254"/>
      <w:bookmarkEnd w:id="255"/>
      <w:bookmarkEnd w:id="256"/>
      <w:bookmarkEnd w:id="257"/>
      <w:bookmarkEnd w:id="258"/>
      <w:bookmarkEnd w:id="259"/>
      <w:bookmarkEnd w:id="260"/>
      <w:bookmarkEnd w:id="261"/>
      <w:bookmarkEnd w:id="262"/>
    </w:p>
    <w:p w14:paraId="7819CA61">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进入磋商阶段后，磋商小组成员按照客观、公正、审慎的原则，根据磋商文件规定的评审程序、评审方法和评审标准进行独立开展评审工作，负责审议所有响应文件，并按先初审、后详审的程序对响应文件进行评审、评分。</w:t>
      </w:r>
    </w:p>
    <w:p w14:paraId="6C7F1389">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初审阶段为资格性审查和符合性审查。响应文件在响应磋商文件要求方面出现的偏离，分为实质性偏离和非实质性偏离。</w:t>
      </w:r>
    </w:p>
    <w:p w14:paraId="57E6FAE7">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16.2.1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实质性偏离是指响应文件未能实质性响应磋商文件的要求。以下情况属于实质性偏离，响应文件有下列情况之一的，按无效文件处理。</w:t>
      </w:r>
    </w:p>
    <w:p w14:paraId="2AEB9F3C">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（1）不符合第</w:t>
      </w:r>
      <w:r>
        <w:rPr>
          <w:rFonts w:hint="eastAsia" w:eastAsia="宋体"/>
          <w:color w:val="auto"/>
          <w:sz w:val="24"/>
          <w:szCs w:val="24"/>
          <w:highlight w:val="none"/>
          <w:lang w:val="zh-CN"/>
        </w:rPr>
        <w:t>2</w:t>
      </w:r>
      <w:r>
        <w:rPr>
          <w:rFonts w:hint="eastAsia" w:eastAsia="宋体"/>
          <w:color w:val="auto"/>
          <w:sz w:val="24"/>
          <w:szCs w:val="24"/>
          <w:highlight w:val="none"/>
        </w:rPr>
        <w:t>.</w:t>
      </w:r>
      <w:r>
        <w:rPr>
          <w:rFonts w:hint="eastAsia" w:eastAsia="宋体"/>
          <w:color w:val="auto"/>
          <w:sz w:val="24"/>
          <w:szCs w:val="24"/>
          <w:highlight w:val="none"/>
          <w:lang w:val="zh-CN"/>
        </w:rPr>
        <w:t>2款“合格的供应商”之规定的；</w:t>
      </w:r>
    </w:p>
    <w:p w14:paraId="65315612">
      <w:pPr>
        <w:spacing w:line="360" w:lineRule="auto"/>
        <w:ind w:firstLine="480" w:firstLineChars="200"/>
        <w:jc w:val="left"/>
        <w:rPr>
          <w:rFonts w:hint="eastAsia" w:eastAsia="宋体"/>
          <w:color w:val="auto"/>
          <w:sz w:val="24"/>
          <w:szCs w:val="24"/>
          <w:highlight w:val="none"/>
          <w:lang w:val="zh-CN"/>
        </w:rPr>
      </w:pPr>
      <w:r>
        <w:rPr>
          <w:rFonts w:hint="eastAsia" w:eastAsia="宋体"/>
          <w:color w:val="auto"/>
          <w:sz w:val="24"/>
          <w:szCs w:val="24"/>
          <w:highlight w:val="none"/>
        </w:rPr>
        <w:t>（2）</w:t>
      </w:r>
      <w:r>
        <w:rPr>
          <w:rFonts w:hint="eastAsia" w:eastAsia="宋体"/>
          <w:color w:val="auto"/>
          <w:sz w:val="24"/>
          <w:szCs w:val="24"/>
          <w:highlight w:val="none"/>
          <w:lang w:val="zh-CN"/>
        </w:rPr>
        <w:t>未按磋商文件要求缴纳或未足额缴纳磋商保证金的；</w:t>
      </w:r>
    </w:p>
    <w:p w14:paraId="2CD5D76B">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lang w:val="zh-CN"/>
        </w:rPr>
        <w:t>（3）未按</w:t>
      </w:r>
      <w:r>
        <w:rPr>
          <w:rFonts w:hint="eastAsia" w:eastAsia="宋体"/>
          <w:color w:val="auto"/>
          <w:sz w:val="24"/>
          <w:szCs w:val="24"/>
          <w:highlight w:val="none"/>
        </w:rPr>
        <w:t>竞争性磋商文件</w:t>
      </w:r>
      <w:r>
        <w:rPr>
          <w:rFonts w:hint="eastAsia" w:eastAsia="宋体"/>
          <w:color w:val="auto"/>
          <w:sz w:val="24"/>
          <w:szCs w:val="24"/>
          <w:highlight w:val="none"/>
          <w:lang w:val="zh-CN"/>
        </w:rPr>
        <w:t>要求提供相关资料的；</w:t>
      </w:r>
    </w:p>
    <w:p w14:paraId="4F8A9827">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（4）响应文件内容没有按磋商文件规定和要求签字、盖章的；</w:t>
      </w:r>
    </w:p>
    <w:p w14:paraId="549E8168">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（5）响应文件编排混乱，且擅自修改磋商文件规定的格式内容的；</w:t>
      </w:r>
    </w:p>
    <w:p w14:paraId="52EA59C1">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（6）项目</w:t>
      </w:r>
      <w:r>
        <w:rPr>
          <w:rFonts w:hint="eastAsia" w:eastAsia="宋体"/>
          <w:color w:val="auto"/>
          <w:sz w:val="24"/>
          <w:szCs w:val="24"/>
          <w:highlight w:val="none"/>
          <w:lang w:val="en-US" w:eastAsia="zh-CN"/>
        </w:rPr>
        <w:t>交货</w:t>
      </w:r>
      <w:r>
        <w:rPr>
          <w:rFonts w:hint="eastAsia" w:eastAsia="宋体"/>
          <w:color w:val="auto"/>
          <w:sz w:val="24"/>
          <w:szCs w:val="24"/>
          <w:highlight w:val="none"/>
        </w:rPr>
        <w:t>期、磋商有效期等不能满足磋商文件要求的；</w:t>
      </w:r>
    </w:p>
    <w:p w14:paraId="6B8A909D">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（7）磋商项目的服务内容、服务标准明显不符合采购项目要求的；</w:t>
      </w:r>
    </w:p>
    <w:p w14:paraId="76EEF360">
      <w:pPr>
        <w:spacing w:line="360" w:lineRule="auto"/>
        <w:ind w:firstLine="480" w:firstLineChars="200"/>
        <w:jc w:val="left"/>
        <w:rPr>
          <w:rFonts w:hint="eastAsia" w:eastAsia="宋体"/>
          <w:color w:val="auto"/>
          <w:sz w:val="24"/>
          <w:szCs w:val="24"/>
          <w:highlight w:val="none"/>
          <w:lang w:eastAsia="zh-CN"/>
        </w:rPr>
      </w:pPr>
      <w:r>
        <w:rPr>
          <w:rFonts w:hint="eastAsia" w:eastAsia="宋体"/>
          <w:color w:val="auto"/>
          <w:sz w:val="24"/>
          <w:szCs w:val="24"/>
          <w:highlight w:val="none"/>
        </w:rPr>
        <w:t>（8）未按照磋商文件要求提供电子文档的</w:t>
      </w:r>
      <w:r>
        <w:rPr>
          <w:rFonts w:hint="eastAsia" w:eastAsia="宋体"/>
          <w:color w:val="auto"/>
          <w:sz w:val="24"/>
          <w:szCs w:val="24"/>
          <w:highlight w:val="none"/>
          <w:lang w:eastAsia="zh-CN"/>
        </w:rPr>
        <w:t>；</w:t>
      </w:r>
    </w:p>
    <w:p w14:paraId="2E8E1B70">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（9）响应文件中附有采购人不能接受的条件的；</w:t>
      </w:r>
    </w:p>
    <w:p w14:paraId="6501EE87">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（10）磋商小组认为应按无效响应处理的其他情况</w:t>
      </w:r>
      <w:r>
        <w:rPr>
          <w:rFonts w:hint="eastAsia" w:eastAsia="宋体"/>
          <w:color w:val="auto"/>
          <w:sz w:val="24"/>
          <w:szCs w:val="24"/>
          <w:highlight w:val="none"/>
          <w:lang w:val="en-US" w:eastAsia="zh-CN"/>
        </w:rPr>
        <w:t>的</w:t>
      </w:r>
      <w:r>
        <w:rPr>
          <w:rFonts w:hint="eastAsia" w:eastAsia="宋体"/>
          <w:color w:val="auto"/>
          <w:sz w:val="24"/>
          <w:szCs w:val="24"/>
          <w:highlight w:val="none"/>
        </w:rPr>
        <w:t>；</w:t>
      </w:r>
    </w:p>
    <w:p w14:paraId="3E493F67">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（11）法律、法规规定的其他情形</w:t>
      </w:r>
      <w:r>
        <w:rPr>
          <w:rFonts w:hint="eastAsia" w:eastAsia="宋体"/>
          <w:color w:val="auto"/>
          <w:sz w:val="24"/>
          <w:szCs w:val="24"/>
          <w:highlight w:val="none"/>
          <w:lang w:val="en-US" w:eastAsia="zh-CN"/>
        </w:rPr>
        <w:t>的</w:t>
      </w:r>
      <w:r>
        <w:rPr>
          <w:rFonts w:hint="eastAsia" w:eastAsia="宋体"/>
          <w:color w:val="auto"/>
          <w:sz w:val="24"/>
          <w:szCs w:val="24"/>
          <w:highlight w:val="none"/>
        </w:rPr>
        <w:t>。</w:t>
      </w:r>
    </w:p>
    <w:p w14:paraId="06B70218">
      <w:pPr>
        <w:tabs>
          <w:tab w:val="left" w:pos="8787"/>
        </w:tabs>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16.2.2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非实质性偏离指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A482515">
      <w:pPr>
        <w:tabs>
          <w:tab w:val="left" w:pos="8787"/>
        </w:tabs>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lang w:val="en-US" w:eastAsia="zh-CN"/>
        </w:rPr>
        <w:t xml:space="preserve">16.2.3 </w:t>
      </w:r>
      <w:r>
        <w:rPr>
          <w:rFonts w:hint="eastAsia" w:eastAsia="宋体"/>
          <w:color w:val="auto"/>
          <w:sz w:val="24"/>
          <w:szCs w:val="24"/>
          <w:highlight w:val="none"/>
        </w:rPr>
        <w:t>磋商小组要求供应商澄清、说明或者更正响应文件应当以书面形式作出。供应商的澄清、说明或者更正应当由法定代表人或其授权代表签字或者加盖公章。由授权代表签字的，应当附法定代表人授权书。</w:t>
      </w:r>
    </w:p>
    <w:p w14:paraId="2957C104">
      <w:pPr>
        <w:autoSpaceDE w:val="0"/>
        <w:autoSpaceDN w:val="0"/>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16.2.</w:t>
      </w:r>
      <w:r>
        <w:rPr>
          <w:rFonts w:hint="eastAsia" w:eastAsia="宋体"/>
          <w:color w:val="auto"/>
          <w:sz w:val="24"/>
          <w:szCs w:val="24"/>
          <w:highlight w:val="none"/>
          <w:lang w:val="en-US" w:eastAsia="zh-CN"/>
        </w:rPr>
        <w:t xml:space="preserve">4 </w:t>
      </w:r>
      <w:r>
        <w:rPr>
          <w:rFonts w:hint="eastAsia" w:eastAsia="宋体"/>
          <w:color w:val="auto"/>
          <w:sz w:val="24"/>
          <w:szCs w:val="24"/>
          <w:highlight w:val="none"/>
        </w:rPr>
        <w:t>在响应文件初审、详审过程中，如果磋商小组成员出现对评审结果有不同意见的，应当以书面形式反映，磋商报告中应注明该不同意见。磋商小组成员拒绝在磋商报告中签字又不书面说明其不同意见和理由的，视为同意磋商结果。</w:t>
      </w:r>
    </w:p>
    <w:p w14:paraId="6F4B36B4">
      <w:pPr>
        <w:autoSpaceDE w:val="0"/>
        <w:autoSpaceDN w:val="0"/>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16.3 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及时以书面形式同时通知所有参加磋商的供应商。供应商应当按照磋商文件的变动情况和磋商小组的要求重新提交响应文件，并由其法定代表人或委托代理人签字或者加盖公章。</w:t>
      </w:r>
    </w:p>
    <w:p w14:paraId="68230AD0">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16.4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504432E6">
      <w:pPr>
        <w:pStyle w:val="3"/>
        <w:rPr>
          <w:rFonts w:hint="eastAsia" w:ascii="宋体" w:hAnsi="宋体" w:cs="宋体"/>
          <w:color w:val="auto"/>
          <w:highlight w:val="none"/>
        </w:rPr>
      </w:pPr>
      <w:bookmarkStart w:id="263" w:name="_Toc495666274"/>
      <w:bookmarkStart w:id="264" w:name="_Toc22780"/>
      <w:bookmarkStart w:id="265" w:name="_Toc18461"/>
      <w:bookmarkStart w:id="266" w:name="_Toc10532"/>
      <w:bookmarkStart w:id="267" w:name="_Toc9341"/>
      <w:bookmarkStart w:id="268" w:name="_Toc14670"/>
      <w:bookmarkStart w:id="269" w:name="_Toc376936755"/>
      <w:bookmarkStart w:id="270" w:name="_Toc20611"/>
      <w:bookmarkStart w:id="271" w:name="_Toc325726024"/>
      <w:bookmarkStart w:id="272" w:name="_Toc13668"/>
      <w:bookmarkStart w:id="273" w:name="_Toc495567957"/>
      <w:r>
        <w:rPr>
          <w:rFonts w:hint="eastAsia" w:ascii="宋体" w:hAnsi="宋体" w:cs="宋体"/>
          <w:color w:val="auto"/>
          <w:highlight w:val="none"/>
        </w:rPr>
        <w:t>17.评审办法</w:t>
      </w:r>
      <w:bookmarkEnd w:id="263"/>
      <w:bookmarkEnd w:id="264"/>
      <w:bookmarkEnd w:id="265"/>
      <w:bookmarkEnd w:id="266"/>
      <w:bookmarkEnd w:id="267"/>
      <w:bookmarkEnd w:id="268"/>
      <w:bookmarkEnd w:id="269"/>
      <w:bookmarkEnd w:id="270"/>
      <w:bookmarkEnd w:id="271"/>
      <w:bookmarkEnd w:id="272"/>
      <w:bookmarkEnd w:id="273"/>
    </w:p>
    <w:p w14:paraId="3BD71794">
      <w:pPr>
        <w:spacing w:line="360" w:lineRule="auto"/>
        <w:ind w:firstLine="480" w:firstLineChars="200"/>
        <w:jc w:val="left"/>
        <w:rPr>
          <w:rFonts w:hint="eastAsia" w:eastAsia="宋体"/>
          <w:color w:val="auto"/>
          <w:sz w:val="24"/>
          <w:szCs w:val="24"/>
          <w:highlight w:val="none"/>
          <w:lang w:val="zh-CN"/>
        </w:rPr>
      </w:pPr>
      <w:r>
        <w:rPr>
          <w:rFonts w:hint="eastAsia" w:eastAsia="宋体"/>
          <w:color w:val="auto"/>
          <w:sz w:val="24"/>
          <w:szCs w:val="24"/>
          <w:highlight w:val="none"/>
        </w:rPr>
        <w:t>17.1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依照</w:t>
      </w:r>
      <w:r>
        <w:rPr>
          <w:rFonts w:hint="eastAsia" w:eastAsia="宋体"/>
          <w:color w:val="auto"/>
          <w:sz w:val="24"/>
          <w:szCs w:val="24"/>
          <w:highlight w:val="none"/>
          <w:lang w:eastAsia="zh-CN"/>
        </w:rPr>
        <w:t>《中华人民共和国招标投标法》《中华人民共和国招标投标法实施条例》《中华人民共和国政府采购法》《中华人民共和国政府采购法实施条例》《青海省非招标方式管理办法》</w:t>
      </w:r>
      <w:r>
        <w:rPr>
          <w:rFonts w:hint="eastAsia" w:eastAsia="宋体"/>
          <w:color w:val="auto"/>
          <w:sz w:val="24"/>
          <w:szCs w:val="24"/>
          <w:highlight w:val="none"/>
        </w:rPr>
        <w:t>《政府采购竞争性磋商采购方式管理暂行办法》的规定，结合该项目的特点制定本评审办法。本次评审采用综合评分法。</w:t>
      </w:r>
      <w:r>
        <w:rPr>
          <w:rFonts w:hint="eastAsia" w:eastAsia="宋体"/>
          <w:color w:val="auto"/>
          <w:sz w:val="24"/>
          <w:szCs w:val="24"/>
          <w:highlight w:val="none"/>
          <w:lang w:val="zh-CN"/>
        </w:rPr>
        <w:t>评审过程中，在同等条件下，优先采购具有环境标志、节能、自主创新的产品。（注：环境标志产品是指由财政部、国家环境保护总局颁布的环境标志产品政府采购清单”中的有效期内的产品；节能产品是指由财政部、国家发展改革委颁布的“节能产品政府采购清单” 中的有效期内的产品。）</w:t>
      </w:r>
    </w:p>
    <w:p w14:paraId="19A5515B">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17.</w:t>
      </w:r>
      <w:r>
        <w:rPr>
          <w:rFonts w:hint="eastAsia" w:eastAsia="宋体"/>
          <w:color w:val="auto"/>
          <w:sz w:val="24"/>
          <w:szCs w:val="24"/>
          <w:highlight w:val="none"/>
          <w:lang w:val="en-US" w:eastAsia="zh-CN"/>
        </w:rPr>
        <w:t xml:space="preserve">2 </w:t>
      </w:r>
      <w:r>
        <w:rPr>
          <w:rFonts w:hint="eastAsia" w:eastAsia="宋体"/>
          <w:color w:val="auto"/>
          <w:sz w:val="24"/>
          <w:szCs w:val="24"/>
          <w:highlight w:val="none"/>
        </w:rPr>
        <w:t>评审标准和分值分配：</w:t>
      </w:r>
      <w:bookmarkStart w:id="274" w:name="_Toc325726025"/>
      <w:bookmarkStart w:id="275" w:name="_Toc376936756"/>
      <w:bookmarkStart w:id="276" w:name="_Toc1304"/>
      <w:bookmarkStart w:id="277" w:name="_Toc2506"/>
      <w:bookmarkStart w:id="278" w:name="_Toc6689"/>
      <w:bookmarkStart w:id="279" w:name="_Toc29415"/>
    </w:p>
    <w:tbl>
      <w:tblPr>
        <w:tblStyle w:val="24"/>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734"/>
        <w:gridCol w:w="6478"/>
      </w:tblGrid>
      <w:tr w14:paraId="4C8C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1207" w:type="dxa"/>
            <w:noWrap w:val="0"/>
            <w:vAlign w:val="center"/>
          </w:tcPr>
          <w:p w14:paraId="664B85A7">
            <w:pPr>
              <w:autoSpaceDE w:val="0"/>
              <w:autoSpaceDN w:val="0"/>
              <w:adjustRightInd w:val="0"/>
              <w:spacing w:line="360" w:lineRule="auto"/>
              <w:jc w:val="center"/>
              <w:rPr>
                <w:rFonts w:hint="eastAsia" w:asciiTheme="majorEastAsia" w:hAnsiTheme="majorEastAsia" w:eastAsiaTheme="majorEastAsia" w:cstheme="majorEastAsia"/>
                <w:b w:val="0"/>
                <w:bCs/>
                <w:color w:val="auto"/>
                <w:kern w:val="0"/>
                <w:sz w:val="24"/>
                <w:szCs w:val="24"/>
                <w:highlight w:val="none"/>
                <w:lang w:eastAsia="zh-CN"/>
              </w:rPr>
            </w:pPr>
            <w:bookmarkStart w:id="280" w:name="_Toc10781"/>
            <w:bookmarkStart w:id="281" w:name="_Toc14201"/>
            <w:bookmarkStart w:id="282" w:name="_Toc12760"/>
            <w:bookmarkStart w:id="283" w:name="_Toc13449"/>
            <w:r>
              <w:rPr>
                <w:rFonts w:hint="eastAsia" w:asciiTheme="majorEastAsia" w:hAnsiTheme="majorEastAsia" w:eastAsiaTheme="majorEastAsia" w:cstheme="majorEastAsia"/>
                <w:b w:val="0"/>
                <w:bCs/>
                <w:color w:val="auto"/>
                <w:kern w:val="0"/>
                <w:sz w:val="24"/>
                <w:szCs w:val="24"/>
                <w:highlight w:val="none"/>
                <w:lang w:eastAsia="zh-CN"/>
              </w:rPr>
              <w:t>序号</w:t>
            </w:r>
          </w:p>
        </w:tc>
        <w:tc>
          <w:tcPr>
            <w:tcW w:w="1734" w:type="dxa"/>
            <w:noWrap w:val="0"/>
            <w:vAlign w:val="center"/>
          </w:tcPr>
          <w:p w14:paraId="7EEE6304">
            <w:pPr>
              <w:autoSpaceDE w:val="0"/>
              <w:autoSpaceDN w:val="0"/>
              <w:adjustRightInd w:val="0"/>
              <w:spacing w:line="360" w:lineRule="auto"/>
              <w:jc w:val="center"/>
              <w:rPr>
                <w:rFonts w:hint="eastAsia" w:asciiTheme="majorEastAsia" w:hAnsiTheme="majorEastAsia" w:eastAsiaTheme="majorEastAsia" w:cstheme="majorEastAsia"/>
                <w:b w:val="0"/>
                <w:bCs/>
                <w:color w:val="auto"/>
                <w:kern w:val="0"/>
                <w:sz w:val="24"/>
                <w:szCs w:val="24"/>
                <w:highlight w:val="none"/>
                <w:lang w:eastAsia="zh-CN"/>
              </w:rPr>
            </w:pPr>
            <w:r>
              <w:rPr>
                <w:rFonts w:hint="eastAsia" w:asciiTheme="majorEastAsia" w:hAnsiTheme="majorEastAsia" w:eastAsiaTheme="majorEastAsia" w:cstheme="majorEastAsia"/>
                <w:b w:val="0"/>
                <w:bCs/>
                <w:color w:val="auto"/>
                <w:kern w:val="0"/>
                <w:sz w:val="24"/>
                <w:szCs w:val="24"/>
                <w:highlight w:val="none"/>
                <w:lang w:eastAsia="zh-CN"/>
              </w:rPr>
              <w:t>评审因素</w:t>
            </w:r>
          </w:p>
        </w:tc>
        <w:tc>
          <w:tcPr>
            <w:tcW w:w="6478" w:type="dxa"/>
            <w:noWrap w:val="0"/>
            <w:vAlign w:val="center"/>
          </w:tcPr>
          <w:p w14:paraId="0856D0CE">
            <w:pPr>
              <w:autoSpaceDE w:val="0"/>
              <w:autoSpaceDN w:val="0"/>
              <w:adjustRightInd w:val="0"/>
              <w:spacing w:line="360" w:lineRule="auto"/>
              <w:jc w:val="center"/>
              <w:rPr>
                <w:rFonts w:hint="eastAsia" w:asciiTheme="majorEastAsia" w:hAnsiTheme="majorEastAsia" w:eastAsiaTheme="majorEastAsia" w:cstheme="majorEastAsia"/>
                <w:b w:val="0"/>
                <w:bCs/>
                <w:color w:val="auto"/>
                <w:kern w:val="0"/>
                <w:sz w:val="24"/>
                <w:szCs w:val="24"/>
                <w:highlight w:val="none"/>
              </w:rPr>
            </w:pPr>
            <w:r>
              <w:rPr>
                <w:rFonts w:hint="eastAsia" w:asciiTheme="majorEastAsia" w:hAnsiTheme="majorEastAsia" w:eastAsiaTheme="majorEastAsia" w:cstheme="majorEastAsia"/>
                <w:b w:val="0"/>
                <w:bCs/>
                <w:color w:val="auto"/>
                <w:kern w:val="0"/>
                <w:sz w:val="24"/>
                <w:szCs w:val="24"/>
                <w:highlight w:val="none"/>
              </w:rPr>
              <w:t>评分标准说明</w:t>
            </w:r>
          </w:p>
        </w:tc>
      </w:tr>
      <w:tr w14:paraId="14B5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1207" w:type="dxa"/>
            <w:noWrap w:val="0"/>
            <w:vAlign w:val="center"/>
          </w:tcPr>
          <w:p w14:paraId="1D284386">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auto"/>
                <w:sz w:val="24"/>
                <w:szCs w:val="24"/>
                <w:highlight w:val="none"/>
                <w:lang w:val="zh-CN"/>
              </w:rPr>
            </w:pPr>
            <w:r>
              <w:rPr>
                <w:rFonts w:hint="eastAsia" w:asciiTheme="majorEastAsia" w:hAnsiTheme="majorEastAsia" w:eastAsiaTheme="majorEastAsia" w:cstheme="majorEastAsia"/>
                <w:b w:val="0"/>
                <w:bCs/>
                <w:color w:val="auto"/>
                <w:sz w:val="24"/>
                <w:szCs w:val="24"/>
                <w:highlight w:val="none"/>
                <w:lang w:val="en-US" w:eastAsia="zh-CN"/>
              </w:rPr>
              <w:t>磋商</w:t>
            </w:r>
            <w:r>
              <w:rPr>
                <w:rFonts w:hint="eastAsia" w:asciiTheme="majorEastAsia" w:hAnsiTheme="majorEastAsia" w:eastAsiaTheme="majorEastAsia" w:cstheme="majorEastAsia"/>
                <w:b w:val="0"/>
                <w:bCs/>
                <w:color w:val="auto"/>
                <w:sz w:val="24"/>
                <w:szCs w:val="24"/>
                <w:highlight w:val="none"/>
                <w:lang w:val="zh-CN"/>
              </w:rPr>
              <w:t>报价</w:t>
            </w:r>
          </w:p>
          <w:p w14:paraId="4ED3652D">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auto"/>
                <w:sz w:val="24"/>
                <w:szCs w:val="24"/>
                <w:highlight w:val="none"/>
                <w:lang w:val="zh-CN"/>
              </w:rPr>
            </w:pPr>
          </w:p>
        </w:tc>
        <w:tc>
          <w:tcPr>
            <w:tcW w:w="1734" w:type="dxa"/>
            <w:noWrap w:val="0"/>
            <w:vAlign w:val="center"/>
          </w:tcPr>
          <w:p w14:paraId="32AA05AC">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auto"/>
                <w:sz w:val="24"/>
                <w:szCs w:val="24"/>
                <w:highlight w:val="none"/>
                <w:lang w:val="zh-CN"/>
              </w:rPr>
            </w:pPr>
            <w:r>
              <w:rPr>
                <w:rFonts w:hint="eastAsia" w:asciiTheme="majorEastAsia" w:hAnsiTheme="majorEastAsia" w:eastAsiaTheme="majorEastAsia" w:cstheme="majorEastAsia"/>
                <w:b w:val="0"/>
                <w:bCs/>
                <w:color w:val="auto"/>
                <w:sz w:val="24"/>
                <w:szCs w:val="24"/>
                <w:highlight w:val="none"/>
                <w:lang w:val="zh-CN"/>
              </w:rPr>
              <w:t>报价</w:t>
            </w:r>
            <w:r>
              <w:rPr>
                <w:rFonts w:hint="eastAsia" w:asciiTheme="majorEastAsia" w:hAnsiTheme="majorEastAsia" w:eastAsiaTheme="majorEastAsia" w:cstheme="majorEastAsia"/>
                <w:b w:val="0"/>
                <w:bCs/>
                <w:color w:val="auto"/>
                <w:sz w:val="24"/>
                <w:szCs w:val="24"/>
                <w:highlight w:val="none"/>
                <w:lang w:val="en-US" w:eastAsia="zh-CN"/>
              </w:rPr>
              <w:t>4</w:t>
            </w:r>
            <w:r>
              <w:rPr>
                <w:rFonts w:hint="eastAsia" w:asciiTheme="majorEastAsia" w:hAnsiTheme="majorEastAsia" w:eastAsiaTheme="majorEastAsia" w:cstheme="majorEastAsia"/>
                <w:b w:val="0"/>
                <w:bCs/>
                <w:color w:val="auto"/>
                <w:sz w:val="24"/>
                <w:szCs w:val="24"/>
                <w:highlight w:val="none"/>
                <w:lang w:val="zh-CN"/>
              </w:rPr>
              <w:t>0分</w:t>
            </w:r>
          </w:p>
        </w:tc>
        <w:tc>
          <w:tcPr>
            <w:tcW w:w="6478" w:type="dxa"/>
            <w:noWrap w:val="0"/>
            <w:vAlign w:val="center"/>
          </w:tcPr>
          <w:p w14:paraId="67EF5217">
            <w:pPr>
              <w:pageBreakBefore w:val="0"/>
              <w:kinsoku/>
              <w:overflowPunct/>
              <w:topLinePunct w:val="0"/>
              <w:bidi w:val="0"/>
              <w:spacing w:line="360" w:lineRule="auto"/>
              <w:jc w:val="left"/>
              <w:rPr>
                <w:rFonts w:hint="eastAsia" w:asciiTheme="majorEastAsia" w:hAnsiTheme="majorEastAsia" w:eastAsiaTheme="majorEastAsia" w:cstheme="majorEastAsia"/>
                <w:b w:val="0"/>
                <w:bCs/>
                <w:sz w:val="24"/>
                <w:szCs w:val="24"/>
                <w:highlight w:val="none"/>
                <w:lang w:val="zh-CN" w:eastAsia="zh-CN"/>
              </w:rPr>
            </w:pPr>
            <w:r>
              <w:rPr>
                <w:rFonts w:hint="eastAsia" w:asciiTheme="majorEastAsia" w:hAnsiTheme="majorEastAsia" w:eastAsiaTheme="majorEastAsia" w:cstheme="majorEastAsia"/>
                <w:b w:val="0"/>
                <w:bCs/>
                <w:color w:val="auto"/>
                <w:sz w:val="24"/>
                <w:szCs w:val="24"/>
                <w:highlight w:val="none"/>
                <w:lang w:val="zh-CN"/>
              </w:rPr>
              <w:t xml:space="preserve">在所有的有效响应报价中，以最终报价最低响应报价为基准价，其价格分为满分。其他供应商的报价分统一按下列公式计算：响应报价得分=(磋商基准价／响应报价)×价格权值（40%）×100（四舍五入后保留小数点后两位）。 </w:t>
            </w:r>
          </w:p>
        </w:tc>
      </w:tr>
      <w:tr w14:paraId="2FAB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1207" w:type="dxa"/>
            <w:noWrap w:val="0"/>
            <w:vAlign w:val="center"/>
          </w:tcPr>
          <w:p w14:paraId="0E9AE635">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000000"/>
                <w:sz w:val="24"/>
                <w:szCs w:val="24"/>
                <w:highlight w:val="none"/>
              </w:rPr>
            </w:pPr>
            <w:r>
              <w:rPr>
                <w:rFonts w:hint="eastAsia" w:asciiTheme="majorEastAsia" w:hAnsiTheme="majorEastAsia" w:eastAsiaTheme="majorEastAsia" w:cstheme="majorEastAsia"/>
                <w:b w:val="0"/>
                <w:bCs/>
                <w:color w:val="000000"/>
                <w:sz w:val="24"/>
                <w:szCs w:val="24"/>
                <w:highlight w:val="none"/>
              </w:rPr>
              <w:t>履约能力</w:t>
            </w:r>
          </w:p>
          <w:p w14:paraId="12A59057">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auto"/>
                <w:sz w:val="24"/>
                <w:szCs w:val="24"/>
                <w:highlight w:val="none"/>
                <w:lang w:val="en-US" w:eastAsia="zh-CN"/>
              </w:rPr>
            </w:pPr>
          </w:p>
        </w:tc>
        <w:tc>
          <w:tcPr>
            <w:tcW w:w="1734" w:type="dxa"/>
            <w:noWrap w:val="0"/>
            <w:vAlign w:val="center"/>
          </w:tcPr>
          <w:p w14:paraId="1FD25D2B">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000000"/>
                <w:sz w:val="24"/>
                <w:szCs w:val="24"/>
                <w:highlight w:val="none"/>
              </w:rPr>
            </w:pPr>
            <w:r>
              <w:rPr>
                <w:rFonts w:hint="eastAsia" w:asciiTheme="majorEastAsia" w:hAnsiTheme="majorEastAsia" w:eastAsiaTheme="majorEastAsia" w:cstheme="majorEastAsia"/>
                <w:b w:val="0"/>
                <w:bCs/>
                <w:color w:val="000000"/>
                <w:sz w:val="24"/>
                <w:szCs w:val="24"/>
                <w:highlight w:val="none"/>
              </w:rPr>
              <w:t>履约能力</w:t>
            </w:r>
          </w:p>
          <w:p w14:paraId="5A33A95E">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auto"/>
                <w:sz w:val="24"/>
                <w:szCs w:val="24"/>
                <w:highlight w:val="none"/>
                <w:lang w:val="zh-CN"/>
              </w:rPr>
            </w:pPr>
            <w:r>
              <w:rPr>
                <w:rFonts w:hint="eastAsia" w:asciiTheme="majorEastAsia" w:hAnsiTheme="majorEastAsia" w:eastAsiaTheme="majorEastAsia" w:cstheme="majorEastAsia"/>
                <w:b w:val="0"/>
                <w:bCs/>
                <w:color w:val="000000"/>
                <w:sz w:val="24"/>
                <w:szCs w:val="24"/>
                <w:highlight w:val="none"/>
                <w:lang w:val="en-US" w:eastAsia="zh-CN"/>
              </w:rPr>
              <w:t>5</w:t>
            </w:r>
            <w:r>
              <w:rPr>
                <w:rFonts w:hint="eastAsia" w:asciiTheme="majorEastAsia" w:hAnsiTheme="majorEastAsia" w:eastAsiaTheme="majorEastAsia" w:cstheme="majorEastAsia"/>
                <w:b w:val="0"/>
                <w:bCs/>
                <w:color w:val="000000"/>
                <w:sz w:val="24"/>
                <w:szCs w:val="24"/>
                <w:highlight w:val="none"/>
              </w:rPr>
              <w:t>分</w:t>
            </w:r>
          </w:p>
        </w:tc>
        <w:tc>
          <w:tcPr>
            <w:tcW w:w="6478" w:type="dxa"/>
            <w:noWrap w:val="0"/>
            <w:vAlign w:val="center"/>
          </w:tcPr>
          <w:p w14:paraId="7DD7F8E5">
            <w:pPr>
              <w:pageBreakBefore w:val="0"/>
              <w:kinsoku/>
              <w:overflowPunct/>
              <w:topLinePunct w:val="0"/>
              <w:bidi w:val="0"/>
              <w:spacing w:line="360" w:lineRule="auto"/>
              <w:jc w:val="left"/>
              <w:rPr>
                <w:rFonts w:hint="eastAsia" w:asciiTheme="majorEastAsia" w:hAnsiTheme="majorEastAsia" w:eastAsiaTheme="majorEastAsia" w:cstheme="majorEastAsia"/>
                <w:b w:val="0"/>
                <w:bCs/>
                <w:color w:val="auto"/>
                <w:sz w:val="24"/>
                <w:szCs w:val="24"/>
                <w:highlight w:val="none"/>
                <w:lang w:val="zh-CN"/>
              </w:rPr>
            </w:pPr>
            <w:r>
              <w:rPr>
                <w:rFonts w:hint="eastAsia" w:asciiTheme="majorEastAsia" w:hAnsiTheme="majorEastAsia" w:eastAsiaTheme="majorEastAsia" w:cstheme="majorEastAsia"/>
                <w:b w:val="0"/>
                <w:bCs/>
                <w:color w:val="auto"/>
                <w:sz w:val="24"/>
                <w:szCs w:val="24"/>
                <w:highlight w:val="none"/>
                <w:lang w:val="zh-CN"/>
              </w:rPr>
              <w:t>供应商针对本项目提供近3年（提供的业绩为2023年1月1日至磋商截至日）类似业绩证明材料（以成交通知书</w:t>
            </w:r>
            <w:r>
              <w:rPr>
                <w:rFonts w:hint="eastAsia" w:asciiTheme="majorEastAsia" w:hAnsiTheme="majorEastAsia" w:eastAsiaTheme="majorEastAsia" w:cstheme="majorEastAsia"/>
                <w:b w:val="0"/>
                <w:bCs/>
                <w:color w:val="auto"/>
                <w:sz w:val="24"/>
                <w:szCs w:val="24"/>
                <w:highlight w:val="none"/>
                <w:lang w:val="en-US" w:eastAsia="zh-CN"/>
              </w:rPr>
              <w:t>/中标通知书</w:t>
            </w:r>
            <w:r>
              <w:rPr>
                <w:rFonts w:hint="eastAsia" w:asciiTheme="majorEastAsia" w:hAnsiTheme="majorEastAsia" w:eastAsiaTheme="majorEastAsia" w:cstheme="majorEastAsia"/>
                <w:b w:val="0"/>
                <w:bCs/>
                <w:color w:val="auto"/>
                <w:sz w:val="24"/>
                <w:szCs w:val="24"/>
                <w:highlight w:val="none"/>
                <w:lang w:val="zh-CN"/>
              </w:rPr>
              <w:t xml:space="preserve">或合同书复印件为准），每提供1项得1分，满分5分；未提供不得分。 </w:t>
            </w:r>
          </w:p>
        </w:tc>
      </w:tr>
      <w:tr w14:paraId="36B6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7" w:type="dxa"/>
            <w:noWrap w:val="0"/>
            <w:vAlign w:val="center"/>
          </w:tcPr>
          <w:p w14:paraId="45F8BD7A">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val="0"/>
                <w:bCs/>
                <w:color w:val="000000" w:themeColor="text1"/>
                <w:sz w:val="24"/>
                <w:szCs w:val="24"/>
                <w:highlight w:val="none"/>
                <w:lang w:val="zh-CN"/>
                <w14:textFill>
                  <w14:solidFill>
                    <w14:schemeClr w14:val="tx1"/>
                  </w14:solidFill>
                </w14:textFill>
              </w:rPr>
              <w:t xml:space="preserve">技术参数  </w:t>
            </w:r>
          </w:p>
        </w:tc>
        <w:tc>
          <w:tcPr>
            <w:tcW w:w="1734" w:type="dxa"/>
            <w:noWrap w:val="0"/>
            <w:vAlign w:val="center"/>
          </w:tcPr>
          <w:p w14:paraId="3EAEAEE9">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000000" w:themeColor="text1"/>
                <w:sz w:val="24"/>
                <w:szCs w:val="24"/>
                <w:highlight w:val="none"/>
                <w:lang w:val="zh-CN" w:eastAsia="zh-CN"/>
                <w14:textFill>
                  <w14:solidFill>
                    <w14:schemeClr w14:val="tx1"/>
                  </w14:solidFill>
                </w14:textFill>
              </w:rPr>
            </w:pPr>
            <w:r>
              <w:rPr>
                <w:rFonts w:hint="eastAsia" w:asciiTheme="majorEastAsia" w:hAnsiTheme="majorEastAsia" w:eastAsiaTheme="majorEastAsia" w:cstheme="majorEastAsia"/>
                <w:b w:val="0"/>
                <w:bCs/>
                <w:color w:val="000000" w:themeColor="text1"/>
                <w:sz w:val="24"/>
                <w:szCs w:val="24"/>
                <w:highlight w:val="none"/>
                <w:lang w:val="zh-CN" w:eastAsia="zh-CN"/>
                <w14:textFill>
                  <w14:solidFill>
                    <w14:schemeClr w14:val="tx1"/>
                  </w14:solidFill>
                </w14:textFill>
              </w:rPr>
              <w:t xml:space="preserve">技术参数 </w:t>
            </w:r>
          </w:p>
          <w:p w14:paraId="6A7841C6">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val="0"/>
                <w:bCs/>
                <w:color w:val="000000" w:themeColor="text1"/>
                <w:sz w:val="24"/>
                <w:szCs w:val="24"/>
                <w:highlight w:val="none"/>
                <w:lang w:val="zh-CN" w:eastAsia="zh-CN"/>
                <w14:textFill>
                  <w14:solidFill>
                    <w14:schemeClr w14:val="tx1"/>
                  </w14:solidFill>
                </w14:textFill>
              </w:rPr>
              <w:t xml:space="preserve">45分 </w:t>
            </w:r>
          </w:p>
        </w:tc>
        <w:tc>
          <w:tcPr>
            <w:tcW w:w="6478" w:type="dxa"/>
            <w:noWrap w:val="0"/>
            <w:vAlign w:val="center"/>
          </w:tcPr>
          <w:p w14:paraId="20419F68">
            <w:pPr>
              <w:pageBreakBefore w:val="0"/>
              <w:kinsoku/>
              <w:overflowPunct/>
              <w:topLinePunct w:val="0"/>
              <w:bidi w:val="0"/>
              <w:spacing w:line="360" w:lineRule="auto"/>
              <w:jc w:val="both"/>
              <w:rPr>
                <w:rFonts w:hint="eastAsia" w:asciiTheme="majorEastAsia" w:hAnsiTheme="majorEastAsia" w:eastAsiaTheme="majorEastAsia" w:cstheme="majorEastAsia"/>
                <w:b w:val="0"/>
                <w:bCs/>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b w:val="0"/>
                <w:bCs/>
                <w:color w:val="000000" w:themeColor="text1"/>
                <w:sz w:val="24"/>
                <w:szCs w:val="24"/>
                <w:highlight w:val="none"/>
                <w:lang w:val="zh-CN"/>
                <w14:textFill>
                  <w14:solidFill>
                    <w14:schemeClr w14:val="tx1"/>
                  </w14:solidFill>
                </w14:textFill>
              </w:rPr>
              <w:t>技术参数和配置完全满足或优于磋商文件要求的，得45分；每有一项负偏离扣</w:t>
            </w:r>
            <w:r>
              <w:rPr>
                <w:rFonts w:hint="eastAsia" w:asciiTheme="majorEastAsia" w:hAnsiTheme="majorEastAsia" w:eastAsiaTheme="majorEastAsia" w:cstheme="majorEastAsia"/>
                <w:b w:val="0"/>
                <w:bCs/>
                <w:color w:val="000000" w:themeColor="text1"/>
                <w:sz w:val="24"/>
                <w:szCs w:val="24"/>
                <w:highlight w:val="none"/>
                <w:lang w:val="en-US" w:eastAsia="zh-CN"/>
                <w14:textFill>
                  <w14:solidFill>
                    <w14:schemeClr w14:val="tx1"/>
                  </w14:solidFill>
                </w14:textFill>
              </w:rPr>
              <w:t>1</w:t>
            </w:r>
            <w:r>
              <w:rPr>
                <w:rFonts w:hint="eastAsia" w:asciiTheme="majorEastAsia" w:hAnsiTheme="majorEastAsia" w:eastAsiaTheme="majorEastAsia" w:cstheme="majorEastAsia"/>
                <w:b w:val="0"/>
                <w:bCs/>
                <w:color w:val="000000" w:themeColor="text1"/>
                <w:sz w:val="24"/>
                <w:szCs w:val="24"/>
                <w:highlight w:val="none"/>
                <w:lang w:val="zh-CN"/>
                <w14:textFill>
                  <w14:solidFill>
                    <w14:schemeClr w14:val="tx1"/>
                  </w14:solidFill>
                </w14:textFill>
              </w:rPr>
              <w:t>分，扣完为止。[此项评分参数中有要求的按其要求为依据，没有要求的以产品检验（检测）报告或生产厂家公开发布的产品彩页（技术白皮书）等技术参数证明材料为依据</w:t>
            </w:r>
            <w:r>
              <w:rPr>
                <w:rFonts w:hint="eastAsia" w:asciiTheme="majorEastAsia" w:hAnsiTheme="majorEastAsia" w:eastAsiaTheme="majorEastAsia" w:cstheme="majorEastAsia"/>
                <w:b w:val="0"/>
                <w:bCs/>
                <w:color w:val="000000" w:themeColor="text1"/>
                <w:sz w:val="24"/>
                <w:szCs w:val="24"/>
                <w:highlight w:val="none"/>
                <w:lang w:val="en-US" w:eastAsia="zh-CN"/>
                <w14:textFill>
                  <w14:solidFill>
                    <w14:schemeClr w14:val="tx1"/>
                  </w14:solidFill>
                </w14:textFill>
              </w:rPr>
              <w:t>。</w:t>
            </w:r>
            <w:r>
              <w:rPr>
                <w:rFonts w:hint="eastAsia" w:asciiTheme="majorEastAsia" w:hAnsiTheme="majorEastAsia" w:eastAsiaTheme="majorEastAsia" w:cstheme="majorEastAsia"/>
                <w:b w:val="0"/>
                <w:bCs/>
                <w:color w:val="000000" w:themeColor="text1"/>
                <w:sz w:val="24"/>
                <w:szCs w:val="24"/>
                <w:highlight w:val="none"/>
                <w:lang w:val="zh-CN"/>
                <w14:textFill>
                  <w14:solidFill>
                    <w14:schemeClr w14:val="tx1"/>
                  </w14:solidFill>
                </w14:textFill>
              </w:rPr>
              <w:t xml:space="preserve">] </w:t>
            </w:r>
          </w:p>
        </w:tc>
      </w:tr>
      <w:tr w14:paraId="3A93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207" w:type="dxa"/>
            <w:noWrap w:val="0"/>
            <w:vAlign w:val="center"/>
          </w:tcPr>
          <w:p w14:paraId="05B7BC9D">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auto"/>
                <w:sz w:val="24"/>
                <w:szCs w:val="24"/>
                <w:highlight w:val="none"/>
                <w:lang w:val="zh-CN"/>
              </w:rPr>
            </w:pPr>
            <w:r>
              <w:rPr>
                <w:rFonts w:hint="eastAsia" w:asciiTheme="majorEastAsia" w:hAnsiTheme="majorEastAsia" w:eastAsiaTheme="majorEastAsia" w:cstheme="majorEastAsia"/>
                <w:b w:val="0"/>
                <w:bCs/>
                <w:color w:val="000000"/>
                <w:sz w:val="24"/>
                <w:szCs w:val="24"/>
                <w:highlight w:val="none"/>
              </w:rPr>
              <w:t>项目管理及实施方案</w:t>
            </w:r>
          </w:p>
        </w:tc>
        <w:tc>
          <w:tcPr>
            <w:tcW w:w="1734" w:type="dxa"/>
            <w:noWrap w:val="0"/>
            <w:vAlign w:val="center"/>
          </w:tcPr>
          <w:p w14:paraId="5A96E223">
            <w:pPr>
              <w:pageBreakBefore w:val="0"/>
              <w:kinsoku/>
              <w:overflowPunct/>
              <w:topLinePunct w:val="0"/>
              <w:bidi w:val="0"/>
              <w:spacing w:line="360" w:lineRule="auto"/>
              <w:jc w:val="center"/>
              <w:rPr>
                <w:rFonts w:hint="eastAsia" w:asciiTheme="majorEastAsia" w:hAnsiTheme="majorEastAsia" w:eastAsiaTheme="majorEastAsia" w:cstheme="majorEastAsia"/>
                <w:b w:val="0"/>
                <w:bCs/>
                <w:color w:val="000000"/>
                <w:sz w:val="24"/>
                <w:szCs w:val="24"/>
                <w:highlight w:val="none"/>
                <w:lang w:val="en-US" w:eastAsia="zh-CN"/>
              </w:rPr>
            </w:pPr>
            <w:r>
              <w:rPr>
                <w:rFonts w:hint="eastAsia" w:asciiTheme="majorEastAsia" w:hAnsiTheme="majorEastAsia" w:eastAsiaTheme="majorEastAsia" w:cstheme="majorEastAsia"/>
                <w:b w:val="0"/>
                <w:bCs/>
                <w:color w:val="000000"/>
                <w:sz w:val="24"/>
                <w:szCs w:val="24"/>
                <w:highlight w:val="none"/>
              </w:rPr>
              <w:t>项目管理及实施方案 5分</w:t>
            </w:r>
          </w:p>
        </w:tc>
        <w:tc>
          <w:tcPr>
            <w:tcW w:w="6478" w:type="dxa"/>
            <w:noWrap w:val="0"/>
            <w:vAlign w:val="center"/>
          </w:tcPr>
          <w:p w14:paraId="402567AA">
            <w:pPr>
              <w:pStyle w:val="3"/>
              <w:rPr>
                <w:rFonts w:hint="eastAsia" w:asciiTheme="majorEastAsia" w:hAnsiTheme="majorEastAsia" w:eastAsiaTheme="majorEastAsia" w:cstheme="majorEastAsia"/>
                <w:b w:val="0"/>
                <w:bCs/>
                <w:color w:val="000000"/>
                <w:sz w:val="24"/>
                <w:szCs w:val="24"/>
                <w:highlight w:val="none"/>
                <w:lang w:val="en-US" w:eastAsia="zh-CN"/>
              </w:rPr>
            </w:pPr>
            <w:r>
              <w:rPr>
                <w:rFonts w:hint="eastAsia" w:asciiTheme="majorEastAsia" w:hAnsiTheme="majorEastAsia" w:eastAsiaTheme="majorEastAsia" w:cstheme="majorEastAsia"/>
                <w:b w:val="0"/>
                <w:bCs/>
                <w:color w:val="000000"/>
                <w:sz w:val="24"/>
                <w:szCs w:val="24"/>
                <w:highlight w:val="none"/>
                <w:lang w:val="en-US" w:eastAsia="zh-CN"/>
              </w:rPr>
              <w:t>供应商针对本项目制定项目管理及实施方案，并且有科学、具体的项目管理措施。包含：①项目管理、②实施计划、③实施团队、④实施进度、⑤安装调试方案。以上因素每实质性响应一项得1分，满分5分，上述内容存在缺陷或不足的，每有一项扣0.5分，不提供不得分。未实质性响应或未提供不得分。</w:t>
            </w:r>
          </w:p>
          <w:p w14:paraId="1D84BFCE">
            <w:pPr>
              <w:pStyle w:val="3"/>
              <w:rPr>
                <w:rFonts w:hint="eastAsia" w:asciiTheme="majorEastAsia" w:hAnsiTheme="majorEastAsia" w:eastAsiaTheme="majorEastAsia" w:cstheme="majorEastAsia"/>
                <w:b w:val="0"/>
                <w:bCs/>
                <w:color w:val="000000"/>
                <w:kern w:val="0"/>
                <w:sz w:val="24"/>
                <w:szCs w:val="24"/>
                <w:highlight w:val="none"/>
                <w:lang w:val="zh-CN" w:eastAsia="zh-CN" w:bidi="ar-SA"/>
              </w:rPr>
            </w:pPr>
            <w:r>
              <w:rPr>
                <w:rFonts w:hint="eastAsia" w:asciiTheme="majorEastAsia" w:hAnsiTheme="majorEastAsia" w:eastAsiaTheme="majorEastAsia" w:cstheme="majorEastAsia"/>
                <w:b w:val="0"/>
                <w:bCs/>
                <w:sz w:val="24"/>
                <w:szCs w:val="24"/>
                <w:highlight w:val="none"/>
                <w:lang w:val="en-US" w:eastAsia="zh-CN"/>
              </w:rPr>
              <w:t>（注：缺陷是指：存在项目名称错误、地点区域错误、内容与本项目需求无关、方案内容矛盾或表述前后不一致、仅有框架或标题、适用的标准（方法）错误、明显复制其他项目内容等情况的任意一种情形。）</w:t>
            </w:r>
          </w:p>
        </w:tc>
      </w:tr>
      <w:tr w14:paraId="7236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jc w:val="center"/>
        </w:trPr>
        <w:tc>
          <w:tcPr>
            <w:tcW w:w="1207" w:type="dxa"/>
            <w:noWrap w:val="0"/>
            <w:vAlign w:val="center"/>
          </w:tcPr>
          <w:p w14:paraId="4A2DB64D">
            <w:pPr>
              <w:pageBreakBefore w:val="0"/>
              <w:kinsoku/>
              <w:overflowPunct/>
              <w:topLinePunct w:val="0"/>
              <w:bidi w:val="0"/>
              <w:spacing w:line="360" w:lineRule="auto"/>
              <w:jc w:val="center"/>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售后服务</w:t>
            </w:r>
          </w:p>
          <w:p w14:paraId="55A089AC">
            <w:pPr>
              <w:pageBreakBefore w:val="0"/>
              <w:numPr>
                <w:ilvl w:val="0"/>
                <w:numId w:val="0"/>
              </w:numPr>
              <w:kinsoku/>
              <w:overflowPunct/>
              <w:topLinePunct w:val="0"/>
              <w:bidi w:val="0"/>
              <w:spacing w:line="360" w:lineRule="auto"/>
              <w:ind w:leftChars="0"/>
              <w:jc w:val="center"/>
              <w:rPr>
                <w:rFonts w:hint="eastAsia" w:asciiTheme="majorEastAsia" w:hAnsiTheme="majorEastAsia" w:eastAsiaTheme="majorEastAsia" w:cstheme="majorEastAsia"/>
                <w:b w:val="0"/>
                <w:bCs/>
                <w:sz w:val="24"/>
                <w:szCs w:val="24"/>
                <w:highlight w:val="none"/>
                <w:lang w:val="en-US" w:eastAsia="zh-CN"/>
              </w:rPr>
            </w:pPr>
          </w:p>
        </w:tc>
        <w:tc>
          <w:tcPr>
            <w:tcW w:w="1734" w:type="dxa"/>
            <w:noWrap w:val="0"/>
            <w:vAlign w:val="center"/>
          </w:tcPr>
          <w:p w14:paraId="78B2AF33">
            <w:pPr>
              <w:pageBreakBefore w:val="0"/>
              <w:kinsoku/>
              <w:overflowPunct/>
              <w:topLinePunct w:val="0"/>
              <w:bidi w:val="0"/>
              <w:spacing w:line="360" w:lineRule="auto"/>
              <w:jc w:val="center"/>
              <w:rPr>
                <w:rFonts w:hint="eastAsia" w:asciiTheme="majorEastAsia" w:hAnsiTheme="majorEastAsia" w:eastAsiaTheme="majorEastAsia" w:cstheme="majorEastAsia"/>
                <w:b w:val="0"/>
                <w:bCs/>
                <w:sz w:val="24"/>
                <w:szCs w:val="24"/>
                <w:highlight w:val="none"/>
              </w:rPr>
            </w:pPr>
            <w:r>
              <w:rPr>
                <w:rFonts w:hint="eastAsia" w:asciiTheme="majorEastAsia" w:hAnsiTheme="majorEastAsia" w:eastAsiaTheme="majorEastAsia" w:cstheme="majorEastAsia"/>
                <w:b w:val="0"/>
                <w:bCs/>
                <w:sz w:val="24"/>
                <w:szCs w:val="24"/>
                <w:highlight w:val="none"/>
              </w:rPr>
              <w:t>售后服务</w:t>
            </w:r>
          </w:p>
          <w:p w14:paraId="392E44A7">
            <w:pPr>
              <w:pageBreakBefore w:val="0"/>
              <w:kinsoku/>
              <w:overflowPunct/>
              <w:topLinePunct w:val="0"/>
              <w:bidi w:val="0"/>
              <w:spacing w:line="360" w:lineRule="auto"/>
              <w:jc w:val="center"/>
              <w:rPr>
                <w:rFonts w:hint="eastAsia" w:asciiTheme="majorEastAsia" w:hAnsiTheme="majorEastAsia" w:eastAsiaTheme="majorEastAsia" w:cstheme="majorEastAsia"/>
                <w:b w:val="0"/>
                <w:bCs/>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5</w:t>
            </w:r>
            <w:r>
              <w:rPr>
                <w:rFonts w:hint="eastAsia" w:asciiTheme="majorEastAsia" w:hAnsiTheme="majorEastAsia" w:eastAsiaTheme="majorEastAsia" w:cstheme="majorEastAsia"/>
                <w:b w:val="0"/>
                <w:bCs/>
                <w:sz w:val="24"/>
                <w:szCs w:val="24"/>
                <w:highlight w:val="none"/>
              </w:rPr>
              <w:t>分</w:t>
            </w:r>
          </w:p>
        </w:tc>
        <w:tc>
          <w:tcPr>
            <w:tcW w:w="6478" w:type="dxa"/>
            <w:noWrap w:val="0"/>
            <w:vAlign w:val="center"/>
          </w:tcPr>
          <w:p w14:paraId="35F2B00F">
            <w:pPr>
              <w:pageBreakBefore w:val="0"/>
              <w:kinsoku/>
              <w:overflowPunct/>
              <w:topLinePunct w:val="0"/>
              <w:bidi w:val="0"/>
              <w:spacing w:line="360" w:lineRule="auto"/>
              <w:jc w:val="both"/>
              <w:rPr>
                <w:rFonts w:hint="eastAsia" w:asciiTheme="majorEastAsia" w:hAnsiTheme="majorEastAsia" w:eastAsiaTheme="majorEastAsia" w:cstheme="majorEastAsia"/>
                <w:b w:val="0"/>
                <w:bCs/>
                <w:color w:val="000000"/>
                <w:kern w:val="0"/>
                <w:sz w:val="24"/>
                <w:szCs w:val="24"/>
                <w:highlight w:val="none"/>
                <w:lang w:val="zh-CN" w:eastAsia="zh-CN" w:bidi="ar-SA"/>
              </w:rPr>
            </w:pPr>
            <w:r>
              <w:rPr>
                <w:rFonts w:hint="eastAsia" w:asciiTheme="majorEastAsia" w:hAnsiTheme="majorEastAsia" w:eastAsiaTheme="majorEastAsia" w:cstheme="majorEastAsia"/>
                <w:b w:val="0"/>
                <w:bCs/>
                <w:sz w:val="24"/>
                <w:szCs w:val="24"/>
                <w:highlight w:val="none"/>
                <w:lang w:val="en-US" w:eastAsia="zh-CN"/>
              </w:rPr>
              <w:t>供应商根据采购需求及项目实际情况，提供售后服务计划、措施及服务承诺，具体内容如下：①售后服务方案、②售后服务机构和人员、③售后服务内容和流程、④在质量保证期内，对于产品质量问题造成的损坏，免费部件更换、维修服务、⑤操作人员培训方案，以上因素每实质性响应一项得1分，满分5分，上述内容存在缺陷或不足的，每有一项扣0.5分，不提供不得分。未实质性响应或未提供不得分。（注：缺陷是指：存在项目名称错误、地点区域错误、内容与本项目需求无关、方案内容矛盾或表述前后不一致、仅有框架或标题、适用的标准（方法）错误、明显复制其他项目内容等情况的任意一种情形。）</w:t>
            </w:r>
          </w:p>
        </w:tc>
      </w:tr>
    </w:tbl>
    <w:p w14:paraId="3B07DEC6">
      <w:pPr>
        <w:rPr>
          <w:rFonts w:hint="eastAsia" w:ascii="宋体" w:hAnsi="宋体" w:eastAsia="宋体" w:cs="宋体"/>
          <w:color w:val="auto"/>
          <w:highlight w:val="none"/>
          <w:lang w:eastAsia="zh-CN"/>
        </w:rPr>
      </w:pPr>
    </w:p>
    <w:p w14:paraId="16979CA6">
      <w:pPr>
        <w:pStyle w:val="2"/>
        <w:ind w:firstLine="3213" w:firstLineChars="1000"/>
        <w:jc w:val="both"/>
        <w:rPr>
          <w:rFonts w:hint="eastAsia" w:ascii="宋体" w:hAnsi="宋体" w:eastAsia="宋体" w:cs="宋体"/>
          <w:color w:val="auto"/>
          <w:highlight w:val="none"/>
          <w:lang w:val="en-US" w:eastAsia="zh-CN"/>
        </w:rPr>
      </w:pPr>
      <w:r>
        <w:rPr>
          <w:rFonts w:hint="eastAsia" w:ascii="宋体" w:hAnsi="宋体" w:cs="宋体"/>
          <w:color w:val="auto"/>
          <w:highlight w:val="none"/>
        </w:rPr>
        <w:t>七、</w:t>
      </w:r>
      <w:bookmarkEnd w:id="274"/>
      <w:bookmarkEnd w:id="275"/>
      <w:r>
        <w:rPr>
          <w:rFonts w:hint="eastAsia" w:ascii="宋体" w:hAnsi="宋体" w:cs="宋体"/>
          <w:color w:val="auto"/>
          <w:highlight w:val="none"/>
        </w:rPr>
        <w:t>确定成交供应商</w:t>
      </w:r>
      <w:bookmarkEnd w:id="276"/>
      <w:bookmarkEnd w:id="277"/>
      <w:bookmarkEnd w:id="278"/>
      <w:bookmarkEnd w:id="279"/>
      <w:bookmarkEnd w:id="280"/>
      <w:bookmarkEnd w:id="281"/>
      <w:bookmarkEnd w:id="282"/>
      <w:bookmarkEnd w:id="283"/>
    </w:p>
    <w:p w14:paraId="77E3126E">
      <w:pPr>
        <w:pStyle w:val="3"/>
        <w:rPr>
          <w:rFonts w:hint="eastAsia" w:ascii="宋体" w:hAnsi="宋体" w:cs="宋体"/>
          <w:color w:val="auto"/>
          <w:highlight w:val="none"/>
        </w:rPr>
      </w:pPr>
      <w:bookmarkStart w:id="284" w:name="_Toc376936757"/>
      <w:bookmarkStart w:id="285" w:name="_Toc325726026"/>
      <w:bookmarkStart w:id="286" w:name="_Toc495666275"/>
      <w:bookmarkStart w:id="287" w:name="_Toc3474"/>
      <w:bookmarkStart w:id="288" w:name="_Toc4724"/>
      <w:bookmarkStart w:id="289" w:name="_Toc28889"/>
      <w:bookmarkStart w:id="290" w:name="_Toc5243"/>
      <w:bookmarkStart w:id="291" w:name="_Toc30068"/>
      <w:bookmarkStart w:id="292" w:name="_Toc17038"/>
      <w:bookmarkStart w:id="293" w:name="_Toc495567958"/>
      <w:bookmarkStart w:id="294" w:name="_Toc32764"/>
      <w:r>
        <w:rPr>
          <w:rFonts w:hint="eastAsia" w:ascii="宋体" w:hAnsi="宋体" w:cs="宋体"/>
          <w:color w:val="auto"/>
          <w:highlight w:val="none"/>
        </w:rPr>
        <w:t>18.推荐并确定成交</w:t>
      </w:r>
      <w:bookmarkEnd w:id="284"/>
      <w:bookmarkEnd w:id="285"/>
      <w:r>
        <w:rPr>
          <w:rFonts w:hint="eastAsia" w:ascii="宋体" w:hAnsi="宋体" w:cs="宋体"/>
          <w:color w:val="auto"/>
          <w:highlight w:val="none"/>
        </w:rPr>
        <w:t>供应商</w:t>
      </w:r>
      <w:bookmarkEnd w:id="286"/>
      <w:bookmarkEnd w:id="287"/>
      <w:bookmarkEnd w:id="288"/>
      <w:bookmarkEnd w:id="289"/>
      <w:bookmarkEnd w:id="290"/>
      <w:bookmarkEnd w:id="291"/>
      <w:bookmarkEnd w:id="292"/>
      <w:bookmarkEnd w:id="293"/>
      <w:bookmarkEnd w:id="294"/>
    </w:p>
    <w:p w14:paraId="4D908CA2">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18.1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采购代理机构应当在评审结束后2个工作日内将评审报告送采购人确认。</w:t>
      </w:r>
    </w:p>
    <w:p w14:paraId="4176A1B1">
      <w:pPr>
        <w:spacing w:line="360" w:lineRule="auto"/>
        <w:jc w:val="left"/>
        <w:rPr>
          <w:rFonts w:hint="eastAsia" w:eastAsia="宋体"/>
          <w:color w:val="auto"/>
          <w:sz w:val="24"/>
          <w:szCs w:val="24"/>
          <w:highlight w:val="none"/>
        </w:rPr>
      </w:pPr>
      <w:r>
        <w:rPr>
          <w:rFonts w:hint="eastAsia" w:eastAsia="宋体"/>
          <w:color w:val="auto"/>
          <w:sz w:val="24"/>
          <w:szCs w:val="24"/>
          <w:highlight w:val="none"/>
        </w:rPr>
        <w:t>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19F0BE2">
      <w:pPr>
        <w:pStyle w:val="3"/>
        <w:rPr>
          <w:rFonts w:hint="eastAsia" w:ascii="宋体" w:hAnsi="宋体" w:cs="宋体"/>
          <w:color w:val="auto"/>
          <w:highlight w:val="none"/>
        </w:rPr>
      </w:pPr>
      <w:bookmarkStart w:id="295" w:name="_Toc325726028"/>
      <w:bookmarkStart w:id="296" w:name="_Toc2346"/>
      <w:bookmarkStart w:id="297" w:name="_Toc376936759"/>
      <w:bookmarkStart w:id="298" w:name="_Toc495567959"/>
      <w:bookmarkStart w:id="299" w:name="_Toc2963"/>
      <w:bookmarkStart w:id="300" w:name="_Toc495666276"/>
      <w:bookmarkStart w:id="301" w:name="_Toc24634"/>
      <w:bookmarkStart w:id="302" w:name="_Toc17711"/>
      <w:bookmarkStart w:id="303" w:name="_Toc24581"/>
      <w:bookmarkStart w:id="304" w:name="_Toc18587"/>
      <w:bookmarkStart w:id="305" w:name="_Toc16865"/>
      <w:bookmarkStart w:id="306" w:name="_Toc325726027"/>
      <w:r>
        <w:rPr>
          <w:rFonts w:hint="eastAsia" w:ascii="宋体" w:hAnsi="宋体" w:cs="宋体"/>
          <w:color w:val="auto"/>
          <w:highlight w:val="none"/>
        </w:rPr>
        <w:t>19.成交通知</w:t>
      </w:r>
      <w:bookmarkEnd w:id="295"/>
      <w:bookmarkEnd w:id="296"/>
      <w:bookmarkEnd w:id="297"/>
      <w:bookmarkEnd w:id="298"/>
      <w:bookmarkEnd w:id="299"/>
      <w:bookmarkEnd w:id="300"/>
      <w:bookmarkEnd w:id="301"/>
      <w:bookmarkEnd w:id="302"/>
      <w:bookmarkEnd w:id="303"/>
      <w:bookmarkEnd w:id="304"/>
      <w:bookmarkEnd w:id="305"/>
    </w:p>
    <w:p w14:paraId="316F1C3B">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19.1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采购人或者采购代理机构应当在成交供应商确定后2个工作日内，在</w:t>
      </w:r>
      <w:r>
        <w:rPr>
          <w:rFonts w:hint="eastAsia" w:eastAsia="宋体"/>
          <w:color w:val="auto"/>
          <w:sz w:val="24"/>
          <w:szCs w:val="24"/>
          <w:highlight w:val="none"/>
          <w:lang w:eastAsia="zh-CN"/>
        </w:rPr>
        <w:t>指定网站</w:t>
      </w:r>
      <w:r>
        <w:rPr>
          <w:rFonts w:hint="eastAsia" w:eastAsia="宋体"/>
          <w:color w:val="auto"/>
          <w:sz w:val="24"/>
          <w:szCs w:val="24"/>
          <w:highlight w:val="none"/>
        </w:rPr>
        <w:t>上公告成交结果，同时向成交供应商发出成交通知书。</w:t>
      </w:r>
    </w:p>
    <w:p w14:paraId="72D78A93">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19.2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《成交通知书》发出后，采购人改变成交结果的，或者成交供应商无正当理由放弃成交项目的，依法承担法律责任。</w:t>
      </w:r>
    </w:p>
    <w:p w14:paraId="335AAF5A">
      <w:pPr>
        <w:pStyle w:val="2"/>
        <w:rPr>
          <w:rFonts w:hint="eastAsia" w:ascii="宋体" w:hAnsi="宋体" w:cs="宋体"/>
          <w:color w:val="auto"/>
          <w:highlight w:val="none"/>
        </w:rPr>
      </w:pPr>
      <w:bookmarkStart w:id="307" w:name="_Toc18063"/>
      <w:bookmarkStart w:id="308" w:name="_Toc1846"/>
      <w:bookmarkStart w:id="309" w:name="_Toc26276"/>
      <w:bookmarkStart w:id="310" w:name="_Toc376936758"/>
      <w:bookmarkStart w:id="311" w:name="_Toc5556"/>
      <w:bookmarkStart w:id="312" w:name="_Toc3461"/>
      <w:bookmarkStart w:id="313" w:name="_Toc8948"/>
      <w:bookmarkStart w:id="314" w:name="_Toc28065"/>
      <w:bookmarkStart w:id="315" w:name="_Toc2094"/>
      <w:r>
        <w:rPr>
          <w:rFonts w:hint="eastAsia" w:ascii="宋体" w:hAnsi="宋体" w:cs="宋体"/>
          <w:color w:val="auto"/>
          <w:highlight w:val="none"/>
        </w:rPr>
        <w:t>八、授予合同</w:t>
      </w:r>
      <w:bookmarkEnd w:id="306"/>
      <w:bookmarkEnd w:id="307"/>
      <w:bookmarkEnd w:id="308"/>
      <w:bookmarkEnd w:id="309"/>
      <w:bookmarkEnd w:id="310"/>
      <w:bookmarkEnd w:id="311"/>
      <w:bookmarkEnd w:id="312"/>
      <w:bookmarkEnd w:id="313"/>
      <w:bookmarkEnd w:id="314"/>
      <w:bookmarkEnd w:id="315"/>
    </w:p>
    <w:p w14:paraId="42394CED">
      <w:pPr>
        <w:pStyle w:val="3"/>
        <w:rPr>
          <w:rFonts w:hint="eastAsia" w:ascii="宋体" w:hAnsi="宋体" w:cs="宋体"/>
          <w:color w:val="auto"/>
          <w:highlight w:val="none"/>
        </w:rPr>
      </w:pPr>
      <w:bookmarkStart w:id="316" w:name="_Toc325726029"/>
      <w:bookmarkStart w:id="317" w:name="_Toc25"/>
      <w:bookmarkStart w:id="318" w:name="_Toc495567960"/>
      <w:bookmarkStart w:id="319" w:name="_Toc7180"/>
      <w:bookmarkStart w:id="320" w:name="_Toc527"/>
      <w:bookmarkStart w:id="321" w:name="_Toc4123"/>
      <w:bookmarkStart w:id="322" w:name="_Toc495666277"/>
      <w:bookmarkStart w:id="323" w:name="_Toc376936760"/>
      <w:bookmarkStart w:id="324" w:name="_Toc921"/>
      <w:bookmarkStart w:id="325" w:name="_Toc28394"/>
      <w:bookmarkStart w:id="326" w:name="_Toc15246"/>
      <w:r>
        <w:rPr>
          <w:rFonts w:hint="eastAsia" w:ascii="宋体" w:hAnsi="宋体" w:cs="宋体"/>
          <w:color w:val="auto"/>
          <w:highlight w:val="none"/>
        </w:rPr>
        <w:t>20.签订合同</w:t>
      </w:r>
      <w:bookmarkEnd w:id="316"/>
      <w:bookmarkEnd w:id="317"/>
      <w:bookmarkEnd w:id="318"/>
      <w:bookmarkEnd w:id="319"/>
      <w:bookmarkEnd w:id="320"/>
      <w:bookmarkEnd w:id="321"/>
      <w:bookmarkEnd w:id="322"/>
      <w:bookmarkEnd w:id="323"/>
      <w:bookmarkEnd w:id="324"/>
      <w:bookmarkEnd w:id="325"/>
      <w:bookmarkEnd w:id="326"/>
    </w:p>
    <w:p w14:paraId="62F37B0B">
      <w:pPr>
        <w:spacing w:line="360" w:lineRule="auto"/>
        <w:ind w:firstLine="480" w:firstLineChars="200"/>
        <w:jc w:val="left"/>
        <w:rPr>
          <w:rFonts w:hint="eastAsia" w:eastAsia="宋体"/>
          <w:color w:val="auto"/>
          <w:sz w:val="24"/>
          <w:szCs w:val="24"/>
          <w:highlight w:val="none"/>
        </w:rPr>
      </w:pPr>
      <w:bookmarkStart w:id="327" w:name="_Toc376936761"/>
      <w:bookmarkStart w:id="328" w:name="_Toc325726030"/>
      <w:r>
        <w:rPr>
          <w:rFonts w:hint="eastAsia" w:eastAsia="宋体"/>
          <w:color w:val="auto"/>
          <w:sz w:val="24"/>
          <w:szCs w:val="24"/>
          <w:highlight w:val="none"/>
        </w:rPr>
        <w:t>20.1</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采购人与成交供应商应当在成交通知书发出之日起30日内，按照磋商文件确定的合同文本以及采购标的、服务要求等事项签订政府采购合同。</w:t>
      </w:r>
    </w:p>
    <w:p w14:paraId="6266BE27">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20.2</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54BEF2E3">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20.3</w:t>
      </w:r>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0D1A1DED">
      <w:pPr>
        <w:pStyle w:val="2"/>
        <w:rPr>
          <w:rFonts w:hint="eastAsia" w:ascii="宋体" w:hAnsi="宋体" w:cs="宋体"/>
          <w:color w:val="auto"/>
          <w:highlight w:val="none"/>
        </w:rPr>
      </w:pPr>
      <w:bookmarkStart w:id="329" w:name="_Toc6769"/>
      <w:bookmarkStart w:id="330" w:name="_Toc896"/>
      <w:bookmarkStart w:id="331" w:name="_Toc32324"/>
      <w:bookmarkStart w:id="332" w:name="_Toc22442"/>
      <w:bookmarkStart w:id="333" w:name="_Toc3731"/>
      <w:bookmarkStart w:id="334" w:name="_Toc2430"/>
      <w:bookmarkStart w:id="335" w:name="_Toc16665"/>
      <w:bookmarkStart w:id="336" w:name="_Toc29429"/>
      <w:r>
        <w:rPr>
          <w:rFonts w:hint="eastAsia" w:ascii="宋体" w:hAnsi="宋体" w:cs="宋体"/>
          <w:color w:val="auto"/>
          <w:highlight w:val="none"/>
        </w:rPr>
        <w:t>九、</w:t>
      </w:r>
      <w:bookmarkEnd w:id="327"/>
      <w:bookmarkEnd w:id="328"/>
      <w:r>
        <w:rPr>
          <w:rFonts w:hint="eastAsia" w:ascii="宋体" w:hAnsi="宋体" w:cs="宋体"/>
          <w:color w:val="auto"/>
          <w:highlight w:val="none"/>
        </w:rPr>
        <w:t>磋商活动终止</w:t>
      </w:r>
      <w:bookmarkEnd w:id="329"/>
      <w:bookmarkEnd w:id="330"/>
      <w:bookmarkEnd w:id="331"/>
      <w:bookmarkEnd w:id="332"/>
      <w:bookmarkEnd w:id="333"/>
      <w:bookmarkEnd w:id="334"/>
      <w:bookmarkEnd w:id="335"/>
      <w:bookmarkEnd w:id="336"/>
    </w:p>
    <w:p w14:paraId="3EBB7A57">
      <w:pPr>
        <w:pStyle w:val="3"/>
        <w:rPr>
          <w:rFonts w:hint="eastAsia" w:ascii="宋体" w:hAnsi="宋体" w:cs="宋体"/>
          <w:color w:val="auto"/>
          <w:highlight w:val="none"/>
        </w:rPr>
      </w:pPr>
      <w:bookmarkStart w:id="337" w:name="_Toc25721"/>
      <w:bookmarkStart w:id="338" w:name="_Toc15956"/>
      <w:bookmarkStart w:id="339" w:name="_Toc23829"/>
      <w:bookmarkStart w:id="340" w:name="_Toc7098"/>
      <w:bookmarkStart w:id="341" w:name="_Toc31015"/>
      <w:bookmarkStart w:id="342" w:name="_Toc20160"/>
      <w:bookmarkStart w:id="343" w:name="_Toc495567961"/>
      <w:bookmarkStart w:id="344" w:name="_Toc495666278"/>
      <w:bookmarkStart w:id="345" w:name="_Toc11684"/>
      <w:bookmarkStart w:id="346" w:name="_Toc325726031"/>
      <w:bookmarkStart w:id="347" w:name="_Toc376936762"/>
      <w:r>
        <w:rPr>
          <w:rFonts w:hint="eastAsia" w:ascii="宋体" w:hAnsi="宋体" w:cs="宋体"/>
          <w:color w:val="auto"/>
          <w:highlight w:val="none"/>
        </w:rPr>
        <w:t>21.终止情形</w:t>
      </w:r>
      <w:bookmarkEnd w:id="337"/>
      <w:bookmarkEnd w:id="338"/>
      <w:bookmarkEnd w:id="339"/>
      <w:bookmarkEnd w:id="340"/>
      <w:bookmarkEnd w:id="341"/>
      <w:bookmarkEnd w:id="342"/>
      <w:bookmarkEnd w:id="343"/>
      <w:bookmarkEnd w:id="344"/>
      <w:bookmarkEnd w:id="345"/>
    </w:p>
    <w:p w14:paraId="21CBF678">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21.1</w:t>
      </w:r>
      <w:bookmarkEnd w:id="346"/>
      <w:bookmarkEnd w:id="347"/>
      <w:r>
        <w:rPr>
          <w:rFonts w:hint="eastAsia" w:eastAsia="宋体"/>
          <w:color w:val="auto"/>
          <w:sz w:val="24"/>
          <w:szCs w:val="24"/>
          <w:highlight w:val="none"/>
          <w:lang w:val="en-US" w:eastAsia="zh-CN"/>
        </w:rPr>
        <w:t xml:space="preserve"> </w:t>
      </w:r>
      <w:r>
        <w:rPr>
          <w:rFonts w:hint="eastAsia" w:eastAsia="宋体"/>
          <w:color w:val="auto"/>
          <w:sz w:val="24"/>
          <w:szCs w:val="24"/>
          <w:highlight w:val="none"/>
        </w:rPr>
        <w:t>出现下列情形之一的，采购代理机构应当终止竞争性磋商采购活动，发布项目终止公告并说明原因，重新开展采购活动：</w:t>
      </w:r>
    </w:p>
    <w:p w14:paraId="32E540D9">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（1）因情况变化，不再符合规定的竞争性磋商采购方式适用情形的；</w:t>
      </w:r>
    </w:p>
    <w:p w14:paraId="5E4054EE">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（2）出现影响采购公正的违法、违规行为的；</w:t>
      </w:r>
    </w:p>
    <w:p w14:paraId="204069A1">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（3）除《政府采购竞争性磋商采购方式管理暂行办法》第二十一条第三款规定的情形外，在采购过程中符合要求的供应商或者报价未超过采购预算的供应商不足3家的。</w:t>
      </w:r>
    </w:p>
    <w:p w14:paraId="57041E4A">
      <w:pPr>
        <w:spacing w:line="360" w:lineRule="auto"/>
        <w:ind w:firstLine="480" w:firstLineChars="200"/>
        <w:rPr>
          <w:rFonts w:hint="eastAsia" w:eastAsia="宋体"/>
          <w:color w:val="auto"/>
          <w:sz w:val="24"/>
          <w:szCs w:val="24"/>
          <w:highlight w:val="none"/>
        </w:rPr>
      </w:pPr>
      <w:r>
        <w:rPr>
          <w:rFonts w:hint="eastAsia" w:eastAsia="宋体"/>
          <w:color w:val="auto"/>
          <w:sz w:val="24"/>
          <w:szCs w:val="24"/>
          <w:highlight w:val="none"/>
        </w:rPr>
        <w:t>21.2终止磋商活动后，由采购代理机构发布终止公告并说明原因。</w:t>
      </w:r>
      <w:bookmarkStart w:id="348" w:name="_Toc325726032"/>
    </w:p>
    <w:p w14:paraId="155C5255">
      <w:pPr>
        <w:pStyle w:val="2"/>
        <w:rPr>
          <w:rFonts w:hint="eastAsia" w:ascii="宋体" w:hAnsi="宋体" w:cs="宋体"/>
          <w:color w:val="auto"/>
          <w:highlight w:val="none"/>
          <w:lang w:val="zh-CN"/>
        </w:rPr>
      </w:pPr>
      <w:bookmarkStart w:id="349" w:name="_Toc1826"/>
      <w:bookmarkStart w:id="350" w:name="_Toc376936763"/>
      <w:bookmarkStart w:id="351" w:name="_Toc19249"/>
      <w:bookmarkStart w:id="352" w:name="_Toc27950"/>
      <w:bookmarkStart w:id="353" w:name="_Toc20142"/>
      <w:bookmarkStart w:id="354" w:name="_Toc8316"/>
      <w:bookmarkStart w:id="355" w:name="_Toc6646"/>
      <w:bookmarkStart w:id="356" w:name="_Toc12914"/>
      <w:bookmarkStart w:id="357" w:name="_Toc4415"/>
      <w:r>
        <w:rPr>
          <w:rFonts w:hint="eastAsia" w:ascii="宋体" w:hAnsi="宋体" w:cs="宋体"/>
          <w:color w:val="auto"/>
          <w:highlight w:val="none"/>
          <w:lang w:val="zh-CN"/>
        </w:rPr>
        <w:t>十、处罚</w:t>
      </w:r>
      <w:bookmarkEnd w:id="348"/>
      <w:bookmarkEnd w:id="349"/>
      <w:bookmarkEnd w:id="350"/>
      <w:bookmarkEnd w:id="351"/>
      <w:bookmarkEnd w:id="352"/>
      <w:bookmarkEnd w:id="353"/>
      <w:bookmarkEnd w:id="354"/>
      <w:bookmarkEnd w:id="355"/>
      <w:bookmarkEnd w:id="356"/>
      <w:bookmarkEnd w:id="357"/>
    </w:p>
    <w:p w14:paraId="617BF8E7">
      <w:pPr>
        <w:pStyle w:val="3"/>
        <w:rPr>
          <w:rFonts w:hint="eastAsia" w:ascii="宋体" w:hAnsi="宋体" w:cs="宋体"/>
          <w:color w:val="auto"/>
          <w:highlight w:val="none"/>
        </w:rPr>
      </w:pPr>
      <w:bookmarkStart w:id="358" w:name="_Toc19244"/>
      <w:bookmarkStart w:id="359" w:name="_Toc25633"/>
      <w:bookmarkStart w:id="360" w:name="_Toc17567"/>
      <w:bookmarkStart w:id="361" w:name="_Toc27186"/>
      <w:bookmarkStart w:id="362" w:name="_Toc325726033"/>
      <w:bookmarkStart w:id="363" w:name="_Toc1803"/>
      <w:bookmarkStart w:id="364" w:name="_Toc28018"/>
      <w:bookmarkStart w:id="365" w:name="_Toc495666279"/>
      <w:bookmarkStart w:id="366" w:name="_Toc19756"/>
      <w:bookmarkStart w:id="367" w:name="_Toc376936764"/>
      <w:bookmarkStart w:id="368" w:name="_Toc495567962"/>
      <w:r>
        <w:rPr>
          <w:rFonts w:hint="eastAsia" w:ascii="宋体" w:hAnsi="宋体" w:cs="宋体"/>
          <w:color w:val="auto"/>
          <w:highlight w:val="none"/>
        </w:rPr>
        <w:t>22.处罚情形</w:t>
      </w:r>
      <w:bookmarkEnd w:id="358"/>
      <w:bookmarkEnd w:id="359"/>
      <w:bookmarkEnd w:id="360"/>
      <w:bookmarkEnd w:id="361"/>
      <w:bookmarkEnd w:id="362"/>
      <w:bookmarkEnd w:id="363"/>
      <w:bookmarkEnd w:id="364"/>
      <w:bookmarkEnd w:id="365"/>
      <w:bookmarkEnd w:id="366"/>
      <w:bookmarkEnd w:id="367"/>
      <w:bookmarkEnd w:id="368"/>
    </w:p>
    <w:p w14:paraId="12427ED7">
      <w:pPr>
        <w:autoSpaceDE w:val="0"/>
        <w:autoSpaceDN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en-US" w:eastAsia="zh-CN"/>
        </w:rPr>
        <w:t xml:space="preserve">22.1 </w:t>
      </w:r>
      <w:r>
        <w:rPr>
          <w:rFonts w:hint="eastAsia" w:eastAsia="宋体"/>
          <w:color w:val="auto"/>
          <w:sz w:val="24"/>
          <w:highlight w:val="none"/>
          <w:lang w:val="zh-CN"/>
        </w:rPr>
        <w:t>成交人有下列情形之一的，成交无效，磋商保证金不予退还。情节严重的，报同级财政部门依法进行处理：</w:t>
      </w:r>
    </w:p>
    <w:p w14:paraId="45298127">
      <w:pPr>
        <w:autoSpaceDE w:val="0"/>
        <w:autoSpaceDN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w:t>
      </w:r>
      <w:r>
        <w:rPr>
          <w:rFonts w:hint="eastAsia" w:eastAsia="宋体"/>
          <w:color w:val="auto"/>
          <w:sz w:val="24"/>
          <w:highlight w:val="none"/>
        </w:rPr>
        <w:t>1</w:t>
      </w:r>
      <w:r>
        <w:rPr>
          <w:rFonts w:hint="eastAsia" w:eastAsia="宋体"/>
          <w:color w:val="auto"/>
          <w:sz w:val="24"/>
          <w:highlight w:val="none"/>
          <w:lang w:val="zh-CN"/>
        </w:rPr>
        <w:t>）提供虚假材料谋取成交的；</w:t>
      </w:r>
    </w:p>
    <w:p w14:paraId="31A73E75">
      <w:pPr>
        <w:autoSpaceDE w:val="0"/>
        <w:autoSpaceDN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w:t>
      </w:r>
      <w:r>
        <w:rPr>
          <w:rFonts w:hint="eastAsia" w:eastAsia="宋体"/>
          <w:color w:val="auto"/>
          <w:sz w:val="24"/>
          <w:highlight w:val="none"/>
        </w:rPr>
        <w:t>2</w:t>
      </w:r>
      <w:r>
        <w:rPr>
          <w:rFonts w:hint="eastAsia" w:eastAsia="宋体"/>
          <w:color w:val="auto"/>
          <w:sz w:val="24"/>
          <w:highlight w:val="none"/>
          <w:lang w:val="zh-CN"/>
        </w:rPr>
        <w:t>）采取不正当手段诋毁、排挤其他供应商的；</w:t>
      </w:r>
    </w:p>
    <w:p w14:paraId="1B8A2F43">
      <w:pPr>
        <w:autoSpaceDE w:val="0"/>
        <w:autoSpaceDN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w:t>
      </w:r>
      <w:r>
        <w:rPr>
          <w:rFonts w:hint="eastAsia" w:eastAsia="宋体"/>
          <w:color w:val="auto"/>
          <w:sz w:val="24"/>
          <w:highlight w:val="none"/>
        </w:rPr>
        <w:t>3</w:t>
      </w:r>
      <w:r>
        <w:rPr>
          <w:rFonts w:hint="eastAsia" w:eastAsia="宋体"/>
          <w:color w:val="auto"/>
          <w:sz w:val="24"/>
          <w:highlight w:val="none"/>
          <w:lang w:val="zh-CN"/>
        </w:rPr>
        <w:t>）与采购人、其他供应商或者采购代理机构恶意串通的；</w:t>
      </w:r>
    </w:p>
    <w:p w14:paraId="4B70564B">
      <w:pPr>
        <w:autoSpaceDE w:val="0"/>
        <w:autoSpaceDN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w:t>
      </w:r>
      <w:r>
        <w:rPr>
          <w:rFonts w:hint="eastAsia" w:eastAsia="宋体"/>
          <w:color w:val="auto"/>
          <w:sz w:val="24"/>
          <w:highlight w:val="none"/>
        </w:rPr>
        <w:t>4</w:t>
      </w:r>
      <w:r>
        <w:rPr>
          <w:rFonts w:hint="eastAsia" w:eastAsia="宋体"/>
          <w:color w:val="auto"/>
          <w:sz w:val="24"/>
          <w:highlight w:val="none"/>
          <w:lang w:val="zh-CN"/>
        </w:rPr>
        <w:t>）向采购人、采购代理机构行贿或者提供其他不正当利益的；</w:t>
      </w:r>
    </w:p>
    <w:p w14:paraId="276993DD">
      <w:pPr>
        <w:autoSpaceDE w:val="0"/>
        <w:autoSpaceDN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w:t>
      </w:r>
      <w:r>
        <w:rPr>
          <w:rFonts w:hint="eastAsia" w:eastAsia="宋体"/>
          <w:color w:val="auto"/>
          <w:sz w:val="24"/>
          <w:highlight w:val="none"/>
        </w:rPr>
        <w:t>5</w:t>
      </w:r>
      <w:r>
        <w:rPr>
          <w:rFonts w:hint="eastAsia" w:eastAsia="宋体"/>
          <w:color w:val="auto"/>
          <w:sz w:val="24"/>
          <w:highlight w:val="none"/>
          <w:lang w:val="zh-CN"/>
        </w:rPr>
        <w:t>）在磋商采购过程中与采购人进行协商谈判的；</w:t>
      </w:r>
    </w:p>
    <w:p w14:paraId="7DADB7F8">
      <w:pPr>
        <w:autoSpaceDE w:val="0"/>
        <w:autoSpaceDN w:val="0"/>
        <w:spacing w:line="360" w:lineRule="auto"/>
        <w:ind w:firstLine="480" w:firstLineChars="200"/>
        <w:rPr>
          <w:rFonts w:hint="eastAsia" w:eastAsia="宋体"/>
          <w:color w:val="auto"/>
          <w:sz w:val="24"/>
          <w:szCs w:val="24"/>
          <w:highlight w:val="none"/>
        </w:rPr>
      </w:pPr>
      <w:r>
        <w:rPr>
          <w:rFonts w:hint="eastAsia" w:eastAsia="宋体"/>
          <w:color w:val="auto"/>
          <w:sz w:val="24"/>
          <w:highlight w:val="none"/>
          <w:lang w:val="zh-CN"/>
        </w:rPr>
        <w:t>（</w:t>
      </w:r>
      <w:r>
        <w:rPr>
          <w:rFonts w:hint="eastAsia" w:eastAsia="宋体"/>
          <w:color w:val="auto"/>
          <w:sz w:val="24"/>
          <w:highlight w:val="none"/>
        </w:rPr>
        <w:t>6</w:t>
      </w:r>
      <w:r>
        <w:rPr>
          <w:rFonts w:hint="eastAsia" w:eastAsia="宋体"/>
          <w:color w:val="auto"/>
          <w:sz w:val="24"/>
          <w:highlight w:val="none"/>
          <w:lang w:val="zh-CN"/>
        </w:rPr>
        <w:t>）向磋商小组行贿或者提供其他不正当利益</w:t>
      </w:r>
      <w:r>
        <w:rPr>
          <w:rFonts w:hint="eastAsia" w:eastAsia="宋体"/>
          <w:color w:val="auto"/>
          <w:sz w:val="24"/>
          <w:highlight w:val="none"/>
          <w:lang w:val="en-US" w:eastAsia="zh-CN"/>
        </w:rPr>
        <w:t>的</w:t>
      </w:r>
      <w:r>
        <w:rPr>
          <w:rFonts w:hint="eastAsia" w:eastAsia="宋体"/>
          <w:color w:val="auto"/>
          <w:sz w:val="24"/>
          <w:highlight w:val="none"/>
          <w:lang w:val="zh-CN"/>
        </w:rPr>
        <w:t>。</w:t>
      </w:r>
    </w:p>
    <w:p w14:paraId="3B0696A3">
      <w:pPr>
        <w:pStyle w:val="2"/>
        <w:rPr>
          <w:rFonts w:hint="eastAsia" w:ascii="宋体" w:hAnsi="宋体" w:cs="宋体"/>
          <w:color w:val="auto"/>
          <w:highlight w:val="none"/>
        </w:rPr>
      </w:pPr>
      <w:bookmarkStart w:id="369" w:name="_Toc19188"/>
      <w:bookmarkStart w:id="370" w:name="_Toc376936765"/>
      <w:bookmarkStart w:id="371" w:name="_Toc31429"/>
      <w:bookmarkStart w:id="372" w:name="_Toc18795"/>
      <w:bookmarkStart w:id="373" w:name="_Toc12096"/>
      <w:bookmarkStart w:id="374" w:name="_Toc16406"/>
      <w:bookmarkStart w:id="375" w:name="_Toc2160"/>
      <w:bookmarkStart w:id="376" w:name="_Toc19538"/>
      <w:bookmarkStart w:id="377" w:name="_Toc26599"/>
      <w:bookmarkStart w:id="378" w:name="_Toc325726034"/>
      <w:r>
        <w:rPr>
          <w:rFonts w:hint="eastAsia" w:ascii="宋体" w:hAnsi="宋体" w:cs="宋体"/>
          <w:color w:val="auto"/>
          <w:highlight w:val="none"/>
        </w:rPr>
        <w:t>十一、其他</w:t>
      </w:r>
      <w:bookmarkEnd w:id="369"/>
      <w:bookmarkEnd w:id="370"/>
      <w:bookmarkEnd w:id="371"/>
      <w:bookmarkEnd w:id="372"/>
      <w:bookmarkEnd w:id="373"/>
      <w:bookmarkEnd w:id="374"/>
      <w:bookmarkEnd w:id="375"/>
      <w:bookmarkEnd w:id="376"/>
      <w:bookmarkEnd w:id="377"/>
      <w:bookmarkEnd w:id="378"/>
    </w:p>
    <w:p w14:paraId="23DECE3F">
      <w:pPr>
        <w:spacing w:line="360" w:lineRule="auto"/>
        <w:ind w:firstLine="480" w:firstLineChars="200"/>
        <w:jc w:val="left"/>
        <w:rPr>
          <w:rFonts w:hint="eastAsia" w:eastAsia="宋体"/>
          <w:color w:val="auto"/>
          <w:sz w:val="24"/>
          <w:szCs w:val="24"/>
          <w:highlight w:val="none"/>
        </w:rPr>
      </w:pPr>
      <w:r>
        <w:rPr>
          <w:rFonts w:hint="eastAsia" w:eastAsia="宋体"/>
          <w:color w:val="auto"/>
          <w:sz w:val="24"/>
          <w:szCs w:val="24"/>
          <w:highlight w:val="none"/>
        </w:rPr>
        <w:t>其他未尽事宜，按照</w:t>
      </w:r>
      <w:r>
        <w:rPr>
          <w:rFonts w:hint="eastAsia" w:eastAsia="宋体"/>
          <w:color w:val="auto"/>
          <w:sz w:val="24"/>
          <w:szCs w:val="24"/>
          <w:highlight w:val="none"/>
          <w:lang w:eastAsia="zh-CN"/>
        </w:rPr>
        <w:t>《中华人民共和国招标投标法》《中华人民共和国招标投标法实施条例》</w:t>
      </w:r>
      <w:r>
        <w:rPr>
          <w:rFonts w:hint="eastAsia" w:eastAsia="宋体"/>
          <w:color w:val="auto"/>
          <w:sz w:val="24"/>
          <w:szCs w:val="24"/>
          <w:highlight w:val="none"/>
        </w:rPr>
        <w:t>《中华人民共和国政府采购法》《中华人民共和国政府采购法实施条例》</w:t>
      </w:r>
      <w:r>
        <w:rPr>
          <w:rFonts w:hint="eastAsia" w:eastAsia="宋体"/>
          <w:color w:val="auto"/>
          <w:sz w:val="24"/>
          <w:szCs w:val="24"/>
          <w:highlight w:val="none"/>
          <w:lang w:eastAsia="zh-CN"/>
        </w:rPr>
        <w:t>《中华人民共和国民法典》</w:t>
      </w:r>
      <w:r>
        <w:rPr>
          <w:rFonts w:hint="eastAsia" w:eastAsia="宋体"/>
          <w:color w:val="auto"/>
          <w:sz w:val="24"/>
          <w:szCs w:val="24"/>
          <w:highlight w:val="none"/>
        </w:rPr>
        <w:t>《政府采购竞争性磋商采购方式管理暂行办法》等法律法规的有关条款执行。</w:t>
      </w:r>
    </w:p>
    <w:p w14:paraId="433A9400">
      <w:pPr>
        <w:pStyle w:val="21"/>
        <w:rPr>
          <w:rFonts w:hint="eastAsia" w:ascii="宋体" w:hAnsi="宋体"/>
          <w:color w:val="auto"/>
          <w:kern w:val="28"/>
          <w:highlight w:val="none"/>
        </w:rPr>
      </w:pPr>
      <w:bookmarkStart w:id="379" w:name="_Toc376936766"/>
      <w:r>
        <w:rPr>
          <w:rFonts w:hint="eastAsia" w:ascii="宋体" w:hAnsi="宋体"/>
          <w:color w:val="auto"/>
          <w:kern w:val="28"/>
          <w:highlight w:val="none"/>
        </w:rPr>
        <w:br w:type="page"/>
      </w:r>
      <w:bookmarkEnd w:id="379"/>
      <w:bookmarkStart w:id="380" w:name="_Toc14674"/>
      <w:bookmarkStart w:id="381" w:name="_Toc28013"/>
      <w:bookmarkStart w:id="382" w:name="_Toc7353"/>
      <w:bookmarkStart w:id="383" w:name="_Toc495567963"/>
      <w:bookmarkStart w:id="384" w:name="_Toc14735"/>
      <w:bookmarkStart w:id="385" w:name="_Toc18196"/>
      <w:bookmarkStart w:id="386" w:name="_Toc3621"/>
      <w:bookmarkStart w:id="387" w:name="_Toc495666280"/>
      <w:r>
        <w:rPr>
          <w:rFonts w:hint="eastAsia" w:ascii="宋体" w:hAnsi="宋体"/>
          <w:color w:val="auto"/>
          <w:kern w:val="28"/>
          <w:highlight w:val="none"/>
        </w:rPr>
        <w:t>第四部分 采购项目合同书</w:t>
      </w:r>
      <w:bookmarkEnd w:id="380"/>
      <w:bookmarkEnd w:id="381"/>
      <w:bookmarkEnd w:id="382"/>
      <w:bookmarkEnd w:id="383"/>
      <w:bookmarkEnd w:id="384"/>
      <w:bookmarkEnd w:id="385"/>
      <w:bookmarkEnd w:id="386"/>
      <w:bookmarkEnd w:id="387"/>
    </w:p>
    <w:p w14:paraId="4EEB45FA">
      <w:pPr>
        <w:spacing w:line="360" w:lineRule="auto"/>
        <w:ind w:firstLine="400"/>
        <w:rPr>
          <w:rFonts w:hint="eastAsia" w:eastAsia="宋体"/>
          <w:color w:val="auto"/>
          <w:highlight w:val="none"/>
        </w:rPr>
      </w:pPr>
      <w:bookmarkStart w:id="388" w:name="_Toc373954603"/>
      <w:bookmarkStart w:id="389" w:name="_Toc373936315"/>
      <w:bookmarkStart w:id="390" w:name="_Toc375576842"/>
    </w:p>
    <w:p w14:paraId="217B9D77">
      <w:pPr>
        <w:spacing w:line="360" w:lineRule="auto"/>
        <w:ind w:firstLine="400"/>
        <w:rPr>
          <w:rFonts w:hint="eastAsia" w:eastAsia="宋体"/>
          <w:color w:val="auto"/>
          <w:highlight w:val="none"/>
        </w:rPr>
      </w:pPr>
    </w:p>
    <w:p w14:paraId="58F85DB0">
      <w:pPr>
        <w:spacing w:line="360" w:lineRule="auto"/>
        <w:ind w:firstLine="400"/>
        <w:rPr>
          <w:rFonts w:hint="eastAsia" w:eastAsia="宋体"/>
          <w:color w:val="auto"/>
          <w:highlight w:val="none"/>
        </w:rPr>
      </w:pPr>
    </w:p>
    <w:p w14:paraId="7A636EA7">
      <w:pPr>
        <w:spacing w:line="360" w:lineRule="auto"/>
        <w:ind w:firstLine="400"/>
        <w:rPr>
          <w:rFonts w:hint="eastAsia" w:eastAsia="宋体"/>
          <w:color w:val="auto"/>
          <w:highlight w:val="none"/>
        </w:rPr>
      </w:pPr>
    </w:p>
    <w:p w14:paraId="5714DE31">
      <w:pPr>
        <w:spacing w:line="360" w:lineRule="auto"/>
        <w:ind w:firstLine="400"/>
        <w:rPr>
          <w:rFonts w:hint="eastAsia" w:eastAsia="宋体"/>
          <w:color w:val="auto"/>
          <w:highlight w:val="none"/>
        </w:rPr>
      </w:pPr>
    </w:p>
    <w:p w14:paraId="0C3268BB">
      <w:pPr>
        <w:spacing w:line="360" w:lineRule="auto"/>
        <w:ind w:firstLine="400"/>
        <w:rPr>
          <w:rFonts w:hint="eastAsia" w:eastAsia="宋体"/>
          <w:color w:val="auto"/>
          <w:highlight w:val="none"/>
        </w:rPr>
      </w:pPr>
    </w:p>
    <w:p w14:paraId="52AE8515">
      <w:pPr>
        <w:spacing w:line="360" w:lineRule="auto"/>
        <w:ind w:firstLine="400"/>
        <w:rPr>
          <w:rFonts w:hint="eastAsia" w:eastAsia="宋体"/>
          <w:color w:val="auto"/>
          <w:highlight w:val="none"/>
        </w:rPr>
      </w:pPr>
    </w:p>
    <w:p w14:paraId="39BA3F76">
      <w:pPr>
        <w:pStyle w:val="11"/>
        <w:spacing w:line="360" w:lineRule="auto"/>
        <w:jc w:val="center"/>
        <w:rPr>
          <w:rFonts w:hint="eastAsia" w:hAnsi="宋体" w:eastAsia="宋体"/>
          <w:b/>
          <w:color w:val="auto"/>
          <w:sz w:val="44"/>
          <w:szCs w:val="44"/>
          <w:highlight w:val="none"/>
          <w:lang w:eastAsia="zh-CN"/>
        </w:rPr>
      </w:pPr>
      <w:bookmarkStart w:id="391" w:name="_Toc495666281"/>
      <w:bookmarkStart w:id="392" w:name="_Toc22407"/>
      <w:bookmarkStart w:id="393" w:name="_Toc495567964"/>
      <w:bookmarkStart w:id="394" w:name="_Toc458762168"/>
      <w:bookmarkStart w:id="395" w:name="_Toc455835990"/>
      <w:r>
        <w:rPr>
          <w:rFonts w:hint="eastAsia" w:hAnsi="宋体"/>
          <w:b/>
          <w:color w:val="auto"/>
          <w:sz w:val="44"/>
          <w:szCs w:val="44"/>
          <w:highlight w:val="none"/>
        </w:rPr>
        <w:t>青海省政府采购项目合同书</w:t>
      </w:r>
      <w:bookmarkEnd w:id="391"/>
      <w:bookmarkEnd w:id="392"/>
      <w:bookmarkEnd w:id="393"/>
      <w:bookmarkEnd w:id="394"/>
      <w:bookmarkEnd w:id="395"/>
      <w:r>
        <w:rPr>
          <w:rFonts w:hint="eastAsia" w:hAnsi="宋体"/>
          <w:b/>
          <w:color w:val="auto"/>
          <w:sz w:val="44"/>
          <w:szCs w:val="44"/>
          <w:highlight w:val="none"/>
          <w:lang w:eastAsia="zh-CN"/>
        </w:rPr>
        <w:t>（</w:t>
      </w:r>
      <w:r>
        <w:rPr>
          <w:rFonts w:hint="eastAsia" w:hAnsi="宋体"/>
          <w:b/>
          <w:color w:val="auto"/>
          <w:sz w:val="44"/>
          <w:szCs w:val="44"/>
          <w:highlight w:val="none"/>
          <w:lang w:val="en-US" w:eastAsia="zh-CN"/>
        </w:rPr>
        <w:t>范本</w:t>
      </w:r>
      <w:r>
        <w:rPr>
          <w:rFonts w:hint="eastAsia" w:hAnsi="宋体"/>
          <w:b/>
          <w:color w:val="auto"/>
          <w:sz w:val="44"/>
          <w:szCs w:val="44"/>
          <w:highlight w:val="none"/>
          <w:lang w:eastAsia="zh-CN"/>
        </w:rPr>
        <w:t>）</w:t>
      </w:r>
    </w:p>
    <w:p w14:paraId="6BA04113">
      <w:pPr>
        <w:spacing w:line="360" w:lineRule="auto"/>
        <w:ind w:firstLine="400"/>
        <w:rPr>
          <w:rFonts w:hint="eastAsia" w:eastAsia="宋体"/>
          <w:color w:val="auto"/>
          <w:highlight w:val="none"/>
        </w:rPr>
      </w:pPr>
    </w:p>
    <w:p w14:paraId="61D1C687">
      <w:pPr>
        <w:spacing w:line="360" w:lineRule="auto"/>
        <w:ind w:firstLine="400"/>
        <w:rPr>
          <w:rFonts w:hint="eastAsia" w:eastAsia="宋体"/>
          <w:color w:val="auto"/>
          <w:highlight w:val="none"/>
        </w:rPr>
      </w:pPr>
    </w:p>
    <w:p w14:paraId="6B83B7EF">
      <w:pPr>
        <w:spacing w:line="360" w:lineRule="auto"/>
        <w:ind w:firstLine="400"/>
        <w:rPr>
          <w:rFonts w:hint="eastAsia" w:eastAsia="宋体"/>
          <w:color w:val="auto"/>
          <w:highlight w:val="none"/>
        </w:rPr>
      </w:pPr>
    </w:p>
    <w:p w14:paraId="448BB5A6">
      <w:pPr>
        <w:spacing w:line="360" w:lineRule="auto"/>
        <w:ind w:firstLine="400"/>
        <w:rPr>
          <w:rFonts w:hint="eastAsia" w:eastAsia="宋体"/>
          <w:color w:val="auto"/>
          <w:highlight w:val="none"/>
        </w:rPr>
      </w:pPr>
    </w:p>
    <w:p w14:paraId="64425DCB">
      <w:pPr>
        <w:spacing w:line="360" w:lineRule="auto"/>
        <w:ind w:firstLine="400"/>
        <w:rPr>
          <w:rFonts w:hint="eastAsia" w:eastAsia="宋体"/>
          <w:color w:val="auto"/>
          <w:highlight w:val="none"/>
        </w:rPr>
      </w:pPr>
    </w:p>
    <w:p w14:paraId="209870E8">
      <w:pPr>
        <w:spacing w:line="360" w:lineRule="auto"/>
        <w:rPr>
          <w:rFonts w:hint="eastAsia" w:eastAsia="宋体"/>
          <w:b/>
          <w:color w:val="auto"/>
          <w:sz w:val="28"/>
          <w:szCs w:val="28"/>
          <w:highlight w:val="none"/>
        </w:rPr>
      </w:pPr>
    </w:p>
    <w:p w14:paraId="5268DAB9">
      <w:pPr>
        <w:spacing w:line="360" w:lineRule="auto"/>
        <w:rPr>
          <w:rFonts w:hint="eastAsia" w:eastAsia="宋体"/>
          <w:b/>
          <w:color w:val="auto"/>
          <w:sz w:val="28"/>
          <w:szCs w:val="28"/>
          <w:highlight w:val="none"/>
        </w:rPr>
      </w:pPr>
    </w:p>
    <w:p w14:paraId="7DE34CC4">
      <w:pPr>
        <w:autoSpaceDE w:val="0"/>
        <w:autoSpaceDN w:val="0"/>
        <w:adjustRightInd w:val="0"/>
        <w:spacing w:line="360" w:lineRule="auto"/>
        <w:ind w:left="1968" w:hanging="1968" w:hangingChars="700"/>
        <w:rPr>
          <w:rFonts w:hint="default" w:eastAsia="宋体" w:cs="宋体"/>
          <w:b/>
          <w:bCs/>
          <w:color w:val="auto"/>
          <w:kern w:val="0"/>
          <w:sz w:val="28"/>
          <w:szCs w:val="28"/>
          <w:highlight w:val="none"/>
          <w:u w:val="single"/>
          <w:lang w:val="en-US" w:eastAsia="zh-CN"/>
        </w:rPr>
      </w:pPr>
      <w:r>
        <w:rPr>
          <w:rFonts w:hint="eastAsia" w:eastAsia="宋体"/>
          <w:b/>
          <w:color w:val="auto"/>
          <w:sz w:val="28"/>
          <w:szCs w:val="28"/>
          <w:highlight w:val="none"/>
        </w:rPr>
        <w:t>采购项目名称：</w:t>
      </w:r>
      <w:r>
        <w:rPr>
          <w:rFonts w:hint="eastAsia" w:eastAsia="宋体" w:cs="宋体"/>
          <w:b/>
          <w:bCs/>
          <w:color w:val="auto"/>
          <w:kern w:val="0"/>
          <w:sz w:val="28"/>
          <w:szCs w:val="28"/>
          <w:highlight w:val="none"/>
          <w:u w:val="single"/>
          <w:lang w:val="en-US" w:eastAsia="zh-CN"/>
        </w:rPr>
        <w:t xml:space="preserve"> </w:t>
      </w:r>
      <w:r>
        <w:rPr>
          <w:rFonts w:hint="eastAsia" w:eastAsia="宋体" w:cs="宋体"/>
          <w:b/>
          <w:bCs/>
          <w:color w:val="auto"/>
          <w:kern w:val="0"/>
          <w:sz w:val="28"/>
          <w:szCs w:val="28"/>
          <w:highlight w:val="none"/>
          <w:u w:val="single"/>
          <w:lang w:val="zh-CN"/>
        </w:rPr>
        <w:t>青海民族大学经济管理学院省级实验教学示范中心更新项目</w:t>
      </w:r>
      <w:r>
        <w:rPr>
          <w:rFonts w:hint="eastAsia" w:eastAsia="宋体" w:cs="宋体"/>
          <w:b/>
          <w:bCs/>
          <w:color w:val="auto"/>
          <w:kern w:val="0"/>
          <w:sz w:val="28"/>
          <w:szCs w:val="28"/>
          <w:highlight w:val="none"/>
          <w:u w:val="single"/>
          <w:lang w:val="en-US" w:eastAsia="zh-CN"/>
        </w:rPr>
        <w:t xml:space="preserve">                                   </w:t>
      </w:r>
    </w:p>
    <w:p w14:paraId="3D126669">
      <w:pPr>
        <w:autoSpaceDE w:val="0"/>
        <w:autoSpaceDN w:val="0"/>
        <w:adjustRightInd w:val="0"/>
        <w:spacing w:line="360" w:lineRule="auto"/>
        <w:rPr>
          <w:rFonts w:hint="eastAsia" w:eastAsia="宋体"/>
          <w:b/>
          <w:color w:val="auto"/>
          <w:sz w:val="28"/>
          <w:szCs w:val="28"/>
          <w:highlight w:val="none"/>
          <w:u w:val="single"/>
        </w:rPr>
      </w:pPr>
      <w:r>
        <w:rPr>
          <w:rFonts w:hint="eastAsia" w:eastAsia="宋体"/>
          <w:b/>
          <w:color w:val="auto"/>
          <w:sz w:val="28"/>
          <w:szCs w:val="28"/>
          <w:highlight w:val="none"/>
        </w:rPr>
        <w:t>采购项目编号：</w:t>
      </w:r>
      <w:r>
        <w:rPr>
          <w:rFonts w:hint="eastAsia" w:eastAsia="宋体" w:cs="宋体"/>
          <w:b/>
          <w:bCs/>
          <w:color w:val="auto"/>
          <w:kern w:val="0"/>
          <w:sz w:val="28"/>
          <w:szCs w:val="28"/>
          <w:highlight w:val="none"/>
          <w:u w:val="single"/>
          <w:lang w:val="zh-CN"/>
        </w:rPr>
        <w:t>QHZX-磋商（货物）2026-047</w:t>
      </w:r>
      <w:r>
        <w:rPr>
          <w:rFonts w:hint="eastAsia" w:eastAsia="宋体"/>
          <w:b/>
          <w:color w:val="auto"/>
          <w:sz w:val="28"/>
          <w:szCs w:val="28"/>
          <w:highlight w:val="none"/>
          <w:u w:val="single"/>
        </w:rPr>
        <w:t xml:space="preserve"> </w:t>
      </w:r>
      <w:r>
        <w:rPr>
          <w:rFonts w:hint="eastAsia" w:eastAsia="宋体"/>
          <w:b/>
          <w:color w:val="auto"/>
          <w:sz w:val="28"/>
          <w:szCs w:val="28"/>
          <w:highlight w:val="none"/>
          <w:u w:val="single"/>
          <w:lang w:val="en-US" w:eastAsia="zh-CN"/>
        </w:rPr>
        <w:t xml:space="preserve">        </w:t>
      </w:r>
      <w:r>
        <w:rPr>
          <w:rFonts w:hint="eastAsia" w:eastAsia="宋体"/>
          <w:b/>
          <w:color w:val="auto"/>
          <w:sz w:val="28"/>
          <w:szCs w:val="28"/>
          <w:highlight w:val="none"/>
          <w:u w:val="single"/>
        </w:rPr>
        <w:t xml:space="preserve"> </w:t>
      </w:r>
    </w:p>
    <w:p w14:paraId="1FAC9002">
      <w:pPr>
        <w:spacing w:line="360" w:lineRule="auto"/>
        <w:rPr>
          <w:rFonts w:hint="eastAsia" w:eastAsia="宋体"/>
          <w:b/>
          <w:color w:val="auto"/>
          <w:sz w:val="28"/>
          <w:szCs w:val="28"/>
          <w:highlight w:val="none"/>
        </w:rPr>
      </w:pPr>
      <w:r>
        <w:rPr>
          <w:rFonts w:hint="eastAsia" w:eastAsia="宋体"/>
          <w:b/>
          <w:color w:val="auto"/>
          <w:sz w:val="28"/>
          <w:szCs w:val="28"/>
          <w:highlight w:val="none"/>
        </w:rPr>
        <w:t>采购合同编号：</w:t>
      </w:r>
      <w:r>
        <w:rPr>
          <w:rFonts w:hint="eastAsia" w:eastAsia="宋体"/>
          <w:b/>
          <w:color w:val="auto"/>
          <w:sz w:val="28"/>
          <w:szCs w:val="28"/>
          <w:highlight w:val="none"/>
          <w:u w:val="single"/>
        </w:rPr>
        <w:t xml:space="preserve">         </w:t>
      </w:r>
      <w:r>
        <w:rPr>
          <w:rFonts w:hint="eastAsia" w:ascii="宋体" w:hAnsi="宋体" w:eastAsia="宋体" w:cs="宋体"/>
          <w:b/>
          <w:bCs/>
          <w:color w:val="auto"/>
          <w:kern w:val="0"/>
          <w:sz w:val="28"/>
          <w:szCs w:val="28"/>
          <w:highlight w:val="none"/>
          <w:u w:val="single"/>
          <w:lang w:val="en-US" w:eastAsia="zh-CN"/>
        </w:rPr>
        <w:t>QHZX-20</w:t>
      </w:r>
      <w:r>
        <w:rPr>
          <w:rFonts w:hint="eastAsia" w:eastAsia="宋体" w:cs="宋体"/>
          <w:b/>
          <w:bCs/>
          <w:color w:val="auto"/>
          <w:kern w:val="0"/>
          <w:sz w:val="28"/>
          <w:szCs w:val="28"/>
          <w:highlight w:val="none"/>
          <w:u w:val="single"/>
          <w:lang w:val="en-US" w:eastAsia="zh-CN"/>
        </w:rPr>
        <w:t>26</w:t>
      </w:r>
      <w:r>
        <w:rPr>
          <w:rFonts w:hint="eastAsia" w:ascii="宋体" w:hAnsi="宋体" w:eastAsia="宋体" w:cs="宋体"/>
          <w:b/>
          <w:bCs/>
          <w:color w:val="auto"/>
          <w:kern w:val="0"/>
          <w:sz w:val="28"/>
          <w:szCs w:val="28"/>
          <w:highlight w:val="none"/>
          <w:u w:val="single"/>
          <w:lang w:val="en-US" w:eastAsia="zh-CN"/>
        </w:rPr>
        <w:t>-</w:t>
      </w:r>
      <w:r>
        <w:rPr>
          <w:rFonts w:hint="eastAsia" w:eastAsia="宋体" w:cs="宋体"/>
          <w:b/>
          <w:bCs/>
          <w:color w:val="auto"/>
          <w:kern w:val="0"/>
          <w:sz w:val="28"/>
          <w:szCs w:val="28"/>
          <w:highlight w:val="none"/>
          <w:u w:val="single"/>
          <w:lang w:val="en-US" w:eastAsia="zh-CN"/>
        </w:rPr>
        <w:t>047</w:t>
      </w:r>
      <w:r>
        <w:rPr>
          <w:rFonts w:hint="eastAsia" w:eastAsia="宋体"/>
          <w:b/>
          <w:color w:val="auto"/>
          <w:sz w:val="28"/>
          <w:szCs w:val="28"/>
          <w:highlight w:val="none"/>
          <w:u w:val="single"/>
        </w:rPr>
        <w:t xml:space="preserve">          </w:t>
      </w:r>
      <w:r>
        <w:rPr>
          <w:rFonts w:hint="eastAsia" w:eastAsia="宋体"/>
          <w:b/>
          <w:color w:val="auto"/>
          <w:sz w:val="28"/>
          <w:szCs w:val="28"/>
          <w:highlight w:val="none"/>
          <w:u w:val="single"/>
          <w:lang w:val="en-US" w:eastAsia="zh-CN"/>
        </w:rPr>
        <w:t xml:space="preserve"> </w:t>
      </w:r>
      <w:r>
        <w:rPr>
          <w:rFonts w:hint="eastAsia" w:eastAsia="宋体"/>
          <w:b/>
          <w:color w:val="auto"/>
          <w:sz w:val="28"/>
          <w:szCs w:val="28"/>
          <w:highlight w:val="none"/>
          <w:u w:val="single"/>
        </w:rPr>
        <w:t xml:space="preserve">  </w:t>
      </w:r>
    </w:p>
    <w:p w14:paraId="2E934C0A">
      <w:pPr>
        <w:spacing w:line="360" w:lineRule="auto"/>
        <w:jc w:val="left"/>
        <w:rPr>
          <w:rFonts w:hint="eastAsia" w:eastAsia="宋体"/>
          <w:b/>
          <w:color w:val="auto"/>
          <w:sz w:val="28"/>
          <w:szCs w:val="28"/>
          <w:highlight w:val="none"/>
        </w:rPr>
      </w:pPr>
      <w:r>
        <w:rPr>
          <w:rFonts w:hint="eastAsia" w:eastAsia="宋体"/>
          <w:b/>
          <w:color w:val="auto"/>
          <w:sz w:val="28"/>
          <w:szCs w:val="28"/>
          <w:highlight w:val="none"/>
        </w:rPr>
        <w:t>采购单位（甲方）：</w:t>
      </w:r>
      <w:r>
        <w:rPr>
          <w:rFonts w:hint="eastAsia" w:eastAsia="宋体"/>
          <w:b/>
          <w:color w:val="auto"/>
          <w:sz w:val="28"/>
          <w:szCs w:val="28"/>
          <w:highlight w:val="none"/>
          <w:u w:val="single"/>
        </w:rPr>
        <w:t xml:space="preserve">                           </w:t>
      </w:r>
      <w:r>
        <w:rPr>
          <w:rFonts w:hint="eastAsia" w:eastAsia="宋体"/>
          <w:b/>
          <w:color w:val="auto"/>
          <w:sz w:val="28"/>
          <w:szCs w:val="28"/>
          <w:highlight w:val="none"/>
          <w:u w:val="single"/>
          <w:lang w:val="en-US" w:eastAsia="zh-CN"/>
        </w:rPr>
        <w:t xml:space="preserve"> </w:t>
      </w:r>
      <w:r>
        <w:rPr>
          <w:rFonts w:hint="eastAsia" w:eastAsia="宋体"/>
          <w:b/>
          <w:color w:val="auto"/>
          <w:sz w:val="28"/>
          <w:szCs w:val="28"/>
          <w:highlight w:val="none"/>
          <w:u w:val="single"/>
        </w:rPr>
        <w:t xml:space="preserve">   </w:t>
      </w:r>
      <w:r>
        <w:rPr>
          <w:rFonts w:hint="eastAsia" w:eastAsia="宋体"/>
          <w:b/>
          <w:color w:val="auto"/>
          <w:sz w:val="28"/>
          <w:szCs w:val="28"/>
          <w:highlight w:val="none"/>
        </w:rPr>
        <w:t>（盖章）</w:t>
      </w:r>
    </w:p>
    <w:p w14:paraId="0A5B7E97">
      <w:pPr>
        <w:spacing w:line="360" w:lineRule="auto"/>
        <w:jc w:val="left"/>
        <w:rPr>
          <w:rFonts w:hint="eastAsia" w:eastAsia="宋体"/>
          <w:b/>
          <w:color w:val="auto"/>
          <w:sz w:val="28"/>
          <w:szCs w:val="28"/>
          <w:highlight w:val="none"/>
          <w:u w:val="single"/>
        </w:rPr>
      </w:pPr>
      <w:r>
        <w:rPr>
          <w:rFonts w:hint="eastAsia" w:eastAsia="宋体"/>
          <w:b/>
          <w:color w:val="auto"/>
          <w:sz w:val="28"/>
          <w:szCs w:val="28"/>
          <w:highlight w:val="none"/>
        </w:rPr>
        <w:t>成交供应商（乙方）：</w:t>
      </w:r>
      <w:r>
        <w:rPr>
          <w:rFonts w:hint="eastAsia" w:eastAsia="宋体"/>
          <w:b/>
          <w:color w:val="auto"/>
          <w:sz w:val="28"/>
          <w:szCs w:val="28"/>
          <w:highlight w:val="none"/>
          <w:u w:val="single"/>
        </w:rPr>
        <w:t xml:space="preserve">                        </w:t>
      </w:r>
      <w:r>
        <w:rPr>
          <w:rFonts w:hint="eastAsia" w:eastAsia="宋体"/>
          <w:b/>
          <w:color w:val="auto"/>
          <w:sz w:val="28"/>
          <w:szCs w:val="28"/>
          <w:highlight w:val="none"/>
          <w:u w:val="single"/>
          <w:lang w:val="en-US" w:eastAsia="zh-CN"/>
        </w:rPr>
        <w:t xml:space="preserve"> </w:t>
      </w:r>
      <w:r>
        <w:rPr>
          <w:rFonts w:hint="eastAsia" w:eastAsia="宋体"/>
          <w:b/>
          <w:color w:val="auto"/>
          <w:sz w:val="28"/>
          <w:szCs w:val="28"/>
          <w:highlight w:val="none"/>
          <w:u w:val="single"/>
        </w:rPr>
        <w:t xml:space="preserve">    </w:t>
      </w:r>
      <w:r>
        <w:rPr>
          <w:rFonts w:hint="eastAsia" w:eastAsia="宋体"/>
          <w:b/>
          <w:color w:val="auto"/>
          <w:sz w:val="28"/>
          <w:szCs w:val="28"/>
          <w:highlight w:val="none"/>
        </w:rPr>
        <w:t>（盖章）</w:t>
      </w:r>
    </w:p>
    <w:p w14:paraId="4EC2E3A9">
      <w:pPr>
        <w:spacing w:line="360" w:lineRule="auto"/>
        <w:rPr>
          <w:rFonts w:hint="eastAsia" w:eastAsia="宋体"/>
          <w:b/>
          <w:color w:val="auto"/>
          <w:sz w:val="28"/>
          <w:szCs w:val="28"/>
          <w:highlight w:val="none"/>
        </w:rPr>
      </w:pPr>
      <w:r>
        <w:rPr>
          <w:rFonts w:hint="eastAsia" w:eastAsia="宋体"/>
          <w:b/>
          <w:color w:val="auto"/>
          <w:sz w:val="28"/>
          <w:szCs w:val="28"/>
          <w:highlight w:val="none"/>
        </w:rPr>
        <w:t>采购日期：</w:t>
      </w:r>
      <w:r>
        <w:rPr>
          <w:rFonts w:hint="eastAsia" w:eastAsia="宋体"/>
          <w:b/>
          <w:color w:val="auto"/>
          <w:sz w:val="28"/>
          <w:szCs w:val="28"/>
          <w:highlight w:val="none"/>
          <w:u w:val="single"/>
        </w:rPr>
        <w:t xml:space="preserve">                                        </w:t>
      </w:r>
    </w:p>
    <w:p w14:paraId="044F9190">
      <w:pPr>
        <w:topLinePunct/>
        <w:spacing w:line="480" w:lineRule="exact"/>
        <w:ind w:firstLine="420" w:firstLineChars="200"/>
        <w:jc w:val="right"/>
        <w:rPr>
          <w:color w:val="auto"/>
          <w:highlight w:val="none"/>
        </w:rPr>
      </w:pPr>
      <w:r>
        <w:rPr>
          <w:rFonts w:hint="eastAsia" w:eastAsia="宋体"/>
          <w:b w:val="0"/>
          <w:color w:val="auto"/>
          <w:highlight w:val="none"/>
        </w:rPr>
        <w:br w:type="page"/>
      </w:r>
      <w:bookmarkEnd w:id="388"/>
      <w:bookmarkEnd w:id="389"/>
      <w:bookmarkEnd w:id="390"/>
      <w:bookmarkStart w:id="396" w:name="_Toc16357"/>
      <w:bookmarkStart w:id="397" w:name="_Toc23457"/>
      <w:bookmarkStart w:id="398" w:name="_Toc4575797"/>
      <w:bookmarkStart w:id="399" w:name="_Toc12077"/>
      <w:bookmarkStart w:id="400" w:name="_Toc10800"/>
      <w:bookmarkStart w:id="401" w:name="_Toc29907"/>
      <w:bookmarkStart w:id="402" w:name="_Toc8888"/>
      <w:bookmarkStart w:id="403" w:name="_Toc376936782"/>
      <w:bookmarkStart w:id="404" w:name="_Toc325726051"/>
    </w:p>
    <w:p w14:paraId="4F75E57B">
      <w:pPr>
        <w:pStyle w:val="6"/>
        <w:spacing w:before="80" w:line="364" w:lineRule="auto"/>
        <w:ind w:left="1057" w:right="5694"/>
        <w:rPr>
          <w:highlight w:val="none"/>
        </w:rPr>
      </w:pPr>
      <w:bookmarkStart w:id="405" w:name="_Toc4776"/>
      <w:r>
        <w:rPr>
          <w:highlight w:val="none"/>
        </w:rPr>
        <w:t>采 购 人（以下简称甲方）：</w:t>
      </w:r>
      <w:bookmarkEnd w:id="405"/>
      <w:r>
        <w:rPr>
          <w:highlight w:val="none"/>
        </w:rPr>
        <w:t xml:space="preserve"> </w:t>
      </w:r>
    </w:p>
    <w:p w14:paraId="2F2BE091">
      <w:pPr>
        <w:pStyle w:val="6"/>
        <w:spacing w:before="80" w:line="364" w:lineRule="auto"/>
        <w:ind w:left="1057" w:right="5694"/>
        <w:rPr>
          <w:highlight w:val="none"/>
        </w:rPr>
      </w:pPr>
      <w:bookmarkStart w:id="406" w:name="_Toc30892"/>
      <w:r>
        <w:rPr>
          <w:highlight w:val="none"/>
        </w:rPr>
        <w:t>供 应 商（以下简称乙方）：</w:t>
      </w:r>
      <w:bookmarkEnd w:id="406"/>
    </w:p>
    <w:p w14:paraId="39E26CE9">
      <w:pPr>
        <w:pStyle w:val="12"/>
        <w:spacing w:line="360" w:lineRule="auto"/>
        <w:ind w:firstLine="480"/>
        <w:rPr>
          <w:rFonts w:hint="eastAsia"/>
          <w:color w:val="auto"/>
          <w:sz w:val="24"/>
          <w:lang w:val="zh-CN"/>
        </w:rPr>
      </w:pPr>
    </w:p>
    <w:p w14:paraId="7F12BDB6">
      <w:pPr>
        <w:pStyle w:val="12"/>
        <w:spacing w:line="360" w:lineRule="auto"/>
        <w:ind w:firstLine="480"/>
        <w:rPr>
          <w:rFonts w:hint="eastAsia"/>
          <w:color w:val="auto"/>
          <w:sz w:val="24"/>
          <w:lang w:val="zh-CN"/>
        </w:rPr>
      </w:pPr>
      <w:r>
        <w:rPr>
          <w:rFonts w:hint="eastAsia"/>
          <w:color w:val="auto"/>
          <w:sz w:val="24"/>
          <w:lang w:val="zh-CN"/>
        </w:rPr>
        <w:t>甲、乙双方根据“</w:t>
      </w:r>
      <w:r>
        <w:rPr>
          <w:rFonts w:hint="eastAsia"/>
          <w:color w:val="auto"/>
          <w:sz w:val="24"/>
        </w:rPr>
        <w:t>*************</w:t>
      </w:r>
      <w:r>
        <w:rPr>
          <w:rFonts w:hint="eastAsia"/>
          <w:color w:val="auto"/>
          <w:sz w:val="24"/>
          <w:lang w:val="zh-CN"/>
        </w:rPr>
        <w:t>”项目（项目编号：</w:t>
      </w:r>
      <w:r>
        <w:rPr>
          <w:rFonts w:hint="eastAsia"/>
          <w:color w:val="auto"/>
          <w:sz w:val="24"/>
        </w:rPr>
        <w:t>**********</w:t>
      </w:r>
      <w:r>
        <w:rPr>
          <w:rFonts w:hint="eastAsia"/>
          <w:color w:val="auto"/>
          <w:sz w:val="24"/>
          <w:lang w:val="zh-CN"/>
        </w:rPr>
        <w:t>）的磋商文件要求和采购代理机构出具的《成交通知书》，并经双方协商一致，签订本合同协议书。</w:t>
      </w:r>
    </w:p>
    <w:p w14:paraId="3A95A306">
      <w:pPr>
        <w:pStyle w:val="10"/>
        <w:spacing w:line="360" w:lineRule="auto"/>
        <w:ind w:firstLine="240" w:firstLineChars="100"/>
        <w:rPr>
          <w:rFonts w:hint="eastAsia" w:ascii="宋体" w:hAnsi="宋体" w:eastAsia="宋体" w:cs="宋体"/>
          <w:sz w:val="24"/>
          <w:szCs w:val="24"/>
          <w:highlight w:val="none"/>
        </w:rPr>
      </w:pPr>
      <w:r>
        <w:rPr>
          <w:rFonts w:hint="eastAsia" w:ascii="宋体" w:hAnsi="宋体" w:eastAsia="宋体" w:cs="宋体"/>
          <w:sz w:val="24"/>
          <w:szCs w:val="24"/>
          <w:highlight w:val="none"/>
        </w:rPr>
        <w:t>一、签订本政府采购合同的依据</w:t>
      </w:r>
    </w:p>
    <w:p w14:paraId="34A18FD5">
      <w:pPr>
        <w:autoSpaceDE w:val="0"/>
        <w:autoSpaceDN w:val="0"/>
        <w:adjustRightInd w:val="0"/>
        <w:spacing w:line="360" w:lineRule="auto"/>
        <w:ind w:firstLine="480"/>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本政府采购合同所附下列文件是构成本政府采购合同不可分割的部分：</w:t>
      </w:r>
    </w:p>
    <w:p w14:paraId="26B6F6CD">
      <w:pPr>
        <w:autoSpaceDE w:val="0"/>
        <w:autoSpaceDN w:val="0"/>
        <w:adjustRightInd w:val="0"/>
        <w:spacing w:line="360" w:lineRule="auto"/>
        <w:ind w:firstLine="480"/>
        <w:jc w:val="left"/>
        <w:rPr>
          <w:rFonts w:hint="eastAsia" w:ascii="宋体" w:hAnsi="宋体" w:eastAsia="宋体" w:cs="宋体"/>
          <w:sz w:val="24"/>
          <w:szCs w:val="24"/>
          <w:highlight w:val="none"/>
        </w:rPr>
      </w:pPr>
      <w:bookmarkStart w:id="407" w:name="_Toc13654"/>
      <w:r>
        <w:rPr>
          <w:rFonts w:hint="eastAsia" w:ascii="宋体" w:hAnsi="宋体" w:eastAsia="宋体" w:cs="宋体"/>
          <w:sz w:val="24"/>
          <w:szCs w:val="24"/>
          <w:highlight w:val="none"/>
        </w:rPr>
        <w:t>1.磋商文件；</w:t>
      </w:r>
      <w:bookmarkEnd w:id="407"/>
    </w:p>
    <w:p w14:paraId="259C36B5">
      <w:pPr>
        <w:autoSpaceDE w:val="0"/>
        <w:autoSpaceDN w:val="0"/>
        <w:adjustRightInd w:val="0"/>
        <w:spacing w:line="360" w:lineRule="auto"/>
        <w:ind w:firstLine="480"/>
        <w:rPr>
          <w:rFonts w:hint="eastAsia" w:ascii="宋体" w:hAnsi="宋体" w:eastAsia="宋体" w:cs="宋体"/>
          <w:sz w:val="24"/>
          <w:szCs w:val="24"/>
          <w:highlight w:val="none"/>
        </w:rPr>
      </w:pPr>
      <w:bookmarkStart w:id="408" w:name="_Toc21605"/>
      <w:r>
        <w:rPr>
          <w:rFonts w:hint="eastAsia" w:ascii="宋体" w:hAnsi="宋体" w:eastAsia="宋体" w:cs="宋体"/>
          <w:sz w:val="24"/>
          <w:szCs w:val="24"/>
          <w:highlight w:val="none"/>
        </w:rPr>
        <w:t>2.磋商文件的更正、变更公告</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如有</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bookmarkEnd w:id="408"/>
    </w:p>
    <w:p w14:paraId="54EF4F68">
      <w:pPr>
        <w:autoSpaceDE w:val="0"/>
        <w:autoSpaceDN w:val="0"/>
        <w:adjustRightInd w:val="0"/>
        <w:spacing w:line="360" w:lineRule="auto"/>
        <w:ind w:firstLine="480"/>
        <w:rPr>
          <w:rFonts w:hint="eastAsia" w:ascii="宋体" w:hAnsi="宋体" w:eastAsia="宋体" w:cs="宋体"/>
          <w:sz w:val="24"/>
          <w:szCs w:val="24"/>
          <w:highlight w:val="none"/>
        </w:rPr>
      </w:pPr>
      <w:bookmarkStart w:id="409" w:name="_Toc21635"/>
      <w:r>
        <w:rPr>
          <w:rFonts w:hint="eastAsia" w:ascii="宋体" w:hAnsi="宋体" w:eastAsia="宋体" w:cs="宋体"/>
          <w:sz w:val="24"/>
          <w:szCs w:val="24"/>
          <w:highlight w:val="none"/>
        </w:rPr>
        <w:t>3.成交人提交的响应文件；</w:t>
      </w:r>
      <w:bookmarkEnd w:id="409"/>
    </w:p>
    <w:p w14:paraId="5B89D25A">
      <w:pPr>
        <w:autoSpaceDE w:val="0"/>
        <w:autoSpaceDN w:val="0"/>
        <w:adjustRightInd w:val="0"/>
        <w:spacing w:line="360" w:lineRule="auto"/>
        <w:ind w:firstLine="480"/>
        <w:rPr>
          <w:rFonts w:hint="eastAsia" w:ascii="宋体" w:hAnsi="宋体" w:eastAsia="宋体" w:cs="宋体"/>
          <w:sz w:val="24"/>
          <w:szCs w:val="24"/>
          <w:highlight w:val="none"/>
        </w:rPr>
      </w:pPr>
      <w:bookmarkStart w:id="410" w:name="_Toc26361"/>
      <w:r>
        <w:rPr>
          <w:rFonts w:hint="eastAsia" w:ascii="宋体" w:hAnsi="宋体" w:eastAsia="宋体" w:cs="宋体"/>
          <w:sz w:val="24"/>
          <w:szCs w:val="24"/>
          <w:highlight w:val="none"/>
        </w:rPr>
        <w:t>4.磋商文件中规定的政府采购合同通用条款；</w:t>
      </w:r>
      <w:bookmarkEnd w:id="410"/>
    </w:p>
    <w:p w14:paraId="07E36F57">
      <w:pPr>
        <w:autoSpaceDE w:val="0"/>
        <w:autoSpaceDN w:val="0"/>
        <w:adjustRightInd w:val="0"/>
        <w:spacing w:line="360" w:lineRule="auto"/>
        <w:ind w:firstLine="480"/>
        <w:rPr>
          <w:rFonts w:hint="eastAsia" w:ascii="宋体" w:hAnsi="宋体" w:eastAsia="宋体" w:cs="宋体"/>
          <w:sz w:val="24"/>
          <w:szCs w:val="24"/>
          <w:highlight w:val="none"/>
        </w:rPr>
      </w:pPr>
      <w:bookmarkStart w:id="411" w:name="_Toc14104"/>
      <w:r>
        <w:rPr>
          <w:rFonts w:hint="eastAsia" w:ascii="宋体" w:hAnsi="宋体" w:eastAsia="宋体" w:cs="宋体"/>
          <w:sz w:val="24"/>
          <w:szCs w:val="24"/>
          <w:highlight w:val="none"/>
        </w:rPr>
        <w:t>5.成交通知书；</w:t>
      </w:r>
      <w:bookmarkEnd w:id="411"/>
    </w:p>
    <w:p w14:paraId="243224D7">
      <w:pPr>
        <w:autoSpaceDE w:val="0"/>
        <w:autoSpaceDN w:val="0"/>
        <w:adjustRightInd w:val="0"/>
        <w:spacing w:line="360" w:lineRule="auto"/>
        <w:ind w:firstLine="480"/>
        <w:rPr>
          <w:rFonts w:hint="eastAsia" w:ascii="宋体" w:hAnsi="宋体" w:eastAsia="宋体" w:cs="宋体"/>
          <w:sz w:val="24"/>
          <w:szCs w:val="24"/>
          <w:highlight w:val="none"/>
        </w:rPr>
      </w:pPr>
      <w:bookmarkStart w:id="412" w:name="_Toc12389"/>
      <w:r>
        <w:rPr>
          <w:rFonts w:hint="eastAsia" w:ascii="宋体" w:hAnsi="宋体" w:eastAsia="宋体" w:cs="宋体"/>
          <w:sz w:val="24"/>
          <w:szCs w:val="24"/>
          <w:highlight w:val="none"/>
        </w:rPr>
        <w:t>6.履约保证金缴费证明。</w:t>
      </w:r>
      <w:bookmarkEnd w:id="412"/>
    </w:p>
    <w:p w14:paraId="7F05520C">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二、合同标的及金额                                       单位：元</w:t>
      </w:r>
    </w:p>
    <w:tbl>
      <w:tblPr>
        <w:tblStyle w:val="24"/>
        <w:tblpPr w:leftFromText="180" w:rightFromText="180" w:vertAnchor="text" w:horzAnchor="page" w:tblpX="1549" w:tblpY="390"/>
        <w:tblOverlap w:val="never"/>
        <w:tblW w:w="9220" w:type="dxa"/>
        <w:tblInd w:w="0" w:type="dxa"/>
        <w:tblLayout w:type="fixed"/>
        <w:tblCellMar>
          <w:top w:w="0" w:type="dxa"/>
          <w:left w:w="108" w:type="dxa"/>
          <w:bottom w:w="0" w:type="dxa"/>
          <w:right w:w="108" w:type="dxa"/>
        </w:tblCellMar>
      </w:tblPr>
      <w:tblGrid>
        <w:gridCol w:w="513"/>
        <w:gridCol w:w="1534"/>
        <w:gridCol w:w="1416"/>
        <w:gridCol w:w="1284"/>
        <w:gridCol w:w="1233"/>
        <w:gridCol w:w="799"/>
        <w:gridCol w:w="749"/>
        <w:gridCol w:w="808"/>
        <w:gridCol w:w="884"/>
      </w:tblGrid>
      <w:tr w14:paraId="0B018120">
        <w:tblPrEx>
          <w:tblCellMar>
            <w:top w:w="0" w:type="dxa"/>
            <w:left w:w="108" w:type="dxa"/>
            <w:bottom w:w="0" w:type="dxa"/>
            <w:right w:w="108" w:type="dxa"/>
          </w:tblCellMar>
        </w:tblPrEx>
        <w:trPr>
          <w:cantSplit/>
          <w:trHeight w:val="864" w:hRule="atLeast"/>
        </w:trPr>
        <w:tc>
          <w:tcPr>
            <w:tcW w:w="513" w:type="dxa"/>
            <w:tcBorders>
              <w:top w:val="single" w:color="auto" w:sz="4" w:space="0"/>
              <w:left w:val="single" w:color="auto" w:sz="4" w:space="0"/>
              <w:bottom w:val="single" w:color="auto" w:sz="4" w:space="0"/>
              <w:right w:val="single" w:color="auto" w:sz="4" w:space="0"/>
            </w:tcBorders>
            <w:noWrap w:val="0"/>
            <w:vAlign w:val="center"/>
          </w:tcPr>
          <w:p w14:paraId="23C1EBCC">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eastAsia="宋体" w:cs="宋体"/>
                <w:color w:val="auto"/>
                <w:sz w:val="24"/>
                <w:lang w:val="zh-CN"/>
              </w:rPr>
              <w:t>序号</w:t>
            </w:r>
          </w:p>
        </w:tc>
        <w:tc>
          <w:tcPr>
            <w:tcW w:w="1534" w:type="dxa"/>
            <w:tcBorders>
              <w:top w:val="single" w:color="auto" w:sz="4" w:space="0"/>
              <w:left w:val="single" w:color="auto" w:sz="4" w:space="0"/>
              <w:bottom w:val="single" w:color="auto" w:sz="4" w:space="0"/>
              <w:right w:val="single" w:color="auto" w:sz="4" w:space="0"/>
            </w:tcBorders>
            <w:noWrap w:val="0"/>
            <w:vAlign w:val="center"/>
          </w:tcPr>
          <w:p w14:paraId="546F32F0">
            <w:pPr>
              <w:pageBreakBefore w:val="0"/>
              <w:kinsoku/>
              <w:overflowPunct/>
              <w:topLinePunct w:val="0"/>
              <w:autoSpaceDE w:val="0"/>
              <w:autoSpaceDN w:val="0"/>
              <w:bidi w:val="0"/>
              <w:adjustRightInd w:val="0"/>
              <w:spacing w:line="360" w:lineRule="auto"/>
              <w:rPr>
                <w:rFonts w:hint="eastAsia" w:eastAsia="宋体" w:cs="宋体"/>
                <w:color w:val="auto"/>
                <w:sz w:val="24"/>
                <w:lang w:val="zh-CN"/>
              </w:rPr>
            </w:pPr>
            <w:r>
              <w:rPr>
                <w:rFonts w:hint="eastAsia" w:eastAsia="宋体" w:cs="宋体"/>
                <w:color w:val="auto"/>
                <w:sz w:val="24"/>
                <w:lang w:val="zh-CN"/>
              </w:rPr>
              <w:t>产品</w:t>
            </w:r>
            <w:r>
              <w:rPr>
                <w:rFonts w:hint="eastAsia" w:ascii="宋体" w:hAnsi="宋体" w:eastAsia="宋体" w:cs="宋体"/>
                <w:color w:val="auto"/>
                <w:sz w:val="24"/>
                <w:lang w:val="zh-CN"/>
              </w:rPr>
              <w:t>名称</w:t>
            </w: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781AFE0">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eastAsia="宋体" w:cs="宋体"/>
                <w:color w:val="auto"/>
                <w:sz w:val="24"/>
                <w:lang w:val="en-US" w:eastAsia="zh-CN"/>
              </w:rPr>
              <w:t>生产厂家</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3235B48D">
            <w:pPr>
              <w:pageBreakBefore w:val="0"/>
              <w:kinsoku/>
              <w:overflowPunct/>
              <w:topLinePunct w:val="0"/>
              <w:autoSpaceDE w:val="0"/>
              <w:autoSpaceDN w:val="0"/>
              <w:bidi w:val="0"/>
              <w:adjustRightInd w:val="0"/>
              <w:spacing w:line="360" w:lineRule="auto"/>
              <w:ind w:firstLine="292" w:firstLineChars="0"/>
              <w:rPr>
                <w:rFonts w:hint="eastAsia" w:ascii="宋体" w:hAnsi="宋体" w:eastAsia="宋体" w:cs="宋体"/>
                <w:color w:val="auto"/>
                <w:sz w:val="24"/>
                <w:lang w:val="en-US" w:eastAsia="zh-CN"/>
              </w:rPr>
            </w:pPr>
            <w:r>
              <w:rPr>
                <w:rFonts w:hint="eastAsia" w:eastAsia="宋体" w:cs="宋体"/>
                <w:color w:val="auto"/>
                <w:sz w:val="24"/>
                <w:lang w:val="en-US" w:eastAsia="zh-CN"/>
              </w:rPr>
              <w:t>品牌</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7829A0E7">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en-US" w:eastAsia="zh-CN"/>
              </w:rPr>
            </w:pPr>
            <w:r>
              <w:rPr>
                <w:rFonts w:hint="eastAsia" w:ascii="宋体" w:hAnsi="宋体" w:eastAsia="宋体" w:cs="宋体"/>
                <w:color w:val="auto"/>
                <w:sz w:val="24"/>
                <w:lang w:val="zh-CN"/>
              </w:rPr>
              <w:t>型号规格</w:t>
            </w:r>
          </w:p>
        </w:tc>
        <w:tc>
          <w:tcPr>
            <w:tcW w:w="799" w:type="dxa"/>
            <w:tcBorders>
              <w:top w:val="single" w:color="auto" w:sz="4" w:space="0"/>
              <w:left w:val="single" w:color="auto" w:sz="4" w:space="0"/>
              <w:bottom w:val="single" w:color="auto" w:sz="4" w:space="0"/>
              <w:right w:val="single" w:color="auto" w:sz="4" w:space="0"/>
            </w:tcBorders>
            <w:noWrap w:val="0"/>
            <w:vAlign w:val="center"/>
          </w:tcPr>
          <w:p w14:paraId="42D56ABB">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407635A5">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单价</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077426E3">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总价</w:t>
            </w:r>
          </w:p>
        </w:tc>
        <w:tc>
          <w:tcPr>
            <w:tcW w:w="884" w:type="dxa"/>
            <w:tcBorders>
              <w:top w:val="single" w:color="auto" w:sz="4" w:space="0"/>
              <w:left w:val="single" w:color="auto" w:sz="4" w:space="0"/>
              <w:bottom w:val="single" w:color="auto" w:sz="4" w:space="0"/>
              <w:right w:val="single" w:color="auto" w:sz="4" w:space="0"/>
            </w:tcBorders>
            <w:noWrap w:val="0"/>
            <w:vAlign w:val="center"/>
          </w:tcPr>
          <w:p w14:paraId="306B2871">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lang w:val="zh-CN"/>
              </w:rPr>
            </w:pPr>
            <w:r>
              <w:rPr>
                <w:rFonts w:hint="eastAsia" w:ascii="宋体" w:hAnsi="宋体" w:eastAsia="宋体" w:cs="宋体"/>
                <w:color w:val="auto"/>
                <w:sz w:val="24"/>
                <w:lang w:val="zh-CN"/>
              </w:rPr>
              <w:t>备注</w:t>
            </w:r>
          </w:p>
        </w:tc>
      </w:tr>
      <w:tr w14:paraId="7F2FA0EE">
        <w:tblPrEx>
          <w:tblCellMar>
            <w:top w:w="0" w:type="dxa"/>
            <w:left w:w="108" w:type="dxa"/>
            <w:bottom w:w="0" w:type="dxa"/>
            <w:right w:w="108" w:type="dxa"/>
          </w:tblCellMar>
        </w:tblPrEx>
        <w:trPr>
          <w:cantSplit/>
          <w:trHeight w:val="529" w:hRule="atLeast"/>
        </w:trPr>
        <w:tc>
          <w:tcPr>
            <w:tcW w:w="513" w:type="dxa"/>
            <w:tcBorders>
              <w:top w:val="single" w:color="auto" w:sz="4" w:space="0"/>
              <w:left w:val="single" w:color="auto" w:sz="4" w:space="0"/>
              <w:bottom w:val="single" w:color="auto" w:sz="4" w:space="0"/>
              <w:right w:val="single" w:color="auto" w:sz="4" w:space="0"/>
            </w:tcBorders>
            <w:noWrap w:val="0"/>
            <w:vAlign w:val="center"/>
          </w:tcPr>
          <w:p w14:paraId="2571DA2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534" w:type="dxa"/>
            <w:tcBorders>
              <w:top w:val="single" w:color="auto" w:sz="4" w:space="0"/>
              <w:left w:val="single" w:color="auto" w:sz="4" w:space="0"/>
              <w:bottom w:val="single" w:color="auto" w:sz="4" w:space="0"/>
              <w:right w:val="single" w:color="auto" w:sz="4" w:space="0"/>
            </w:tcBorders>
            <w:noWrap w:val="0"/>
            <w:vAlign w:val="center"/>
          </w:tcPr>
          <w:p w14:paraId="6A41FF30">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416" w:type="dxa"/>
            <w:tcBorders>
              <w:top w:val="single" w:color="auto" w:sz="4" w:space="0"/>
              <w:left w:val="single" w:color="auto" w:sz="4" w:space="0"/>
              <w:bottom w:val="single" w:color="auto" w:sz="4" w:space="0"/>
              <w:right w:val="single" w:color="auto" w:sz="4" w:space="0"/>
            </w:tcBorders>
            <w:noWrap w:val="0"/>
            <w:vAlign w:val="center"/>
          </w:tcPr>
          <w:p w14:paraId="7D305EFA">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828D52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5F57E538">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14AE536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3340BD5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0888CBF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84" w:type="dxa"/>
            <w:tcBorders>
              <w:top w:val="single" w:color="auto" w:sz="4" w:space="0"/>
              <w:left w:val="single" w:color="auto" w:sz="4" w:space="0"/>
              <w:bottom w:val="single" w:color="auto" w:sz="4" w:space="0"/>
              <w:right w:val="single" w:color="auto" w:sz="4" w:space="0"/>
            </w:tcBorders>
            <w:noWrap w:val="0"/>
            <w:vAlign w:val="center"/>
          </w:tcPr>
          <w:p w14:paraId="6CE503BA">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r>
      <w:tr w14:paraId="51D2BF8B">
        <w:tblPrEx>
          <w:tblCellMar>
            <w:top w:w="0" w:type="dxa"/>
            <w:left w:w="108" w:type="dxa"/>
            <w:bottom w:w="0" w:type="dxa"/>
            <w:right w:w="108" w:type="dxa"/>
          </w:tblCellMar>
        </w:tblPrEx>
        <w:trPr>
          <w:cantSplit/>
          <w:trHeight w:val="593" w:hRule="atLeast"/>
        </w:trPr>
        <w:tc>
          <w:tcPr>
            <w:tcW w:w="513" w:type="dxa"/>
            <w:tcBorders>
              <w:top w:val="single" w:color="auto" w:sz="4" w:space="0"/>
              <w:left w:val="single" w:color="auto" w:sz="4" w:space="0"/>
              <w:bottom w:val="single" w:color="auto" w:sz="4" w:space="0"/>
              <w:right w:val="single" w:color="auto" w:sz="4" w:space="0"/>
            </w:tcBorders>
            <w:noWrap w:val="0"/>
            <w:vAlign w:val="center"/>
          </w:tcPr>
          <w:p w14:paraId="7B0CBF9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534" w:type="dxa"/>
            <w:tcBorders>
              <w:top w:val="single" w:color="auto" w:sz="4" w:space="0"/>
              <w:left w:val="single" w:color="auto" w:sz="4" w:space="0"/>
              <w:bottom w:val="single" w:color="auto" w:sz="4" w:space="0"/>
              <w:right w:val="single" w:color="auto" w:sz="4" w:space="0"/>
            </w:tcBorders>
            <w:noWrap w:val="0"/>
            <w:vAlign w:val="center"/>
          </w:tcPr>
          <w:p w14:paraId="07793FC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416" w:type="dxa"/>
            <w:tcBorders>
              <w:top w:val="single" w:color="auto" w:sz="4" w:space="0"/>
              <w:left w:val="single" w:color="auto" w:sz="4" w:space="0"/>
              <w:bottom w:val="single" w:color="auto" w:sz="4" w:space="0"/>
              <w:right w:val="single" w:color="auto" w:sz="4" w:space="0"/>
            </w:tcBorders>
            <w:noWrap w:val="0"/>
            <w:vAlign w:val="center"/>
          </w:tcPr>
          <w:p w14:paraId="179098C1">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BCF8618">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0394740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4BEE1C2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1DBF089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19DBF0DE">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84" w:type="dxa"/>
            <w:tcBorders>
              <w:top w:val="single" w:color="auto" w:sz="4" w:space="0"/>
              <w:left w:val="single" w:color="auto" w:sz="4" w:space="0"/>
              <w:bottom w:val="single" w:color="auto" w:sz="4" w:space="0"/>
              <w:right w:val="single" w:color="auto" w:sz="4" w:space="0"/>
            </w:tcBorders>
            <w:noWrap w:val="0"/>
            <w:vAlign w:val="center"/>
          </w:tcPr>
          <w:p w14:paraId="37EB2CB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r>
      <w:tr w14:paraId="5027F404">
        <w:tblPrEx>
          <w:tblCellMar>
            <w:top w:w="0" w:type="dxa"/>
            <w:left w:w="108" w:type="dxa"/>
            <w:bottom w:w="0" w:type="dxa"/>
            <w:right w:w="108" w:type="dxa"/>
          </w:tblCellMar>
        </w:tblPrEx>
        <w:trPr>
          <w:cantSplit/>
          <w:trHeight w:val="593" w:hRule="atLeast"/>
        </w:trPr>
        <w:tc>
          <w:tcPr>
            <w:tcW w:w="513" w:type="dxa"/>
            <w:tcBorders>
              <w:top w:val="single" w:color="auto" w:sz="4" w:space="0"/>
              <w:left w:val="single" w:color="auto" w:sz="4" w:space="0"/>
              <w:bottom w:val="single" w:color="auto" w:sz="4" w:space="0"/>
              <w:right w:val="single" w:color="auto" w:sz="4" w:space="0"/>
            </w:tcBorders>
            <w:noWrap w:val="0"/>
            <w:vAlign w:val="center"/>
          </w:tcPr>
          <w:p w14:paraId="11D7FA10">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534" w:type="dxa"/>
            <w:tcBorders>
              <w:top w:val="single" w:color="auto" w:sz="4" w:space="0"/>
              <w:left w:val="single" w:color="auto" w:sz="4" w:space="0"/>
              <w:bottom w:val="single" w:color="auto" w:sz="4" w:space="0"/>
              <w:right w:val="single" w:color="auto" w:sz="4" w:space="0"/>
            </w:tcBorders>
            <w:noWrap w:val="0"/>
            <w:vAlign w:val="center"/>
          </w:tcPr>
          <w:p w14:paraId="61DFBFCC">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416" w:type="dxa"/>
            <w:tcBorders>
              <w:top w:val="single" w:color="auto" w:sz="4" w:space="0"/>
              <w:left w:val="single" w:color="auto" w:sz="4" w:space="0"/>
              <w:bottom w:val="single" w:color="auto" w:sz="4" w:space="0"/>
              <w:right w:val="single" w:color="auto" w:sz="4" w:space="0"/>
            </w:tcBorders>
            <w:noWrap w:val="0"/>
            <w:vAlign w:val="center"/>
          </w:tcPr>
          <w:p w14:paraId="2930F614">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5FF40C7">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2A5EE781">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0E053B1A">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1ADCC48F">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46BB44D8">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84" w:type="dxa"/>
            <w:tcBorders>
              <w:top w:val="single" w:color="auto" w:sz="4" w:space="0"/>
              <w:left w:val="single" w:color="auto" w:sz="4" w:space="0"/>
              <w:bottom w:val="single" w:color="auto" w:sz="4" w:space="0"/>
              <w:right w:val="single" w:color="auto" w:sz="4" w:space="0"/>
            </w:tcBorders>
            <w:noWrap w:val="0"/>
            <w:vAlign w:val="center"/>
          </w:tcPr>
          <w:p w14:paraId="7337569F">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r>
      <w:tr w14:paraId="5FFFB0BB">
        <w:tblPrEx>
          <w:tblCellMar>
            <w:top w:w="0" w:type="dxa"/>
            <w:left w:w="108" w:type="dxa"/>
            <w:bottom w:w="0" w:type="dxa"/>
            <w:right w:w="108" w:type="dxa"/>
          </w:tblCellMar>
        </w:tblPrEx>
        <w:trPr>
          <w:cantSplit/>
          <w:trHeight w:val="593" w:hRule="atLeast"/>
        </w:trPr>
        <w:tc>
          <w:tcPr>
            <w:tcW w:w="513" w:type="dxa"/>
            <w:tcBorders>
              <w:top w:val="single" w:color="auto" w:sz="4" w:space="0"/>
              <w:left w:val="single" w:color="auto" w:sz="4" w:space="0"/>
              <w:bottom w:val="single" w:color="auto" w:sz="4" w:space="0"/>
              <w:right w:val="single" w:color="auto" w:sz="4" w:space="0"/>
            </w:tcBorders>
            <w:noWrap w:val="0"/>
            <w:vAlign w:val="center"/>
          </w:tcPr>
          <w:p w14:paraId="345F6D7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534" w:type="dxa"/>
            <w:tcBorders>
              <w:top w:val="single" w:color="auto" w:sz="4" w:space="0"/>
              <w:left w:val="single" w:color="auto" w:sz="4" w:space="0"/>
              <w:bottom w:val="single" w:color="auto" w:sz="4" w:space="0"/>
              <w:right w:val="single" w:color="auto" w:sz="4" w:space="0"/>
            </w:tcBorders>
            <w:noWrap w:val="0"/>
            <w:vAlign w:val="center"/>
          </w:tcPr>
          <w:p w14:paraId="67A4147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416" w:type="dxa"/>
            <w:tcBorders>
              <w:top w:val="single" w:color="auto" w:sz="4" w:space="0"/>
              <w:left w:val="single" w:color="auto" w:sz="4" w:space="0"/>
              <w:bottom w:val="single" w:color="auto" w:sz="4" w:space="0"/>
              <w:right w:val="single" w:color="auto" w:sz="4" w:space="0"/>
            </w:tcBorders>
            <w:noWrap w:val="0"/>
            <w:vAlign w:val="center"/>
          </w:tcPr>
          <w:p w14:paraId="000E396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5F26C0A">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2DA88DC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99" w:type="dxa"/>
            <w:tcBorders>
              <w:top w:val="single" w:color="auto" w:sz="4" w:space="0"/>
              <w:left w:val="single" w:color="auto" w:sz="4" w:space="0"/>
              <w:bottom w:val="single" w:color="auto" w:sz="4" w:space="0"/>
              <w:right w:val="single" w:color="auto" w:sz="4" w:space="0"/>
            </w:tcBorders>
            <w:noWrap w:val="0"/>
            <w:vAlign w:val="center"/>
          </w:tcPr>
          <w:p w14:paraId="11DA2399">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749" w:type="dxa"/>
            <w:tcBorders>
              <w:top w:val="single" w:color="auto" w:sz="4" w:space="0"/>
              <w:left w:val="single" w:color="auto" w:sz="4" w:space="0"/>
              <w:bottom w:val="single" w:color="auto" w:sz="4" w:space="0"/>
              <w:right w:val="single" w:color="auto" w:sz="4" w:space="0"/>
            </w:tcBorders>
            <w:noWrap w:val="0"/>
            <w:vAlign w:val="center"/>
          </w:tcPr>
          <w:p w14:paraId="48335E6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08" w:type="dxa"/>
            <w:tcBorders>
              <w:top w:val="single" w:color="auto" w:sz="4" w:space="0"/>
              <w:left w:val="single" w:color="auto" w:sz="4" w:space="0"/>
              <w:bottom w:val="single" w:color="auto" w:sz="4" w:space="0"/>
              <w:right w:val="single" w:color="auto" w:sz="4" w:space="0"/>
            </w:tcBorders>
            <w:noWrap w:val="0"/>
            <w:vAlign w:val="center"/>
          </w:tcPr>
          <w:p w14:paraId="18972FE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84" w:type="dxa"/>
            <w:tcBorders>
              <w:top w:val="single" w:color="auto" w:sz="4" w:space="0"/>
              <w:left w:val="single" w:color="auto" w:sz="4" w:space="0"/>
              <w:bottom w:val="single" w:color="auto" w:sz="4" w:space="0"/>
              <w:right w:val="single" w:color="auto" w:sz="4" w:space="0"/>
            </w:tcBorders>
            <w:noWrap w:val="0"/>
            <w:vAlign w:val="center"/>
          </w:tcPr>
          <w:p w14:paraId="199E67F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r>
      <w:tr w14:paraId="5C168822">
        <w:tblPrEx>
          <w:tblCellMar>
            <w:top w:w="0" w:type="dxa"/>
            <w:left w:w="108" w:type="dxa"/>
            <w:bottom w:w="0" w:type="dxa"/>
            <w:right w:w="108" w:type="dxa"/>
          </w:tblCellMar>
        </w:tblPrEx>
        <w:trPr>
          <w:cantSplit/>
          <w:trHeight w:val="611" w:hRule="atLeast"/>
        </w:trPr>
        <w:tc>
          <w:tcPr>
            <w:tcW w:w="7528" w:type="dxa"/>
            <w:gridSpan w:val="7"/>
            <w:tcBorders>
              <w:top w:val="single" w:color="auto" w:sz="4" w:space="0"/>
              <w:left w:val="single" w:color="auto" w:sz="4" w:space="0"/>
              <w:bottom w:val="single" w:color="auto" w:sz="4" w:space="0"/>
              <w:right w:val="single" w:color="auto" w:sz="4" w:space="0"/>
            </w:tcBorders>
            <w:noWrap w:val="0"/>
            <w:vAlign w:val="center"/>
          </w:tcPr>
          <w:p w14:paraId="3ACC949B">
            <w:pPr>
              <w:pageBreakBefore w:val="0"/>
              <w:kinsoku/>
              <w:overflowPunct/>
              <w:topLinePunct w:val="0"/>
              <w:autoSpaceDE w:val="0"/>
              <w:autoSpaceDN w:val="0"/>
              <w:bidi w:val="0"/>
              <w:adjustRightInd w:val="0"/>
              <w:spacing w:line="360" w:lineRule="auto"/>
              <w:ind w:firstLine="480" w:firstLineChars="200"/>
              <w:jc w:val="center"/>
              <w:rPr>
                <w:rFonts w:hint="eastAsia" w:ascii="宋体" w:hAnsi="宋体" w:eastAsia="宋体" w:cs="宋体"/>
                <w:color w:val="auto"/>
                <w:sz w:val="24"/>
                <w:lang w:val="zh-CN"/>
              </w:rPr>
            </w:pPr>
            <w:r>
              <w:rPr>
                <w:rFonts w:hint="eastAsia" w:eastAsia="宋体" w:cs="宋体"/>
                <w:color w:val="auto"/>
                <w:sz w:val="24"/>
                <w:lang w:val="zh-CN"/>
              </w:rPr>
              <w:t>合计</w:t>
            </w:r>
          </w:p>
        </w:tc>
        <w:tc>
          <w:tcPr>
            <w:tcW w:w="808" w:type="dxa"/>
            <w:tcBorders>
              <w:top w:val="single" w:color="auto" w:sz="4" w:space="0"/>
              <w:left w:val="single" w:color="auto" w:sz="4" w:space="0"/>
              <w:bottom w:val="single" w:color="auto" w:sz="4" w:space="0"/>
              <w:right w:val="single" w:color="auto" w:sz="4" w:space="0"/>
            </w:tcBorders>
            <w:noWrap w:val="0"/>
            <w:vAlign w:val="center"/>
          </w:tcPr>
          <w:p w14:paraId="3EB6A79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c>
          <w:tcPr>
            <w:tcW w:w="884" w:type="dxa"/>
            <w:tcBorders>
              <w:top w:val="single" w:color="auto" w:sz="4" w:space="0"/>
              <w:left w:val="single" w:color="auto" w:sz="4" w:space="0"/>
              <w:bottom w:val="single" w:color="auto" w:sz="4" w:space="0"/>
              <w:right w:val="single" w:color="auto" w:sz="4" w:space="0"/>
            </w:tcBorders>
            <w:noWrap w:val="0"/>
            <w:vAlign w:val="center"/>
          </w:tcPr>
          <w:p w14:paraId="5779149F">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tc>
      </w:tr>
    </w:tbl>
    <w:p w14:paraId="40CB3CD1">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lang w:val="zh-CN"/>
        </w:rPr>
        <w:t>根据上述政府采购合同文件要求，本政府采购合同的总金额为人民币</w:t>
      </w: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lang w:val="zh-CN"/>
        </w:rPr>
        <w:t xml:space="preserve">  </w:t>
      </w: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lang w:val="zh-CN"/>
        </w:rPr>
        <w:t xml:space="preserve"> （大写）</w:t>
      </w: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lang w:val="zh-CN"/>
        </w:rPr>
        <w:t>元。</w:t>
      </w:r>
    </w:p>
    <w:p w14:paraId="52F0C1B7">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本合同以人民币进行结算，合同总价</w:t>
      </w:r>
      <w:r>
        <w:rPr>
          <w:rFonts w:hint="eastAsia" w:ascii="宋体" w:hAnsi="宋体" w:eastAsia="宋体" w:cs="宋体"/>
          <w:color w:val="000000" w:themeColor="text1"/>
          <w:sz w:val="24"/>
          <w:highlight w:val="none"/>
          <w:lang w:val="zh-CN"/>
          <w14:textFill>
            <w14:solidFill>
              <w14:schemeClr w14:val="tx1"/>
            </w14:solidFill>
          </w14:textFill>
        </w:rPr>
        <w:t>包括：</w:t>
      </w:r>
      <w:r>
        <w:rPr>
          <w:rFonts w:hint="eastAsia" w:eastAsia="宋体" w:cs="宋体"/>
          <w:color w:val="000000" w:themeColor="text1"/>
          <w:sz w:val="24"/>
          <w:highlight w:val="none"/>
          <w:lang w:val="en-US" w:eastAsia="zh-CN"/>
          <w14:textFill>
            <w14:solidFill>
              <w14:schemeClr w14:val="tx1"/>
            </w14:solidFill>
          </w14:textFill>
        </w:rPr>
        <w:t>产品费、系统维护费、系统集成费、安装费、调试及维护费、验收费、手续费、包装费、运输费、保险费、售前、售中、售后服务费、税金及不可预见费等全部费用。</w:t>
      </w:r>
    </w:p>
    <w:p w14:paraId="48D4299F">
      <w:pPr>
        <w:pStyle w:val="27"/>
        <w:rPr>
          <w:rFonts w:hint="eastAsia"/>
        </w:rPr>
      </w:pPr>
    </w:p>
    <w:p w14:paraId="63906318">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highlight w:val="none"/>
        </w:rPr>
      </w:pPr>
      <w:bookmarkStart w:id="413" w:name="_Toc9629"/>
      <w:r>
        <w:rPr>
          <w:rFonts w:hint="eastAsia" w:ascii="宋体" w:hAnsi="宋体" w:eastAsia="宋体" w:cs="宋体"/>
          <w:sz w:val="24"/>
          <w:szCs w:val="24"/>
          <w:highlight w:val="none"/>
        </w:rPr>
        <w:t>三、</w:t>
      </w:r>
      <w:r>
        <w:rPr>
          <w:rFonts w:hint="eastAsia" w:ascii="宋体" w:hAnsi="宋体" w:eastAsia="宋体" w:cs="宋体"/>
          <w:color w:val="auto"/>
          <w:sz w:val="24"/>
          <w:highlight w:val="none"/>
          <w:lang w:val="zh-CN"/>
        </w:rPr>
        <w:t>交货</w:t>
      </w:r>
      <w:r>
        <w:rPr>
          <w:rFonts w:hint="eastAsia" w:ascii="宋体" w:hAnsi="宋体" w:eastAsia="宋体" w:cs="宋体"/>
          <w:color w:val="auto"/>
          <w:sz w:val="24"/>
          <w:highlight w:val="none"/>
          <w:lang w:val="en-US" w:eastAsia="zh-CN"/>
        </w:rPr>
        <w:t>及服务</w:t>
      </w:r>
      <w:r>
        <w:rPr>
          <w:rFonts w:hint="eastAsia" w:ascii="宋体" w:hAnsi="宋体" w:eastAsia="宋体" w:cs="宋体"/>
          <w:color w:val="auto"/>
          <w:sz w:val="24"/>
          <w:highlight w:val="none"/>
          <w:lang w:val="zh-CN"/>
        </w:rPr>
        <w:t>时间、地点和要求</w:t>
      </w:r>
    </w:p>
    <w:p w14:paraId="4EE6A256">
      <w:pPr>
        <w:pageBreakBefore w:val="0"/>
        <w:kinsoku/>
        <w:overflowPunct/>
        <w:topLinePunct w:val="0"/>
        <w:autoSpaceDE w:val="0"/>
        <w:autoSpaceDN w:val="0"/>
        <w:bidi w:val="0"/>
        <w:adjustRightInd w:val="0"/>
        <w:spacing w:line="360" w:lineRule="auto"/>
        <w:ind w:firstLine="480" w:firstLineChars="200"/>
        <w:jc w:val="left"/>
        <w:rPr>
          <w:rFonts w:hint="default" w:eastAsia="宋体" w:cs="宋体"/>
          <w:color w:val="000000" w:themeColor="text1"/>
          <w:sz w:val="24"/>
          <w:highlight w:val="none"/>
          <w:lang w:val="en-US" w:eastAsia="zh-CN"/>
          <w14:textFill>
            <w14:solidFill>
              <w14:schemeClr w14:val="tx1"/>
            </w14:solidFill>
          </w14:textFill>
        </w:rPr>
      </w:pPr>
      <w:r>
        <w:rPr>
          <w:rFonts w:hint="eastAsia" w:eastAsia="宋体" w:cs="宋体"/>
          <w:color w:val="000000" w:themeColor="text1"/>
          <w:sz w:val="24"/>
          <w:highlight w:val="none"/>
          <w:lang w:val="en-US" w:eastAsia="zh-CN"/>
          <w14:textFill>
            <w14:solidFill>
              <w14:schemeClr w14:val="tx1"/>
            </w14:solidFill>
          </w14:textFill>
        </w:rPr>
        <w:t>1、 交货时间：自签订合同之日起30个工作日内交货并安装完毕</w:t>
      </w:r>
    </w:p>
    <w:p w14:paraId="31704BF6">
      <w:pPr>
        <w:pageBreakBefore w:val="0"/>
        <w:kinsoku/>
        <w:overflowPunct/>
        <w:topLinePunct w:val="0"/>
        <w:autoSpaceDE w:val="0"/>
        <w:autoSpaceDN w:val="0"/>
        <w:bidi w:val="0"/>
        <w:adjustRightInd w:val="0"/>
        <w:spacing w:line="360" w:lineRule="auto"/>
        <w:ind w:firstLine="960" w:firstLineChars="400"/>
        <w:jc w:val="left"/>
        <w:rPr>
          <w:rFonts w:hint="eastAsia" w:eastAsia="宋体" w:cs="宋体"/>
          <w:color w:val="000000" w:themeColor="text1"/>
          <w:sz w:val="24"/>
          <w:highlight w:val="none"/>
          <w:lang w:val="en-US" w:eastAsia="zh-CN"/>
          <w14:textFill>
            <w14:solidFill>
              <w14:schemeClr w14:val="tx1"/>
            </w14:solidFill>
          </w14:textFill>
        </w:rPr>
      </w:pPr>
      <w:r>
        <w:rPr>
          <w:rFonts w:hint="eastAsia" w:eastAsia="宋体" w:cs="宋体"/>
          <w:color w:val="000000" w:themeColor="text1"/>
          <w:sz w:val="24"/>
          <w:highlight w:val="none"/>
          <w:lang w:val="en-US" w:eastAsia="zh-CN"/>
          <w14:textFill>
            <w14:solidFill>
              <w14:schemeClr w14:val="tx1"/>
            </w14:solidFill>
          </w14:textFill>
        </w:rPr>
        <w:t>交货地点：青海民族大学东序校区。</w:t>
      </w:r>
    </w:p>
    <w:p w14:paraId="513F4D8F">
      <w:pPr>
        <w:pageBreakBefore w:val="0"/>
        <w:kinsoku/>
        <w:overflowPunct/>
        <w:topLinePunct w:val="0"/>
        <w:autoSpaceDE w:val="0"/>
        <w:autoSpaceDN w:val="0"/>
        <w:bidi w:val="0"/>
        <w:adjustRightInd w:val="0"/>
        <w:spacing w:line="360" w:lineRule="auto"/>
        <w:ind w:firstLine="960" w:firstLineChars="400"/>
        <w:jc w:val="left"/>
        <w:rPr>
          <w:rFonts w:hint="eastAsia" w:eastAsia="宋体" w:cs="宋体"/>
          <w:color w:val="000000" w:themeColor="text1"/>
          <w:sz w:val="24"/>
          <w:highlight w:val="none"/>
          <w:lang w:val="en-US" w:eastAsia="zh-CN"/>
          <w14:textFill>
            <w14:solidFill>
              <w14:schemeClr w14:val="tx1"/>
            </w14:solidFill>
          </w14:textFill>
        </w:rPr>
      </w:pPr>
      <w:r>
        <w:rPr>
          <w:rFonts w:hint="eastAsia" w:eastAsia="宋体" w:cs="宋体"/>
          <w:color w:val="000000" w:themeColor="text1"/>
          <w:sz w:val="24"/>
          <w:highlight w:val="none"/>
          <w:lang w:val="en-US" w:eastAsia="zh-CN"/>
          <w14:textFill>
            <w14:solidFill>
              <w14:schemeClr w14:val="tx1"/>
            </w14:solidFill>
          </w14:textFill>
        </w:rPr>
        <w:t>质保期：3年（投标时由供应商提供承诺）</w:t>
      </w:r>
    </w:p>
    <w:p w14:paraId="1D285F07">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zh-CN"/>
        </w:rPr>
        <w:t>乙方提供不符合</w:t>
      </w:r>
      <w:r>
        <w:rPr>
          <w:rFonts w:hint="eastAsia" w:ascii="宋体" w:hAnsi="宋体" w:eastAsia="宋体" w:cs="宋体"/>
          <w:color w:val="auto"/>
          <w:sz w:val="24"/>
          <w:highlight w:val="none"/>
          <w:lang w:val="en-US" w:eastAsia="zh-CN"/>
        </w:rPr>
        <w:t>招标</w:t>
      </w:r>
      <w:r>
        <w:rPr>
          <w:rFonts w:hint="eastAsia" w:ascii="宋体" w:hAnsi="宋体" w:eastAsia="宋体" w:cs="宋体"/>
          <w:color w:val="auto"/>
          <w:sz w:val="24"/>
          <w:highlight w:val="none"/>
          <w:lang w:val="zh-CN"/>
        </w:rPr>
        <w:t>文件和本合同规定的产品，甲方有权拒绝接受。</w:t>
      </w:r>
    </w:p>
    <w:p w14:paraId="0DA672E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zh-CN"/>
        </w:rPr>
        <w:t>乙方应将提供产品的装箱清单、用户手册、原厂保修卡、随机资料、工具和备品、备件等交付给甲方，如有缺失应及时补齐，否则视为逾期交货。</w:t>
      </w:r>
    </w:p>
    <w:p w14:paraId="73987384">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zh-CN"/>
        </w:rPr>
        <w:t>甲方应当在到货后</w:t>
      </w:r>
      <w:r>
        <w:rPr>
          <w:rFonts w:hint="eastAsia" w:ascii="宋体" w:hAnsi="宋体" w:eastAsia="宋体" w:cs="宋体"/>
          <w:color w:val="auto"/>
          <w:sz w:val="24"/>
          <w:highlight w:val="none"/>
          <w:u w:val="single"/>
        </w:rPr>
        <w:t>15</w:t>
      </w:r>
      <w:r>
        <w:rPr>
          <w:rFonts w:hint="eastAsia" w:ascii="宋体" w:hAnsi="宋体" w:eastAsia="宋体" w:cs="宋体"/>
          <w:color w:val="auto"/>
          <w:sz w:val="24"/>
          <w:highlight w:val="none"/>
          <w:lang w:val="zh-CN"/>
        </w:rPr>
        <w:t>个工作日内进行验收，逾期不验收的，乙方可视为验收合格。验收合格后，由甲乙双方签署产品验收单并加盖采购人公章，甲乙双方各执一份。</w:t>
      </w:r>
    </w:p>
    <w:p w14:paraId="4722E1DA">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val="zh-CN"/>
        </w:rPr>
        <w:t>甲方应提供该项目验收报告交同级财政监管部门，由财政部门按规定程序抽验后办理资金拨付。</w:t>
      </w:r>
    </w:p>
    <w:p w14:paraId="30FC11B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color w:val="auto"/>
          <w:sz w:val="24"/>
          <w:highlight w:val="none"/>
          <w:lang w:val="zh-CN"/>
        </w:rPr>
        <w:t>甲方在验收过程中发现乙方有违约问题，可按招、响应文件的规定要求乙方及时予以解决。</w:t>
      </w:r>
    </w:p>
    <w:p w14:paraId="2A83A78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r>
        <w:rPr>
          <w:rFonts w:hint="eastAsia" w:ascii="宋体" w:hAnsi="宋体" w:eastAsia="宋体" w:cs="宋体"/>
          <w:color w:val="auto"/>
          <w:sz w:val="24"/>
          <w:highlight w:val="none"/>
          <w:lang w:val="zh-CN"/>
        </w:rPr>
        <w:t>乙方向甲方提供产品相关完税销售发票。</w:t>
      </w:r>
    </w:p>
    <w:p w14:paraId="76306386">
      <w:pPr>
        <w:pStyle w:val="11"/>
        <w:spacing w:line="360" w:lineRule="auto"/>
        <w:ind w:firstLine="420"/>
        <w:rPr>
          <w:rFonts w:hint="eastAsia" w:ascii="宋体" w:hAnsi="宋体" w:eastAsia="宋体" w:cs="宋体"/>
          <w:sz w:val="24"/>
          <w:szCs w:val="24"/>
          <w:highlight w:val="yellow"/>
        </w:rPr>
      </w:pPr>
    </w:p>
    <w:p w14:paraId="11EF72E0">
      <w:pPr>
        <w:pStyle w:val="10"/>
        <w:spacing w:line="360" w:lineRule="auto"/>
        <w:ind w:firstLine="240" w:firstLineChars="100"/>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四、付款方式</w:t>
      </w:r>
      <w:bookmarkEnd w:id="413"/>
      <w:bookmarkStart w:id="414" w:name="_Toc22743"/>
      <w:r>
        <w:rPr>
          <w:rFonts w:hint="eastAsia" w:ascii="宋体" w:hAnsi="宋体" w:eastAsia="宋体" w:cs="宋体"/>
          <w:sz w:val="24"/>
          <w:szCs w:val="24"/>
          <w:highlight w:val="none"/>
          <w:lang w:val="zh-CN"/>
        </w:rPr>
        <w:t>：</w:t>
      </w:r>
    </w:p>
    <w:bookmarkEnd w:id="414"/>
    <w:p w14:paraId="0E2B89ED">
      <w:pPr>
        <w:autoSpaceDE w:val="0"/>
        <w:autoSpaceDN w:val="0"/>
        <w:spacing w:line="360" w:lineRule="auto"/>
        <w:ind w:firstLine="480"/>
        <w:rPr>
          <w:rFonts w:hint="default" w:ascii="宋体" w:hAnsi="宋体" w:eastAsia="宋体" w:cs="宋体"/>
          <w:color w:val="000000" w:themeColor="text1"/>
          <w:sz w:val="24"/>
          <w:szCs w:val="24"/>
          <w:highlight w:val="none"/>
          <w:lang w:val="en-US" w:eastAsia="zh-CN"/>
          <w14:textFill>
            <w14:solidFill>
              <w14:schemeClr w14:val="tx1"/>
            </w14:solidFill>
          </w14:textFill>
        </w:rPr>
      </w:pPr>
      <w:bookmarkStart w:id="415" w:name="_Toc9509"/>
      <w:r>
        <w:rPr>
          <w:rFonts w:hint="eastAsia" w:ascii="宋体" w:hAnsi="宋体" w:eastAsia="宋体" w:cs="宋体"/>
          <w:color w:val="000000" w:themeColor="text1"/>
          <w:kern w:val="0"/>
          <w:sz w:val="24"/>
          <w:highlight w:val="none"/>
          <w:lang w:val="en-US" w:eastAsia="zh-CN"/>
          <w14:textFill>
            <w14:solidFill>
              <w14:schemeClr w14:val="tx1"/>
            </w14:solidFill>
          </w14:textFill>
        </w:rPr>
        <w:t>甲、乙双方</w:t>
      </w:r>
      <w:r>
        <w:rPr>
          <w:rFonts w:hint="eastAsia" w:eastAsia="宋体" w:cs="宋体"/>
          <w:color w:val="000000" w:themeColor="text1"/>
          <w:kern w:val="0"/>
          <w:sz w:val="24"/>
          <w:highlight w:val="none"/>
          <w:lang w:val="en-US" w:eastAsia="zh-CN"/>
          <w14:textFill>
            <w14:solidFill>
              <w14:schemeClr w14:val="tx1"/>
            </w14:solidFill>
          </w14:textFill>
        </w:rPr>
        <w:t>自行约定。</w:t>
      </w:r>
    </w:p>
    <w:p w14:paraId="697D2014">
      <w:pPr>
        <w:pageBreakBefore w:val="0"/>
        <w:numPr>
          <w:ilvl w:val="0"/>
          <w:numId w:val="5"/>
        </w:numPr>
        <w:kinsoku/>
        <w:overflowPunct/>
        <w:topLinePunct w:val="0"/>
        <w:autoSpaceDE w:val="0"/>
        <w:autoSpaceDN w:val="0"/>
        <w:bidi w:val="0"/>
        <w:adjustRightInd w:val="0"/>
        <w:spacing w:line="360" w:lineRule="auto"/>
        <w:rPr>
          <w:rFonts w:hint="eastAsia" w:eastAsia="宋体" w:cs="宋体"/>
          <w:color w:val="auto"/>
          <w:sz w:val="24"/>
          <w:szCs w:val="22"/>
          <w:lang w:val="zh-CN"/>
        </w:rPr>
      </w:pPr>
      <w:r>
        <w:rPr>
          <w:rFonts w:hint="eastAsia" w:ascii="宋体" w:hAnsi="宋体" w:eastAsia="宋体" w:cs="宋体"/>
          <w:color w:val="auto"/>
          <w:sz w:val="24"/>
          <w:szCs w:val="22"/>
          <w:lang w:val="zh-CN"/>
        </w:rPr>
        <w:t>合同的变更、终止与转让</w:t>
      </w:r>
      <w:r>
        <w:rPr>
          <w:rFonts w:hint="eastAsia" w:eastAsia="宋体" w:cs="宋体"/>
          <w:color w:val="auto"/>
          <w:sz w:val="24"/>
          <w:szCs w:val="22"/>
          <w:lang w:val="zh-CN"/>
        </w:rPr>
        <w:t>。</w:t>
      </w:r>
    </w:p>
    <w:p w14:paraId="058B4DC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zh-CN"/>
        </w:rPr>
        <w:t>除《中华人民共和国政府采购法》第</w:t>
      </w:r>
      <w:r>
        <w:rPr>
          <w:rFonts w:hint="eastAsia" w:ascii="宋体" w:hAnsi="宋体" w:eastAsia="宋体" w:cs="宋体"/>
          <w:color w:val="auto"/>
          <w:sz w:val="24"/>
        </w:rPr>
        <w:t>50</w:t>
      </w:r>
      <w:r>
        <w:rPr>
          <w:rFonts w:hint="eastAsia" w:ascii="宋体" w:hAnsi="宋体" w:eastAsia="宋体" w:cs="宋体"/>
          <w:color w:val="auto"/>
          <w:sz w:val="24"/>
          <w:lang w:val="zh-CN"/>
        </w:rPr>
        <w:t>条规定的情形外，本合同一经签订，甲乙双方不得擅自变更、中止或终止。</w:t>
      </w:r>
    </w:p>
    <w:p w14:paraId="5099096B">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zh-CN"/>
        </w:rPr>
        <w:t>乙方不得擅自转让其应履行的合同义务。</w:t>
      </w:r>
    </w:p>
    <w:p w14:paraId="485EBD30">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rPr>
      </w:pPr>
      <w:r>
        <w:rPr>
          <w:rFonts w:hint="eastAsia" w:ascii="宋体" w:hAnsi="宋体" w:eastAsia="宋体" w:cs="宋体"/>
          <w:color w:val="auto"/>
          <w:sz w:val="24"/>
          <w:lang w:val="zh-CN"/>
        </w:rPr>
        <w:t>六、违约责任</w:t>
      </w:r>
    </w:p>
    <w:p w14:paraId="409AB4D1">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zh-CN"/>
        </w:rPr>
        <w:t>乙方所提供的产品规格、技术标准、材料等质量不合格的，应及时更换；更换不及时的，按逾期交货处罚；因质量问题甲方不同意接收的，质保金全额扣除，并由乙方赔偿由此引起的甲方的一切经济损失。</w:t>
      </w:r>
    </w:p>
    <w:p w14:paraId="17596F5C">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zh-CN"/>
        </w:rPr>
        <w:t>乙方提供的货物如侵犯了第三方权益而引发纠纷或诉讼的，均由乙方负责交涉并承担全部责任。</w:t>
      </w:r>
    </w:p>
    <w:p w14:paraId="2520714C">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lang w:val="zh-CN"/>
        </w:rPr>
        <w:t>因包装、运输引起的货物损坏，按质量不合格处罚。</w:t>
      </w:r>
    </w:p>
    <w:p w14:paraId="71605894">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w:t>
      </w:r>
      <w:r>
        <w:rPr>
          <w:rFonts w:hint="eastAsia" w:ascii="宋体" w:hAnsi="宋体" w:eastAsia="宋体" w:cs="宋体"/>
          <w:color w:val="auto"/>
          <w:sz w:val="24"/>
          <w:lang w:val="zh-CN"/>
        </w:rPr>
        <w:t>甲方无故延期接受货物和乙方逾期交货的，每天应向对方偿付未交货物的货款</w:t>
      </w:r>
      <w:r>
        <w:rPr>
          <w:rFonts w:hint="eastAsia" w:ascii="宋体" w:hAnsi="宋体" w:eastAsia="宋体" w:cs="宋体"/>
          <w:color w:val="auto"/>
          <w:sz w:val="24"/>
        </w:rPr>
        <w:t>3%</w:t>
      </w:r>
      <w:r>
        <w:rPr>
          <w:rFonts w:hint="eastAsia" w:ascii="宋体" w:hAnsi="宋体" w:eastAsia="宋体" w:cs="宋体"/>
          <w:color w:val="auto"/>
          <w:sz w:val="24"/>
          <w:lang w:val="zh-CN"/>
        </w:rPr>
        <w:t>的违约金，但违约金累计不得超过违约货款的</w:t>
      </w:r>
      <w:r>
        <w:rPr>
          <w:rFonts w:hint="eastAsia" w:ascii="宋体" w:hAnsi="宋体" w:eastAsia="宋体" w:cs="宋体"/>
          <w:color w:val="auto"/>
          <w:sz w:val="24"/>
        </w:rPr>
        <w:t>5%</w:t>
      </w:r>
      <w:r>
        <w:rPr>
          <w:rFonts w:hint="eastAsia" w:ascii="宋体" w:hAnsi="宋体" w:eastAsia="宋体" w:cs="宋体"/>
          <w:color w:val="auto"/>
          <w:sz w:val="24"/>
          <w:lang w:val="zh-CN"/>
        </w:rPr>
        <w:t>，超过</w:t>
      </w:r>
      <w:r>
        <w:rPr>
          <w:rFonts w:hint="eastAsia" w:ascii="宋体" w:hAnsi="宋体" w:eastAsia="宋体" w:cs="宋体"/>
          <w:color w:val="auto"/>
          <w:sz w:val="24"/>
          <w:u w:val="single"/>
        </w:rPr>
        <w:t>30</w:t>
      </w:r>
      <w:r>
        <w:rPr>
          <w:rFonts w:hint="eastAsia" w:ascii="宋体" w:hAnsi="宋体" w:eastAsia="宋体" w:cs="宋体"/>
          <w:color w:val="auto"/>
          <w:sz w:val="24"/>
          <w:lang w:val="zh-CN"/>
        </w:rPr>
        <w:t>天对方有权解除合同，违约方承担因此给对方造成的经济损失</w:t>
      </w:r>
      <w:r>
        <w:rPr>
          <w:rFonts w:hint="eastAsia" w:ascii="宋体" w:hAnsi="宋体" w:eastAsia="宋体" w:cs="宋体"/>
          <w:color w:val="auto"/>
          <w:sz w:val="24"/>
        </w:rPr>
        <w:t xml:space="preserve"> </w:t>
      </w:r>
      <w:r>
        <w:rPr>
          <w:rFonts w:hint="eastAsia" w:ascii="宋体" w:hAnsi="宋体" w:eastAsia="宋体" w:cs="宋体"/>
          <w:color w:val="auto"/>
          <w:sz w:val="24"/>
          <w:lang w:val="zh-CN"/>
        </w:rPr>
        <w:t>。</w:t>
      </w:r>
    </w:p>
    <w:p w14:paraId="5A1AEC6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5.</w:t>
      </w:r>
      <w:r>
        <w:rPr>
          <w:rFonts w:hint="eastAsia" w:ascii="宋体" w:hAnsi="宋体" w:eastAsia="宋体" w:cs="宋体"/>
          <w:color w:val="auto"/>
          <w:sz w:val="24"/>
          <w:lang w:val="zh-CN"/>
        </w:rPr>
        <w:t>乙方未按本合同和响应文件中规定的服务承诺提供售后服务的，乙方应按本合同合计金额的</w:t>
      </w:r>
      <w:r>
        <w:rPr>
          <w:rFonts w:hint="eastAsia" w:ascii="宋体" w:hAnsi="宋体" w:eastAsia="宋体" w:cs="宋体"/>
          <w:color w:val="auto"/>
          <w:sz w:val="24"/>
        </w:rPr>
        <w:t>5%</w:t>
      </w:r>
      <w:r>
        <w:rPr>
          <w:rFonts w:hint="eastAsia" w:ascii="宋体" w:hAnsi="宋体" w:eastAsia="宋体" w:cs="宋体"/>
          <w:color w:val="auto"/>
          <w:sz w:val="24"/>
          <w:lang w:val="zh-CN"/>
        </w:rPr>
        <w:t>向甲方支付违约金。</w:t>
      </w:r>
    </w:p>
    <w:p w14:paraId="7FBF7D08">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6.</w:t>
      </w:r>
      <w:r>
        <w:rPr>
          <w:rFonts w:hint="eastAsia" w:ascii="宋体" w:hAnsi="宋体" w:eastAsia="宋体" w:cs="宋体"/>
          <w:color w:val="auto"/>
          <w:sz w:val="24"/>
          <w:lang w:val="zh-CN"/>
        </w:rPr>
        <w:t>乙方提供的货物在质量保证期内，因设计、工艺或材料的缺陷和其它质量原因造成的问题，由乙方负责，费用从质保金中扣除，不足另补。</w:t>
      </w:r>
    </w:p>
    <w:p w14:paraId="627712D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7.</w:t>
      </w:r>
      <w:r>
        <w:rPr>
          <w:rFonts w:hint="eastAsia" w:ascii="宋体" w:hAnsi="宋体" w:eastAsia="宋体" w:cs="宋体"/>
          <w:color w:val="auto"/>
          <w:sz w:val="24"/>
          <w:lang w:val="zh-CN"/>
        </w:rPr>
        <w:t>其它违约行为按违约货款额</w:t>
      </w:r>
      <w:r>
        <w:rPr>
          <w:rFonts w:hint="eastAsia" w:ascii="宋体" w:hAnsi="宋体" w:eastAsia="宋体" w:cs="宋体"/>
          <w:color w:val="auto"/>
          <w:sz w:val="24"/>
        </w:rPr>
        <w:t>5%</w:t>
      </w:r>
      <w:r>
        <w:rPr>
          <w:rFonts w:hint="eastAsia" w:ascii="宋体" w:hAnsi="宋体" w:eastAsia="宋体" w:cs="宋体"/>
          <w:color w:val="auto"/>
          <w:sz w:val="24"/>
          <w:lang w:val="zh-CN"/>
        </w:rPr>
        <w:t>收取违约金并赔偿经济损失。</w:t>
      </w:r>
    </w:p>
    <w:p w14:paraId="5966039E">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zh-CN"/>
        </w:rPr>
        <w:t>七、不可抗力</w:t>
      </w:r>
    </w:p>
    <w:p w14:paraId="6168524C">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zh-CN"/>
        </w:rPr>
        <w:t>不可抗力使合同的某些内容有变更必要的，双方应通过协商在</w:t>
      </w:r>
      <w:r>
        <w:rPr>
          <w:rFonts w:hint="eastAsia" w:ascii="宋体" w:hAnsi="宋体" w:eastAsia="宋体" w:cs="宋体"/>
          <w:color w:val="auto"/>
          <w:sz w:val="24"/>
          <w:u w:val="single"/>
        </w:rPr>
        <w:t>30</w:t>
      </w:r>
      <w:r>
        <w:rPr>
          <w:rFonts w:hint="eastAsia" w:ascii="宋体" w:hAnsi="宋体" w:eastAsia="宋体" w:cs="宋体"/>
          <w:color w:val="auto"/>
          <w:sz w:val="24"/>
          <w:lang w:val="zh-CN"/>
        </w:rPr>
        <w:t>天内达成进一步履行合同的协议，因不可抗力致使合同不能履行的，合同终止。</w:t>
      </w:r>
    </w:p>
    <w:p w14:paraId="187114F6">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zh-CN"/>
        </w:rPr>
        <w:t>除法律、法规规定的不可抗力情形外，双方约定出现</w:t>
      </w:r>
      <w:r>
        <w:rPr>
          <w:rFonts w:hint="eastAsia" w:ascii="宋体" w:hAnsi="宋体" w:eastAsia="宋体" w:cs="宋体"/>
          <w:color w:val="auto"/>
          <w:sz w:val="24"/>
          <w:u w:val="single"/>
          <w:lang w:val="zh-CN"/>
        </w:rPr>
        <w:t xml:space="preserve">  </w:t>
      </w:r>
      <w:r>
        <w:rPr>
          <w:rFonts w:hint="eastAsia" w:ascii="宋体" w:hAnsi="宋体" w:eastAsia="宋体" w:cs="宋体"/>
          <w:color w:val="auto"/>
          <w:sz w:val="24"/>
          <w:u w:val="single"/>
        </w:rPr>
        <w:t xml:space="preserve">无  </w:t>
      </w:r>
      <w:r>
        <w:rPr>
          <w:rFonts w:hint="eastAsia" w:ascii="宋体" w:hAnsi="宋体" w:eastAsia="宋体" w:cs="宋体"/>
          <w:color w:val="auto"/>
          <w:sz w:val="24"/>
          <w:lang w:val="zh-CN"/>
        </w:rPr>
        <w:t>情况亦视为不可抗力。</w:t>
      </w:r>
    </w:p>
    <w:p w14:paraId="0543A321">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rPr>
      </w:pPr>
      <w:r>
        <w:rPr>
          <w:rFonts w:hint="eastAsia" w:ascii="宋体" w:hAnsi="宋体" w:eastAsia="宋体" w:cs="宋体"/>
          <w:color w:val="auto"/>
          <w:sz w:val="24"/>
          <w:lang w:val="zh-CN"/>
        </w:rPr>
        <w:t>八、知识产权：</w:t>
      </w:r>
    </w:p>
    <w:p w14:paraId="50AA1514">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rPr>
      </w:pPr>
      <w:r>
        <w:rPr>
          <w:rFonts w:hint="eastAsia" w:ascii="宋体" w:hAnsi="宋体" w:eastAsia="宋体" w:cs="宋体"/>
          <w:color w:val="auto"/>
          <w:sz w:val="24"/>
          <w:lang w:val="zh-CN"/>
        </w:rPr>
        <w:t>九、其他约定：</w:t>
      </w:r>
    </w:p>
    <w:p w14:paraId="3CDA312D">
      <w:pPr>
        <w:pageBreakBefore w:val="0"/>
        <w:kinsoku/>
        <w:overflowPunct/>
        <w:topLinePunct w:val="0"/>
        <w:autoSpaceDE w:val="0"/>
        <w:autoSpaceDN w:val="0"/>
        <w:bidi w:val="0"/>
        <w:adjustRightInd w:val="0"/>
        <w:spacing w:line="360" w:lineRule="auto"/>
        <w:rPr>
          <w:rFonts w:hint="eastAsia" w:ascii="宋体" w:hAnsi="宋体" w:eastAsia="宋体" w:cs="宋体"/>
          <w:color w:val="auto"/>
          <w:sz w:val="24"/>
        </w:rPr>
      </w:pPr>
      <w:r>
        <w:rPr>
          <w:rFonts w:hint="eastAsia" w:ascii="宋体" w:hAnsi="宋体" w:eastAsia="宋体" w:cs="宋体"/>
          <w:color w:val="auto"/>
          <w:sz w:val="24"/>
          <w:lang w:val="zh-CN"/>
        </w:rPr>
        <w:t>十、合同争议解决</w:t>
      </w:r>
    </w:p>
    <w:p w14:paraId="73DA9F9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zh-CN"/>
        </w:rPr>
        <w:t>因产品质量问题发生争议的，应邀请国家认可的质量检测机构进行鉴定。产品符合标准的，鉴定费由甲方承担；产品不符合标准的，鉴定费由乙方承担。</w:t>
      </w:r>
    </w:p>
    <w:p w14:paraId="7098989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zh-CN"/>
        </w:rPr>
        <w:t>因履行本合同引起的或与本合同有关的争议，甲乙双方应首先通过友好协商解决，如果协商不能解决，可向</w:t>
      </w:r>
      <w:r>
        <w:rPr>
          <w:rFonts w:hint="eastAsia" w:ascii="宋体" w:hAnsi="宋体" w:eastAsia="宋体" w:cs="宋体"/>
          <w:color w:val="auto"/>
          <w:sz w:val="24"/>
          <w:u w:val="single"/>
          <w:lang w:val="zh-CN"/>
        </w:rPr>
        <w:t>甲方</w:t>
      </w:r>
      <w:r>
        <w:rPr>
          <w:rFonts w:hint="eastAsia" w:ascii="宋体" w:hAnsi="宋体" w:eastAsia="宋体" w:cs="宋体"/>
          <w:color w:val="auto"/>
          <w:sz w:val="24"/>
          <w:lang w:val="zh-CN"/>
        </w:rPr>
        <w:t>所在地仲裁委员会申请仲裁或向甲方所在地人民法院提起诉讼。</w:t>
      </w:r>
    </w:p>
    <w:p w14:paraId="42700BF4">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lang w:val="zh-CN"/>
        </w:rPr>
        <w:t>诉讼期间，本合同继续履行。</w:t>
      </w:r>
    </w:p>
    <w:p w14:paraId="676ED1FA">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zh-CN"/>
        </w:rPr>
        <w:t>十一、合同生效及其它</w:t>
      </w:r>
      <w:r>
        <w:rPr>
          <w:rFonts w:hint="eastAsia" w:ascii="宋体" w:hAnsi="宋体" w:eastAsia="宋体" w:cs="宋体"/>
          <w:color w:val="auto"/>
          <w:sz w:val="24"/>
        </w:rPr>
        <w:t>：</w:t>
      </w:r>
    </w:p>
    <w:p w14:paraId="0BFD506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zh-CN"/>
        </w:rPr>
        <w:t>本合同一式</w:t>
      </w:r>
      <w:r>
        <w:rPr>
          <w:rFonts w:hint="eastAsia" w:eastAsia="宋体" w:cs="宋体"/>
          <w:color w:val="auto"/>
          <w:sz w:val="24"/>
          <w:lang w:val="en-US" w:eastAsia="zh-CN"/>
        </w:rPr>
        <w:t>八</w:t>
      </w:r>
      <w:r>
        <w:rPr>
          <w:rFonts w:hint="eastAsia" w:ascii="宋体" w:hAnsi="宋体" w:eastAsia="宋体" w:cs="宋体"/>
          <w:color w:val="auto"/>
          <w:sz w:val="24"/>
          <w:lang w:val="zh-CN"/>
        </w:rPr>
        <w:t>份，经双方签字，并加盖公章即为生效。</w:t>
      </w:r>
    </w:p>
    <w:p w14:paraId="1AB01713">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eastAsia="宋体" w:cs="宋体"/>
          <w:color w:val="auto"/>
          <w:sz w:val="24"/>
          <w:lang w:val="zh-CN"/>
        </w:rPr>
        <w:t>本合同未尽事宜，按</w:t>
      </w:r>
      <w:r>
        <w:rPr>
          <w:rFonts w:hint="eastAsia" w:eastAsia="宋体" w:cs="宋体"/>
          <w:color w:val="auto"/>
          <w:sz w:val="24"/>
          <w:lang w:val="zh-CN"/>
        </w:rPr>
        <w:t>民法典</w:t>
      </w:r>
      <w:r>
        <w:rPr>
          <w:rFonts w:hint="eastAsia" w:ascii="宋体" w:hAnsi="宋体" w:eastAsia="宋体" w:cs="宋体"/>
          <w:color w:val="auto"/>
          <w:sz w:val="24"/>
          <w:lang w:val="zh-CN"/>
        </w:rPr>
        <w:t>有关规定处理。</w:t>
      </w:r>
    </w:p>
    <w:p w14:paraId="4285B3BB">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rPr>
        <w:t>3.</w:t>
      </w:r>
      <w:r>
        <w:rPr>
          <w:rFonts w:hint="eastAsia" w:ascii="宋体" w:hAnsi="宋体" w:eastAsia="宋体" w:cs="宋体"/>
          <w:color w:val="auto"/>
          <w:sz w:val="24"/>
          <w:lang w:val="zh-CN"/>
        </w:rPr>
        <w:t>本合同的组成包含《合同通用条款》，可自行在青海政府采购网下载《合同通用条款》。</w:t>
      </w:r>
    </w:p>
    <w:p w14:paraId="47B35DDC">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p w14:paraId="7408AE2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p w14:paraId="38D98924">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p w14:paraId="619ECAF1">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zh-CN"/>
        </w:rPr>
        <w:t>甲方（盖章）：</w:t>
      </w:r>
      <w:r>
        <w:rPr>
          <w:rFonts w:hint="eastAsia" w:ascii="宋体" w:hAnsi="宋体" w:eastAsia="宋体" w:cs="宋体"/>
          <w:color w:val="auto"/>
          <w:sz w:val="24"/>
        </w:rPr>
        <w:t xml:space="preserve">                         </w:t>
      </w:r>
      <w:r>
        <w:rPr>
          <w:rFonts w:hint="eastAsia" w:ascii="宋体" w:hAnsi="宋体" w:eastAsia="宋体" w:cs="宋体"/>
          <w:color w:val="auto"/>
          <w:sz w:val="24"/>
          <w:lang w:val="zh-CN"/>
        </w:rPr>
        <w:t>乙方（盖章）：</w:t>
      </w:r>
    </w:p>
    <w:p w14:paraId="75FBC4F7">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zh-CN"/>
        </w:rPr>
        <w:t>法定代表人或委托代理人</w:t>
      </w:r>
      <w:r>
        <w:rPr>
          <w:rFonts w:hint="eastAsia" w:ascii="宋体" w:hAnsi="宋体" w:eastAsia="宋体" w:cs="宋体"/>
          <w:color w:val="auto"/>
          <w:sz w:val="24"/>
        </w:rPr>
        <w:t xml:space="preserve">：               </w:t>
      </w:r>
      <w:r>
        <w:rPr>
          <w:rFonts w:hint="eastAsia" w:ascii="宋体" w:hAnsi="宋体" w:eastAsia="宋体" w:cs="宋体"/>
          <w:color w:val="auto"/>
          <w:sz w:val="24"/>
          <w:lang w:val="zh-CN"/>
        </w:rPr>
        <w:t>法定代表人或委托代理人</w:t>
      </w:r>
      <w:r>
        <w:rPr>
          <w:rFonts w:hint="eastAsia" w:ascii="宋体" w:hAnsi="宋体" w:eastAsia="宋体" w:cs="宋体"/>
          <w:color w:val="auto"/>
          <w:sz w:val="24"/>
        </w:rPr>
        <w:t>：</w:t>
      </w:r>
    </w:p>
    <w:p w14:paraId="4759C054">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val="zh-CN"/>
        </w:rPr>
        <w:t>开户银行：</w:t>
      </w:r>
      <w:r>
        <w:rPr>
          <w:rFonts w:hint="eastAsia" w:ascii="宋体" w:hAnsi="宋体" w:eastAsia="宋体" w:cs="宋体"/>
          <w:color w:val="auto"/>
          <w:sz w:val="24"/>
        </w:rPr>
        <w:t xml:space="preserve">     </w:t>
      </w:r>
    </w:p>
    <w:p w14:paraId="2C83911E">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zh-CN"/>
        </w:rPr>
        <w:t>联系电话：</w:t>
      </w:r>
      <w:r>
        <w:rPr>
          <w:rFonts w:hint="eastAsia" w:ascii="宋体" w:hAnsi="宋体" w:eastAsia="宋体" w:cs="宋体"/>
          <w:color w:val="auto"/>
          <w:sz w:val="24"/>
        </w:rPr>
        <w:t xml:space="preserve">                             </w:t>
      </w:r>
      <w:r>
        <w:rPr>
          <w:rFonts w:hint="eastAsia" w:ascii="宋体" w:hAnsi="宋体" w:eastAsia="宋体" w:cs="宋体"/>
          <w:color w:val="auto"/>
          <w:sz w:val="24"/>
          <w:lang w:val="zh-CN"/>
        </w:rPr>
        <w:t>账号：</w:t>
      </w:r>
    </w:p>
    <w:p w14:paraId="727E28D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rPr>
        <w:t xml:space="preserve">                                       </w:t>
      </w:r>
      <w:r>
        <w:rPr>
          <w:rFonts w:hint="eastAsia" w:ascii="宋体" w:hAnsi="宋体" w:eastAsia="宋体" w:cs="宋体"/>
          <w:color w:val="auto"/>
          <w:sz w:val="24"/>
          <w:lang w:val="zh-CN"/>
        </w:rPr>
        <w:t>联系电话：</w:t>
      </w:r>
    </w:p>
    <w:p w14:paraId="74D840F3">
      <w:pPr>
        <w:pageBreakBefore w:val="0"/>
        <w:kinsoku/>
        <w:overflowPunct/>
        <w:topLinePunct w:val="0"/>
        <w:autoSpaceDE w:val="0"/>
        <w:autoSpaceDN w:val="0"/>
        <w:bidi w:val="0"/>
        <w:adjustRightInd w:val="0"/>
        <w:spacing w:line="360" w:lineRule="auto"/>
        <w:ind w:firstLine="1320" w:firstLineChars="550"/>
        <w:rPr>
          <w:rFonts w:hint="eastAsia" w:ascii="宋体" w:hAnsi="宋体" w:eastAsia="宋体" w:cs="宋体"/>
          <w:color w:val="auto"/>
          <w:sz w:val="24"/>
          <w:lang w:val="zh-CN"/>
        </w:rPr>
      </w:pPr>
      <w:r>
        <w:rPr>
          <w:rFonts w:hint="eastAsia" w:ascii="宋体" w:hAnsi="宋体" w:eastAsia="宋体" w:cs="宋体"/>
          <w:color w:val="auto"/>
          <w:sz w:val="24"/>
          <w:lang w:val="zh-CN"/>
        </w:rPr>
        <w:t>签约时间：</w:t>
      </w:r>
      <w:r>
        <w:rPr>
          <w:rFonts w:hint="eastAsia" w:ascii="宋体" w:hAnsi="宋体" w:eastAsia="宋体" w:cs="宋体"/>
          <w:color w:val="auto"/>
          <w:sz w:val="24"/>
        </w:rPr>
        <w:t xml:space="preserve">  </w:t>
      </w:r>
      <w:r>
        <w:rPr>
          <w:rFonts w:hint="eastAsia" w:ascii="宋体" w:hAnsi="宋体" w:eastAsia="宋体" w:cs="宋体"/>
          <w:color w:val="auto"/>
          <w:sz w:val="24"/>
          <w:lang w:val="zh-CN"/>
        </w:rPr>
        <w:t>年</w:t>
      </w:r>
      <w:r>
        <w:rPr>
          <w:rFonts w:hint="eastAsia" w:ascii="宋体" w:hAnsi="宋体" w:eastAsia="宋体" w:cs="宋体"/>
          <w:color w:val="auto"/>
          <w:sz w:val="24"/>
        </w:rPr>
        <w:t xml:space="preserve">  </w:t>
      </w:r>
      <w:r>
        <w:rPr>
          <w:rFonts w:hint="eastAsia" w:ascii="宋体" w:hAnsi="宋体" w:eastAsia="宋体" w:cs="宋体"/>
          <w:color w:val="auto"/>
          <w:sz w:val="24"/>
          <w:lang w:val="zh-CN"/>
        </w:rPr>
        <w:t>月</w:t>
      </w:r>
      <w:r>
        <w:rPr>
          <w:rFonts w:hint="eastAsia" w:ascii="宋体" w:hAnsi="宋体" w:eastAsia="宋体" w:cs="宋体"/>
          <w:color w:val="auto"/>
          <w:sz w:val="24"/>
        </w:rPr>
        <w:t xml:space="preserve">  </w:t>
      </w:r>
      <w:r>
        <w:rPr>
          <w:rFonts w:hint="eastAsia" w:ascii="宋体" w:hAnsi="宋体" w:eastAsia="宋体" w:cs="宋体"/>
          <w:color w:val="auto"/>
          <w:sz w:val="24"/>
          <w:lang w:val="zh-CN"/>
        </w:rPr>
        <w:t>日</w:t>
      </w:r>
    </w:p>
    <w:p w14:paraId="03F1D422">
      <w:pPr>
        <w:pStyle w:val="23"/>
        <w:ind w:left="0" w:leftChars="0" w:firstLine="0" w:firstLineChars="0"/>
        <w:rPr>
          <w:rFonts w:hint="eastAsia"/>
          <w:color w:val="auto"/>
          <w:lang w:val="zh-CN"/>
        </w:rPr>
      </w:pPr>
    </w:p>
    <w:p w14:paraId="7CD621FF">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p w14:paraId="153C14AD">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lang w:val="zh-CN"/>
        </w:rPr>
        <w:t>采购代理机构</w:t>
      </w:r>
      <w:r>
        <w:rPr>
          <w:rFonts w:hint="eastAsia" w:eastAsia="宋体" w:cs="宋体"/>
          <w:color w:val="auto"/>
          <w:sz w:val="24"/>
          <w:lang w:val="zh-CN"/>
        </w:rPr>
        <w:t>（盖章）</w:t>
      </w:r>
      <w:r>
        <w:rPr>
          <w:rFonts w:hint="eastAsia" w:ascii="宋体" w:hAnsi="宋体" w:eastAsia="宋体" w:cs="宋体"/>
          <w:color w:val="auto"/>
          <w:sz w:val="24"/>
          <w:lang w:val="zh-CN"/>
        </w:rPr>
        <w:t>：</w:t>
      </w:r>
      <w:r>
        <w:rPr>
          <w:rFonts w:hint="eastAsia" w:eastAsia="宋体" w:cs="宋体"/>
          <w:color w:val="auto"/>
          <w:sz w:val="24"/>
          <w:lang w:val="zh-CN"/>
        </w:rPr>
        <w:t>青海中旭工程项目管理有限公司</w:t>
      </w:r>
    </w:p>
    <w:p w14:paraId="2ACF6BE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p>
    <w:p w14:paraId="5A635BC2">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lang w:val="zh-CN"/>
        </w:rPr>
      </w:pPr>
      <w:r>
        <w:rPr>
          <w:rFonts w:hint="eastAsia" w:ascii="宋体" w:hAnsi="宋体" w:eastAsia="宋体" w:cs="宋体"/>
          <w:color w:val="auto"/>
          <w:sz w:val="24"/>
          <w:lang w:val="zh-CN"/>
        </w:rPr>
        <w:t>负责人或经办人：</w:t>
      </w:r>
    </w:p>
    <w:p w14:paraId="134A7885">
      <w:pPr>
        <w:pStyle w:val="10"/>
        <w:tabs>
          <w:tab w:val="left" w:pos="3450"/>
          <w:tab w:val="left" w:pos="4057"/>
          <w:tab w:val="left" w:pos="4530"/>
        </w:tabs>
        <w:spacing w:line="360" w:lineRule="auto"/>
        <w:ind w:firstLine="480" w:firstLineChars="200"/>
        <w:jc w:val="left"/>
        <w:rPr>
          <w:rFonts w:hint="eastAsia" w:ascii="宋体" w:hAnsi="宋体" w:eastAsia="宋体" w:cs="宋体"/>
          <w:b w:val="0"/>
          <w:bCs w:val="0"/>
          <w:color w:val="auto"/>
          <w:sz w:val="24"/>
          <w:lang w:val="zh-CN"/>
        </w:rPr>
      </w:pPr>
    </w:p>
    <w:p w14:paraId="6EA1F581">
      <w:pPr>
        <w:pStyle w:val="10"/>
        <w:tabs>
          <w:tab w:val="left" w:pos="3450"/>
          <w:tab w:val="left" w:pos="4057"/>
          <w:tab w:val="left" w:pos="4530"/>
        </w:tabs>
        <w:spacing w:line="360" w:lineRule="auto"/>
        <w:ind w:firstLine="480" w:firstLineChars="200"/>
        <w:jc w:val="left"/>
      </w:pPr>
      <w:r>
        <w:rPr>
          <w:rFonts w:hint="eastAsia" w:ascii="宋体" w:hAnsi="宋体" w:eastAsia="宋体" w:cs="宋体"/>
          <w:b w:val="0"/>
          <w:bCs w:val="0"/>
          <w:color w:val="auto"/>
          <w:sz w:val="24"/>
          <w:lang w:val="zh-CN"/>
        </w:rPr>
        <w:t>合同备案时间：</w:t>
      </w:r>
      <w:r>
        <w:rPr>
          <w:rFonts w:hint="eastAsia" w:ascii="宋体" w:hAnsi="宋体" w:eastAsia="宋体" w:cs="宋体"/>
          <w:b w:val="0"/>
          <w:bCs w:val="0"/>
          <w:color w:val="auto"/>
          <w:sz w:val="24"/>
        </w:rPr>
        <w:t xml:space="preserve">    </w:t>
      </w:r>
      <w:r>
        <w:rPr>
          <w:rFonts w:hint="eastAsia" w:ascii="宋体" w:hAnsi="宋体" w:eastAsia="宋体" w:cs="宋体"/>
          <w:b w:val="0"/>
          <w:bCs w:val="0"/>
          <w:color w:val="auto"/>
          <w:sz w:val="24"/>
          <w:lang w:val="zh-CN"/>
        </w:rPr>
        <w:t>年</w:t>
      </w:r>
      <w:r>
        <w:rPr>
          <w:rFonts w:hint="eastAsia" w:ascii="宋体" w:hAnsi="宋体" w:eastAsia="宋体" w:cs="宋体"/>
          <w:b w:val="0"/>
          <w:bCs w:val="0"/>
          <w:color w:val="auto"/>
          <w:sz w:val="24"/>
        </w:rPr>
        <w:t xml:space="preserve">  </w:t>
      </w:r>
      <w:r>
        <w:rPr>
          <w:rFonts w:hint="eastAsia" w:ascii="宋体" w:hAnsi="宋体" w:eastAsia="宋体" w:cs="宋体"/>
          <w:b w:val="0"/>
          <w:bCs w:val="0"/>
          <w:color w:val="auto"/>
          <w:sz w:val="24"/>
          <w:lang w:val="zh-CN"/>
        </w:rPr>
        <w:t>月</w:t>
      </w:r>
      <w:r>
        <w:rPr>
          <w:rFonts w:hint="eastAsia" w:ascii="宋体" w:hAnsi="宋体" w:eastAsia="宋体" w:cs="宋体"/>
          <w:b w:val="0"/>
          <w:bCs w:val="0"/>
          <w:color w:val="auto"/>
          <w:sz w:val="24"/>
        </w:rPr>
        <w:t xml:space="preserve">  </w:t>
      </w:r>
      <w:r>
        <w:rPr>
          <w:rFonts w:hint="eastAsia" w:ascii="宋体" w:hAnsi="宋体" w:eastAsia="宋体" w:cs="宋体"/>
          <w:b w:val="0"/>
          <w:bCs w:val="0"/>
          <w:color w:val="auto"/>
          <w:sz w:val="24"/>
          <w:lang w:val="zh-CN"/>
        </w:rPr>
        <w:t>日</w:t>
      </w:r>
    </w:p>
    <w:p w14:paraId="40D3F36C">
      <w:pPr>
        <w:autoSpaceDE w:val="0"/>
        <w:autoSpaceDN w:val="0"/>
        <w:adjustRightInd w:val="0"/>
        <w:spacing w:line="360" w:lineRule="auto"/>
        <w:jc w:val="center"/>
        <w:rPr>
          <w:rFonts w:hint="eastAsia" w:eastAsia="宋体"/>
          <w:b/>
          <w:color w:val="auto"/>
          <w:sz w:val="28"/>
          <w:szCs w:val="28"/>
          <w:highlight w:val="none"/>
          <w:lang w:val="zh-CN"/>
        </w:rPr>
      </w:pPr>
    </w:p>
    <w:p w14:paraId="78FA1894">
      <w:pPr>
        <w:autoSpaceDE w:val="0"/>
        <w:autoSpaceDN w:val="0"/>
        <w:adjustRightInd w:val="0"/>
        <w:spacing w:line="360" w:lineRule="auto"/>
        <w:jc w:val="center"/>
        <w:rPr>
          <w:rFonts w:hint="eastAsia" w:eastAsia="宋体"/>
          <w:b/>
          <w:color w:val="auto"/>
          <w:sz w:val="28"/>
          <w:szCs w:val="28"/>
          <w:highlight w:val="none"/>
          <w:lang w:val="zh-CN"/>
        </w:rPr>
      </w:pPr>
    </w:p>
    <w:p w14:paraId="0A9AE83A">
      <w:pPr>
        <w:autoSpaceDE w:val="0"/>
        <w:autoSpaceDN w:val="0"/>
        <w:adjustRightInd w:val="0"/>
        <w:spacing w:line="360" w:lineRule="auto"/>
        <w:jc w:val="center"/>
        <w:rPr>
          <w:rFonts w:hint="eastAsia" w:eastAsia="宋体"/>
          <w:b/>
          <w:color w:val="auto"/>
          <w:sz w:val="28"/>
          <w:szCs w:val="28"/>
          <w:highlight w:val="none"/>
          <w:lang w:val="zh-CN"/>
        </w:rPr>
      </w:pPr>
    </w:p>
    <w:p w14:paraId="7EE53C40">
      <w:pPr>
        <w:autoSpaceDE w:val="0"/>
        <w:autoSpaceDN w:val="0"/>
        <w:adjustRightInd w:val="0"/>
        <w:spacing w:line="360" w:lineRule="auto"/>
        <w:jc w:val="center"/>
        <w:rPr>
          <w:rFonts w:hint="eastAsia" w:eastAsia="宋体"/>
          <w:b/>
          <w:color w:val="auto"/>
          <w:sz w:val="28"/>
          <w:szCs w:val="28"/>
          <w:highlight w:val="none"/>
          <w:lang w:val="zh-CN"/>
        </w:rPr>
      </w:pPr>
    </w:p>
    <w:p w14:paraId="750CBE93">
      <w:pPr>
        <w:autoSpaceDE w:val="0"/>
        <w:autoSpaceDN w:val="0"/>
        <w:adjustRightInd w:val="0"/>
        <w:spacing w:line="360" w:lineRule="auto"/>
        <w:jc w:val="center"/>
        <w:rPr>
          <w:rFonts w:hint="eastAsia" w:eastAsia="宋体"/>
          <w:b/>
          <w:color w:val="auto"/>
          <w:sz w:val="28"/>
          <w:szCs w:val="28"/>
          <w:highlight w:val="none"/>
          <w:lang w:val="zh-CN"/>
        </w:rPr>
      </w:pPr>
    </w:p>
    <w:p w14:paraId="6D71BA1A">
      <w:pPr>
        <w:autoSpaceDE w:val="0"/>
        <w:autoSpaceDN w:val="0"/>
        <w:adjustRightInd w:val="0"/>
        <w:spacing w:line="360" w:lineRule="auto"/>
        <w:jc w:val="center"/>
        <w:rPr>
          <w:rFonts w:hint="eastAsia" w:eastAsia="宋体"/>
          <w:b/>
          <w:color w:val="auto"/>
          <w:sz w:val="28"/>
          <w:szCs w:val="28"/>
          <w:highlight w:val="none"/>
          <w:lang w:val="zh-CN"/>
        </w:rPr>
      </w:pPr>
    </w:p>
    <w:p w14:paraId="494001F2">
      <w:pPr>
        <w:autoSpaceDE w:val="0"/>
        <w:autoSpaceDN w:val="0"/>
        <w:adjustRightInd w:val="0"/>
        <w:spacing w:line="360" w:lineRule="auto"/>
        <w:jc w:val="center"/>
        <w:rPr>
          <w:rFonts w:hint="eastAsia" w:eastAsia="宋体"/>
          <w:b/>
          <w:color w:val="auto"/>
          <w:sz w:val="28"/>
          <w:szCs w:val="28"/>
          <w:highlight w:val="none"/>
          <w:lang w:val="zh-CN"/>
        </w:rPr>
      </w:pPr>
    </w:p>
    <w:p w14:paraId="57985128">
      <w:pPr>
        <w:autoSpaceDE w:val="0"/>
        <w:autoSpaceDN w:val="0"/>
        <w:adjustRightInd w:val="0"/>
        <w:spacing w:line="360" w:lineRule="auto"/>
        <w:jc w:val="center"/>
        <w:rPr>
          <w:rFonts w:hint="eastAsia" w:eastAsia="宋体"/>
          <w:b/>
          <w:color w:val="auto"/>
          <w:sz w:val="28"/>
          <w:szCs w:val="28"/>
          <w:highlight w:val="none"/>
          <w:lang w:val="zh-CN"/>
        </w:rPr>
      </w:pPr>
    </w:p>
    <w:p w14:paraId="36575CF2">
      <w:pPr>
        <w:autoSpaceDE w:val="0"/>
        <w:autoSpaceDN w:val="0"/>
        <w:adjustRightInd w:val="0"/>
        <w:spacing w:line="360" w:lineRule="auto"/>
        <w:jc w:val="center"/>
        <w:rPr>
          <w:rFonts w:hint="eastAsia" w:eastAsia="宋体"/>
          <w:b/>
          <w:color w:val="auto"/>
          <w:sz w:val="28"/>
          <w:szCs w:val="28"/>
          <w:highlight w:val="none"/>
          <w:lang w:val="zh-CN"/>
        </w:rPr>
      </w:pPr>
    </w:p>
    <w:p w14:paraId="2FF93677">
      <w:pPr>
        <w:autoSpaceDE w:val="0"/>
        <w:autoSpaceDN w:val="0"/>
        <w:adjustRightInd w:val="0"/>
        <w:spacing w:line="360" w:lineRule="auto"/>
        <w:jc w:val="center"/>
        <w:rPr>
          <w:rFonts w:hint="eastAsia" w:eastAsia="宋体"/>
          <w:b/>
          <w:color w:val="auto"/>
          <w:sz w:val="28"/>
          <w:szCs w:val="28"/>
          <w:highlight w:val="none"/>
          <w:lang w:val="zh-CN"/>
        </w:rPr>
      </w:pPr>
    </w:p>
    <w:p w14:paraId="2E5C4094">
      <w:pPr>
        <w:autoSpaceDE w:val="0"/>
        <w:autoSpaceDN w:val="0"/>
        <w:adjustRightInd w:val="0"/>
        <w:spacing w:line="360" w:lineRule="auto"/>
        <w:jc w:val="center"/>
        <w:rPr>
          <w:rFonts w:hint="eastAsia" w:eastAsia="宋体"/>
          <w:b/>
          <w:color w:val="auto"/>
          <w:sz w:val="28"/>
          <w:szCs w:val="28"/>
          <w:highlight w:val="none"/>
          <w:lang w:val="zh-CN"/>
        </w:rPr>
      </w:pPr>
    </w:p>
    <w:p w14:paraId="6CA1E909">
      <w:pPr>
        <w:autoSpaceDE w:val="0"/>
        <w:autoSpaceDN w:val="0"/>
        <w:adjustRightInd w:val="0"/>
        <w:spacing w:line="360" w:lineRule="auto"/>
        <w:jc w:val="center"/>
        <w:rPr>
          <w:rFonts w:hint="eastAsia" w:eastAsia="宋体"/>
          <w:b/>
          <w:color w:val="auto"/>
          <w:sz w:val="28"/>
          <w:szCs w:val="28"/>
          <w:highlight w:val="none"/>
          <w:lang w:val="zh-CN"/>
        </w:rPr>
      </w:pPr>
    </w:p>
    <w:p w14:paraId="17989ACF">
      <w:pPr>
        <w:autoSpaceDE w:val="0"/>
        <w:autoSpaceDN w:val="0"/>
        <w:adjustRightInd w:val="0"/>
        <w:spacing w:line="360" w:lineRule="auto"/>
        <w:jc w:val="both"/>
        <w:rPr>
          <w:rFonts w:hint="eastAsia" w:eastAsia="宋体"/>
          <w:b/>
          <w:color w:val="auto"/>
          <w:sz w:val="28"/>
          <w:szCs w:val="28"/>
          <w:highlight w:val="none"/>
          <w:lang w:val="zh-CN"/>
        </w:rPr>
      </w:pPr>
    </w:p>
    <w:p w14:paraId="2493FADC">
      <w:pPr>
        <w:autoSpaceDE w:val="0"/>
        <w:autoSpaceDN w:val="0"/>
        <w:adjustRightInd w:val="0"/>
        <w:spacing w:line="360" w:lineRule="auto"/>
        <w:jc w:val="center"/>
        <w:rPr>
          <w:rFonts w:hint="eastAsia" w:eastAsia="宋体"/>
          <w:b/>
          <w:color w:val="auto"/>
          <w:sz w:val="28"/>
          <w:szCs w:val="28"/>
          <w:highlight w:val="none"/>
          <w:lang w:val="zh-CN"/>
        </w:rPr>
      </w:pPr>
      <w:r>
        <w:rPr>
          <w:rFonts w:hint="eastAsia" w:eastAsia="宋体"/>
          <w:b/>
          <w:color w:val="auto"/>
          <w:sz w:val="28"/>
          <w:szCs w:val="28"/>
          <w:highlight w:val="none"/>
          <w:lang w:val="zh-CN"/>
        </w:rPr>
        <w:t>合同通用条款</w:t>
      </w:r>
      <w:bookmarkEnd w:id="415"/>
    </w:p>
    <w:p w14:paraId="4888340F">
      <w:pPr>
        <w:autoSpaceDE w:val="0"/>
        <w:autoSpaceDN w:val="0"/>
        <w:adjustRightInd w:val="0"/>
        <w:spacing w:line="360" w:lineRule="auto"/>
        <w:jc w:val="center"/>
        <w:rPr>
          <w:rFonts w:hint="eastAsia" w:eastAsia="宋体"/>
          <w:color w:val="auto"/>
          <w:sz w:val="28"/>
          <w:szCs w:val="28"/>
          <w:highlight w:val="none"/>
        </w:rPr>
      </w:pPr>
      <w:r>
        <w:rPr>
          <w:rFonts w:hint="eastAsia" w:eastAsia="宋体"/>
          <w:color w:val="auto"/>
          <w:sz w:val="28"/>
          <w:szCs w:val="28"/>
          <w:highlight w:val="none"/>
        </w:rPr>
        <w:t xml:space="preserve"> </w:t>
      </w:r>
    </w:p>
    <w:p w14:paraId="003E943D">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根据《中华人民共和国民法典》《中华人民共和国政府采购法》的规定，合同双方经协商达成一致，自愿订立本合同，遵循公平原则明确双方的权利、义务，确保双方诚实守信地履行合同。</w:t>
      </w:r>
    </w:p>
    <w:p w14:paraId="4B472038">
      <w:pPr>
        <w:autoSpaceDE w:val="0"/>
        <w:autoSpaceDN w:val="0"/>
        <w:adjustRightInd w:val="0"/>
        <w:spacing w:line="360" w:lineRule="auto"/>
        <w:ind w:firstLine="562"/>
        <w:rPr>
          <w:rFonts w:hint="eastAsia" w:eastAsia="宋体"/>
          <w:b/>
          <w:color w:val="auto"/>
          <w:sz w:val="28"/>
          <w:szCs w:val="28"/>
          <w:highlight w:val="none"/>
        </w:rPr>
      </w:pPr>
      <w:bookmarkStart w:id="416" w:name="_Toc21609"/>
      <w:r>
        <w:rPr>
          <w:rFonts w:hint="eastAsia" w:eastAsia="宋体"/>
          <w:b/>
          <w:color w:val="auto"/>
          <w:sz w:val="28"/>
          <w:szCs w:val="28"/>
          <w:highlight w:val="none"/>
        </w:rPr>
        <w:t>1.</w:t>
      </w:r>
      <w:r>
        <w:rPr>
          <w:rFonts w:hint="eastAsia" w:eastAsia="宋体"/>
          <w:b/>
          <w:color w:val="auto"/>
          <w:sz w:val="28"/>
          <w:szCs w:val="28"/>
          <w:highlight w:val="none"/>
          <w:lang w:val="zh-CN"/>
        </w:rPr>
        <w:t>定义</w:t>
      </w:r>
      <w:bookmarkEnd w:id="416"/>
    </w:p>
    <w:p w14:paraId="6DFDF434">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本合同中的下列术语应解释为：</w:t>
      </w:r>
    </w:p>
    <w:p w14:paraId="13FF59AC">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 </w:t>
      </w:r>
      <w:r>
        <w:rPr>
          <w:rFonts w:hint="eastAsia" w:eastAsia="宋体"/>
          <w:color w:val="auto"/>
          <w:sz w:val="24"/>
          <w:highlight w:val="none"/>
          <w:lang w:val="zh-CN"/>
        </w:rPr>
        <w:t>“合同”指甲乙双方签署的、载明的甲乙双方权利义务的协议，包括所有的附件、附录和上述文件所提到的构成合同的所有文件。</w:t>
      </w:r>
    </w:p>
    <w:p w14:paraId="2FC707CD">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1.2 </w:t>
      </w:r>
      <w:r>
        <w:rPr>
          <w:rFonts w:hint="eastAsia" w:eastAsia="宋体"/>
          <w:color w:val="auto"/>
          <w:sz w:val="24"/>
          <w:highlight w:val="none"/>
          <w:lang w:val="zh-CN"/>
        </w:rPr>
        <w:t>“合同金额”指根据合同规定，乙方在正确地完全履行合同义务后甲方应付给乙方的价款。</w:t>
      </w:r>
    </w:p>
    <w:p w14:paraId="4002B7FC">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1.3 </w:t>
      </w:r>
      <w:r>
        <w:rPr>
          <w:rFonts w:hint="eastAsia" w:eastAsia="宋体"/>
          <w:color w:val="auto"/>
          <w:sz w:val="24"/>
          <w:highlight w:val="none"/>
          <w:lang w:val="zh-CN"/>
        </w:rPr>
        <w:t>“合同条款”指本合同条款。</w:t>
      </w:r>
    </w:p>
    <w:p w14:paraId="5BB0E65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1.4 </w:t>
      </w:r>
      <w:r>
        <w:rPr>
          <w:rFonts w:hint="eastAsia" w:eastAsia="宋体"/>
          <w:color w:val="auto"/>
          <w:sz w:val="24"/>
          <w:highlight w:val="none"/>
          <w:lang w:val="zh-CN"/>
        </w:rPr>
        <w:t>“货物”指乙方根据合同约定须向甲方提供的一切产品、设备、机械、仪表、备件等，包括辅助工具、使用手册等相关资料。</w:t>
      </w:r>
    </w:p>
    <w:p w14:paraId="7931F9E1">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1.5 </w:t>
      </w:r>
      <w:r>
        <w:rPr>
          <w:rFonts w:hint="eastAsia" w:eastAsia="宋体"/>
          <w:color w:val="auto"/>
          <w:sz w:val="24"/>
          <w:highlight w:val="none"/>
          <w:lang w:val="zh-CN"/>
        </w:rPr>
        <w:t>“服务”指根据本合同规定乙方承担与供货有关的辅助服务，如运输、保险、调试、提供技术援助、培训和合同中规定乙方应承担的其它义务。</w:t>
      </w:r>
    </w:p>
    <w:p w14:paraId="0E7BCDB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1.6 </w:t>
      </w:r>
      <w:r>
        <w:rPr>
          <w:rFonts w:hint="eastAsia" w:eastAsia="宋体"/>
          <w:color w:val="auto"/>
          <w:sz w:val="24"/>
          <w:highlight w:val="none"/>
          <w:lang w:val="zh-CN"/>
        </w:rPr>
        <w:t>“甲方”指购买货物和服务的单位。</w:t>
      </w:r>
    </w:p>
    <w:p w14:paraId="61F60AD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1.7 </w:t>
      </w:r>
      <w:r>
        <w:rPr>
          <w:rFonts w:hint="eastAsia" w:eastAsia="宋体"/>
          <w:color w:val="auto"/>
          <w:sz w:val="24"/>
          <w:highlight w:val="none"/>
          <w:lang w:val="zh-CN"/>
        </w:rPr>
        <w:t>“乙方”指提供本合同条款下货物和服务的公司或其他实体。</w:t>
      </w:r>
    </w:p>
    <w:p w14:paraId="7398B547">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1.8 </w:t>
      </w:r>
      <w:r>
        <w:rPr>
          <w:rFonts w:hint="eastAsia" w:eastAsia="宋体"/>
          <w:color w:val="auto"/>
          <w:sz w:val="24"/>
          <w:highlight w:val="none"/>
          <w:lang w:val="zh-CN"/>
        </w:rPr>
        <w:t>“现场”指合同规定货物将要运至指定地点。</w:t>
      </w:r>
    </w:p>
    <w:p w14:paraId="4177D28D">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1.9 </w:t>
      </w:r>
      <w:r>
        <w:rPr>
          <w:rFonts w:hint="eastAsia" w:eastAsia="宋体"/>
          <w:color w:val="auto"/>
          <w:sz w:val="24"/>
          <w:highlight w:val="none"/>
          <w:lang w:val="zh-CN"/>
        </w:rPr>
        <w:t>“验收”指合同双方依据强制性的国家技术质量规范和合同约定，确认合同条款下的货物符合合同规定的活动。</w:t>
      </w:r>
    </w:p>
    <w:p w14:paraId="6680606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1.10 </w:t>
      </w:r>
      <w:r>
        <w:rPr>
          <w:rFonts w:hint="eastAsia" w:eastAsia="宋体"/>
          <w:color w:val="auto"/>
          <w:sz w:val="24"/>
          <w:highlight w:val="none"/>
          <w:lang w:val="zh-CN"/>
        </w:rPr>
        <w:t>原厂商：产品制造商或其在中国境内设立的办事或技术服务机构。除另有说明外，本合同文件所述的制造商、产品制造商、制造厂家、产品制造厂家均为原厂商。</w:t>
      </w:r>
    </w:p>
    <w:p w14:paraId="0C4759EB">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1.11 </w:t>
      </w:r>
      <w:r>
        <w:rPr>
          <w:rFonts w:hint="eastAsia" w:eastAsia="宋体"/>
          <w:color w:val="auto"/>
          <w:sz w:val="24"/>
          <w:highlight w:val="none"/>
          <w:lang w:val="zh-CN"/>
        </w:rPr>
        <w:t>原产地：指产品的生产地，或提供服务的来源地。</w:t>
      </w:r>
    </w:p>
    <w:p w14:paraId="0746B6D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1.12 </w:t>
      </w:r>
      <w:r>
        <w:rPr>
          <w:rFonts w:hint="eastAsia" w:eastAsia="宋体"/>
          <w:color w:val="auto"/>
          <w:sz w:val="24"/>
          <w:highlight w:val="none"/>
          <w:lang w:val="zh-CN"/>
        </w:rPr>
        <w:t>“工作日”指国家法定工作日，“天”指日历天数。</w:t>
      </w:r>
    </w:p>
    <w:p w14:paraId="1C403653">
      <w:pPr>
        <w:autoSpaceDE w:val="0"/>
        <w:autoSpaceDN w:val="0"/>
        <w:adjustRightInd w:val="0"/>
        <w:spacing w:line="360" w:lineRule="auto"/>
        <w:ind w:firstLine="562"/>
        <w:rPr>
          <w:rFonts w:hint="eastAsia" w:eastAsia="宋体"/>
          <w:b/>
          <w:color w:val="auto"/>
          <w:sz w:val="28"/>
          <w:szCs w:val="28"/>
          <w:highlight w:val="none"/>
        </w:rPr>
      </w:pPr>
      <w:bookmarkStart w:id="417" w:name="_Toc394"/>
      <w:r>
        <w:rPr>
          <w:rFonts w:hint="eastAsia" w:eastAsia="宋体"/>
          <w:b/>
          <w:color w:val="auto"/>
          <w:sz w:val="28"/>
          <w:szCs w:val="28"/>
          <w:highlight w:val="none"/>
        </w:rPr>
        <w:t>2.</w:t>
      </w:r>
      <w:r>
        <w:rPr>
          <w:rFonts w:hint="eastAsia" w:eastAsia="宋体"/>
          <w:b/>
          <w:color w:val="auto"/>
          <w:sz w:val="28"/>
          <w:szCs w:val="28"/>
          <w:highlight w:val="none"/>
          <w:lang w:val="zh-CN"/>
        </w:rPr>
        <w:t>技术规格要求</w:t>
      </w:r>
      <w:bookmarkEnd w:id="417"/>
    </w:p>
    <w:p w14:paraId="5C4B8E9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2.1 </w:t>
      </w:r>
      <w:r>
        <w:rPr>
          <w:rFonts w:hint="eastAsia" w:eastAsia="宋体"/>
          <w:color w:val="auto"/>
          <w:sz w:val="24"/>
          <w:highlight w:val="none"/>
          <w:lang w:val="zh-CN"/>
        </w:rPr>
        <w:t>本合同条款下提交货物的技术规格要求应等于或优于招响应文件技术规格要求。若技术规格要求中无相应规定，则应符合相应的国家有关部门最新颁布的相应正式标准。</w:t>
      </w:r>
    </w:p>
    <w:p w14:paraId="14AC974D">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2.2 </w:t>
      </w:r>
      <w:r>
        <w:rPr>
          <w:rFonts w:hint="eastAsia" w:eastAsia="宋体"/>
          <w:color w:val="auto"/>
          <w:sz w:val="24"/>
          <w:highlight w:val="none"/>
          <w:lang w:val="zh-CN"/>
        </w:rPr>
        <w:t>乙方应向甲方提供货物及服务有关的标准的中文文本。</w:t>
      </w:r>
    </w:p>
    <w:p w14:paraId="52A6A57E">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2.3 </w:t>
      </w:r>
      <w:r>
        <w:rPr>
          <w:rFonts w:hint="eastAsia" w:eastAsia="宋体"/>
          <w:color w:val="auto"/>
          <w:sz w:val="24"/>
          <w:highlight w:val="none"/>
          <w:lang w:val="zh-CN"/>
        </w:rPr>
        <w:t>除非技术规范中另有规定，计量单位均采用中华人民共和国法定计量单位。</w:t>
      </w:r>
    </w:p>
    <w:p w14:paraId="05D40263">
      <w:pPr>
        <w:autoSpaceDE w:val="0"/>
        <w:autoSpaceDN w:val="0"/>
        <w:adjustRightInd w:val="0"/>
        <w:spacing w:line="360" w:lineRule="auto"/>
        <w:ind w:firstLine="562"/>
        <w:rPr>
          <w:rFonts w:hint="eastAsia" w:eastAsia="宋体"/>
          <w:b/>
          <w:color w:val="auto"/>
          <w:sz w:val="28"/>
          <w:szCs w:val="28"/>
          <w:highlight w:val="none"/>
        </w:rPr>
      </w:pPr>
      <w:bookmarkStart w:id="418" w:name="_Toc1676"/>
      <w:r>
        <w:rPr>
          <w:rFonts w:hint="eastAsia" w:eastAsia="宋体"/>
          <w:b/>
          <w:color w:val="auto"/>
          <w:sz w:val="28"/>
          <w:szCs w:val="28"/>
          <w:highlight w:val="none"/>
        </w:rPr>
        <w:t>3.</w:t>
      </w:r>
      <w:r>
        <w:rPr>
          <w:rFonts w:hint="eastAsia" w:eastAsia="宋体"/>
          <w:b/>
          <w:color w:val="auto"/>
          <w:sz w:val="28"/>
          <w:szCs w:val="28"/>
          <w:highlight w:val="none"/>
          <w:lang w:val="zh-CN"/>
        </w:rPr>
        <w:t>合同范围</w:t>
      </w:r>
      <w:bookmarkEnd w:id="418"/>
    </w:p>
    <w:p w14:paraId="764F089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3.1 </w:t>
      </w:r>
      <w:r>
        <w:rPr>
          <w:rFonts w:hint="eastAsia" w:eastAsia="宋体"/>
          <w:color w:val="auto"/>
          <w:sz w:val="24"/>
          <w:highlight w:val="none"/>
          <w:lang w:val="zh-CN"/>
        </w:rPr>
        <w:t>甲方同意从乙方处购买且乙方同意向甲方提供的货物及其附属货物，消耗性材料、专用工具等，包括各项技术服务、技术培训及满足合同货物组装、检验、培训、技术服务、性能测试、正常运行及维修所必需的技术文件。</w:t>
      </w:r>
    </w:p>
    <w:p w14:paraId="24CC008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3.2 </w:t>
      </w:r>
      <w:r>
        <w:rPr>
          <w:rFonts w:hint="eastAsia" w:eastAsia="宋体"/>
          <w:color w:val="auto"/>
          <w:sz w:val="24"/>
          <w:highlight w:val="none"/>
          <w:lang w:val="zh-CN"/>
        </w:rPr>
        <w:t>乙方应负责培训甲方的技术人员。</w:t>
      </w:r>
    </w:p>
    <w:p w14:paraId="6A7334C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3.3 </w:t>
      </w:r>
      <w:r>
        <w:rPr>
          <w:rFonts w:hint="eastAsia" w:eastAsia="宋体"/>
          <w:color w:val="auto"/>
          <w:sz w:val="24"/>
          <w:highlight w:val="none"/>
          <w:lang w:val="zh-CN"/>
        </w:rPr>
        <w:t>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货物大修和维护所需的配件及服务。</w:t>
      </w:r>
    </w:p>
    <w:p w14:paraId="6C582655">
      <w:pPr>
        <w:autoSpaceDE w:val="0"/>
        <w:autoSpaceDN w:val="0"/>
        <w:adjustRightInd w:val="0"/>
        <w:spacing w:line="360" w:lineRule="auto"/>
        <w:ind w:firstLine="562"/>
        <w:rPr>
          <w:rFonts w:hint="eastAsia" w:eastAsia="宋体"/>
          <w:b/>
          <w:color w:val="auto"/>
          <w:sz w:val="28"/>
          <w:szCs w:val="28"/>
          <w:highlight w:val="none"/>
        </w:rPr>
      </w:pPr>
      <w:bookmarkStart w:id="419" w:name="_Toc23233"/>
      <w:r>
        <w:rPr>
          <w:rFonts w:hint="eastAsia" w:eastAsia="宋体"/>
          <w:b/>
          <w:color w:val="auto"/>
          <w:sz w:val="28"/>
          <w:szCs w:val="28"/>
          <w:highlight w:val="none"/>
        </w:rPr>
        <w:t>4.</w:t>
      </w:r>
      <w:r>
        <w:rPr>
          <w:rFonts w:hint="eastAsia" w:eastAsia="宋体"/>
          <w:b/>
          <w:color w:val="auto"/>
          <w:sz w:val="28"/>
          <w:szCs w:val="28"/>
          <w:highlight w:val="none"/>
          <w:lang w:val="zh-CN"/>
        </w:rPr>
        <w:t>合同文件和资料</w:t>
      </w:r>
      <w:bookmarkEnd w:id="419"/>
    </w:p>
    <w:p w14:paraId="5BD9AD2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4.1</w:t>
      </w:r>
      <w:r>
        <w:rPr>
          <w:rFonts w:hint="eastAsia" w:eastAsia="宋体"/>
          <w:color w:val="auto"/>
          <w:sz w:val="24"/>
          <w:highlight w:val="none"/>
          <w:lang w:val="zh-CN"/>
        </w:rPr>
        <w:t>乙方在提供仪器设备时应同时提供中文版相关的技术资料，如目录索引、图纸、操作手册、使用指南、维修指南、服务手册等。</w:t>
      </w:r>
    </w:p>
    <w:p w14:paraId="6F0E255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4.2</w:t>
      </w:r>
      <w:r>
        <w:rPr>
          <w:rFonts w:hint="eastAsia" w:eastAsia="宋体"/>
          <w:color w:val="auto"/>
          <w:sz w:val="24"/>
          <w:highlight w:val="none"/>
          <w:lang w:val="zh-CN"/>
        </w:rPr>
        <w:t>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02964146">
      <w:pPr>
        <w:autoSpaceDE w:val="0"/>
        <w:autoSpaceDN w:val="0"/>
        <w:adjustRightInd w:val="0"/>
        <w:spacing w:line="360" w:lineRule="auto"/>
        <w:ind w:firstLine="562"/>
        <w:rPr>
          <w:rFonts w:hint="eastAsia" w:eastAsia="宋体"/>
          <w:b/>
          <w:color w:val="auto"/>
          <w:sz w:val="28"/>
          <w:szCs w:val="28"/>
          <w:highlight w:val="none"/>
        </w:rPr>
      </w:pPr>
      <w:bookmarkStart w:id="420" w:name="_Toc23333"/>
      <w:r>
        <w:rPr>
          <w:rFonts w:hint="eastAsia" w:eastAsia="宋体"/>
          <w:b/>
          <w:color w:val="auto"/>
          <w:sz w:val="28"/>
          <w:szCs w:val="28"/>
          <w:highlight w:val="none"/>
        </w:rPr>
        <w:t>5.</w:t>
      </w:r>
      <w:r>
        <w:rPr>
          <w:rFonts w:hint="eastAsia" w:eastAsia="宋体"/>
          <w:b/>
          <w:color w:val="auto"/>
          <w:sz w:val="28"/>
          <w:szCs w:val="28"/>
          <w:highlight w:val="none"/>
          <w:lang w:val="zh-CN"/>
        </w:rPr>
        <w:t>知识产权</w:t>
      </w:r>
      <w:bookmarkEnd w:id="420"/>
    </w:p>
    <w:p w14:paraId="46CE4B78">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5.1</w:t>
      </w:r>
      <w:r>
        <w:rPr>
          <w:rFonts w:hint="eastAsia" w:eastAsia="宋体"/>
          <w:color w:val="auto"/>
          <w:sz w:val="24"/>
          <w:highlight w:val="none"/>
          <w:lang w:val="zh-CN"/>
        </w:rPr>
        <w:t>乙方应保证甲方在使用该货物或其任何一部分时不受第三方提出的侵犯专利权、</w:t>
      </w:r>
      <w:r>
        <w:rPr>
          <w:rFonts w:hint="eastAsia" w:eastAsia="宋体"/>
          <w:color w:val="auto"/>
          <w:sz w:val="24"/>
          <w:highlight w:val="none"/>
        </w:rPr>
        <w:t xml:space="preserve"> </w:t>
      </w:r>
      <w:r>
        <w:rPr>
          <w:rFonts w:hint="eastAsia" w:eastAsia="宋体"/>
          <w:color w:val="auto"/>
          <w:sz w:val="24"/>
          <w:highlight w:val="none"/>
          <w:lang w:val="zh-CN"/>
        </w:rPr>
        <w:t>著作权、商标权和工业设计权等的起诉。</w:t>
      </w:r>
    </w:p>
    <w:p w14:paraId="05CE8B8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5.2</w:t>
      </w:r>
      <w:r>
        <w:rPr>
          <w:rFonts w:hint="eastAsia" w:eastAsia="宋体"/>
          <w:color w:val="auto"/>
          <w:sz w:val="24"/>
          <w:highlight w:val="none"/>
          <w:lang w:val="zh-CN"/>
        </w:rPr>
        <w:t>任何第三方提出侵权指控，乙方须与第三方交涉并承担由此产生的一切责任、费用和经济赔偿。</w:t>
      </w:r>
    </w:p>
    <w:p w14:paraId="639BBED8">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5.3</w:t>
      </w:r>
      <w:r>
        <w:rPr>
          <w:rFonts w:hint="eastAsia" w:eastAsia="宋体"/>
          <w:color w:val="auto"/>
          <w:sz w:val="24"/>
          <w:highlight w:val="none"/>
          <w:lang w:val="zh-CN"/>
        </w:rPr>
        <w:t>双方应共同遵守国家有关版权、专利、商标等知识产权方面的法律规定，相互尊重对方的知识产权，对本合同内容、对方的技术秘密和商业秘密负有保密责任。如有违反，违约方负相关法律责任。</w:t>
      </w:r>
    </w:p>
    <w:p w14:paraId="58A20D65">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5.4</w:t>
      </w:r>
      <w:r>
        <w:rPr>
          <w:rFonts w:hint="eastAsia" w:eastAsia="宋体"/>
          <w:color w:val="auto"/>
          <w:sz w:val="24"/>
          <w:highlight w:val="none"/>
          <w:lang w:val="zh-CN"/>
        </w:rPr>
        <w:t>在本合同生效时已经存在并为各方合法拥有或使用的所有技术、资料和信息的知识产权，仍应属于其各自的原权利人所有或享有，另有约定的除外。</w:t>
      </w:r>
    </w:p>
    <w:p w14:paraId="5F3817FC">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5.5</w:t>
      </w:r>
      <w:r>
        <w:rPr>
          <w:rFonts w:hint="eastAsia" w:eastAsia="宋体"/>
          <w:color w:val="auto"/>
          <w:sz w:val="24"/>
          <w:highlight w:val="none"/>
          <w:lang w:val="zh-CN"/>
        </w:rPr>
        <w:t>乙方保证拥有由其提供给甲方的所有软件的合法使用权，并且已获得进行许可的正当授权及其有权将软件许可及其相关材料授权或转让给甲方。甲方可独立对本合同条款下软件产品进行后续开发，不受版权限制。乙方承诺并保证甲方除本协议的付款义务外无需支付任何其它的许可使用费，以非独家的、永久的、全球的、不可撤销的方式使用本合同条款下软件产品。</w:t>
      </w:r>
    </w:p>
    <w:p w14:paraId="56B391DD">
      <w:pPr>
        <w:autoSpaceDE w:val="0"/>
        <w:autoSpaceDN w:val="0"/>
        <w:adjustRightInd w:val="0"/>
        <w:spacing w:line="360" w:lineRule="auto"/>
        <w:ind w:firstLine="562"/>
        <w:rPr>
          <w:rFonts w:hint="eastAsia" w:eastAsia="宋体"/>
          <w:b/>
          <w:color w:val="auto"/>
          <w:sz w:val="28"/>
          <w:szCs w:val="28"/>
          <w:highlight w:val="none"/>
        </w:rPr>
      </w:pPr>
      <w:bookmarkStart w:id="421" w:name="_Toc12001"/>
      <w:r>
        <w:rPr>
          <w:rFonts w:hint="eastAsia" w:eastAsia="宋体"/>
          <w:b/>
          <w:color w:val="auto"/>
          <w:sz w:val="28"/>
          <w:szCs w:val="28"/>
          <w:highlight w:val="none"/>
        </w:rPr>
        <w:t>6.</w:t>
      </w:r>
      <w:r>
        <w:rPr>
          <w:rFonts w:hint="eastAsia" w:eastAsia="宋体"/>
          <w:b/>
          <w:color w:val="auto"/>
          <w:sz w:val="28"/>
          <w:szCs w:val="28"/>
          <w:highlight w:val="none"/>
          <w:lang w:val="zh-CN"/>
        </w:rPr>
        <w:t>保密</w:t>
      </w:r>
      <w:bookmarkEnd w:id="421"/>
    </w:p>
    <w:p w14:paraId="2C1DF36C">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6.1</w:t>
      </w:r>
      <w:r>
        <w:rPr>
          <w:rFonts w:hint="eastAsia" w:eastAsia="宋体"/>
          <w:color w:val="auto"/>
          <w:sz w:val="24"/>
          <w:highlight w:val="none"/>
          <w:lang w:val="zh-CN"/>
        </w:rPr>
        <w:t>在本合同履行期间及履行完毕后的任何时候，任何一方均应对因履行本合同从对方获取或知悉的保密信息承担保密责任，未经对方书面同意不得向第三方透露，否则应赔偿由此给对方造成的全部损失。</w:t>
      </w:r>
    </w:p>
    <w:p w14:paraId="3BC699C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6.2</w:t>
      </w:r>
      <w:r>
        <w:rPr>
          <w:rFonts w:hint="eastAsia" w:eastAsia="宋体"/>
          <w:color w:val="auto"/>
          <w:sz w:val="24"/>
          <w:highlight w:val="none"/>
          <w:lang w:val="zh-CN"/>
        </w:rPr>
        <w:t>保密信息指任何一方因履行本合同所知悉的任何以口头、书面、图表或电子形式存在的对方信息，具体包括：</w:t>
      </w:r>
    </w:p>
    <w:p w14:paraId="2DEF459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6.2.1</w:t>
      </w:r>
      <w:r>
        <w:rPr>
          <w:rFonts w:hint="eastAsia" w:eastAsia="宋体"/>
          <w:color w:val="auto"/>
          <w:sz w:val="24"/>
          <w:highlight w:val="none"/>
          <w:lang w:val="zh-CN"/>
        </w:rPr>
        <w:t>任何涉及对方过去、现在或将来的商业计划、规章制度、操作规程、处理手段、财务信息；</w:t>
      </w:r>
    </w:p>
    <w:p w14:paraId="57B662B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6.2.2</w:t>
      </w:r>
      <w:r>
        <w:rPr>
          <w:rFonts w:hint="eastAsia" w:eastAsia="宋体"/>
          <w:color w:val="auto"/>
          <w:sz w:val="24"/>
          <w:highlight w:val="none"/>
          <w:lang w:val="zh-CN"/>
        </w:rPr>
        <w:t>任何对方的技术措施、技术方案、软件应用及开发，硬件设备的品种、质量、数量、品牌等；</w:t>
      </w:r>
    </w:p>
    <w:p w14:paraId="3F14D75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6.2.3</w:t>
      </w:r>
      <w:r>
        <w:rPr>
          <w:rFonts w:hint="eastAsia" w:eastAsia="宋体"/>
          <w:color w:val="auto"/>
          <w:sz w:val="24"/>
          <w:highlight w:val="none"/>
          <w:lang w:val="zh-CN"/>
        </w:rPr>
        <w:t>任何对方的技术秘密或专有知识、文件</w:t>
      </w:r>
      <w:r>
        <w:rPr>
          <w:rFonts w:hint="eastAsia" w:eastAsia="宋体"/>
          <w:color w:val="auto"/>
          <w:sz w:val="24"/>
          <w:highlight w:val="none"/>
        </w:rPr>
        <w:t xml:space="preserve"> </w:t>
      </w:r>
      <w:r>
        <w:rPr>
          <w:rFonts w:hint="eastAsia" w:eastAsia="宋体"/>
          <w:color w:val="auto"/>
          <w:sz w:val="24"/>
          <w:highlight w:val="none"/>
          <w:lang w:val="zh-CN"/>
        </w:rPr>
        <w:t>、报告、数据、客户软件、流程图、数据库、发明、知识、贸易秘密。</w:t>
      </w:r>
    </w:p>
    <w:p w14:paraId="12BACABD">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6.3</w:t>
      </w:r>
      <w:r>
        <w:rPr>
          <w:rFonts w:hint="eastAsia" w:eastAsia="宋体"/>
          <w:color w:val="auto"/>
          <w:sz w:val="24"/>
          <w:highlight w:val="none"/>
          <w:lang w:val="zh-CN"/>
        </w:rPr>
        <w:t>乙方应根据甲方的要求签署相应的保密协议，保密协议与本条款存在不一致的，以保密协议为准。</w:t>
      </w:r>
    </w:p>
    <w:p w14:paraId="73F997D4">
      <w:pPr>
        <w:autoSpaceDE w:val="0"/>
        <w:autoSpaceDN w:val="0"/>
        <w:adjustRightInd w:val="0"/>
        <w:spacing w:line="360" w:lineRule="auto"/>
        <w:ind w:firstLine="562"/>
        <w:rPr>
          <w:rFonts w:hint="eastAsia" w:eastAsia="宋体"/>
          <w:b/>
          <w:color w:val="auto"/>
          <w:sz w:val="28"/>
          <w:szCs w:val="28"/>
          <w:highlight w:val="none"/>
        </w:rPr>
      </w:pPr>
      <w:bookmarkStart w:id="422" w:name="_Toc4387"/>
      <w:r>
        <w:rPr>
          <w:rFonts w:hint="eastAsia" w:eastAsia="宋体"/>
          <w:b/>
          <w:color w:val="auto"/>
          <w:sz w:val="28"/>
          <w:szCs w:val="28"/>
          <w:highlight w:val="none"/>
        </w:rPr>
        <w:t xml:space="preserve">7. </w:t>
      </w:r>
      <w:r>
        <w:rPr>
          <w:rFonts w:hint="eastAsia" w:eastAsia="宋体"/>
          <w:b/>
          <w:color w:val="auto"/>
          <w:sz w:val="28"/>
          <w:szCs w:val="28"/>
          <w:highlight w:val="none"/>
          <w:lang w:val="zh-CN"/>
        </w:rPr>
        <w:t>质量保证</w:t>
      </w:r>
      <w:bookmarkEnd w:id="422"/>
    </w:p>
    <w:p w14:paraId="00D5211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7.1</w:t>
      </w:r>
      <w:r>
        <w:rPr>
          <w:rFonts w:hint="eastAsia" w:eastAsia="宋体"/>
          <w:color w:val="auto"/>
          <w:sz w:val="24"/>
          <w:highlight w:val="none"/>
          <w:lang w:val="en-US" w:eastAsia="zh-CN"/>
        </w:rPr>
        <w:t>货物</w:t>
      </w:r>
      <w:r>
        <w:rPr>
          <w:rFonts w:hint="eastAsia" w:eastAsia="宋体"/>
          <w:color w:val="auto"/>
          <w:sz w:val="24"/>
          <w:highlight w:val="none"/>
          <w:lang w:val="zh-CN"/>
        </w:rPr>
        <w:t>质量保证</w:t>
      </w:r>
    </w:p>
    <w:p w14:paraId="66B226F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7.1.1</w:t>
      </w:r>
      <w:r>
        <w:rPr>
          <w:rFonts w:hint="eastAsia" w:eastAsia="宋体"/>
          <w:color w:val="auto"/>
          <w:sz w:val="24"/>
          <w:highlight w:val="none"/>
          <w:lang w:val="zh-CN"/>
        </w:rPr>
        <w:t>乙方必须保证货物是全新、未使用过的，并完全符合强制性的国家技术质量规范和合同规定的质量、规格、性能和技术规范等的要求。</w:t>
      </w:r>
    </w:p>
    <w:p w14:paraId="5B36AC97">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7.1.2</w:t>
      </w:r>
      <w:r>
        <w:rPr>
          <w:rFonts w:hint="eastAsia" w:eastAsia="宋体"/>
          <w:color w:val="auto"/>
          <w:sz w:val="24"/>
          <w:highlight w:val="none"/>
          <w:lang w:val="zh-CN"/>
        </w:rPr>
        <w:t>乙方须保证所提供的货物经正常运转和保养，在其使用寿命期内须具有符合质量要求和产品说明书的性能。在货物质量保证期之内，乙方须对由于设计、工艺或材料的缺陷而发生的任何不足或故障负责，并免费予以改进或更换。</w:t>
      </w:r>
    </w:p>
    <w:p w14:paraId="7AD142AB">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7.1.3</w:t>
      </w:r>
      <w:r>
        <w:rPr>
          <w:rFonts w:hint="eastAsia" w:eastAsia="宋体"/>
          <w:color w:val="auto"/>
          <w:sz w:val="24"/>
          <w:highlight w:val="none"/>
          <w:lang w:val="zh-CN"/>
        </w:rPr>
        <w:t>根据乙方按检验标准自己检验结果或委托有资质的相关质检机构的检验结果，发现货物的数量、质量、规格与合同不符；或者在质量保证期内，证实货物存在缺陷，包括潜在的缺陷或使用不符合要求的材料等，甲方应书面通知乙方。接到上述通知后，乙方应及时免费更换或修理破损货物。乙方在甲方发出质量异议通知后，未作答复，甲方在通知书中所提出的要求应视为已被乙方接受。</w:t>
      </w:r>
    </w:p>
    <w:p w14:paraId="609534E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7.1.4</w:t>
      </w:r>
      <w:r>
        <w:rPr>
          <w:rFonts w:hint="eastAsia" w:eastAsia="宋体"/>
          <w:color w:val="auto"/>
          <w:sz w:val="24"/>
          <w:highlight w:val="none"/>
          <w:lang w:val="zh-CN"/>
        </w:rPr>
        <w:t>乙方在收到通知后虽答复，但没有弥补缺陷，甲方可采取必要的补救措施，但由此引发的风险和费用将由乙方承担。甲方可从合同款或乙方提交的履约保证金中扣款，不足部分，甲方有权要求乙方赔偿。甲方根据合同规定对卖方行使的其他权力不受影响。</w:t>
      </w:r>
    </w:p>
    <w:p w14:paraId="7B3D459B">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7.1.5 </w:t>
      </w:r>
      <w:r>
        <w:rPr>
          <w:rFonts w:hint="eastAsia" w:eastAsia="宋体"/>
          <w:color w:val="auto"/>
          <w:sz w:val="24"/>
          <w:highlight w:val="none"/>
          <w:lang w:val="zh-CN"/>
        </w:rPr>
        <w:t>合同条款下货物的质量保证期自货物通过最终验收起算，合同另行规定除外。</w:t>
      </w:r>
    </w:p>
    <w:p w14:paraId="5A3505B1">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7.2</w:t>
      </w:r>
      <w:r>
        <w:rPr>
          <w:rFonts w:hint="eastAsia" w:eastAsia="宋体"/>
          <w:color w:val="auto"/>
          <w:sz w:val="24"/>
          <w:highlight w:val="none"/>
          <w:lang w:val="zh-CN"/>
        </w:rPr>
        <w:t>辅助服务质量保证</w:t>
      </w:r>
    </w:p>
    <w:p w14:paraId="322E9F7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7.2.1</w:t>
      </w:r>
      <w:r>
        <w:rPr>
          <w:rFonts w:hint="eastAsia" w:eastAsia="宋体"/>
          <w:color w:val="auto"/>
          <w:sz w:val="24"/>
          <w:highlight w:val="none"/>
          <w:lang w:val="zh-CN"/>
        </w:rPr>
        <w:t>乙方保证免费提供合同条款下的软件产品原厂商至少一年软件全部功能及其换代产品的升级与技术支持服务（包含任何版本升级、产品换代、更新及在原有产品基础上的拆解、完善、合并所产生的新产品，提供升级产品介质及授权，要求原厂商承诺，并加盖原厂商公章），不得出现因货物停售、转产而无法提供上述支持服务。</w:t>
      </w:r>
    </w:p>
    <w:p w14:paraId="6BE05AA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7.2.2</w:t>
      </w:r>
      <w:r>
        <w:rPr>
          <w:rFonts w:hint="eastAsia" w:eastAsia="宋体"/>
          <w:color w:val="auto"/>
          <w:sz w:val="24"/>
          <w:highlight w:val="none"/>
          <w:lang w:val="zh-CN"/>
        </w:rPr>
        <w:t>乙方应保证合同条款下所提供的服务包括培训、单机调试、系统联调和试验等，按合同规定方式进行，并保证不存在因乙方工作人员的过失、错误或疏忽而产生的缺陷。</w:t>
      </w:r>
    </w:p>
    <w:p w14:paraId="1E571981">
      <w:pPr>
        <w:autoSpaceDE w:val="0"/>
        <w:autoSpaceDN w:val="0"/>
        <w:adjustRightInd w:val="0"/>
        <w:spacing w:line="360" w:lineRule="auto"/>
        <w:ind w:firstLine="562"/>
        <w:rPr>
          <w:rFonts w:hint="eastAsia" w:eastAsia="宋体"/>
          <w:b/>
          <w:color w:val="auto"/>
          <w:sz w:val="28"/>
          <w:szCs w:val="28"/>
          <w:highlight w:val="none"/>
        </w:rPr>
      </w:pPr>
      <w:bookmarkStart w:id="423" w:name="_Toc32111"/>
      <w:r>
        <w:rPr>
          <w:rFonts w:hint="eastAsia" w:eastAsia="宋体"/>
          <w:b/>
          <w:color w:val="auto"/>
          <w:sz w:val="28"/>
          <w:szCs w:val="28"/>
          <w:highlight w:val="none"/>
        </w:rPr>
        <w:t>8.</w:t>
      </w:r>
      <w:r>
        <w:rPr>
          <w:rFonts w:hint="eastAsia" w:eastAsia="宋体"/>
          <w:b/>
          <w:color w:val="auto"/>
          <w:sz w:val="28"/>
          <w:szCs w:val="28"/>
          <w:highlight w:val="none"/>
          <w:lang w:val="zh-CN"/>
        </w:rPr>
        <w:t>包装要求</w:t>
      </w:r>
      <w:bookmarkEnd w:id="423"/>
    </w:p>
    <w:p w14:paraId="02A0AA2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8.1 </w:t>
      </w:r>
      <w:r>
        <w:rPr>
          <w:rFonts w:hint="eastAsia" w:eastAsia="宋体"/>
          <w:color w:val="auto"/>
          <w:sz w:val="24"/>
          <w:highlight w:val="none"/>
          <w:lang w:val="zh-CN"/>
        </w:rPr>
        <w:t>除合同另有约定外</w:t>
      </w:r>
      <w:r>
        <w:rPr>
          <w:rFonts w:hint="eastAsia" w:eastAsia="宋体"/>
          <w:color w:val="auto"/>
          <w:sz w:val="24"/>
          <w:highlight w:val="none"/>
        </w:rPr>
        <w:t>,</w:t>
      </w:r>
      <w:r>
        <w:rPr>
          <w:rFonts w:hint="eastAsia" w:eastAsia="宋体"/>
          <w:color w:val="auto"/>
          <w:sz w:val="24"/>
          <w:highlight w:val="none"/>
          <w:lang w:val="zh-CN"/>
        </w:rPr>
        <w:t>乙方提供的全部货物</w:t>
      </w:r>
      <w:r>
        <w:rPr>
          <w:rFonts w:hint="eastAsia" w:eastAsia="宋体"/>
          <w:color w:val="auto"/>
          <w:sz w:val="24"/>
          <w:highlight w:val="none"/>
        </w:rPr>
        <w:t>,</w:t>
      </w:r>
      <w:r>
        <w:rPr>
          <w:rFonts w:hint="eastAsia" w:eastAsia="宋体"/>
          <w:color w:val="auto"/>
          <w:sz w:val="24"/>
          <w:highlight w:val="none"/>
          <w:lang w:val="zh-CN"/>
        </w:rPr>
        <w:t>均应采用本行业通用的方式进行包装，且该包装应符合国家有关包装的法律、法规的规定。</w:t>
      </w:r>
    </w:p>
    <w:p w14:paraId="061EC598">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8.2 </w:t>
      </w:r>
      <w:r>
        <w:rPr>
          <w:rFonts w:hint="eastAsia" w:eastAsia="宋体"/>
          <w:color w:val="auto"/>
          <w:sz w:val="24"/>
          <w:highlight w:val="none"/>
          <w:lang w:val="zh-CN"/>
        </w:rPr>
        <w:t>包装应适应于远距离运输，并有良好的防潮、防震、防锈和防粗暴装卸等保护措施，以确保货物安全运抵现场。由于包装不善所引起的货物锈蚀、损坏和损失均由乙方承担。</w:t>
      </w:r>
    </w:p>
    <w:p w14:paraId="220086C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乙方应提供货物运至合同规定的最终目的地所需要的包装，以防止货物在转运中损坏或变质。</w:t>
      </w:r>
    </w:p>
    <w:p w14:paraId="344008D1">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8.3 </w:t>
      </w:r>
      <w:r>
        <w:rPr>
          <w:rFonts w:hint="eastAsia" w:eastAsia="宋体"/>
          <w:color w:val="auto"/>
          <w:sz w:val="24"/>
          <w:highlight w:val="none"/>
          <w:lang w:val="zh-CN"/>
        </w:rPr>
        <w:t>乙方所提供的货物包装均为出厂时原包装。</w:t>
      </w:r>
    </w:p>
    <w:p w14:paraId="4B06C389">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8.4 </w:t>
      </w:r>
      <w:r>
        <w:rPr>
          <w:rFonts w:hint="eastAsia" w:eastAsia="宋体"/>
          <w:color w:val="auto"/>
          <w:sz w:val="24"/>
          <w:highlight w:val="none"/>
          <w:lang w:val="zh-CN"/>
        </w:rPr>
        <w:t>乙方所提供货物必须附有质量合格证，装箱清单，主机、附件、各种零部件和消耗品，有清楚的与装箱单相对应的名称和编号。</w:t>
      </w:r>
    </w:p>
    <w:p w14:paraId="5825B6A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8.5 </w:t>
      </w:r>
      <w:r>
        <w:rPr>
          <w:rFonts w:hint="eastAsia" w:eastAsia="宋体"/>
          <w:color w:val="auto"/>
          <w:sz w:val="24"/>
          <w:highlight w:val="none"/>
          <w:lang w:val="zh-CN"/>
        </w:rPr>
        <w:t>货物运输中的运输费用和保险费用均由乙方承担。运输过程中的一切损失、损坏均由乙方负责。</w:t>
      </w:r>
    </w:p>
    <w:p w14:paraId="13011C2D">
      <w:pPr>
        <w:autoSpaceDE w:val="0"/>
        <w:autoSpaceDN w:val="0"/>
        <w:adjustRightInd w:val="0"/>
        <w:spacing w:line="360" w:lineRule="auto"/>
        <w:ind w:firstLine="562"/>
        <w:rPr>
          <w:rFonts w:hint="eastAsia" w:eastAsia="宋体"/>
          <w:b/>
          <w:color w:val="auto"/>
          <w:sz w:val="28"/>
          <w:szCs w:val="28"/>
          <w:highlight w:val="none"/>
        </w:rPr>
      </w:pPr>
      <w:bookmarkStart w:id="424" w:name="_Toc15616"/>
      <w:r>
        <w:rPr>
          <w:rFonts w:hint="eastAsia" w:eastAsia="宋体"/>
          <w:b/>
          <w:color w:val="auto"/>
          <w:sz w:val="28"/>
          <w:szCs w:val="28"/>
          <w:highlight w:val="none"/>
        </w:rPr>
        <w:t xml:space="preserve">9. </w:t>
      </w:r>
      <w:r>
        <w:rPr>
          <w:rFonts w:hint="eastAsia" w:eastAsia="宋体"/>
          <w:b/>
          <w:color w:val="auto"/>
          <w:sz w:val="28"/>
          <w:szCs w:val="28"/>
          <w:highlight w:val="none"/>
          <w:lang w:val="zh-CN"/>
        </w:rPr>
        <w:t>价格</w:t>
      </w:r>
      <w:bookmarkEnd w:id="424"/>
    </w:p>
    <w:p w14:paraId="314F2A6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9.1 </w:t>
      </w:r>
      <w:r>
        <w:rPr>
          <w:rFonts w:hint="eastAsia" w:eastAsia="宋体"/>
          <w:color w:val="auto"/>
          <w:sz w:val="24"/>
          <w:highlight w:val="none"/>
          <w:lang w:val="zh-CN"/>
        </w:rPr>
        <w:t>乙方履行合同所必须的所有费用，包括但不限于货物及部件的设计、检测与试验、制造、运输、装卸、保险、单机调试、技术资料、培训、交通、人员、差旅、质量保证期服务费、其他管理费用、所有的检验、测试、调试、验收、试运行费用等均已包括在合同价格中。</w:t>
      </w:r>
    </w:p>
    <w:p w14:paraId="55CB7AA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9.2 </w:t>
      </w:r>
      <w:r>
        <w:rPr>
          <w:rFonts w:hint="eastAsia" w:eastAsia="宋体"/>
          <w:color w:val="auto"/>
          <w:sz w:val="24"/>
          <w:highlight w:val="none"/>
          <w:lang w:val="zh-CN"/>
        </w:rPr>
        <w:t>本合同价格为固定价格，包括了乙方履行合同全过程产生的所有成本和费用以及乙方应承担的一切税费。</w:t>
      </w:r>
    </w:p>
    <w:p w14:paraId="4C2D64CE">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9.3</w:t>
      </w:r>
      <w:r>
        <w:rPr>
          <w:rFonts w:hint="eastAsia" w:eastAsia="宋体"/>
          <w:color w:val="auto"/>
          <w:sz w:val="24"/>
          <w:highlight w:val="none"/>
          <w:lang w:val="zh-CN"/>
        </w:rPr>
        <w:t>检验费用</w:t>
      </w:r>
    </w:p>
    <w:p w14:paraId="268CFCB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9.3.1 </w:t>
      </w:r>
      <w:r>
        <w:rPr>
          <w:rFonts w:hint="eastAsia" w:eastAsia="宋体"/>
          <w:color w:val="auto"/>
          <w:sz w:val="24"/>
          <w:highlight w:val="none"/>
          <w:lang w:val="zh-CN"/>
        </w:rPr>
        <w:t>乙方必须负担本条款下属于乙方负责的检验、测试、调试、试运行和验收的所有费用，并负责乙方派往买方组织的检验、测试和验收人员的所有费用。</w:t>
      </w:r>
    </w:p>
    <w:p w14:paraId="770F2527">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9.3.2 </w:t>
      </w:r>
      <w:r>
        <w:rPr>
          <w:rFonts w:hint="eastAsia" w:eastAsia="宋体"/>
          <w:color w:val="auto"/>
          <w:sz w:val="24"/>
          <w:highlight w:val="none"/>
          <w:lang w:val="zh-CN"/>
        </w:rPr>
        <w:t>甲方按合同计划参加在乙方工厂所在地检验、测试和验收的费用全部由乙方负责并已包含在合同总价中。</w:t>
      </w:r>
    </w:p>
    <w:p w14:paraId="44B976F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9.3.3</w:t>
      </w:r>
      <w:r>
        <w:rPr>
          <w:rFonts w:hint="eastAsia" w:eastAsia="宋体"/>
          <w:color w:val="auto"/>
          <w:sz w:val="24"/>
          <w:highlight w:val="none"/>
          <w:lang w:val="zh-CN"/>
        </w:rPr>
        <w:t>甲方检验人员已到卖方所在地，测试无法依照合同进行，</w:t>
      </w:r>
      <w:r>
        <w:rPr>
          <w:rFonts w:hint="eastAsia" w:eastAsia="宋体"/>
          <w:color w:val="auto"/>
          <w:sz w:val="24"/>
          <w:highlight w:val="none"/>
        </w:rPr>
        <w:t xml:space="preserve"> </w:t>
      </w:r>
      <w:r>
        <w:rPr>
          <w:rFonts w:hint="eastAsia" w:eastAsia="宋体"/>
          <w:color w:val="auto"/>
          <w:sz w:val="24"/>
          <w:highlight w:val="none"/>
          <w:lang w:val="zh-CN"/>
        </w:rPr>
        <w:t>而引起甲方人员延长逗留时间，所有由此产生的包括甲方人员在内的直接费用及成本由乙方承担。</w:t>
      </w:r>
    </w:p>
    <w:p w14:paraId="0B61B95D">
      <w:pPr>
        <w:autoSpaceDE w:val="0"/>
        <w:autoSpaceDN w:val="0"/>
        <w:adjustRightInd w:val="0"/>
        <w:spacing w:line="360" w:lineRule="auto"/>
        <w:ind w:firstLine="480"/>
        <w:rPr>
          <w:rFonts w:hint="eastAsia" w:eastAsia="宋体"/>
          <w:bCs/>
          <w:iCs/>
          <w:color w:val="auto"/>
          <w:sz w:val="24"/>
          <w:szCs w:val="22"/>
          <w:highlight w:val="none"/>
          <w:lang w:val="zh-CN"/>
        </w:rPr>
      </w:pPr>
      <w:r>
        <w:rPr>
          <w:rFonts w:hint="eastAsia" w:ascii="宋体" w:hAnsi="宋体" w:eastAsia="宋体" w:cs="宋体"/>
          <w:color w:val="auto"/>
          <w:sz w:val="24"/>
          <w:highlight w:val="none"/>
          <w:lang w:val="zh-CN"/>
        </w:rPr>
        <w:t>10.交货日期及交货地点</w:t>
      </w:r>
    </w:p>
    <w:p w14:paraId="77F18009">
      <w:pPr>
        <w:autoSpaceDE w:val="0"/>
        <w:autoSpaceDN w:val="0"/>
        <w:adjustRightInd w:val="0"/>
        <w:spacing w:line="360" w:lineRule="auto"/>
        <w:ind w:firstLine="480"/>
        <w:rPr>
          <w:rFonts w:hint="eastAsia" w:eastAsia="宋体"/>
          <w:color w:val="auto"/>
          <w:sz w:val="24"/>
          <w:highlight w:val="none"/>
          <w:lang w:val="zh-CN"/>
        </w:rPr>
      </w:pPr>
      <w:bookmarkStart w:id="425" w:name="_Toc1468"/>
      <w:r>
        <w:rPr>
          <w:rFonts w:hint="eastAsia" w:eastAsia="宋体"/>
          <w:color w:val="auto"/>
          <w:sz w:val="24"/>
          <w:highlight w:val="none"/>
          <w:lang w:val="zh-CN"/>
        </w:rPr>
        <w:t>11.检验和验收</w:t>
      </w:r>
      <w:bookmarkEnd w:id="425"/>
    </w:p>
    <w:p w14:paraId="445F2D79">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11.1</w:t>
      </w:r>
      <w:r>
        <w:rPr>
          <w:rFonts w:hint="eastAsia" w:eastAsia="宋体"/>
          <w:color w:val="auto"/>
          <w:sz w:val="24"/>
          <w:highlight w:val="none"/>
          <w:lang w:val="zh-CN"/>
        </w:rPr>
        <w:t>开箱验收</w:t>
      </w:r>
    </w:p>
    <w:p w14:paraId="3766FB5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11.1.1</w:t>
      </w:r>
      <w:r>
        <w:rPr>
          <w:rFonts w:hint="eastAsia" w:eastAsia="宋体"/>
          <w:color w:val="auto"/>
          <w:sz w:val="24"/>
          <w:highlight w:val="none"/>
          <w:lang w:val="zh-CN"/>
        </w:rPr>
        <w:t>货物运抵现场后，双方应及时开箱验收，并制作验收记录，以确认与本合同约定的数量、型号等是否一致。</w:t>
      </w:r>
    </w:p>
    <w:p w14:paraId="01AAFD7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11.1.2 </w:t>
      </w:r>
      <w:r>
        <w:rPr>
          <w:rFonts w:hint="eastAsia" w:eastAsia="宋体"/>
          <w:color w:val="auto"/>
          <w:sz w:val="24"/>
          <w:highlight w:val="none"/>
          <w:lang w:val="zh-CN"/>
        </w:rPr>
        <w:t>乙方应在交货前对货物的质量、规格、数量等进行详细而全面的检验，并出具证明货物符合合同规定的文件。该文件将作为申请付款单据的一部分，但有关质量、规格、数量的检验不应视为最终检验。</w:t>
      </w:r>
    </w:p>
    <w:p w14:paraId="3D009619">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11.1.3 </w:t>
      </w:r>
      <w:r>
        <w:rPr>
          <w:rFonts w:hint="eastAsia" w:eastAsia="宋体"/>
          <w:color w:val="auto"/>
          <w:sz w:val="24"/>
          <w:highlight w:val="none"/>
          <w:lang w:val="zh-CN"/>
        </w:rPr>
        <w:t>开箱验收中如发现货物的数量、规格与合同约定不符，甲方有权拒收货物，乙方应及时按甲方要求免费对拒收货物采取更换或其他必要的补救措施，直至开箱验收合格，方视为乙方完成交货。</w:t>
      </w:r>
    </w:p>
    <w:p w14:paraId="015EAF77">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11.2  </w:t>
      </w:r>
      <w:r>
        <w:rPr>
          <w:rFonts w:hint="eastAsia" w:eastAsia="宋体"/>
          <w:color w:val="auto"/>
          <w:sz w:val="24"/>
          <w:highlight w:val="none"/>
          <w:lang w:val="zh-CN"/>
        </w:rPr>
        <w:t>检验验收</w:t>
      </w:r>
    </w:p>
    <w:p w14:paraId="1301D887">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11.2.1 </w:t>
      </w:r>
      <w:r>
        <w:rPr>
          <w:rFonts w:hint="eastAsia" w:eastAsia="宋体"/>
          <w:color w:val="auto"/>
          <w:sz w:val="24"/>
          <w:highlight w:val="none"/>
          <w:lang w:val="zh-CN"/>
        </w:rPr>
        <w:t>交货完成后，乙方应及时组装、调试、试运行，按照合同专用条款规定的试运行完成后，双方及时组织对货物检验验收。合同双方均须派人参加合同要求双方参加的试验、检验。</w:t>
      </w:r>
    </w:p>
    <w:p w14:paraId="571763B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11.2.2 </w:t>
      </w:r>
      <w:r>
        <w:rPr>
          <w:rFonts w:hint="eastAsia" w:eastAsia="宋体"/>
          <w:color w:val="auto"/>
          <w:sz w:val="24"/>
          <w:highlight w:val="none"/>
          <w:lang w:val="zh-CN"/>
        </w:rPr>
        <w:t>在具体实施合同规定的检验验收之前，乙方需提前提交相应的测试计划（包括测试程序、测试内容和检验标准、试验时间安排等）供甲方确认。</w:t>
      </w:r>
    </w:p>
    <w:p w14:paraId="463A2C6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11.2.3  </w:t>
      </w:r>
      <w:r>
        <w:rPr>
          <w:rFonts w:hint="eastAsia" w:eastAsia="宋体"/>
          <w:color w:val="auto"/>
          <w:sz w:val="24"/>
          <w:highlight w:val="none"/>
          <w:lang w:val="zh-CN"/>
        </w:rPr>
        <w:t>除需甲方确认的试验验收外，乙方还应对所有检验验收测试的结果、步骤、原始数据等作妥善记录。如甲方要求，乙方应提供这些记录给买方。</w:t>
      </w:r>
    </w:p>
    <w:p w14:paraId="276B340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11.2.4  </w:t>
      </w:r>
      <w:r>
        <w:rPr>
          <w:rFonts w:hint="eastAsia" w:eastAsia="宋体"/>
          <w:color w:val="auto"/>
          <w:sz w:val="24"/>
          <w:highlight w:val="none"/>
          <w:lang w:val="zh-CN"/>
        </w:rPr>
        <w:t>检验测试出现全部或部分未达到本合同所约定的技术指标，甲方有权选择下列任一处理方式：</w:t>
      </w:r>
    </w:p>
    <w:p w14:paraId="1C59C36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a.</w:t>
      </w:r>
      <w:r>
        <w:rPr>
          <w:rFonts w:hint="eastAsia" w:eastAsia="宋体"/>
          <w:color w:val="auto"/>
          <w:sz w:val="24"/>
          <w:highlight w:val="none"/>
          <w:lang w:val="zh-CN"/>
        </w:rPr>
        <w:t>重新测试直至合格为止；</w:t>
      </w:r>
    </w:p>
    <w:p w14:paraId="294A0E31">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b.</w:t>
      </w:r>
      <w:r>
        <w:rPr>
          <w:rFonts w:hint="eastAsia" w:eastAsia="宋体"/>
          <w:color w:val="auto"/>
          <w:sz w:val="24"/>
          <w:highlight w:val="none"/>
          <w:lang w:val="zh-CN"/>
        </w:rPr>
        <w:t>要求乙方对货物进行免费更换，然后重新测试直至合格为止；</w:t>
      </w:r>
    </w:p>
    <w:p w14:paraId="53AAE73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无论选择何种方式，甲方因此而发生的因卖方原因引起的所有费用均由乙方负担。</w:t>
      </w:r>
    </w:p>
    <w:p w14:paraId="1CA43756">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11.3  </w:t>
      </w:r>
      <w:r>
        <w:rPr>
          <w:rFonts w:hint="eastAsia" w:eastAsia="宋体"/>
          <w:color w:val="auto"/>
          <w:sz w:val="24"/>
          <w:highlight w:val="none"/>
          <w:lang w:val="zh-CN"/>
        </w:rPr>
        <w:t>使用过程检验</w:t>
      </w:r>
    </w:p>
    <w:p w14:paraId="6562352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11.3.1</w:t>
      </w:r>
      <w:r>
        <w:rPr>
          <w:rFonts w:hint="eastAsia" w:eastAsia="宋体"/>
          <w:color w:val="auto"/>
          <w:sz w:val="24"/>
          <w:highlight w:val="none"/>
          <w:lang w:val="zh-CN"/>
        </w:rPr>
        <w:t>在合同规定的质量保证期内，发现货物的质量或规格与合同规定不符，或证明货物有缺陷，包括潜在的缺陷或使用不合适的原材料等，由甲方组织质检（相关检测费用由卖方承担），据质检报告及质量保证条款向卖方提出索赔，此索赔并不免除乙方应承担的合同义务。</w:t>
      </w:r>
    </w:p>
    <w:p w14:paraId="5A01447E">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11.3.2</w:t>
      </w:r>
      <w:r>
        <w:rPr>
          <w:rFonts w:hint="eastAsia" w:eastAsia="宋体"/>
          <w:color w:val="auto"/>
          <w:sz w:val="24"/>
          <w:highlight w:val="none"/>
          <w:lang w:val="zh-CN"/>
        </w:rPr>
        <w:t>如果合同双方对乙方提供的上述试验结果报告的解释有分歧，双方须于出现分歧后</w:t>
      </w:r>
      <w:r>
        <w:rPr>
          <w:rFonts w:hint="eastAsia" w:eastAsia="宋体"/>
          <w:color w:val="auto"/>
          <w:sz w:val="24"/>
          <w:highlight w:val="none"/>
        </w:rPr>
        <w:t>10</w:t>
      </w:r>
      <w:r>
        <w:rPr>
          <w:rFonts w:hint="eastAsia" w:eastAsia="宋体"/>
          <w:color w:val="auto"/>
          <w:sz w:val="24"/>
          <w:highlight w:val="none"/>
          <w:lang w:val="zh-CN"/>
        </w:rPr>
        <w:t>天内给对方声明，以陈述己方的观点。声明须附有关证据。分歧应通过协商解决。</w:t>
      </w:r>
    </w:p>
    <w:p w14:paraId="5229CAFC">
      <w:pPr>
        <w:autoSpaceDE w:val="0"/>
        <w:autoSpaceDN w:val="0"/>
        <w:adjustRightInd w:val="0"/>
        <w:spacing w:line="360" w:lineRule="auto"/>
        <w:ind w:firstLine="562"/>
        <w:rPr>
          <w:rFonts w:hint="eastAsia" w:eastAsia="宋体"/>
          <w:b/>
          <w:color w:val="auto"/>
          <w:sz w:val="28"/>
          <w:szCs w:val="28"/>
          <w:highlight w:val="none"/>
        </w:rPr>
      </w:pPr>
      <w:bookmarkStart w:id="426" w:name="_Toc24354"/>
      <w:r>
        <w:rPr>
          <w:rFonts w:hint="eastAsia" w:eastAsia="宋体"/>
          <w:b/>
          <w:color w:val="auto"/>
          <w:sz w:val="28"/>
          <w:szCs w:val="28"/>
          <w:highlight w:val="none"/>
        </w:rPr>
        <w:t>12.</w:t>
      </w:r>
      <w:r>
        <w:rPr>
          <w:rFonts w:hint="eastAsia" w:eastAsia="宋体"/>
          <w:b/>
          <w:color w:val="auto"/>
          <w:sz w:val="28"/>
          <w:szCs w:val="28"/>
          <w:highlight w:val="none"/>
          <w:lang w:val="zh-CN"/>
        </w:rPr>
        <w:t>付款条件</w:t>
      </w:r>
      <w:bookmarkEnd w:id="426"/>
    </w:p>
    <w:p w14:paraId="74518AC1">
      <w:pPr>
        <w:autoSpaceDE w:val="0"/>
        <w:autoSpaceDN w:val="0"/>
        <w:adjustRightInd w:val="0"/>
        <w:spacing w:line="360" w:lineRule="auto"/>
        <w:ind w:firstLine="480"/>
        <w:rPr>
          <w:rFonts w:hint="eastAsia" w:ascii="宋体" w:hAnsi="宋体" w:eastAsia="宋体" w:cs="宋体"/>
          <w:color w:val="auto"/>
          <w:sz w:val="24"/>
          <w:highlight w:val="none"/>
        </w:rPr>
      </w:pPr>
      <w:r>
        <w:rPr>
          <w:rFonts w:hint="eastAsia" w:eastAsia="宋体"/>
          <w:color w:val="auto"/>
          <w:sz w:val="24"/>
          <w:highlight w:val="none"/>
          <w:lang w:val="zh-CN"/>
        </w:rPr>
        <w:t>本合同条款下的付款方法和条件在“青海省政府采购合同书”中具体规定。</w:t>
      </w:r>
    </w:p>
    <w:p w14:paraId="1DDF0465">
      <w:pPr>
        <w:autoSpaceDE w:val="0"/>
        <w:autoSpaceDN w:val="0"/>
        <w:adjustRightInd w:val="0"/>
        <w:spacing w:line="360" w:lineRule="auto"/>
        <w:ind w:firstLine="562"/>
        <w:rPr>
          <w:rFonts w:hint="eastAsia" w:eastAsia="宋体"/>
          <w:b/>
          <w:color w:val="auto"/>
          <w:sz w:val="28"/>
          <w:szCs w:val="28"/>
          <w:highlight w:val="none"/>
        </w:rPr>
      </w:pPr>
      <w:bookmarkStart w:id="427" w:name="_Toc20147"/>
      <w:r>
        <w:rPr>
          <w:rFonts w:hint="eastAsia" w:eastAsia="宋体"/>
          <w:b/>
          <w:color w:val="auto"/>
          <w:sz w:val="28"/>
          <w:szCs w:val="28"/>
          <w:highlight w:val="none"/>
        </w:rPr>
        <w:t>13.</w:t>
      </w:r>
      <w:r>
        <w:rPr>
          <w:rFonts w:hint="eastAsia" w:eastAsia="宋体"/>
          <w:b/>
          <w:color w:val="auto"/>
          <w:sz w:val="28"/>
          <w:szCs w:val="28"/>
          <w:highlight w:val="none"/>
          <w:lang w:val="zh-CN"/>
        </w:rPr>
        <w:t>履约保证金</w:t>
      </w:r>
      <w:bookmarkEnd w:id="427"/>
    </w:p>
    <w:p w14:paraId="0A0AC0C9">
      <w:pPr>
        <w:autoSpaceDE w:val="0"/>
        <w:autoSpaceDN w:val="0"/>
        <w:adjustRightInd w:val="0"/>
        <w:spacing w:line="360" w:lineRule="auto"/>
        <w:ind w:firstLine="562"/>
        <w:rPr>
          <w:rFonts w:hint="eastAsia" w:eastAsia="宋体"/>
          <w:b/>
          <w:color w:val="auto"/>
          <w:sz w:val="28"/>
          <w:szCs w:val="28"/>
          <w:highlight w:val="none"/>
        </w:rPr>
      </w:pPr>
      <w:bookmarkStart w:id="428" w:name="_Toc16037"/>
      <w:r>
        <w:rPr>
          <w:rFonts w:hint="eastAsia" w:eastAsia="宋体"/>
          <w:b/>
          <w:color w:val="auto"/>
          <w:sz w:val="28"/>
          <w:szCs w:val="28"/>
          <w:highlight w:val="none"/>
        </w:rPr>
        <w:t>14.</w:t>
      </w:r>
      <w:r>
        <w:rPr>
          <w:rFonts w:hint="eastAsia" w:eastAsia="宋体"/>
          <w:b/>
          <w:color w:val="auto"/>
          <w:sz w:val="28"/>
          <w:szCs w:val="28"/>
          <w:highlight w:val="none"/>
          <w:lang w:val="zh-CN"/>
        </w:rPr>
        <w:t>索赔</w:t>
      </w:r>
      <w:bookmarkEnd w:id="428"/>
    </w:p>
    <w:p w14:paraId="342EC89C">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14.1</w:t>
      </w:r>
      <w:r>
        <w:rPr>
          <w:rFonts w:hint="eastAsia" w:eastAsia="宋体"/>
          <w:color w:val="auto"/>
          <w:sz w:val="24"/>
          <w:highlight w:val="none"/>
          <w:lang w:val="zh-CN"/>
        </w:rPr>
        <w:t>货物的质量、规格、数量、性能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5037D645">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14.2</w:t>
      </w:r>
      <w:r>
        <w:rPr>
          <w:rFonts w:hint="eastAsia" w:eastAsia="宋体"/>
          <w:color w:val="auto"/>
          <w:sz w:val="24"/>
          <w:highlight w:val="none"/>
          <w:lang w:val="zh-CN"/>
        </w:rPr>
        <w:t>在履约保证期和检验期内，乙方对甲方提出的索赔负有责任，乙方应按照甲方同意的下列一种或多种方式解决索赔事宜：</w:t>
      </w:r>
    </w:p>
    <w:p w14:paraId="201B1EE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14.2.1</w:t>
      </w:r>
      <w:r>
        <w:rPr>
          <w:rFonts w:hint="eastAsia" w:eastAsia="宋体"/>
          <w:color w:val="auto"/>
          <w:sz w:val="24"/>
          <w:highlight w:val="none"/>
          <w:lang w:val="zh-CN"/>
        </w:rPr>
        <w:t>在法定的退货期内，乙方应按合同规定将货款退还给甲方，并承担由此发生的一切损失和费用，包括利息、银行手续费、运费、保险费、检验费、仓储费、装卸费以及为保护退回货物所需的其它必要费用。如已超过退货期，但乙方同意退货，可比照上述办法办理，或由双方协商处理。</w:t>
      </w:r>
    </w:p>
    <w:p w14:paraId="1977720D">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14.2.2</w:t>
      </w:r>
      <w:r>
        <w:rPr>
          <w:rFonts w:hint="eastAsia" w:eastAsia="宋体"/>
          <w:color w:val="auto"/>
          <w:sz w:val="24"/>
          <w:highlight w:val="none"/>
          <w:lang w:val="zh-CN"/>
        </w:rPr>
        <w:t>根据货物低劣程度、损坏程度以及甲方所遭受损失的数额，经甲乙双方商定降低货物的价格，或由有资质的中介机构评估，以降低后的价格或评估价格为准。</w:t>
      </w:r>
    </w:p>
    <w:p w14:paraId="7F717F4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14.2.3</w:t>
      </w:r>
      <w:r>
        <w:rPr>
          <w:rFonts w:hint="eastAsia" w:eastAsia="宋体"/>
          <w:color w:val="auto"/>
          <w:sz w:val="24"/>
          <w:highlight w:val="none"/>
          <w:lang w:val="zh-CN"/>
        </w:rPr>
        <w:t>用符合规格、质量和性能要求的新零件、部件或货物来更换有缺陷的部分或修补缺陷部分，乙方应承担一切费用和风险，并负担甲方所发生的一切直接费用。同时，乙方应相应延长修补或更换件的履约保证期。</w:t>
      </w:r>
    </w:p>
    <w:p w14:paraId="34C822EE">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14.3</w:t>
      </w:r>
      <w:r>
        <w:rPr>
          <w:rFonts w:hint="eastAsia" w:eastAsia="宋体"/>
          <w:color w:val="auto"/>
          <w:sz w:val="24"/>
          <w:highlight w:val="none"/>
          <w:lang w:val="zh-CN"/>
        </w:rPr>
        <w:t>乙方收到甲方发出的索赔通知之日起</w:t>
      </w:r>
      <w:r>
        <w:rPr>
          <w:rFonts w:hint="eastAsia" w:eastAsia="宋体"/>
          <w:color w:val="auto"/>
          <w:sz w:val="24"/>
          <w:highlight w:val="none"/>
        </w:rPr>
        <w:t>5</w:t>
      </w:r>
      <w:r>
        <w:rPr>
          <w:rFonts w:hint="eastAsia" w:eastAsia="宋体"/>
          <w:color w:val="auto"/>
          <w:sz w:val="24"/>
          <w:highlight w:val="none"/>
          <w:lang w:val="zh-CN"/>
        </w:rPr>
        <w:t>个工作日内未作答复的，甲方可从合同款或履约保证金中扣回索赔金额，如金额不足以补偿索赔金额，乙方应补足差额部分。</w:t>
      </w:r>
    </w:p>
    <w:p w14:paraId="0B6F909C">
      <w:pPr>
        <w:autoSpaceDE w:val="0"/>
        <w:autoSpaceDN w:val="0"/>
        <w:adjustRightInd w:val="0"/>
        <w:spacing w:line="360" w:lineRule="auto"/>
        <w:ind w:firstLine="562"/>
        <w:rPr>
          <w:rFonts w:hint="eastAsia" w:eastAsia="宋体"/>
          <w:b/>
          <w:color w:val="auto"/>
          <w:sz w:val="28"/>
          <w:szCs w:val="28"/>
          <w:highlight w:val="none"/>
        </w:rPr>
      </w:pPr>
      <w:bookmarkStart w:id="429" w:name="_Toc23824"/>
      <w:r>
        <w:rPr>
          <w:rFonts w:hint="eastAsia" w:eastAsia="宋体"/>
          <w:b/>
          <w:color w:val="auto"/>
          <w:sz w:val="28"/>
          <w:szCs w:val="28"/>
          <w:highlight w:val="none"/>
        </w:rPr>
        <w:t>15.</w:t>
      </w:r>
      <w:r>
        <w:rPr>
          <w:rFonts w:hint="eastAsia" w:eastAsia="宋体"/>
          <w:b/>
          <w:color w:val="auto"/>
          <w:sz w:val="28"/>
          <w:szCs w:val="28"/>
          <w:highlight w:val="none"/>
          <w:lang w:val="zh-CN"/>
        </w:rPr>
        <w:t>迟延交货</w:t>
      </w:r>
      <w:bookmarkEnd w:id="429"/>
    </w:p>
    <w:p w14:paraId="7BEEFF1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15.1 </w:t>
      </w:r>
      <w:r>
        <w:rPr>
          <w:rFonts w:hint="eastAsia" w:eastAsia="宋体"/>
          <w:color w:val="auto"/>
          <w:sz w:val="24"/>
          <w:highlight w:val="none"/>
          <w:lang w:val="zh-CN"/>
        </w:rPr>
        <w:t>乙方应按照合同约定的时间交货和提供服务。</w:t>
      </w:r>
    </w:p>
    <w:p w14:paraId="6749482B">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 xml:space="preserve">15.2 </w:t>
      </w:r>
      <w:r>
        <w:rPr>
          <w:rFonts w:hint="eastAsia" w:eastAsia="宋体"/>
          <w:color w:val="auto"/>
          <w:sz w:val="24"/>
          <w:highlight w:val="none"/>
          <w:lang w:val="zh-CN"/>
        </w:rPr>
        <w:t>除不可抗力因素外，乙方迟延交货，甲方有权提出违约损失赔偿或解除合同。</w:t>
      </w:r>
    </w:p>
    <w:p w14:paraId="63285568">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15.3</w:t>
      </w:r>
      <w:r>
        <w:rPr>
          <w:rFonts w:hint="eastAsia" w:eastAsia="宋体"/>
          <w:color w:val="auto"/>
          <w:sz w:val="24"/>
          <w:highlight w:val="none"/>
          <w:lang w:val="zh-CN"/>
        </w:rPr>
        <w:t>在履行合同过程中，乙方遇到不能按时交货和提供服务的情况，应及时以书面形式将不能按时交货的理由、预期延误时间通知甲方。甲方收到乙方通知后，认为其理由正当的，可酌情延长交货时间。</w:t>
      </w:r>
    </w:p>
    <w:p w14:paraId="6BC51384">
      <w:pPr>
        <w:autoSpaceDE w:val="0"/>
        <w:autoSpaceDN w:val="0"/>
        <w:adjustRightInd w:val="0"/>
        <w:spacing w:line="360" w:lineRule="auto"/>
        <w:ind w:firstLine="562"/>
        <w:rPr>
          <w:rFonts w:hint="eastAsia" w:eastAsia="宋体"/>
          <w:b/>
          <w:color w:val="auto"/>
          <w:sz w:val="28"/>
          <w:szCs w:val="28"/>
          <w:highlight w:val="none"/>
        </w:rPr>
      </w:pPr>
      <w:bookmarkStart w:id="430" w:name="_Toc30841"/>
      <w:r>
        <w:rPr>
          <w:rFonts w:hint="eastAsia" w:eastAsia="宋体"/>
          <w:b/>
          <w:color w:val="auto"/>
          <w:sz w:val="28"/>
          <w:szCs w:val="28"/>
          <w:highlight w:val="none"/>
        </w:rPr>
        <w:t>16.</w:t>
      </w:r>
      <w:r>
        <w:rPr>
          <w:rFonts w:hint="eastAsia" w:eastAsia="宋体"/>
          <w:b/>
          <w:color w:val="auto"/>
          <w:sz w:val="28"/>
          <w:szCs w:val="28"/>
          <w:highlight w:val="none"/>
          <w:lang w:val="zh-CN"/>
        </w:rPr>
        <w:t>违约赔偿</w:t>
      </w:r>
      <w:bookmarkEnd w:id="430"/>
    </w:p>
    <w:p w14:paraId="78D0B25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除不可抗力因素外，乙方没有按照合同规定的时间交货和提供服务，甲方可要求乙方支付违约金。违约金每日按合同总价款的千分之五计收。</w:t>
      </w:r>
    </w:p>
    <w:p w14:paraId="7F927DE6">
      <w:pPr>
        <w:autoSpaceDE w:val="0"/>
        <w:autoSpaceDN w:val="0"/>
        <w:adjustRightInd w:val="0"/>
        <w:spacing w:line="360" w:lineRule="auto"/>
        <w:ind w:firstLine="562"/>
        <w:rPr>
          <w:rFonts w:hint="eastAsia" w:eastAsia="宋体"/>
          <w:b/>
          <w:color w:val="auto"/>
          <w:sz w:val="28"/>
          <w:szCs w:val="28"/>
          <w:highlight w:val="none"/>
        </w:rPr>
      </w:pPr>
      <w:bookmarkStart w:id="431" w:name="_Toc15853"/>
      <w:r>
        <w:rPr>
          <w:rFonts w:hint="eastAsia" w:eastAsia="宋体"/>
          <w:b/>
          <w:color w:val="auto"/>
          <w:sz w:val="28"/>
          <w:szCs w:val="28"/>
          <w:highlight w:val="none"/>
        </w:rPr>
        <w:t>17.</w:t>
      </w:r>
      <w:r>
        <w:rPr>
          <w:rFonts w:hint="eastAsia" w:eastAsia="宋体"/>
          <w:b/>
          <w:color w:val="auto"/>
          <w:sz w:val="28"/>
          <w:szCs w:val="28"/>
          <w:highlight w:val="none"/>
          <w:lang w:val="zh-CN"/>
        </w:rPr>
        <w:t>不可抗力</w:t>
      </w:r>
      <w:bookmarkEnd w:id="431"/>
    </w:p>
    <w:p w14:paraId="6126523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17.1.</w:t>
      </w:r>
      <w:r>
        <w:rPr>
          <w:rFonts w:hint="eastAsia" w:eastAsia="宋体"/>
          <w:color w:val="auto"/>
          <w:sz w:val="24"/>
          <w:highlight w:val="none"/>
          <w:lang w:val="zh-CN"/>
        </w:rPr>
        <w:t>双方中任何一方遭遇法律规定的不可抗力，致使合同履行受阻时，履行合同的期限应予延长，延长的期限应相当于不可抗力所影响的时间。</w:t>
      </w:r>
    </w:p>
    <w:p w14:paraId="309ABC9F">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17.2</w:t>
      </w:r>
      <w:r>
        <w:rPr>
          <w:rFonts w:hint="eastAsia" w:eastAsia="宋体"/>
          <w:color w:val="auto"/>
          <w:sz w:val="24"/>
          <w:highlight w:val="none"/>
          <w:lang w:val="zh-CN"/>
        </w:rPr>
        <w:t>受事故影响的一方应在不可抗力的事故发生后以书面形式通知另一方。</w:t>
      </w:r>
    </w:p>
    <w:p w14:paraId="6F5EE9B8">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17.3</w:t>
      </w:r>
      <w:r>
        <w:rPr>
          <w:rFonts w:hint="eastAsia" w:eastAsia="宋体"/>
          <w:color w:val="auto"/>
          <w:sz w:val="24"/>
          <w:highlight w:val="none"/>
          <w:lang w:val="zh-CN"/>
        </w:rPr>
        <w:t>不可抗力使合同的某些内容有变更必要的，</w:t>
      </w:r>
      <w:r>
        <w:rPr>
          <w:rFonts w:hint="eastAsia" w:eastAsia="宋体"/>
          <w:color w:val="auto"/>
          <w:sz w:val="24"/>
          <w:highlight w:val="none"/>
        </w:rPr>
        <w:t xml:space="preserve"> </w:t>
      </w:r>
      <w:r>
        <w:rPr>
          <w:rFonts w:hint="eastAsia" w:eastAsia="宋体"/>
          <w:color w:val="auto"/>
          <w:sz w:val="24"/>
          <w:highlight w:val="none"/>
          <w:lang w:val="zh-CN"/>
        </w:rPr>
        <w:t>双方应通过协商达成进一步履行合同的协议，因不可抗力致使合同不能履行的，合同终止。</w:t>
      </w:r>
    </w:p>
    <w:p w14:paraId="323696BF">
      <w:pPr>
        <w:autoSpaceDE w:val="0"/>
        <w:autoSpaceDN w:val="0"/>
        <w:adjustRightInd w:val="0"/>
        <w:spacing w:line="360" w:lineRule="auto"/>
        <w:ind w:firstLine="562"/>
        <w:rPr>
          <w:rFonts w:hint="eastAsia" w:eastAsia="宋体"/>
          <w:b/>
          <w:color w:val="auto"/>
          <w:sz w:val="28"/>
          <w:szCs w:val="28"/>
          <w:highlight w:val="none"/>
        </w:rPr>
      </w:pPr>
      <w:bookmarkStart w:id="432" w:name="_Toc29557"/>
      <w:r>
        <w:rPr>
          <w:rFonts w:hint="eastAsia" w:eastAsia="宋体"/>
          <w:b/>
          <w:color w:val="auto"/>
          <w:sz w:val="28"/>
          <w:szCs w:val="28"/>
          <w:highlight w:val="none"/>
        </w:rPr>
        <w:t>18.</w:t>
      </w:r>
      <w:r>
        <w:rPr>
          <w:rFonts w:hint="eastAsia" w:eastAsia="宋体"/>
          <w:b/>
          <w:color w:val="auto"/>
          <w:sz w:val="28"/>
          <w:szCs w:val="28"/>
          <w:highlight w:val="none"/>
          <w:lang w:val="zh-CN"/>
        </w:rPr>
        <w:t>税费</w:t>
      </w:r>
      <w:bookmarkEnd w:id="432"/>
    </w:p>
    <w:p w14:paraId="3B26C401">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与本合同有关的一切税费均由乙方承担。</w:t>
      </w:r>
    </w:p>
    <w:p w14:paraId="205BB1E4">
      <w:pPr>
        <w:autoSpaceDE w:val="0"/>
        <w:autoSpaceDN w:val="0"/>
        <w:adjustRightInd w:val="0"/>
        <w:spacing w:line="360" w:lineRule="auto"/>
        <w:ind w:firstLine="562"/>
        <w:rPr>
          <w:rFonts w:hint="eastAsia" w:eastAsia="宋体"/>
          <w:b/>
          <w:color w:val="auto"/>
          <w:sz w:val="28"/>
          <w:szCs w:val="28"/>
          <w:highlight w:val="none"/>
        </w:rPr>
      </w:pPr>
      <w:bookmarkStart w:id="433" w:name="_Toc6752"/>
      <w:r>
        <w:rPr>
          <w:rFonts w:hint="eastAsia" w:eastAsia="宋体"/>
          <w:b/>
          <w:color w:val="auto"/>
          <w:sz w:val="28"/>
          <w:szCs w:val="28"/>
          <w:highlight w:val="none"/>
        </w:rPr>
        <w:t>19.</w:t>
      </w:r>
      <w:r>
        <w:rPr>
          <w:rFonts w:hint="eastAsia" w:eastAsia="宋体"/>
          <w:b/>
          <w:color w:val="auto"/>
          <w:sz w:val="28"/>
          <w:szCs w:val="28"/>
          <w:highlight w:val="none"/>
          <w:lang w:val="zh-CN"/>
        </w:rPr>
        <w:t>合同争议的解决</w:t>
      </w:r>
      <w:bookmarkEnd w:id="433"/>
    </w:p>
    <w:p w14:paraId="16ED979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19.1</w:t>
      </w:r>
      <w:r>
        <w:rPr>
          <w:rFonts w:hint="eastAsia" w:eastAsia="宋体"/>
          <w:color w:val="auto"/>
          <w:sz w:val="24"/>
          <w:highlight w:val="none"/>
          <w:lang w:val="zh-CN"/>
        </w:rPr>
        <w:t>甲方和乙方由于本合同的履行而发生任何争议时，双方可先通过协商解决。</w:t>
      </w:r>
    </w:p>
    <w:p w14:paraId="4E60D6AA">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19.2</w:t>
      </w:r>
      <w:r>
        <w:rPr>
          <w:rFonts w:hint="eastAsia" w:eastAsia="宋体"/>
          <w:color w:val="auto"/>
          <w:sz w:val="24"/>
          <w:highlight w:val="none"/>
          <w:lang w:val="zh-CN"/>
        </w:rPr>
        <w:t>任何一方不愿通过协商或通过协商仍不能解决争议，则双方中任何一方均应向甲方所在地人民法院起诉。</w:t>
      </w:r>
    </w:p>
    <w:p w14:paraId="1F35B097">
      <w:pPr>
        <w:autoSpaceDE w:val="0"/>
        <w:autoSpaceDN w:val="0"/>
        <w:adjustRightInd w:val="0"/>
        <w:spacing w:line="360" w:lineRule="auto"/>
        <w:ind w:firstLine="562"/>
        <w:rPr>
          <w:rFonts w:hint="eastAsia" w:eastAsia="宋体"/>
          <w:b/>
          <w:color w:val="auto"/>
          <w:sz w:val="28"/>
          <w:szCs w:val="28"/>
          <w:highlight w:val="none"/>
        </w:rPr>
      </w:pPr>
      <w:bookmarkStart w:id="434" w:name="_Toc905"/>
      <w:r>
        <w:rPr>
          <w:rFonts w:hint="eastAsia" w:eastAsia="宋体"/>
          <w:b/>
          <w:color w:val="auto"/>
          <w:sz w:val="28"/>
          <w:szCs w:val="28"/>
          <w:highlight w:val="none"/>
        </w:rPr>
        <w:t>20.</w:t>
      </w:r>
      <w:r>
        <w:rPr>
          <w:rFonts w:hint="eastAsia" w:eastAsia="宋体"/>
          <w:b/>
          <w:color w:val="auto"/>
          <w:sz w:val="28"/>
          <w:szCs w:val="28"/>
          <w:highlight w:val="none"/>
          <w:lang w:val="zh-CN"/>
        </w:rPr>
        <w:t>违约解除合同</w:t>
      </w:r>
      <w:bookmarkEnd w:id="434"/>
    </w:p>
    <w:p w14:paraId="2127257B">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20.1</w:t>
      </w:r>
      <w:r>
        <w:rPr>
          <w:rFonts w:hint="eastAsia" w:eastAsia="宋体"/>
          <w:color w:val="auto"/>
          <w:sz w:val="24"/>
          <w:highlight w:val="none"/>
          <w:lang w:val="zh-CN"/>
        </w:rPr>
        <w:t>出现下列情形之一的，视为乙方违约。甲方可向乙方发出书面通知，部分或全部终止合同，同时保留向乙方索赔的权利。</w:t>
      </w:r>
    </w:p>
    <w:p w14:paraId="4040BA69">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20.1.1</w:t>
      </w:r>
      <w:r>
        <w:rPr>
          <w:rFonts w:hint="eastAsia" w:eastAsia="宋体"/>
          <w:color w:val="auto"/>
          <w:sz w:val="24"/>
          <w:highlight w:val="none"/>
          <w:lang w:val="zh-CN"/>
        </w:rPr>
        <w:t>乙方未能在合同规定的限期或甲方同意延长的限期内，提供全部或部分货物的；</w:t>
      </w:r>
    </w:p>
    <w:p w14:paraId="68CAE354">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20.1.2</w:t>
      </w:r>
      <w:r>
        <w:rPr>
          <w:rFonts w:hint="eastAsia" w:eastAsia="宋体"/>
          <w:color w:val="auto"/>
          <w:sz w:val="24"/>
          <w:highlight w:val="none"/>
          <w:lang w:val="zh-CN"/>
        </w:rPr>
        <w:t>乙方未能履行合同规定的其它主要义务的；</w:t>
      </w:r>
    </w:p>
    <w:p w14:paraId="5619E02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20.1.3</w:t>
      </w:r>
      <w:r>
        <w:rPr>
          <w:rFonts w:hint="eastAsia" w:eastAsia="宋体"/>
          <w:color w:val="auto"/>
          <w:sz w:val="24"/>
          <w:highlight w:val="none"/>
          <w:lang w:val="zh-CN"/>
        </w:rPr>
        <w:t>乙方在本合同履行过程中有欺诈行为的。</w:t>
      </w:r>
    </w:p>
    <w:p w14:paraId="4A2437F3">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20.2</w:t>
      </w:r>
      <w:r>
        <w:rPr>
          <w:rFonts w:hint="eastAsia" w:eastAsia="宋体"/>
          <w:color w:val="auto"/>
          <w:sz w:val="24"/>
          <w:highlight w:val="none"/>
          <w:lang w:val="zh-CN"/>
        </w:rPr>
        <w:t>甲方全部或部分解除合同之后，应当遵循诚实信用原则购买与未交付的货物类似的货物或服务，乙方应承担买方购买类似货物或服务而产生的额外支出。部分解除合同的，乙方应继续履行合同中未解除的部分。</w:t>
      </w:r>
    </w:p>
    <w:p w14:paraId="47E07D2D">
      <w:pPr>
        <w:autoSpaceDE w:val="0"/>
        <w:autoSpaceDN w:val="0"/>
        <w:adjustRightInd w:val="0"/>
        <w:spacing w:line="360" w:lineRule="auto"/>
        <w:ind w:firstLine="562"/>
        <w:rPr>
          <w:rFonts w:hint="eastAsia" w:eastAsia="宋体"/>
          <w:b/>
          <w:color w:val="auto"/>
          <w:sz w:val="28"/>
          <w:szCs w:val="28"/>
          <w:highlight w:val="none"/>
        </w:rPr>
      </w:pPr>
      <w:bookmarkStart w:id="435" w:name="_Toc20739"/>
      <w:r>
        <w:rPr>
          <w:rFonts w:hint="eastAsia" w:eastAsia="宋体"/>
          <w:b/>
          <w:color w:val="auto"/>
          <w:sz w:val="28"/>
          <w:szCs w:val="28"/>
          <w:highlight w:val="none"/>
        </w:rPr>
        <w:t>21.</w:t>
      </w:r>
      <w:r>
        <w:rPr>
          <w:rFonts w:hint="eastAsia" w:eastAsia="宋体"/>
          <w:b/>
          <w:color w:val="auto"/>
          <w:sz w:val="28"/>
          <w:szCs w:val="28"/>
          <w:highlight w:val="none"/>
          <w:lang w:val="zh-CN"/>
        </w:rPr>
        <w:t>破产终止合同</w:t>
      </w:r>
      <w:bookmarkEnd w:id="435"/>
    </w:p>
    <w:p w14:paraId="6AC1CAE4">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乙方破产而无法完全履行本合同义务时，甲方可以书面方式通知乙方终止合同而不给予乙方补偿。该合同的终止将不损害或不影响甲方已经采取或将要采取任何行动或补救措施的权利。</w:t>
      </w:r>
    </w:p>
    <w:p w14:paraId="7053EB78">
      <w:pPr>
        <w:autoSpaceDE w:val="0"/>
        <w:autoSpaceDN w:val="0"/>
        <w:adjustRightInd w:val="0"/>
        <w:spacing w:line="360" w:lineRule="auto"/>
        <w:ind w:firstLine="562"/>
        <w:rPr>
          <w:rFonts w:hint="eastAsia" w:eastAsia="宋体"/>
          <w:b/>
          <w:color w:val="auto"/>
          <w:sz w:val="28"/>
          <w:szCs w:val="28"/>
          <w:highlight w:val="none"/>
        </w:rPr>
      </w:pPr>
      <w:bookmarkStart w:id="436" w:name="_Toc9636"/>
      <w:r>
        <w:rPr>
          <w:rFonts w:hint="eastAsia" w:eastAsia="宋体"/>
          <w:b/>
          <w:color w:val="auto"/>
          <w:sz w:val="28"/>
          <w:szCs w:val="28"/>
          <w:highlight w:val="none"/>
        </w:rPr>
        <w:t>22.</w:t>
      </w:r>
      <w:r>
        <w:rPr>
          <w:rFonts w:hint="eastAsia" w:eastAsia="宋体"/>
          <w:b/>
          <w:color w:val="auto"/>
          <w:sz w:val="28"/>
          <w:szCs w:val="28"/>
          <w:highlight w:val="none"/>
          <w:lang w:val="zh-CN"/>
        </w:rPr>
        <w:t>转让和分包</w:t>
      </w:r>
      <w:bookmarkEnd w:id="436"/>
    </w:p>
    <w:p w14:paraId="5035EE4E">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22.1</w:t>
      </w:r>
      <w:r>
        <w:rPr>
          <w:rFonts w:hint="eastAsia" w:eastAsia="宋体"/>
          <w:color w:val="auto"/>
          <w:sz w:val="24"/>
          <w:highlight w:val="none"/>
          <w:lang w:val="zh-CN"/>
        </w:rPr>
        <w:t>政府采购合同不能转让。</w:t>
      </w:r>
    </w:p>
    <w:p w14:paraId="3717DA70">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rPr>
        <w:t>22.2</w:t>
      </w:r>
      <w:r>
        <w:rPr>
          <w:rFonts w:hint="eastAsia" w:eastAsia="宋体"/>
          <w:color w:val="auto"/>
          <w:sz w:val="24"/>
          <w:highlight w:val="none"/>
          <w:lang w:val="zh-CN"/>
        </w:rPr>
        <w:t>经甲方书面同意乙方可以将合同条款下非主体、非关键性工作分包给他人完成。接受分包的人应当具备相应的资格条件，并不得再次分包。分包后不能解除卖方履行本合同的责任和义务，接受分包的人与乙方共同对甲方连带承担合同的责任和义务。</w:t>
      </w:r>
    </w:p>
    <w:p w14:paraId="1F0E218A">
      <w:pPr>
        <w:autoSpaceDE w:val="0"/>
        <w:autoSpaceDN w:val="0"/>
        <w:adjustRightInd w:val="0"/>
        <w:spacing w:line="360" w:lineRule="auto"/>
        <w:ind w:firstLine="562"/>
        <w:rPr>
          <w:rFonts w:hint="eastAsia" w:eastAsia="宋体"/>
          <w:b/>
          <w:color w:val="auto"/>
          <w:sz w:val="28"/>
          <w:szCs w:val="28"/>
          <w:highlight w:val="none"/>
        </w:rPr>
      </w:pPr>
      <w:bookmarkStart w:id="437" w:name="_Toc10433"/>
      <w:r>
        <w:rPr>
          <w:rFonts w:hint="eastAsia" w:eastAsia="宋体"/>
          <w:b/>
          <w:color w:val="auto"/>
          <w:sz w:val="28"/>
          <w:szCs w:val="28"/>
          <w:highlight w:val="none"/>
        </w:rPr>
        <w:t>23.</w:t>
      </w:r>
      <w:r>
        <w:rPr>
          <w:rFonts w:hint="eastAsia" w:eastAsia="宋体"/>
          <w:b/>
          <w:color w:val="auto"/>
          <w:sz w:val="28"/>
          <w:szCs w:val="28"/>
          <w:highlight w:val="none"/>
          <w:lang w:val="zh-CN"/>
        </w:rPr>
        <w:t>合同修改</w:t>
      </w:r>
      <w:bookmarkEnd w:id="437"/>
    </w:p>
    <w:p w14:paraId="1119EDB8">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甲方和乙方都不得擅自变更本合同，但合同继续履行将损害国家和社会公共利益的除外。如必须对合同条款进行改动时，当事人双方须共同签署书面文件，做为合同的补充。</w:t>
      </w:r>
    </w:p>
    <w:p w14:paraId="13ED93A9">
      <w:pPr>
        <w:autoSpaceDE w:val="0"/>
        <w:autoSpaceDN w:val="0"/>
        <w:adjustRightInd w:val="0"/>
        <w:spacing w:line="360" w:lineRule="auto"/>
        <w:ind w:firstLine="562"/>
        <w:rPr>
          <w:rFonts w:hint="eastAsia" w:eastAsia="宋体"/>
          <w:b/>
          <w:color w:val="auto"/>
          <w:sz w:val="28"/>
          <w:szCs w:val="28"/>
          <w:highlight w:val="none"/>
        </w:rPr>
      </w:pPr>
      <w:bookmarkStart w:id="438" w:name="_Toc13276"/>
      <w:r>
        <w:rPr>
          <w:rFonts w:hint="eastAsia" w:eastAsia="宋体"/>
          <w:b/>
          <w:color w:val="auto"/>
          <w:sz w:val="28"/>
          <w:szCs w:val="28"/>
          <w:highlight w:val="none"/>
        </w:rPr>
        <w:t>24.</w:t>
      </w:r>
      <w:r>
        <w:rPr>
          <w:rFonts w:hint="eastAsia" w:eastAsia="宋体"/>
          <w:b/>
          <w:color w:val="auto"/>
          <w:sz w:val="28"/>
          <w:szCs w:val="28"/>
          <w:highlight w:val="none"/>
          <w:lang w:val="zh-CN"/>
        </w:rPr>
        <w:t>通知</w:t>
      </w:r>
      <w:bookmarkEnd w:id="438"/>
    </w:p>
    <w:p w14:paraId="1546F877">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本合同任何一方给另一方的通知，都应以书面形式发送，而另一方也应以书面形式确认并发送到对方明确的地址。</w:t>
      </w:r>
    </w:p>
    <w:p w14:paraId="03B5F606">
      <w:pPr>
        <w:autoSpaceDE w:val="0"/>
        <w:autoSpaceDN w:val="0"/>
        <w:adjustRightInd w:val="0"/>
        <w:spacing w:line="360" w:lineRule="auto"/>
        <w:ind w:firstLine="562"/>
        <w:rPr>
          <w:rFonts w:hint="eastAsia" w:eastAsia="宋体"/>
          <w:b/>
          <w:color w:val="auto"/>
          <w:sz w:val="28"/>
          <w:szCs w:val="28"/>
          <w:highlight w:val="none"/>
        </w:rPr>
      </w:pPr>
      <w:bookmarkStart w:id="439" w:name="_Toc20195"/>
      <w:r>
        <w:rPr>
          <w:rFonts w:hint="eastAsia" w:eastAsia="宋体"/>
          <w:b/>
          <w:color w:val="auto"/>
          <w:sz w:val="28"/>
          <w:szCs w:val="28"/>
          <w:highlight w:val="none"/>
        </w:rPr>
        <w:t>25.</w:t>
      </w:r>
      <w:r>
        <w:rPr>
          <w:rFonts w:hint="eastAsia" w:eastAsia="宋体"/>
          <w:b/>
          <w:color w:val="auto"/>
          <w:sz w:val="28"/>
          <w:szCs w:val="28"/>
          <w:highlight w:val="none"/>
          <w:lang w:val="zh-CN"/>
        </w:rPr>
        <w:t>计量单位</w:t>
      </w:r>
      <w:bookmarkEnd w:id="439"/>
    </w:p>
    <w:p w14:paraId="7D97F0D2">
      <w:pPr>
        <w:autoSpaceDE w:val="0"/>
        <w:autoSpaceDN w:val="0"/>
        <w:adjustRightInd w:val="0"/>
        <w:spacing w:line="360" w:lineRule="auto"/>
        <w:ind w:firstLine="480"/>
        <w:rPr>
          <w:rFonts w:hint="eastAsia" w:eastAsia="宋体"/>
          <w:color w:val="auto"/>
          <w:sz w:val="24"/>
          <w:highlight w:val="none"/>
        </w:rPr>
      </w:pPr>
      <w:r>
        <w:rPr>
          <w:rFonts w:hint="eastAsia" w:eastAsia="宋体"/>
          <w:color w:val="auto"/>
          <w:sz w:val="24"/>
          <w:highlight w:val="none"/>
          <w:lang w:val="zh-CN"/>
        </w:rPr>
        <w:t>除技术规范中另有规定外</w:t>
      </w:r>
      <w:r>
        <w:rPr>
          <w:rFonts w:hint="eastAsia" w:eastAsia="宋体"/>
          <w:color w:val="auto"/>
          <w:sz w:val="24"/>
          <w:highlight w:val="none"/>
        </w:rPr>
        <w:t>,</w:t>
      </w:r>
      <w:r>
        <w:rPr>
          <w:rFonts w:hint="eastAsia" w:eastAsia="宋体"/>
          <w:color w:val="auto"/>
          <w:sz w:val="24"/>
          <w:highlight w:val="none"/>
          <w:lang w:val="zh-CN"/>
        </w:rPr>
        <w:t>计量单位均使用国家法定计量单位。</w:t>
      </w:r>
    </w:p>
    <w:p w14:paraId="31CD27D7">
      <w:pPr>
        <w:autoSpaceDE w:val="0"/>
        <w:autoSpaceDN w:val="0"/>
        <w:adjustRightInd w:val="0"/>
        <w:spacing w:line="360" w:lineRule="auto"/>
        <w:ind w:firstLine="562"/>
        <w:rPr>
          <w:rFonts w:hint="eastAsia" w:eastAsia="宋体"/>
          <w:b/>
          <w:color w:val="auto"/>
          <w:sz w:val="28"/>
          <w:szCs w:val="28"/>
          <w:highlight w:val="none"/>
        </w:rPr>
      </w:pPr>
      <w:bookmarkStart w:id="440" w:name="_Toc7093"/>
      <w:r>
        <w:rPr>
          <w:rFonts w:hint="eastAsia" w:eastAsia="宋体"/>
          <w:b/>
          <w:color w:val="auto"/>
          <w:sz w:val="28"/>
          <w:szCs w:val="28"/>
          <w:highlight w:val="none"/>
        </w:rPr>
        <w:t>26.</w:t>
      </w:r>
      <w:r>
        <w:rPr>
          <w:rFonts w:hint="eastAsia" w:eastAsia="宋体"/>
          <w:b/>
          <w:color w:val="auto"/>
          <w:sz w:val="28"/>
          <w:szCs w:val="28"/>
          <w:highlight w:val="none"/>
          <w:lang w:val="zh-CN"/>
        </w:rPr>
        <w:t>适用法律</w:t>
      </w:r>
      <w:bookmarkEnd w:id="440"/>
    </w:p>
    <w:p w14:paraId="78E5AF17">
      <w:pPr>
        <w:autoSpaceDE w:val="0"/>
        <w:autoSpaceDN w:val="0"/>
        <w:adjustRightInd w:val="0"/>
        <w:spacing w:line="360" w:lineRule="auto"/>
        <w:ind w:firstLine="480"/>
        <w:rPr>
          <w:rFonts w:hint="eastAsia" w:eastAsia="宋体"/>
          <w:color w:val="auto"/>
          <w:sz w:val="28"/>
          <w:szCs w:val="28"/>
          <w:highlight w:val="none"/>
        </w:rPr>
      </w:pPr>
      <w:r>
        <w:rPr>
          <w:rFonts w:hint="eastAsia" w:eastAsia="宋体"/>
          <w:color w:val="auto"/>
          <w:sz w:val="24"/>
          <w:highlight w:val="none"/>
          <w:lang w:val="zh-CN"/>
        </w:rPr>
        <w:t>本合同按照中华人民共和国的相关法律进行解释。</w:t>
      </w:r>
    </w:p>
    <w:p w14:paraId="4C809EFF">
      <w:pPr>
        <w:pStyle w:val="18"/>
        <w:spacing w:before="0" w:after="0" w:line="360" w:lineRule="auto"/>
        <w:outlineLvl w:val="0"/>
        <w:rPr>
          <w:rFonts w:hint="eastAsia" w:ascii="宋体" w:hAnsi="宋体" w:eastAsia="宋体" w:cs="宋体"/>
          <w:color w:val="auto"/>
          <w:highlight w:val="none"/>
        </w:rPr>
      </w:pPr>
      <w:bookmarkStart w:id="441" w:name="_Toc495567965"/>
      <w:bookmarkStart w:id="442" w:name="_Toc495666282"/>
      <w:r>
        <w:rPr>
          <w:rFonts w:hint="eastAsia" w:ascii="宋体" w:hAnsi="宋体" w:eastAsia="宋体" w:cs="宋体"/>
          <w:color w:val="auto"/>
          <w:highlight w:val="none"/>
        </w:rPr>
        <w:br w:type="page"/>
      </w:r>
      <w:bookmarkEnd w:id="441"/>
      <w:bookmarkEnd w:id="442"/>
      <w:r>
        <w:rPr>
          <w:rFonts w:hint="eastAsia" w:ascii="宋体" w:hAnsi="宋体" w:eastAsia="宋体" w:cs="宋体"/>
          <w:color w:val="auto"/>
          <w:sz w:val="48"/>
          <w:highlight w:val="none"/>
        </w:rPr>
        <w:t>第五部分 磋商响应文件格式</w:t>
      </w:r>
      <w:bookmarkEnd w:id="396"/>
      <w:bookmarkEnd w:id="397"/>
      <w:bookmarkEnd w:id="398"/>
      <w:bookmarkEnd w:id="399"/>
      <w:bookmarkEnd w:id="400"/>
      <w:bookmarkEnd w:id="401"/>
      <w:bookmarkEnd w:id="402"/>
    </w:p>
    <w:p w14:paraId="42BDD2C2">
      <w:pPr>
        <w:spacing w:line="360" w:lineRule="auto"/>
        <w:rPr>
          <w:rFonts w:hint="eastAsia" w:eastAsia="宋体"/>
          <w:color w:val="auto"/>
          <w:sz w:val="32"/>
          <w:highlight w:val="none"/>
        </w:rPr>
      </w:pPr>
    </w:p>
    <w:p w14:paraId="602B3379">
      <w:pPr>
        <w:widowControl/>
        <w:spacing w:line="360" w:lineRule="auto"/>
        <w:ind w:firstLine="630" w:firstLineChars="224"/>
        <w:rPr>
          <w:rFonts w:hint="eastAsia" w:eastAsia="宋体"/>
          <w:b/>
          <w:bCs/>
          <w:color w:val="auto"/>
          <w:sz w:val="28"/>
          <w:szCs w:val="28"/>
          <w:highlight w:val="none"/>
          <w:lang w:val="zh-CN"/>
        </w:rPr>
      </w:pPr>
      <w:r>
        <w:rPr>
          <w:rFonts w:hint="eastAsia" w:eastAsia="宋体"/>
          <w:b/>
          <w:bCs/>
          <w:color w:val="auto"/>
          <w:sz w:val="28"/>
          <w:szCs w:val="28"/>
          <w:highlight w:val="none"/>
          <w:lang w:val="zh-CN"/>
        </w:rPr>
        <w:t>磋商供应商应严格按照本格式要求编制磋商响应文件，胶装成册并编制相应页码，否则其磋商响应文件将不予接受。</w:t>
      </w:r>
    </w:p>
    <w:p w14:paraId="255166E9">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r>
        <w:rPr>
          <w:rFonts w:hint="eastAsia" w:eastAsia="宋体" w:cs="宋体"/>
          <w:color w:val="auto"/>
          <w:szCs w:val="28"/>
          <w:highlight w:val="none"/>
          <w:lang w:val="zh-CN"/>
        </w:rPr>
        <w:br w:type="page"/>
      </w:r>
      <w:bookmarkStart w:id="443" w:name="_Toc20040"/>
      <w:bookmarkStart w:id="444" w:name="_Toc8824"/>
      <w:bookmarkStart w:id="445" w:name="_Toc18335"/>
      <w:bookmarkStart w:id="446" w:name="_Toc12217"/>
      <w:bookmarkStart w:id="447" w:name="_Toc11587"/>
      <w:r>
        <w:rPr>
          <w:rFonts w:hint="eastAsia" w:eastAsia="宋体" w:cs="宋体"/>
          <w:b/>
          <w:color w:val="auto"/>
          <w:sz w:val="32"/>
          <w:highlight w:val="none"/>
          <w:lang w:val="zh-CN"/>
        </w:rPr>
        <w:t>磋商响应文件封面</w:t>
      </w:r>
      <w:bookmarkEnd w:id="443"/>
      <w:bookmarkEnd w:id="444"/>
      <w:bookmarkEnd w:id="445"/>
      <w:bookmarkEnd w:id="446"/>
      <w:bookmarkEnd w:id="447"/>
    </w:p>
    <w:p w14:paraId="66F9E581">
      <w:pPr>
        <w:spacing w:line="360" w:lineRule="auto"/>
        <w:jc w:val="right"/>
        <w:outlineLvl w:val="2"/>
        <w:rPr>
          <w:rFonts w:hint="eastAsia" w:eastAsia="宋体"/>
          <w:color w:val="auto"/>
          <w:sz w:val="32"/>
          <w:highlight w:val="none"/>
        </w:rPr>
      </w:pPr>
      <w:bookmarkStart w:id="448" w:name="_Toc7367"/>
      <w:r>
        <w:rPr>
          <w:rFonts w:hint="eastAsia" w:eastAsia="宋体"/>
          <w:b/>
          <w:bCs/>
          <w:color w:val="auto"/>
          <w:sz w:val="36"/>
          <w:szCs w:val="36"/>
          <w:highlight w:val="none"/>
        </w:rPr>
        <w:t>正本/副本</w:t>
      </w:r>
      <w:bookmarkEnd w:id="448"/>
    </w:p>
    <w:p w14:paraId="42CDB7F1">
      <w:pPr>
        <w:spacing w:line="360" w:lineRule="auto"/>
        <w:rPr>
          <w:rFonts w:hint="eastAsia" w:eastAsia="宋体"/>
          <w:color w:val="auto"/>
          <w:sz w:val="32"/>
          <w:highlight w:val="none"/>
        </w:rPr>
      </w:pPr>
    </w:p>
    <w:p w14:paraId="287BABCC">
      <w:pPr>
        <w:spacing w:line="360" w:lineRule="auto"/>
        <w:rPr>
          <w:rFonts w:hint="eastAsia" w:eastAsia="宋体"/>
          <w:color w:val="auto"/>
          <w:sz w:val="32"/>
          <w:highlight w:val="none"/>
        </w:rPr>
      </w:pPr>
    </w:p>
    <w:p w14:paraId="26D168AF">
      <w:pPr>
        <w:spacing w:line="360" w:lineRule="auto"/>
        <w:jc w:val="center"/>
        <w:rPr>
          <w:rFonts w:hint="eastAsia" w:eastAsia="宋体"/>
          <w:b/>
          <w:color w:val="auto"/>
          <w:sz w:val="72"/>
          <w:highlight w:val="none"/>
        </w:rPr>
      </w:pPr>
    </w:p>
    <w:p w14:paraId="5B23A0E7">
      <w:pPr>
        <w:spacing w:line="360" w:lineRule="auto"/>
        <w:jc w:val="center"/>
        <w:outlineLvl w:val="2"/>
        <w:rPr>
          <w:rFonts w:hint="eastAsia" w:eastAsia="宋体"/>
          <w:b/>
          <w:color w:val="auto"/>
          <w:sz w:val="96"/>
          <w:highlight w:val="none"/>
        </w:rPr>
      </w:pPr>
      <w:bookmarkStart w:id="449" w:name="_Toc10807"/>
      <w:r>
        <w:rPr>
          <w:rFonts w:hint="eastAsia" w:eastAsia="宋体"/>
          <w:b/>
          <w:color w:val="auto"/>
          <w:sz w:val="72"/>
          <w:highlight w:val="none"/>
        </w:rPr>
        <w:t>青海省政府采购项目</w:t>
      </w:r>
      <w:bookmarkEnd w:id="449"/>
    </w:p>
    <w:p w14:paraId="5A6C47A9">
      <w:pPr>
        <w:spacing w:line="360" w:lineRule="auto"/>
        <w:jc w:val="center"/>
        <w:rPr>
          <w:rFonts w:hint="eastAsia" w:eastAsia="宋体"/>
          <w:b/>
          <w:color w:val="auto"/>
          <w:sz w:val="48"/>
          <w:highlight w:val="none"/>
        </w:rPr>
      </w:pPr>
    </w:p>
    <w:p w14:paraId="54D947AB">
      <w:pPr>
        <w:spacing w:line="360" w:lineRule="auto"/>
        <w:jc w:val="center"/>
        <w:outlineLvl w:val="2"/>
        <w:rPr>
          <w:rFonts w:hint="eastAsia" w:eastAsia="宋体"/>
          <w:b/>
          <w:color w:val="auto"/>
          <w:sz w:val="52"/>
          <w:highlight w:val="none"/>
        </w:rPr>
      </w:pPr>
      <w:bookmarkStart w:id="450" w:name="_Toc23393"/>
      <w:r>
        <w:rPr>
          <w:rFonts w:hint="eastAsia" w:eastAsia="宋体"/>
          <w:b/>
          <w:color w:val="auto"/>
          <w:sz w:val="52"/>
          <w:highlight w:val="none"/>
        </w:rPr>
        <w:t>磋商响应文件</w:t>
      </w:r>
      <w:bookmarkEnd w:id="450"/>
    </w:p>
    <w:p w14:paraId="1BBBE0EB">
      <w:pPr>
        <w:pStyle w:val="10"/>
        <w:rPr>
          <w:rFonts w:hint="eastAsia"/>
          <w:b/>
          <w:color w:val="auto"/>
          <w:sz w:val="52"/>
          <w:highlight w:val="none"/>
        </w:rPr>
      </w:pPr>
    </w:p>
    <w:p w14:paraId="5E6DBBB5">
      <w:pPr>
        <w:pStyle w:val="13"/>
        <w:rPr>
          <w:rFonts w:hint="eastAsia"/>
          <w:color w:val="auto"/>
          <w:highlight w:val="none"/>
        </w:rPr>
      </w:pPr>
    </w:p>
    <w:p w14:paraId="12691226">
      <w:pPr>
        <w:adjustRightInd w:val="0"/>
        <w:spacing w:line="360" w:lineRule="auto"/>
        <w:ind w:firstLine="643" w:firstLineChars="200"/>
        <w:textAlignment w:val="baseline"/>
        <w:outlineLvl w:val="1"/>
        <w:rPr>
          <w:rFonts w:hint="eastAsia" w:eastAsia="宋体"/>
          <w:b/>
          <w:bCs/>
          <w:color w:val="auto"/>
          <w:sz w:val="32"/>
          <w:szCs w:val="32"/>
          <w:highlight w:val="none"/>
          <w:u w:val="single"/>
        </w:rPr>
      </w:pPr>
      <w:bookmarkStart w:id="451" w:name="_Toc13091"/>
      <w:bookmarkStart w:id="452" w:name="_Toc9035"/>
      <w:r>
        <w:rPr>
          <w:rFonts w:hint="eastAsia" w:eastAsia="宋体"/>
          <w:b/>
          <w:bCs/>
          <w:color w:val="auto"/>
          <w:sz w:val="32"/>
          <w:szCs w:val="32"/>
          <w:highlight w:val="none"/>
        </w:rPr>
        <w:t>采购项目编号</w:t>
      </w:r>
      <w:r>
        <w:rPr>
          <w:rFonts w:hint="eastAsia" w:eastAsia="宋体"/>
          <w:color w:val="auto"/>
          <w:sz w:val="32"/>
          <w:szCs w:val="32"/>
          <w:highlight w:val="none"/>
        </w:rPr>
        <w:t>：</w:t>
      </w:r>
      <w:bookmarkEnd w:id="451"/>
      <w:bookmarkEnd w:id="452"/>
      <w:r>
        <w:rPr>
          <w:rFonts w:hint="eastAsia" w:eastAsia="宋体"/>
          <w:color w:val="auto"/>
          <w:sz w:val="32"/>
          <w:szCs w:val="32"/>
          <w:highlight w:val="none"/>
          <w:u w:val="single"/>
        </w:rPr>
        <w:t xml:space="preserve">                              </w:t>
      </w:r>
    </w:p>
    <w:p w14:paraId="2EBABDCD">
      <w:pPr>
        <w:adjustRightInd w:val="0"/>
        <w:spacing w:line="360" w:lineRule="auto"/>
        <w:ind w:firstLine="660"/>
        <w:textAlignment w:val="baseline"/>
        <w:outlineLvl w:val="1"/>
        <w:rPr>
          <w:rFonts w:hint="eastAsia" w:eastAsia="宋体"/>
          <w:b/>
          <w:bCs/>
          <w:color w:val="auto"/>
          <w:sz w:val="32"/>
          <w:szCs w:val="32"/>
          <w:highlight w:val="none"/>
          <w:u w:val="single"/>
        </w:rPr>
      </w:pPr>
      <w:bookmarkStart w:id="453" w:name="_Toc14019"/>
      <w:bookmarkStart w:id="454" w:name="_Toc2036"/>
      <w:bookmarkStart w:id="455" w:name="_Toc17161"/>
      <w:r>
        <w:rPr>
          <w:rFonts w:hint="eastAsia" w:eastAsia="宋体"/>
          <w:b/>
          <w:bCs/>
          <w:color w:val="auto"/>
          <w:sz w:val="32"/>
          <w:szCs w:val="32"/>
          <w:highlight w:val="none"/>
        </w:rPr>
        <w:t>采购项目名称：</w:t>
      </w:r>
      <w:bookmarkEnd w:id="453"/>
      <w:bookmarkEnd w:id="454"/>
      <w:bookmarkEnd w:id="455"/>
      <w:r>
        <w:rPr>
          <w:rFonts w:hint="eastAsia" w:eastAsia="宋体"/>
          <w:b/>
          <w:bCs/>
          <w:color w:val="auto"/>
          <w:sz w:val="32"/>
          <w:szCs w:val="32"/>
          <w:highlight w:val="none"/>
          <w:u w:val="single"/>
        </w:rPr>
        <w:t xml:space="preserve">                       </w:t>
      </w:r>
      <w:r>
        <w:rPr>
          <w:rFonts w:hint="eastAsia" w:eastAsia="宋体"/>
          <w:b/>
          <w:bCs/>
          <w:color w:val="auto"/>
          <w:sz w:val="32"/>
          <w:szCs w:val="32"/>
          <w:highlight w:val="none"/>
          <w:u w:val="single"/>
          <w:lang w:val="en-US" w:eastAsia="zh-CN"/>
        </w:rPr>
        <w:t xml:space="preserve">     </w:t>
      </w:r>
      <w:r>
        <w:rPr>
          <w:rFonts w:hint="eastAsia" w:eastAsia="宋体"/>
          <w:b/>
          <w:bCs/>
          <w:color w:val="auto"/>
          <w:sz w:val="32"/>
          <w:szCs w:val="32"/>
          <w:highlight w:val="none"/>
          <w:u w:val="single"/>
        </w:rPr>
        <w:t xml:space="preserve">  </w:t>
      </w:r>
    </w:p>
    <w:p w14:paraId="196F85A7">
      <w:pPr>
        <w:adjustRightInd w:val="0"/>
        <w:spacing w:line="360" w:lineRule="auto"/>
        <w:ind w:firstLine="643" w:firstLineChars="200"/>
        <w:textAlignment w:val="baseline"/>
        <w:outlineLvl w:val="1"/>
        <w:rPr>
          <w:rFonts w:hint="eastAsia" w:eastAsia="宋体"/>
          <w:b/>
          <w:bCs/>
          <w:color w:val="auto"/>
          <w:sz w:val="32"/>
          <w:szCs w:val="32"/>
          <w:highlight w:val="none"/>
          <w:u w:val="single"/>
        </w:rPr>
      </w:pPr>
      <w:bookmarkStart w:id="456" w:name="_Toc30423"/>
      <w:bookmarkStart w:id="457" w:name="_Toc14342"/>
      <w:bookmarkStart w:id="458" w:name="_Toc773"/>
      <w:r>
        <w:rPr>
          <w:rFonts w:hint="eastAsia" w:eastAsia="宋体"/>
          <w:b/>
          <w:bCs/>
          <w:color w:val="auto"/>
          <w:sz w:val="32"/>
          <w:szCs w:val="32"/>
          <w:highlight w:val="none"/>
        </w:rPr>
        <w:t>磋商供应商</w:t>
      </w:r>
      <w:r>
        <w:rPr>
          <w:rFonts w:hint="eastAsia" w:eastAsia="宋体"/>
          <w:b/>
          <w:color w:val="auto"/>
          <w:sz w:val="32"/>
          <w:szCs w:val="32"/>
          <w:highlight w:val="none"/>
        </w:rPr>
        <w:t>：</w:t>
      </w:r>
      <w:r>
        <w:rPr>
          <w:rFonts w:hint="eastAsia" w:eastAsia="宋体"/>
          <w:b/>
          <w:color w:val="auto"/>
          <w:sz w:val="32"/>
          <w:szCs w:val="32"/>
          <w:highlight w:val="none"/>
          <w:u w:val="single"/>
        </w:rPr>
        <w:t xml:space="preserve">                        （公章）</w:t>
      </w:r>
      <w:bookmarkEnd w:id="456"/>
      <w:bookmarkEnd w:id="457"/>
      <w:bookmarkEnd w:id="458"/>
    </w:p>
    <w:p w14:paraId="690C118D">
      <w:pPr>
        <w:adjustRightInd w:val="0"/>
        <w:spacing w:line="360" w:lineRule="auto"/>
        <w:ind w:firstLine="643" w:firstLineChars="200"/>
        <w:textAlignment w:val="baseline"/>
        <w:outlineLvl w:val="1"/>
        <w:rPr>
          <w:rFonts w:hint="eastAsia" w:eastAsia="宋体"/>
          <w:b/>
          <w:color w:val="auto"/>
          <w:sz w:val="32"/>
          <w:highlight w:val="none"/>
          <w:u w:val="single"/>
        </w:rPr>
      </w:pPr>
      <w:bookmarkStart w:id="459" w:name="_Toc30730"/>
      <w:bookmarkStart w:id="460" w:name="_Toc11942"/>
      <w:bookmarkStart w:id="461" w:name="_Toc5242"/>
      <w:r>
        <w:rPr>
          <w:rFonts w:hint="eastAsia" w:eastAsia="宋体"/>
          <w:b/>
          <w:color w:val="auto"/>
          <w:sz w:val="32"/>
          <w:highlight w:val="none"/>
        </w:rPr>
        <w:t>法定代表人：</w:t>
      </w:r>
      <w:r>
        <w:rPr>
          <w:rFonts w:hint="eastAsia" w:eastAsia="宋体"/>
          <w:b/>
          <w:color w:val="auto"/>
          <w:sz w:val="32"/>
          <w:highlight w:val="none"/>
          <w:u w:val="single"/>
        </w:rPr>
        <w:t xml:space="preserve">            （签字或加盖法人章）</w:t>
      </w:r>
      <w:bookmarkEnd w:id="459"/>
      <w:bookmarkEnd w:id="460"/>
      <w:bookmarkEnd w:id="461"/>
    </w:p>
    <w:p w14:paraId="2BAAE076">
      <w:pPr>
        <w:adjustRightInd w:val="0"/>
        <w:spacing w:line="360" w:lineRule="auto"/>
        <w:ind w:firstLine="643" w:firstLineChars="200"/>
        <w:textAlignment w:val="baseline"/>
        <w:rPr>
          <w:rFonts w:hint="eastAsia" w:eastAsia="宋体"/>
          <w:b/>
          <w:color w:val="auto"/>
          <w:sz w:val="32"/>
          <w:highlight w:val="none"/>
          <w:u w:val="single"/>
        </w:rPr>
      </w:pPr>
    </w:p>
    <w:p w14:paraId="69D46E5F">
      <w:pPr>
        <w:spacing w:line="360" w:lineRule="auto"/>
        <w:jc w:val="center"/>
        <w:rPr>
          <w:rFonts w:hint="eastAsia" w:eastAsia="宋体"/>
          <w:color w:val="auto"/>
          <w:sz w:val="32"/>
          <w:highlight w:val="none"/>
        </w:rPr>
      </w:pPr>
      <w:r>
        <w:rPr>
          <w:rFonts w:hint="eastAsia" w:eastAsia="宋体"/>
          <w:b/>
          <w:bCs/>
          <w:color w:val="auto"/>
          <w:sz w:val="32"/>
          <w:highlight w:val="none"/>
        </w:rPr>
        <w:t>年   月  日</w:t>
      </w:r>
      <w:bookmarkStart w:id="462" w:name="_Toc444715735"/>
    </w:p>
    <w:p w14:paraId="45768A4F">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r>
        <w:rPr>
          <w:rFonts w:hint="eastAsia" w:eastAsia="宋体" w:cs="宋体"/>
          <w:color w:val="auto"/>
          <w:highlight w:val="none"/>
        </w:rPr>
        <w:br w:type="page"/>
      </w:r>
      <w:bookmarkStart w:id="463" w:name="_Toc4920"/>
      <w:bookmarkStart w:id="464" w:name="_Toc19090"/>
      <w:bookmarkStart w:id="465" w:name="_Toc18400"/>
      <w:bookmarkStart w:id="466" w:name="_Toc8432"/>
      <w:bookmarkStart w:id="467" w:name="_Toc24672"/>
      <w:r>
        <w:rPr>
          <w:rFonts w:hint="eastAsia" w:eastAsia="宋体" w:cs="宋体"/>
          <w:b/>
          <w:color w:val="auto"/>
          <w:sz w:val="32"/>
          <w:highlight w:val="none"/>
          <w:lang w:val="zh-CN"/>
        </w:rPr>
        <w:t>磋商响应文件目录</w:t>
      </w:r>
      <w:bookmarkEnd w:id="462"/>
      <w:bookmarkEnd w:id="463"/>
      <w:bookmarkEnd w:id="464"/>
      <w:bookmarkEnd w:id="465"/>
      <w:bookmarkEnd w:id="466"/>
      <w:bookmarkEnd w:id="467"/>
    </w:p>
    <w:p w14:paraId="71A37D09">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_Toc24100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1、磋商函</w:t>
      </w:r>
      <w:r>
        <w:rPr>
          <w:rFonts w:hint="eastAsia" w:eastAsia="宋体"/>
          <w:color w:val="auto"/>
          <w:sz w:val="24"/>
          <w:szCs w:val="24"/>
          <w:highlight w:val="none"/>
          <w:lang w:val="zh-CN"/>
        </w:rPr>
        <w:fldChar w:fldCharType="end"/>
      </w:r>
      <w:r>
        <w:rPr>
          <w:rFonts w:hint="eastAsia"/>
          <w:color w:val="auto"/>
          <w:sz w:val="24"/>
          <w:szCs w:val="24"/>
          <w:highlight w:val="none"/>
        </w:rPr>
        <w:tab/>
      </w:r>
      <w:r>
        <w:rPr>
          <w:rFonts w:hint="eastAsia" w:eastAsia="宋体"/>
          <w:color w:val="auto"/>
          <w:sz w:val="24"/>
          <w:szCs w:val="24"/>
          <w:highlight w:val="none"/>
        </w:rPr>
        <w:t>..................................................</w:t>
      </w:r>
      <w:r>
        <w:rPr>
          <w:rFonts w:hint="eastAsia"/>
          <w:color w:val="auto"/>
          <w:sz w:val="24"/>
          <w:szCs w:val="24"/>
          <w:highlight w:val="none"/>
          <w:lang w:val="zh-CN"/>
        </w:rPr>
        <w:t>所在页码</w:t>
      </w:r>
    </w:p>
    <w:p w14:paraId="4D7A347D">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_Toc15138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2、法定代表人证明书</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62C126F5">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_Toc27402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3、法定代表人授权书</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6B51BB62">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_Toc14487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4、磋商供应商承诺书</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54F9B552">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_Toc25171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5、供应商诚信承诺书</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05476F3B">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_Toc28522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6、资格证明材料</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03E3F8AA">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_Toc9458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7、财务状况、缴纳税收和社会保障资金证明</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2871DD78">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_Toc15071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8、具备履行合同所必须的设备和专业技术能力证明</w:t>
      </w:r>
      <w:r>
        <w:rPr>
          <w:rFonts w:hint="eastAsia" w:eastAsia="宋体"/>
          <w:color w:val="auto"/>
          <w:sz w:val="24"/>
          <w:szCs w:val="24"/>
          <w:highlight w:val="none"/>
        </w:rPr>
        <w:t>...............</w:t>
      </w:r>
      <w:r>
        <w:rPr>
          <w:rFonts w:hint="eastAsia"/>
          <w:color w:val="auto"/>
          <w:sz w:val="24"/>
          <w:szCs w:val="24"/>
          <w:highlight w:val="none"/>
          <w:lang w:val="zh-CN"/>
        </w:rPr>
        <w:t>所在页码</w:t>
      </w:r>
    </w:p>
    <w:p w14:paraId="179B6991">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end"/>
      </w:r>
      <w:r>
        <w:rPr>
          <w:rFonts w:hint="eastAsia" w:eastAsia="宋体"/>
          <w:color w:val="auto"/>
          <w:sz w:val="24"/>
          <w:szCs w:val="24"/>
          <w:highlight w:val="none"/>
        </w:rPr>
        <w:t>9、磋商保证金证明...........................................</w:t>
      </w:r>
      <w:r>
        <w:rPr>
          <w:rFonts w:hint="eastAsia"/>
          <w:color w:val="auto"/>
          <w:sz w:val="24"/>
          <w:szCs w:val="24"/>
          <w:highlight w:val="none"/>
          <w:lang w:val="zh-CN"/>
        </w:rPr>
        <w:t>所在页码</w:t>
      </w:r>
    </w:p>
    <w:p w14:paraId="455FA747">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_Toc11963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10、无重大违法记录声明</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3BA332FA">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_Toc26289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11、未被列入“失信被执行人”的承诺</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2F61264C">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_Toc9955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12、评分对照表</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2B67284E">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_Toc1532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13、竞争性磋商首次报价表</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22133BCC">
      <w:pPr>
        <w:spacing w:line="360" w:lineRule="auto"/>
        <w:jc w:val="left"/>
        <w:rPr>
          <w:rFonts w:hint="eastAsia"/>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_Toc16850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14、分项报价表</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eastAsia="宋体"/>
          <w:color w:val="auto"/>
          <w:sz w:val="24"/>
          <w:szCs w:val="24"/>
          <w:highlight w:val="none"/>
          <w:lang w:val="en-US" w:eastAsia="zh-CN"/>
        </w:rPr>
        <w:t xml:space="preserve"> </w:t>
      </w:r>
      <w:r>
        <w:rPr>
          <w:rFonts w:hint="eastAsia"/>
          <w:color w:val="auto"/>
          <w:sz w:val="24"/>
          <w:szCs w:val="24"/>
          <w:highlight w:val="none"/>
          <w:lang w:val="zh-CN"/>
        </w:rPr>
        <w:t>所在页码</w:t>
      </w:r>
      <w:r>
        <w:rPr>
          <w:rFonts w:hint="eastAsia" w:eastAsia="宋体"/>
          <w:color w:val="auto"/>
          <w:sz w:val="24"/>
          <w:szCs w:val="24"/>
          <w:highlight w:val="none"/>
          <w:lang w:val="zh-CN"/>
        </w:rPr>
        <w:t>15、</w:t>
      </w:r>
      <w:r>
        <w:rPr>
          <w:rFonts w:hint="eastAsia" w:eastAsia="宋体"/>
          <w:color w:val="auto"/>
          <w:sz w:val="24"/>
          <w:szCs w:val="24"/>
          <w:highlight w:val="none"/>
          <w:lang w:val="en-US" w:eastAsia="zh-CN"/>
        </w:rPr>
        <w:t>技术规格</w:t>
      </w:r>
      <w:r>
        <w:rPr>
          <w:rFonts w:hint="eastAsia" w:eastAsia="宋体"/>
          <w:color w:val="auto"/>
          <w:sz w:val="24"/>
          <w:szCs w:val="24"/>
          <w:highlight w:val="none"/>
          <w:lang w:val="zh-CN"/>
        </w:rPr>
        <w:t>响应表</w:t>
      </w:r>
      <w:r>
        <w:rPr>
          <w:rFonts w:hint="eastAsia" w:eastAsia="宋体"/>
          <w:color w:val="auto"/>
          <w:sz w:val="24"/>
          <w:szCs w:val="24"/>
          <w:highlight w:val="none"/>
        </w:rPr>
        <w:t>...........................................</w:t>
      </w:r>
      <w:r>
        <w:rPr>
          <w:rFonts w:hint="eastAsia"/>
          <w:color w:val="auto"/>
          <w:sz w:val="24"/>
          <w:szCs w:val="24"/>
          <w:highlight w:val="none"/>
          <w:lang w:val="zh-CN"/>
        </w:rPr>
        <w:t>所在页码</w:t>
      </w:r>
    </w:p>
    <w:p w14:paraId="734228FB">
      <w:pPr>
        <w:spacing w:line="360" w:lineRule="auto"/>
        <w:jc w:val="left"/>
        <w:rPr>
          <w:rFonts w:hint="eastAsia"/>
          <w:color w:val="auto"/>
          <w:sz w:val="24"/>
          <w:szCs w:val="24"/>
          <w:highlight w:val="none"/>
          <w:lang w:val="zh-CN"/>
        </w:rPr>
      </w:pPr>
      <w:r>
        <w:rPr>
          <w:rFonts w:hint="eastAsia" w:eastAsia="宋体"/>
          <w:color w:val="auto"/>
          <w:sz w:val="24"/>
          <w:szCs w:val="24"/>
          <w:highlight w:val="none"/>
          <w:lang w:val="zh-CN"/>
        </w:rPr>
        <w:t>1</w:t>
      </w:r>
      <w:r>
        <w:rPr>
          <w:rFonts w:hint="eastAsia" w:eastAsia="宋体"/>
          <w:color w:val="auto"/>
          <w:sz w:val="24"/>
          <w:szCs w:val="24"/>
          <w:highlight w:val="none"/>
          <w:lang w:val="en-US" w:eastAsia="zh-CN"/>
        </w:rPr>
        <w:t>6</w:t>
      </w:r>
      <w:r>
        <w:rPr>
          <w:rFonts w:hint="eastAsia" w:eastAsia="宋体"/>
          <w:color w:val="auto"/>
          <w:sz w:val="24"/>
          <w:szCs w:val="24"/>
          <w:highlight w:val="none"/>
          <w:lang w:val="zh-CN"/>
        </w:rPr>
        <w:t>、</w:t>
      </w:r>
      <w:r>
        <w:rPr>
          <w:rFonts w:hint="eastAsia" w:eastAsia="宋体"/>
          <w:color w:val="auto"/>
          <w:sz w:val="24"/>
          <w:szCs w:val="24"/>
          <w:highlight w:val="none"/>
          <w:lang w:val="zh-CN" w:eastAsia="zh-CN"/>
        </w:rPr>
        <w:t>磋商产品相关资料</w:t>
      </w:r>
      <w:r>
        <w:rPr>
          <w:rFonts w:hint="eastAsia" w:eastAsia="宋体"/>
          <w:color w:val="auto"/>
          <w:sz w:val="24"/>
          <w:szCs w:val="24"/>
          <w:highlight w:val="none"/>
        </w:rPr>
        <w:t>.........................................</w:t>
      </w:r>
      <w:r>
        <w:rPr>
          <w:rFonts w:hint="eastAsia"/>
          <w:color w:val="auto"/>
          <w:sz w:val="24"/>
          <w:szCs w:val="24"/>
          <w:highlight w:val="none"/>
          <w:lang w:val="zh-CN"/>
        </w:rPr>
        <w:t>所在页码</w:t>
      </w:r>
    </w:p>
    <w:p w14:paraId="45A1AA5C">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_Toc6753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w:t>
      </w:r>
      <w:r>
        <w:rPr>
          <w:rFonts w:hint="eastAsia" w:eastAsia="宋体"/>
          <w:color w:val="auto"/>
          <w:sz w:val="24"/>
          <w:szCs w:val="24"/>
          <w:highlight w:val="none"/>
          <w:lang w:val="en-US" w:eastAsia="zh-CN"/>
        </w:rPr>
        <w:t>7</w:t>
      </w:r>
      <w:r>
        <w:rPr>
          <w:rFonts w:hint="eastAsia" w:eastAsia="宋体"/>
          <w:color w:val="auto"/>
          <w:sz w:val="24"/>
          <w:szCs w:val="24"/>
          <w:highlight w:val="none"/>
          <w:lang w:val="zh-CN"/>
        </w:rPr>
        <w:t>、实施方案</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2CD25525">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_Toc26157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1</w:t>
      </w:r>
      <w:r>
        <w:rPr>
          <w:rFonts w:hint="eastAsia" w:eastAsia="宋体"/>
          <w:color w:val="auto"/>
          <w:sz w:val="24"/>
          <w:szCs w:val="24"/>
          <w:highlight w:val="none"/>
          <w:lang w:val="en-US" w:eastAsia="zh-CN"/>
        </w:rPr>
        <w:t>8</w:t>
      </w:r>
      <w:r>
        <w:rPr>
          <w:rFonts w:hint="eastAsia" w:eastAsia="宋体"/>
          <w:color w:val="auto"/>
          <w:sz w:val="24"/>
          <w:szCs w:val="24"/>
          <w:highlight w:val="none"/>
          <w:lang w:val="zh-CN"/>
        </w:rPr>
        <w:t>、供应商的业绩证明材料</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6F6B903F">
      <w:pPr>
        <w:spacing w:line="360" w:lineRule="auto"/>
        <w:rPr>
          <w:rFonts w:hint="eastAsia" w:eastAsia="宋体"/>
          <w:color w:val="auto"/>
          <w:sz w:val="24"/>
          <w:szCs w:val="24"/>
          <w:highlight w:val="none"/>
          <w:lang w:val="zh-CN"/>
        </w:rPr>
      </w:pPr>
      <w:r>
        <w:rPr>
          <w:rFonts w:hint="eastAsia" w:eastAsia="宋体"/>
          <w:color w:val="auto"/>
          <w:sz w:val="24"/>
          <w:szCs w:val="24"/>
          <w:highlight w:val="none"/>
        </w:rPr>
        <w:t>1</w:t>
      </w:r>
      <w:r>
        <w:rPr>
          <w:rFonts w:hint="eastAsia" w:eastAsia="宋体"/>
          <w:color w:val="auto"/>
          <w:sz w:val="24"/>
          <w:szCs w:val="24"/>
          <w:highlight w:val="none"/>
          <w:lang w:val="en-US" w:eastAsia="zh-CN"/>
        </w:rPr>
        <w:t>9</w:t>
      </w:r>
      <w:r>
        <w:rPr>
          <w:rFonts w:hint="eastAsia" w:eastAsia="宋体"/>
          <w:color w:val="auto"/>
          <w:sz w:val="24"/>
          <w:szCs w:val="24"/>
          <w:highlight w:val="none"/>
          <w:lang w:val="zh-CN"/>
        </w:rPr>
        <w:t>、</w:t>
      </w:r>
      <w:r>
        <w:rPr>
          <w:rFonts w:hint="eastAsia"/>
          <w:color w:val="auto"/>
          <w:sz w:val="24"/>
          <w:szCs w:val="24"/>
          <w:highlight w:val="none"/>
          <w:lang w:val="zh-CN"/>
        </w:rPr>
        <w:t>项目管理机构人员配备</w:t>
      </w:r>
      <w:r>
        <w:rPr>
          <w:rFonts w:hint="eastAsia" w:eastAsia="宋体"/>
          <w:color w:val="auto"/>
          <w:sz w:val="24"/>
          <w:szCs w:val="24"/>
          <w:highlight w:val="none"/>
        </w:rPr>
        <w:t>....................................</w:t>
      </w:r>
      <w:r>
        <w:rPr>
          <w:rFonts w:hint="eastAsia"/>
          <w:color w:val="auto"/>
          <w:sz w:val="24"/>
          <w:szCs w:val="24"/>
          <w:highlight w:val="none"/>
          <w:lang w:val="zh-CN"/>
        </w:rPr>
        <w:t>所在页码</w:t>
      </w:r>
    </w:p>
    <w:p w14:paraId="3F5A13C7">
      <w:pPr>
        <w:spacing w:line="360" w:lineRule="auto"/>
        <w:rPr>
          <w:rFonts w:hint="eastAsia" w:eastAsia="宋体"/>
          <w:color w:val="auto"/>
          <w:sz w:val="24"/>
          <w:szCs w:val="24"/>
          <w:highlight w:val="none"/>
          <w:lang w:val="zh-CN"/>
        </w:rPr>
      </w:pPr>
      <w:r>
        <w:rPr>
          <w:rFonts w:hint="eastAsia" w:eastAsia="宋体"/>
          <w:color w:val="auto"/>
          <w:sz w:val="24"/>
          <w:szCs w:val="24"/>
          <w:highlight w:val="none"/>
          <w:lang w:val="en-US" w:eastAsia="zh-CN"/>
        </w:rPr>
        <w:t>20、</w:t>
      </w:r>
      <w:r>
        <w:rPr>
          <w:rFonts w:hint="eastAsia" w:eastAsia="宋体"/>
          <w:color w:val="auto"/>
          <w:sz w:val="24"/>
          <w:szCs w:val="24"/>
          <w:highlight w:val="none"/>
          <w:lang w:val="zh-CN"/>
        </w:rPr>
        <w:fldChar w:fldCharType="begin"/>
      </w:r>
      <w:r>
        <w:rPr>
          <w:rFonts w:hint="eastAsia" w:eastAsia="宋体"/>
          <w:color w:val="auto"/>
          <w:sz w:val="24"/>
          <w:szCs w:val="24"/>
          <w:highlight w:val="none"/>
          <w:lang w:val="zh-CN"/>
        </w:rPr>
        <w:instrText xml:space="preserve"> HYPERLINK \l _Toc31467 </w:instrText>
      </w:r>
      <w:r>
        <w:rPr>
          <w:rFonts w:hint="eastAsia" w:eastAsia="宋体"/>
          <w:color w:val="auto"/>
          <w:sz w:val="24"/>
          <w:szCs w:val="24"/>
          <w:highlight w:val="none"/>
          <w:lang w:val="zh-CN"/>
        </w:rPr>
        <w:fldChar w:fldCharType="separate"/>
      </w:r>
      <w:r>
        <w:rPr>
          <w:rFonts w:hint="eastAsia" w:eastAsia="宋体"/>
          <w:color w:val="auto"/>
          <w:sz w:val="24"/>
          <w:szCs w:val="24"/>
          <w:highlight w:val="none"/>
          <w:lang w:val="zh-CN"/>
        </w:rPr>
        <w:t>磋商供应商认为在其他方面有必要说明的事项</w:t>
      </w:r>
      <w:r>
        <w:rPr>
          <w:rFonts w:hint="eastAsia" w:eastAsia="宋体"/>
          <w:color w:val="auto"/>
          <w:sz w:val="24"/>
          <w:szCs w:val="24"/>
          <w:highlight w:val="none"/>
        </w:rPr>
        <w:t>.</w:t>
      </w:r>
      <w:r>
        <w:rPr>
          <w:rFonts w:hint="eastAsia" w:eastAsia="宋体"/>
          <w:color w:val="auto"/>
          <w:sz w:val="24"/>
          <w:szCs w:val="24"/>
          <w:highlight w:val="none"/>
          <w:lang w:val="zh-CN"/>
        </w:rPr>
        <w:fldChar w:fldCharType="end"/>
      </w:r>
      <w:r>
        <w:rPr>
          <w:rFonts w:hint="eastAsia" w:eastAsia="宋体"/>
          <w:color w:val="auto"/>
          <w:sz w:val="24"/>
          <w:szCs w:val="24"/>
          <w:highlight w:val="none"/>
        </w:rPr>
        <w:t>...............</w:t>
      </w:r>
      <w:r>
        <w:rPr>
          <w:rFonts w:hint="eastAsia"/>
          <w:color w:val="auto"/>
          <w:sz w:val="24"/>
          <w:szCs w:val="24"/>
          <w:highlight w:val="none"/>
          <w:lang w:val="zh-CN"/>
        </w:rPr>
        <w:t>所在页码</w:t>
      </w:r>
    </w:p>
    <w:p w14:paraId="1594DAAD">
      <w:pPr>
        <w:pStyle w:val="32"/>
        <w:tabs>
          <w:tab w:val="right" w:leader="dot" w:pos="8306"/>
        </w:tabs>
        <w:rPr>
          <w:rFonts w:hint="default" w:ascii="宋体" w:hAnsi="宋体" w:eastAsia="宋体" w:cs="宋体"/>
          <w:color w:val="auto"/>
          <w:sz w:val="24"/>
          <w:szCs w:val="22"/>
          <w:highlight w:val="none"/>
          <w:lang w:val="en-US" w:eastAsia="zh-CN"/>
        </w:rPr>
      </w:pPr>
      <w:r>
        <w:rPr>
          <w:rFonts w:hint="eastAsia" w:ascii="宋体" w:hAnsi="宋体" w:cs="宋体"/>
          <w:color w:val="auto"/>
          <w:sz w:val="24"/>
          <w:szCs w:val="22"/>
          <w:highlight w:val="none"/>
          <w:lang w:val="en-US" w:eastAsia="zh-CN"/>
        </w:rPr>
        <w:t>最终报价表（单独提交）</w:t>
      </w:r>
    </w:p>
    <w:p w14:paraId="0A443601">
      <w:pPr>
        <w:autoSpaceDE w:val="0"/>
        <w:autoSpaceDN w:val="0"/>
        <w:spacing w:line="360" w:lineRule="auto"/>
        <w:ind w:firstLine="240" w:firstLineChars="100"/>
        <w:rPr>
          <w:rFonts w:hint="eastAsia" w:eastAsia="宋体"/>
          <w:color w:val="auto"/>
          <w:sz w:val="24"/>
          <w:szCs w:val="22"/>
          <w:highlight w:val="none"/>
          <w:lang w:val="zh-CN"/>
        </w:rPr>
      </w:pPr>
    </w:p>
    <w:p w14:paraId="43E9D58F">
      <w:pPr>
        <w:pStyle w:val="4"/>
        <w:numPr>
          <w:ilvl w:val="0"/>
          <w:numId w:val="0"/>
        </w:numPr>
        <w:tabs>
          <w:tab w:val="left" w:pos="425"/>
        </w:tabs>
        <w:spacing w:line="360" w:lineRule="auto"/>
        <w:ind w:left="709" w:hanging="709"/>
        <w:rPr>
          <w:rFonts w:hint="eastAsia" w:eastAsia="宋体" w:cs="宋体"/>
          <w:color w:val="auto"/>
          <w:highlight w:val="none"/>
        </w:rPr>
      </w:pPr>
      <w:r>
        <w:rPr>
          <w:rFonts w:hint="eastAsia" w:eastAsia="宋体" w:cs="宋体"/>
          <w:b/>
          <w:bCs/>
          <w:color w:val="auto"/>
          <w:highlight w:val="none"/>
        </w:rPr>
        <w:br w:type="page"/>
      </w:r>
      <w:bookmarkStart w:id="468" w:name="_Toc20107"/>
      <w:bookmarkStart w:id="469" w:name="_Toc24100"/>
      <w:bookmarkStart w:id="470" w:name="_Toc3281"/>
      <w:bookmarkStart w:id="471" w:name="_Toc10569"/>
      <w:bookmarkStart w:id="472" w:name="_Toc32613"/>
      <w:bookmarkStart w:id="473" w:name="_Toc18323"/>
      <w:r>
        <w:rPr>
          <w:rFonts w:hint="eastAsia" w:eastAsia="宋体" w:cs="宋体"/>
          <w:b/>
          <w:color w:val="auto"/>
          <w:sz w:val="32"/>
          <w:highlight w:val="none"/>
          <w:lang w:val="zh-CN"/>
        </w:rPr>
        <w:t>格式1、磋商函</w:t>
      </w:r>
      <w:bookmarkEnd w:id="468"/>
      <w:bookmarkEnd w:id="469"/>
      <w:bookmarkEnd w:id="470"/>
      <w:bookmarkEnd w:id="471"/>
      <w:bookmarkEnd w:id="472"/>
      <w:bookmarkEnd w:id="473"/>
    </w:p>
    <w:p w14:paraId="4FAF0BC0">
      <w:pPr>
        <w:adjustRightInd w:val="0"/>
        <w:spacing w:line="360" w:lineRule="auto"/>
        <w:jc w:val="center"/>
        <w:textAlignment w:val="baseline"/>
        <w:rPr>
          <w:rFonts w:hint="eastAsia" w:eastAsia="宋体"/>
          <w:b/>
          <w:color w:val="auto"/>
          <w:sz w:val="32"/>
          <w:szCs w:val="30"/>
          <w:highlight w:val="none"/>
        </w:rPr>
      </w:pPr>
      <w:r>
        <w:rPr>
          <w:rFonts w:hint="eastAsia" w:eastAsia="宋体"/>
          <w:b/>
          <w:color w:val="auto"/>
          <w:sz w:val="32"/>
          <w:szCs w:val="30"/>
          <w:highlight w:val="none"/>
        </w:rPr>
        <w:t>磋 商 函</w:t>
      </w:r>
    </w:p>
    <w:p w14:paraId="6A7FDE8D">
      <w:pPr>
        <w:adjustRightInd w:val="0"/>
        <w:spacing w:line="360" w:lineRule="auto"/>
        <w:ind w:left="482" w:hanging="482" w:hangingChars="200"/>
        <w:textAlignment w:val="baseline"/>
        <w:outlineLvl w:val="1"/>
        <w:rPr>
          <w:rFonts w:hint="eastAsia" w:eastAsia="宋体"/>
          <w:b/>
          <w:color w:val="auto"/>
          <w:sz w:val="24"/>
          <w:highlight w:val="none"/>
        </w:rPr>
      </w:pPr>
      <w:bookmarkStart w:id="474" w:name="_Toc27822"/>
      <w:bookmarkStart w:id="475" w:name="_Toc12717"/>
      <w:bookmarkStart w:id="476" w:name="_Toc28620"/>
      <w:r>
        <w:rPr>
          <w:rFonts w:hint="eastAsia" w:eastAsia="宋体"/>
          <w:b/>
          <w:color w:val="auto"/>
          <w:sz w:val="24"/>
          <w:highlight w:val="none"/>
        </w:rPr>
        <w:t>致：青海中旭工程项目管理有限公司：</w:t>
      </w:r>
      <w:bookmarkEnd w:id="474"/>
      <w:bookmarkEnd w:id="475"/>
      <w:bookmarkEnd w:id="476"/>
    </w:p>
    <w:p w14:paraId="29ECBB41">
      <w:pPr>
        <w:adjustRightInd w:val="0"/>
        <w:spacing w:line="360" w:lineRule="auto"/>
        <w:ind w:firstLine="480" w:firstLineChars="200"/>
        <w:textAlignment w:val="baseline"/>
        <w:rPr>
          <w:rFonts w:hint="eastAsia" w:eastAsia="宋体"/>
          <w:color w:val="auto"/>
          <w:sz w:val="24"/>
          <w:highlight w:val="none"/>
        </w:rPr>
      </w:pPr>
      <w:r>
        <w:rPr>
          <w:rFonts w:hint="eastAsia" w:eastAsia="宋体"/>
          <w:color w:val="auto"/>
          <w:sz w:val="24"/>
          <w:highlight w:val="none"/>
        </w:rPr>
        <w:t>我们收到</w:t>
      </w:r>
      <w:r>
        <w:rPr>
          <w:rFonts w:hint="eastAsia" w:eastAsia="宋体"/>
          <w:color w:val="auto"/>
          <w:sz w:val="24"/>
          <w:highlight w:val="none"/>
          <w:u w:val="single"/>
        </w:rPr>
        <w:t xml:space="preserve">（项目名称）        </w:t>
      </w:r>
      <w:r>
        <w:rPr>
          <w:rFonts w:hint="eastAsia" w:eastAsia="宋体"/>
          <w:color w:val="auto"/>
          <w:sz w:val="24"/>
          <w:highlight w:val="none"/>
        </w:rPr>
        <w:t>（</w:t>
      </w:r>
      <w:r>
        <w:rPr>
          <w:rFonts w:hint="eastAsia" w:eastAsia="宋体"/>
          <w:color w:val="auto"/>
          <w:sz w:val="24"/>
          <w:highlight w:val="none"/>
          <w:lang w:eastAsia="zh-CN"/>
        </w:rPr>
        <w:t>项目编号：QHZX-磋商（货物）2026-047</w:t>
      </w:r>
      <w:r>
        <w:rPr>
          <w:rFonts w:hint="eastAsia" w:eastAsia="宋体"/>
          <w:color w:val="auto"/>
          <w:sz w:val="24"/>
          <w:szCs w:val="22"/>
          <w:highlight w:val="none"/>
        </w:rPr>
        <w:t>）磋</w:t>
      </w:r>
      <w:r>
        <w:rPr>
          <w:rFonts w:hint="eastAsia" w:eastAsia="宋体"/>
          <w:color w:val="auto"/>
          <w:sz w:val="24"/>
          <w:highlight w:val="none"/>
        </w:rPr>
        <w:t>商文件，经研究，法定代表人</w:t>
      </w:r>
      <w:r>
        <w:rPr>
          <w:rFonts w:hint="eastAsia" w:eastAsia="宋体"/>
          <w:color w:val="auto"/>
          <w:sz w:val="24"/>
          <w:highlight w:val="none"/>
          <w:u w:val="single"/>
        </w:rPr>
        <w:t>（姓名、职务）</w:t>
      </w:r>
      <w:r>
        <w:rPr>
          <w:rFonts w:hint="eastAsia" w:eastAsia="宋体"/>
          <w:color w:val="auto"/>
          <w:sz w:val="24"/>
          <w:highlight w:val="none"/>
        </w:rPr>
        <w:t>正式授权</w:t>
      </w:r>
      <w:r>
        <w:rPr>
          <w:rFonts w:hint="eastAsia" w:eastAsia="宋体"/>
          <w:color w:val="auto"/>
          <w:sz w:val="24"/>
          <w:highlight w:val="none"/>
          <w:u w:val="single"/>
        </w:rPr>
        <w:t>（委托代理人姓名、职务）</w:t>
      </w:r>
      <w:r>
        <w:rPr>
          <w:rFonts w:hint="eastAsia" w:eastAsia="宋体"/>
          <w:color w:val="auto"/>
          <w:sz w:val="24"/>
          <w:highlight w:val="none"/>
        </w:rPr>
        <w:t>代表磋商供应商</w:t>
      </w:r>
      <w:r>
        <w:rPr>
          <w:rFonts w:hint="eastAsia" w:eastAsia="宋体"/>
          <w:color w:val="auto"/>
          <w:sz w:val="24"/>
          <w:highlight w:val="none"/>
          <w:u w:val="single"/>
        </w:rPr>
        <w:t>（磋商供应商名称、地址）</w:t>
      </w:r>
      <w:r>
        <w:rPr>
          <w:rFonts w:hint="eastAsia" w:eastAsia="宋体"/>
          <w:color w:val="auto"/>
          <w:sz w:val="24"/>
          <w:highlight w:val="none"/>
        </w:rPr>
        <w:t>提交磋商响应文件。</w:t>
      </w:r>
    </w:p>
    <w:p w14:paraId="64E55022">
      <w:pPr>
        <w:adjustRightInd w:val="0"/>
        <w:spacing w:line="360" w:lineRule="auto"/>
        <w:ind w:firstLine="480" w:firstLineChars="200"/>
        <w:textAlignment w:val="baseline"/>
        <w:rPr>
          <w:rFonts w:hint="eastAsia" w:eastAsia="宋体"/>
          <w:color w:val="auto"/>
          <w:sz w:val="24"/>
          <w:highlight w:val="none"/>
        </w:rPr>
      </w:pPr>
      <w:r>
        <w:rPr>
          <w:rFonts w:hint="eastAsia" w:eastAsia="宋体"/>
          <w:color w:val="auto"/>
          <w:sz w:val="24"/>
          <w:highlight w:val="none"/>
        </w:rPr>
        <w:t>据此函，签字代表宣布同意如下：</w:t>
      </w:r>
    </w:p>
    <w:p w14:paraId="7CDB2A5E">
      <w:pPr>
        <w:adjustRightInd w:val="0"/>
        <w:spacing w:line="360" w:lineRule="auto"/>
        <w:ind w:firstLine="480" w:firstLineChars="200"/>
        <w:textAlignment w:val="baseline"/>
        <w:rPr>
          <w:rFonts w:hint="eastAsia" w:eastAsia="宋体"/>
          <w:color w:val="auto"/>
          <w:sz w:val="24"/>
          <w:highlight w:val="none"/>
        </w:rPr>
      </w:pPr>
      <w:r>
        <w:rPr>
          <w:rFonts w:hint="eastAsia" w:eastAsia="宋体"/>
          <w:color w:val="auto"/>
          <w:sz w:val="24"/>
          <w:highlight w:val="none"/>
        </w:rPr>
        <w:t>1.我方已详阅磋商文件的全部内容，包括澄清、修改条款等有关附件，承诺对其完全理解并接受。</w:t>
      </w:r>
    </w:p>
    <w:p w14:paraId="1D4E3E57">
      <w:pPr>
        <w:adjustRightInd w:val="0"/>
        <w:spacing w:line="360" w:lineRule="auto"/>
        <w:ind w:firstLine="480" w:firstLineChars="200"/>
        <w:textAlignment w:val="baseline"/>
        <w:rPr>
          <w:rFonts w:hint="eastAsia" w:eastAsia="宋体"/>
          <w:color w:val="auto"/>
          <w:sz w:val="24"/>
          <w:highlight w:val="none"/>
        </w:rPr>
      </w:pPr>
      <w:r>
        <w:rPr>
          <w:rFonts w:hint="eastAsia" w:eastAsia="宋体"/>
          <w:color w:val="auto"/>
          <w:sz w:val="24"/>
          <w:highlight w:val="none"/>
        </w:rPr>
        <w:t>2.磋商有效期自开标之日起</w:t>
      </w:r>
      <w:r>
        <w:rPr>
          <w:rFonts w:hint="eastAsia" w:eastAsia="宋体"/>
          <w:color w:val="auto"/>
          <w:sz w:val="24"/>
          <w:highlight w:val="none"/>
          <w:u w:val="single"/>
        </w:rPr>
        <w:t xml:space="preserve"> </w:t>
      </w:r>
      <w:r>
        <w:rPr>
          <w:rFonts w:hint="eastAsia" w:eastAsia="宋体"/>
          <w:color w:val="auto"/>
          <w:sz w:val="24"/>
          <w:highlight w:val="none"/>
          <w:u w:val="single"/>
          <w:lang w:val="en-US" w:eastAsia="zh-CN"/>
        </w:rPr>
        <w:t>60</w:t>
      </w:r>
      <w:r>
        <w:rPr>
          <w:rFonts w:hint="eastAsia" w:eastAsia="宋体"/>
          <w:color w:val="auto"/>
          <w:sz w:val="24"/>
          <w:highlight w:val="none"/>
          <w:u w:val="single"/>
        </w:rPr>
        <w:t xml:space="preserve">  </w:t>
      </w:r>
      <w:r>
        <w:rPr>
          <w:rFonts w:hint="eastAsia" w:eastAsia="宋体"/>
          <w:color w:val="auto"/>
          <w:sz w:val="24"/>
          <w:highlight w:val="none"/>
          <w:lang w:val="en-US" w:eastAsia="zh-CN"/>
        </w:rPr>
        <w:t>日历日</w:t>
      </w:r>
      <w:r>
        <w:rPr>
          <w:rFonts w:hint="eastAsia" w:eastAsia="宋体"/>
          <w:color w:val="auto"/>
          <w:sz w:val="24"/>
          <w:highlight w:val="none"/>
        </w:rPr>
        <w:t>内有效。如果在规定的开标时间后，我方在磋商有效期内撤回磋商或成交后不签约的，磋商保证金将被贵方没收。</w:t>
      </w:r>
    </w:p>
    <w:p w14:paraId="795B32CE">
      <w:pPr>
        <w:adjustRightInd w:val="0"/>
        <w:spacing w:line="360" w:lineRule="auto"/>
        <w:ind w:firstLine="480" w:firstLineChars="200"/>
        <w:textAlignment w:val="baseline"/>
        <w:rPr>
          <w:rFonts w:hint="eastAsia" w:eastAsia="宋体"/>
          <w:color w:val="auto"/>
          <w:sz w:val="24"/>
          <w:highlight w:val="none"/>
        </w:rPr>
      </w:pPr>
      <w:r>
        <w:rPr>
          <w:rFonts w:hint="eastAsia" w:eastAsia="宋体"/>
          <w:color w:val="auto"/>
          <w:sz w:val="24"/>
          <w:highlight w:val="none"/>
        </w:rPr>
        <w:t>3.我方同意按照贵方要求提供与磋商有关的一切数据或资料，理解并接受贵方制定的评标办法。</w:t>
      </w:r>
    </w:p>
    <w:p w14:paraId="735E5FA9">
      <w:pPr>
        <w:adjustRightInd w:val="0"/>
        <w:spacing w:line="360" w:lineRule="auto"/>
        <w:ind w:firstLine="480" w:firstLineChars="200"/>
        <w:textAlignment w:val="baseline"/>
        <w:rPr>
          <w:rFonts w:hint="eastAsia" w:eastAsia="宋体"/>
          <w:color w:val="auto"/>
          <w:sz w:val="24"/>
          <w:highlight w:val="none"/>
        </w:rPr>
      </w:pPr>
      <w:r>
        <w:rPr>
          <w:rFonts w:hint="eastAsia" w:eastAsia="宋体"/>
          <w:color w:val="auto"/>
          <w:sz w:val="24"/>
          <w:highlight w:val="none"/>
        </w:rPr>
        <w:t>4.与本磋商有关的一切正式往来通讯请寄：</w:t>
      </w:r>
    </w:p>
    <w:p w14:paraId="7CB63226">
      <w:pPr>
        <w:adjustRightInd w:val="0"/>
        <w:spacing w:line="360" w:lineRule="auto"/>
        <w:ind w:firstLine="480" w:firstLineChars="200"/>
        <w:textAlignment w:val="baseline"/>
        <w:rPr>
          <w:rFonts w:hint="eastAsia" w:eastAsia="宋体"/>
          <w:color w:val="auto"/>
          <w:sz w:val="24"/>
          <w:highlight w:val="none"/>
        </w:rPr>
      </w:pPr>
    </w:p>
    <w:p w14:paraId="3F95C9EE">
      <w:pPr>
        <w:adjustRightInd w:val="0"/>
        <w:spacing w:line="360" w:lineRule="auto"/>
        <w:textAlignment w:val="baseline"/>
        <w:rPr>
          <w:rFonts w:hint="eastAsia" w:eastAsia="宋体"/>
          <w:color w:val="auto"/>
          <w:sz w:val="24"/>
          <w:highlight w:val="none"/>
        </w:rPr>
      </w:pPr>
      <w:r>
        <w:rPr>
          <w:rFonts w:hint="eastAsia" w:eastAsia="宋体"/>
          <w:color w:val="auto"/>
          <w:sz w:val="24"/>
          <w:highlight w:val="none"/>
        </w:rPr>
        <w:t>地址：</w:t>
      </w:r>
      <w:r>
        <w:rPr>
          <w:rFonts w:hint="eastAsia" w:eastAsia="宋体"/>
          <w:color w:val="auto"/>
          <w:sz w:val="24"/>
          <w:highlight w:val="none"/>
          <w:u w:val="single"/>
        </w:rPr>
        <w:t xml:space="preserve">                     </w:t>
      </w:r>
      <w:r>
        <w:rPr>
          <w:rFonts w:hint="eastAsia" w:eastAsia="宋体"/>
          <w:color w:val="auto"/>
          <w:sz w:val="24"/>
          <w:highlight w:val="none"/>
        </w:rPr>
        <w:t>邮编：</w:t>
      </w:r>
      <w:r>
        <w:rPr>
          <w:rFonts w:hint="eastAsia" w:eastAsia="宋体"/>
          <w:color w:val="auto"/>
          <w:sz w:val="24"/>
          <w:highlight w:val="none"/>
          <w:u w:val="single"/>
        </w:rPr>
        <w:t xml:space="preserve">                     </w:t>
      </w:r>
    </w:p>
    <w:p w14:paraId="43CD15B2">
      <w:pPr>
        <w:adjustRightInd w:val="0"/>
        <w:spacing w:line="360" w:lineRule="auto"/>
        <w:textAlignment w:val="baseline"/>
        <w:rPr>
          <w:rFonts w:hint="eastAsia" w:eastAsia="宋体"/>
          <w:color w:val="auto"/>
          <w:sz w:val="24"/>
          <w:highlight w:val="none"/>
        </w:rPr>
      </w:pPr>
    </w:p>
    <w:p w14:paraId="3717CAC6">
      <w:pPr>
        <w:pStyle w:val="10"/>
        <w:rPr>
          <w:rFonts w:hint="eastAsia"/>
          <w:color w:val="auto"/>
          <w:highlight w:val="none"/>
        </w:rPr>
      </w:pPr>
    </w:p>
    <w:p w14:paraId="64478CF8">
      <w:pPr>
        <w:adjustRightInd w:val="0"/>
        <w:spacing w:line="360" w:lineRule="auto"/>
        <w:textAlignment w:val="baseline"/>
        <w:rPr>
          <w:rFonts w:hint="eastAsia" w:eastAsia="宋体"/>
          <w:color w:val="auto"/>
          <w:sz w:val="24"/>
          <w:highlight w:val="none"/>
        </w:rPr>
      </w:pPr>
      <w:r>
        <w:rPr>
          <w:rFonts w:hint="eastAsia" w:eastAsia="宋体"/>
          <w:color w:val="auto"/>
          <w:sz w:val="24"/>
          <w:highlight w:val="none"/>
        </w:rPr>
        <w:t>电话：</w:t>
      </w:r>
      <w:r>
        <w:rPr>
          <w:rFonts w:hint="eastAsia" w:eastAsia="宋体"/>
          <w:color w:val="auto"/>
          <w:sz w:val="24"/>
          <w:highlight w:val="none"/>
          <w:u w:val="single"/>
        </w:rPr>
        <w:t xml:space="preserve">                     </w:t>
      </w:r>
      <w:r>
        <w:rPr>
          <w:rFonts w:hint="eastAsia" w:eastAsia="宋体"/>
          <w:color w:val="auto"/>
          <w:sz w:val="24"/>
          <w:highlight w:val="none"/>
        </w:rPr>
        <w:t>传真：</w:t>
      </w:r>
      <w:r>
        <w:rPr>
          <w:rFonts w:hint="eastAsia" w:eastAsia="宋体"/>
          <w:color w:val="auto"/>
          <w:sz w:val="24"/>
          <w:highlight w:val="none"/>
          <w:u w:val="single"/>
        </w:rPr>
        <w:t xml:space="preserve">                     </w:t>
      </w:r>
    </w:p>
    <w:p w14:paraId="1A83ED59">
      <w:pPr>
        <w:adjustRightInd w:val="0"/>
        <w:spacing w:line="360" w:lineRule="auto"/>
        <w:textAlignment w:val="baseline"/>
        <w:rPr>
          <w:rFonts w:hint="eastAsia" w:eastAsia="宋体"/>
          <w:color w:val="auto"/>
          <w:sz w:val="24"/>
          <w:highlight w:val="none"/>
        </w:rPr>
      </w:pPr>
    </w:p>
    <w:p w14:paraId="2945094B">
      <w:pPr>
        <w:adjustRightInd w:val="0"/>
        <w:spacing w:line="360" w:lineRule="auto"/>
        <w:textAlignment w:val="baseline"/>
        <w:rPr>
          <w:rFonts w:hint="eastAsia" w:eastAsia="宋体"/>
          <w:color w:val="auto"/>
          <w:sz w:val="24"/>
          <w:highlight w:val="none"/>
        </w:rPr>
      </w:pPr>
      <w:r>
        <w:rPr>
          <w:rFonts w:hint="eastAsia" w:eastAsia="宋体"/>
          <w:color w:val="auto"/>
          <w:sz w:val="24"/>
          <w:highlight w:val="none"/>
        </w:rPr>
        <w:t>法定代表人姓名：</w:t>
      </w:r>
      <w:r>
        <w:rPr>
          <w:rFonts w:hint="eastAsia" w:eastAsia="宋体"/>
          <w:color w:val="auto"/>
          <w:sz w:val="24"/>
          <w:highlight w:val="none"/>
          <w:u w:val="single"/>
        </w:rPr>
        <w:t xml:space="preserve">           </w:t>
      </w:r>
      <w:r>
        <w:rPr>
          <w:rFonts w:hint="eastAsia" w:eastAsia="宋体"/>
          <w:color w:val="auto"/>
          <w:sz w:val="24"/>
          <w:highlight w:val="none"/>
        </w:rPr>
        <w:t>职务：</w:t>
      </w:r>
      <w:bookmarkStart w:id="477" w:name="_Toc444715736"/>
      <w:r>
        <w:rPr>
          <w:rFonts w:hint="eastAsia" w:eastAsia="宋体"/>
          <w:color w:val="auto"/>
          <w:sz w:val="24"/>
          <w:highlight w:val="none"/>
          <w:u w:val="single"/>
        </w:rPr>
        <w:t xml:space="preserve">                     </w:t>
      </w:r>
    </w:p>
    <w:p w14:paraId="7C07E44F">
      <w:pPr>
        <w:tabs>
          <w:tab w:val="left" w:pos="168"/>
        </w:tabs>
        <w:adjustRightInd w:val="0"/>
        <w:spacing w:line="360" w:lineRule="auto"/>
        <w:ind w:right="480"/>
        <w:jc w:val="right"/>
        <w:textAlignment w:val="baseline"/>
        <w:rPr>
          <w:rFonts w:hint="eastAsia" w:eastAsia="宋体"/>
          <w:bCs/>
          <w:color w:val="auto"/>
          <w:sz w:val="24"/>
          <w:szCs w:val="28"/>
          <w:highlight w:val="none"/>
        </w:rPr>
      </w:pPr>
    </w:p>
    <w:p w14:paraId="5880BABE">
      <w:pPr>
        <w:tabs>
          <w:tab w:val="left" w:pos="168"/>
        </w:tabs>
        <w:adjustRightInd w:val="0"/>
        <w:spacing w:line="360" w:lineRule="auto"/>
        <w:jc w:val="right"/>
        <w:textAlignment w:val="baseline"/>
        <w:rPr>
          <w:rFonts w:hint="eastAsia" w:eastAsia="宋体"/>
          <w:bCs/>
          <w:color w:val="auto"/>
          <w:sz w:val="24"/>
          <w:szCs w:val="28"/>
          <w:highlight w:val="none"/>
        </w:rPr>
      </w:pPr>
    </w:p>
    <w:p w14:paraId="33C59647">
      <w:pPr>
        <w:tabs>
          <w:tab w:val="left" w:pos="168"/>
        </w:tabs>
        <w:adjustRightInd w:val="0"/>
        <w:spacing w:line="360" w:lineRule="auto"/>
        <w:jc w:val="right"/>
        <w:textAlignment w:val="baseline"/>
        <w:rPr>
          <w:rFonts w:hint="eastAsia" w:eastAsia="宋体"/>
          <w:bCs/>
          <w:color w:val="auto"/>
          <w:sz w:val="24"/>
          <w:szCs w:val="28"/>
          <w:highlight w:val="none"/>
        </w:rPr>
      </w:pPr>
    </w:p>
    <w:p w14:paraId="44B15A75">
      <w:pPr>
        <w:tabs>
          <w:tab w:val="left" w:pos="168"/>
        </w:tabs>
        <w:adjustRightInd w:val="0"/>
        <w:spacing w:line="360" w:lineRule="auto"/>
        <w:jc w:val="right"/>
        <w:textAlignment w:val="baseline"/>
        <w:rPr>
          <w:rFonts w:hint="eastAsia" w:eastAsia="宋体"/>
          <w:bCs/>
          <w:color w:val="auto"/>
          <w:sz w:val="24"/>
          <w:szCs w:val="28"/>
          <w:highlight w:val="none"/>
        </w:rPr>
      </w:pPr>
    </w:p>
    <w:p w14:paraId="6A57D5F5">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r>
        <w:rPr>
          <w:rFonts w:hint="eastAsia" w:eastAsia="宋体"/>
          <w:b/>
          <w:color w:val="auto"/>
          <w:sz w:val="24"/>
          <w:szCs w:val="28"/>
          <w:highlight w:val="none"/>
        </w:rPr>
        <w:t xml:space="preserve">  </w:t>
      </w:r>
      <w:bookmarkStart w:id="478" w:name="_Toc7354"/>
      <w:bookmarkStart w:id="479" w:name="_Toc13699"/>
      <w:bookmarkStart w:id="480" w:name="_Toc8639"/>
      <w:r>
        <w:rPr>
          <w:rFonts w:hint="eastAsia" w:eastAsia="宋体"/>
          <w:b/>
          <w:color w:val="auto"/>
          <w:sz w:val="24"/>
          <w:szCs w:val="28"/>
          <w:highlight w:val="none"/>
        </w:rPr>
        <w:t>供应商：                   （公章）</w:t>
      </w:r>
      <w:bookmarkEnd w:id="478"/>
      <w:bookmarkEnd w:id="479"/>
      <w:bookmarkEnd w:id="480"/>
    </w:p>
    <w:p w14:paraId="781B3EBD">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481" w:name="_Toc20833"/>
      <w:bookmarkStart w:id="482" w:name="_Toc16060"/>
      <w:bookmarkStart w:id="483" w:name="_Toc4959"/>
      <w:r>
        <w:rPr>
          <w:rFonts w:hint="eastAsia" w:eastAsia="宋体"/>
          <w:b/>
          <w:color w:val="auto"/>
          <w:sz w:val="24"/>
          <w:szCs w:val="28"/>
          <w:highlight w:val="none"/>
        </w:rPr>
        <w:t>委托代理人或法定代表人：                 （签字或盖章）</w:t>
      </w:r>
      <w:bookmarkEnd w:id="481"/>
      <w:bookmarkEnd w:id="482"/>
      <w:bookmarkEnd w:id="483"/>
    </w:p>
    <w:p w14:paraId="07EA4180">
      <w:pPr>
        <w:tabs>
          <w:tab w:val="left" w:pos="168"/>
        </w:tabs>
        <w:adjustRightInd w:val="0"/>
        <w:spacing w:line="360" w:lineRule="auto"/>
        <w:jc w:val="right"/>
        <w:textAlignment w:val="baseline"/>
        <w:outlineLvl w:val="1"/>
        <w:rPr>
          <w:rFonts w:hint="eastAsia" w:eastAsia="宋体"/>
          <w:bCs/>
          <w:color w:val="auto"/>
          <w:sz w:val="24"/>
          <w:szCs w:val="28"/>
          <w:highlight w:val="none"/>
        </w:rPr>
      </w:pPr>
      <w:bookmarkStart w:id="484" w:name="_Toc12349"/>
      <w:bookmarkStart w:id="485" w:name="_Toc31233"/>
      <w:bookmarkStart w:id="486" w:name="_Toc20370"/>
      <w:r>
        <w:rPr>
          <w:rFonts w:hint="eastAsia" w:eastAsia="宋体"/>
          <w:b/>
          <w:color w:val="auto"/>
          <w:sz w:val="24"/>
          <w:szCs w:val="28"/>
          <w:highlight w:val="none"/>
        </w:rPr>
        <w:t>日期：          年   月   日</w:t>
      </w:r>
      <w:bookmarkEnd w:id="477"/>
      <w:bookmarkEnd w:id="484"/>
      <w:bookmarkEnd w:id="485"/>
      <w:bookmarkEnd w:id="486"/>
      <w:bookmarkStart w:id="487" w:name="_Toc444715737"/>
      <w:bookmarkStart w:id="488" w:name="_Toc25583"/>
    </w:p>
    <w:p w14:paraId="4A7F3D03">
      <w:pPr>
        <w:pStyle w:val="4"/>
        <w:numPr>
          <w:ilvl w:val="0"/>
          <w:numId w:val="0"/>
        </w:numPr>
        <w:tabs>
          <w:tab w:val="left" w:pos="425"/>
        </w:tabs>
        <w:spacing w:line="360" w:lineRule="auto"/>
        <w:jc w:val="right"/>
        <w:rPr>
          <w:rFonts w:hint="eastAsia"/>
          <w:color w:val="auto"/>
          <w:highlight w:val="none"/>
          <w:lang w:val="zh-CN"/>
        </w:rPr>
      </w:pPr>
      <w:r>
        <w:rPr>
          <w:rFonts w:hint="eastAsia" w:eastAsia="宋体" w:cs="宋体"/>
          <w:bCs/>
          <w:color w:val="auto"/>
          <w:sz w:val="24"/>
          <w:szCs w:val="28"/>
          <w:highlight w:val="none"/>
        </w:rPr>
        <w:t xml:space="preserve"> </w:t>
      </w:r>
      <w:bookmarkEnd w:id="487"/>
      <w:bookmarkEnd w:id="488"/>
    </w:p>
    <w:p w14:paraId="6243C65B">
      <w:pPr>
        <w:pStyle w:val="4"/>
        <w:numPr>
          <w:ilvl w:val="0"/>
          <w:numId w:val="0"/>
        </w:numPr>
        <w:tabs>
          <w:tab w:val="left" w:pos="425"/>
        </w:tabs>
        <w:spacing w:line="360" w:lineRule="auto"/>
        <w:rPr>
          <w:rFonts w:hint="eastAsia" w:eastAsia="宋体" w:cs="宋体"/>
          <w:color w:val="auto"/>
          <w:highlight w:val="none"/>
          <w:lang w:val="zh-CN"/>
        </w:rPr>
      </w:pPr>
      <w:bookmarkStart w:id="489" w:name="_Toc15138"/>
      <w:bookmarkStart w:id="490" w:name="_Toc13946"/>
      <w:bookmarkStart w:id="491" w:name="_Toc20432"/>
      <w:bookmarkStart w:id="492" w:name="_Toc6017"/>
      <w:bookmarkStart w:id="493" w:name="_Toc2415"/>
      <w:bookmarkStart w:id="494" w:name="_Toc2462"/>
      <w:r>
        <w:rPr>
          <w:rFonts w:hint="eastAsia" w:eastAsia="宋体" w:cs="宋体"/>
          <w:b/>
          <w:color w:val="auto"/>
          <w:sz w:val="32"/>
          <w:highlight w:val="none"/>
          <w:lang w:val="zh-CN"/>
        </w:rPr>
        <w:t>格式2、法定代表人证明书</w:t>
      </w:r>
      <w:bookmarkEnd w:id="489"/>
      <w:bookmarkEnd w:id="490"/>
      <w:bookmarkEnd w:id="491"/>
      <w:bookmarkEnd w:id="492"/>
      <w:bookmarkEnd w:id="493"/>
      <w:bookmarkEnd w:id="494"/>
    </w:p>
    <w:p w14:paraId="3B09ABA4">
      <w:pPr>
        <w:spacing w:line="360" w:lineRule="auto"/>
        <w:rPr>
          <w:rFonts w:hint="eastAsia" w:eastAsia="宋体"/>
          <w:color w:val="auto"/>
          <w:highlight w:val="none"/>
          <w:lang w:val="zh-CN"/>
        </w:rPr>
      </w:pPr>
    </w:p>
    <w:p w14:paraId="1928E959">
      <w:pPr>
        <w:autoSpaceDE w:val="0"/>
        <w:autoSpaceDN w:val="0"/>
        <w:adjustRightInd w:val="0"/>
        <w:spacing w:line="360" w:lineRule="auto"/>
        <w:jc w:val="center"/>
        <w:rPr>
          <w:rFonts w:hint="eastAsia" w:eastAsia="宋体"/>
          <w:b/>
          <w:bCs/>
          <w:color w:val="auto"/>
          <w:sz w:val="36"/>
          <w:szCs w:val="36"/>
          <w:highlight w:val="none"/>
          <w:lang w:val="zh-CN"/>
        </w:rPr>
      </w:pPr>
      <w:r>
        <w:rPr>
          <w:rFonts w:hint="eastAsia" w:eastAsia="宋体"/>
          <w:b/>
          <w:bCs/>
          <w:color w:val="auto"/>
          <w:sz w:val="30"/>
          <w:szCs w:val="30"/>
          <w:highlight w:val="none"/>
          <w:lang w:val="zh-CN"/>
        </w:rPr>
        <w:t>法定代表人证明书</w:t>
      </w:r>
    </w:p>
    <w:p w14:paraId="20CB6913">
      <w:pPr>
        <w:autoSpaceDE w:val="0"/>
        <w:autoSpaceDN w:val="0"/>
        <w:adjustRightInd w:val="0"/>
        <w:spacing w:line="360" w:lineRule="auto"/>
        <w:outlineLvl w:val="1"/>
        <w:rPr>
          <w:rFonts w:hint="eastAsia" w:eastAsia="宋体"/>
          <w:b/>
          <w:bCs/>
          <w:color w:val="auto"/>
          <w:sz w:val="24"/>
          <w:highlight w:val="none"/>
          <w:lang w:val="zh-CN"/>
        </w:rPr>
      </w:pPr>
      <w:bookmarkStart w:id="495" w:name="_Toc27729"/>
      <w:bookmarkStart w:id="496" w:name="_Toc26286"/>
      <w:bookmarkStart w:id="497" w:name="_Toc4238"/>
      <w:r>
        <w:rPr>
          <w:rFonts w:hint="eastAsia" w:eastAsia="宋体"/>
          <w:b/>
          <w:bCs/>
          <w:color w:val="auto"/>
          <w:sz w:val="24"/>
          <w:highlight w:val="none"/>
          <w:lang w:val="zh-CN"/>
        </w:rPr>
        <w:t>致：</w:t>
      </w:r>
      <w:bookmarkEnd w:id="495"/>
      <w:r>
        <w:rPr>
          <w:rFonts w:hint="eastAsia" w:eastAsia="宋体"/>
          <w:b/>
          <w:bCs/>
          <w:color w:val="auto"/>
          <w:sz w:val="24"/>
          <w:highlight w:val="none"/>
          <w:lang w:val="zh-CN"/>
        </w:rPr>
        <w:t>青海中旭工程项目管理有限公司</w:t>
      </w:r>
      <w:bookmarkEnd w:id="496"/>
      <w:bookmarkEnd w:id="497"/>
    </w:p>
    <w:p w14:paraId="630E711A">
      <w:pPr>
        <w:autoSpaceDE w:val="0"/>
        <w:autoSpaceDN w:val="0"/>
        <w:adjustRightInd w:val="0"/>
        <w:spacing w:line="360" w:lineRule="auto"/>
        <w:rPr>
          <w:rFonts w:hint="eastAsia" w:eastAsia="宋体"/>
          <w:color w:val="auto"/>
          <w:sz w:val="24"/>
          <w:highlight w:val="none"/>
          <w:lang w:val="zh-CN"/>
        </w:rPr>
      </w:pPr>
      <w:r>
        <w:rPr>
          <w:rFonts w:hint="eastAsia" w:eastAsia="宋体"/>
          <w:color w:val="auto"/>
          <w:sz w:val="24"/>
          <w:highlight w:val="none"/>
          <w:lang w:val="zh-CN"/>
        </w:rPr>
        <w:t xml:space="preserve"> </w:t>
      </w:r>
    </w:p>
    <w:p w14:paraId="2289A8E3">
      <w:pPr>
        <w:autoSpaceDE w:val="0"/>
        <w:autoSpaceDN w:val="0"/>
        <w:adjustRightInd w:val="0"/>
        <w:spacing w:line="360" w:lineRule="auto"/>
        <w:rPr>
          <w:rFonts w:hint="eastAsia" w:eastAsia="宋体"/>
          <w:color w:val="auto"/>
          <w:sz w:val="24"/>
          <w:highlight w:val="none"/>
          <w:lang w:val="zh-CN"/>
        </w:rPr>
      </w:pPr>
      <w:r>
        <w:rPr>
          <w:rFonts w:hint="eastAsia" w:eastAsia="宋体"/>
          <w:color w:val="auto"/>
          <w:sz w:val="24"/>
          <w:highlight w:val="none"/>
          <w:lang w:val="zh-CN"/>
        </w:rPr>
        <w:t xml:space="preserve">    </w:t>
      </w:r>
      <w:r>
        <w:rPr>
          <w:rFonts w:hint="eastAsia" w:eastAsia="宋体"/>
          <w:color w:val="auto"/>
          <w:sz w:val="24"/>
          <w:highlight w:val="none"/>
          <w:u w:val="single"/>
          <w:lang w:val="zh-CN"/>
        </w:rPr>
        <w:t xml:space="preserve">（法定代表人姓名）  </w:t>
      </w:r>
      <w:r>
        <w:rPr>
          <w:rFonts w:hint="eastAsia" w:eastAsia="宋体"/>
          <w:color w:val="auto"/>
          <w:sz w:val="24"/>
          <w:highlight w:val="none"/>
          <w:lang w:val="zh-CN"/>
        </w:rPr>
        <w:t>现任我单位</w:t>
      </w:r>
      <w:r>
        <w:rPr>
          <w:rFonts w:hint="eastAsia" w:eastAsia="宋体"/>
          <w:color w:val="auto"/>
          <w:sz w:val="24"/>
          <w:highlight w:val="none"/>
          <w:u w:val="single"/>
          <w:lang w:val="zh-CN"/>
        </w:rPr>
        <w:t xml:space="preserve">              </w:t>
      </w:r>
      <w:r>
        <w:rPr>
          <w:rFonts w:hint="eastAsia" w:eastAsia="宋体"/>
          <w:color w:val="auto"/>
          <w:sz w:val="24"/>
          <w:highlight w:val="none"/>
          <w:lang w:val="zh-CN"/>
        </w:rPr>
        <w:t>职务，为法定代表人，特此证明。</w:t>
      </w:r>
    </w:p>
    <w:p w14:paraId="26A7662C">
      <w:pPr>
        <w:autoSpaceDE w:val="0"/>
        <w:autoSpaceDN w:val="0"/>
        <w:adjustRightInd w:val="0"/>
        <w:spacing w:line="360" w:lineRule="auto"/>
        <w:rPr>
          <w:rFonts w:hint="eastAsia" w:eastAsia="宋体"/>
          <w:color w:val="auto"/>
          <w:sz w:val="24"/>
          <w:highlight w:val="none"/>
          <w:lang w:val="zh-CN"/>
        </w:rPr>
      </w:pPr>
    </w:p>
    <w:p w14:paraId="5CCC433F">
      <w:pPr>
        <w:autoSpaceDE w:val="0"/>
        <w:autoSpaceDN w:val="0"/>
        <w:adjustRightInd w:val="0"/>
        <w:spacing w:line="360" w:lineRule="auto"/>
        <w:rPr>
          <w:rFonts w:hint="eastAsia" w:eastAsia="宋体"/>
          <w:color w:val="auto"/>
          <w:sz w:val="24"/>
          <w:highlight w:val="none"/>
          <w:lang w:val="zh-CN"/>
        </w:rPr>
      </w:pPr>
      <w:r>
        <w:rPr>
          <w:rFonts w:hint="eastAsia" w:eastAsia="宋体"/>
          <w:color w:val="auto"/>
          <w:sz w:val="24"/>
          <w:highlight w:val="none"/>
          <w:lang w:val="zh-CN"/>
        </w:rPr>
        <w:t xml:space="preserve">法定代表人基本情况： </w:t>
      </w:r>
    </w:p>
    <w:p w14:paraId="6C4D9ED5">
      <w:pPr>
        <w:autoSpaceDE w:val="0"/>
        <w:autoSpaceDN w:val="0"/>
        <w:adjustRightInd w:val="0"/>
        <w:spacing w:line="360" w:lineRule="auto"/>
        <w:rPr>
          <w:rFonts w:hint="eastAsia" w:eastAsia="宋体"/>
          <w:color w:val="auto"/>
          <w:sz w:val="24"/>
          <w:highlight w:val="none"/>
          <w:lang w:val="zh-CN"/>
        </w:rPr>
      </w:pPr>
    </w:p>
    <w:p w14:paraId="55D4CC6C">
      <w:pPr>
        <w:autoSpaceDE w:val="0"/>
        <w:autoSpaceDN w:val="0"/>
        <w:adjustRightInd w:val="0"/>
        <w:spacing w:line="360" w:lineRule="auto"/>
        <w:rPr>
          <w:rFonts w:hint="eastAsia" w:eastAsia="宋体"/>
          <w:color w:val="auto"/>
          <w:sz w:val="24"/>
          <w:highlight w:val="none"/>
          <w:u w:val="single"/>
          <w:lang w:val="zh-CN"/>
        </w:rPr>
      </w:pPr>
      <w:r>
        <w:rPr>
          <w:rFonts w:hint="eastAsia" w:eastAsia="宋体"/>
          <w:color w:val="auto"/>
          <w:sz w:val="24"/>
          <w:highlight w:val="none"/>
          <w:lang w:val="zh-CN"/>
        </w:rPr>
        <w:t>性别：</w:t>
      </w:r>
      <w:r>
        <w:rPr>
          <w:rFonts w:hint="eastAsia" w:eastAsia="宋体"/>
          <w:color w:val="auto"/>
          <w:sz w:val="24"/>
          <w:highlight w:val="none"/>
          <w:u w:val="single"/>
          <w:lang w:val="zh-CN"/>
        </w:rPr>
        <w:t xml:space="preserve">           </w:t>
      </w:r>
      <w:r>
        <w:rPr>
          <w:rFonts w:hint="eastAsia" w:eastAsia="宋体"/>
          <w:color w:val="auto"/>
          <w:sz w:val="24"/>
          <w:highlight w:val="none"/>
          <w:lang w:val="zh-CN"/>
        </w:rPr>
        <w:t>年龄：</w:t>
      </w:r>
      <w:r>
        <w:rPr>
          <w:rFonts w:hint="eastAsia" w:eastAsia="宋体"/>
          <w:color w:val="auto"/>
          <w:sz w:val="24"/>
          <w:highlight w:val="none"/>
          <w:u w:val="single"/>
          <w:lang w:val="zh-CN"/>
        </w:rPr>
        <w:t xml:space="preserve">           </w:t>
      </w:r>
      <w:r>
        <w:rPr>
          <w:rFonts w:hint="eastAsia" w:eastAsia="宋体"/>
          <w:color w:val="auto"/>
          <w:sz w:val="24"/>
          <w:highlight w:val="none"/>
          <w:lang w:val="zh-CN"/>
        </w:rPr>
        <w:t xml:space="preserve"> 民族：</w:t>
      </w:r>
      <w:r>
        <w:rPr>
          <w:rFonts w:hint="eastAsia" w:eastAsia="宋体"/>
          <w:color w:val="auto"/>
          <w:sz w:val="24"/>
          <w:highlight w:val="none"/>
          <w:u w:val="single"/>
          <w:lang w:val="zh-CN"/>
        </w:rPr>
        <w:t xml:space="preserve">         </w:t>
      </w:r>
    </w:p>
    <w:p w14:paraId="28FCB50E">
      <w:pPr>
        <w:autoSpaceDE w:val="0"/>
        <w:autoSpaceDN w:val="0"/>
        <w:adjustRightInd w:val="0"/>
        <w:spacing w:line="360" w:lineRule="auto"/>
        <w:rPr>
          <w:rFonts w:hint="eastAsia" w:eastAsia="宋体"/>
          <w:color w:val="auto"/>
          <w:sz w:val="24"/>
          <w:highlight w:val="none"/>
          <w:lang w:val="zh-CN"/>
        </w:rPr>
      </w:pPr>
    </w:p>
    <w:p w14:paraId="23AB4300">
      <w:pPr>
        <w:autoSpaceDE w:val="0"/>
        <w:autoSpaceDN w:val="0"/>
        <w:adjustRightInd w:val="0"/>
        <w:spacing w:line="360" w:lineRule="auto"/>
        <w:rPr>
          <w:rFonts w:hint="eastAsia" w:eastAsia="宋体"/>
          <w:color w:val="auto"/>
          <w:sz w:val="24"/>
          <w:highlight w:val="none"/>
          <w:u w:val="single"/>
          <w:lang w:val="zh-CN"/>
        </w:rPr>
      </w:pPr>
      <w:r>
        <w:rPr>
          <w:rFonts w:hint="eastAsia" w:eastAsia="宋体"/>
          <w:color w:val="auto"/>
          <w:sz w:val="24"/>
          <w:highlight w:val="none"/>
          <w:lang w:val="zh-CN"/>
        </w:rPr>
        <w:t>地址：</w:t>
      </w:r>
      <w:r>
        <w:rPr>
          <w:rFonts w:hint="eastAsia" w:eastAsia="宋体"/>
          <w:color w:val="auto"/>
          <w:sz w:val="24"/>
          <w:highlight w:val="none"/>
          <w:u w:val="single"/>
          <w:lang w:val="zh-CN"/>
        </w:rPr>
        <w:t xml:space="preserve">                                            </w:t>
      </w:r>
    </w:p>
    <w:p w14:paraId="4EA8BB27">
      <w:pPr>
        <w:autoSpaceDE w:val="0"/>
        <w:autoSpaceDN w:val="0"/>
        <w:adjustRightInd w:val="0"/>
        <w:spacing w:line="360" w:lineRule="auto"/>
        <w:rPr>
          <w:rFonts w:hint="eastAsia" w:eastAsia="宋体"/>
          <w:color w:val="auto"/>
          <w:sz w:val="24"/>
          <w:highlight w:val="none"/>
          <w:lang w:val="zh-CN"/>
        </w:rPr>
      </w:pPr>
    </w:p>
    <w:p w14:paraId="7B901E2D">
      <w:pPr>
        <w:autoSpaceDE w:val="0"/>
        <w:autoSpaceDN w:val="0"/>
        <w:adjustRightInd w:val="0"/>
        <w:spacing w:line="360" w:lineRule="auto"/>
        <w:rPr>
          <w:rFonts w:hint="eastAsia" w:eastAsia="宋体"/>
          <w:color w:val="auto"/>
          <w:sz w:val="24"/>
          <w:highlight w:val="none"/>
          <w:lang w:val="zh-CN"/>
        </w:rPr>
      </w:pPr>
      <w:r>
        <w:rPr>
          <w:rFonts w:hint="eastAsia" w:eastAsia="宋体"/>
          <w:color w:val="auto"/>
          <w:sz w:val="24"/>
          <w:highlight w:val="none"/>
          <w:lang w:val="zh-CN"/>
        </w:rPr>
        <w:t>身份证号码：</w:t>
      </w:r>
      <w:r>
        <w:rPr>
          <w:rFonts w:hint="eastAsia" w:eastAsia="宋体"/>
          <w:color w:val="auto"/>
          <w:sz w:val="24"/>
          <w:highlight w:val="none"/>
          <w:u w:val="single"/>
          <w:lang w:val="zh-CN"/>
        </w:rPr>
        <w:t xml:space="preserve">                                      </w:t>
      </w:r>
    </w:p>
    <w:p w14:paraId="46D0810B">
      <w:pPr>
        <w:autoSpaceDE w:val="0"/>
        <w:autoSpaceDN w:val="0"/>
        <w:adjustRightInd w:val="0"/>
        <w:spacing w:line="360" w:lineRule="auto"/>
        <w:rPr>
          <w:rFonts w:hint="eastAsia" w:eastAsia="宋体"/>
          <w:color w:val="auto"/>
          <w:sz w:val="24"/>
          <w:highlight w:val="none"/>
          <w:lang w:val="zh-CN"/>
        </w:rPr>
      </w:pPr>
    </w:p>
    <w:p w14:paraId="1C53B66A">
      <w:pPr>
        <w:autoSpaceDE w:val="0"/>
        <w:autoSpaceDN w:val="0"/>
        <w:adjustRightInd w:val="0"/>
        <w:spacing w:line="360" w:lineRule="auto"/>
        <w:rPr>
          <w:rFonts w:hint="eastAsia" w:eastAsia="宋体"/>
          <w:color w:val="auto"/>
          <w:sz w:val="24"/>
          <w:highlight w:val="none"/>
          <w:lang w:val="zh-CN"/>
        </w:rPr>
      </w:pPr>
      <w:r>
        <w:rPr>
          <w:rFonts w:hint="eastAsia" w:eastAsia="宋体"/>
          <w:color w:val="auto"/>
          <w:sz w:val="24"/>
          <w:highlight w:val="none"/>
          <w:lang w:val="zh-CN"/>
        </w:rPr>
        <w:t>附：法定代表人第二代身份证双面扫描（或复印）件</w:t>
      </w:r>
    </w:p>
    <w:p w14:paraId="1A3C1891">
      <w:pPr>
        <w:autoSpaceDE w:val="0"/>
        <w:autoSpaceDN w:val="0"/>
        <w:adjustRightInd w:val="0"/>
        <w:spacing w:line="360" w:lineRule="auto"/>
        <w:rPr>
          <w:rFonts w:hint="eastAsia" w:eastAsia="宋体"/>
          <w:color w:val="auto"/>
          <w:sz w:val="24"/>
          <w:highlight w:val="none"/>
          <w:lang w:val="zh-CN"/>
        </w:rPr>
      </w:pPr>
    </w:p>
    <w:p w14:paraId="79A5E537">
      <w:pPr>
        <w:autoSpaceDE w:val="0"/>
        <w:autoSpaceDN w:val="0"/>
        <w:adjustRightInd w:val="0"/>
        <w:spacing w:line="360" w:lineRule="auto"/>
        <w:rPr>
          <w:rFonts w:hint="eastAsia" w:eastAsia="宋体"/>
          <w:color w:val="auto"/>
          <w:sz w:val="24"/>
          <w:highlight w:val="none"/>
          <w:lang w:val="zh-CN"/>
        </w:rPr>
      </w:pPr>
    </w:p>
    <w:p w14:paraId="2E541503">
      <w:pPr>
        <w:tabs>
          <w:tab w:val="left" w:pos="168"/>
        </w:tabs>
        <w:adjustRightInd w:val="0"/>
        <w:spacing w:line="360" w:lineRule="auto"/>
        <w:textAlignment w:val="baseline"/>
        <w:rPr>
          <w:rFonts w:hint="eastAsia" w:eastAsia="宋体"/>
          <w:bCs/>
          <w:color w:val="auto"/>
          <w:sz w:val="28"/>
          <w:szCs w:val="28"/>
          <w:highlight w:val="none"/>
        </w:rPr>
      </w:pPr>
      <w:bookmarkStart w:id="498" w:name="_Toc16858"/>
      <w:bookmarkStart w:id="499" w:name="_Toc444715738"/>
    </w:p>
    <w:p w14:paraId="2C3F9735">
      <w:pPr>
        <w:tabs>
          <w:tab w:val="left" w:pos="168"/>
        </w:tabs>
        <w:adjustRightInd w:val="0"/>
        <w:spacing w:line="360" w:lineRule="auto"/>
        <w:jc w:val="right"/>
        <w:textAlignment w:val="baseline"/>
        <w:rPr>
          <w:rFonts w:hint="eastAsia" w:eastAsia="宋体"/>
          <w:bCs/>
          <w:color w:val="auto"/>
          <w:sz w:val="24"/>
          <w:szCs w:val="28"/>
          <w:highlight w:val="none"/>
        </w:rPr>
      </w:pPr>
    </w:p>
    <w:p w14:paraId="116CCAF5">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500" w:name="_Toc26743"/>
      <w:bookmarkStart w:id="501" w:name="_Toc22038"/>
      <w:bookmarkStart w:id="502" w:name="_Toc12876"/>
      <w:r>
        <w:rPr>
          <w:rFonts w:hint="eastAsia" w:eastAsia="宋体"/>
          <w:b/>
          <w:color w:val="auto"/>
          <w:sz w:val="24"/>
          <w:szCs w:val="28"/>
          <w:highlight w:val="none"/>
        </w:rPr>
        <w:t>供应商：                   （公章）</w:t>
      </w:r>
      <w:bookmarkEnd w:id="500"/>
      <w:bookmarkEnd w:id="501"/>
      <w:bookmarkEnd w:id="502"/>
    </w:p>
    <w:p w14:paraId="610F4234">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503" w:name="_Toc8734"/>
      <w:bookmarkStart w:id="504" w:name="_Toc2073"/>
      <w:bookmarkStart w:id="505" w:name="_Toc26643"/>
      <w:r>
        <w:rPr>
          <w:rFonts w:hint="eastAsia" w:eastAsia="宋体"/>
          <w:b/>
          <w:color w:val="auto"/>
          <w:sz w:val="24"/>
          <w:szCs w:val="28"/>
          <w:highlight w:val="none"/>
        </w:rPr>
        <w:t>法定代表人：                 （签字或盖章）</w:t>
      </w:r>
      <w:bookmarkEnd w:id="503"/>
      <w:bookmarkEnd w:id="504"/>
      <w:bookmarkEnd w:id="505"/>
    </w:p>
    <w:p w14:paraId="12915FC6">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506" w:name="_Toc28841"/>
      <w:bookmarkStart w:id="507" w:name="_Toc23688"/>
      <w:bookmarkStart w:id="508" w:name="_Toc23122"/>
      <w:r>
        <w:rPr>
          <w:rFonts w:hint="eastAsia" w:eastAsia="宋体"/>
          <w:b/>
          <w:color w:val="auto"/>
          <w:sz w:val="24"/>
          <w:szCs w:val="28"/>
          <w:highlight w:val="none"/>
        </w:rPr>
        <w:t>日期：          年   月   日</w:t>
      </w:r>
      <w:bookmarkEnd w:id="506"/>
      <w:bookmarkEnd w:id="507"/>
      <w:bookmarkEnd w:id="508"/>
    </w:p>
    <w:p w14:paraId="6E3C478B">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r>
        <w:rPr>
          <w:rFonts w:hint="eastAsia" w:eastAsia="宋体" w:cs="宋体"/>
          <w:bCs/>
          <w:color w:val="auto"/>
          <w:szCs w:val="28"/>
          <w:highlight w:val="none"/>
        </w:rPr>
        <w:br w:type="page"/>
      </w:r>
      <w:bookmarkStart w:id="509" w:name="_Toc10327"/>
      <w:bookmarkStart w:id="510" w:name="_Toc17779"/>
      <w:bookmarkStart w:id="511" w:name="_Toc23471"/>
      <w:bookmarkStart w:id="512" w:name="_Toc27402"/>
      <w:bookmarkStart w:id="513" w:name="_Toc13962"/>
      <w:bookmarkStart w:id="514" w:name="_Toc3382"/>
      <w:r>
        <w:rPr>
          <w:rFonts w:hint="eastAsia" w:eastAsia="宋体" w:cs="宋体"/>
          <w:b/>
          <w:color w:val="auto"/>
          <w:sz w:val="32"/>
          <w:highlight w:val="none"/>
          <w:lang w:val="zh-CN"/>
        </w:rPr>
        <w:t>格式3、法定代表人授权书</w:t>
      </w:r>
      <w:bookmarkEnd w:id="498"/>
      <w:bookmarkEnd w:id="499"/>
      <w:bookmarkEnd w:id="509"/>
      <w:bookmarkEnd w:id="510"/>
      <w:bookmarkEnd w:id="511"/>
      <w:bookmarkEnd w:id="512"/>
      <w:bookmarkEnd w:id="513"/>
      <w:bookmarkEnd w:id="514"/>
    </w:p>
    <w:p w14:paraId="74EB06CF">
      <w:pPr>
        <w:spacing w:line="360" w:lineRule="auto"/>
        <w:rPr>
          <w:rFonts w:hint="eastAsia" w:eastAsia="宋体"/>
          <w:color w:val="auto"/>
          <w:highlight w:val="none"/>
        </w:rPr>
      </w:pPr>
    </w:p>
    <w:p w14:paraId="7F3DDCCF">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法定代表人授权书</w:t>
      </w:r>
    </w:p>
    <w:p w14:paraId="13E89DF9">
      <w:pPr>
        <w:pStyle w:val="19"/>
        <w:spacing w:line="360" w:lineRule="auto"/>
        <w:rPr>
          <w:rFonts w:hint="eastAsia" w:ascii="宋体" w:hAnsi="宋体" w:eastAsia="宋体" w:cs="宋体"/>
          <w:color w:val="auto"/>
          <w:highlight w:val="none"/>
          <w:lang w:val="zh-CN"/>
        </w:rPr>
      </w:pPr>
    </w:p>
    <w:p w14:paraId="070BEB46">
      <w:pPr>
        <w:spacing w:line="360" w:lineRule="auto"/>
        <w:outlineLvl w:val="1"/>
        <w:rPr>
          <w:rFonts w:hint="eastAsia" w:eastAsia="宋体"/>
          <w:b/>
          <w:bCs/>
          <w:color w:val="auto"/>
          <w:sz w:val="24"/>
          <w:highlight w:val="none"/>
        </w:rPr>
      </w:pPr>
      <w:bookmarkStart w:id="515" w:name="_Toc7816"/>
      <w:bookmarkStart w:id="516" w:name="_Toc24424"/>
      <w:bookmarkStart w:id="517" w:name="_Toc3420"/>
      <w:r>
        <w:rPr>
          <w:rFonts w:hint="eastAsia" w:eastAsia="宋体"/>
          <w:b/>
          <w:bCs/>
          <w:color w:val="auto"/>
          <w:sz w:val="24"/>
          <w:highlight w:val="none"/>
        </w:rPr>
        <w:t>致：</w:t>
      </w:r>
      <w:bookmarkEnd w:id="515"/>
      <w:r>
        <w:rPr>
          <w:rFonts w:hint="eastAsia" w:eastAsia="宋体"/>
          <w:b/>
          <w:bCs/>
          <w:color w:val="auto"/>
          <w:sz w:val="24"/>
          <w:highlight w:val="none"/>
        </w:rPr>
        <w:t>青海中旭工程项目管理有限公司</w:t>
      </w:r>
      <w:bookmarkEnd w:id="516"/>
      <w:bookmarkEnd w:id="517"/>
    </w:p>
    <w:p w14:paraId="7B5346AB">
      <w:pPr>
        <w:spacing w:line="360" w:lineRule="auto"/>
        <w:rPr>
          <w:rFonts w:hint="eastAsia" w:eastAsia="宋体"/>
          <w:color w:val="auto"/>
          <w:sz w:val="24"/>
          <w:highlight w:val="none"/>
          <w:u w:val="single"/>
        </w:rPr>
      </w:pPr>
    </w:p>
    <w:p w14:paraId="76CB8B3E">
      <w:pPr>
        <w:spacing w:line="360" w:lineRule="auto"/>
        <w:ind w:firstLine="480" w:firstLineChars="200"/>
        <w:rPr>
          <w:rFonts w:hint="eastAsia" w:eastAsia="宋体"/>
          <w:color w:val="auto"/>
          <w:sz w:val="24"/>
          <w:highlight w:val="none"/>
        </w:rPr>
      </w:pPr>
      <w:r>
        <w:rPr>
          <w:rFonts w:hint="eastAsia" w:eastAsia="宋体"/>
          <w:color w:val="auto"/>
          <w:sz w:val="24"/>
          <w:highlight w:val="none"/>
          <w:u w:val="single"/>
        </w:rPr>
        <w:t xml:space="preserve">  （供应商名称）  </w:t>
      </w:r>
      <w:r>
        <w:rPr>
          <w:rFonts w:hint="eastAsia" w:eastAsia="宋体"/>
          <w:color w:val="auto"/>
          <w:sz w:val="24"/>
          <w:highlight w:val="none"/>
        </w:rPr>
        <w:t>系中华人民共和国合法企业，法定地址</w:t>
      </w:r>
      <w:r>
        <w:rPr>
          <w:rFonts w:hint="eastAsia" w:eastAsia="宋体"/>
          <w:color w:val="auto"/>
          <w:sz w:val="24"/>
          <w:highlight w:val="none"/>
          <w:u w:val="single"/>
        </w:rPr>
        <w:t xml:space="preserve">              </w:t>
      </w:r>
      <w:r>
        <w:rPr>
          <w:rFonts w:hint="eastAsia" w:eastAsia="宋体"/>
          <w:color w:val="auto"/>
          <w:sz w:val="24"/>
          <w:highlight w:val="none"/>
        </w:rPr>
        <w:t>。</w:t>
      </w:r>
    </w:p>
    <w:p w14:paraId="49D72DBD">
      <w:pPr>
        <w:spacing w:line="360" w:lineRule="auto"/>
        <w:rPr>
          <w:rFonts w:hint="eastAsia" w:eastAsia="宋体"/>
          <w:color w:val="auto"/>
          <w:sz w:val="24"/>
          <w:szCs w:val="28"/>
          <w:highlight w:val="none"/>
        </w:rPr>
      </w:pPr>
      <w:r>
        <w:rPr>
          <w:rFonts w:hint="eastAsia" w:eastAsia="宋体"/>
          <w:color w:val="auto"/>
          <w:sz w:val="24"/>
          <w:highlight w:val="none"/>
          <w:u w:val="single"/>
        </w:rPr>
        <w:t>（法定代表人姓名）</w:t>
      </w:r>
      <w:r>
        <w:rPr>
          <w:rFonts w:hint="eastAsia" w:eastAsia="宋体"/>
          <w:color w:val="auto"/>
          <w:sz w:val="24"/>
          <w:highlight w:val="none"/>
        </w:rPr>
        <w:t>特授权</w:t>
      </w:r>
      <w:r>
        <w:rPr>
          <w:rFonts w:hint="eastAsia" w:eastAsia="宋体"/>
          <w:color w:val="auto"/>
          <w:sz w:val="24"/>
          <w:highlight w:val="none"/>
          <w:u w:val="single"/>
        </w:rPr>
        <w:t>（被授权人姓名）</w:t>
      </w:r>
      <w:r>
        <w:rPr>
          <w:rFonts w:hint="eastAsia" w:eastAsia="宋体"/>
          <w:color w:val="auto"/>
          <w:sz w:val="24"/>
          <w:highlight w:val="none"/>
        </w:rPr>
        <w:t>代表我单位全权办理</w:t>
      </w:r>
      <w:r>
        <w:rPr>
          <w:rFonts w:hint="eastAsia" w:eastAsia="宋体"/>
          <w:color w:val="auto"/>
          <w:sz w:val="24"/>
          <w:highlight w:val="none"/>
          <w:u w:val="single"/>
        </w:rPr>
        <w:t xml:space="preserve">           项</w:t>
      </w:r>
      <w:r>
        <w:rPr>
          <w:rFonts w:hint="eastAsia" w:eastAsia="宋体"/>
          <w:color w:val="auto"/>
          <w:sz w:val="24"/>
          <w:szCs w:val="28"/>
          <w:highlight w:val="none"/>
          <w:u w:val="single"/>
        </w:rPr>
        <w:t>目</w:t>
      </w:r>
      <w:r>
        <w:rPr>
          <w:rFonts w:hint="eastAsia" w:eastAsia="宋体"/>
          <w:color w:val="auto"/>
          <w:sz w:val="24"/>
          <w:szCs w:val="28"/>
          <w:highlight w:val="none"/>
        </w:rPr>
        <w:t>的磋商、答疑等具体工作，并签署全部有关的文件、协议及合同。</w:t>
      </w:r>
    </w:p>
    <w:p w14:paraId="087F6DB6">
      <w:pPr>
        <w:spacing w:line="360" w:lineRule="auto"/>
        <w:ind w:firstLine="480" w:firstLineChars="200"/>
        <w:rPr>
          <w:rFonts w:hint="eastAsia" w:eastAsia="宋体"/>
          <w:color w:val="auto"/>
          <w:sz w:val="24"/>
          <w:szCs w:val="28"/>
          <w:highlight w:val="none"/>
        </w:rPr>
      </w:pPr>
      <w:r>
        <w:rPr>
          <w:rFonts w:hint="eastAsia" w:eastAsia="宋体"/>
          <w:color w:val="auto"/>
          <w:sz w:val="24"/>
          <w:szCs w:val="28"/>
          <w:highlight w:val="none"/>
        </w:rPr>
        <w:t>我单位对被授权人的签名负全部责任。</w:t>
      </w:r>
    </w:p>
    <w:p w14:paraId="10BD70A1">
      <w:pPr>
        <w:spacing w:line="360" w:lineRule="auto"/>
        <w:ind w:firstLine="480" w:firstLineChars="200"/>
        <w:rPr>
          <w:rFonts w:hint="eastAsia" w:eastAsia="宋体"/>
          <w:color w:val="auto"/>
          <w:sz w:val="24"/>
          <w:highlight w:val="none"/>
        </w:rPr>
      </w:pPr>
      <w:r>
        <w:rPr>
          <w:rFonts w:hint="eastAsia" w:eastAsia="宋体"/>
          <w:color w:val="auto"/>
          <w:sz w:val="24"/>
          <w:szCs w:val="28"/>
          <w:highlight w:val="none"/>
          <w:lang w:val="zh-CN"/>
        </w:rPr>
        <w:t>授权期限：自</w:t>
      </w:r>
      <w:r>
        <w:rPr>
          <w:rFonts w:hint="eastAsia" w:eastAsia="宋体"/>
          <w:color w:val="auto"/>
          <w:sz w:val="24"/>
          <w:szCs w:val="28"/>
          <w:highlight w:val="none"/>
        </w:rPr>
        <w:t xml:space="preserve">    年    月   日起至   年     月    日止（授权期限必须满足磋商有效期的要求）。</w:t>
      </w:r>
    </w:p>
    <w:p w14:paraId="1D0F96D9">
      <w:pPr>
        <w:spacing w:line="360" w:lineRule="auto"/>
        <w:rPr>
          <w:rFonts w:hint="eastAsia" w:eastAsia="宋体"/>
          <w:color w:val="auto"/>
          <w:sz w:val="24"/>
          <w:highlight w:val="none"/>
          <w:u w:val="single"/>
        </w:rPr>
      </w:pPr>
      <w:r>
        <w:rPr>
          <w:rFonts w:hint="eastAsia" w:eastAsia="宋体"/>
          <w:color w:val="auto"/>
          <w:sz w:val="24"/>
          <w:highlight w:val="none"/>
        </w:rPr>
        <w:t>被授权人联系电话：</w:t>
      </w:r>
      <w:r>
        <w:rPr>
          <w:rFonts w:hint="eastAsia" w:eastAsia="宋体"/>
          <w:color w:val="auto"/>
          <w:sz w:val="24"/>
          <w:highlight w:val="none"/>
          <w:u w:val="single"/>
        </w:rPr>
        <w:t xml:space="preserve">               </w:t>
      </w:r>
    </w:p>
    <w:p w14:paraId="010641CD">
      <w:pPr>
        <w:spacing w:line="360" w:lineRule="auto"/>
        <w:rPr>
          <w:rFonts w:hint="eastAsia" w:eastAsia="宋体"/>
          <w:color w:val="auto"/>
          <w:sz w:val="24"/>
          <w:highlight w:val="none"/>
          <w:u w:val="single"/>
        </w:rPr>
      </w:pPr>
      <w:r>
        <w:rPr>
          <w:rFonts w:hint="eastAsia" w:eastAsia="宋体"/>
          <w:color w:val="auto"/>
          <w:sz w:val="24"/>
          <w:highlight w:val="none"/>
        </w:rPr>
        <w:t>被授权人（委托代理人）签名：</w:t>
      </w:r>
      <w:r>
        <w:rPr>
          <w:rFonts w:hint="eastAsia" w:eastAsia="宋体"/>
          <w:color w:val="auto"/>
          <w:sz w:val="24"/>
          <w:highlight w:val="none"/>
          <w:u w:val="single"/>
        </w:rPr>
        <w:t xml:space="preserve">           </w:t>
      </w:r>
      <w:r>
        <w:rPr>
          <w:rFonts w:hint="eastAsia" w:eastAsia="宋体"/>
          <w:color w:val="auto"/>
          <w:sz w:val="24"/>
          <w:highlight w:val="none"/>
        </w:rPr>
        <w:t xml:space="preserve">   授权人（法定代表人）签名：</w:t>
      </w:r>
      <w:r>
        <w:rPr>
          <w:rFonts w:hint="eastAsia" w:eastAsia="宋体"/>
          <w:color w:val="auto"/>
          <w:sz w:val="24"/>
          <w:highlight w:val="none"/>
          <w:u w:val="single"/>
        </w:rPr>
        <w:t xml:space="preserve">          </w:t>
      </w:r>
    </w:p>
    <w:p w14:paraId="354271AD">
      <w:pPr>
        <w:spacing w:line="360" w:lineRule="auto"/>
        <w:rPr>
          <w:rFonts w:hint="eastAsia" w:eastAsia="宋体"/>
          <w:color w:val="auto"/>
          <w:sz w:val="24"/>
          <w:highlight w:val="none"/>
          <w:u w:val="single"/>
        </w:rPr>
      </w:pPr>
      <w:r>
        <w:rPr>
          <w:rFonts w:hint="eastAsia" w:eastAsia="宋体"/>
          <w:color w:val="auto"/>
          <w:sz w:val="24"/>
          <w:highlight w:val="none"/>
        </w:rPr>
        <w:t>职务：</w:t>
      </w:r>
      <w:r>
        <w:rPr>
          <w:rFonts w:hint="eastAsia" w:eastAsia="宋体"/>
          <w:color w:val="auto"/>
          <w:sz w:val="24"/>
          <w:highlight w:val="none"/>
          <w:u w:val="single"/>
        </w:rPr>
        <w:t xml:space="preserve">            </w:t>
      </w:r>
      <w:r>
        <w:rPr>
          <w:rFonts w:hint="eastAsia" w:eastAsia="宋体"/>
          <w:color w:val="auto"/>
          <w:sz w:val="24"/>
          <w:highlight w:val="none"/>
        </w:rPr>
        <w:t xml:space="preserve">                        职务：</w:t>
      </w:r>
      <w:r>
        <w:rPr>
          <w:rFonts w:hint="eastAsia" w:eastAsia="宋体"/>
          <w:color w:val="auto"/>
          <w:sz w:val="24"/>
          <w:highlight w:val="none"/>
          <w:u w:val="single"/>
        </w:rPr>
        <w:t xml:space="preserve">            </w:t>
      </w:r>
    </w:p>
    <w:p w14:paraId="03FB258E">
      <w:pPr>
        <w:spacing w:line="360" w:lineRule="auto"/>
        <w:rPr>
          <w:rFonts w:hint="eastAsia" w:eastAsia="宋体"/>
          <w:color w:val="auto"/>
          <w:sz w:val="24"/>
          <w:highlight w:val="none"/>
        </w:rPr>
      </w:pPr>
      <w:r>
        <w:rPr>
          <w:rFonts w:hint="eastAsia" w:eastAsia="宋体"/>
          <w:color w:val="auto"/>
          <w:sz w:val="24"/>
          <w:highlight w:val="none"/>
        </w:rPr>
        <w:t>附：被授权人身份证正、反面扫描（或复印）件</w:t>
      </w:r>
    </w:p>
    <w:p w14:paraId="5DC982C6">
      <w:pPr>
        <w:tabs>
          <w:tab w:val="left" w:pos="168"/>
        </w:tabs>
        <w:adjustRightInd w:val="0"/>
        <w:spacing w:line="360" w:lineRule="auto"/>
        <w:textAlignment w:val="baseline"/>
        <w:rPr>
          <w:rFonts w:hint="eastAsia" w:eastAsia="宋体"/>
          <w:bCs/>
          <w:color w:val="auto"/>
          <w:sz w:val="28"/>
          <w:szCs w:val="28"/>
          <w:highlight w:val="none"/>
        </w:rPr>
      </w:pPr>
    </w:p>
    <w:p w14:paraId="1D72A618">
      <w:pPr>
        <w:tabs>
          <w:tab w:val="left" w:pos="168"/>
        </w:tabs>
        <w:adjustRightInd w:val="0"/>
        <w:spacing w:line="360" w:lineRule="auto"/>
        <w:textAlignment w:val="baseline"/>
        <w:rPr>
          <w:rFonts w:hint="eastAsia" w:eastAsia="宋体"/>
          <w:bCs/>
          <w:color w:val="auto"/>
          <w:sz w:val="28"/>
          <w:szCs w:val="28"/>
          <w:highlight w:val="none"/>
        </w:rPr>
      </w:pPr>
    </w:p>
    <w:p w14:paraId="5DF0C009">
      <w:pPr>
        <w:tabs>
          <w:tab w:val="left" w:pos="168"/>
        </w:tabs>
        <w:adjustRightInd w:val="0"/>
        <w:spacing w:line="360" w:lineRule="auto"/>
        <w:jc w:val="right"/>
        <w:textAlignment w:val="baseline"/>
        <w:rPr>
          <w:rFonts w:hint="eastAsia" w:eastAsia="宋体"/>
          <w:bCs/>
          <w:color w:val="auto"/>
          <w:sz w:val="24"/>
          <w:szCs w:val="28"/>
          <w:highlight w:val="none"/>
        </w:rPr>
      </w:pPr>
    </w:p>
    <w:p w14:paraId="25CFAB03">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518" w:name="_Toc20653"/>
      <w:bookmarkStart w:id="519" w:name="_Toc31737"/>
      <w:bookmarkStart w:id="520" w:name="_Toc26776"/>
      <w:r>
        <w:rPr>
          <w:rFonts w:hint="eastAsia" w:eastAsia="宋体"/>
          <w:b/>
          <w:color w:val="auto"/>
          <w:sz w:val="24"/>
          <w:szCs w:val="28"/>
          <w:highlight w:val="none"/>
        </w:rPr>
        <w:t>供应商：                   （公章）</w:t>
      </w:r>
      <w:bookmarkEnd w:id="518"/>
      <w:bookmarkEnd w:id="519"/>
      <w:bookmarkEnd w:id="520"/>
    </w:p>
    <w:p w14:paraId="1178A245">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521" w:name="_Toc10198"/>
      <w:bookmarkStart w:id="522" w:name="_Toc30314"/>
      <w:bookmarkStart w:id="523" w:name="_Toc22350"/>
      <w:r>
        <w:rPr>
          <w:rFonts w:hint="eastAsia" w:eastAsia="宋体"/>
          <w:b/>
          <w:color w:val="auto"/>
          <w:sz w:val="24"/>
          <w:szCs w:val="28"/>
          <w:highlight w:val="none"/>
        </w:rPr>
        <w:t>法定代表人：                 （签字或盖章）</w:t>
      </w:r>
      <w:bookmarkEnd w:id="521"/>
      <w:bookmarkEnd w:id="522"/>
      <w:bookmarkEnd w:id="523"/>
    </w:p>
    <w:p w14:paraId="079D87BB">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524" w:name="_Toc6635"/>
      <w:bookmarkStart w:id="525" w:name="_Toc172"/>
      <w:bookmarkStart w:id="526" w:name="_Toc26594"/>
      <w:r>
        <w:rPr>
          <w:rFonts w:hint="eastAsia" w:eastAsia="宋体"/>
          <w:b/>
          <w:color w:val="auto"/>
          <w:sz w:val="24"/>
          <w:szCs w:val="28"/>
          <w:highlight w:val="none"/>
        </w:rPr>
        <w:t>日期：          年   月   日</w:t>
      </w:r>
      <w:bookmarkEnd w:id="524"/>
      <w:bookmarkEnd w:id="525"/>
      <w:bookmarkEnd w:id="526"/>
    </w:p>
    <w:p w14:paraId="2DE1BC47">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r>
        <w:rPr>
          <w:rFonts w:hint="eastAsia" w:eastAsia="宋体" w:cs="宋体"/>
          <w:bCs/>
          <w:color w:val="auto"/>
          <w:sz w:val="24"/>
          <w:highlight w:val="none"/>
        </w:rPr>
        <w:br w:type="page"/>
      </w:r>
      <w:bookmarkStart w:id="527" w:name="_Toc17370"/>
      <w:bookmarkStart w:id="528" w:name="_Toc14487"/>
      <w:bookmarkStart w:id="529" w:name="_Toc1409"/>
      <w:bookmarkStart w:id="530" w:name="_Toc16675"/>
      <w:bookmarkStart w:id="531" w:name="_Toc20434"/>
      <w:bookmarkStart w:id="532" w:name="_Toc27116"/>
      <w:r>
        <w:rPr>
          <w:rFonts w:hint="eastAsia" w:eastAsia="宋体" w:cs="宋体"/>
          <w:b/>
          <w:color w:val="auto"/>
          <w:sz w:val="32"/>
          <w:highlight w:val="none"/>
          <w:lang w:val="zh-CN"/>
        </w:rPr>
        <w:t>格式4、磋商供应商承诺书</w:t>
      </w:r>
      <w:bookmarkEnd w:id="527"/>
      <w:bookmarkEnd w:id="528"/>
      <w:bookmarkEnd w:id="529"/>
      <w:bookmarkEnd w:id="530"/>
      <w:bookmarkEnd w:id="531"/>
      <w:bookmarkEnd w:id="532"/>
    </w:p>
    <w:p w14:paraId="14D360DB">
      <w:pPr>
        <w:spacing w:line="360" w:lineRule="auto"/>
        <w:rPr>
          <w:rFonts w:hint="eastAsia" w:eastAsia="宋体"/>
          <w:color w:val="auto"/>
          <w:highlight w:val="none"/>
          <w:lang w:val="zh-CN"/>
        </w:rPr>
      </w:pPr>
    </w:p>
    <w:p w14:paraId="71CCFAB6">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磋商供应商承诺书</w:t>
      </w:r>
    </w:p>
    <w:p w14:paraId="6075FCA8">
      <w:pPr>
        <w:pStyle w:val="19"/>
        <w:spacing w:line="360" w:lineRule="auto"/>
        <w:rPr>
          <w:rFonts w:hint="eastAsia" w:ascii="宋体" w:hAnsi="宋体" w:eastAsia="宋体" w:cs="宋体"/>
          <w:color w:val="auto"/>
          <w:highlight w:val="none"/>
          <w:lang w:val="zh-CN"/>
        </w:rPr>
      </w:pPr>
    </w:p>
    <w:p w14:paraId="692E7268">
      <w:pPr>
        <w:spacing w:line="360" w:lineRule="auto"/>
        <w:outlineLvl w:val="1"/>
        <w:rPr>
          <w:rFonts w:hint="eastAsia" w:eastAsia="宋体"/>
          <w:color w:val="auto"/>
          <w:highlight w:val="none"/>
        </w:rPr>
      </w:pPr>
      <w:bookmarkStart w:id="533" w:name="_Toc17320"/>
      <w:bookmarkStart w:id="534" w:name="_Toc23374"/>
      <w:bookmarkStart w:id="535" w:name="_Toc18574"/>
      <w:r>
        <w:rPr>
          <w:rFonts w:hint="eastAsia" w:eastAsia="宋体"/>
          <w:b/>
          <w:bCs/>
          <w:color w:val="auto"/>
          <w:sz w:val="24"/>
          <w:szCs w:val="28"/>
          <w:highlight w:val="none"/>
        </w:rPr>
        <w:t>致：</w:t>
      </w:r>
      <w:bookmarkEnd w:id="533"/>
      <w:r>
        <w:rPr>
          <w:rFonts w:hint="eastAsia" w:eastAsia="宋体"/>
          <w:b/>
          <w:bCs/>
          <w:color w:val="auto"/>
          <w:sz w:val="24"/>
          <w:szCs w:val="28"/>
          <w:highlight w:val="none"/>
        </w:rPr>
        <w:t>青海中旭工程项目管理有限公司</w:t>
      </w:r>
      <w:bookmarkEnd w:id="534"/>
      <w:bookmarkEnd w:id="535"/>
    </w:p>
    <w:p w14:paraId="5622705C">
      <w:pPr>
        <w:pageBreakBefore w:val="0"/>
        <w:kinsoku/>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关于贵方</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，本签字人愿意参加磋商，提供磋商文件第六部分采购需求的所有产品，并证实提交的所有资料是准确的和真实的。同时，我代表（供应商名称），在此作如下承诺：</w:t>
      </w:r>
    </w:p>
    <w:p w14:paraId="62E47353">
      <w:pPr>
        <w:pageBreakBefore w:val="0"/>
        <w:kinsoku/>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1、完全理解和接受磋商文件的一切规定和要求；</w:t>
      </w:r>
    </w:p>
    <w:p w14:paraId="6D7EC4AD">
      <w:pPr>
        <w:pageBreakBefore w:val="0"/>
        <w:kinsoku/>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成交，我方将按照磋商文件的具体规定与采购单位签订合同，并且严格履行合同义务，按时交货，提供优质的产品和服务。如果在合同执行过程中，发现质量、数量出现问题，我方一定尽快更换或补退货，并承担相应的经济责任；</w:t>
      </w:r>
    </w:p>
    <w:p w14:paraId="1B51294B">
      <w:pPr>
        <w:pageBreakBefore w:val="0"/>
        <w:kinsoku/>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3、在整个磋商过程中我方若有违规行为，贵方可按磋商文件之规定给予惩罚，我方完全接受。</w:t>
      </w:r>
    </w:p>
    <w:p w14:paraId="01450ADA">
      <w:pPr>
        <w:pageBreakBefore w:val="0"/>
        <w:kinsoku/>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4、若成交，本承诺将成为合同不可分割的一部分，与合同具有同等的法律效力。</w:t>
      </w:r>
    </w:p>
    <w:p w14:paraId="4A812D6C">
      <w:pPr>
        <w:tabs>
          <w:tab w:val="left" w:pos="168"/>
        </w:tabs>
        <w:adjustRightInd w:val="0"/>
        <w:spacing w:line="360" w:lineRule="auto"/>
        <w:ind w:firstLine="560" w:firstLineChars="200"/>
        <w:textAlignment w:val="baseline"/>
        <w:rPr>
          <w:rFonts w:hint="eastAsia" w:eastAsia="宋体"/>
          <w:bCs/>
          <w:color w:val="auto"/>
          <w:sz w:val="28"/>
          <w:szCs w:val="28"/>
          <w:highlight w:val="none"/>
        </w:rPr>
      </w:pPr>
    </w:p>
    <w:p w14:paraId="25994A81">
      <w:pPr>
        <w:tabs>
          <w:tab w:val="left" w:pos="168"/>
        </w:tabs>
        <w:adjustRightInd w:val="0"/>
        <w:spacing w:line="360" w:lineRule="auto"/>
        <w:textAlignment w:val="baseline"/>
        <w:rPr>
          <w:rFonts w:hint="eastAsia" w:eastAsia="宋体"/>
          <w:bCs/>
          <w:color w:val="auto"/>
          <w:sz w:val="28"/>
          <w:szCs w:val="28"/>
          <w:highlight w:val="none"/>
        </w:rPr>
      </w:pPr>
    </w:p>
    <w:p w14:paraId="7F597B92">
      <w:pPr>
        <w:tabs>
          <w:tab w:val="left" w:pos="168"/>
        </w:tabs>
        <w:adjustRightInd w:val="0"/>
        <w:spacing w:line="360" w:lineRule="auto"/>
        <w:ind w:firstLine="560" w:firstLineChars="200"/>
        <w:textAlignment w:val="baseline"/>
        <w:rPr>
          <w:rFonts w:hint="eastAsia" w:eastAsia="宋体"/>
          <w:bCs/>
          <w:color w:val="auto"/>
          <w:sz w:val="28"/>
          <w:szCs w:val="28"/>
          <w:highlight w:val="none"/>
        </w:rPr>
      </w:pPr>
    </w:p>
    <w:p w14:paraId="60E7415B">
      <w:pPr>
        <w:tabs>
          <w:tab w:val="left" w:pos="168"/>
        </w:tabs>
        <w:adjustRightInd w:val="0"/>
        <w:spacing w:line="360" w:lineRule="auto"/>
        <w:ind w:firstLine="560" w:firstLineChars="200"/>
        <w:textAlignment w:val="baseline"/>
        <w:rPr>
          <w:rFonts w:hint="eastAsia" w:eastAsia="宋体"/>
          <w:bCs/>
          <w:color w:val="auto"/>
          <w:sz w:val="28"/>
          <w:szCs w:val="28"/>
          <w:highlight w:val="none"/>
        </w:rPr>
      </w:pPr>
    </w:p>
    <w:p w14:paraId="6662DE25">
      <w:pPr>
        <w:tabs>
          <w:tab w:val="left" w:pos="168"/>
        </w:tabs>
        <w:adjustRightInd w:val="0"/>
        <w:spacing w:line="360" w:lineRule="auto"/>
        <w:jc w:val="right"/>
        <w:textAlignment w:val="baseline"/>
        <w:rPr>
          <w:rFonts w:hint="eastAsia" w:eastAsia="宋体"/>
          <w:bCs/>
          <w:color w:val="auto"/>
          <w:sz w:val="24"/>
          <w:szCs w:val="28"/>
          <w:highlight w:val="none"/>
        </w:rPr>
      </w:pPr>
    </w:p>
    <w:p w14:paraId="0D87F1D6">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536" w:name="_Toc23552"/>
      <w:bookmarkStart w:id="537" w:name="_Toc29929"/>
      <w:bookmarkStart w:id="538" w:name="_Toc21455"/>
      <w:r>
        <w:rPr>
          <w:rFonts w:hint="eastAsia" w:eastAsia="宋体"/>
          <w:b/>
          <w:color w:val="auto"/>
          <w:sz w:val="24"/>
          <w:szCs w:val="28"/>
          <w:highlight w:val="none"/>
        </w:rPr>
        <w:t>供应商：                   （公章）</w:t>
      </w:r>
      <w:bookmarkEnd w:id="536"/>
      <w:bookmarkEnd w:id="537"/>
      <w:bookmarkEnd w:id="538"/>
    </w:p>
    <w:p w14:paraId="22D4613B">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539" w:name="_Toc4789"/>
      <w:bookmarkStart w:id="540" w:name="_Toc22570"/>
      <w:bookmarkStart w:id="541" w:name="_Toc10979"/>
      <w:r>
        <w:rPr>
          <w:rFonts w:hint="eastAsia" w:eastAsia="宋体"/>
          <w:b/>
          <w:color w:val="auto"/>
          <w:sz w:val="24"/>
          <w:szCs w:val="28"/>
          <w:highlight w:val="none"/>
        </w:rPr>
        <w:t>委托代理人或法定代表人：                 （签字或盖章）</w:t>
      </w:r>
      <w:bookmarkEnd w:id="539"/>
      <w:bookmarkEnd w:id="540"/>
      <w:bookmarkEnd w:id="541"/>
    </w:p>
    <w:p w14:paraId="41987B33">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542" w:name="_Toc29148"/>
      <w:bookmarkStart w:id="543" w:name="_Toc1682"/>
      <w:bookmarkStart w:id="544" w:name="_Toc11345"/>
      <w:r>
        <w:rPr>
          <w:rFonts w:hint="eastAsia" w:eastAsia="宋体"/>
          <w:b/>
          <w:color w:val="auto"/>
          <w:sz w:val="24"/>
          <w:szCs w:val="28"/>
          <w:highlight w:val="none"/>
        </w:rPr>
        <w:t>日期：          年   月   日</w:t>
      </w:r>
      <w:bookmarkEnd w:id="542"/>
      <w:bookmarkEnd w:id="543"/>
      <w:bookmarkEnd w:id="544"/>
    </w:p>
    <w:p w14:paraId="4F8DC317">
      <w:pPr>
        <w:tabs>
          <w:tab w:val="left" w:pos="168"/>
        </w:tabs>
        <w:adjustRightInd w:val="0"/>
        <w:spacing w:line="360" w:lineRule="auto"/>
        <w:jc w:val="right"/>
        <w:textAlignment w:val="baseline"/>
        <w:rPr>
          <w:rFonts w:hint="eastAsia" w:eastAsia="宋体"/>
          <w:bCs/>
          <w:color w:val="auto"/>
          <w:sz w:val="24"/>
          <w:szCs w:val="28"/>
          <w:highlight w:val="none"/>
        </w:rPr>
      </w:pPr>
    </w:p>
    <w:p w14:paraId="19141BFF">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r>
        <w:rPr>
          <w:rFonts w:hint="eastAsia" w:eastAsia="宋体" w:cs="宋体"/>
          <w:bCs/>
          <w:color w:val="auto"/>
          <w:sz w:val="24"/>
          <w:highlight w:val="none"/>
        </w:rPr>
        <w:br w:type="page"/>
      </w:r>
      <w:bookmarkStart w:id="545" w:name="_Toc9516"/>
      <w:bookmarkStart w:id="546" w:name="_Toc14531"/>
      <w:bookmarkStart w:id="547" w:name="_Toc23913"/>
      <w:bookmarkStart w:id="548" w:name="_Toc31417"/>
      <w:bookmarkStart w:id="549" w:name="_Toc6915"/>
      <w:bookmarkStart w:id="550" w:name="_Toc25171"/>
      <w:r>
        <w:rPr>
          <w:rFonts w:hint="eastAsia" w:eastAsia="宋体" w:cs="宋体"/>
          <w:b/>
          <w:color w:val="auto"/>
          <w:sz w:val="32"/>
          <w:highlight w:val="none"/>
          <w:lang w:val="zh-CN"/>
        </w:rPr>
        <w:t>格式5、供应商诚信承诺书</w:t>
      </w:r>
      <w:bookmarkEnd w:id="545"/>
      <w:bookmarkEnd w:id="546"/>
      <w:bookmarkEnd w:id="547"/>
      <w:bookmarkEnd w:id="548"/>
      <w:bookmarkEnd w:id="549"/>
      <w:bookmarkEnd w:id="550"/>
    </w:p>
    <w:p w14:paraId="12551D31">
      <w:pPr>
        <w:spacing w:line="360" w:lineRule="auto"/>
        <w:rPr>
          <w:rFonts w:hint="eastAsia" w:eastAsia="宋体"/>
          <w:color w:val="auto"/>
          <w:highlight w:val="none"/>
          <w:lang w:val="zh-CN"/>
        </w:rPr>
      </w:pPr>
    </w:p>
    <w:p w14:paraId="59C08C8D">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供应商诚信承诺书</w:t>
      </w:r>
    </w:p>
    <w:p w14:paraId="69C00077">
      <w:pPr>
        <w:autoSpaceDE w:val="0"/>
        <w:autoSpaceDN w:val="0"/>
        <w:adjustRightInd w:val="0"/>
        <w:spacing w:line="360" w:lineRule="auto"/>
        <w:rPr>
          <w:rFonts w:hint="eastAsia" w:eastAsia="宋体"/>
          <w:color w:val="auto"/>
          <w:sz w:val="24"/>
          <w:highlight w:val="none"/>
          <w:lang w:val="zh-CN"/>
        </w:rPr>
      </w:pPr>
    </w:p>
    <w:p w14:paraId="2E3E6DB8">
      <w:pPr>
        <w:autoSpaceDE w:val="0"/>
        <w:autoSpaceDN w:val="0"/>
        <w:adjustRightInd w:val="0"/>
        <w:spacing w:line="360" w:lineRule="auto"/>
        <w:outlineLvl w:val="1"/>
        <w:rPr>
          <w:rFonts w:hint="eastAsia" w:eastAsia="宋体"/>
          <w:b/>
          <w:bCs/>
          <w:color w:val="auto"/>
          <w:sz w:val="24"/>
          <w:highlight w:val="none"/>
          <w:lang w:val="zh-CN"/>
        </w:rPr>
      </w:pPr>
      <w:bookmarkStart w:id="551" w:name="_Toc13069"/>
      <w:bookmarkStart w:id="552" w:name="_Toc18745"/>
      <w:bookmarkStart w:id="553" w:name="_Toc9051"/>
      <w:r>
        <w:rPr>
          <w:rFonts w:hint="eastAsia" w:eastAsia="宋体"/>
          <w:b/>
          <w:bCs/>
          <w:color w:val="auto"/>
          <w:sz w:val="24"/>
          <w:highlight w:val="none"/>
          <w:lang w:val="zh-CN"/>
        </w:rPr>
        <w:t>致：</w:t>
      </w:r>
      <w:bookmarkEnd w:id="551"/>
      <w:r>
        <w:rPr>
          <w:rFonts w:hint="eastAsia" w:eastAsia="宋体"/>
          <w:b/>
          <w:bCs/>
          <w:color w:val="auto"/>
          <w:sz w:val="24"/>
          <w:highlight w:val="none"/>
          <w:lang w:val="zh-CN"/>
        </w:rPr>
        <w:t>青海中旭工程项目管理有限公司</w:t>
      </w:r>
      <w:bookmarkEnd w:id="552"/>
      <w:bookmarkEnd w:id="553"/>
    </w:p>
    <w:p w14:paraId="41C697FF">
      <w:pPr>
        <w:autoSpaceDE w:val="0"/>
        <w:autoSpaceDN w:val="0"/>
        <w:adjustRightInd w:val="0"/>
        <w:spacing w:line="360" w:lineRule="auto"/>
        <w:rPr>
          <w:rFonts w:hint="eastAsia" w:eastAsia="宋体"/>
          <w:color w:val="auto"/>
          <w:sz w:val="24"/>
          <w:highlight w:val="none"/>
          <w:lang w:val="zh-CN"/>
        </w:rPr>
      </w:pPr>
    </w:p>
    <w:p w14:paraId="46CD4233">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为了诚实、客观、有序地参与青海省政府采购活动，愿就以下内容做出承诺：</w:t>
      </w:r>
    </w:p>
    <w:p w14:paraId="34336E7B">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一、自觉遵守各项法律、法规、规章、制度以及社会公德，维护廉洁环境，与同场竞争的其他供应商平等参加政府采购活动。</w:t>
      </w:r>
    </w:p>
    <w:p w14:paraId="6C90333B">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二、参加采购代理机构组织的政府采购活动时，严格按照磋商文件的规定和要求提供所需的相关材料，并对所提供的各类资料的真实性负责，不虚假应标，不虚列业绩。</w:t>
      </w:r>
    </w:p>
    <w:p w14:paraId="55D90720">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三、尊重参与政府采购活动各相关方的合法行为，接受政府采购活动依法形成的意见、结果。</w:t>
      </w:r>
    </w:p>
    <w:p w14:paraId="291689CB">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四、依法参加政府采购活动，不围标、串标，维护市场秩序，不提供“三无”产品、以次充好。</w:t>
      </w:r>
    </w:p>
    <w:p w14:paraId="5A2AE3A4">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五、积极推动政府采购活动健康开展，对采购活动有疑问、异议时，按法律规定的程序实名反映情况，不恶意中伤、无事生非，以和谐、平等的心态参加政府采购活动。</w:t>
      </w:r>
    </w:p>
    <w:p w14:paraId="35EF67C3">
      <w:pPr>
        <w:autoSpaceDE w:val="0"/>
        <w:autoSpaceDN w:val="0"/>
        <w:adjustRightInd w:val="0"/>
        <w:spacing w:line="360" w:lineRule="auto"/>
        <w:ind w:firstLine="480"/>
        <w:rPr>
          <w:rFonts w:hint="eastAsia" w:eastAsia="宋体"/>
          <w:color w:val="auto"/>
          <w:sz w:val="24"/>
          <w:highlight w:val="none"/>
          <w:lang w:val="zh-CN"/>
        </w:rPr>
      </w:pPr>
      <w:r>
        <w:rPr>
          <w:rFonts w:hint="eastAsia" w:eastAsia="宋体"/>
          <w:color w:val="auto"/>
          <w:sz w:val="24"/>
          <w:highlight w:val="none"/>
          <w:lang w:val="zh-CN"/>
        </w:rPr>
        <w:t>六、认真履行成交人应承担的责任和义务，全面执行采购合同规定的各项内容，保质保量地按时提供采购物品。</w:t>
      </w:r>
    </w:p>
    <w:p w14:paraId="0B8C595B">
      <w:pPr>
        <w:autoSpaceDE w:val="0"/>
        <w:autoSpaceDN w:val="0"/>
        <w:adjustRightInd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若本企业（单位）发生有悖于上述承诺的行为，愿意接受《中华人民共和国政府采购法》和《政府采购法实施条例》中对供应商的相关处理。</w:t>
      </w:r>
    </w:p>
    <w:p w14:paraId="75FB9C78">
      <w:pPr>
        <w:autoSpaceDE w:val="0"/>
        <w:autoSpaceDN w:val="0"/>
        <w:adjustRightInd w:val="0"/>
        <w:spacing w:line="360" w:lineRule="auto"/>
        <w:ind w:firstLine="480" w:firstLineChars="200"/>
        <w:rPr>
          <w:rFonts w:hint="eastAsia" w:eastAsia="宋体"/>
          <w:bCs/>
          <w:color w:val="auto"/>
          <w:sz w:val="28"/>
          <w:szCs w:val="28"/>
          <w:highlight w:val="none"/>
        </w:rPr>
      </w:pPr>
      <w:r>
        <w:rPr>
          <w:rFonts w:hint="eastAsia" w:eastAsia="宋体"/>
          <w:color w:val="auto"/>
          <w:sz w:val="24"/>
          <w:highlight w:val="none"/>
          <w:lang w:val="zh-CN"/>
        </w:rPr>
        <w:t>本承诺是采购项目磋商文件的组成部分。</w:t>
      </w:r>
      <w:bookmarkStart w:id="554" w:name="_Toc17097"/>
      <w:bookmarkStart w:id="555" w:name="_Toc444715739"/>
    </w:p>
    <w:p w14:paraId="60763239">
      <w:pPr>
        <w:tabs>
          <w:tab w:val="left" w:pos="168"/>
        </w:tabs>
        <w:adjustRightInd w:val="0"/>
        <w:spacing w:line="360" w:lineRule="auto"/>
        <w:jc w:val="right"/>
        <w:textAlignment w:val="baseline"/>
        <w:rPr>
          <w:rFonts w:hint="eastAsia" w:eastAsia="宋体"/>
          <w:bCs/>
          <w:color w:val="auto"/>
          <w:sz w:val="24"/>
          <w:szCs w:val="28"/>
          <w:highlight w:val="none"/>
        </w:rPr>
      </w:pPr>
    </w:p>
    <w:p w14:paraId="7FB5719D">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556" w:name="_Toc2584"/>
      <w:bookmarkStart w:id="557" w:name="_Toc9608"/>
      <w:bookmarkStart w:id="558" w:name="_Toc3930"/>
      <w:r>
        <w:rPr>
          <w:rFonts w:hint="eastAsia" w:eastAsia="宋体"/>
          <w:b/>
          <w:color w:val="auto"/>
          <w:sz w:val="24"/>
          <w:szCs w:val="28"/>
          <w:highlight w:val="none"/>
        </w:rPr>
        <w:t>供应商：                   （公章）</w:t>
      </w:r>
      <w:bookmarkEnd w:id="556"/>
      <w:bookmarkEnd w:id="557"/>
      <w:bookmarkEnd w:id="558"/>
    </w:p>
    <w:p w14:paraId="1184BE2C">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r>
        <w:rPr>
          <w:rFonts w:hint="eastAsia" w:ascii="宋体" w:hAnsi="宋体" w:eastAsia="宋体" w:cs="宋体"/>
          <w:b/>
          <w:color w:val="auto"/>
          <w:sz w:val="24"/>
          <w:szCs w:val="28"/>
          <w:highlight w:val="none"/>
        </w:rPr>
        <w:t xml:space="preserve"> </w:t>
      </w:r>
      <w:bookmarkStart w:id="559" w:name="_Toc24501"/>
      <w:bookmarkStart w:id="560" w:name="_Toc28646"/>
      <w:bookmarkStart w:id="561" w:name="_Toc8036"/>
      <w:r>
        <w:rPr>
          <w:rFonts w:hint="eastAsia" w:ascii="宋体" w:hAnsi="宋体" w:eastAsia="宋体" w:cs="宋体"/>
          <w:b/>
          <w:color w:val="auto"/>
          <w:sz w:val="24"/>
          <w:szCs w:val="28"/>
          <w:highlight w:val="none"/>
        </w:rPr>
        <w:t xml:space="preserve">委托代理人或法定代表人：  </w:t>
      </w:r>
      <w:r>
        <w:rPr>
          <w:rFonts w:hint="eastAsia" w:eastAsia="宋体"/>
          <w:b/>
          <w:color w:val="auto"/>
          <w:sz w:val="24"/>
          <w:szCs w:val="28"/>
          <w:highlight w:val="none"/>
        </w:rPr>
        <w:t xml:space="preserve">               （签字）</w:t>
      </w:r>
      <w:bookmarkEnd w:id="559"/>
      <w:bookmarkEnd w:id="560"/>
      <w:bookmarkEnd w:id="561"/>
    </w:p>
    <w:p w14:paraId="6597CC8E">
      <w:pPr>
        <w:tabs>
          <w:tab w:val="left" w:pos="168"/>
        </w:tabs>
        <w:adjustRightInd w:val="0"/>
        <w:spacing w:line="360" w:lineRule="auto"/>
        <w:jc w:val="right"/>
        <w:textAlignment w:val="baseline"/>
        <w:outlineLvl w:val="1"/>
        <w:rPr>
          <w:rFonts w:hint="eastAsia" w:eastAsia="宋体"/>
          <w:bCs/>
          <w:color w:val="auto"/>
          <w:sz w:val="24"/>
          <w:szCs w:val="28"/>
          <w:highlight w:val="none"/>
        </w:rPr>
      </w:pPr>
      <w:bookmarkStart w:id="562" w:name="_Toc2262"/>
      <w:bookmarkStart w:id="563" w:name="_Toc2065"/>
      <w:bookmarkStart w:id="564" w:name="_Toc166"/>
      <w:r>
        <w:rPr>
          <w:rFonts w:hint="eastAsia" w:eastAsia="宋体"/>
          <w:b/>
          <w:color w:val="auto"/>
          <w:sz w:val="24"/>
          <w:szCs w:val="28"/>
          <w:highlight w:val="none"/>
        </w:rPr>
        <w:t>日期：          年   月   日</w:t>
      </w:r>
      <w:bookmarkEnd w:id="562"/>
      <w:bookmarkEnd w:id="563"/>
      <w:bookmarkEnd w:id="564"/>
    </w:p>
    <w:p w14:paraId="0B3DA753">
      <w:pPr>
        <w:pStyle w:val="4"/>
        <w:numPr>
          <w:ilvl w:val="0"/>
          <w:numId w:val="0"/>
        </w:numPr>
        <w:tabs>
          <w:tab w:val="left" w:pos="425"/>
        </w:tabs>
        <w:spacing w:line="360" w:lineRule="auto"/>
        <w:ind w:left="709" w:hanging="709"/>
        <w:rPr>
          <w:rFonts w:hint="eastAsia" w:eastAsia="宋体" w:cs="宋体"/>
          <w:color w:val="auto"/>
          <w:highlight w:val="none"/>
          <w:lang w:val="zh-CN"/>
        </w:rPr>
      </w:pPr>
      <w:r>
        <w:rPr>
          <w:rFonts w:hint="eastAsia" w:eastAsia="宋体" w:cs="宋体"/>
          <w:bCs/>
          <w:color w:val="auto"/>
          <w:sz w:val="24"/>
          <w:highlight w:val="none"/>
        </w:rPr>
        <w:br w:type="page"/>
      </w:r>
      <w:bookmarkStart w:id="565" w:name="_Toc10018"/>
      <w:bookmarkStart w:id="566" w:name="_Toc25627"/>
      <w:bookmarkStart w:id="567" w:name="_Toc13355"/>
      <w:bookmarkStart w:id="568" w:name="_Toc28522"/>
      <w:bookmarkStart w:id="569" w:name="_Toc21529"/>
      <w:bookmarkStart w:id="570" w:name="_Toc16481"/>
      <w:r>
        <w:rPr>
          <w:rFonts w:hint="eastAsia" w:eastAsia="宋体" w:cs="宋体"/>
          <w:b/>
          <w:color w:val="auto"/>
          <w:sz w:val="32"/>
          <w:highlight w:val="none"/>
          <w:lang w:val="zh-CN"/>
        </w:rPr>
        <w:t>格式6、资格证明材料</w:t>
      </w:r>
      <w:bookmarkEnd w:id="554"/>
      <w:bookmarkEnd w:id="555"/>
      <w:bookmarkEnd w:id="565"/>
      <w:bookmarkEnd w:id="566"/>
      <w:bookmarkEnd w:id="567"/>
      <w:bookmarkEnd w:id="568"/>
      <w:bookmarkEnd w:id="569"/>
      <w:bookmarkEnd w:id="570"/>
    </w:p>
    <w:p w14:paraId="62D170FC">
      <w:pPr>
        <w:spacing w:line="360" w:lineRule="auto"/>
        <w:rPr>
          <w:rFonts w:hint="eastAsia" w:eastAsia="宋体"/>
          <w:color w:val="auto"/>
          <w:highlight w:val="none"/>
          <w:lang w:val="zh-CN"/>
        </w:rPr>
      </w:pPr>
    </w:p>
    <w:p w14:paraId="254F385A">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资格证明材料</w:t>
      </w:r>
    </w:p>
    <w:p w14:paraId="56E6A634">
      <w:pPr>
        <w:spacing w:line="360" w:lineRule="auto"/>
        <w:rPr>
          <w:rFonts w:hint="eastAsia" w:eastAsia="宋体"/>
          <w:color w:val="auto"/>
          <w:sz w:val="24"/>
          <w:highlight w:val="none"/>
        </w:rPr>
      </w:pPr>
      <w:r>
        <w:rPr>
          <w:rFonts w:hint="eastAsia" w:eastAsia="宋体"/>
          <w:color w:val="auto"/>
          <w:sz w:val="24"/>
          <w:highlight w:val="none"/>
        </w:rPr>
        <w:t>资格证明材料包括：</w:t>
      </w:r>
    </w:p>
    <w:p w14:paraId="7D24C386">
      <w:pPr>
        <w:pStyle w:val="39"/>
        <w:spacing w:line="360" w:lineRule="auto"/>
        <w:rPr>
          <w:rFonts w:hint="eastAsia" w:ascii="宋体" w:hAnsi="宋体" w:eastAsia="宋体" w:cs="宋体"/>
          <w:color w:val="auto"/>
          <w:sz w:val="24"/>
          <w:szCs w:val="22"/>
          <w:highlight w:val="none"/>
          <w:lang w:val="zh-CN"/>
        </w:rPr>
      </w:pPr>
      <w:bookmarkStart w:id="571" w:name="_Toc20673"/>
      <w:bookmarkStart w:id="572" w:name="_Toc444715740"/>
      <w:r>
        <w:rPr>
          <w:rFonts w:hint="eastAsia" w:ascii="宋体" w:hAnsi="宋体" w:eastAsia="宋体" w:cs="宋体"/>
          <w:color w:val="auto"/>
          <w:sz w:val="24"/>
          <w:szCs w:val="22"/>
          <w:highlight w:val="none"/>
          <w:lang w:val="zh-CN"/>
        </w:rPr>
        <w:t>（</w:t>
      </w:r>
      <w:r>
        <w:rPr>
          <w:rFonts w:hint="eastAsia" w:ascii="宋体" w:hAnsi="宋体" w:eastAsia="宋体" w:cs="宋体"/>
          <w:color w:val="auto"/>
          <w:sz w:val="24"/>
          <w:szCs w:val="22"/>
          <w:highlight w:val="none"/>
        </w:rPr>
        <w:t>1</w:t>
      </w:r>
      <w:r>
        <w:rPr>
          <w:rFonts w:hint="eastAsia" w:ascii="宋体" w:hAnsi="宋体" w:eastAsia="宋体" w:cs="宋体"/>
          <w:color w:val="auto"/>
          <w:sz w:val="24"/>
          <w:szCs w:val="22"/>
          <w:highlight w:val="none"/>
          <w:lang w:val="zh-CN"/>
        </w:rPr>
        <w:t>）提供有效的营业执照、税务登记证、机构代码证或三证（五证）合一统一社会代码证及其他资格证明文件（扫描或复印件）；</w:t>
      </w:r>
    </w:p>
    <w:p w14:paraId="43299458">
      <w:pPr>
        <w:pStyle w:val="39"/>
        <w:spacing w:line="360" w:lineRule="auto"/>
        <w:rPr>
          <w:rFonts w:hint="eastAsia" w:ascii="宋体" w:hAnsi="宋体" w:eastAsia="宋体" w:cs="宋体"/>
          <w:color w:val="auto"/>
          <w:sz w:val="24"/>
          <w:szCs w:val="22"/>
          <w:highlight w:val="none"/>
          <w:lang w:val="zh-CN"/>
        </w:rPr>
      </w:pPr>
      <w:r>
        <w:rPr>
          <w:rFonts w:hint="eastAsia" w:ascii="宋体" w:hAnsi="宋体" w:eastAsia="宋体" w:cs="宋体"/>
          <w:color w:val="auto"/>
          <w:sz w:val="24"/>
          <w:szCs w:val="22"/>
          <w:highlight w:val="none"/>
          <w:lang w:val="zh-CN"/>
        </w:rPr>
        <w:t>（2）磋商文件规定的有关资格证书、许可证书、认证等；</w:t>
      </w:r>
    </w:p>
    <w:p w14:paraId="610096F3">
      <w:pPr>
        <w:pStyle w:val="39"/>
        <w:spacing w:line="360" w:lineRule="auto"/>
        <w:rPr>
          <w:rFonts w:hint="eastAsia" w:ascii="宋体" w:hAnsi="宋体" w:eastAsia="宋体" w:cs="宋体"/>
          <w:color w:val="auto"/>
          <w:sz w:val="24"/>
          <w:szCs w:val="22"/>
          <w:highlight w:val="none"/>
          <w:lang w:val="zh-CN"/>
        </w:rPr>
      </w:pPr>
      <w:r>
        <w:rPr>
          <w:rFonts w:hint="eastAsia" w:ascii="宋体" w:hAnsi="宋体" w:eastAsia="宋体" w:cs="宋体"/>
          <w:color w:val="auto"/>
          <w:sz w:val="24"/>
          <w:szCs w:val="22"/>
          <w:highlight w:val="none"/>
          <w:lang w:val="zh-CN"/>
        </w:rPr>
        <w:t>（3）供应商认为有必要提供的其他资格证明文件。</w:t>
      </w:r>
    </w:p>
    <w:p w14:paraId="608972A6">
      <w:pPr>
        <w:pStyle w:val="39"/>
        <w:spacing w:line="360" w:lineRule="auto"/>
        <w:ind w:left="845" w:firstLine="0" w:firstLineChars="0"/>
        <w:rPr>
          <w:rFonts w:hint="eastAsia" w:ascii="宋体" w:hAnsi="宋体" w:eastAsia="宋体" w:cs="宋体"/>
          <w:color w:val="auto"/>
          <w:sz w:val="24"/>
          <w:szCs w:val="22"/>
          <w:highlight w:val="none"/>
          <w:lang w:val="zh-CN"/>
        </w:rPr>
      </w:pPr>
    </w:p>
    <w:p w14:paraId="387247A0">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41BBA8B1">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36C339A9">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4B6B98D7">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49B26022">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62EFC2E3">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747C90EC">
      <w:pPr>
        <w:pStyle w:val="4"/>
        <w:numPr>
          <w:ilvl w:val="0"/>
          <w:numId w:val="0"/>
        </w:numPr>
        <w:tabs>
          <w:tab w:val="left" w:pos="425"/>
        </w:tabs>
        <w:spacing w:line="360" w:lineRule="auto"/>
        <w:ind w:left="709" w:hanging="709"/>
        <w:rPr>
          <w:rFonts w:hint="eastAsia" w:eastAsia="宋体" w:cs="宋体"/>
          <w:b/>
          <w:color w:val="auto"/>
          <w:sz w:val="32"/>
          <w:highlight w:val="none"/>
          <w:lang w:val="zh-CN"/>
        </w:rPr>
      </w:pPr>
    </w:p>
    <w:p w14:paraId="3077DE28">
      <w:pPr>
        <w:spacing w:line="360" w:lineRule="auto"/>
        <w:rPr>
          <w:rFonts w:hint="eastAsia" w:eastAsia="宋体"/>
          <w:b/>
          <w:color w:val="auto"/>
          <w:sz w:val="32"/>
          <w:highlight w:val="none"/>
          <w:lang w:val="zh-CN"/>
        </w:rPr>
      </w:pPr>
    </w:p>
    <w:p w14:paraId="0DF23B0A">
      <w:pPr>
        <w:pStyle w:val="19"/>
        <w:spacing w:line="360" w:lineRule="auto"/>
        <w:rPr>
          <w:rFonts w:hint="eastAsia" w:ascii="宋体" w:hAnsi="宋体" w:eastAsia="宋体" w:cs="宋体"/>
          <w:b/>
          <w:color w:val="auto"/>
          <w:sz w:val="32"/>
          <w:highlight w:val="none"/>
          <w:lang w:val="zh-CN"/>
        </w:rPr>
      </w:pPr>
    </w:p>
    <w:p w14:paraId="5983C295">
      <w:pPr>
        <w:pStyle w:val="19"/>
        <w:spacing w:line="360" w:lineRule="auto"/>
        <w:rPr>
          <w:rFonts w:hint="eastAsia" w:ascii="宋体" w:hAnsi="宋体" w:eastAsia="宋体" w:cs="宋体"/>
          <w:b/>
          <w:color w:val="auto"/>
          <w:sz w:val="32"/>
          <w:highlight w:val="none"/>
          <w:lang w:val="zh-CN"/>
        </w:rPr>
      </w:pPr>
    </w:p>
    <w:p w14:paraId="04B51773">
      <w:pPr>
        <w:pStyle w:val="19"/>
        <w:spacing w:line="360" w:lineRule="auto"/>
        <w:rPr>
          <w:rFonts w:hint="eastAsia" w:ascii="宋体" w:hAnsi="宋体" w:eastAsia="宋体" w:cs="宋体"/>
          <w:b/>
          <w:color w:val="auto"/>
          <w:sz w:val="32"/>
          <w:highlight w:val="none"/>
          <w:lang w:val="zh-CN"/>
        </w:rPr>
      </w:pPr>
    </w:p>
    <w:p w14:paraId="34E09135">
      <w:pPr>
        <w:pStyle w:val="19"/>
        <w:spacing w:line="360" w:lineRule="auto"/>
        <w:rPr>
          <w:rFonts w:hint="eastAsia" w:ascii="宋体" w:hAnsi="宋体" w:eastAsia="宋体" w:cs="宋体"/>
          <w:b/>
          <w:color w:val="auto"/>
          <w:sz w:val="32"/>
          <w:highlight w:val="none"/>
          <w:lang w:val="zh-CN"/>
        </w:rPr>
      </w:pPr>
    </w:p>
    <w:p w14:paraId="0E942C01">
      <w:pPr>
        <w:pStyle w:val="19"/>
        <w:spacing w:line="360" w:lineRule="auto"/>
        <w:rPr>
          <w:rFonts w:hint="eastAsia" w:ascii="宋体" w:hAnsi="宋体" w:eastAsia="宋体" w:cs="宋体"/>
          <w:b/>
          <w:color w:val="auto"/>
          <w:sz w:val="32"/>
          <w:highlight w:val="none"/>
          <w:lang w:val="zh-CN"/>
        </w:rPr>
      </w:pPr>
    </w:p>
    <w:p w14:paraId="045BE671">
      <w:pPr>
        <w:pStyle w:val="19"/>
        <w:spacing w:line="360" w:lineRule="auto"/>
        <w:rPr>
          <w:rFonts w:hint="eastAsia" w:ascii="宋体" w:hAnsi="宋体" w:eastAsia="宋体" w:cs="宋体"/>
          <w:b/>
          <w:color w:val="auto"/>
          <w:sz w:val="32"/>
          <w:highlight w:val="none"/>
          <w:lang w:val="zh-CN"/>
        </w:rPr>
      </w:pPr>
    </w:p>
    <w:p w14:paraId="5A425099">
      <w:pPr>
        <w:spacing w:line="360" w:lineRule="auto"/>
        <w:rPr>
          <w:rFonts w:hint="eastAsia" w:eastAsia="宋体"/>
          <w:color w:val="auto"/>
          <w:highlight w:val="none"/>
          <w:lang w:val="zh-CN"/>
        </w:rPr>
      </w:pPr>
    </w:p>
    <w:p w14:paraId="41530B5A">
      <w:pPr>
        <w:pStyle w:val="4"/>
        <w:numPr>
          <w:ilvl w:val="0"/>
          <w:numId w:val="0"/>
        </w:numPr>
        <w:tabs>
          <w:tab w:val="left" w:pos="425"/>
        </w:tabs>
        <w:spacing w:line="360" w:lineRule="auto"/>
        <w:ind w:left="709" w:hanging="709"/>
        <w:rPr>
          <w:rFonts w:hint="eastAsia" w:eastAsia="宋体" w:cs="宋体"/>
          <w:color w:val="auto"/>
          <w:highlight w:val="none"/>
          <w:lang w:val="zh-CN"/>
        </w:rPr>
      </w:pPr>
      <w:bookmarkStart w:id="573" w:name="_Toc9458"/>
      <w:bookmarkStart w:id="574" w:name="_Toc1564"/>
      <w:bookmarkStart w:id="575" w:name="_Toc2974"/>
      <w:r>
        <w:rPr>
          <w:rFonts w:hint="eastAsia" w:eastAsia="宋体" w:cs="宋体"/>
          <w:b/>
          <w:color w:val="auto"/>
          <w:sz w:val="32"/>
          <w:highlight w:val="none"/>
          <w:lang w:val="zh-CN"/>
        </w:rPr>
        <w:br w:type="page"/>
      </w:r>
      <w:bookmarkStart w:id="576" w:name="_Toc5169"/>
      <w:bookmarkStart w:id="577" w:name="_Toc30088"/>
      <w:bookmarkStart w:id="578" w:name="_Toc16860"/>
      <w:r>
        <w:rPr>
          <w:rFonts w:hint="eastAsia" w:eastAsia="宋体" w:cs="宋体"/>
          <w:b/>
          <w:color w:val="auto"/>
          <w:sz w:val="32"/>
          <w:highlight w:val="none"/>
          <w:lang w:val="zh-CN"/>
        </w:rPr>
        <w:t>格式7、财务状况、缴纳税收和社会保障资金证明</w:t>
      </w:r>
      <w:bookmarkEnd w:id="573"/>
      <w:bookmarkEnd w:id="574"/>
      <w:bookmarkEnd w:id="575"/>
      <w:bookmarkEnd w:id="576"/>
      <w:bookmarkEnd w:id="577"/>
      <w:bookmarkEnd w:id="578"/>
    </w:p>
    <w:p w14:paraId="59996FD3">
      <w:pPr>
        <w:spacing w:line="360" w:lineRule="auto"/>
        <w:rPr>
          <w:rFonts w:hint="eastAsia" w:eastAsia="宋体"/>
          <w:color w:val="auto"/>
          <w:highlight w:val="none"/>
          <w:lang w:val="zh-CN"/>
        </w:rPr>
      </w:pPr>
    </w:p>
    <w:p w14:paraId="3F4D1D64">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财务状况、缴纳税收和社会保障资金证明</w:t>
      </w:r>
    </w:p>
    <w:p w14:paraId="59C1F8A4">
      <w:pPr>
        <w:autoSpaceDE w:val="0"/>
        <w:autoSpaceDN w:val="0"/>
        <w:spacing w:line="360" w:lineRule="auto"/>
        <w:rPr>
          <w:rFonts w:hint="eastAsia" w:eastAsia="宋体"/>
          <w:color w:val="auto"/>
          <w:sz w:val="24"/>
          <w:highlight w:val="none"/>
          <w:lang w:val="zh-CN"/>
        </w:rPr>
      </w:pPr>
    </w:p>
    <w:p w14:paraId="3F3BB55E">
      <w:pPr>
        <w:spacing w:line="360" w:lineRule="auto"/>
        <w:rPr>
          <w:rFonts w:hint="eastAsia" w:eastAsia="宋体"/>
          <w:color w:val="auto"/>
          <w:sz w:val="24"/>
          <w:highlight w:val="none"/>
        </w:rPr>
      </w:pPr>
      <w:r>
        <w:rPr>
          <w:rFonts w:hint="eastAsia" w:eastAsia="宋体"/>
          <w:color w:val="auto"/>
          <w:sz w:val="24"/>
          <w:highlight w:val="none"/>
        </w:rPr>
        <w:t>按照磋商文件第2.2款（1）中规定提供以下相关材料。</w:t>
      </w:r>
    </w:p>
    <w:p w14:paraId="0F88A47C">
      <w:pPr>
        <w:pStyle w:val="39"/>
        <w:numPr>
          <w:ilvl w:val="1"/>
          <w:numId w:val="0"/>
        </w:numPr>
        <w:spacing w:line="360" w:lineRule="auto"/>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bidi="ar-SA"/>
        </w:rPr>
        <w:t>1.</w:t>
      </w:r>
      <w:r>
        <w:rPr>
          <w:rFonts w:hint="eastAsia" w:asciiTheme="minorEastAsia" w:hAnsiTheme="minorEastAsia" w:eastAsiaTheme="minorEastAsia" w:cstheme="minorEastAsia"/>
          <w:color w:val="auto"/>
          <w:sz w:val="24"/>
          <w:lang w:val="zh-CN"/>
        </w:rPr>
        <w:t>磋商供应商</w:t>
      </w:r>
      <w:r>
        <w:rPr>
          <w:rFonts w:hint="eastAsia" w:asciiTheme="minorEastAsia" w:hAnsiTheme="minorEastAsia" w:eastAsiaTheme="minorEastAsia" w:cstheme="minorEastAsia"/>
          <w:color w:val="auto"/>
          <w:sz w:val="24"/>
          <w:lang w:val="en-US" w:eastAsia="zh-CN"/>
        </w:rPr>
        <w:t>提供</w:t>
      </w:r>
      <w:r>
        <w:rPr>
          <w:rFonts w:hint="eastAsia" w:asciiTheme="minorEastAsia" w:hAnsiTheme="minorEastAsia" w:eastAsiaTheme="minorEastAsia" w:cstheme="minorEastAsia"/>
          <w:color w:val="auto"/>
          <w:sz w:val="24"/>
          <w:lang w:val="zh-CN"/>
        </w:rPr>
        <w:t>银行近三个月内出具的资信证明或经第三方机构出具的</w:t>
      </w:r>
      <w:r>
        <w:rPr>
          <w:rFonts w:hint="eastAsia" w:asciiTheme="minorEastAsia" w:hAnsiTheme="minorEastAsia" w:eastAsiaTheme="minorEastAsia" w:cstheme="minorEastAsia"/>
          <w:color w:val="auto"/>
          <w:sz w:val="24"/>
        </w:rPr>
        <w:t>202</w:t>
      </w:r>
      <w:r>
        <w:rPr>
          <w:rFonts w:hint="eastAsia" w:asciiTheme="minorEastAsia" w:hAnsiTheme="minorEastAsia" w:eastAsiaTheme="minorEastAsia" w:cstheme="minorEastAsia"/>
          <w:color w:val="auto"/>
          <w:sz w:val="24"/>
          <w:lang w:val="en-US" w:eastAsia="zh-CN"/>
        </w:rPr>
        <w:t>5</w:t>
      </w:r>
      <w:r>
        <w:rPr>
          <w:rFonts w:hint="eastAsia" w:asciiTheme="minorEastAsia" w:hAnsiTheme="minorEastAsia" w:eastAsiaTheme="minorEastAsia" w:cstheme="minorEastAsia"/>
          <w:color w:val="auto"/>
          <w:sz w:val="24"/>
        </w:rPr>
        <w:t>年度</w:t>
      </w:r>
      <w:r>
        <w:rPr>
          <w:rFonts w:hint="eastAsia" w:asciiTheme="minorEastAsia" w:hAnsiTheme="minorEastAsia" w:eastAsiaTheme="minorEastAsia" w:cstheme="minorEastAsia"/>
          <w:color w:val="auto"/>
          <w:sz w:val="24"/>
          <w:lang w:val="zh-CN"/>
        </w:rPr>
        <w:t>财务状况审计报告，包括资产负债表、现金流量表、利润表和财务（会计）报表附注。</w:t>
      </w:r>
    </w:p>
    <w:p w14:paraId="2A6F265D">
      <w:pPr>
        <w:pStyle w:val="39"/>
        <w:numPr>
          <w:ilvl w:val="1"/>
          <w:numId w:val="0"/>
        </w:numPr>
        <w:spacing w:line="360" w:lineRule="auto"/>
        <w:ind w:firstLine="480" w:firstLineChars="200"/>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bidi="ar-SA"/>
        </w:rPr>
        <w:t>2.</w:t>
      </w:r>
      <w:r>
        <w:rPr>
          <w:rFonts w:hint="eastAsia" w:asciiTheme="minorEastAsia" w:hAnsiTheme="minorEastAsia" w:eastAsiaTheme="minorEastAsia" w:cstheme="minorEastAsia"/>
          <w:color w:val="auto"/>
          <w:sz w:val="24"/>
        </w:rPr>
        <w:t>近半年内任意3</w:t>
      </w:r>
      <w:r>
        <w:rPr>
          <w:rFonts w:hint="eastAsia" w:asciiTheme="minorEastAsia" w:hAnsiTheme="minorEastAsia" w:eastAsiaTheme="minorEastAsia" w:cstheme="minorEastAsia"/>
          <w:color w:val="auto"/>
          <w:sz w:val="24"/>
          <w:lang w:val="zh-CN"/>
        </w:rPr>
        <w:t>个月的依法缴纳税收和社会保障资金记录的证明材料；依法免税或不需要缴纳社会保障资金的磋商供应商须提供相应文件证明其依法免税或不需要缴纳社会保障资金。</w:t>
      </w:r>
    </w:p>
    <w:p w14:paraId="75E48484">
      <w:pPr>
        <w:pStyle w:val="39"/>
        <w:numPr>
          <w:ilvl w:val="1"/>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lang w:val="en-US" w:eastAsia="zh-CN" w:bidi="ar-SA"/>
        </w:rPr>
        <w:t>3.</w:t>
      </w:r>
      <w:r>
        <w:rPr>
          <w:rFonts w:hint="eastAsia" w:ascii="宋体" w:hAnsi="宋体" w:eastAsia="宋体" w:cs="宋体"/>
          <w:color w:val="auto"/>
          <w:sz w:val="24"/>
          <w:highlight w:val="none"/>
        </w:rPr>
        <w:t>扫描（或复印）件应全面、完整、清晰。</w:t>
      </w:r>
    </w:p>
    <w:p w14:paraId="24EBC113">
      <w:pPr>
        <w:pStyle w:val="4"/>
        <w:numPr>
          <w:ilvl w:val="0"/>
          <w:numId w:val="0"/>
        </w:numPr>
        <w:tabs>
          <w:tab w:val="left" w:pos="425"/>
        </w:tabs>
        <w:spacing w:line="360" w:lineRule="auto"/>
        <w:ind w:left="709" w:hanging="709"/>
        <w:rPr>
          <w:rFonts w:hint="eastAsia" w:eastAsia="宋体" w:cs="宋体"/>
          <w:color w:val="auto"/>
          <w:highlight w:val="none"/>
          <w:lang w:val="zh-CN"/>
        </w:rPr>
      </w:pPr>
      <w:r>
        <w:rPr>
          <w:rFonts w:hint="eastAsia" w:eastAsia="宋体" w:cs="宋体"/>
          <w:b/>
          <w:color w:val="auto"/>
          <w:sz w:val="32"/>
          <w:highlight w:val="none"/>
          <w:lang w:val="zh-CN"/>
        </w:rPr>
        <w:br w:type="page"/>
      </w:r>
      <w:bookmarkStart w:id="579" w:name="_Toc30256"/>
      <w:bookmarkStart w:id="580" w:name="_Toc30532"/>
      <w:bookmarkStart w:id="581" w:name="_Toc31188"/>
      <w:bookmarkStart w:id="582" w:name="_Toc25588"/>
      <w:bookmarkStart w:id="583" w:name="_Toc25575"/>
      <w:bookmarkStart w:id="584" w:name="_Toc15071"/>
      <w:r>
        <w:rPr>
          <w:rFonts w:hint="eastAsia" w:eastAsia="宋体" w:cs="宋体"/>
          <w:b/>
          <w:color w:val="auto"/>
          <w:sz w:val="32"/>
          <w:highlight w:val="none"/>
          <w:lang w:val="zh-CN"/>
        </w:rPr>
        <w:t>格式8、具备履行合同所必须的设备和专业技术能力证明</w:t>
      </w:r>
      <w:bookmarkEnd w:id="579"/>
      <w:bookmarkEnd w:id="580"/>
      <w:bookmarkEnd w:id="581"/>
      <w:bookmarkEnd w:id="582"/>
      <w:bookmarkEnd w:id="583"/>
      <w:bookmarkEnd w:id="584"/>
    </w:p>
    <w:p w14:paraId="6F9ADFE3">
      <w:pPr>
        <w:autoSpaceDE w:val="0"/>
        <w:autoSpaceDN w:val="0"/>
        <w:adjustRightInd w:val="0"/>
        <w:spacing w:line="360" w:lineRule="auto"/>
        <w:rPr>
          <w:rFonts w:hint="eastAsia" w:eastAsia="宋体"/>
          <w:color w:val="auto"/>
          <w:sz w:val="24"/>
          <w:highlight w:val="none"/>
          <w:lang w:val="zh-CN"/>
        </w:rPr>
      </w:pPr>
    </w:p>
    <w:p w14:paraId="55ABB79D">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具备履行合同所必须的设备和专业技术能力证明</w:t>
      </w:r>
    </w:p>
    <w:p w14:paraId="548ECFD7">
      <w:pPr>
        <w:pStyle w:val="4"/>
        <w:numPr>
          <w:ilvl w:val="0"/>
          <w:numId w:val="0"/>
        </w:numPr>
        <w:tabs>
          <w:tab w:val="left" w:pos="425"/>
        </w:tabs>
        <w:spacing w:line="360" w:lineRule="auto"/>
        <w:ind w:left="353" w:leftChars="168" w:firstLine="480" w:firstLineChars="200"/>
        <w:jc w:val="left"/>
        <w:rPr>
          <w:rFonts w:hint="eastAsia" w:eastAsia="宋体" w:cs="宋体"/>
          <w:color w:val="auto"/>
          <w:sz w:val="24"/>
          <w:highlight w:val="none"/>
        </w:rPr>
      </w:pPr>
    </w:p>
    <w:p w14:paraId="3815766D">
      <w:pPr>
        <w:pStyle w:val="9"/>
        <w:ind w:firstLine="480" w:firstLineChars="200"/>
      </w:pPr>
      <w:r>
        <w:rPr>
          <w:rFonts w:hint="eastAsia" w:asciiTheme="minorEastAsia" w:hAnsiTheme="minorEastAsia" w:eastAsiaTheme="minorEastAsia" w:cstheme="minorEastAsia"/>
          <w:color w:val="auto"/>
          <w:sz w:val="24"/>
          <w:szCs w:val="24"/>
          <w:lang w:val="zh-CN"/>
        </w:rPr>
        <w:t>为保证本项目合同的顺利履行，供应商必须具备履行合同的设备和专业技术能力，须提供必须具备履行合同的设备和专业技术能力的承诺函（格式自拟），相关人员的执业证书或用工合同等证明材料。</w:t>
      </w:r>
    </w:p>
    <w:p w14:paraId="1E6EAF2E">
      <w:pPr>
        <w:pStyle w:val="40"/>
        <w:ind w:firstLine="803" w:firstLineChars="250"/>
        <w:rPr>
          <w:rFonts w:hint="eastAsia" w:ascii="宋体" w:hAnsi="宋体" w:eastAsia="宋体" w:cs="宋体"/>
          <w:b/>
          <w:color w:val="auto"/>
          <w:sz w:val="32"/>
          <w:highlight w:val="none"/>
          <w:lang w:val="zh-CN"/>
        </w:rPr>
      </w:pPr>
    </w:p>
    <w:p w14:paraId="2FC06CB9">
      <w:pPr>
        <w:pStyle w:val="40"/>
        <w:ind w:firstLine="803" w:firstLineChars="250"/>
        <w:rPr>
          <w:rFonts w:hint="eastAsia" w:ascii="宋体" w:hAnsi="宋体" w:eastAsia="宋体" w:cs="宋体"/>
          <w:b/>
          <w:color w:val="auto"/>
          <w:sz w:val="32"/>
          <w:highlight w:val="none"/>
          <w:lang w:val="zh-CN"/>
        </w:rPr>
      </w:pPr>
    </w:p>
    <w:p w14:paraId="5BA75EB7">
      <w:pPr>
        <w:pStyle w:val="40"/>
        <w:ind w:firstLine="803" w:firstLineChars="250"/>
        <w:rPr>
          <w:rFonts w:hint="eastAsia" w:ascii="宋体" w:hAnsi="宋体" w:eastAsia="宋体" w:cs="宋体"/>
          <w:b/>
          <w:color w:val="auto"/>
          <w:sz w:val="32"/>
          <w:highlight w:val="none"/>
          <w:lang w:val="zh-CN"/>
        </w:rPr>
      </w:pPr>
    </w:p>
    <w:p w14:paraId="659B4A66">
      <w:pPr>
        <w:pStyle w:val="40"/>
        <w:ind w:firstLine="803" w:firstLineChars="250"/>
        <w:rPr>
          <w:rFonts w:hint="eastAsia" w:ascii="宋体" w:hAnsi="宋体" w:eastAsia="宋体" w:cs="宋体"/>
          <w:b/>
          <w:color w:val="auto"/>
          <w:sz w:val="32"/>
          <w:highlight w:val="none"/>
          <w:lang w:val="zh-CN"/>
        </w:rPr>
      </w:pPr>
    </w:p>
    <w:p w14:paraId="0F02AB89">
      <w:pPr>
        <w:pStyle w:val="40"/>
        <w:ind w:firstLine="803" w:firstLineChars="250"/>
        <w:rPr>
          <w:rFonts w:hint="eastAsia" w:ascii="宋体" w:hAnsi="宋体" w:eastAsia="宋体" w:cs="宋体"/>
          <w:b/>
          <w:color w:val="auto"/>
          <w:sz w:val="32"/>
          <w:highlight w:val="none"/>
          <w:lang w:val="zh-CN"/>
        </w:rPr>
      </w:pPr>
    </w:p>
    <w:p w14:paraId="11CEE6FA">
      <w:pPr>
        <w:pStyle w:val="40"/>
        <w:ind w:firstLine="803" w:firstLineChars="250"/>
        <w:rPr>
          <w:rFonts w:hint="eastAsia" w:ascii="宋体" w:hAnsi="宋体" w:eastAsia="宋体" w:cs="宋体"/>
          <w:b/>
          <w:color w:val="auto"/>
          <w:sz w:val="32"/>
          <w:highlight w:val="none"/>
          <w:lang w:val="zh-CN"/>
        </w:rPr>
      </w:pPr>
    </w:p>
    <w:p w14:paraId="16B710B1">
      <w:pPr>
        <w:pStyle w:val="40"/>
        <w:ind w:firstLine="803" w:firstLineChars="250"/>
        <w:rPr>
          <w:rFonts w:hint="eastAsia" w:ascii="宋体" w:hAnsi="宋体" w:eastAsia="宋体" w:cs="宋体"/>
          <w:b/>
          <w:color w:val="auto"/>
          <w:sz w:val="32"/>
          <w:highlight w:val="none"/>
          <w:lang w:val="zh-CN"/>
        </w:rPr>
      </w:pPr>
    </w:p>
    <w:p w14:paraId="64043F0A">
      <w:pPr>
        <w:pStyle w:val="40"/>
        <w:ind w:firstLine="803" w:firstLineChars="250"/>
        <w:rPr>
          <w:rFonts w:hint="eastAsia" w:ascii="宋体" w:hAnsi="宋体" w:eastAsia="宋体" w:cs="宋体"/>
          <w:b/>
          <w:color w:val="auto"/>
          <w:sz w:val="32"/>
          <w:highlight w:val="none"/>
          <w:lang w:val="zh-CN"/>
        </w:rPr>
      </w:pPr>
    </w:p>
    <w:p w14:paraId="67E9FA45">
      <w:pPr>
        <w:pStyle w:val="40"/>
        <w:ind w:firstLine="803" w:firstLineChars="250"/>
        <w:rPr>
          <w:rFonts w:hint="eastAsia" w:ascii="宋体" w:hAnsi="宋体" w:eastAsia="宋体" w:cs="宋体"/>
          <w:b/>
          <w:color w:val="auto"/>
          <w:sz w:val="32"/>
          <w:highlight w:val="none"/>
          <w:lang w:val="zh-CN"/>
        </w:rPr>
      </w:pPr>
    </w:p>
    <w:p w14:paraId="3B939A72">
      <w:pPr>
        <w:pStyle w:val="40"/>
        <w:ind w:firstLine="803" w:firstLineChars="250"/>
        <w:rPr>
          <w:rFonts w:hint="eastAsia" w:ascii="宋体" w:hAnsi="宋体" w:eastAsia="宋体" w:cs="宋体"/>
          <w:b/>
          <w:color w:val="auto"/>
          <w:sz w:val="32"/>
          <w:highlight w:val="none"/>
          <w:lang w:val="zh-CN"/>
        </w:rPr>
      </w:pPr>
    </w:p>
    <w:p w14:paraId="602EAA8E">
      <w:pPr>
        <w:pStyle w:val="40"/>
        <w:ind w:firstLine="803" w:firstLineChars="250"/>
        <w:rPr>
          <w:rFonts w:hint="eastAsia" w:ascii="宋体" w:hAnsi="宋体" w:eastAsia="宋体" w:cs="宋体"/>
          <w:b/>
          <w:color w:val="auto"/>
          <w:sz w:val="32"/>
          <w:highlight w:val="none"/>
          <w:lang w:val="zh-CN"/>
        </w:rPr>
      </w:pPr>
    </w:p>
    <w:p w14:paraId="787329D7">
      <w:pPr>
        <w:pStyle w:val="40"/>
        <w:ind w:firstLine="803" w:firstLineChars="250"/>
        <w:rPr>
          <w:rFonts w:hint="eastAsia" w:ascii="宋体" w:hAnsi="宋体" w:eastAsia="宋体" w:cs="宋体"/>
          <w:b/>
          <w:color w:val="auto"/>
          <w:sz w:val="32"/>
          <w:highlight w:val="none"/>
          <w:lang w:val="zh-CN"/>
        </w:rPr>
      </w:pPr>
    </w:p>
    <w:p w14:paraId="2A03C87D">
      <w:pPr>
        <w:pStyle w:val="40"/>
        <w:ind w:firstLine="803" w:firstLineChars="250"/>
        <w:rPr>
          <w:rFonts w:hint="eastAsia" w:ascii="宋体" w:hAnsi="宋体" w:eastAsia="宋体" w:cs="宋体"/>
          <w:b/>
          <w:color w:val="auto"/>
          <w:sz w:val="32"/>
          <w:highlight w:val="none"/>
          <w:lang w:val="zh-CN"/>
        </w:rPr>
      </w:pPr>
    </w:p>
    <w:p w14:paraId="6CB9D771">
      <w:pPr>
        <w:pStyle w:val="40"/>
        <w:ind w:firstLine="803" w:firstLineChars="250"/>
        <w:rPr>
          <w:rFonts w:hint="eastAsia" w:ascii="宋体" w:hAnsi="宋体" w:eastAsia="宋体" w:cs="宋体"/>
          <w:b/>
          <w:color w:val="auto"/>
          <w:sz w:val="32"/>
          <w:highlight w:val="none"/>
          <w:lang w:val="zh-CN"/>
        </w:rPr>
      </w:pPr>
    </w:p>
    <w:p w14:paraId="015FCF48">
      <w:pPr>
        <w:pStyle w:val="40"/>
        <w:ind w:firstLine="803" w:firstLineChars="250"/>
        <w:rPr>
          <w:rFonts w:hint="eastAsia" w:ascii="宋体" w:hAnsi="宋体" w:eastAsia="宋体" w:cs="宋体"/>
          <w:b/>
          <w:color w:val="auto"/>
          <w:sz w:val="32"/>
          <w:highlight w:val="none"/>
          <w:lang w:val="zh-CN"/>
        </w:rPr>
      </w:pPr>
    </w:p>
    <w:p w14:paraId="04775A1B">
      <w:pPr>
        <w:pStyle w:val="40"/>
        <w:ind w:firstLine="803" w:firstLineChars="250"/>
        <w:rPr>
          <w:rFonts w:hint="eastAsia" w:ascii="宋体" w:hAnsi="宋体" w:eastAsia="宋体" w:cs="宋体"/>
          <w:b/>
          <w:color w:val="auto"/>
          <w:sz w:val="32"/>
          <w:highlight w:val="none"/>
          <w:lang w:val="zh-CN"/>
        </w:rPr>
      </w:pPr>
    </w:p>
    <w:p w14:paraId="454DCD65">
      <w:pPr>
        <w:pStyle w:val="40"/>
        <w:ind w:firstLine="803" w:firstLineChars="250"/>
        <w:rPr>
          <w:rFonts w:hint="eastAsia" w:ascii="宋体" w:hAnsi="宋体" w:eastAsia="宋体" w:cs="宋体"/>
          <w:b/>
          <w:color w:val="auto"/>
          <w:sz w:val="32"/>
          <w:highlight w:val="none"/>
          <w:lang w:val="zh-CN"/>
        </w:rPr>
      </w:pPr>
    </w:p>
    <w:p w14:paraId="2DDA9272">
      <w:pPr>
        <w:pStyle w:val="40"/>
        <w:outlineLvl w:val="1"/>
        <w:rPr>
          <w:rFonts w:hint="eastAsia" w:ascii="宋体" w:hAnsi="宋体" w:eastAsia="宋体" w:cs="宋体"/>
          <w:b/>
          <w:color w:val="auto"/>
          <w:kern w:val="0"/>
          <w:sz w:val="32"/>
          <w:szCs w:val="22"/>
          <w:highlight w:val="none"/>
          <w:lang w:val="zh-CN"/>
        </w:rPr>
      </w:pPr>
      <w:bookmarkStart w:id="585" w:name="_Toc12522"/>
      <w:bookmarkStart w:id="586" w:name="_Toc24929"/>
      <w:bookmarkStart w:id="587" w:name="_Toc31965"/>
      <w:r>
        <w:rPr>
          <w:rFonts w:hint="eastAsia" w:ascii="宋体" w:hAnsi="宋体" w:eastAsia="宋体" w:cs="宋体"/>
          <w:b/>
          <w:color w:val="auto"/>
          <w:kern w:val="0"/>
          <w:sz w:val="32"/>
          <w:szCs w:val="22"/>
          <w:highlight w:val="none"/>
          <w:lang w:val="zh-CN"/>
        </w:rPr>
        <w:t>格式</w:t>
      </w:r>
      <w:bookmarkEnd w:id="571"/>
      <w:bookmarkEnd w:id="572"/>
      <w:r>
        <w:rPr>
          <w:rFonts w:hint="eastAsia" w:ascii="宋体" w:hAnsi="宋体" w:eastAsia="宋体" w:cs="宋体"/>
          <w:b/>
          <w:color w:val="auto"/>
          <w:kern w:val="0"/>
          <w:sz w:val="32"/>
          <w:szCs w:val="22"/>
          <w:highlight w:val="none"/>
          <w:lang w:val="zh-CN"/>
        </w:rPr>
        <w:t>9、磋商保证金证明</w:t>
      </w:r>
      <w:bookmarkEnd w:id="585"/>
      <w:bookmarkEnd w:id="586"/>
      <w:bookmarkEnd w:id="587"/>
    </w:p>
    <w:p w14:paraId="73D85773">
      <w:pPr>
        <w:spacing w:line="360" w:lineRule="auto"/>
        <w:rPr>
          <w:rFonts w:hint="eastAsia" w:eastAsia="宋体"/>
          <w:color w:val="auto"/>
          <w:sz w:val="22"/>
          <w:highlight w:val="none"/>
          <w:lang w:val="zh-CN"/>
        </w:rPr>
      </w:pPr>
    </w:p>
    <w:p w14:paraId="51E36E71">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磋商保证金证明</w:t>
      </w:r>
    </w:p>
    <w:p w14:paraId="14B457A6">
      <w:pPr>
        <w:autoSpaceDE w:val="0"/>
        <w:autoSpaceDN w:val="0"/>
        <w:adjustRightInd w:val="0"/>
        <w:spacing w:line="360" w:lineRule="auto"/>
        <w:rPr>
          <w:rFonts w:hint="eastAsia" w:eastAsia="宋体"/>
          <w:b/>
          <w:bCs/>
          <w:color w:val="auto"/>
          <w:sz w:val="24"/>
          <w:szCs w:val="28"/>
          <w:highlight w:val="none"/>
          <w:lang w:val="zh-CN"/>
        </w:rPr>
      </w:pPr>
      <w:bookmarkStart w:id="588" w:name="_Toc325726048"/>
      <w:bookmarkEnd w:id="588"/>
    </w:p>
    <w:p w14:paraId="6DB38D67">
      <w:pPr>
        <w:autoSpaceDE w:val="0"/>
        <w:autoSpaceDN w:val="0"/>
        <w:adjustRightInd w:val="0"/>
        <w:spacing w:line="360" w:lineRule="auto"/>
        <w:outlineLvl w:val="1"/>
        <w:rPr>
          <w:rFonts w:hint="eastAsia" w:eastAsia="宋体"/>
          <w:b/>
          <w:bCs/>
          <w:color w:val="auto"/>
          <w:sz w:val="22"/>
          <w:highlight w:val="none"/>
          <w:lang w:val="zh-CN"/>
        </w:rPr>
      </w:pPr>
      <w:bookmarkStart w:id="589" w:name="_Toc18285"/>
      <w:bookmarkStart w:id="590" w:name="_Toc28238"/>
      <w:bookmarkStart w:id="591" w:name="_Toc13468"/>
      <w:r>
        <w:rPr>
          <w:rFonts w:hint="eastAsia" w:eastAsia="宋体"/>
          <w:b/>
          <w:bCs/>
          <w:color w:val="auto"/>
          <w:sz w:val="24"/>
          <w:szCs w:val="28"/>
          <w:highlight w:val="none"/>
          <w:lang w:val="zh-CN"/>
        </w:rPr>
        <w:t>致：</w:t>
      </w:r>
      <w:bookmarkEnd w:id="589"/>
      <w:r>
        <w:rPr>
          <w:rFonts w:hint="eastAsia" w:eastAsia="宋体"/>
          <w:b/>
          <w:bCs/>
          <w:color w:val="auto"/>
          <w:sz w:val="24"/>
          <w:szCs w:val="28"/>
          <w:highlight w:val="none"/>
          <w:lang w:val="zh-CN"/>
        </w:rPr>
        <w:t>青海中旭工程项目管理有限公司</w:t>
      </w:r>
      <w:bookmarkEnd w:id="590"/>
      <w:bookmarkEnd w:id="591"/>
    </w:p>
    <w:p w14:paraId="46243DEC">
      <w:pPr>
        <w:autoSpaceDE w:val="0"/>
        <w:autoSpaceDN w:val="0"/>
        <w:adjustRightInd w:val="0"/>
        <w:spacing w:line="360" w:lineRule="auto"/>
        <w:rPr>
          <w:rFonts w:hint="eastAsia" w:eastAsia="宋体"/>
          <w:b/>
          <w:bCs/>
          <w:color w:val="auto"/>
          <w:sz w:val="24"/>
          <w:highlight w:val="none"/>
          <w:lang w:val="zh-CN"/>
        </w:rPr>
      </w:pPr>
    </w:p>
    <w:p w14:paraId="02448B01">
      <w:pPr>
        <w:autoSpaceDE w:val="0"/>
        <w:autoSpaceDN w:val="0"/>
        <w:adjustRightInd w:val="0"/>
        <w:spacing w:line="360" w:lineRule="auto"/>
        <w:ind w:firstLine="360"/>
        <w:rPr>
          <w:rFonts w:hint="eastAsia" w:eastAsia="宋体"/>
          <w:color w:val="auto"/>
          <w:sz w:val="24"/>
          <w:highlight w:val="none"/>
          <w:lang w:val="zh-CN"/>
        </w:rPr>
      </w:pPr>
      <w:r>
        <w:rPr>
          <w:rFonts w:hint="eastAsia" w:eastAsia="宋体"/>
          <w:color w:val="auto"/>
          <w:sz w:val="24"/>
          <w:highlight w:val="none"/>
          <w:lang w:val="zh-CN"/>
        </w:rPr>
        <w:t>我方为</w:t>
      </w:r>
      <w:r>
        <w:rPr>
          <w:rFonts w:hint="eastAsia" w:eastAsia="宋体"/>
          <w:color w:val="auto"/>
          <w:sz w:val="24"/>
          <w:highlight w:val="none"/>
          <w:u w:val="single"/>
          <w:lang w:val="zh-CN"/>
        </w:rPr>
        <w:t>（项目名称）项目</w:t>
      </w:r>
      <w:r>
        <w:rPr>
          <w:rFonts w:hint="eastAsia" w:eastAsia="宋体"/>
          <w:color w:val="auto"/>
          <w:sz w:val="24"/>
          <w:highlight w:val="none"/>
          <w:lang w:val="zh-CN"/>
        </w:rPr>
        <w:t>（采购编号为：</w:t>
      </w:r>
      <w:r>
        <w:rPr>
          <w:rFonts w:hint="eastAsia" w:eastAsia="宋体"/>
          <w:color w:val="auto"/>
          <w:sz w:val="24"/>
          <w:highlight w:val="none"/>
          <w:u w:val="single"/>
          <w:lang w:val="zh-CN"/>
        </w:rPr>
        <w:t xml:space="preserve">          </w:t>
      </w:r>
      <w:r>
        <w:rPr>
          <w:rFonts w:hint="eastAsia" w:eastAsia="宋体"/>
          <w:color w:val="auto"/>
          <w:sz w:val="24"/>
          <w:highlight w:val="none"/>
          <w:lang w:val="zh-CN"/>
        </w:rPr>
        <w:t>）递交保证金人民币</w:t>
      </w:r>
      <w:r>
        <w:rPr>
          <w:rFonts w:hint="eastAsia" w:eastAsia="宋体"/>
          <w:color w:val="auto"/>
          <w:sz w:val="24"/>
          <w:highlight w:val="none"/>
          <w:u w:val="single"/>
          <w:lang w:val="zh-CN"/>
        </w:rPr>
        <w:t xml:space="preserve">            </w:t>
      </w:r>
      <w:r>
        <w:rPr>
          <w:rFonts w:hint="eastAsia" w:eastAsia="宋体"/>
          <w:color w:val="auto"/>
          <w:sz w:val="24"/>
          <w:highlight w:val="none"/>
          <w:lang w:val="zh-CN"/>
        </w:rPr>
        <w:t>（大写：人民币</w:t>
      </w:r>
      <w:r>
        <w:rPr>
          <w:rFonts w:hint="eastAsia" w:eastAsia="宋体"/>
          <w:color w:val="auto"/>
          <w:sz w:val="24"/>
          <w:highlight w:val="none"/>
          <w:u w:val="single"/>
          <w:lang w:val="zh-CN"/>
        </w:rPr>
        <w:t xml:space="preserve">        </w:t>
      </w:r>
      <w:r>
        <w:rPr>
          <w:rFonts w:hint="eastAsia" w:eastAsia="宋体"/>
          <w:color w:val="auto"/>
          <w:sz w:val="24"/>
          <w:highlight w:val="none"/>
          <w:lang w:val="zh-CN"/>
        </w:rPr>
        <w:t>元）已于</w:t>
      </w:r>
      <w:r>
        <w:rPr>
          <w:rFonts w:hint="eastAsia" w:eastAsia="宋体"/>
          <w:color w:val="auto"/>
          <w:sz w:val="24"/>
          <w:highlight w:val="none"/>
          <w:u w:val="single"/>
          <w:lang w:val="zh-CN"/>
        </w:rPr>
        <w:t xml:space="preserve">     </w:t>
      </w:r>
      <w:r>
        <w:rPr>
          <w:rFonts w:hint="eastAsia" w:eastAsia="宋体"/>
          <w:color w:val="auto"/>
          <w:sz w:val="24"/>
          <w:highlight w:val="none"/>
          <w:lang w:val="zh-CN"/>
        </w:rPr>
        <w:t>年</w:t>
      </w:r>
      <w:r>
        <w:rPr>
          <w:rFonts w:hint="eastAsia" w:eastAsia="宋体"/>
          <w:color w:val="auto"/>
          <w:sz w:val="24"/>
          <w:highlight w:val="none"/>
          <w:u w:val="single"/>
          <w:lang w:val="zh-CN"/>
        </w:rPr>
        <w:t xml:space="preserve">    </w:t>
      </w:r>
      <w:r>
        <w:rPr>
          <w:rFonts w:hint="eastAsia" w:eastAsia="宋体"/>
          <w:color w:val="auto"/>
          <w:sz w:val="24"/>
          <w:highlight w:val="none"/>
          <w:lang w:val="zh-CN"/>
        </w:rPr>
        <w:t>月</w:t>
      </w:r>
      <w:r>
        <w:rPr>
          <w:rFonts w:hint="eastAsia" w:eastAsia="宋体"/>
          <w:color w:val="auto"/>
          <w:sz w:val="24"/>
          <w:highlight w:val="none"/>
          <w:u w:val="single"/>
          <w:lang w:val="zh-CN"/>
        </w:rPr>
        <w:t xml:space="preserve">    </w:t>
      </w:r>
      <w:r>
        <w:rPr>
          <w:rFonts w:hint="eastAsia" w:eastAsia="宋体"/>
          <w:color w:val="auto"/>
          <w:sz w:val="24"/>
          <w:highlight w:val="none"/>
          <w:lang w:val="zh-CN"/>
        </w:rPr>
        <w:t>日以基本户转账方式汇入你方账户。</w:t>
      </w:r>
    </w:p>
    <w:p w14:paraId="61DFE1A4">
      <w:pPr>
        <w:autoSpaceDE w:val="0"/>
        <w:autoSpaceDN w:val="0"/>
        <w:adjustRightInd w:val="0"/>
        <w:spacing w:line="360" w:lineRule="auto"/>
        <w:ind w:firstLine="480" w:firstLineChars="200"/>
        <w:rPr>
          <w:rFonts w:hint="eastAsia" w:eastAsia="宋体"/>
          <w:bCs/>
          <w:color w:val="auto"/>
          <w:sz w:val="24"/>
          <w:highlight w:val="none"/>
          <w:lang w:val="zh-CN"/>
        </w:rPr>
      </w:pPr>
      <w:r>
        <w:rPr>
          <w:rFonts w:hint="eastAsia" w:eastAsia="宋体"/>
          <w:bCs/>
          <w:color w:val="auto"/>
          <w:sz w:val="24"/>
          <w:highlight w:val="none"/>
          <w:lang w:val="zh-CN"/>
        </w:rPr>
        <w:t>附件：保证金交款证明及开户许可证复印件（加盖磋商供应商公章）</w:t>
      </w:r>
    </w:p>
    <w:p w14:paraId="0AD84AA4">
      <w:pPr>
        <w:autoSpaceDE w:val="0"/>
        <w:autoSpaceDN w:val="0"/>
        <w:adjustRightInd w:val="0"/>
        <w:spacing w:line="360" w:lineRule="auto"/>
        <w:ind w:firstLine="480" w:firstLineChars="200"/>
        <w:rPr>
          <w:rFonts w:hint="eastAsia" w:eastAsia="宋体"/>
          <w:color w:val="auto"/>
          <w:sz w:val="24"/>
          <w:highlight w:val="none"/>
          <w:lang w:val="zh-CN"/>
        </w:rPr>
      </w:pPr>
      <w:r>
        <w:rPr>
          <w:rFonts w:hint="eastAsia" w:eastAsia="宋体"/>
          <w:color w:val="auto"/>
          <w:sz w:val="24"/>
          <w:highlight w:val="none"/>
          <w:lang w:val="zh-CN"/>
        </w:rPr>
        <w:t>退还保证金时请按以下内容汇入至我方账户（同递交保证金账户）。若因提供内容不全、错误等原因导致该项目保证金未能及时退还或退还过程中发生错误，我方将承担全部责任和损失。</w:t>
      </w:r>
    </w:p>
    <w:p w14:paraId="763DC4AB">
      <w:pPr>
        <w:autoSpaceDE w:val="0"/>
        <w:autoSpaceDN w:val="0"/>
        <w:adjustRightInd w:val="0"/>
        <w:spacing w:line="360" w:lineRule="auto"/>
        <w:ind w:firstLine="360"/>
        <w:rPr>
          <w:rFonts w:hint="eastAsia" w:eastAsia="宋体"/>
          <w:color w:val="auto"/>
          <w:sz w:val="24"/>
          <w:highlight w:val="none"/>
          <w:lang w:val="zh-CN"/>
        </w:rPr>
      </w:pPr>
      <w:r>
        <w:rPr>
          <w:rFonts w:hint="eastAsia" w:eastAsia="宋体"/>
          <w:color w:val="auto"/>
          <w:sz w:val="24"/>
          <w:highlight w:val="none"/>
          <w:lang w:val="zh-CN"/>
        </w:rPr>
        <w:t>户    名：</w:t>
      </w:r>
    </w:p>
    <w:p w14:paraId="196DCB5D">
      <w:pPr>
        <w:autoSpaceDE w:val="0"/>
        <w:autoSpaceDN w:val="0"/>
        <w:adjustRightInd w:val="0"/>
        <w:spacing w:line="360" w:lineRule="auto"/>
        <w:ind w:firstLine="360"/>
        <w:rPr>
          <w:rFonts w:hint="eastAsia" w:eastAsia="宋体"/>
          <w:color w:val="auto"/>
          <w:sz w:val="24"/>
          <w:highlight w:val="none"/>
          <w:lang w:val="zh-CN"/>
        </w:rPr>
      </w:pPr>
      <w:r>
        <w:rPr>
          <w:rFonts w:hint="eastAsia" w:eastAsia="宋体"/>
          <w:color w:val="auto"/>
          <w:sz w:val="24"/>
          <w:highlight w:val="none"/>
          <w:lang w:val="zh-CN"/>
        </w:rPr>
        <w:t>开户银行：</w:t>
      </w:r>
    </w:p>
    <w:p w14:paraId="798CE6E5">
      <w:pPr>
        <w:autoSpaceDE w:val="0"/>
        <w:autoSpaceDN w:val="0"/>
        <w:adjustRightInd w:val="0"/>
        <w:spacing w:line="360" w:lineRule="auto"/>
        <w:ind w:firstLine="360"/>
        <w:rPr>
          <w:rFonts w:hint="eastAsia" w:eastAsia="宋体"/>
          <w:color w:val="auto"/>
          <w:sz w:val="24"/>
          <w:highlight w:val="none"/>
          <w:lang w:val="zh-CN"/>
        </w:rPr>
      </w:pPr>
      <w:r>
        <w:rPr>
          <w:rFonts w:hint="eastAsia" w:eastAsia="宋体"/>
          <w:color w:val="auto"/>
          <w:sz w:val="24"/>
          <w:highlight w:val="none"/>
          <w:lang w:val="zh-CN"/>
        </w:rPr>
        <w:t>开户帐号：</w:t>
      </w:r>
    </w:p>
    <w:p w14:paraId="2361CCBF">
      <w:pPr>
        <w:autoSpaceDE w:val="0"/>
        <w:autoSpaceDN w:val="0"/>
        <w:adjustRightInd w:val="0"/>
        <w:spacing w:line="360" w:lineRule="auto"/>
        <w:rPr>
          <w:rFonts w:hint="eastAsia" w:eastAsia="宋体"/>
          <w:color w:val="auto"/>
          <w:sz w:val="24"/>
          <w:highlight w:val="none"/>
          <w:lang w:val="zh-CN"/>
        </w:rPr>
      </w:pPr>
    </w:p>
    <w:p w14:paraId="18D752F6">
      <w:pPr>
        <w:autoSpaceDE w:val="0"/>
        <w:autoSpaceDN w:val="0"/>
        <w:adjustRightInd w:val="0"/>
        <w:spacing w:line="360" w:lineRule="auto"/>
        <w:rPr>
          <w:rFonts w:hint="eastAsia" w:eastAsia="宋体"/>
          <w:color w:val="auto"/>
          <w:sz w:val="24"/>
          <w:highlight w:val="none"/>
          <w:lang w:val="zh-CN"/>
        </w:rPr>
      </w:pPr>
    </w:p>
    <w:p w14:paraId="50C80DCE">
      <w:pPr>
        <w:autoSpaceDE w:val="0"/>
        <w:autoSpaceDN w:val="0"/>
        <w:adjustRightInd w:val="0"/>
        <w:spacing w:line="360" w:lineRule="auto"/>
        <w:rPr>
          <w:rFonts w:hint="eastAsia" w:eastAsia="宋体"/>
          <w:color w:val="auto"/>
          <w:sz w:val="24"/>
          <w:highlight w:val="none"/>
          <w:lang w:val="zh-CN"/>
        </w:rPr>
      </w:pPr>
    </w:p>
    <w:p w14:paraId="6CCB5AE8">
      <w:pPr>
        <w:tabs>
          <w:tab w:val="left" w:pos="168"/>
        </w:tabs>
        <w:adjustRightInd w:val="0"/>
        <w:spacing w:line="360" w:lineRule="auto"/>
        <w:textAlignment w:val="baseline"/>
        <w:rPr>
          <w:rFonts w:hint="eastAsia" w:eastAsia="宋体"/>
          <w:bCs/>
          <w:color w:val="auto"/>
          <w:sz w:val="24"/>
          <w:szCs w:val="28"/>
          <w:highlight w:val="none"/>
        </w:rPr>
      </w:pPr>
    </w:p>
    <w:p w14:paraId="0BA0DDA7">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592" w:name="_Toc4107"/>
      <w:bookmarkStart w:id="593" w:name="_Toc701"/>
      <w:bookmarkStart w:id="594" w:name="_Toc26362"/>
      <w:r>
        <w:rPr>
          <w:rFonts w:hint="eastAsia" w:eastAsia="宋体"/>
          <w:b/>
          <w:color w:val="auto"/>
          <w:sz w:val="24"/>
          <w:szCs w:val="28"/>
          <w:highlight w:val="none"/>
        </w:rPr>
        <w:t>供应商：                   （公章）</w:t>
      </w:r>
      <w:bookmarkEnd w:id="592"/>
      <w:bookmarkEnd w:id="593"/>
      <w:bookmarkEnd w:id="594"/>
    </w:p>
    <w:p w14:paraId="3ECBF514">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595" w:name="_Toc20403"/>
      <w:bookmarkStart w:id="596" w:name="_Toc8209"/>
      <w:bookmarkStart w:id="597" w:name="_Toc8411"/>
      <w:r>
        <w:rPr>
          <w:rFonts w:hint="eastAsia" w:eastAsia="宋体"/>
          <w:b/>
          <w:color w:val="auto"/>
          <w:sz w:val="24"/>
          <w:szCs w:val="28"/>
          <w:highlight w:val="none"/>
        </w:rPr>
        <w:t>委托代理人或法定代表人：                 （签字或盖章）</w:t>
      </w:r>
      <w:bookmarkEnd w:id="595"/>
      <w:bookmarkEnd w:id="596"/>
      <w:bookmarkEnd w:id="597"/>
    </w:p>
    <w:p w14:paraId="5C01DA1E">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598" w:name="_Toc18217"/>
      <w:bookmarkStart w:id="599" w:name="_Toc16640"/>
      <w:bookmarkStart w:id="600" w:name="_Toc31056"/>
      <w:r>
        <w:rPr>
          <w:rFonts w:hint="eastAsia" w:eastAsia="宋体"/>
          <w:b/>
          <w:color w:val="auto"/>
          <w:sz w:val="24"/>
          <w:szCs w:val="28"/>
          <w:highlight w:val="none"/>
        </w:rPr>
        <w:t>日期：          年   月   日</w:t>
      </w:r>
      <w:bookmarkEnd w:id="598"/>
      <w:bookmarkEnd w:id="599"/>
      <w:bookmarkEnd w:id="600"/>
    </w:p>
    <w:p w14:paraId="098365B6">
      <w:pPr>
        <w:tabs>
          <w:tab w:val="left" w:pos="168"/>
        </w:tabs>
        <w:adjustRightInd w:val="0"/>
        <w:spacing w:line="360" w:lineRule="auto"/>
        <w:jc w:val="right"/>
        <w:textAlignment w:val="baseline"/>
        <w:rPr>
          <w:rFonts w:hint="eastAsia" w:eastAsia="宋体"/>
          <w:bCs/>
          <w:color w:val="auto"/>
          <w:sz w:val="24"/>
          <w:szCs w:val="28"/>
          <w:highlight w:val="none"/>
        </w:rPr>
      </w:pPr>
    </w:p>
    <w:p w14:paraId="2DBB964B">
      <w:pPr>
        <w:spacing w:line="360" w:lineRule="auto"/>
        <w:rPr>
          <w:rFonts w:hint="eastAsia" w:eastAsia="宋体"/>
          <w:color w:val="auto"/>
          <w:highlight w:val="none"/>
          <w:lang w:val="zh-CN"/>
        </w:rPr>
      </w:pPr>
    </w:p>
    <w:p w14:paraId="11E459D2">
      <w:pPr>
        <w:pStyle w:val="4"/>
        <w:numPr>
          <w:ilvl w:val="0"/>
          <w:numId w:val="0"/>
        </w:numPr>
        <w:tabs>
          <w:tab w:val="left" w:pos="425"/>
        </w:tabs>
        <w:spacing w:line="360" w:lineRule="auto"/>
        <w:ind w:left="709" w:hanging="709"/>
        <w:rPr>
          <w:rFonts w:hint="eastAsia" w:eastAsia="宋体" w:cs="宋体"/>
          <w:color w:val="auto"/>
          <w:highlight w:val="none"/>
        </w:rPr>
      </w:pPr>
      <w:r>
        <w:rPr>
          <w:rFonts w:hint="eastAsia" w:eastAsia="宋体" w:cs="宋体"/>
          <w:color w:val="auto"/>
          <w:sz w:val="24"/>
          <w:highlight w:val="none"/>
          <w:lang w:val="zh-CN"/>
        </w:rPr>
        <w:br w:type="page"/>
      </w:r>
      <w:bookmarkStart w:id="601" w:name="_Toc12108"/>
      <w:bookmarkStart w:id="602" w:name="_Toc29954"/>
      <w:bookmarkStart w:id="603" w:name="_Toc444715741"/>
      <w:bookmarkStart w:id="604" w:name="_Toc10388"/>
      <w:bookmarkStart w:id="605" w:name="_Toc11963"/>
      <w:bookmarkStart w:id="606" w:name="_Toc18663"/>
      <w:bookmarkStart w:id="607" w:name="_Toc26551"/>
      <w:bookmarkStart w:id="608" w:name="_Toc21450"/>
      <w:bookmarkStart w:id="609" w:name="_Toc428180589"/>
      <w:r>
        <w:rPr>
          <w:rFonts w:hint="eastAsia" w:eastAsia="宋体" w:cs="宋体"/>
          <w:b/>
          <w:color w:val="auto"/>
          <w:sz w:val="32"/>
          <w:highlight w:val="none"/>
          <w:lang w:val="zh-CN"/>
        </w:rPr>
        <w:t>格式10、无重大违法记录声明</w:t>
      </w:r>
      <w:bookmarkEnd w:id="601"/>
      <w:bookmarkEnd w:id="602"/>
      <w:bookmarkEnd w:id="603"/>
      <w:bookmarkEnd w:id="604"/>
      <w:bookmarkEnd w:id="605"/>
      <w:bookmarkEnd w:id="606"/>
      <w:bookmarkEnd w:id="607"/>
      <w:bookmarkEnd w:id="608"/>
      <w:bookmarkEnd w:id="609"/>
    </w:p>
    <w:p w14:paraId="4FA29AB9">
      <w:pPr>
        <w:autoSpaceDE w:val="0"/>
        <w:autoSpaceDN w:val="0"/>
        <w:adjustRightInd w:val="0"/>
        <w:spacing w:line="360" w:lineRule="auto"/>
        <w:rPr>
          <w:rFonts w:hint="eastAsia" w:eastAsia="宋体"/>
          <w:color w:val="auto"/>
          <w:sz w:val="24"/>
          <w:highlight w:val="none"/>
          <w:lang w:val="zh-CN"/>
        </w:rPr>
      </w:pPr>
    </w:p>
    <w:p w14:paraId="70F74C45">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无重大违法记录声明</w:t>
      </w:r>
    </w:p>
    <w:p w14:paraId="3F07E99D">
      <w:pPr>
        <w:autoSpaceDE w:val="0"/>
        <w:autoSpaceDN w:val="0"/>
        <w:adjustRightInd w:val="0"/>
        <w:spacing w:line="360" w:lineRule="auto"/>
        <w:rPr>
          <w:rFonts w:hint="eastAsia" w:eastAsia="宋体"/>
          <w:color w:val="auto"/>
          <w:sz w:val="24"/>
          <w:szCs w:val="24"/>
          <w:highlight w:val="none"/>
          <w:lang w:val="zh-CN"/>
        </w:rPr>
      </w:pPr>
    </w:p>
    <w:p w14:paraId="6A50E516">
      <w:pPr>
        <w:spacing w:line="360" w:lineRule="auto"/>
        <w:outlineLvl w:val="1"/>
        <w:rPr>
          <w:rFonts w:hint="eastAsia" w:eastAsia="宋体"/>
          <w:color w:val="auto"/>
          <w:sz w:val="24"/>
          <w:szCs w:val="24"/>
          <w:highlight w:val="none"/>
        </w:rPr>
      </w:pPr>
      <w:bookmarkStart w:id="610" w:name="_Toc22778"/>
      <w:bookmarkStart w:id="611" w:name="_Toc23999"/>
      <w:bookmarkStart w:id="612" w:name="_Toc14108"/>
      <w:r>
        <w:rPr>
          <w:rFonts w:hint="eastAsia" w:eastAsia="宋体"/>
          <w:b/>
          <w:bCs/>
          <w:color w:val="auto"/>
          <w:sz w:val="24"/>
          <w:szCs w:val="24"/>
          <w:highlight w:val="none"/>
          <w:lang w:val="zh-CN"/>
        </w:rPr>
        <w:t>致：</w:t>
      </w:r>
      <w:bookmarkEnd w:id="610"/>
      <w:r>
        <w:rPr>
          <w:rFonts w:hint="eastAsia" w:eastAsia="宋体"/>
          <w:b/>
          <w:bCs/>
          <w:color w:val="auto"/>
          <w:sz w:val="24"/>
          <w:szCs w:val="24"/>
          <w:highlight w:val="none"/>
          <w:lang w:val="zh-CN"/>
        </w:rPr>
        <w:t>青海中旭工程项目管理有限公司</w:t>
      </w:r>
      <w:bookmarkEnd w:id="611"/>
      <w:bookmarkEnd w:id="612"/>
    </w:p>
    <w:p w14:paraId="2BE4FFC6">
      <w:pPr>
        <w:spacing w:line="360" w:lineRule="auto"/>
        <w:ind w:firstLine="424" w:firstLineChars="177"/>
        <w:rPr>
          <w:rFonts w:hint="eastAsia" w:eastAsia="宋体"/>
          <w:color w:val="auto"/>
          <w:sz w:val="24"/>
          <w:highlight w:val="none"/>
        </w:rPr>
      </w:pPr>
      <w:r>
        <w:rPr>
          <w:rFonts w:hint="eastAsia" w:eastAsia="宋体"/>
          <w:color w:val="auto"/>
          <w:sz w:val="24"/>
          <w:highlight w:val="none"/>
        </w:rPr>
        <w:t>（供应商名称）郑重声明，我方参加本项目竞磋活动前三年内无重大违法活动记录，符合《中华人民共和国政府采购法》规定的供应商资格条件。我方对此声明负全部法律责任。</w:t>
      </w:r>
    </w:p>
    <w:p w14:paraId="7D81412E">
      <w:pPr>
        <w:spacing w:line="360" w:lineRule="auto"/>
        <w:ind w:firstLine="424" w:firstLineChars="177"/>
        <w:rPr>
          <w:rFonts w:hint="eastAsia" w:eastAsia="宋体"/>
          <w:color w:val="auto"/>
          <w:sz w:val="24"/>
          <w:highlight w:val="none"/>
        </w:rPr>
      </w:pPr>
      <w:r>
        <w:rPr>
          <w:rFonts w:hint="eastAsia" w:eastAsia="宋体"/>
          <w:color w:val="auto"/>
          <w:sz w:val="24"/>
          <w:highlight w:val="none"/>
        </w:rPr>
        <w:t xml:space="preserve"> </w:t>
      </w:r>
    </w:p>
    <w:p w14:paraId="7A912CCB">
      <w:pPr>
        <w:spacing w:line="360" w:lineRule="auto"/>
        <w:ind w:firstLine="424" w:firstLineChars="177"/>
        <w:rPr>
          <w:rFonts w:hint="eastAsia" w:eastAsia="宋体"/>
          <w:color w:val="auto"/>
          <w:sz w:val="24"/>
          <w:highlight w:val="none"/>
        </w:rPr>
      </w:pPr>
    </w:p>
    <w:p w14:paraId="6D3363AE">
      <w:pPr>
        <w:spacing w:line="360" w:lineRule="auto"/>
        <w:ind w:firstLine="424" w:firstLineChars="177"/>
        <w:rPr>
          <w:rFonts w:hint="eastAsia" w:eastAsia="宋体"/>
          <w:color w:val="auto"/>
          <w:sz w:val="24"/>
          <w:highlight w:val="none"/>
        </w:rPr>
      </w:pPr>
      <w:r>
        <w:rPr>
          <w:rFonts w:hint="eastAsia" w:eastAsia="宋体"/>
          <w:color w:val="auto"/>
          <w:sz w:val="24"/>
          <w:highlight w:val="none"/>
        </w:rPr>
        <w:t>特此声明。</w:t>
      </w:r>
    </w:p>
    <w:p w14:paraId="0F93B477">
      <w:pPr>
        <w:spacing w:line="360" w:lineRule="auto"/>
        <w:ind w:firstLine="424" w:firstLineChars="177"/>
        <w:rPr>
          <w:rFonts w:hint="eastAsia" w:eastAsia="宋体"/>
          <w:color w:val="auto"/>
          <w:sz w:val="24"/>
          <w:highlight w:val="none"/>
        </w:rPr>
      </w:pPr>
    </w:p>
    <w:p w14:paraId="4BC37137">
      <w:pPr>
        <w:spacing w:line="360" w:lineRule="auto"/>
        <w:ind w:firstLine="424" w:firstLineChars="177"/>
        <w:rPr>
          <w:rFonts w:hint="eastAsia" w:eastAsia="宋体"/>
          <w:color w:val="auto"/>
          <w:sz w:val="24"/>
          <w:highlight w:val="none"/>
        </w:rPr>
      </w:pPr>
    </w:p>
    <w:p w14:paraId="726D9A50">
      <w:pPr>
        <w:spacing w:line="360" w:lineRule="auto"/>
        <w:ind w:firstLine="424" w:firstLineChars="177"/>
        <w:rPr>
          <w:rFonts w:hint="eastAsia" w:eastAsia="宋体"/>
          <w:color w:val="auto"/>
          <w:sz w:val="24"/>
          <w:highlight w:val="none"/>
        </w:rPr>
      </w:pPr>
    </w:p>
    <w:p w14:paraId="0F35D6CB">
      <w:pPr>
        <w:spacing w:line="360" w:lineRule="auto"/>
        <w:rPr>
          <w:rFonts w:hint="eastAsia" w:eastAsia="宋体"/>
          <w:color w:val="auto"/>
          <w:sz w:val="24"/>
          <w:highlight w:val="none"/>
        </w:rPr>
      </w:pPr>
    </w:p>
    <w:p w14:paraId="41E61C04">
      <w:pPr>
        <w:spacing w:line="360" w:lineRule="auto"/>
        <w:ind w:firstLine="424" w:firstLineChars="177"/>
        <w:rPr>
          <w:rFonts w:hint="eastAsia" w:eastAsia="宋体"/>
          <w:color w:val="auto"/>
          <w:sz w:val="24"/>
          <w:highlight w:val="none"/>
        </w:rPr>
      </w:pPr>
    </w:p>
    <w:p w14:paraId="144A0C26">
      <w:pPr>
        <w:spacing w:line="360" w:lineRule="auto"/>
        <w:ind w:firstLine="424" w:firstLineChars="177"/>
        <w:rPr>
          <w:rFonts w:hint="eastAsia" w:eastAsia="宋体"/>
          <w:color w:val="auto"/>
          <w:sz w:val="24"/>
          <w:highlight w:val="none"/>
        </w:rPr>
      </w:pPr>
    </w:p>
    <w:p w14:paraId="4BAB9129">
      <w:pPr>
        <w:tabs>
          <w:tab w:val="left" w:pos="168"/>
        </w:tabs>
        <w:adjustRightInd w:val="0"/>
        <w:spacing w:line="360" w:lineRule="auto"/>
        <w:jc w:val="right"/>
        <w:textAlignment w:val="baseline"/>
        <w:rPr>
          <w:rFonts w:hint="eastAsia" w:eastAsia="宋体"/>
          <w:bCs/>
          <w:color w:val="auto"/>
          <w:sz w:val="24"/>
          <w:szCs w:val="28"/>
          <w:highlight w:val="none"/>
        </w:rPr>
      </w:pPr>
    </w:p>
    <w:p w14:paraId="71E6379C">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613" w:name="_Toc17438"/>
      <w:bookmarkStart w:id="614" w:name="_Toc26880"/>
      <w:bookmarkStart w:id="615" w:name="_Toc2472"/>
      <w:r>
        <w:rPr>
          <w:rFonts w:hint="eastAsia" w:eastAsia="宋体"/>
          <w:b/>
          <w:color w:val="auto"/>
          <w:sz w:val="24"/>
          <w:szCs w:val="28"/>
          <w:highlight w:val="none"/>
        </w:rPr>
        <w:t>供应商：                   （公章）</w:t>
      </w:r>
      <w:bookmarkEnd w:id="613"/>
      <w:bookmarkEnd w:id="614"/>
      <w:bookmarkEnd w:id="615"/>
    </w:p>
    <w:p w14:paraId="4984CA92">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616" w:name="_Toc25057"/>
      <w:bookmarkStart w:id="617" w:name="_Toc6677"/>
      <w:bookmarkStart w:id="618" w:name="_Toc31900"/>
      <w:r>
        <w:rPr>
          <w:rFonts w:hint="eastAsia" w:eastAsia="宋体"/>
          <w:b/>
          <w:color w:val="auto"/>
          <w:sz w:val="24"/>
          <w:szCs w:val="28"/>
          <w:highlight w:val="none"/>
        </w:rPr>
        <w:t>委托代理人或法定代表人：                 （签字或盖章）</w:t>
      </w:r>
      <w:bookmarkEnd w:id="616"/>
      <w:bookmarkEnd w:id="617"/>
      <w:bookmarkEnd w:id="618"/>
    </w:p>
    <w:p w14:paraId="71E43ED3">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619" w:name="_Toc16192"/>
      <w:bookmarkStart w:id="620" w:name="_Toc23991"/>
      <w:bookmarkStart w:id="621" w:name="_Toc31850"/>
      <w:r>
        <w:rPr>
          <w:rFonts w:hint="eastAsia" w:eastAsia="宋体"/>
          <w:b/>
          <w:color w:val="auto"/>
          <w:sz w:val="24"/>
          <w:szCs w:val="28"/>
          <w:highlight w:val="none"/>
        </w:rPr>
        <w:t>日期：          年   月   日</w:t>
      </w:r>
      <w:bookmarkEnd w:id="619"/>
      <w:bookmarkEnd w:id="620"/>
      <w:bookmarkEnd w:id="621"/>
    </w:p>
    <w:p w14:paraId="386C948D">
      <w:pPr>
        <w:pStyle w:val="4"/>
        <w:numPr>
          <w:ilvl w:val="0"/>
          <w:numId w:val="0"/>
        </w:numPr>
        <w:tabs>
          <w:tab w:val="left" w:pos="425"/>
        </w:tabs>
        <w:spacing w:line="360" w:lineRule="auto"/>
        <w:ind w:left="709" w:hanging="709"/>
        <w:rPr>
          <w:rFonts w:hint="eastAsia" w:eastAsia="宋体" w:cs="宋体"/>
          <w:color w:val="auto"/>
          <w:highlight w:val="none"/>
        </w:rPr>
      </w:pPr>
      <w:r>
        <w:rPr>
          <w:rFonts w:hint="eastAsia" w:eastAsia="宋体" w:cs="宋体"/>
          <w:color w:val="auto"/>
          <w:sz w:val="24"/>
          <w:highlight w:val="none"/>
          <w:lang w:val="zh-CN"/>
        </w:rPr>
        <w:br w:type="page"/>
      </w:r>
      <w:bookmarkStart w:id="622" w:name="_Toc26289"/>
      <w:bookmarkStart w:id="623" w:name="_Toc22320"/>
      <w:bookmarkStart w:id="624" w:name="_Toc29881"/>
      <w:bookmarkStart w:id="625" w:name="_Toc20031"/>
      <w:bookmarkStart w:id="626" w:name="_Toc18259"/>
      <w:bookmarkStart w:id="627" w:name="_Toc29103"/>
      <w:r>
        <w:rPr>
          <w:rFonts w:hint="eastAsia" w:eastAsia="宋体" w:cs="宋体"/>
          <w:b/>
          <w:color w:val="auto"/>
          <w:sz w:val="32"/>
          <w:highlight w:val="none"/>
          <w:lang w:val="zh-CN"/>
        </w:rPr>
        <w:t>格式1</w:t>
      </w:r>
      <w:r>
        <w:rPr>
          <w:rFonts w:hint="eastAsia" w:eastAsia="宋体" w:cs="宋体"/>
          <w:b/>
          <w:color w:val="auto"/>
          <w:sz w:val="32"/>
          <w:highlight w:val="none"/>
        </w:rPr>
        <w:t>1</w:t>
      </w:r>
      <w:r>
        <w:rPr>
          <w:rFonts w:hint="eastAsia" w:eastAsia="宋体" w:cs="宋体"/>
          <w:b/>
          <w:color w:val="auto"/>
          <w:sz w:val="32"/>
          <w:highlight w:val="none"/>
          <w:lang w:val="zh-CN"/>
        </w:rPr>
        <w:t>、未被列入“失信被执行人”的承诺</w:t>
      </w:r>
      <w:bookmarkEnd w:id="622"/>
      <w:bookmarkEnd w:id="623"/>
      <w:bookmarkEnd w:id="624"/>
      <w:bookmarkEnd w:id="625"/>
      <w:bookmarkEnd w:id="626"/>
      <w:bookmarkEnd w:id="627"/>
    </w:p>
    <w:p w14:paraId="6F43F516">
      <w:pPr>
        <w:autoSpaceDE w:val="0"/>
        <w:autoSpaceDN w:val="0"/>
        <w:adjustRightInd w:val="0"/>
        <w:spacing w:line="360" w:lineRule="auto"/>
        <w:rPr>
          <w:rFonts w:hint="eastAsia" w:eastAsia="宋体"/>
          <w:color w:val="auto"/>
          <w:sz w:val="24"/>
          <w:highlight w:val="none"/>
          <w:lang w:val="zh-CN"/>
        </w:rPr>
      </w:pPr>
    </w:p>
    <w:p w14:paraId="49F8C6BD">
      <w:pPr>
        <w:pStyle w:val="41"/>
        <w:widowControl w:val="0"/>
        <w:autoSpaceDE w:val="0"/>
        <w:autoSpaceDN w:val="0"/>
        <w:adjustRightInd w:val="0"/>
        <w:spacing w:before="0" w:after="0"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经信用中国（www.creditchina.gov.cn）、中国政府采购</w:t>
      </w:r>
      <w:r>
        <w:rPr>
          <w:rFonts w:hint="eastAsia" w:ascii="宋体" w:hAnsi="宋体" w:eastAsia="宋体" w:cs="宋体"/>
          <w:color w:val="auto"/>
          <w:sz w:val="24"/>
          <w:highlight w:val="none"/>
          <w:lang w:val="en-US" w:eastAsia="zh-CN"/>
        </w:rPr>
        <w:t>网</w:t>
      </w:r>
      <w:r>
        <w:rPr>
          <w:rFonts w:hint="eastAsia" w:ascii="宋体" w:hAnsi="宋体" w:eastAsia="宋体" w:cs="宋体"/>
          <w:color w:val="auto"/>
          <w:sz w:val="24"/>
          <w:highlight w:val="none"/>
          <w:lang w:eastAsia="zh-CN"/>
        </w:rPr>
        <w:t>（www.ccgp.gov.cn）等渠道查询后，列入失信被执行人、重大税收违法失信主体、政府采购严重违法失信行为记录名单的，取消投标资格。（提供“信用中国”“中国政府采购网”网站的查询截图，时间为磋商截止时间前20天内）。</w:t>
      </w:r>
    </w:p>
    <w:p w14:paraId="1300D209">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68F58859">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6A3299E2">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23455DEB">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7927C970">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1FEDB942">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153FCDA9">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500AD133">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234C2880">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270C9BA5">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2525AB74">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1A0EDFF7">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11543B55">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488405EC">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77110994">
      <w:pPr>
        <w:spacing w:line="360" w:lineRule="auto"/>
        <w:rPr>
          <w:rFonts w:hint="eastAsia" w:eastAsia="宋体"/>
          <w:color w:val="auto"/>
          <w:sz w:val="24"/>
          <w:highlight w:val="none"/>
          <w:lang w:val="zh-CN"/>
        </w:rPr>
      </w:pPr>
    </w:p>
    <w:p w14:paraId="3F1CBA2B">
      <w:pPr>
        <w:pStyle w:val="19"/>
        <w:spacing w:line="360" w:lineRule="auto"/>
        <w:rPr>
          <w:rFonts w:hint="eastAsia" w:ascii="宋体" w:hAnsi="宋体" w:eastAsia="宋体" w:cs="宋体"/>
          <w:color w:val="auto"/>
          <w:sz w:val="24"/>
          <w:highlight w:val="none"/>
          <w:lang w:val="zh-CN"/>
        </w:rPr>
      </w:pPr>
    </w:p>
    <w:p w14:paraId="79F9FDA3">
      <w:pPr>
        <w:pStyle w:val="19"/>
        <w:spacing w:line="360" w:lineRule="auto"/>
        <w:rPr>
          <w:rFonts w:hint="eastAsia" w:ascii="宋体" w:hAnsi="宋体" w:eastAsia="宋体" w:cs="宋体"/>
          <w:color w:val="auto"/>
          <w:sz w:val="24"/>
          <w:highlight w:val="none"/>
          <w:lang w:val="zh-CN"/>
        </w:rPr>
      </w:pPr>
    </w:p>
    <w:p w14:paraId="08868655">
      <w:pPr>
        <w:pStyle w:val="19"/>
        <w:spacing w:line="360" w:lineRule="auto"/>
        <w:rPr>
          <w:rFonts w:hint="eastAsia" w:ascii="宋体" w:hAnsi="宋体" w:eastAsia="宋体" w:cs="宋体"/>
          <w:color w:val="auto"/>
          <w:sz w:val="24"/>
          <w:highlight w:val="none"/>
          <w:lang w:val="zh-CN"/>
        </w:rPr>
      </w:pPr>
    </w:p>
    <w:p w14:paraId="7893B228">
      <w:pPr>
        <w:pStyle w:val="19"/>
        <w:spacing w:line="360" w:lineRule="auto"/>
        <w:rPr>
          <w:rFonts w:hint="eastAsia" w:ascii="宋体" w:hAnsi="宋体" w:eastAsia="宋体" w:cs="宋体"/>
          <w:color w:val="auto"/>
          <w:sz w:val="24"/>
          <w:highlight w:val="none"/>
          <w:lang w:val="zh-CN"/>
        </w:rPr>
      </w:pPr>
    </w:p>
    <w:p w14:paraId="710D2B07">
      <w:pPr>
        <w:pStyle w:val="19"/>
        <w:spacing w:line="360" w:lineRule="auto"/>
        <w:rPr>
          <w:rFonts w:hint="eastAsia" w:ascii="宋体" w:hAnsi="宋体" w:eastAsia="宋体" w:cs="宋体"/>
          <w:color w:val="auto"/>
          <w:sz w:val="24"/>
          <w:highlight w:val="none"/>
          <w:lang w:val="zh-CN"/>
        </w:rPr>
      </w:pPr>
    </w:p>
    <w:p w14:paraId="667579B4">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3354B997">
      <w:pPr>
        <w:pStyle w:val="4"/>
        <w:numPr>
          <w:ilvl w:val="0"/>
          <w:numId w:val="0"/>
        </w:numPr>
        <w:tabs>
          <w:tab w:val="left" w:pos="425"/>
        </w:tabs>
        <w:spacing w:line="360" w:lineRule="auto"/>
        <w:ind w:left="709" w:hanging="709"/>
        <w:rPr>
          <w:rFonts w:hint="eastAsia" w:eastAsia="宋体" w:cs="宋体"/>
          <w:color w:val="auto"/>
          <w:sz w:val="24"/>
          <w:highlight w:val="none"/>
          <w:lang w:val="zh-CN"/>
        </w:rPr>
      </w:pPr>
    </w:p>
    <w:p w14:paraId="1C7C1454">
      <w:pPr>
        <w:pStyle w:val="4"/>
        <w:numPr>
          <w:ilvl w:val="0"/>
          <w:numId w:val="0"/>
        </w:numPr>
        <w:tabs>
          <w:tab w:val="left" w:pos="425"/>
        </w:tabs>
        <w:spacing w:line="360" w:lineRule="auto"/>
        <w:rPr>
          <w:rFonts w:hint="eastAsia" w:eastAsia="宋体" w:cs="宋体"/>
          <w:color w:val="auto"/>
          <w:sz w:val="24"/>
          <w:highlight w:val="none"/>
          <w:lang w:val="zh-CN"/>
        </w:rPr>
      </w:pPr>
    </w:p>
    <w:p w14:paraId="1DAA2FE6">
      <w:pPr>
        <w:pStyle w:val="4"/>
        <w:numPr>
          <w:ilvl w:val="0"/>
          <w:numId w:val="0"/>
        </w:numPr>
        <w:tabs>
          <w:tab w:val="left" w:pos="425"/>
        </w:tabs>
        <w:spacing w:line="360" w:lineRule="auto"/>
        <w:rPr>
          <w:rFonts w:hint="eastAsia" w:eastAsia="宋体" w:cs="宋体"/>
          <w:b/>
          <w:color w:val="auto"/>
          <w:sz w:val="32"/>
          <w:highlight w:val="none"/>
          <w:lang w:val="zh-CN"/>
        </w:rPr>
      </w:pPr>
      <w:bookmarkStart w:id="628" w:name="_Toc9724"/>
      <w:bookmarkStart w:id="629" w:name="_Toc8116"/>
      <w:bookmarkStart w:id="630" w:name="_Toc8283"/>
      <w:bookmarkStart w:id="631" w:name="_Toc11079"/>
      <w:bookmarkStart w:id="632" w:name="_Toc9955"/>
      <w:bookmarkStart w:id="633" w:name="_Toc30269"/>
      <w:r>
        <w:rPr>
          <w:rFonts w:hint="eastAsia" w:eastAsia="宋体" w:cs="宋体"/>
          <w:b/>
          <w:color w:val="auto"/>
          <w:sz w:val="32"/>
          <w:highlight w:val="none"/>
          <w:lang w:val="zh-CN"/>
        </w:rPr>
        <w:t>格式</w:t>
      </w:r>
      <w:r>
        <w:rPr>
          <w:rFonts w:hint="eastAsia" w:eastAsia="宋体" w:cs="宋体"/>
          <w:b/>
          <w:color w:val="auto"/>
          <w:sz w:val="32"/>
          <w:highlight w:val="none"/>
        </w:rPr>
        <w:t>12</w:t>
      </w:r>
      <w:r>
        <w:rPr>
          <w:rFonts w:hint="eastAsia" w:eastAsia="宋体" w:cs="宋体"/>
          <w:b/>
          <w:color w:val="auto"/>
          <w:sz w:val="32"/>
          <w:highlight w:val="none"/>
          <w:lang w:val="zh-CN"/>
        </w:rPr>
        <w:t>、</w:t>
      </w:r>
      <w:r>
        <w:rPr>
          <w:rFonts w:hint="eastAsia" w:eastAsia="宋体" w:cs="宋体"/>
          <w:b/>
          <w:color w:val="auto"/>
          <w:sz w:val="32"/>
          <w:szCs w:val="22"/>
          <w:highlight w:val="none"/>
          <w:lang w:val="zh-CN"/>
        </w:rPr>
        <w:t>评分对照表</w:t>
      </w:r>
      <w:bookmarkEnd w:id="628"/>
      <w:bookmarkEnd w:id="629"/>
      <w:bookmarkEnd w:id="630"/>
      <w:bookmarkEnd w:id="631"/>
      <w:bookmarkEnd w:id="632"/>
      <w:bookmarkEnd w:id="633"/>
    </w:p>
    <w:p w14:paraId="50FB7B33">
      <w:pPr>
        <w:autoSpaceDE w:val="0"/>
        <w:autoSpaceDN w:val="0"/>
        <w:adjustRightInd w:val="0"/>
        <w:spacing w:line="360" w:lineRule="auto"/>
        <w:jc w:val="center"/>
        <w:rPr>
          <w:rFonts w:hint="eastAsia" w:eastAsia="宋体"/>
          <w:b/>
          <w:bCs/>
          <w:color w:val="auto"/>
          <w:sz w:val="32"/>
          <w:szCs w:val="30"/>
          <w:highlight w:val="none"/>
          <w:lang w:val="zh-CN"/>
        </w:rPr>
      </w:pPr>
    </w:p>
    <w:p w14:paraId="484A8E50">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评分对照表</w:t>
      </w:r>
    </w:p>
    <w:tbl>
      <w:tblPr>
        <w:tblStyle w:val="2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1"/>
        <w:gridCol w:w="2514"/>
        <w:gridCol w:w="2266"/>
        <w:gridCol w:w="2966"/>
      </w:tblGrid>
      <w:tr w14:paraId="579A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310154FF">
            <w:pPr>
              <w:pStyle w:val="7"/>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14" w:type="dxa"/>
            <w:noWrap w:val="0"/>
            <w:vAlign w:val="center"/>
          </w:tcPr>
          <w:p w14:paraId="69225F6D">
            <w:pPr>
              <w:pStyle w:val="7"/>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磋商文件评分标准</w:t>
            </w:r>
          </w:p>
        </w:tc>
        <w:tc>
          <w:tcPr>
            <w:tcW w:w="2266" w:type="dxa"/>
            <w:noWrap w:val="0"/>
            <w:vAlign w:val="center"/>
          </w:tcPr>
          <w:p w14:paraId="124714FE">
            <w:pPr>
              <w:pStyle w:val="7"/>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磋商响应部分</w:t>
            </w:r>
          </w:p>
        </w:tc>
        <w:tc>
          <w:tcPr>
            <w:tcW w:w="2966" w:type="dxa"/>
            <w:noWrap w:val="0"/>
            <w:vAlign w:val="center"/>
          </w:tcPr>
          <w:p w14:paraId="76AD5650">
            <w:pPr>
              <w:pStyle w:val="7"/>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磋商响应文件中对应页码</w:t>
            </w:r>
          </w:p>
        </w:tc>
      </w:tr>
      <w:tr w14:paraId="3F67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6C84CA67">
            <w:pPr>
              <w:pStyle w:val="7"/>
              <w:spacing w:line="360" w:lineRule="auto"/>
              <w:jc w:val="center"/>
              <w:rPr>
                <w:rFonts w:hint="eastAsia" w:ascii="宋体" w:hAnsi="宋体" w:eastAsia="宋体" w:cs="宋体"/>
                <w:color w:val="auto"/>
                <w:sz w:val="24"/>
                <w:szCs w:val="24"/>
                <w:highlight w:val="none"/>
              </w:rPr>
            </w:pPr>
          </w:p>
        </w:tc>
        <w:tc>
          <w:tcPr>
            <w:tcW w:w="2514" w:type="dxa"/>
            <w:noWrap w:val="0"/>
            <w:vAlign w:val="center"/>
          </w:tcPr>
          <w:p w14:paraId="3299F27C">
            <w:pPr>
              <w:pStyle w:val="7"/>
              <w:spacing w:line="360" w:lineRule="auto"/>
              <w:jc w:val="center"/>
              <w:rPr>
                <w:rFonts w:hint="eastAsia" w:ascii="宋体" w:hAnsi="宋体" w:eastAsia="宋体" w:cs="宋体"/>
                <w:color w:val="auto"/>
                <w:sz w:val="24"/>
                <w:szCs w:val="24"/>
                <w:highlight w:val="none"/>
              </w:rPr>
            </w:pPr>
          </w:p>
        </w:tc>
        <w:tc>
          <w:tcPr>
            <w:tcW w:w="2266" w:type="dxa"/>
            <w:noWrap w:val="0"/>
            <w:vAlign w:val="center"/>
          </w:tcPr>
          <w:p w14:paraId="2871250B">
            <w:pPr>
              <w:pStyle w:val="7"/>
              <w:spacing w:line="360" w:lineRule="auto"/>
              <w:jc w:val="center"/>
              <w:rPr>
                <w:rFonts w:hint="eastAsia" w:ascii="宋体" w:hAnsi="宋体" w:eastAsia="宋体" w:cs="宋体"/>
                <w:color w:val="auto"/>
                <w:sz w:val="24"/>
                <w:szCs w:val="24"/>
                <w:highlight w:val="none"/>
              </w:rPr>
            </w:pPr>
          </w:p>
        </w:tc>
        <w:tc>
          <w:tcPr>
            <w:tcW w:w="2966" w:type="dxa"/>
            <w:noWrap w:val="0"/>
            <w:vAlign w:val="center"/>
          </w:tcPr>
          <w:p w14:paraId="2A1E3E3B">
            <w:pPr>
              <w:pStyle w:val="7"/>
              <w:spacing w:line="360" w:lineRule="auto"/>
              <w:jc w:val="center"/>
              <w:rPr>
                <w:rFonts w:hint="eastAsia" w:ascii="宋体" w:hAnsi="宋体" w:eastAsia="宋体" w:cs="宋体"/>
                <w:color w:val="auto"/>
                <w:sz w:val="24"/>
                <w:szCs w:val="24"/>
                <w:highlight w:val="none"/>
              </w:rPr>
            </w:pPr>
          </w:p>
        </w:tc>
      </w:tr>
      <w:tr w14:paraId="6126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47C4276F">
            <w:pPr>
              <w:pStyle w:val="7"/>
              <w:spacing w:line="360" w:lineRule="auto"/>
              <w:jc w:val="center"/>
              <w:rPr>
                <w:rFonts w:hint="eastAsia" w:ascii="宋体" w:hAnsi="宋体" w:eastAsia="宋体" w:cs="宋体"/>
                <w:color w:val="auto"/>
                <w:sz w:val="24"/>
                <w:szCs w:val="24"/>
                <w:highlight w:val="none"/>
              </w:rPr>
            </w:pPr>
          </w:p>
        </w:tc>
        <w:tc>
          <w:tcPr>
            <w:tcW w:w="2514" w:type="dxa"/>
            <w:noWrap w:val="0"/>
            <w:vAlign w:val="center"/>
          </w:tcPr>
          <w:p w14:paraId="49E35332">
            <w:pPr>
              <w:pStyle w:val="7"/>
              <w:spacing w:line="360" w:lineRule="auto"/>
              <w:jc w:val="center"/>
              <w:rPr>
                <w:rFonts w:hint="eastAsia" w:ascii="宋体" w:hAnsi="宋体" w:eastAsia="宋体" w:cs="宋体"/>
                <w:color w:val="auto"/>
                <w:sz w:val="24"/>
                <w:szCs w:val="24"/>
                <w:highlight w:val="none"/>
              </w:rPr>
            </w:pPr>
          </w:p>
        </w:tc>
        <w:tc>
          <w:tcPr>
            <w:tcW w:w="2266" w:type="dxa"/>
            <w:noWrap w:val="0"/>
            <w:vAlign w:val="center"/>
          </w:tcPr>
          <w:p w14:paraId="77CDA1A6">
            <w:pPr>
              <w:pStyle w:val="7"/>
              <w:spacing w:line="360" w:lineRule="auto"/>
              <w:jc w:val="center"/>
              <w:rPr>
                <w:rFonts w:hint="eastAsia" w:ascii="宋体" w:hAnsi="宋体" w:eastAsia="宋体" w:cs="宋体"/>
                <w:color w:val="auto"/>
                <w:sz w:val="24"/>
                <w:szCs w:val="24"/>
                <w:highlight w:val="none"/>
              </w:rPr>
            </w:pPr>
          </w:p>
        </w:tc>
        <w:tc>
          <w:tcPr>
            <w:tcW w:w="2966" w:type="dxa"/>
            <w:noWrap w:val="0"/>
            <w:vAlign w:val="center"/>
          </w:tcPr>
          <w:p w14:paraId="40C97084">
            <w:pPr>
              <w:pStyle w:val="7"/>
              <w:spacing w:line="360" w:lineRule="auto"/>
              <w:jc w:val="center"/>
              <w:rPr>
                <w:rFonts w:hint="eastAsia" w:ascii="宋体" w:hAnsi="宋体" w:eastAsia="宋体" w:cs="宋体"/>
                <w:color w:val="auto"/>
                <w:sz w:val="24"/>
                <w:szCs w:val="24"/>
                <w:highlight w:val="none"/>
              </w:rPr>
            </w:pPr>
          </w:p>
        </w:tc>
      </w:tr>
      <w:tr w14:paraId="781C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1C68C9CA">
            <w:pPr>
              <w:pStyle w:val="7"/>
              <w:spacing w:line="360" w:lineRule="auto"/>
              <w:jc w:val="center"/>
              <w:rPr>
                <w:rFonts w:hint="eastAsia" w:ascii="宋体" w:hAnsi="宋体" w:eastAsia="宋体" w:cs="宋体"/>
                <w:color w:val="auto"/>
                <w:sz w:val="24"/>
                <w:szCs w:val="24"/>
                <w:highlight w:val="none"/>
              </w:rPr>
            </w:pPr>
          </w:p>
        </w:tc>
        <w:tc>
          <w:tcPr>
            <w:tcW w:w="2514" w:type="dxa"/>
            <w:noWrap w:val="0"/>
            <w:vAlign w:val="center"/>
          </w:tcPr>
          <w:p w14:paraId="1AAC9BAF">
            <w:pPr>
              <w:pStyle w:val="7"/>
              <w:spacing w:line="360" w:lineRule="auto"/>
              <w:jc w:val="center"/>
              <w:rPr>
                <w:rFonts w:hint="eastAsia" w:ascii="宋体" w:hAnsi="宋体" w:eastAsia="宋体" w:cs="宋体"/>
                <w:color w:val="auto"/>
                <w:sz w:val="24"/>
                <w:szCs w:val="24"/>
                <w:highlight w:val="none"/>
              </w:rPr>
            </w:pPr>
          </w:p>
        </w:tc>
        <w:tc>
          <w:tcPr>
            <w:tcW w:w="2266" w:type="dxa"/>
            <w:noWrap w:val="0"/>
            <w:vAlign w:val="center"/>
          </w:tcPr>
          <w:p w14:paraId="26678E08">
            <w:pPr>
              <w:pStyle w:val="7"/>
              <w:spacing w:line="360" w:lineRule="auto"/>
              <w:jc w:val="center"/>
              <w:rPr>
                <w:rFonts w:hint="eastAsia" w:ascii="宋体" w:hAnsi="宋体" w:eastAsia="宋体" w:cs="宋体"/>
                <w:color w:val="auto"/>
                <w:sz w:val="24"/>
                <w:szCs w:val="24"/>
                <w:highlight w:val="none"/>
              </w:rPr>
            </w:pPr>
          </w:p>
        </w:tc>
        <w:tc>
          <w:tcPr>
            <w:tcW w:w="2966" w:type="dxa"/>
            <w:noWrap w:val="0"/>
            <w:vAlign w:val="center"/>
          </w:tcPr>
          <w:p w14:paraId="390137E8">
            <w:pPr>
              <w:pStyle w:val="7"/>
              <w:spacing w:line="360" w:lineRule="auto"/>
              <w:jc w:val="center"/>
              <w:rPr>
                <w:rFonts w:hint="eastAsia" w:ascii="宋体" w:hAnsi="宋体" w:eastAsia="宋体" w:cs="宋体"/>
                <w:color w:val="auto"/>
                <w:sz w:val="24"/>
                <w:szCs w:val="24"/>
                <w:highlight w:val="none"/>
              </w:rPr>
            </w:pPr>
          </w:p>
        </w:tc>
      </w:tr>
      <w:tr w14:paraId="0321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7E047B60">
            <w:pPr>
              <w:pStyle w:val="7"/>
              <w:spacing w:line="360" w:lineRule="auto"/>
              <w:jc w:val="center"/>
              <w:rPr>
                <w:rFonts w:hint="eastAsia" w:ascii="宋体" w:hAnsi="宋体" w:eastAsia="宋体" w:cs="宋体"/>
                <w:color w:val="auto"/>
                <w:sz w:val="24"/>
                <w:szCs w:val="24"/>
                <w:highlight w:val="none"/>
              </w:rPr>
            </w:pPr>
          </w:p>
        </w:tc>
        <w:tc>
          <w:tcPr>
            <w:tcW w:w="2514" w:type="dxa"/>
            <w:noWrap w:val="0"/>
            <w:vAlign w:val="center"/>
          </w:tcPr>
          <w:p w14:paraId="5C2017C3">
            <w:pPr>
              <w:pStyle w:val="7"/>
              <w:spacing w:line="360" w:lineRule="auto"/>
              <w:jc w:val="center"/>
              <w:rPr>
                <w:rFonts w:hint="eastAsia" w:ascii="宋体" w:hAnsi="宋体" w:eastAsia="宋体" w:cs="宋体"/>
                <w:color w:val="auto"/>
                <w:sz w:val="24"/>
                <w:szCs w:val="24"/>
                <w:highlight w:val="none"/>
              </w:rPr>
            </w:pPr>
          </w:p>
        </w:tc>
        <w:tc>
          <w:tcPr>
            <w:tcW w:w="2266" w:type="dxa"/>
            <w:noWrap w:val="0"/>
            <w:vAlign w:val="center"/>
          </w:tcPr>
          <w:p w14:paraId="50CB9BD7">
            <w:pPr>
              <w:pStyle w:val="7"/>
              <w:spacing w:line="360" w:lineRule="auto"/>
              <w:jc w:val="center"/>
              <w:rPr>
                <w:rFonts w:hint="eastAsia" w:ascii="宋体" w:hAnsi="宋体" w:eastAsia="宋体" w:cs="宋体"/>
                <w:color w:val="auto"/>
                <w:sz w:val="24"/>
                <w:szCs w:val="24"/>
                <w:highlight w:val="none"/>
              </w:rPr>
            </w:pPr>
          </w:p>
        </w:tc>
        <w:tc>
          <w:tcPr>
            <w:tcW w:w="2966" w:type="dxa"/>
            <w:noWrap w:val="0"/>
            <w:vAlign w:val="center"/>
          </w:tcPr>
          <w:p w14:paraId="1926F18B">
            <w:pPr>
              <w:pStyle w:val="7"/>
              <w:spacing w:line="360" w:lineRule="auto"/>
              <w:jc w:val="center"/>
              <w:rPr>
                <w:rFonts w:hint="eastAsia" w:ascii="宋体" w:hAnsi="宋体" w:eastAsia="宋体" w:cs="宋体"/>
                <w:color w:val="auto"/>
                <w:sz w:val="24"/>
                <w:szCs w:val="24"/>
                <w:highlight w:val="none"/>
              </w:rPr>
            </w:pPr>
          </w:p>
        </w:tc>
      </w:tr>
      <w:tr w14:paraId="2E51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76E5C774">
            <w:pPr>
              <w:pStyle w:val="7"/>
              <w:spacing w:line="360" w:lineRule="auto"/>
              <w:jc w:val="center"/>
              <w:rPr>
                <w:rFonts w:hint="eastAsia" w:ascii="宋体" w:hAnsi="宋体" w:eastAsia="宋体" w:cs="宋体"/>
                <w:color w:val="auto"/>
                <w:sz w:val="24"/>
                <w:szCs w:val="24"/>
                <w:highlight w:val="none"/>
              </w:rPr>
            </w:pPr>
          </w:p>
        </w:tc>
        <w:tc>
          <w:tcPr>
            <w:tcW w:w="2514" w:type="dxa"/>
            <w:noWrap w:val="0"/>
            <w:vAlign w:val="center"/>
          </w:tcPr>
          <w:p w14:paraId="36B5B8F3">
            <w:pPr>
              <w:pStyle w:val="7"/>
              <w:spacing w:line="360" w:lineRule="auto"/>
              <w:jc w:val="center"/>
              <w:rPr>
                <w:rFonts w:hint="eastAsia" w:ascii="宋体" w:hAnsi="宋体" w:eastAsia="宋体" w:cs="宋体"/>
                <w:color w:val="auto"/>
                <w:sz w:val="24"/>
                <w:szCs w:val="24"/>
                <w:highlight w:val="none"/>
              </w:rPr>
            </w:pPr>
          </w:p>
        </w:tc>
        <w:tc>
          <w:tcPr>
            <w:tcW w:w="2266" w:type="dxa"/>
            <w:noWrap w:val="0"/>
            <w:vAlign w:val="center"/>
          </w:tcPr>
          <w:p w14:paraId="14CDE3A5">
            <w:pPr>
              <w:pStyle w:val="7"/>
              <w:spacing w:line="360" w:lineRule="auto"/>
              <w:jc w:val="center"/>
              <w:rPr>
                <w:rFonts w:hint="eastAsia" w:ascii="宋体" w:hAnsi="宋体" w:eastAsia="宋体" w:cs="宋体"/>
                <w:color w:val="auto"/>
                <w:sz w:val="24"/>
                <w:szCs w:val="24"/>
                <w:highlight w:val="none"/>
              </w:rPr>
            </w:pPr>
          </w:p>
        </w:tc>
        <w:tc>
          <w:tcPr>
            <w:tcW w:w="2966" w:type="dxa"/>
            <w:noWrap w:val="0"/>
            <w:vAlign w:val="center"/>
          </w:tcPr>
          <w:p w14:paraId="71139D7B">
            <w:pPr>
              <w:pStyle w:val="7"/>
              <w:spacing w:line="360" w:lineRule="auto"/>
              <w:jc w:val="center"/>
              <w:rPr>
                <w:rFonts w:hint="eastAsia" w:ascii="宋体" w:hAnsi="宋体" w:eastAsia="宋体" w:cs="宋体"/>
                <w:color w:val="auto"/>
                <w:sz w:val="24"/>
                <w:szCs w:val="24"/>
                <w:highlight w:val="none"/>
              </w:rPr>
            </w:pPr>
          </w:p>
        </w:tc>
      </w:tr>
      <w:tr w14:paraId="356C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1" w:type="dxa"/>
            <w:noWrap w:val="0"/>
            <w:vAlign w:val="center"/>
          </w:tcPr>
          <w:p w14:paraId="6FCC9A12">
            <w:pPr>
              <w:pStyle w:val="7"/>
              <w:spacing w:line="360" w:lineRule="auto"/>
              <w:jc w:val="center"/>
              <w:rPr>
                <w:rFonts w:hint="eastAsia" w:ascii="宋体" w:hAnsi="宋体" w:eastAsia="宋体" w:cs="宋体"/>
                <w:color w:val="auto"/>
                <w:sz w:val="24"/>
                <w:szCs w:val="24"/>
                <w:highlight w:val="none"/>
              </w:rPr>
            </w:pPr>
          </w:p>
        </w:tc>
        <w:tc>
          <w:tcPr>
            <w:tcW w:w="2514" w:type="dxa"/>
            <w:noWrap w:val="0"/>
            <w:vAlign w:val="center"/>
          </w:tcPr>
          <w:p w14:paraId="508AB56C">
            <w:pPr>
              <w:pStyle w:val="7"/>
              <w:spacing w:line="360" w:lineRule="auto"/>
              <w:jc w:val="center"/>
              <w:rPr>
                <w:rFonts w:hint="eastAsia" w:ascii="宋体" w:hAnsi="宋体" w:eastAsia="宋体" w:cs="宋体"/>
                <w:color w:val="auto"/>
                <w:sz w:val="24"/>
                <w:szCs w:val="24"/>
                <w:highlight w:val="none"/>
              </w:rPr>
            </w:pPr>
          </w:p>
        </w:tc>
        <w:tc>
          <w:tcPr>
            <w:tcW w:w="2266" w:type="dxa"/>
            <w:noWrap w:val="0"/>
            <w:vAlign w:val="center"/>
          </w:tcPr>
          <w:p w14:paraId="738FC5A3">
            <w:pPr>
              <w:pStyle w:val="7"/>
              <w:spacing w:line="360" w:lineRule="auto"/>
              <w:jc w:val="center"/>
              <w:rPr>
                <w:rFonts w:hint="eastAsia" w:ascii="宋体" w:hAnsi="宋体" w:eastAsia="宋体" w:cs="宋体"/>
                <w:color w:val="auto"/>
                <w:sz w:val="24"/>
                <w:szCs w:val="24"/>
                <w:highlight w:val="none"/>
              </w:rPr>
            </w:pPr>
          </w:p>
        </w:tc>
        <w:tc>
          <w:tcPr>
            <w:tcW w:w="2966" w:type="dxa"/>
            <w:noWrap w:val="0"/>
            <w:vAlign w:val="center"/>
          </w:tcPr>
          <w:p w14:paraId="12A4C4E4">
            <w:pPr>
              <w:pStyle w:val="7"/>
              <w:spacing w:line="360" w:lineRule="auto"/>
              <w:jc w:val="center"/>
              <w:rPr>
                <w:rFonts w:hint="eastAsia" w:ascii="宋体" w:hAnsi="宋体" w:eastAsia="宋体" w:cs="宋体"/>
                <w:color w:val="auto"/>
                <w:sz w:val="24"/>
                <w:szCs w:val="24"/>
                <w:highlight w:val="none"/>
              </w:rPr>
            </w:pPr>
          </w:p>
        </w:tc>
      </w:tr>
    </w:tbl>
    <w:p w14:paraId="1F7A47DA">
      <w:pPr>
        <w:spacing w:line="360" w:lineRule="auto"/>
        <w:jc w:val="center"/>
        <w:rPr>
          <w:rFonts w:hint="eastAsia" w:eastAsia="宋体"/>
          <w:bCs/>
          <w:color w:val="auto"/>
          <w:sz w:val="24"/>
          <w:szCs w:val="28"/>
          <w:highlight w:val="none"/>
        </w:rPr>
      </w:pPr>
    </w:p>
    <w:p w14:paraId="44E4DD67">
      <w:pPr>
        <w:pStyle w:val="4"/>
        <w:numPr>
          <w:ilvl w:val="0"/>
          <w:numId w:val="0"/>
        </w:numPr>
        <w:tabs>
          <w:tab w:val="left" w:pos="425"/>
        </w:tabs>
        <w:spacing w:line="360" w:lineRule="auto"/>
        <w:ind w:left="709" w:hanging="709"/>
        <w:rPr>
          <w:rFonts w:hint="eastAsia" w:eastAsia="宋体" w:cs="宋体"/>
          <w:color w:val="auto"/>
          <w:highlight w:val="none"/>
          <w:lang w:val="zh-CN"/>
        </w:rPr>
      </w:pPr>
      <w:r>
        <w:rPr>
          <w:rFonts w:hint="eastAsia" w:eastAsia="宋体" w:cs="宋体"/>
          <w:bCs/>
          <w:color w:val="auto"/>
          <w:sz w:val="24"/>
          <w:szCs w:val="28"/>
          <w:highlight w:val="none"/>
        </w:rPr>
        <w:br w:type="page"/>
      </w:r>
      <w:bookmarkStart w:id="634" w:name="_Toc11497"/>
      <w:bookmarkStart w:id="635" w:name="_Toc31601"/>
      <w:bookmarkStart w:id="636" w:name="_Toc25419"/>
      <w:bookmarkStart w:id="637" w:name="_Toc1532"/>
      <w:bookmarkStart w:id="638" w:name="_Toc19290"/>
      <w:bookmarkStart w:id="639" w:name="_Toc24328"/>
      <w:r>
        <w:rPr>
          <w:rFonts w:hint="eastAsia" w:eastAsia="宋体" w:cs="宋体"/>
          <w:b/>
          <w:color w:val="auto"/>
          <w:sz w:val="32"/>
          <w:highlight w:val="none"/>
          <w:lang w:val="zh-CN"/>
        </w:rPr>
        <w:t>格式1</w:t>
      </w:r>
      <w:r>
        <w:rPr>
          <w:rFonts w:hint="eastAsia" w:eastAsia="宋体" w:cs="宋体"/>
          <w:b/>
          <w:color w:val="auto"/>
          <w:sz w:val="32"/>
          <w:highlight w:val="none"/>
        </w:rPr>
        <w:t>3</w:t>
      </w:r>
      <w:r>
        <w:rPr>
          <w:rFonts w:hint="eastAsia" w:eastAsia="宋体" w:cs="宋体"/>
          <w:b/>
          <w:color w:val="auto"/>
          <w:sz w:val="32"/>
          <w:highlight w:val="none"/>
          <w:lang w:val="zh-CN"/>
        </w:rPr>
        <w:t>、</w:t>
      </w:r>
      <w:bookmarkStart w:id="640" w:name="_Toc487036155"/>
      <w:r>
        <w:rPr>
          <w:rFonts w:hint="eastAsia" w:eastAsia="宋体" w:cs="宋体"/>
          <w:b/>
          <w:color w:val="auto"/>
          <w:sz w:val="32"/>
          <w:szCs w:val="22"/>
          <w:highlight w:val="none"/>
          <w:lang w:val="zh-CN"/>
        </w:rPr>
        <w:t>竞争性磋商首次报价表</w:t>
      </w:r>
      <w:bookmarkEnd w:id="634"/>
      <w:bookmarkEnd w:id="635"/>
      <w:bookmarkEnd w:id="636"/>
      <w:bookmarkEnd w:id="637"/>
      <w:bookmarkEnd w:id="638"/>
      <w:bookmarkEnd w:id="639"/>
      <w:bookmarkEnd w:id="640"/>
    </w:p>
    <w:p w14:paraId="641CF320">
      <w:pPr>
        <w:spacing w:line="360" w:lineRule="auto"/>
        <w:jc w:val="center"/>
        <w:rPr>
          <w:rFonts w:hint="eastAsia" w:eastAsia="宋体"/>
          <w:b/>
          <w:bCs/>
          <w:color w:val="auto"/>
          <w:sz w:val="28"/>
          <w:szCs w:val="28"/>
          <w:highlight w:val="none"/>
        </w:rPr>
      </w:pPr>
    </w:p>
    <w:p w14:paraId="0D769BD6">
      <w:pPr>
        <w:autoSpaceDE w:val="0"/>
        <w:autoSpaceDN w:val="0"/>
        <w:adjustRightInd w:val="0"/>
        <w:spacing w:line="360" w:lineRule="auto"/>
        <w:jc w:val="center"/>
        <w:rPr>
          <w:rFonts w:hint="eastAsia" w:eastAsia="宋体"/>
          <w:b/>
          <w:bCs/>
          <w:color w:val="auto"/>
          <w:sz w:val="32"/>
          <w:szCs w:val="30"/>
          <w:highlight w:val="none"/>
          <w:lang w:val="zh-CN"/>
        </w:rPr>
      </w:pPr>
      <w:r>
        <w:rPr>
          <w:rFonts w:hint="eastAsia" w:eastAsia="宋体"/>
          <w:b/>
          <w:bCs/>
          <w:color w:val="auto"/>
          <w:sz w:val="32"/>
          <w:szCs w:val="30"/>
          <w:highlight w:val="none"/>
          <w:lang w:val="zh-CN"/>
        </w:rPr>
        <w:t>竞争性磋商首次报价表</w:t>
      </w:r>
    </w:p>
    <w:p w14:paraId="4D9B6D96">
      <w:pPr>
        <w:autoSpaceDE w:val="0"/>
        <w:autoSpaceDN w:val="0"/>
        <w:adjustRightInd w:val="0"/>
        <w:spacing w:line="360" w:lineRule="auto"/>
        <w:outlineLvl w:val="1"/>
        <w:rPr>
          <w:rFonts w:hint="eastAsia" w:eastAsia="宋体"/>
          <w:b/>
          <w:bCs/>
          <w:color w:val="auto"/>
          <w:sz w:val="24"/>
          <w:highlight w:val="none"/>
          <w:lang w:val="zh-CN"/>
        </w:rPr>
      </w:pPr>
      <w:bookmarkStart w:id="641" w:name="_Toc18364"/>
      <w:bookmarkStart w:id="642" w:name="_Toc10146"/>
      <w:bookmarkStart w:id="643" w:name="_Toc16784"/>
      <w:r>
        <w:rPr>
          <w:rFonts w:hint="eastAsia" w:eastAsia="宋体"/>
          <w:b/>
          <w:bCs/>
          <w:color w:val="auto"/>
          <w:sz w:val="24"/>
          <w:highlight w:val="none"/>
          <w:lang w:val="zh-CN"/>
        </w:rPr>
        <w:t>采购项目名称:</w:t>
      </w:r>
      <w:bookmarkEnd w:id="641"/>
      <w:bookmarkEnd w:id="642"/>
      <w:bookmarkEnd w:id="643"/>
      <w:r>
        <w:rPr>
          <w:rFonts w:hint="eastAsia" w:eastAsia="宋体"/>
          <w:b/>
          <w:bCs/>
          <w:color w:val="auto"/>
          <w:sz w:val="24"/>
          <w:highlight w:val="none"/>
          <w:lang w:val="zh-CN"/>
        </w:rPr>
        <w:t xml:space="preserve">                      </w:t>
      </w:r>
    </w:p>
    <w:p w14:paraId="471BBB47">
      <w:pPr>
        <w:autoSpaceDE w:val="0"/>
        <w:autoSpaceDN w:val="0"/>
        <w:adjustRightInd w:val="0"/>
        <w:spacing w:line="360" w:lineRule="auto"/>
        <w:outlineLvl w:val="1"/>
        <w:rPr>
          <w:rFonts w:hint="eastAsia" w:eastAsia="宋体"/>
          <w:b/>
          <w:bCs/>
          <w:color w:val="auto"/>
          <w:sz w:val="24"/>
          <w:highlight w:val="none"/>
          <w:lang w:val="zh-CN"/>
        </w:rPr>
      </w:pPr>
      <w:bookmarkStart w:id="644" w:name="_Toc3244"/>
      <w:bookmarkStart w:id="645" w:name="_Toc13749"/>
      <w:bookmarkStart w:id="646" w:name="_Toc22857"/>
      <w:r>
        <w:rPr>
          <w:rFonts w:hint="eastAsia" w:eastAsia="宋体"/>
          <w:b/>
          <w:bCs/>
          <w:color w:val="auto"/>
          <w:sz w:val="24"/>
          <w:highlight w:val="none"/>
          <w:lang w:val="zh-CN"/>
        </w:rPr>
        <w:t>采购项目编号：</w:t>
      </w:r>
      <w:bookmarkEnd w:id="644"/>
      <w:bookmarkEnd w:id="645"/>
      <w:bookmarkEnd w:id="646"/>
    </w:p>
    <w:p w14:paraId="032B0BB7">
      <w:pPr>
        <w:autoSpaceDE w:val="0"/>
        <w:autoSpaceDN w:val="0"/>
        <w:spacing w:line="360" w:lineRule="auto"/>
        <w:outlineLvl w:val="1"/>
        <w:rPr>
          <w:rFonts w:hint="eastAsia" w:eastAsia="宋体"/>
          <w:b/>
          <w:bCs/>
          <w:color w:val="auto"/>
          <w:sz w:val="24"/>
          <w:highlight w:val="none"/>
          <w:lang w:val="zh-CN"/>
        </w:rPr>
      </w:pPr>
      <w:bookmarkStart w:id="647" w:name="_Toc2456"/>
      <w:bookmarkStart w:id="648" w:name="_Toc24532"/>
      <w:bookmarkStart w:id="649" w:name="_Toc27675"/>
      <w:r>
        <w:rPr>
          <w:rFonts w:hint="eastAsia" w:eastAsia="宋体"/>
          <w:b/>
          <w:bCs/>
          <w:color w:val="auto"/>
          <w:sz w:val="24"/>
          <w:highlight w:val="none"/>
          <w:lang w:val="zh-CN"/>
        </w:rPr>
        <w:t>磋商供应商名称：</w:t>
      </w:r>
      <w:bookmarkEnd w:id="647"/>
      <w:bookmarkEnd w:id="648"/>
      <w:bookmarkEnd w:id="649"/>
    </w:p>
    <w:p w14:paraId="32CAA8BD">
      <w:pPr>
        <w:autoSpaceDE w:val="0"/>
        <w:autoSpaceDN w:val="0"/>
        <w:spacing w:line="360" w:lineRule="auto"/>
        <w:ind w:right="360"/>
        <w:jc w:val="center"/>
        <w:rPr>
          <w:rFonts w:hint="eastAsia" w:eastAsia="宋体"/>
          <w:b/>
          <w:bCs/>
          <w:color w:val="auto"/>
          <w:sz w:val="24"/>
          <w:highlight w:val="none"/>
        </w:rPr>
      </w:pPr>
      <w:r>
        <w:rPr>
          <w:rFonts w:hint="eastAsia" w:eastAsia="宋体"/>
          <w:b/>
          <w:bCs/>
          <w:color w:val="auto"/>
          <w:sz w:val="24"/>
          <w:highlight w:val="none"/>
        </w:rPr>
        <w:t xml:space="preserve">                                                   </w:t>
      </w:r>
      <w:r>
        <w:rPr>
          <w:rFonts w:hint="eastAsia" w:eastAsia="宋体"/>
          <w:b/>
          <w:bCs/>
          <w:color w:val="auto"/>
          <w:sz w:val="24"/>
          <w:highlight w:val="none"/>
          <w:lang w:val="zh-CN"/>
        </w:rPr>
        <w:t>单位：人民币（元）</w:t>
      </w:r>
    </w:p>
    <w:tbl>
      <w:tblPr>
        <w:tblStyle w:val="24"/>
        <w:tblW w:w="9968" w:type="dxa"/>
        <w:jc w:val="center"/>
        <w:tblLayout w:type="fixed"/>
        <w:tblCellMar>
          <w:top w:w="0" w:type="dxa"/>
          <w:left w:w="108" w:type="dxa"/>
          <w:bottom w:w="0" w:type="dxa"/>
          <w:right w:w="108" w:type="dxa"/>
        </w:tblCellMar>
      </w:tblPr>
      <w:tblGrid>
        <w:gridCol w:w="2966"/>
        <w:gridCol w:w="3188"/>
        <w:gridCol w:w="2129"/>
        <w:gridCol w:w="1685"/>
      </w:tblGrid>
      <w:tr w14:paraId="5B92EA9F">
        <w:tblPrEx>
          <w:tblCellMar>
            <w:top w:w="0" w:type="dxa"/>
            <w:left w:w="108" w:type="dxa"/>
            <w:bottom w:w="0" w:type="dxa"/>
            <w:right w:w="108" w:type="dxa"/>
          </w:tblCellMar>
        </w:tblPrEx>
        <w:trPr>
          <w:trHeight w:val="699" w:hRule="atLeast"/>
          <w:jc w:val="center"/>
        </w:trPr>
        <w:tc>
          <w:tcPr>
            <w:tcW w:w="296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0B14665">
            <w:pPr>
              <w:autoSpaceDE w:val="0"/>
              <w:autoSpaceDN w:val="0"/>
              <w:spacing w:line="360" w:lineRule="auto"/>
              <w:jc w:val="center"/>
              <w:rPr>
                <w:rFonts w:hint="eastAsia" w:eastAsia="宋体"/>
                <w:color w:val="auto"/>
                <w:sz w:val="24"/>
                <w:highlight w:val="none"/>
                <w:lang w:val="zh-CN"/>
              </w:rPr>
            </w:pPr>
            <w:r>
              <w:rPr>
                <w:rFonts w:hint="eastAsia" w:eastAsia="宋体"/>
                <w:bCs/>
                <w:color w:val="auto"/>
                <w:sz w:val="24"/>
                <w:highlight w:val="none"/>
                <w:lang w:val="zh-CN"/>
              </w:rPr>
              <w:t>项目名称</w:t>
            </w:r>
          </w:p>
        </w:tc>
        <w:tc>
          <w:tcPr>
            <w:tcW w:w="318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21769EC">
            <w:pPr>
              <w:autoSpaceDE w:val="0"/>
              <w:autoSpaceDN w:val="0"/>
              <w:spacing w:line="360" w:lineRule="auto"/>
              <w:ind w:firstLine="482"/>
              <w:jc w:val="center"/>
              <w:rPr>
                <w:rFonts w:hint="eastAsia" w:eastAsia="宋体"/>
                <w:color w:val="auto"/>
                <w:highlight w:val="none"/>
                <w:lang w:val="zh-CN"/>
              </w:rPr>
            </w:pPr>
            <w:r>
              <w:rPr>
                <w:rFonts w:hint="eastAsia" w:eastAsia="宋体"/>
                <w:bCs/>
                <w:color w:val="auto"/>
                <w:sz w:val="24"/>
                <w:highlight w:val="none"/>
                <w:lang w:val="zh-CN"/>
              </w:rPr>
              <w:t>磋商首次报价</w:t>
            </w:r>
          </w:p>
        </w:tc>
        <w:tc>
          <w:tcPr>
            <w:tcW w:w="2129"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FDD1E35">
            <w:pPr>
              <w:autoSpaceDE w:val="0"/>
              <w:autoSpaceDN w:val="0"/>
              <w:spacing w:line="360" w:lineRule="auto"/>
              <w:jc w:val="center"/>
              <w:rPr>
                <w:rFonts w:hint="eastAsia" w:eastAsia="宋体"/>
                <w:bCs/>
                <w:color w:val="auto"/>
                <w:sz w:val="24"/>
                <w:highlight w:val="none"/>
                <w:lang w:val="zh-CN" w:eastAsia="zh-CN"/>
              </w:rPr>
            </w:pPr>
            <w:r>
              <w:rPr>
                <w:rFonts w:hint="eastAsia" w:eastAsia="宋体"/>
                <w:bCs/>
                <w:color w:val="auto"/>
                <w:sz w:val="24"/>
                <w:highlight w:val="none"/>
                <w:lang w:val="en-US" w:eastAsia="zh-CN"/>
              </w:rPr>
              <w:t>交货期</w:t>
            </w:r>
          </w:p>
        </w:tc>
        <w:tc>
          <w:tcPr>
            <w:tcW w:w="1685"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26EAF5D">
            <w:pPr>
              <w:autoSpaceDE w:val="0"/>
              <w:autoSpaceDN w:val="0"/>
              <w:spacing w:line="360" w:lineRule="auto"/>
              <w:jc w:val="center"/>
              <w:rPr>
                <w:rFonts w:hint="eastAsia" w:eastAsia="宋体"/>
                <w:color w:val="auto"/>
                <w:highlight w:val="none"/>
                <w:lang w:val="zh-CN"/>
              </w:rPr>
            </w:pPr>
            <w:r>
              <w:rPr>
                <w:rFonts w:hint="eastAsia" w:eastAsia="宋体"/>
                <w:color w:val="auto"/>
                <w:highlight w:val="none"/>
                <w:lang w:val="zh-CN"/>
              </w:rPr>
              <w:t>备注</w:t>
            </w:r>
          </w:p>
        </w:tc>
      </w:tr>
      <w:tr w14:paraId="4A9C2EB8">
        <w:tblPrEx>
          <w:tblCellMar>
            <w:top w:w="0" w:type="dxa"/>
            <w:left w:w="108" w:type="dxa"/>
            <w:bottom w:w="0" w:type="dxa"/>
            <w:right w:w="108" w:type="dxa"/>
          </w:tblCellMar>
        </w:tblPrEx>
        <w:trPr>
          <w:trHeight w:val="555" w:hRule="atLeast"/>
          <w:jc w:val="center"/>
        </w:trPr>
        <w:tc>
          <w:tcPr>
            <w:tcW w:w="2966" w:type="dxa"/>
            <w:vMerge w:val="restart"/>
            <w:tcBorders>
              <w:top w:val="single" w:color="000000" w:sz="6" w:space="0"/>
              <w:left w:val="single" w:color="000000" w:sz="6" w:space="0"/>
              <w:right w:val="single" w:color="000000" w:sz="6" w:space="0"/>
            </w:tcBorders>
            <w:shd w:val="clear" w:color="000000" w:fill="FFFFFF"/>
            <w:noWrap w:val="0"/>
            <w:vAlign w:val="center"/>
          </w:tcPr>
          <w:p w14:paraId="474BF3D5">
            <w:pPr>
              <w:autoSpaceDE w:val="0"/>
              <w:autoSpaceDN w:val="0"/>
              <w:spacing w:line="360" w:lineRule="auto"/>
              <w:jc w:val="center"/>
              <w:rPr>
                <w:rFonts w:hint="eastAsia" w:eastAsia="宋体"/>
                <w:color w:val="auto"/>
                <w:highlight w:val="none"/>
                <w:lang w:val="zh-CN"/>
              </w:rPr>
            </w:pPr>
          </w:p>
        </w:tc>
        <w:tc>
          <w:tcPr>
            <w:tcW w:w="318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37AC96BA">
            <w:pPr>
              <w:autoSpaceDE w:val="0"/>
              <w:autoSpaceDN w:val="0"/>
              <w:spacing w:line="360" w:lineRule="auto"/>
              <w:rPr>
                <w:rFonts w:hint="eastAsia" w:eastAsia="宋体"/>
                <w:color w:val="auto"/>
                <w:highlight w:val="none"/>
                <w:lang w:val="zh-CN"/>
              </w:rPr>
            </w:pPr>
            <w:r>
              <w:rPr>
                <w:rFonts w:hint="eastAsia" w:eastAsia="宋体"/>
                <w:bCs/>
                <w:color w:val="auto"/>
                <w:sz w:val="24"/>
                <w:highlight w:val="none"/>
                <w:lang w:val="zh-CN"/>
              </w:rPr>
              <w:t>大写：</w:t>
            </w:r>
          </w:p>
        </w:tc>
        <w:tc>
          <w:tcPr>
            <w:tcW w:w="2129" w:type="dxa"/>
            <w:vMerge w:val="restart"/>
            <w:tcBorders>
              <w:top w:val="single" w:color="000000" w:sz="6" w:space="0"/>
              <w:left w:val="single" w:color="000000" w:sz="6" w:space="0"/>
              <w:right w:val="single" w:color="000000" w:sz="6" w:space="0"/>
            </w:tcBorders>
            <w:shd w:val="clear" w:color="000000" w:fill="FFFFFF"/>
            <w:noWrap w:val="0"/>
            <w:vAlign w:val="center"/>
          </w:tcPr>
          <w:p w14:paraId="767F59F2">
            <w:pPr>
              <w:autoSpaceDE w:val="0"/>
              <w:autoSpaceDN w:val="0"/>
              <w:spacing w:line="360" w:lineRule="auto"/>
              <w:ind w:firstLine="197"/>
              <w:jc w:val="center"/>
              <w:rPr>
                <w:rFonts w:hint="eastAsia" w:eastAsia="宋体"/>
                <w:color w:val="auto"/>
                <w:highlight w:val="none"/>
                <w:lang w:val="zh-CN"/>
              </w:rPr>
            </w:pPr>
          </w:p>
        </w:tc>
        <w:tc>
          <w:tcPr>
            <w:tcW w:w="1685" w:type="dxa"/>
            <w:vMerge w:val="restart"/>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A656AB0">
            <w:pPr>
              <w:autoSpaceDE w:val="0"/>
              <w:autoSpaceDN w:val="0"/>
              <w:spacing w:line="360" w:lineRule="auto"/>
              <w:jc w:val="center"/>
              <w:rPr>
                <w:rFonts w:hint="eastAsia" w:eastAsia="宋体"/>
                <w:color w:val="auto"/>
                <w:highlight w:val="none"/>
                <w:lang w:val="zh-CN"/>
              </w:rPr>
            </w:pPr>
          </w:p>
        </w:tc>
      </w:tr>
      <w:tr w14:paraId="527C09F1">
        <w:tblPrEx>
          <w:tblCellMar>
            <w:top w:w="0" w:type="dxa"/>
            <w:left w:w="108" w:type="dxa"/>
            <w:bottom w:w="0" w:type="dxa"/>
            <w:right w:w="108" w:type="dxa"/>
          </w:tblCellMar>
        </w:tblPrEx>
        <w:trPr>
          <w:trHeight w:val="577" w:hRule="atLeast"/>
          <w:jc w:val="center"/>
        </w:trPr>
        <w:tc>
          <w:tcPr>
            <w:tcW w:w="2966" w:type="dxa"/>
            <w:vMerge w:val="continue"/>
            <w:tcBorders>
              <w:left w:val="single" w:color="000000" w:sz="6" w:space="0"/>
              <w:bottom w:val="single" w:color="000000" w:sz="6" w:space="0"/>
              <w:right w:val="single" w:color="000000" w:sz="6" w:space="0"/>
            </w:tcBorders>
            <w:shd w:val="clear" w:color="000000" w:fill="FFFFFF"/>
            <w:noWrap w:val="0"/>
            <w:vAlign w:val="center"/>
          </w:tcPr>
          <w:p w14:paraId="05188297">
            <w:pPr>
              <w:autoSpaceDE w:val="0"/>
              <w:autoSpaceDN w:val="0"/>
              <w:spacing w:line="360" w:lineRule="auto"/>
              <w:jc w:val="center"/>
              <w:rPr>
                <w:rFonts w:hint="eastAsia" w:eastAsia="宋体"/>
                <w:color w:val="auto"/>
                <w:highlight w:val="none"/>
                <w:lang w:val="zh-CN"/>
              </w:rPr>
            </w:pPr>
          </w:p>
        </w:tc>
        <w:tc>
          <w:tcPr>
            <w:tcW w:w="318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6348D251">
            <w:pPr>
              <w:autoSpaceDE w:val="0"/>
              <w:autoSpaceDN w:val="0"/>
              <w:spacing w:line="360" w:lineRule="auto"/>
              <w:rPr>
                <w:rFonts w:hint="eastAsia" w:eastAsia="宋体"/>
                <w:color w:val="auto"/>
                <w:highlight w:val="none"/>
                <w:lang w:val="zh-CN"/>
              </w:rPr>
            </w:pPr>
            <w:r>
              <w:rPr>
                <w:rFonts w:hint="eastAsia" w:eastAsia="宋体"/>
                <w:bCs/>
                <w:color w:val="auto"/>
                <w:sz w:val="24"/>
                <w:highlight w:val="none"/>
                <w:lang w:val="zh-CN"/>
              </w:rPr>
              <w:t>小写：</w:t>
            </w:r>
          </w:p>
        </w:tc>
        <w:tc>
          <w:tcPr>
            <w:tcW w:w="2129" w:type="dxa"/>
            <w:vMerge w:val="continue"/>
            <w:tcBorders>
              <w:left w:val="single" w:color="000000" w:sz="6" w:space="0"/>
              <w:bottom w:val="single" w:color="000000" w:sz="6" w:space="0"/>
              <w:right w:val="single" w:color="000000" w:sz="6" w:space="0"/>
            </w:tcBorders>
            <w:shd w:val="clear" w:color="000000" w:fill="FFFFFF"/>
            <w:noWrap w:val="0"/>
            <w:vAlign w:val="center"/>
          </w:tcPr>
          <w:p w14:paraId="6CAC4124">
            <w:pPr>
              <w:autoSpaceDE w:val="0"/>
              <w:autoSpaceDN w:val="0"/>
              <w:spacing w:line="360" w:lineRule="auto"/>
              <w:jc w:val="center"/>
              <w:rPr>
                <w:rFonts w:hint="eastAsia" w:eastAsia="宋体"/>
                <w:color w:val="auto"/>
                <w:highlight w:val="none"/>
                <w:lang w:val="zh-CN"/>
              </w:rPr>
            </w:pPr>
          </w:p>
        </w:tc>
        <w:tc>
          <w:tcPr>
            <w:tcW w:w="1685" w:type="dxa"/>
            <w:vMerge w:val="continue"/>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14:paraId="0FBE2967">
            <w:pPr>
              <w:autoSpaceDE w:val="0"/>
              <w:autoSpaceDN w:val="0"/>
              <w:spacing w:line="360" w:lineRule="auto"/>
              <w:jc w:val="center"/>
              <w:rPr>
                <w:rFonts w:hint="eastAsia" w:eastAsia="宋体"/>
                <w:color w:val="auto"/>
                <w:highlight w:val="none"/>
                <w:lang w:val="zh-CN"/>
              </w:rPr>
            </w:pPr>
          </w:p>
        </w:tc>
      </w:tr>
      <w:tr w14:paraId="7C15308C">
        <w:tblPrEx>
          <w:tblCellMar>
            <w:top w:w="0" w:type="dxa"/>
            <w:left w:w="108" w:type="dxa"/>
            <w:bottom w:w="0" w:type="dxa"/>
            <w:right w:w="108" w:type="dxa"/>
          </w:tblCellMar>
        </w:tblPrEx>
        <w:trPr>
          <w:trHeight w:val="1283" w:hRule="atLeast"/>
          <w:jc w:val="center"/>
        </w:trPr>
        <w:tc>
          <w:tcPr>
            <w:tcW w:w="9968" w:type="dxa"/>
            <w:gridSpan w:val="4"/>
            <w:tcBorders>
              <w:top w:val="single" w:color="000000" w:sz="6" w:space="0"/>
              <w:left w:val="single" w:color="000000" w:sz="6" w:space="0"/>
              <w:bottom w:val="single" w:color="000000" w:sz="6" w:space="0"/>
              <w:right w:val="single" w:color="000000" w:sz="6" w:space="0"/>
            </w:tcBorders>
            <w:shd w:val="clear" w:color="000000" w:fill="FFFFFF"/>
            <w:noWrap w:val="0"/>
            <w:vAlign w:val="top"/>
          </w:tcPr>
          <w:p w14:paraId="2FE00CFC">
            <w:pPr>
              <w:autoSpaceDE w:val="0"/>
              <w:autoSpaceDN w:val="0"/>
              <w:spacing w:line="360" w:lineRule="auto"/>
              <w:rPr>
                <w:rFonts w:hint="eastAsia" w:eastAsia="宋体"/>
                <w:color w:val="auto"/>
                <w:highlight w:val="none"/>
                <w:lang w:val="zh-CN"/>
              </w:rPr>
            </w:pPr>
            <w:r>
              <w:rPr>
                <w:rFonts w:hint="eastAsia" w:eastAsia="宋体"/>
                <w:bCs/>
                <w:color w:val="auto"/>
                <w:sz w:val="24"/>
                <w:highlight w:val="none"/>
                <w:lang w:val="zh-CN"/>
              </w:rPr>
              <w:t>优惠承诺及其他：</w:t>
            </w:r>
          </w:p>
        </w:tc>
      </w:tr>
    </w:tbl>
    <w:p w14:paraId="69401A23">
      <w:pPr>
        <w:pageBreakBefore w:val="0"/>
        <w:kinsoku/>
        <w:overflowPunct/>
        <w:topLinePunct w:val="0"/>
        <w:autoSpaceDE w:val="0"/>
        <w:autoSpaceDN w:val="0"/>
        <w:bidi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bCs/>
          <w:color w:val="auto"/>
          <w:sz w:val="24"/>
          <w:szCs w:val="24"/>
          <w:highlight w:val="none"/>
          <w:lang w:val="zh-CN"/>
        </w:rPr>
        <w:t>注：</w:t>
      </w:r>
      <w:r>
        <w:rPr>
          <w:rFonts w:hint="eastAsia" w:ascii="宋体" w:hAnsi="宋体" w:eastAsia="宋体" w:cs="宋体"/>
          <w:color w:val="auto"/>
          <w:sz w:val="24"/>
          <w:szCs w:val="24"/>
          <w:highlight w:val="none"/>
          <w:lang w:val="zh-CN"/>
        </w:rPr>
        <w:t>1、填写此表时不得改变表格形式。</w:t>
      </w:r>
    </w:p>
    <w:p w14:paraId="440DF18C">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000000" w:themeColor="text1"/>
          <w:sz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2、“磋商报价”为磋商总价。磋商报价必须包括：</w:t>
      </w:r>
      <w:r>
        <w:rPr>
          <w:rFonts w:hint="eastAsia" w:ascii="宋体" w:hAnsi="宋体" w:eastAsia="宋体" w:cs="宋体"/>
          <w:color w:val="000000" w:themeColor="text1"/>
          <w:sz w:val="24"/>
          <w:highlight w:val="none"/>
          <w:lang w:val="zh-CN"/>
          <w14:textFill>
            <w14:solidFill>
              <w14:schemeClr w14:val="tx1"/>
            </w14:solidFill>
          </w14:textFill>
        </w:rPr>
        <w:t>合同总价包括：</w:t>
      </w:r>
      <w:r>
        <w:rPr>
          <w:rFonts w:hint="eastAsia" w:ascii="宋体" w:hAnsi="宋体" w:eastAsia="宋体" w:cs="宋体"/>
          <w:sz w:val="24"/>
          <w:szCs w:val="24"/>
          <w:highlight w:val="none"/>
          <w:lang w:val="en-US" w:eastAsia="zh-CN"/>
        </w:rPr>
        <w:t>产品费、系统维护费、系统集成费、安装费、调试及维护费、验收费、手续费、包装费、运输费、保险费、售前、售中、售后服务费、税金及不可预见费等全部费用。</w:t>
      </w:r>
    </w:p>
    <w:p w14:paraId="1753B426">
      <w:pPr>
        <w:pageBreakBefore w:val="0"/>
        <w:kinsoku/>
        <w:overflowPunct/>
        <w:topLinePunct w:val="0"/>
        <w:bidi w:val="0"/>
        <w:spacing w:line="360" w:lineRule="auto"/>
        <w:ind w:firstLine="463" w:firstLineChars="193"/>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3.</w:t>
      </w:r>
      <w:r>
        <w:rPr>
          <w:rFonts w:hint="eastAsia" w:eastAsia="宋体" w:cs="宋体"/>
          <w:color w:val="000000" w:themeColor="text1"/>
          <w:sz w:val="24"/>
          <w:szCs w:val="24"/>
          <w:highlight w:val="none"/>
          <w:lang w:val="zh-CN"/>
          <w14:textFill>
            <w14:solidFill>
              <w14:schemeClr w14:val="tx1"/>
            </w14:solidFill>
          </w14:textFill>
        </w:rPr>
        <w:t>“</w:t>
      </w:r>
      <w:r>
        <w:rPr>
          <w:rFonts w:hint="eastAsia" w:ascii="宋体" w:hAnsi="宋体" w:eastAsia="宋体" w:cs="宋体"/>
          <w:color w:val="000000" w:themeColor="text1"/>
          <w:sz w:val="24"/>
          <w:szCs w:val="24"/>
          <w:highlight w:val="none"/>
          <w:lang w:val="zh-CN"/>
          <w14:textFill>
            <w14:solidFill>
              <w14:schemeClr w14:val="tx1"/>
            </w14:solidFill>
          </w14:textFill>
        </w:rPr>
        <w:t>交货</w:t>
      </w:r>
      <w:r>
        <w:rPr>
          <w:rFonts w:hint="eastAsia" w:eastAsia="宋体" w:cs="宋体"/>
          <w:color w:val="000000" w:themeColor="text1"/>
          <w:sz w:val="24"/>
          <w:szCs w:val="24"/>
          <w:highlight w:val="none"/>
          <w:lang w:val="en-US" w:eastAsia="zh-CN"/>
          <w14:textFill>
            <w14:solidFill>
              <w14:schemeClr w14:val="tx1"/>
            </w14:solidFill>
          </w14:textFill>
        </w:rPr>
        <w:t>期</w:t>
      </w:r>
      <w:r>
        <w:rPr>
          <w:rFonts w:hint="eastAsia" w:ascii="宋体" w:hAnsi="宋体" w:eastAsia="宋体" w:cs="宋体"/>
          <w:color w:val="000000" w:themeColor="text1"/>
          <w:sz w:val="24"/>
          <w:szCs w:val="24"/>
          <w:highlight w:val="none"/>
          <w:lang w:val="zh-CN"/>
          <w14:textFill>
            <w14:solidFill>
              <w14:schemeClr w14:val="tx1"/>
            </w14:solidFill>
          </w14:textFill>
        </w:rPr>
        <w:t>”是指产品能够交付使用的具体时间</w:t>
      </w:r>
      <w:r>
        <w:rPr>
          <w:rFonts w:hint="eastAsia" w:eastAsia="宋体" w:cs="宋体"/>
          <w:color w:val="000000" w:themeColor="text1"/>
          <w:sz w:val="24"/>
          <w:szCs w:val="24"/>
          <w:highlight w:val="none"/>
          <w:lang w:val="zh-CN"/>
          <w14:textFill>
            <w14:solidFill>
              <w14:schemeClr w14:val="tx1"/>
            </w14:solidFill>
          </w14:textFill>
        </w:rPr>
        <w:t>。</w:t>
      </w:r>
    </w:p>
    <w:p w14:paraId="7BA1C4EF">
      <w:pPr>
        <w:spacing w:line="360" w:lineRule="auto"/>
        <w:rPr>
          <w:rFonts w:hint="eastAsia" w:eastAsia="宋体"/>
          <w:b/>
          <w:bCs/>
          <w:color w:val="auto"/>
          <w:sz w:val="20"/>
          <w:highlight w:val="none"/>
          <w:lang w:val="zh-CN"/>
        </w:rPr>
      </w:pPr>
    </w:p>
    <w:p w14:paraId="7944FEDF">
      <w:pPr>
        <w:pStyle w:val="23"/>
        <w:rPr>
          <w:rFonts w:hint="eastAsia"/>
          <w:color w:val="auto"/>
          <w:highlight w:val="none"/>
          <w:lang w:val="zh-CN"/>
        </w:rPr>
      </w:pPr>
    </w:p>
    <w:p w14:paraId="1AC629AC">
      <w:pPr>
        <w:spacing w:line="360" w:lineRule="auto"/>
        <w:rPr>
          <w:rFonts w:hint="eastAsia" w:eastAsia="宋体"/>
          <w:b/>
          <w:bCs/>
          <w:color w:val="auto"/>
          <w:sz w:val="20"/>
          <w:highlight w:val="none"/>
          <w:lang w:val="zh-CN"/>
        </w:rPr>
      </w:pPr>
    </w:p>
    <w:p w14:paraId="6A02C782">
      <w:pPr>
        <w:spacing w:line="360" w:lineRule="auto"/>
        <w:ind w:firstLine="388" w:firstLineChars="193"/>
        <w:rPr>
          <w:rFonts w:hint="eastAsia" w:eastAsia="宋体"/>
          <w:b/>
          <w:bCs/>
          <w:color w:val="auto"/>
          <w:sz w:val="20"/>
          <w:szCs w:val="22"/>
          <w:highlight w:val="none"/>
          <w:lang w:val="zh-CN"/>
        </w:rPr>
      </w:pPr>
    </w:p>
    <w:p w14:paraId="241271CC">
      <w:pPr>
        <w:tabs>
          <w:tab w:val="left" w:pos="168"/>
        </w:tabs>
        <w:adjustRightInd w:val="0"/>
        <w:spacing w:line="360" w:lineRule="auto"/>
        <w:jc w:val="right"/>
        <w:textAlignment w:val="baseline"/>
        <w:rPr>
          <w:rFonts w:hint="eastAsia" w:eastAsia="宋体"/>
          <w:bCs/>
          <w:color w:val="auto"/>
          <w:sz w:val="24"/>
          <w:szCs w:val="28"/>
          <w:highlight w:val="none"/>
        </w:rPr>
      </w:pPr>
    </w:p>
    <w:p w14:paraId="0CBC08E3">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Cs/>
          <w:color w:val="auto"/>
          <w:sz w:val="24"/>
          <w:szCs w:val="28"/>
          <w:highlight w:val="none"/>
        </w:rPr>
        <w:t xml:space="preserve">       </w:t>
      </w:r>
      <w:bookmarkStart w:id="650" w:name="_Toc29567"/>
      <w:bookmarkStart w:id="651" w:name="_Toc7659"/>
      <w:bookmarkStart w:id="652" w:name="_Toc19365"/>
      <w:r>
        <w:rPr>
          <w:rFonts w:hint="eastAsia" w:eastAsia="宋体"/>
          <w:b/>
          <w:color w:val="auto"/>
          <w:sz w:val="24"/>
          <w:szCs w:val="28"/>
          <w:highlight w:val="none"/>
        </w:rPr>
        <w:t>供应商：                   （公章）</w:t>
      </w:r>
      <w:bookmarkEnd w:id="650"/>
      <w:bookmarkEnd w:id="651"/>
      <w:bookmarkEnd w:id="652"/>
    </w:p>
    <w:p w14:paraId="27276BD2">
      <w:pPr>
        <w:tabs>
          <w:tab w:val="left" w:pos="168"/>
        </w:tabs>
        <w:adjustRightInd w:val="0"/>
        <w:spacing w:line="360" w:lineRule="auto"/>
        <w:jc w:val="right"/>
        <w:textAlignment w:val="baseline"/>
        <w:outlineLvl w:val="1"/>
        <w:rPr>
          <w:rFonts w:hint="eastAsia" w:eastAsia="宋体"/>
          <w:b/>
          <w:color w:val="auto"/>
          <w:sz w:val="24"/>
          <w:szCs w:val="28"/>
          <w:highlight w:val="none"/>
        </w:rPr>
      </w:pPr>
      <w:r>
        <w:rPr>
          <w:rFonts w:hint="eastAsia" w:eastAsia="宋体"/>
          <w:b/>
          <w:color w:val="auto"/>
          <w:sz w:val="24"/>
          <w:szCs w:val="28"/>
          <w:highlight w:val="none"/>
        </w:rPr>
        <w:t xml:space="preserve">   </w:t>
      </w:r>
      <w:bookmarkStart w:id="653" w:name="_Toc18325"/>
      <w:bookmarkStart w:id="654" w:name="_Toc25662"/>
      <w:bookmarkStart w:id="655" w:name="_Toc16493"/>
      <w:r>
        <w:rPr>
          <w:rFonts w:hint="eastAsia" w:eastAsia="宋体"/>
          <w:b/>
          <w:color w:val="auto"/>
          <w:sz w:val="24"/>
          <w:szCs w:val="28"/>
          <w:highlight w:val="none"/>
        </w:rPr>
        <w:t>委托代理人或法定代表人：                 （签字或盖章）</w:t>
      </w:r>
      <w:bookmarkEnd w:id="653"/>
      <w:bookmarkEnd w:id="654"/>
      <w:bookmarkEnd w:id="655"/>
    </w:p>
    <w:p w14:paraId="476A9087">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656" w:name="_Toc8872"/>
      <w:bookmarkStart w:id="657" w:name="_Toc21364"/>
      <w:bookmarkStart w:id="658" w:name="_Toc8129"/>
      <w:r>
        <w:rPr>
          <w:rFonts w:hint="eastAsia" w:eastAsia="宋体"/>
          <w:b/>
          <w:color w:val="auto"/>
          <w:sz w:val="24"/>
          <w:szCs w:val="28"/>
          <w:highlight w:val="none"/>
        </w:rPr>
        <w:t>日期：          年   月   日</w:t>
      </w:r>
      <w:bookmarkEnd w:id="656"/>
      <w:bookmarkEnd w:id="657"/>
      <w:bookmarkEnd w:id="658"/>
    </w:p>
    <w:p w14:paraId="78A3839C">
      <w:pPr>
        <w:pStyle w:val="4"/>
        <w:numPr>
          <w:ilvl w:val="0"/>
          <w:numId w:val="0"/>
        </w:numPr>
        <w:tabs>
          <w:tab w:val="left" w:pos="425"/>
        </w:tabs>
        <w:spacing w:line="360" w:lineRule="auto"/>
        <w:ind w:left="709" w:hanging="709"/>
        <w:rPr>
          <w:rFonts w:hint="eastAsia" w:eastAsia="宋体" w:cs="宋体"/>
          <w:color w:val="auto"/>
          <w:highlight w:val="none"/>
          <w:lang w:val="zh-CN"/>
        </w:rPr>
      </w:pPr>
      <w:r>
        <w:rPr>
          <w:rFonts w:hint="eastAsia" w:eastAsia="宋体" w:cs="宋体"/>
          <w:bCs/>
          <w:color w:val="auto"/>
          <w:sz w:val="24"/>
          <w:szCs w:val="28"/>
          <w:highlight w:val="none"/>
        </w:rPr>
        <w:br w:type="page"/>
      </w:r>
      <w:bookmarkStart w:id="659" w:name="_Toc8570"/>
      <w:bookmarkStart w:id="660" w:name="_Toc16850"/>
      <w:bookmarkStart w:id="661" w:name="_Toc10118"/>
      <w:bookmarkStart w:id="662" w:name="_Toc26812"/>
      <w:bookmarkStart w:id="663" w:name="_Toc690"/>
      <w:bookmarkStart w:id="664" w:name="_Toc10252"/>
      <w:r>
        <w:rPr>
          <w:rFonts w:hint="eastAsia" w:eastAsia="宋体" w:cs="宋体"/>
          <w:b/>
          <w:color w:val="auto"/>
          <w:sz w:val="32"/>
          <w:highlight w:val="none"/>
          <w:lang w:val="zh-CN"/>
        </w:rPr>
        <w:t>格式1</w:t>
      </w:r>
      <w:r>
        <w:rPr>
          <w:rFonts w:hint="eastAsia" w:eastAsia="宋体" w:cs="宋体"/>
          <w:b/>
          <w:color w:val="auto"/>
          <w:sz w:val="32"/>
          <w:highlight w:val="none"/>
        </w:rPr>
        <w:t>4</w:t>
      </w:r>
      <w:r>
        <w:rPr>
          <w:rFonts w:hint="eastAsia" w:eastAsia="宋体" w:cs="宋体"/>
          <w:b/>
          <w:color w:val="auto"/>
          <w:sz w:val="32"/>
          <w:highlight w:val="none"/>
          <w:lang w:val="zh-CN"/>
        </w:rPr>
        <w:t>、分项报价表</w:t>
      </w:r>
      <w:bookmarkEnd w:id="659"/>
      <w:bookmarkEnd w:id="660"/>
      <w:bookmarkEnd w:id="661"/>
      <w:bookmarkEnd w:id="662"/>
      <w:bookmarkEnd w:id="663"/>
      <w:bookmarkEnd w:id="664"/>
    </w:p>
    <w:p w14:paraId="174E4208">
      <w:pPr>
        <w:autoSpaceDE w:val="0"/>
        <w:autoSpaceDN w:val="0"/>
        <w:spacing w:line="360" w:lineRule="auto"/>
        <w:jc w:val="center"/>
        <w:outlineLvl w:val="1"/>
        <w:rPr>
          <w:rFonts w:hint="eastAsia"/>
          <w:b/>
          <w:bCs/>
          <w:color w:val="auto"/>
          <w:sz w:val="36"/>
          <w:szCs w:val="36"/>
          <w:highlight w:val="none"/>
          <w:lang w:val="zh-CN"/>
        </w:rPr>
      </w:pPr>
      <w:bookmarkStart w:id="665" w:name="_Toc21208"/>
      <w:bookmarkStart w:id="666" w:name="_Toc29721"/>
      <w:bookmarkStart w:id="667" w:name="_Toc16065"/>
      <w:r>
        <w:rPr>
          <w:rFonts w:hint="eastAsia"/>
          <w:b/>
          <w:bCs/>
          <w:color w:val="auto"/>
          <w:sz w:val="28"/>
          <w:szCs w:val="28"/>
          <w:highlight w:val="none"/>
          <w:lang w:val="zh-CN"/>
        </w:rPr>
        <w:t>分项报价表</w:t>
      </w:r>
      <w:bookmarkEnd w:id="665"/>
      <w:bookmarkEnd w:id="666"/>
      <w:bookmarkEnd w:id="667"/>
    </w:p>
    <w:p w14:paraId="6BD70AEA">
      <w:pPr>
        <w:autoSpaceDE w:val="0"/>
        <w:autoSpaceDN w:val="0"/>
        <w:spacing w:line="360" w:lineRule="auto"/>
        <w:rPr>
          <w:rFonts w:hint="eastAsia"/>
          <w:b/>
          <w:bCs/>
          <w:color w:val="auto"/>
          <w:sz w:val="28"/>
          <w:szCs w:val="28"/>
          <w:highlight w:val="none"/>
          <w:lang w:val="zh-CN"/>
        </w:rPr>
      </w:pPr>
    </w:p>
    <w:p w14:paraId="30C91878">
      <w:pPr>
        <w:autoSpaceDE w:val="0"/>
        <w:autoSpaceDN w:val="0"/>
        <w:spacing w:line="360" w:lineRule="auto"/>
        <w:rPr>
          <w:rFonts w:hint="eastAsia"/>
          <w:color w:val="auto"/>
          <w:highlight w:val="none"/>
          <w:lang w:val="zh-CN"/>
        </w:rPr>
      </w:pPr>
      <w:r>
        <w:rPr>
          <w:rFonts w:hint="eastAsia"/>
          <w:b/>
          <w:bCs/>
          <w:color w:val="auto"/>
          <w:highlight w:val="none"/>
          <w:lang w:val="zh-CN"/>
        </w:rPr>
        <w:t>项目名称</w:t>
      </w:r>
      <w:r>
        <w:rPr>
          <w:rFonts w:hint="eastAsia"/>
          <w:b/>
          <w:bCs/>
          <w:color w:val="auto"/>
          <w:highlight w:val="none"/>
        </w:rPr>
        <w:t xml:space="preserve">：                                                  </w:t>
      </w:r>
    </w:p>
    <w:tbl>
      <w:tblPr>
        <w:tblStyle w:val="24"/>
        <w:tblpPr w:leftFromText="180" w:rightFromText="180" w:vertAnchor="text" w:horzAnchor="page" w:tblpX="972" w:tblpY="118"/>
        <w:tblOverlap w:val="never"/>
        <w:tblW w:w="10236" w:type="dxa"/>
        <w:tblInd w:w="0" w:type="dxa"/>
        <w:tblLayout w:type="fixed"/>
        <w:tblCellMar>
          <w:top w:w="0" w:type="dxa"/>
          <w:left w:w="108" w:type="dxa"/>
          <w:bottom w:w="0" w:type="dxa"/>
          <w:right w:w="108" w:type="dxa"/>
        </w:tblCellMar>
      </w:tblPr>
      <w:tblGrid>
        <w:gridCol w:w="658"/>
        <w:gridCol w:w="1233"/>
        <w:gridCol w:w="13"/>
        <w:gridCol w:w="893"/>
        <w:gridCol w:w="1358"/>
        <w:gridCol w:w="1176"/>
        <w:gridCol w:w="1569"/>
        <w:gridCol w:w="1266"/>
        <w:gridCol w:w="1035"/>
        <w:gridCol w:w="1035"/>
      </w:tblGrid>
      <w:tr w14:paraId="15660E45">
        <w:tblPrEx>
          <w:tblCellMar>
            <w:top w:w="0" w:type="dxa"/>
            <w:left w:w="108" w:type="dxa"/>
            <w:bottom w:w="0" w:type="dxa"/>
            <w:right w:w="108" w:type="dxa"/>
          </w:tblCellMar>
        </w:tblPrEx>
        <w:trPr>
          <w:trHeight w:val="1082" w:hRule="atLeast"/>
        </w:trPr>
        <w:tc>
          <w:tcPr>
            <w:tcW w:w="658" w:type="dxa"/>
            <w:tcBorders>
              <w:top w:val="single" w:color="auto" w:sz="8" w:space="0"/>
              <w:left w:val="single" w:color="auto" w:sz="8" w:space="0"/>
              <w:bottom w:val="single" w:color="auto" w:sz="8" w:space="0"/>
              <w:right w:val="single" w:color="auto" w:sz="8" w:space="0"/>
            </w:tcBorders>
            <w:noWrap w:val="0"/>
            <w:vAlign w:val="center"/>
          </w:tcPr>
          <w:p w14:paraId="02D02CD4">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序号</w:t>
            </w:r>
          </w:p>
        </w:tc>
        <w:tc>
          <w:tcPr>
            <w:tcW w:w="1233" w:type="dxa"/>
            <w:tcBorders>
              <w:top w:val="single" w:color="auto" w:sz="8" w:space="0"/>
              <w:left w:val="nil"/>
              <w:bottom w:val="single" w:color="auto" w:sz="8" w:space="0"/>
              <w:right w:val="single" w:color="auto" w:sz="8" w:space="0"/>
            </w:tcBorders>
            <w:noWrap w:val="0"/>
            <w:vAlign w:val="center"/>
          </w:tcPr>
          <w:p w14:paraId="71C05C31">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产品名称</w:t>
            </w:r>
          </w:p>
        </w:tc>
        <w:tc>
          <w:tcPr>
            <w:tcW w:w="906" w:type="dxa"/>
            <w:gridSpan w:val="2"/>
            <w:tcBorders>
              <w:top w:val="single" w:color="auto" w:sz="8" w:space="0"/>
              <w:left w:val="nil"/>
              <w:bottom w:val="single" w:color="auto" w:sz="8" w:space="0"/>
              <w:right w:val="single" w:color="auto" w:sz="8" w:space="0"/>
            </w:tcBorders>
            <w:noWrap w:val="0"/>
            <w:vAlign w:val="center"/>
          </w:tcPr>
          <w:p w14:paraId="4E56F614">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品牌</w:t>
            </w:r>
          </w:p>
        </w:tc>
        <w:tc>
          <w:tcPr>
            <w:tcW w:w="1358" w:type="dxa"/>
            <w:tcBorders>
              <w:top w:val="single" w:color="auto" w:sz="8" w:space="0"/>
              <w:left w:val="nil"/>
              <w:bottom w:val="single" w:color="auto" w:sz="8" w:space="0"/>
              <w:right w:val="single" w:color="auto" w:sz="8" w:space="0"/>
            </w:tcBorders>
            <w:noWrap w:val="0"/>
            <w:vAlign w:val="center"/>
          </w:tcPr>
          <w:p w14:paraId="27AD10C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规格型号</w:t>
            </w:r>
          </w:p>
        </w:tc>
        <w:tc>
          <w:tcPr>
            <w:tcW w:w="1176" w:type="dxa"/>
            <w:tcBorders>
              <w:top w:val="single" w:color="auto" w:sz="8" w:space="0"/>
              <w:left w:val="nil"/>
              <w:bottom w:val="single" w:color="auto" w:sz="8" w:space="0"/>
              <w:right w:val="single" w:color="auto" w:sz="8" w:space="0"/>
            </w:tcBorders>
            <w:noWrap w:val="0"/>
            <w:vAlign w:val="center"/>
          </w:tcPr>
          <w:p w14:paraId="15493467">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生产厂家</w:t>
            </w:r>
          </w:p>
        </w:tc>
        <w:tc>
          <w:tcPr>
            <w:tcW w:w="1569" w:type="dxa"/>
            <w:tcBorders>
              <w:top w:val="single" w:color="auto" w:sz="8" w:space="0"/>
              <w:left w:val="nil"/>
              <w:bottom w:val="single" w:color="auto" w:sz="8" w:space="0"/>
              <w:right w:val="single" w:color="auto" w:sz="8" w:space="0"/>
            </w:tcBorders>
            <w:noWrap w:val="0"/>
            <w:vAlign w:val="center"/>
          </w:tcPr>
          <w:p w14:paraId="73FBFAD9">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数量及单位</w:t>
            </w:r>
          </w:p>
        </w:tc>
        <w:tc>
          <w:tcPr>
            <w:tcW w:w="1266" w:type="dxa"/>
            <w:tcBorders>
              <w:top w:val="single" w:color="auto" w:sz="8" w:space="0"/>
              <w:left w:val="nil"/>
              <w:bottom w:val="single" w:color="auto" w:sz="8" w:space="0"/>
              <w:right w:val="single" w:color="auto" w:sz="8" w:space="0"/>
            </w:tcBorders>
            <w:noWrap w:val="0"/>
            <w:vAlign w:val="center"/>
          </w:tcPr>
          <w:p w14:paraId="23A57B48">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单价</w:t>
            </w:r>
          </w:p>
        </w:tc>
        <w:tc>
          <w:tcPr>
            <w:tcW w:w="1035" w:type="dxa"/>
            <w:tcBorders>
              <w:top w:val="single" w:color="auto" w:sz="8" w:space="0"/>
              <w:left w:val="nil"/>
              <w:bottom w:val="single" w:color="auto" w:sz="8" w:space="0"/>
              <w:right w:val="single" w:color="auto" w:sz="8" w:space="0"/>
            </w:tcBorders>
            <w:noWrap w:val="0"/>
            <w:vAlign w:val="center"/>
          </w:tcPr>
          <w:p w14:paraId="351360B2">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合计</w:t>
            </w:r>
          </w:p>
        </w:tc>
        <w:tc>
          <w:tcPr>
            <w:tcW w:w="1035" w:type="dxa"/>
            <w:tcBorders>
              <w:top w:val="single" w:color="auto" w:sz="8" w:space="0"/>
              <w:left w:val="nil"/>
              <w:bottom w:val="single" w:color="auto" w:sz="8" w:space="0"/>
              <w:right w:val="single" w:color="auto" w:sz="8" w:space="0"/>
            </w:tcBorders>
            <w:noWrap w:val="0"/>
            <w:vAlign w:val="center"/>
          </w:tcPr>
          <w:p w14:paraId="0F1D4366">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en-US" w:eastAsia="zh-CN"/>
              </w:rPr>
              <w:t>备注</w:t>
            </w:r>
          </w:p>
        </w:tc>
      </w:tr>
      <w:tr w14:paraId="3F86E0EA">
        <w:tblPrEx>
          <w:tblCellMar>
            <w:top w:w="0" w:type="dxa"/>
            <w:left w:w="108" w:type="dxa"/>
            <w:bottom w:w="0" w:type="dxa"/>
            <w:right w:w="108" w:type="dxa"/>
          </w:tblCellMar>
        </w:tblPrEx>
        <w:trPr>
          <w:trHeight w:val="597" w:hRule="atLeast"/>
        </w:trPr>
        <w:tc>
          <w:tcPr>
            <w:tcW w:w="658" w:type="dxa"/>
            <w:tcBorders>
              <w:top w:val="nil"/>
              <w:left w:val="single" w:color="auto" w:sz="8" w:space="0"/>
              <w:bottom w:val="single" w:color="auto" w:sz="8" w:space="0"/>
              <w:right w:val="single" w:color="auto" w:sz="8" w:space="0"/>
            </w:tcBorders>
            <w:noWrap w:val="0"/>
            <w:vAlign w:val="center"/>
          </w:tcPr>
          <w:p w14:paraId="2080F38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w:t>
            </w:r>
          </w:p>
        </w:tc>
        <w:tc>
          <w:tcPr>
            <w:tcW w:w="1233" w:type="dxa"/>
            <w:tcBorders>
              <w:top w:val="nil"/>
              <w:left w:val="nil"/>
              <w:bottom w:val="single" w:color="auto" w:sz="8" w:space="0"/>
              <w:right w:val="single" w:color="auto" w:sz="8" w:space="0"/>
            </w:tcBorders>
            <w:noWrap w:val="0"/>
            <w:vAlign w:val="center"/>
          </w:tcPr>
          <w:p w14:paraId="4C711B9F">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906" w:type="dxa"/>
            <w:gridSpan w:val="2"/>
            <w:tcBorders>
              <w:top w:val="nil"/>
              <w:left w:val="nil"/>
              <w:bottom w:val="single" w:color="auto" w:sz="8" w:space="0"/>
              <w:right w:val="single" w:color="auto" w:sz="8" w:space="0"/>
            </w:tcBorders>
            <w:noWrap w:val="0"/>
            <w:vAlign w:val="center"/>
          </w:tcPr>
          <w:p w14:paraId="3DE86D0B">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58" w:type="dxa"/>
            <w:tcBorders>
              <w:top w:val="nil"/>
              <w:left w:val="nil"/>
              <w:bottom w:val="single" w:color="auto" w:sz="8" w:space="0"/>
              <w:right w:val="single" w:color="auto" w:sz="8" w:space="0"/>
            </w:tcBorders>
            <w:noWrap w:val="0"/>
            <w:vAlign w:val="center"/>
          </w:tcPr>
          <w:p w14:paraId="5F1516EF">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76" w:type="dxa"/>
            <w:tcBorders>
              <w:top w:val="nil"/>
              <w:left w:val="nil"/>
              <w:bottom w:val="single" w:color="auto" w:sz="8" w:space="0"/>
              <w:right w:val="single" w:color="auto" w:sz="8" w:space="0"/>
            </w:tcBorders>
            <w:noWrap w:val="0"/>
            <w:vAlign w:val="center"/>
          </w:tcPr>
          <w:p w14:paraId="1BE2E2BF">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69" w:type="dxa"/>
            <w:tcBorders>
              <w:top w:val="nil"/>
              <w:left w:val="nil"/>
              <w:bottom w:val="single" w:color="auto" w:sz="8" w:space="0"/>
              <w:right w:val="single" w:color="auto" w:sz="8" w:space="0"/>
            </w:tcBorders>
            <w:noWrap w:val="0"/>
            <w:vAlign w:val="center"/>
          </w:tcPr>
          <w:p w14:paraId="097EAAE6">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66" w:type="dxa"/>
            <w:tcBorders>
              <w:top w:val="nil"/>
              <w:left w:val="nil"/>
              <w:bottom w:val="single" w:color="auto" w:sz="8" w:space="0"/>
              <w:right w:val="single" w:color="auto" w:sz="8" w:space="0"/>
            </w:tcBorders>
            <w:noWrap w:val="0"/>
            <w:vAlign w:val="center"/>
          </w:tcPr>
          <w:p w14:paraId="3E4B3F64">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3FA1164A">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2CE35136">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05A6F9DD">
        <w:tblPrEx>
          <w:tblCellMar>
            <w:top w:w="0" w:type="dxa"/>
            <w:left w:w="108" w:type="dxa"/>
            <w:bottom w:w="0" w:type="dxa"/>
            <w:right w:w="108" w:type="dxa"/>
          </w:tblCellMar>
        </w:tblPrEx>
        <w:trPr>
          <w:trHeight w:val="707" w:hRule="atLeast"/>
        </w:trPr>
        <w:tc>
          <w:tcPr>
            <w:tcW w:w="658" w:type="dxa"/>
            <w:tcBorders>
              <w:top w:val="nil"/>
              <w:left w:val="single" w:color="auto" w:sz="8" w:space="0"/>
              <w:bottom w:val="single" w:color="auto" w:sz="8" w:space="0"/>
              <w:right w:val="single" w:color="auto" w:sz="8" w:space="0"/>
            </w:tcBorders>
            <w:noWrap w:val="0"/>
            <w:vAlign w:val="center"/>
          </w:tcPr>
          <w:p w14:paraId="7BEA06BC">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w:t>
            </w:r>
          </w:p>
        </w:tc>
        <w:tc>
          <w:tcPr>
            <w:tcW w:w="1233" w:type="dxa"/>
            <w:tcBorders>
              <w:top w:val="nil"/>
              <w:left w:val="nil"/>
              <w:bottom w:val="single" w:color="auto" w:sz="8" w:space="0"/>
              <w:right w:val="single" w:color="auto" w:sz="8" w:space="0"/>
            </w:tcBorders>
            <w:noWrap w:val="0"/>
            <w:vAlign w:val="center"/>
          </w:tcPr>
          <w:p w14:paraId="7200FEAB">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906" w:type="dxa"/>
            <w:gridSpan w:val="2"/>
            <w:tcBorders>
              <w:top w:val="nil"/>
              <w:left w:val="nil"/>
              <w:bottom w:val="single" w:color="auto" w:sz="8" w:space="0"/>
              <w:right w:val="single" w:color="auto" w:sz="8" w:space="0"/>
            </w:tcBorders>
            <w:noWrap w:val="0"/>
            <w:vAlign w:val="center"/>
          </w:tcPr>
          <w:p w14:paraId="09FAC0B3">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58" w:type="dxa"/>
            <w:tcBorders>
              <w:top w:val="nil"/>
              <w:left w:val="nil"/>
              <w:bottom w:val="single" w:color="auto" w:sz="8" w:space="0"/>
              <w:right w:val="single" w:color="auto" w:sz="8" w:space="0"/>
            </w:tcBorders>
            <w:noWrap w:val="0"/>
            <w:vAlign w:val="center"/>
          </w:tcPr>
          <w:p w14:paraId="3E9EBAC3">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76" w:type="dxa"/>
            <w:tcBorders>
              <w:top w:val="nil"/>
              <w:left w:val="nil"/>
              <w:bottom w:val="single" w:color="auto" w:sz="8" w:space="0"/>
              <w:right w:val="single" w:color="auto" w:sz="8" w:space="0"/>
            </w:tcBorders>
            <w:noWrap w:val="0"/>
            <w:vAlign w:val="center"/>
          </w:tcPr>
          <w:p w14:paraId="3A80C9DD">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69" w:type="dxa"/>
            <w:tcBorders>
              <w:top w:val="nil"/>
              <w:left w:val="nil"/>
              <w:bottom w:val="single" w:color="auto" w:sz="8" w:space="0"/>
              <w:right w:val="single" w:color="auto" w:sz="8" w:space="0"/>
            </w:tcBorders>
            <w:noWrap w:val="0"/>
            <w:vAlign w:val="center"/>
          </w:tcPr>
          <w:p w14:paraId="12A265B8">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66" w:type="dxa"/>
            <w:tcBorders>
              <w:top w:val="nil"/>
              <w:left w:val="nil"/>
              <w:bottom w:val="single" w:color="auto" w:sz="8" w:space="0"/>
              <w:right w:val="single" w:color="auto" w:sz="8" w:space="0"/>
            </w:tcBorders>
            <w:noWrap w:val="0"/>
            <w:vAlign w:val="center"/>
          </w:tcPr>
          <w:p w14:paraId="49461556">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108D67E3">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24F15AC3">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235664A9">
        <w:tblPrEx>
          <w:tblCellMar>
            <w:top w:w="0" w:type="dxa"/>
            <w:left w:w="108" w:type="dxa"/>
            <w:bottom w:w="0" w:type="dxa"/>
            <w:right w:w="108" w:type="dxa"/>
          </w:tblCellMar>
        </w:tblPrEx>
        <w:trPr>
          <w:trHeight w:val="683" w:hRule="atLeast"/>
        </w:trPr>
        <w:tc>
          <w:tcPr>
            <w:tcW w:w="658" w:type="dxa"/>
            <w:tcBorders>
              <w:top w:val="nil"/>
              <w:left w:val="single" w:color="auto" w:sz="8" w:space="0"/>
              <w:bottom w:val="single" w:color="auto" w:sz="8" w:space="0"/>
              <w:right w:val="single" w:color="auto" w:sz="8" w:space="0"/>
            </w:tcBorders>
            <w:noWrap w:val="0"/>
            <w:vAlign w:val="center"/>
          </w:tcPr>
          <w:p w14:paraId="02C41DD2">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w:t>
            </w:r>
          </w:p>
        </w:tc>
        <w:tc>
          <w:tcPr>
            <w:tcW w:w="1233" w:type="dxa"/>
            <w:tcBorders>
              <w:top w:val="nil"/>
              <w:left w:val="nil"/>
              <w:bottom w:val="single" w:color="auto" w:sz="8" w:space="0"/>
              <w:right w:val="single" w:color="auto" w:sz="8" w:space="0"/>
            </w:tcBorders>
            <w:noWrap w:val="0"/>
            <w:vAlign w:val="center"/>
          </w:tcPr>
          <w:p w14:paraId="2D0AEF99">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906" w:type="dxa"/>
            <w:gridSpan w:val="2"/>
            <w:tcBorders>
              <w:top w:val="nil"/>
              <w:left w:val="nil"/>
              <w:bottom w:val="single" w:color="auto" w:sz="8" w:space="0"/>
              <w:right w:val="single" w:color="auto" w:sz="8" w:space="0"/>
            </w:tcBorders>
            <w:noWrap w:val="0"/>
            <w:vAlign w:val="center"/>
          </w:tcPr>
          <w:p w14:paraId="22D3A6BD">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58" w:type="dxa"/>
            <w:tcBorders>
              <w:top w:val="nil"/>
              <w:left w:val="nil"/>
              <w:bottom w:val="single" w:color="auto" w:sz="8" w:space="0"/>
              <w:right w:val="single" w:color="auto" w:sz="8" w:space="0"/>
            </w:tcBorders>
            <w:noWrap w:val="0"/>
            <w:vAlign w:val="center"/>
          </w:tcPr>
          <w:p w14:paraId="3862BCEA">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76" w:type="dxa"/>
            <w:tcBorders>
              <w:top w:val="nil"/>
              <w:left w:val="nil"/>
              <w:bottom w:val="single" w:color="auto" w:sz="8" w:space="0"/>
              <w:right w:val="single" w:color="auto" w:sz="8" w:space="0"/>
            </w:tcBorders>
            <w:noWrap w:val="0"/>
            <w:vAlign w:val="center"/>
          </w:tcPr>
          <w:p w14:paraId="26F8F189">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69" w:type="dxa"/>
            <w:tcBorders>
              <w:top w:val="nil"/>
              <w:left w:val="nil"/>
              <w:bottom w:val="single" w:color="auto" w:sz="8" w:space="0"/>
              <w:right w:val="single" w:color="auto" w:sz="8" w:space="0"/>
            </w:tcBorders>
            <w:noWrap w:val="0"/>
            <w:vAlign w:val="center"/>
          </w:tcPr>
          <w:p w14:paraId="6FB98592">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66" w:type="dxa"/>
            <w:tcBorders>
              <w:top w:val="nil"/>
              <w:left w:val="nil"/>
              <w:bottom w:val="single" w:color="auto" w:sz="8" w:space="0"/>
              <w:right w:val="single" w:color="auto" w:sz="8" w:space="0"/>
            </w:tcBorders>
            <w:noWrap w:val="0"/>
            <w:vAlign w:val="center"/>
          </w:tcPr>
          <w:p w14:paraId="63A5ED18">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50CA89F8">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146524CF">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05DE5DF6">
        <w:tblPrEx>
          <w:tblCellMar>
            <w:top w:w="0" w:type="dxa"/>
            <w:left w:w="108" w:type="dxa"/>
            <w:bottom w:w="0" w:type="dxa"/>
            <w:right w:w="108" w:type="dxa"/>
          </w:tblCellMar>
        </w:tblPrEx>
        <w:trPr>
          <w:trHeight w:val="692" w:hRule="atLeast"/>
        </w:trPr>
        <w:tc>
          <w:tcPr>
            <w:tcW w:w="658" w:type="dxa"/>
            <w:tcBorders>
              <w:top w:val="nil"/>
              <w:left w:val="single" w:color="auto" w:sz="8" w:space="0"/>
              <w:bottom w:val="single" w:color="auto" w:sz="8" w:space="0"/>
              <w:right w:val="single" w:color="auto" w:sz="8" w:space="0"/>
            </w:tcBorders>
            <w:noWrap w:val="0"/>
            <w:vAlign w:val="center"/>
          </w:tcPr>
          <w:p w14:paraId="5A90F918">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p>
        </w:tc>
        <w:tc>
          <w:tcPr>
            <w:tcW w:w="1233" w:type="dxa"/>
            <w:tcBorders>
              <w:top w:val="nil"/>
              <w:left w:val="nil"/>
              <w:bottom w:val="single" w:color="auto" w:sz="8" w:space="0"/>
              <w:right w:val="single" w:color="auto" w:sz="8" w:space="0"/>
            </w:tcBorders>
            <w:noWrap w:val="0"/>
            <w:vAlign w:val="center"/>
          </w:tcPr>
          <w:p w14:paraId="2110991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906" w:type="dxa"/>
            <w:gridSpan w:val="2"/>
            <w:tcBorders>
              <w:top w:val="nil"/>
              <w:left w:val="nil"/>
              <w:bottom w:val="single" w:color="auto" w:sz="8" w:space="0"/>
              <w:right w:val="single" w:color="auto" w:sz="8" w:space="0"/>
            </w:tcBorders>
            <w:noWrap w:val="0"/>
            <w:vAlign w:val="center"/>
          </w:tcPr>
          <w:p w14:paraId="25B6AD21">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58" w:type="dxa"/>
            <w:tcBorders>
              <w:top w:val="nil"/>
              <w:left w:val="nil"/>
              <w:bottom w:val="single" w:color="auto" w:sz="8" w:space="0"/>
              <w:right w:val="single" w:color="auto" w:sz="8" w:space="0"/>
            </w:tcBorders>
            <w:noWrap w:val="0"/>
            <w:vAlign w:val="center"/>
          </w:tcPr>
          <w:p w14:paraId="68F2D484">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76" w:type="dxa"/>
            <w:tcBorders>
              <w:top w:val="nil"/>
              <w:left w:val="nil"/>
              <w:bottom w:val="single" w:color="auto" w:sz="8" w:space="0"/>
              <w:right w:val="single" w:color="auto" w:sz="8" w:space="0"/>
            </w:tcBorders>
            <w:noWrap w:val="0"/>
            <w:vAlign w:val="center"/>
          </w:tcPr>
          <w:p w14:paraId="11549B2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69" w:type="dxa"/>
            <w:tcBorders>
              <w:top w:val="nil"/>
              <w:left w:val="nil"/>
              <w:bottom w:val="single" w:color="auto" w:sz="8" w:space="0"/>
              <w:right w:val="single" w:color="auto" w:sz="8" w:space="0"/>
            </w:tcBorders>
            <w:noWrap w:val="0"/>
            <w:vAlign w:val="center"/>
          </w:tcPr>
          <w:p w14:paraId="1C76E0DA">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66" w:type="dxa"/>
            <w:tcBorders>
              <w:top w:val="nil"/>
              <w:left w:val="nil"/>
              <w:bottom w:val="single" w:color="auto" w:sz="8" w:space="0"/>
              <w:right w:val="single" w:color="auto" w:sz="8" w:space="0"/>
            </w:tcBorders>
            <w:noWrap w:val="0"/>
            <w:vAlign w:val="center"/>
          </w:tcPr>
          <w:p w14:paraId="0EFD5F9A">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66829F5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2D34C33F">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60CE4F15">
        <w:tblPrEx>
          <w:tblCellMar>
            <w:top w:w="0" w:type="dxa"/>
            <w:left w:w="108" w:type="dxa"/>
            <w:bottom w:w="0" w:type="dxa"/>
            <w:right w:w="108" w:type="dxa"/>
          </w:tblCellMar>
        </w:tblPrEx>
        <w:trPr>
          <w:trHeight w:val="702" w:hRule="atLeast"/>
        </w:trPr>
        <w:tc>
          <w:tcPr>
            <w:tcW w:w="8166" w:type="dxa"/>
            <w:gridSpan w:val="8"/>
            <w:tcBorders>
              <w:top w:val="nil"/>
              <w:left w:val="single" w:color="auto" w:sz="8" w:space="0"/>
              <w:bottom w:val="single" w:color="auto" w:sz="8" w:space="0"/>
              <w:right w:val="single" w:color="auto" w:sz="8" w:space="0"/>
            </w:tcBorders>
            <w:noWrap w:val="0"/>
            <w:vAlign w:val="center"/>
          </w:tcPr>
          <w:p w14:paraId="3A33052D">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合计</w:t>
            </w:r>
          </w:p>
        </w:tc>
        <w:tc>
          <w:tcPr>
            <w:tcW w:w="1035" w:type="dxa"/>
            <w:tcBorders>
              <w:top w:val="nil"/>
              <w:left w:val="nil"/>
              <w:bottom w:val="single" w:color="auto" w:sz="8" w:space="0"/>
              <w:right w:val="single" w:color="auto" w:sz="8" w:space="0"/>
            </w:tcBorders>
            <w:noWrap w:val="0"/>
            <w:vAlign w:val="center"/>
          </w:tcPr>
          <w:p w14:paraId="461E121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35" w:type="dxa"/>
            <w:tcBorders>
              <w:top w:val="nil"/>
              <w:left w:val="nil"/>
              <w:bottom w:val="single" w:color="auto" w:sz="8" w:space="0"/>
              <w:right w:val="single" w:color="auto" w:sz="8" w:space="0"/>
            </w:tcBorders>
            <w:noWrap w:val="0"/>
            <w:vAlign w:val="center"/>
          </w:tcPr>
          <w:p w14:paraId="19061D91">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74F9753B">
        <w:tblPrEx>
          <w:tblCellMar>
            <w:top w:w="0" w:type="dxa"/>
            <w:left w:w="108" w:type="dxa"/>
            <w:bottom w:w="0" w:type="dxa"/>
            <w:right w:w="108" w:type="dxa"/>
          </w:tblCellMar>
        </w:tblPrEx>
        <w:trPr>
          <w:trHeight w:val="939" w:hRule="atLeast"/>
        </w:trPr>
        <w:tc>
          <w:tcPr>
            <w:tcW w:w="10236" w:type="dxa"/>
            <w:gridSpan w:val="10"/>
            <w:tcBorders>
              <w:top w:val="single" w:color="auto" w:sz="8" w:space="0"/>
              <w:left w:val="single" w:color="auto" w:sz="8" w:space="0"/>
              <w:bottom w:val="single" w:color="auto" w:sz="8" w:space="0"/>
              <w:right w:val="single" w:color="auto" w:sz="8" w:space="0"/>
            </w:tcBorders>
            <w:noWrap w:val="0"/>
            <w:vAlign w:val="center"/>
          </w:tcPr>
          <w:p w14:paraId="735EFBAA">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优惠承诺及其他：</w:t>
            </w:r>
          </w:p>
          <w:p w14:paraId="151A8B36">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p w14:paraId="558F8D0E">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348ED310">
        <w:tblPrEx>
          <w:tblCellMar>
            <w:top w:w="0" w:type="dxa"/>
            <w:left w:w="108" w:type="dxa"/>
            <w:bottom w:w="0" w:type="dxa"/>
            <w:right w:w="108" w:type="dxa"/>
          </w:tblCellMar>
        </w:tblPrEx>
        <w:trPr>
          <w:trHeight w:val="1328" w:hRule="atLeast"/>
        </w:trPr>
        <w:tc>
          <w:tcPr>
            <w:tcW w:w="1904" w:type="dxa"/>
            <w:gridSpan w:val="3"/>
            <w:tcBorders>
              <w:top w:val="single" w:color="auto" w:sz="8" w:space="0"/>
              <w:left w:val="single" w:color="auto" w:sz="8" w:space="0"/>
              <w:bottom w:val="single" w:color="auto" w:sz="8" w:space="0"/>
              <w:right w:val="single" w:color="000000" w:sz="8" w:space="0"/>
            </w:tcBorders>
            <w:noWrap w:val="0"/>
            <w:vAlign w:val="center"/>
          </w:tcPr>
          <w:p w14:paraId="052B32CF">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磋商总价</w:t>
            </w:r>
          </w:p>
        </w:tc>
        <w:tc>
          <w:tcPr>
            <w:tcW w:w="8332" w:type="dxa"/>
            <w:gridSpan w:val="7"/>
            <w:tcBorders>
              <w:top w:val="single" w:color="auto" w:sz="8" w:space="0"/>
              <w:left w:val="nil"/>
              <w:bottom w:val="single" w:color="auto" w:sz="8" w:space="0"/>
              <w:right w:val="single" w:color="000000" w:sz="8" w:space="0"/>
            </w:tcBorders>
            <w:noWrap w:val="0"/>
            <w:vAlign w:val="center"/>
          </w:tcPr>
          <w:p w14:paraId="68293016">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大写：</w:t>
            </w:r>
          </w:p>
          <w:p w14:paraId="40D4D951">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p w14:paraId="0A5F4404">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小写：</w:t>
            </w:r>
          </w:p>
        </w:tc>
      </w:tr>
    </w:tbl>
    <w:p w14:paraId="0C927BC9">
      <w:pPr>
        <w:adjustRightInd w:val="0"/>
        <w:ind w:firstLine="480"/>
        <w:jc w:val="left"/>
        <w:textAlignment w:val="baseline"/>
        <w:rPr>
          <w:rFonts w:hint="eastAsia" w:eastAsia="宋体"/>
          <w:color w:val="auto"/>
          <w:sz w:val="24"/>
          <w:szCs w:val="24"/>
          <w:highlight w:val="none"/>
          <w:lang w:val="zh-CN"/>
        </w:rPr>
      </w:pPr>
      <w:r>
        <w:rPr>
          <w:rFonts w:hint="eastAsia" w:eastAsia="宋体"/>
          <w:color w:val="auto"/>
          <w:sz w:val="24"/>
          <w:szCs w:val="24"/>
          <w:highlight w:val="none"/>
          <w:lang w:val="zh-CN"/>
        </w:rPr>
        <w:t>注：1.本表应依照采购需求中的服务项目序号按顺序逐项填写，不得遗漏，否则，按无效投标处理。</w:t>
      </w:r>
    </w:p>
    <w:p w14:paraId="3E3337C7">
      <w:pPr>
        <w:adjustRightInd w:val="0"/>
        <w:ind w:firstLine="480"/>
        <w:jc w:val="left"/>
        <w:textAlignment w:val="baseline"/>
        <w:rPr>
          <w:rFonts w:hint="eastAsia"/>
          <w:color w:val="auto"/>
          <w:highlight w:val="none"/>
        </w:rPr>
      </w:pPr>
      <w:r>
        <w:rPr>
          <w:rFonts w:hint="eastAsia" w:eastAsia="宋体"/>
          <w:color w:val="auto"/>
          <w:sz w:val="24"/>
          <w:szCs w:val="24"/>
          <w:highlight w:val="none"/>
          <w:lang w:val="zh-CN"/>
        </w:rPr>
        <w:t xml:space="preserve">    2.磋商报价不能有两个或两个以上的报价方案。</w:t>
      </w:r>
    </w:p>
    <w:p w14:paraId="659D1191">
      <w:pPr>
        <w:autoSpaceDE w:val="0"/>
        <w:autoSpaceDN w:val="0"/>
        <w:spacing w:line="360" w:lineRule="auto"/>
        <w:rPr>
          <w:rFonts w:hint="eastAsia" w:ascii="宋体" w:hAnsi="宋体" w:eastAsia="宋体" w:cs="宋体"/>
          <w:color w:val="auto"/>
          <w:sz w:val="24"/>
          <w:szCs w:val="24"/>
          <w:highlight w:val="none"/>
          <w:lang w:val="zh-CN"/>
        </w:rPr>
      </w:pPr>
    </w:p>
    <w:p w14:paraId="1C198B9A">
      <w:pPr>
        <w:autoSpaceDE w:val="0"/>
        <w:autoSpaceDN w:val="0"/>
        <w:spacing w:line="360" w:lineRule="auto"/>
        <w:rPr>
          <w:rFonts w:hint="eastAsia" w:ascii="宋体" w:hAnsi="宋体" w:eastAsia="宋体" w:cs="宋体"/>
          <w:color w:val="auto"/>
          <w:sz w:val="24"/>
          <w:szCs w:val="24"/>
          <w:highlight w:val="none"/>
          <w:lang w:val="zh-CN"/>
        </w:rPr>
      </w:pPr>
    </w:p>
    <w:p w14:paraId="6E7FF9AA">
      <w:pPr>
        <w:autoSpaceDE w:val="0"/>
        <w:autoSpaceDN w:val="0"/>
        <w:spacing w:line="360" w:lineRule="auto"/>
        <w:jc w:val="right"/>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 xml:space="preserve">供应商：           </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zh-CN"/>
        </w:rPr>
        <w:t xml:space="preserve">  （公章）</w:t>
      </w:r>
    </w:p>
    <w:p w14:paraId="01E9B172">
      <w:pPr>
        <w:autoSpaceDE w:val="0"/>
        <w:autoSpaceDN w:val="0"/>
        <w:spacing w:line="360" w:lineRule="auto"/>
        <w:jc w:val="right"/>
        <w:rPr>
          <w:rFonts w:hint="eastAsia" w:ascii="宋体" w:hAnsi="宋体" w:eastAsia="宋体" w:cs="宋体"/>
          <w:b/>
          <w:bCs/>
          <w:color w:val="auto"/>
          <w:sz w:val="24"/>
          <w:szCs w:val="24"/>
          <w:highlight w:val="none"/>
          <w:lang w:val="zh-CN"/>
        </w:rPr>
      </w:pPr>
      <w:r>
        <w:rPr>
          <w:rFonts w:hint="eastAsia" w:eastAsia="宋体"/>
          <w:b/>
          <w:color w:val="auto"/>
          <w:sz w:val="24"/>
          <w:szCs w:val="28"/>
          <w:highlight w:val="none"/>
        </w:rPr>
        <w:t xml:space="preserve"> 委托代理人或法定代表人：</w:t>
      </w:r>
      <w:r>
        <w:rPr>
          <w:rFonts w:hint="eastAsia" w:ascii="宋体" w:hAnsi="宋体" w:eastAsia="宋体" w:cs="宋体"/>
          <w:b/>
          <w:bCs/>
          <w:color w:val="auto"/>
          <w:sz w:val="24"/>
          <w:szCs w:val="24"/>
          <w:highlight w:val="none"/>
          <w:lang w:val="zh-CN"/>
        </w:rPr>
        <w:t xml:space="preserve">        （签字或盖章）</w:t>
      </w:r>
    </w:p>
    <w:p w14:paraId="3294194A">
      <w:pPr>
        <w:jc w:val="right"/>
        <w:rPr>
          <w:rFonts w:hint="eastAsia" w:ascii="宋体" w:hAnsi="宋体" w:eastAsia="宋体" w:cs="宋体"/>
          <w:b/>
          <w:bCs/>
          <w:color w:val="auto"/>
          <w:sz w:val="24"/>
          <w:szCs w:val="24"/>
          <w:highlight w:val="none"/>
          <w:lang w:val="zh-CN"/>
        </w:rPr>
      </w:pPr>
      <w:r>
        <w:rPr>
          <w:rFonts w:hint="eastAsia" w:ascii="宋体" w:hAnsi="宋体" w:eastAsia="宋体" w:cs="宋体"/>
          <w:b/>
          <w:bCs/>
          <w:color w:val="auto"/>
          <w:sz w:val="24"/>
          <w:szCs w:val="24"/>
          <w:highlight w:val="none"/>
          <w:lang w:val="zh-CN"/>
        </w:rPr>
        <w:t xml:space="preserve">年 </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zh-CN"/>
        </w:rPr>
        <w:t xml:space="preserve">  月  </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val="zh-CN"/>
        </w:rPr>
        <w:t xml:space="preserve"> 日</w:t>
      </w:r>
    </w:p>
    <w:p w14:paraId="0726D342">
      <w:pPr>
        <w:pStyle w:val="19"/>
        <w:spacing w:line="360" w:lineRule="auto"/>
        <w:rPr>
          <w:rFonts w:hint="eastAsia" w:ascii="宋体" w:hAnsi="宋体" w:eastAsia="宋体" w:cs="宋体"/>
          <w:color w:val="auto"/>
          <w:highlight w:val="none"/>
        </w:rPr>
      </w:pPr>
    </w:p>
    <w:p w14:paraId="196D6BA3">
      <w:pPr>
        <w:pStyle w:val="19"/>
        <w:spacing w:line="360" w:lineRule="auto"/>
        <w:rPr>
          <w:rFonts w:hint="eastAsia" w:ascii="宋体" w:hAnsi="宋体" w:eastAsia="宋体" w:cs="宋体"/>
          <w:color w:val="auto"/>
          <w:highlight w:val="none"/>
        </w:rPr>
      </w:pPr>
    </w:p>
    <w:p w14:paraId="22B41119">
      <w:pPr>
        <w:pStyle w:val="19"/>
        <w:spacing w:line="360" w:lineRule="auto"/>
        <w:rPr>
          <w:rFonts w:hint="default" w:ascii="宋体" w:hAnsi="宋体" w:eastAsia="宋体" w:cs="宋体"/>
          <w:b/>
          <w:color w:val="auto"/>
          <w:sz w:val="32"/>
          <w:szCs w:val="20"/>
          <w:highlight w:val="none"/>
          <w:lang w:val="en-US" w:eastAsia="zh-CN" w:bidi="ar-SA"/>
        </w:rPr>
      </w:pPr>
      <w:r>
        <w:rPr>
          <w:rFonts w:hint="eastAsia" w:ascii="宋体" w:hAnsi="宋体" w:eastAsia="宋体" w:cs="宋体"/>
          <w:b/>
          <w:color w:val="auto"/>
          <w:sz w:val="32"/>
          <w:szCs w:val="20"/>
          <w:highlight w:val="none"/>
          <w:lang w:val="en-US" w:eastAsia="zh-CN" w:bidi="ar-SA"/>
        </w:rPr>
        <w:t>格式15、技术规格响应表</w:t>
      </w:r>
    </w:p>
    <w:p w14:paraId="4AEA68B0">
      <w:pPr>
        <w:jc w:val="center"/>
        <w:rPr>
          <w:rFonts w:eastAsia="宋体"/>
          <w:b/>
          <w:color w:val="auto"/>
          <w:sz w:val="32"/>
          <w:szCs w:val="30"/>
          <w:lang w:val="zh-CN"/>
        </w:rPr>
      </w:pPr>
      <w:r>
        <w:rPr>
          <w:rFonts w:hint="eastAsia" w:eastAsia="宋体"/>
          <w:b/>
          <w:color w:val="auto"/>
          <w:sz w:val="32"/>
          <w:szCs w:val="30"/>
          <w:lang w:val="zh-CN"/>
        </w:rPr>
        <w:t>技术规格响应表</w:t>
      </w:r>
    </w:p>
    <w:p w14:paraId="2ABA0D45">
      <w:pPr>
        <w:pageBreakBefore w:val="0"/>
        <w:kinsoku/>
        <w:overflowPunct/>
        <w:topLinePunct w:val="0"/>
        <w:autoSpaceDE w:val="0"/>
        <w:autoSpaceDN w:val="0"/>
        <w:bidi w:val="0"/>
        <w:spacing w:line="360" w:lineRule="auto"/>
        <w:rPr>
          <w:rFonts w:hint="eastAsia" w:ascii="宋体" w:hAnsi="宋体" w:eastAsia="宋体" w:cs="宋体"/>
          <w:color w:val="auto"/>
          <w:sz w:val="30"/>
          <w:szCs w:val="30"/>
          <w:lang w:val="zh-CN"/>
        </w:rPr>
      </w:pPr>
    </w:p>
    <w:p w14:paraId="5D23CC5A">
      <w:pPr>
        <w:pageBreakBefore w:val="0"/>
        <w:kinsoku/>
        <w:overflowPunct/>
        <w:topLinePunct w:val="0"/>
        <w:autoSpaceDE w:val="0"/>
        <w:autoSpaceDN w:val="0"/>
        <w:bidi w:val="0"/>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zh-CN"/>
        </w:rPr>
        <w:t>供应商名称</w:t>
      </w:r>
      <w:r>
        <w:rPr>
          <w:rFonts w:hint="eastAsia" w:ascii="宋体" w:hAnsi="宋体" w:eastAsia="宋体" w:cs="宋体"/>
          <w:b/>
          <w:bCs/>
          <w:color w:val="auto"/>
          <w:sz w:val="24"/>
          <w:szCs w:val="24"/>
        </w:rPr>
        <w:t xml:space="preserve">：               </w:t>
      </w:r>
    </w:p>
    <w:p w14:paraId="16281897">
      <w:pPr>
        <w:pageBreakBefore w:val="0"/>
        <w:tabs>
          <w:tab w:val="left" w:pos="6205"/>
        </w:tabs>
        <w:kinsoku/>
        <w:overflowPunct/>
        <w:topLinePunct w:val="0"/>
        <w:autoSpaceDE w:val="0"/>
        <w:autoSpaceDN w:val="0"/>
        <w:bidi w:val="0"/>
        <w:spacing w:line="360" w:lineRule="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rPr>
        <w:t xml:space="preserve">采购项目编号 ：            </w:t>
      </w:r>
      <w:r>
        <w:rPr>
          <w:rFonts w:hint="eastAsia" w:eastAsia="宋体" w:cs="宋体"/>
          <w:b/>
          <w:bCs/>
          <w:color w:val="auto"/>
          <w:sz w:val="24"/>
          <w:szCs w:val="24"/>
          <w:lang w:eastAsia="zh-CN"/>
        </w:rPr>
        <w:tab/>
      </w:r>
      <w:r>
        <w:rPr>
          <w:rFonts w:hint="eastAsia" w:eastAsia="宋体" w:cs="宋体"/>
          <w:b/>
          <w:bCs/>
          <w:color w:val="auto"/>
          <w:sz w:val="24"/>
          <w:szCs w:val="24"/>
          <w:lang w:val="en-US" w:eastAsia="zh-CN"/>
        </w:rPr>
        <w:t>包号：</w:t>
      </w:r>
    </w:p>
    <w:tbl>
      <w:tblPr>
        <w:tblStyle w:val="24"/>
        <w:tblW w:w="8617" w:type="dxa"/>
        <w:jc w:val="center"/>
        <w:tblLayout w:type="fixed"/>
        <w:tblCellMar>
          <w:top w:w="0" w:type="dxa"/>
          <w:left w:w="28" w:type="dxa"/>
          <w:bottom w:w="0" w:type="dxa"/>
          <w:right w:w="28" w:type="dxa"/>
        </w:tblCellMar>
      </w:tblPr>
      <w:tblGrid>
        <w:gridCol w:w="616"/>
        <w:gridCol w:w="1233"/>
        <w:gridCol w:w="2378"/>
        <w:gridCol w:w="1247"/>
        <w:gridCol w:w="2467"/>
        <w:gridCol w:w="676"/>
      </w:tblGrid>
      <w:tr w14:paraId="6D41F00E">
        <w:tblPrEx>
          <w:tblCellMar>
            <w:top w:w="0" w:type="dxa"/>
            <w:left w:w="28" w:type="dxa"/>
            <w:bottom w:w="0" w:type="dxa"/>
            <w:right w:w="28" w:type="dxa"/>
          </w:tblCellMar>
        </w:tblPrEx>
        <w:trPr>
          <w:trHeight w:val="1" w:hRule="atLeast"/>
          <w:jc w:val="center"/>
        </w:trPr>
        <w:tc>
          <w:tcPr>
            <w:tcW w:w="616" w:type="dxa"/>
            <w:tcBorders>
              <w:top w:val="single" w:color="000000" w:sz="6" w:space="0"/>
              <w:left w:val="single" w:color="000000" w:sz="6" w:space="0"/>
              <w:bottom w:val="single" w:color="000000" w:sz="6" w:space="0"/>
              <w:right w:val="single" w:color="000000" w:sz="6" w:space="0"/>
            </w:tcBorders>
            <w:noWrap w:val="0"/>
            <w:vAlign w:val="center"/>
          </w:tcPr>
          <w:p w14:paraId="207DE2A9">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3611" w:type="dxa"/>
            <w:gridSpan w:val="2"/>
            <w:tcBorders>
              <w:top w:val="single" w:color="000000" w:sz="6" w:space="0"/>
              <w:left w:val="single" w:color="000000" w:sz="6" w:space="0"/>
              <w:bottom w:val="single" w:color="000000" w:sz="6" w:space="0"/>
              <w:right w:val="single" w:color="000000" w:sz="6" w:space="0"/>
            </w:tcBorders>
            <w:noWrap w:val="0"/>
            <w:vAlign w:val="center"/>
          </w:tcPr>
          <w:p w14:paraId="21D0785F">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采购需求技术参数、指标</w:t>
            </w:r>
          </w:p>
        </w:tc>
        <w:tc>
          <w:tcPr>
            <w:tcW w:w="3714" w:type="dxa"/>
            <w:gridSpan w:val="2"/>
            <w:tcBorders>
              <w:top w:val="single" w:color="000000" w:sz="6" w:space="0"/>
              <w:left w:val="single" w:color="000000" w:sz="6" w:space="0"/>
              <w:bottom w:val="single" w:color="000000" w:sz="6" w:space="0"/>
              <w:right w:val="single" w:color="000000" w:sz="6" w:space="0"/>
            </w:tcBorders>
            <w:noWrap w:val="0"/>
            <w:vAlign w:val="center"/>
          </w:tcPr>
          <w:p w14:paraId="5FC04133">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投标产品技术参数、指标</w:t>
            </w:r>
          </w:p>
        </w:tc>
        <w:tc>
          <w:tcPr>
            <w:tcW w:w="676" w:type="dxa"/>
            <w:tcBorders>
              <w:top w:val="single" w:color="000000" w:sz="6" w:space="0"/>
              <w:left w:val="single" w:color="000000" w:sz="6" w:space="0"/>
              <w:bottom w:val="single" w:color="000000" w:sz="6" w:space="0"/>
              <w:right w:val="single" w:color="000000" w:sz="6" w:space="0"/>
            </w:tcBorders>
            <w:noWrap w:val="0"/>
            <w:vAlign w:val="center"/>
          </w:tcPr>
          <w:p w14:paraId="6B4BF0F7">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偏离</w:t>
            </w:r>
          </w:p>
        </w:tc>
      </w:tr>
      <w:tr w14:paraId="673E92AF">
        <w:tblPrEx>
          <w:tblCellMar>
            <w:top w:w="0" w:type="dxa"/>
            <w:left w:w="28" w:type="dxa"/>
            <w:bottom w:w="0" w:type="dxa"/>
            <w:right w:w="28" w:type="dxa"/>
          </w:tblCellMar>
        </w:tblPrEx>
        <w:trPr>
          <w:trHeight w:val="1" w:hRule="atLeast"/>
          <w:jc w:val="center"/>
        </w:trPr>
        <w:tc>
          <w:tcPr>
            <w:tcW w:w="616" w:type="dxa"/>
            <w:tcBorders>
              <w:top w:val="single" w:color="000000" w:sz="6" w:space="0"/>
              <w:left w:val="single" w:color="000000" w:sz="6" w:space="0"/>
              <w:bottom w:val="single" w:color="000000" w:sz="6" w:space="0"/>
              <w:right w:val="single" w:color="000000" w:sz="6" w:space="0"/>
            </w:tcBorders>
            <w:noWrap w:val="0"/>
            <w:vAlign w:val="center"/>
          </w:tcPr>
          <w:p w14:paraId="4A76E06F">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序号</w:t>
            </w:r>
          </w:p>
        </w:tc>
        <w:tc>
          <w:tcPr>
            <w:tcW w:w="1233" w:type="dxa"/>
            <w:tcBorders>
              <w:top w:val="single" w:color="000000" w:sz="6" w:space="0"/>
              <w:left w:val="single" w:color="000000" w:sz="6" w:space="0"/>
              <w:bottom w:val="single" w:color="000000" w:sz="6" w:space="0"/>
              <w:right w:val="single" w:color="000000" w:sz="6" w:space="0"/>
            </w:tcBorders>
            <w:noWrap w:val="0"/>
            <w:vAlign w:val="center"/>
          </w:tcPr>
          <w:p w14:paraId="3E433978">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名称</w:t>
            </w:r>
          </w:p>
        </w:tc>
        <w:tc>
          <w:tcPr>
            <w:tcW w:w="2378" w:type="dxa"/>
            <w:tcBorders>
              <w:top w:val="single" w:color="000000" w:sz="6" w:space="0"/>
              <w:left w:val="single" w:color="000000" w:sz="6" w:space="0"/>
              <w:bottom w:val="single" w:color="000000" w:sz="6" w:space="0"/>
              <w:right w:val="single" w:color="000000" w:sz="6" w:space="0"/>
            </w:tcBorders>
            <w:noWrap w:val="0"/>
            <w:vAlign w:val="center"/>
          </w:tcPr>
          <w:p w14:paraId="10654DBB">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技术参数及配置</w:t>
            </w:r>
          </w:p>
        </w:tc>
        <w:tc>
          <w:tcPr>
            <w:tcW w:w="1247" w:type="dxa"/>
            <w:tcBorders>
              <w:top w:val="single" w:color="000000" w:sz="6" w:space="0"/>
              <w:left w:val="single" w:color="000000" w:sz="6" w:space="0"/>
              <w:bottom w:val="single" w:color="000000" w:sz="6" w:space="0"/>
              <w:right w:val="single" w:color="000000" w:sz="6" w:space="0"/>
            </w:tcBorders>
            <w:noWrap w:val="0"/>
            <w:vAlign w:val="center"/>
          </w:tcPr>
          <w:p w14:paraId="376CCB12">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名称</w:t>
            </w:r>
          </w:p>
        </w:tc>
        <w:tc>
          <w:tcPr>
            <w:tcW w:w="2467" w:type="dxa"/>
            <w:tcBorders>
              <w:top w:val="single" w:color="000000" w:sz="6" w:space="0"/>
              <w:left w:val="single" w:color="000000" w:sz="6" w:space="0"/>
              <w:bottom w:val="single" w:color="000000" w:sz="6" w:space="0"/>
              <w:right w:val="single" w:color="000000" w:sz="6" w:space="0"/>
            </w:tcBorders>
            <w:noWrap w:val="0"/>
            <w:vAlign w:val="center"/>
          </w:tcPr>
          <w:p w14:paraId="0934BB7F">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技术参数及配置</w:t>
            </w:r>
          </w:p>
        </w:tc>
        <w:tc>
          <w:tcPr>
            <w:tcW w:w="676" w:type="dxa"/>
            <w:tcBorders>
              <w:top w:val="single" w:color="000000" w:sz="6" w:space="0"/>
              <w:left w:val="single" w:color="000000" w:sz="6" w:space="0"/>
              <w:bottom w:val="single" w:color="000000" w:sz="6" w:space="0"/>
              <w:right w:val="single" w:color="000000" w:sz="6" w:space="0"/>
            </w:tcBorders>
            <w:noWrap w:val="0"/>
            <w:vAlign w:val="center"/>
          </w:tcPr>
          <w:p w14:paraId="21349A71">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r>
      <w:tr w14:paraId="5027CD32">
        <w:tblPrEx>
          <w:tblCellMar>
            <w:top w:w="0" w:type="dxa"/>
            <w:left w:w="28" w:type="dxa"/>
            <w:bottom w:w="0" w:type="dxa"/>
            <w:right w:w="28" w:type="dxa"/>
          </w:tblCellMar>
        </w:tblPrEx>
        <w:trPr>
          <w:trHeight w:val="1" w:hRule="atLeast"/>
          <w:jc w:val="center"/>
        </w:trPr>
        <w:tc>
          <w:tcPr>
            <w:tcW w:w="616" w:type="dxa"/>
            <w:tcBorders>
              <w:top w:val="single" w:color="000000" w:sz="6" w:space="0"/>
              <w:left w:val="single" w:color="000000" w:sz="6" w:space="0"/>
              <w:bottom w:val="single" w:color="000000" w:sz="6" w:space="0"/>
              <w:right w:val="single" w:color="000000" w:sz="6" w:space="0"/>
            </w:tcBorders>
            <w:noWrap w:val="0"/>
            <w:vAlign w:val="center"/>
          </w:tcPr>
          <w:p w14:paraId="0FD6F738">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1</w:t>
            </w:r>
          </w:p>
        </w:tc>
        <w:tc>
          <w:tcPr>
            <w:tcW w:w="1233" w:type="dxa"/>
            <w:tcBorders>
              <w:top w:val="single" w:color="000000" w:sz="6" w:space="0"/>
              <w:left w:val="single" w:color="000000" w:sz="6" w:space="0"/>
              <w:bottom w:val="single" w:color="000000" w:sz="6" w:space="0"/>
              <w:right w:val="single" w:color="000000" w:sz="6" w:space="0"/>
            </w:tcBorders>
            <w:noWrap w:val="0"/>
            <w:vAlign w:val="center"/>
          </w:tcPr>
          <w:p w14:paraId="2A1063FC">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2378" w:type="dxa"/>
            <w:tcBorders>
              <w:top w:val="single" w:color="000000" w:sz="6" w:space="0"/>
              <w:left w:val="single" w:color="000000" w:sz="6" w:space="0"/>
              <w:bottom w:val="single" w:color="000000" w:sz="6" w:space="0"/>
              <w:right w:val="single" w:color="000000" w:sz="6" w:space="0"/>
            </w:tcBorders>
            <w:noWrap w:val="0"/>
            <w:vAlign w:val="center"/>
          </w:tcPr>
          <w:p w14:paraId="7376FB2A">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1247" w:type="dxa"/>
            <w:tcBorders>
              <w:top w:val="single" w:color="000000" w:sz="6" w:space="0"/>
              <w:left w:val="single" w:color="000000" w:sz="6" w:space="0"/>
              <w:bottom w:val="single" w:color="000000" w:sz="6" w:space="0"/>
              <w:right w:val="single" w:color="000000" w:sz="6" w:space="0"/>
            </w:tcBorders>
            <w:noWrap w:val="0"/>
            <w:vAlign w:val="center"/>
          </w:tcPr>
          <w:p w14:paraId="5B939238">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2467" w:type="dxa"/>
            <w:tcBorders>
              <w:top w:val="single" w:color="000000" w:sz="6" w:space="0"/>
              <w:left w:val="single" w:color="000000" w:sz="6" w:space="0"/>
              <w:bottom w:val="single" w:color="000000" w:sz="6" w:space="0"/>
              <w:right w:val="single" w:color="000000" w:sz="6" w:space="0"/>
            </w:tcBorders>
            <w:noWrap w:val="0"/>
            <w:vAlign w:val="center"/>
          </w:tcPr>
          <w:p w14:paraId="47366B1A">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676" w:type="dxa"/>
            <w:tcBorders>
              <w:top w:val="single" w:color="000000" w:sz="6" w:space="0"/>
              <w:left w:val="single" w:color="000000" w:sz="6" w:space="0"/>
              <w:bottom w:val="single" w:color="000000" w:sz="6" w:space="0"/>
              <w:right w:val="single" w:color="000000" w:sz="6" w:space="0"/>
            </w:tcBorders>
            <w:noWrap w:val="0"/>
            <w:vAlign w:val="center"/>
          </w:tcPr>
          <w:p w14:paraId="39266520">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r>
      <w:tr w14:paraId="497002E1">
        <w:tblPrEx>
          <w:tblCellMar>
            <w:top w:w="0" w:type="dxa"/>
            <w:left w:w="28" w:type="dxa"/>
            <w:bottom w:w="0" w:type="dxa"/>
            <w:right w:w="28" w:type="dxa"/>
          </w:tblCellMar>
        </w:tblPrEx>
        <w:trPr>
          <w:trHeight w:val="1" w:hRule="atLeast"/>
          <w:jc w:val="center"/>
        </w:trPr>
        <w:tc>
          <w:tcPr>
            <w:tcW w:w="616" w:type="dxa"/>
            <w:tcBorders>
              <w:top w:val="single" w:color="000000" w:sz="6" w:space="0"/>
              <w:left w:val="single" w:color="000000" w:sz="6" w:space="0"/>
              <w:bottom w:val="single" w:color="000000" w:sz="6" w:space="0"/>
              <w:right w:val="single" w:color="000000" w:sz="6" w:space="0"/>
            </w:tcBorders>
            <w:noWrap w:val="0"/>
            <w:vAlign w:val="center"/>
          </w:tcPr>
          <w:p w14:paraId="56C30CF0">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2</w:t>
            </w:r>
          </w:p>
        </w:tc>
        <w:tc>
          <w:tcPr>
            <w:tcW w:w="1233" w:type="dxa"/>
            <w:tcBorders>
              <w:top w:val="single" w:color="000000" w:sz="6" w:space="0"/>
              <w:left w:val="single" w:color="000000" w:sz="6" w:space="0"/>
              <w:bottom w:val="single" w:color="000000" w:sz="6" w:space="0"/>
              <w:right w:val="single" w:color="000000" w:sz="6" w:space="0"/>
            </w:tcBorders>
            <w:noWrap w:val="0"/>
            <w:vAlign w:val="center"/>
          </w:tcPr>
          <w:p w14:paraId="44C27452">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2378" w:type="dxa"/>
            <w:tcBorders>
              <w:top w:val="single" w:color="000000" w:sz="6" w:space="0"/>
              <w:left w:val="single" w:color="000000" w:sz="6" w:space="0"/>
              <w:bottom w:val="single" w:color="000000" w:sz="6" w:space="0"/>
              <w:right w:val="single" w:color="000000" w:sz="6" w:space="0"/>
            </w:tcBorders>
            <w:noWrap w:val="0"/>
            <w:vAlign w:val="center"/>
          </w:tcPr>
          <w:p w14:paraId="2F87211C">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1247" w:type="dxa"/>
            <w:tcBorders>
              <w:top w:val="single" w:color="000000" w:sz="6" w:space="0"/>
              <w:left w:val="single" w:color="000000" w:sz="6" w:space="0"/>
              <w:bottom w:val="single" w:color="000000" w:sz="6" w:space="0"/>
              <w:right w:val="single" w:color="000000" w:sz="6" w:space="0"/>
            </w:tcBorders>
            <w:noWrap w:val="0"/>
            <w:vAlign w:val="center"/>
          </w:tcPr>
          <w:p w14:paraId="6FE198E4">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2467" w:type="dxa"/>
            <w:tcBorders>
              <w:top w:val="single" w:color="000000" w:sz="6" w:space="0"/>
              <w:left w:val="single" w:color="000000" w:sz="6" w:space="0"/>
              <w:bottom w:val="single" w:color="000000" w:sz="6" w:space="0"/>
              <w:right w:val="single" w:color="000000" w:sz="6" w:space="0"/>
            </w:tcBorders>
            <w:noWrap w:val="0"/>
            <w:vAlign w:val="center"/>
          </w:tcPr>
          <w:p w14:paraId="4A9CAB95">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676" w:type="dxa"/>
            <w:tcBorders>
              <w:top w:val="single" w:color="000000" w:sz="6" w:space="0"/>
              <w:left w:val="single" w:color="000000" w:sz="6" w:space="0"/>
              <w:bottom w:val="single" w:color="000000" w:sz="6" w:space="0"/>
              <w:right w:val="single" w:color="000000" w:sz="6" w:space="0"/>
            </w:tcBorders>
            <w:noWrap w:val="0"/>
            <w:vAlign w:val="center"/>
          </w:tcPr>
          <w:p w14:paraId="5EFAD6D1">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r>
      <w:tr w14:paraId="7DD00033">
        <w:tblPrEx>
          <w:tblCellMar>
            <w:top w:w="0" w:type="dxa"/>
            <w:left w:w="28" w:type="dxa"/>
            <w:bottom w:w="0" w:type="dxa"/>
            <w:right w:w="28" w:type="dxa"/>
          </w:tblCellMar>
        </w:tblPrEx>
        <w:trPr>
          <w:trHeight w:val="1" w:hRule="atLeast"/>
          <w:jc w:val="center"/>
        </w:trPr>
        <w:tc>
          <w:tcPr>
            <w:tcW w:w="616" w:type="dxa"/>
            <w:tcBorders>
              <w:top w:val="single" w:color="000000" w:sz="6" w:space="0"/>
              <w:left w:val="single" w:color="000000" w:sz="6" w:space="0"/>
              <w:bottom w:val="single" w:color="000000" w:sz="6" w:space="0"/>
              <w:right w:val="single" w:color="000000" w:sz="6" w:space="0"/>
            </w:tcBorders>
            <w:noWrap w:val="0"/>
            <w:vAlign w:val="center"/>
          </w:tcPr>
          <w:p w14:paraId="60BE4C63">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w:t>
            </w:r>
          </w:p>
        </w:tc>
        <w:tc>
          <w:tcPr>
            <w:tcW w:w="1233" w:type="dxa"/>
            <w:tcBorders>
              <w:top w:val="single" w:color="000000" w:sz="6" w:space="0"/>
              <w:left w:val="single" w:color="000000" w:sz="6" w:space="0"/>
              <w:bottom w:val="single" w:color="000000" w:sz="6" w:space="0"/>
              <w:right w:val="single" w:color="000000" w:sz="6" w:space="0"/>
            </w:tcBorders>
            <w:noWrap w:val="0"/>
            <w:vAlign w:val="center"/>
          </w:tcPr>
          <w:p w14:paraId="56009809">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2378" w:type="dxa"/>
            <w:tcBorders>
              <w:top w:val="single" w:color="000000" w:sz="6" w:space="0"/>
              <w:left w:val="single" w:color="000000" w:sz="6" w:space="0"/>
              <w:bottom w:val="single" w:color="000000" w:sz="6" w:space="0"/>
              <w:right w:val="single" w:color="000000" w:sz="6" w:space="0"/>
            </w:tcBorders>
            <w:noWrap w:val="0"/>
            <w:vAlign w:val="center"/>
          </w:tcPr>
          <w:p w14:paraId="05232AF6">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1247" w:type="dxa"/>
            <w:tcBorders>
              <w:top w:val="single" w:color="000000" w:sz="6" w:space="0"/>
              <w:left w:val="single" w:color="000000" w:sz="6" w:space="0"/>
              <w:bottom w:val="single" w:color="000000" w:sz="6" w:space="0"/>
              <w:right w:val="single" w:color="000000" w:sz="6" w:space="0"/>
            </w:tcBorders>
            <w:noWrap w:val="0"/>
            <w:vAlign w:val="center"/>
          </w:tcPr>
          <w:p w14:paraId="10DACED6">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2467" w:type="dxa"/>
            <w:tcBorders>
              <w:top w:val="single" w:color="000000" w:sz="6" w:space="0"/>
              <w:left w:val="single" w:color="000000" w:sz="6" w:space="0"/>
              <w:bottom w:val="single" w:color="000000" w:sz="6" w:space="0"/>
              <w:right w:val="single" w:color="000000" w:sz="6" w:space="0"/>
            </w:tcBorders>
            <w:noWrap w:val="0"/>
            <w:vAlign w:val="center"/>
          </w:tcPr>
          <w:p w14:paraId="39EF84A5">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c>
          <w:tcPr>
            <w:tcW w:w="676" w:type="dxa"/>
            <w:tcBorders>
              <w:top w:val="single" w:color="000000" w:sz="6" w:space="0"/>
              <w:left w:val="single" w:color="000000" w:sz="6" w:space="0"/>
              <w:bottom w:val="single" w:color="000000" w:sz="6" w:space="0"/>
              <w:right w:val="single" w:color="000000" w:sz="6" w:space="0"/>
            </w:tcBorders>
            <w:noWrap w:val="0"/>
            <w:vAlign w:val="center"/>
          </w:tcPr>
          <w:p w14:paraId="48E0DDDD">
            <w:pPr>
              <w:pageBreakBefore w:val="0"/>
              <w:kinsoku/>
              <w:overflowPunct/>
              <w:topLinePunct w:val="0"/>
              <w:autoSpaceDE w:val="0"/>
              <w:autoSpaceDN w:val="0"/>
              <w:bidi w:val="0"/>
              <w:spacing w:line="360" w:lineRule="auto"/>
              <w:jc w:val="center"/>
              <w:rPr>
                <w:rFonts w:hint="eastAsia" w:ascii="宋体" w:hAnsi="宋体" w:eastAsia="宋体" w:cs="宋体"/>
                <w:color w:val="auto"/>
                <w:sz w:val="24"/>
                <w:szCs w:val="24"/>
                <w:lang w:val="zh-CN"/>
              </w:rPr>
            </w:pPr>
          </w:p>
        </w:tc>
      </w:tr>
    </w:tbl>
    <w:p w14:paraId="42B2A79C">
      <w:pPr>
        <w:pageBreakBefore w:val="0"/>
        <w:kinsoku/>
        <w:overflowPunct/>
        <w:topLinePunct w:val="0"/>
        <w:autoSpaceDE w:val="0"/>
        <w:autoSpaceDN w:val="0"/>
        <w:bidi w:val="0"/>
        <w:spacing w:line="36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注：1.本表应按照“项目概况及技术参数”中产品序号的指标逐项填写，不得遗漏。</w:t>
      </w:r>
    </w:p>
    <w:p w14:paraId="1348C7C9">
      <w:pPr>
        <w:pageBreakBefore w:val="0"/>
        <w:kinsoku/>
        <w:overflowPunct/>
        <w:topLinePunct w:val="0"/>
        <w:autoSpaceDE w:val="0"/>
        <w:autoSpaceDN w:val="0"/>
        <w:bidi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投标产品技术参数、指标”必须与投标文件中提供的产品检测报告或彩页等证明材料的实质性响应情况相一致。若在评标环节发现该项与投标文件中提供的产品检测报告或彩页（或厂家公开发布的资料参数）等证明材料的实质性响应情况不一致或直接复制磋商文件“采购需求技术参数、指标”内容的，将视为该项指标不响应</w:t>
      </w:r>
      <w:r>
        <w:rPr>
          <w:rFonts w:hint="eastAsia" w:eastAsia="宋体" w:cs="宋体"/>
          <w:color w:val="auto"/>
          <w:sz w:val="24"/>
          <w:szCs w:val="24"/>
          <w:highlight w:val="none"/>
          <w:lang w:val="zh-CN"/>
        </w:rPr>
        <w:t>，</w:t>
      </w:r>
      <w:r>
        <w:rPr>
          <w:rFonts w:hint="eastAsia" w:eastAsia="宋体" w:cs="宋体"/>
          <w:color w:val="auto"/>
          <w:sz w:val="24"/>
          <w:szCs w:val="24"/>
          <w:highlight w:val="none"/>
          <w:lang w:val="en-US" w:eastAsia="zh-CN"/>
        </w:rPr>
        <w:t>按技术评分扣分处理</w:t>
      </w:r>
      <w:r>
        <w:rPr>
          <w:rFonts w:hint="eastAsia" w:ascii="宋体" w:hAnsi="宋体" w:eastAsia="宋体" w:cs="宋体"/>
          <w:color w:val="auto"/>
          <w:sz w:val="24"/>
          <w:szCs w:val="24"/>
          <w:highlight w:val="none"/>
          <w:lang w:val="zh-CN"/>
        </w:rPr>
        <w:t>。</w:t>
      </w:r>
    </w:p>
    <w:p w14:paraId="2BD7932D">
      <w:pPr>
        <w:pageBreakBefore w:val="0"/>
        <w:kinsoku/>
        <w:overflowPunct/>
        <w:topLinePunct w:val="0"/>
        <w:autoSpaceDE w:val="0"/>
        <w:autoSpaceDN w:val="0"/>
        <w:bidi w:val="0"/>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填写此表时以磋商项目参数要求为基本投标要求，满足招标项目参数要求的指标需列出“</w:t>
      </w: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zh-CN"/>
        </w:rPr>
        <w:t>”；超出、不满足磋商项目参数要求的指标需列出“+”、“-”偏差，并做出详细说明；如果只注明“+”、“-”或未填写，将视为该项指标不响应</w:t>
      </w:r>
      <w:r>
        <w:rPr>
          <w:rFonts w:hint="eastAsia" w:eastAsia="宋体" w:cs="宋体"/>
          <w:color w:val="auto"/>
          <w:sz w:val="24"/>
          <w:szCs w:val="24"/>
          <w:highlight w:val="none"/>
          <w:lang w:val="zh-CN"/>
        </w:rPr>
        <w:t>，</w:t>
      </w:r>
      <w:r>
        <w:rPr>
          <w:rFonts w:hint="eastAsia" w:eastAsia="宋体" w:cs="宋体"/>
          <w:color w:val="auto"/>
          <w:sz w:val="24"/>
          <w:szCs w:val="24"/>
          <w:highlight w:val="none"/>
          <w:lang w:val="en-US" w:eastAsia="zh-CN"/>
        </w:rPr>
        <w:t>按技术评分扣分处理。</w:t>
      </w:r>
    </w:p>
    <w:p w14:paraId="2FDF18F5">
      <w:pPr>
        <w:pageBreakBefore w:val="0"/>
        <w:kinsoku/>
        <w:overflowPunct/>
        <w:topLinePunct w:val="0"/>
        <w:autoSpaceDE w:val="0"/>
        <w:autoSpaceDN w:val="0"/>
        <w:bidi w:val="0"/>
        <w:adjustRightInd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.供应商响应采购需求应具体、明确，含糊不清、不确切或伪造、编造证明材料的，按照实质性不响应处理。对伪造、编造证明材料的，将报送采购监管部门查处。</w:t>
      </w:r>
    </w:p>
    <w:p w14:paraId="56C17587">
      <w:pPr>
        <w:autoSpaceDE w:val="0"/>
        <w:autoSpaceDN w:val="0"/>
        <w:spacing w:line="360" w:lineRule="auto"/>
        <w:ind w:firstLine="420"/>
        <w:rPr>
          <w:rFonts w:ascii="宋体" w:hAnsi="宋体" w:cs="宋体"/>
          <w:color w:val="000000"/>
          <w:lang w:val="zh-CN"/>
        </w:rPr>
      </w:pPr>
    </w:p>
    <w:p w14:paraId="061708F5">
      <w:pPr>
        <w:autoSpaceDE w:val="0"/>
        <w:autoSpaceDN w:val="0"/>
        <w:spacing w:line="360" w:lineRule="auto"/>
        <w:rPr>
          <w:rFonts w:ascii="宋体" w:hAnsi="宋体" w:cs="宋体"/>
          <w:color w:val="000000"/>
          <w:lang w:val="zh-CN"/>
        </w:rPr>
      </w:pPr>
    </w:p>
    <w:p w14:paraId="51E0B50C">
      <w:pPr>
        <w:autoSpaceDE w:val="0"/>
        <w:autoSpaceDN w:val="0"/>
        <w:adjustRightInd w:val="0"/>
        <w:ind w:firstLine="482"/>
        <w:jc w:val="right"/>
        <w:rPr>
          <w:rFonts w:ascii="宋体" w:hAnsi="Cambria" w:cs="宋体"/>
          <w:b/>
          <w:bCs/>
          <w:sz w:val="24"/>
          <w:lang w:val="zh-CN"/>
        </w:rPr>
      </w:pPr>
      <w:r>
        <w:rPr>
          <w:rFonts w:hint="eastAsia" w:ascii="宋体" w:hAnsi="Cambria" w:cs="宋体"/>
          <w:b/>
          <w:bCs/>
          <w:sz w:val="24"/>
          <w:lang w:val="zh-CN"/>
        </w:rPr>
        <w:t xml:space="preserve">                                     供应商：        （公章）</w:t>
      </w:r>
    </w:p>
    <w:p w14:paraId="17111DFC">
      <w:pPr>
        <w:autoSpaceDE w:val="0"/>
        <w:autoSpaceDN w:val="0"/>
        <w:adjustRightInd w:val="0"/>
        <w:ind w:firstLine="482"/>
        <w:jc w:val="right"/>
        <w:rPr>
          <w:rFonts w:ascii="宋体" w:hAnsi="Cambria" w:cs="宋体"/>
          <w:b/>
          <w:bCs/>
          <w:sz w:val="24"/>
          <w:lang w:val="zh-CN"/>
        </w:rPr>
      </w:pPr>
      <w:r>
        <w:rPr>
          <w:rFonts w:hint="eastAsia" w:ascii="宋体" w:hAnsi="Cambria" w:cs="宋体"/>
          <w:b/>
          <w:bCs/>
          <w:sz w:val="24"/>
          <w:lang w:val="zh-CN"/>
        </w:rPr>
        <w:t xml:space="preserve">              </w:t>
      </w:r>
      <w:r>
        <w:rPr>
          <w:rFonts w:hint="eastAsia" w:eastAsia="宋体"/>
          <w:b/>
          <w:color w:val="auto"/>
          <w:sz w:val="24"/>
          <w:szCs w:val="28"/>
          <w:highlight w:val="none"/>
        </w:rPr>
        <w:t xml:space="preserve"> 委托代理人或法定代表人：</w:t>
      </w:r>
      <w:r>
        <w:rPr>
          <w:rFonts w:hint="eastAsia" w:ascii="宋体" w:hAnsi="Cambria" w:cs="宋体"/>
          <w:b/>
          <w:bCs/>
          <w:sz w:val="24"/>
          <w:lang w:val="zh-CN"/>
        </w:rPr>
        <w:t xml:space="preserve">      （签字</w:t>
      </w:r>
      <w:r>
        <w:rPr>
          <w:rFonts w:hint="eastAsia" w:ascii="宋体" w:hAnsi="宋体" w:cs="宋体"/>
          <w:b/>
          <w:bCs/>
          <w:sz w:val="24"/>
          <w:szCs w:val="24"/>
        </w:rPr>
        <w:t>或盖章</w:t>
      </w:r>
      <w:r>
        <w:rPr>
          <w:rFonts w:hint="eastAsia" w:ascii="宋体" w:hAnsi="Cambria" w:cs="宋体"/>
          <w:b/>
          <w:bCs/>
          <w:sz w:val="24"/>
          <w:lang w:val="zh-CN"/>
        </w:rPr>
        <w:t>）</w:t>
      </w:r>
    </w:p>
    <w:p w14:paraId="62E42E3D">
      <w:pPr>
        <w:autoSpaceDE w:val="0"/>
        <w:autoSpaceDN w:val="0"/>
        <w:adjustRightInd w:val="0"/>
        <w:ind w:firstLine="482"/>
        <w:jc w:val="right"/>
        <w:rPr>
          <w:rFonts w:hint="eastAsia" w:ascii="宋体" w:hAnsi="Cambria" w:cs="宋体"/>
          <w:b/>
          <w:bCs/>
          <w:sz w:val="24"/>
          <w:lang w:val="zh-CN"/>
        </w:rPr>
      </w:pPr>
      <w:r>
        <w:rPr>
          <w:rFonts w:hint="eastAsia" w:ascii="宋体" w:hAnsi="Cambria" w:cs="宋体"/>
          <w:b/>
          <w:bCs/>
          <w:sz w:val="24"/>
          <w:lang w:val="zh-CN"/>
        </w:rPr>
        <w:t xml:space="preserve">                                         年  月  日</w:t>
      </w:r>
    </w:p>
    <w:p w14:paraId="1CDE2737">
      <w:pPr>
        <w:pStyle w:val="4"/>
        <w:pageBreakBefore w:val="0"/>
        <w:numPr>
          <w:ilvl w:val="0"/>
          <w:numId w:val="0"/>
        </w:numPr>
        <w:tabs>
          <w:tab w:val="left" w:pos="425"/>
        </w:tabs>
        <w:kinsoku/>
        <w:overflowPunct/>
        <w:topLinePunct w:val="0"/>
        <w:bidi w:val="0"/>
        <w:spacing w:line="360" w:lineRule="auto"/>
        <w:ind w:left="709" w:hanging="709"/>
        <w:rPr>
          <w:rFonts w:hint="eastAsia" w:ascii="宋体" w:hAnsi="宋体" w:eastAsia="宋体" w:cs="宋体"/>
          <w:b/>
          <w:color w:val="auto"/>
          <w:sz w:val="32"/>
          <w:highlight w:val="none"/>
          <w:lang w:val="zh-CN"/>
        </w:rPr>
      </w:pPr>
      <w:bookmarkStart w:id="668" w:name="_Toc30872"/>
      <w:r>
        <w:rPr>
          <w:rFonts w:hint="eastAsia" w:ascii="宋体" w:hAnsi="宋体" w:eastAsia="宋体" w:cs="宋体"/>
          <w:b/>
          <w:color w:val="auto"/>
          <w:sz w:val="32"/>
          <w:highlight w:val="none"/>
          <w:lang w:val="zh-CN"/>
        </w:rPr>
        <w:t>格式</w:t>
      </w:r>
      <w:r>
        <w:rPr>
          <w:rFonts w:hint="eastAsia" w:ascii="宋体" w:hAnsi="宋体" w:eastAsia="宋体" w:cs="宋体"/>
          <w:b/>
          <w:color w:val="auto"/>
          <w:sz w:val="32"/>
          <w:highlight w:val="none"/>
          <w:lang w:val="en-US" w:eastAsia="zh-CN"/>
        </w:rPr>
        <w:t>16</w:t>
      </w:r>
      <w:r>
        <w:rPr>
          <w:rFonts w:hint="eastAsia" w:ascii="宋体" w:hAnsi="宋体" w:eastAsia="宋体" w:cs="宋体"/>
          <w:b/>
          <w:color w:val="auto"/>
          <w:sz w:val="32"/>
          <w:highlight w:val="none"/>
          <w:lang w:val="zh-CN"/>
        </w:rPr>
        <w:t>、磋商产品相关资料</w:t>
      </w:r>
      <w:bookmarkEnd w:id="668"/>
    </w:p>
    <w:p w14:paraId="02D0F4DE">
      <w:pPr>
        <w:pStyle w:val="4"/>
        <w:pageBreakBefore w:val="0"/>
        <w:numPr>
          <w:ilvl w:val="0"/>
          <w:numId w:val="0"/>
        </w:numPr>
        <w:tabs>
          <w:tab w:val="left" w:pos="425"/>
        </w:tabs>
        <w:kinsoku/>
        <w:overflowPunct/>
        <w:topLinePunct w:val="0"/>
        <w:bidi w:val="0"/>
        <w:spacing w:line="360" w:lineRule="auto"/>
        <w:ind w:left="709" w:hanging="709"/>
        <w:rPr>
          <w:rFonts w:hint="eastAsia" w:ascii="宋体" w:hAnsi="宋体" w:eastAsia="宋体" w:cs="宋体"/>
          <w:b/>
          <w:color w:val="auto"/>
          <w:sz w:val="32"/>
          <w:highlight w:val="none"/>
          <w:lang w:val="zh-CN"/>
        </w:rPr>
      </w:pPr>
    </w:p>
    <w:p w14:paraId="24CCCFBA">
      <w:pPr>
        <w:pStyle w:val="4"/>
        <w:pageBreakBefore w:val="0"/>
        <w:numPr>
          <w:ilvl w:val="0"/>
          <w:numId w:val="0"/>
        </w:numPr>
        <w:tabs>
          <w:tab w:val="left" w:pos="425"/>
        </w:tabs>
        <w:kinsoku/>
        <w:overflowPunct/>
        <w:topLinePunct w:val="0"/>
        <w:bidi w:val="0"/>
        <w:spacing w:line="360" w:lineRule="auto"/>
        <w:ind w:left="709" w:hanging="709"/>
        <w:rPr>
          <w:rFonts w:hint="eastAsia" w:ascii="宋体" w:hAnsi="宋体" w:eastAsia="宋体" w:cs="宋体"/>
          <w:color w:val="auto"/>
          <w:highlight w:val="none"/>
        </w:rPr>
      </w:pPr>
    </w:p>
    <w:p w14:paraId="78E4AC01">
      <w:pPr>
        <w:pageBreakBefore w:val="0"/>
        <w:kinsoku/>
        <w:overflowPunct/>
        <w:topLinePunct w:val="0"/>
        <w:autoSpaceDE w:val="0"/>
        <w:autoSpaceDN w:val="0"/>
        <w:bidi w:val="0"/>
        <w:adjustRightInd w:val="0"/>
        <w:spacing w:line="360" w:lineRule="auto"/>
        <w:jc w:val="center"/>
        <w:rPr>
          <w:rFonts w:hint="eastAsia" w:ascii="宋体" w:hAnsi="宋体" w:eastAsia="宋体" w:cs="宋体"/>
          <w:b/>
          <w:bCs/>
          <w:color w:val="auto"/>
          <w:sz w:val="32"/>
          <w:szCs w:val="30"/>
          <w:highlight w:val="none"/>
          <w:lang w:val="zh-CN"/>
        </w:rPr>
      </w:pPr>
      <w:r>
        <w:rPr>
          <w:rFonts w:hint="eastAsia" w:ascii="宋体" w:hAnsi="宋体" w:eastAsia="宋体" w:cs="宋体"/>
          <w:b/>
          <w:bCs/>
          <w:color w:val="auto"/>
          <w:sz w:val="32"/>
          <w:szCs w:val="30"/>
          <w:highlight w:val="none"/>
          <w:lang w:val="zh-CN"/>
        </w:rPr>
        <w:t>磋商产品相关资料</w:t>
      </w:r>
    </w:p>
    <w:p w14:paraId="3C899A85">
      <w:pPr>
        <w:pageBreakBefore w:val="0"/>
        <w:kinsoku/>
        <w:overflowPunct/>
        <w:topLinePunct w:val="0"/>
        <w:autoSpaceDE w:val="0"/>
        <w:autoSpaceDN w:val="0"/>
        <w:bidi w:val="0"/>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根据采购项目内容，投标时提供国家认可的质监机构出具的投标产品的产品检验报告</w:t>
      </w:r>
      <w:r>
        <w:rPr>
          <w:rFonts w:hint="eastAsia"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zh-CN"/>
        </w:rPr>
        <w:t>证明技术参数响应的相关资料</w:t>
      </w:r>
      <w:r>
        <w:rPr>
          <w:rFonts w:hint="eastAsia" w:eastAsia="宋体" w:cs="宋体"/>
          <w:color w:val="auto"/>
          <w:sz w:val="24"/>
          <w:szCs w:val="24"/>
          <w:highlight w:val="none"/>
          <w:lang w:val="en-US" w:eastAsia="zh-CN"/>
        </w:rPr>
        <w:t>或</w:t>
      </w:r>
      <w:r>
        <w:rPr>
          <w:rFonts w:hint="eastAsia" w:ascii="宋体" w:hAnsi="宋体" w:eastAsia="宋体" w:cs="宋体"/>
          <w:color w:val="auto"/>
          <w:sz w:val="24"/>
          <w:szCs w:val="24"/>
          <w:highlight w:val="none"/>
          <w:lang w:val="zh-CN"/>
        </w:rPr>
        <w:t>彩页（或厂家公开发布的资料参数）相关认证等资料。</w:t>
      </w:r>
    </w:p>
    <w:p w14:paraId="50A2C336">
      <w:pPr>
        <w:autoSpaceDE w:val="0"/>
        <w:autoSpaceDN w:val="0"/>
        <w:adjustRightInd w:val="0"/>
        <w:ind w:firstLine="482"/>
        <w:jc w:val="right"/>
        <w:rPr>
          <w:rFonts w:hint="eastAsia" w:ascii="宋体" w:hAnsi="Cambria" w:cs="宋体"/>
          <w:b/>
          <w:bCs/>
          <w:sz w:val="24"/>
          <w:lang w:val="zh-CN"/>
        </w:rPr>
      </w:pPr>
    </w:p>
    <w:p w14:paraId="42C7D61C">
      <w:pPr>
        <w:pStyle w:val="1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B249CC0">
      <w:pPr>
        <w:pStyle w:val="3"/>
        <w:tabs>
          <w:tab w:val="left" w:pos="425"/>
        </w:tabs>
        <w:rPr>
          <w:rFonts w:hint="eastAsia" w:ascii="宋体" w:hAnsi="宋体" w:cs="宋体"/>
          <w:color w:val="auto"/>
          <w:sz w:val="32"/>
          <w:highlight w:val="none"/>
          <w:lang w:val="zh-CN"/>
        </w:rPr>
      </w:pPr>
      <w:bookmarkStart w:id="669" w:name="_Toc4043"/>
      <w:bookmarkStart w:id="670" w:name="_Toc6753"/>
      <w:bookmarkStart w:id="671" w:name="_Toc487"/>
      <w:bookmarkStart w:id="672" w:name="_Toc31598"/>
      <w:bookmarkStart w:id="673" w:name="_Toc6023"/>
      <w:bookmarkStart w:id="674" w:name="_Toc15520"/>
      <w:r>
        <w:rPr>
          <w:rFonts w:hint="eastAsia" w:ascii="宋体" w:hAnsi="宋体" w:cs="宋体"/>
          <w:color w:val="auto"/>
          <w:sz w:val="32"/>
          <w:highlight w:val="none"/>
          <w:lang w:val="zh-CN"/>
        </w:rPr>
        <w:t>格式</w:t>
      </w:r>
      <w:r>
        <w:rPr>
          <w:rFonts w:hint="eastAsia" w:ascii="宋体" w:hAnsi="宋体" w:cs="宋体"/>
          <w:color w:val="auto"/>
          <w:sz w:val="32"/>
          <w:highlight w:val="none"/>
        </w:rPr>
        <w:t>1</w:t>
      </w:r>
      <w:r>
        <w:rPr>
          <w:rFonts w:hint="eastAsia" w:ascii="宋体" w:hAnsi="宋体" w:cs="宋体"/>
          <w:color w:val="auto"/>
          <w:sz w:val="32"/>
          <w:highlight w:val="none"/>
          <w:lang w:val="en-US" w:eastAsia="zh-CN"/>
        </w:rPr>
        <w:t>7</w:t>
      </w:r>
      <w:r>
        <w:rPr>
          <w:rFonts w:hint="eastAsia" w:ascii="宋体" w:hAnsi="宋体" w:cs="宋体"/>
          <w:color w:val="auto"/>
          <w:sz w:val="32"/>
          <w:highlight w:val="none"/>
          <w:lang w:val="zh-CN"/>
        </w:rPr>
        <w:t>、</w:t>
      </w:r>
      <w:bookmarkEnd w:id="669"/>
      <w:bookmarkEnd w:id="670"/>
      <w:r>
        <w:rPr>
          <w:rFonts w:hint="eastAsia" w:ascii="宋体" w:hAnsi="宋体" w:cs="宋体"/>
          <w:color w:val="auto"/>
          <w:sz w:val="32"/>
          <w:highlight w:val="none"/>
          <w:lang w:val="zh-CN"/>
        </w:rPr>
        <w:t>实施方案</w:t>
      </w:r>
      <w:bookmarkEnd w:id="671"/>
      <w:bookmarkEnd w:id="672"/>
      <w:bookmarkEnd w:id="673"/>
    </w:p>
    <w:p w14:paraId="35D087D0">
      <w:pPr>
        <w:pStyle w:val="3"/>
        <w:tabs>
          <w:tab w:val="left" w:pos="425"/>
        </w:tabs>
        <w:rPr>
          <w:rFonts w:hint="eastAsia" w:ascii="宋体" w:hAnsi="宋体" w:cs="宋体"/>
          <w:color w:val="auto"/>
          <w:sz w:val="32"/>
          <w:highlight w:val="none"/>
          <w:lang w:val="zh-CN"/>
        </w:rPr>
      </w:pPr>
    </w:p>
    <w:p w14:paraId="32A285D0">
      <w:pPr>
        <w:autoSpaceDE w:val="0"/>
        <w:autoSpaceDN w:val="0"/>
        <w:spacing w:line="360" w:lineRule="auto"/>
        <w:ind w:firstLine="3120" w:firstLineChars="1300"/>
        <w:jc w:val="left"/>
        <w:rPr>
          <w:rFonts w:hint="eastAsia" w:eastAsia="宋体"/>
          <w:color w:val="auto"/>
          <w:sz w:val="24"/>
          <w:highlight w:val="none"/>
          <w:lang w:val="zh-CN"/>
        </w:rPr>
      </w:pPr>
      <w:r>
        <w:rPr>
          <w:rFonts w:hint="eastAsia" w:eastAsia="宋体"/>
          <w:color w:val="auto"/>
          <w:sz w:val="24"/>
          <w:highlight w:val="none"/>
          <w:lang w:val="zh-CN"/>
        </w:rPr>
        <w:t>（格式可自定）</w:t>
      </w:r>
    </w:p>
    <w:p w14:paraId="2CD7AE9C">
      <w:pPr>
        <w:pStyle w:val="3"/>
        <w:tabs>
          <w:tab w:val="left" w:pos="425"/>
        </w:tabs>
        <w:rPr>
          <w:rFonts w:hint="eastAsia" w:ascii="宋体" w:hAnsi="宋体" w:cs="宋体"/>
          <w:color w:val="auto"/>
          <w:sz w:val="32"/>
          <w:highlight w:val="none"/>
          <w:lang w:val="zh-CN"/>
        </w:rPr>
      </w:pPr>
    </w:p>
    <w:p w14:paraId="42710662">
      <w:pPr>
        <w:pStyle w:val="3"/>
        <w:tabs>
          <w:tab w:val="left" w:pos="425"/>
        </w:tabs>
        <w:rPr>
          <w:rFonts w:hint="eastAsia" w:ascii="宋体" w:hAnsi="宋体" w:cs="宋体"/>
          <w:color w:val="auto"/>
          <w:sz w:val="32"/>
          <w:highlight w:val="none"/>
          <w:lang w:val="zh-CN"/>
        </w:rPr>
      </w:pPr>
    </w:p>
    <w:p w14:paraId="00E850F9">
      <w:pPr>
        <w:pStyle w:val="3"/>
        <w:tabs>
          <w:tab w:val="left" w:pos="425"/>
        </w:tabs>
        <w:rPr>
          <w:rFonts w:hint="eastAsia" w:ascii="宋体" w:hAnsi="宋体" w:cs="宋体"/>
          <w:color w:val="auto"/>
          <w:sz w:val="32"/>
          <w:highlight w:val="none"/>
          <w:lang w:val="zh-CN"/>
        </w:rPr>
      </w:pPr>
    </w:p>
    <w:p w14:paraId="2647006C">
      <w:pPr>
        <w:pStyle w:val="3"/>
        <w:tabs>
          <w:tab w:val="left" w:pos="425"/>
        </w:tabs>
        <w:rPr>
          <w:rFonts w:hint="eastAsia" w:ascii="宋体" w:hAnsi="宋体" w:cs="宋体"/>
          <w:color w:val="auto"/>
          <w:sz w:val="32"/>
          <w:highlight w:val="none"/>
          <w:lang w:val="zh-CN"/>
        </w:rPr>
      </w:pPr>
    </w:p>
    <w:p w14:paraId="3AE9058C">
      <w:pPr>
        <w:pStyle w:val="3"/>
        <w:tabs>
          <w:tab w:val="left" w:pos="425"/>
        </w:tabs>
        <w:rPr>
          <w:rFonts w:hint="eastAsia" w:ascii="宋体" w:hAnsi="宋体" w:cs="宋体"/>
          <w:color w:val="auto"/>
          <w:sz w:val="32"/>
          <w:highlight w:val="none"/>
          <w:lang w:val="zh-CN"/>
        </w:rPr>
      </w:pPr>
    </w:p>
    <w:p w14:paraId="25FF9B98">
      <w:pPr>
        <w:pStyle w:val="3"/>
        <w:tabs>
          <w:tab w:val="left" w:pos="425"/>
        </w:tabs>
        <w:rPr>
          <w:rFonts w:hint="eastAsia" w:ascii="宋体" w:hAnsi="宋体" w:cs="宋体"/>
          <w:color w:val="auto"/>
          <w:sz w:val="32"/>
          <w:highlight w:val="none"/>
          <w:lang w:val="zh-CN"/>
        </w:rPr>
      </w:pPr>
    </w:p>
    <w:p w14:paraId="25EFE45A">
      <w:pPr>
        <w:pStyle w:val="3"/>
        <w:tabs>
          <w:tab w:val="left" w:pos="425"/>
        </w:tabs>
        <w:rPr>
          <w:rFonts w:hint="eastAsia" w:ascii="宋体" w:hAnsi="宋体" w:cs="宋体"/>
          <w:color w:val="auto"/>
          <w:sz w:val="32"/>
          <w:highlight w:val="none"/>
          <w:lang w:val="zh-CN"/>
        </w:rPr>
      </w:pPr>
    </w:p>
    <w:p w14:paraId="7ED4904B">
      <w:pPr>
        <w:pStyle w:val="3"/>
        <w:tabs>
          <w:tab w:val="left" w:pos="425"/>
        </w:tabs>
        <w:rPr>
          <w:rFonts w:hint="eastAsia" w:ascii="宋体" w:hAnsi="宋体" w:cs="宋体"/>
          <w:color w:val="auto"/>
          <w:sz w:val="32"/>
          <w:highlight w:val="none"/>
          <w:lang w:val="zh-CN"/>
        </w:rPr>
      </w:pPr>
    </w:p>
    <w:p w14:paraId="41D7544A">
      <w:pPr>
        <w:pStyle w:val="3"/>
        <w:tabs>
          <w:tab w:val="left" w:pos="425"/>
        </w:tabs>
        <w:rPr>
          <w:rFonts w:hint="eastAsia" w:ascii="宋体" w:hAnsi="宋体" w:cs="宋体"/>
          <w:color w:val="auto"/>
          <w:sz w:val="32"/>
          <w:highlight w:val="none"/>
          <w:lang w:val="zh-CN"/>
        </w:rPr>
      </w:pPr>
      <w:r>
        <w:rPr>
          <w:rFonts w:hint="eastAsia" w:ascii="宋体" w:hAnsi="宋体" w:cs="宋体"/>
          <w:color w:val="auto"/>
          <w:sz w:val="32"/>
          <w:highlight w:val="none"/>
          <w:lang w:val="zh-CN"/>
        </w:rPr>
        <w:br w:type="page"/>
      </w:r>
      <w:bookmarkStart w:id="675" w:name="_Toc26157"/>
      <w:bookmarkStart w:id="676" w:name="_Toc28403"/>
      <w:bookmarkStart w:id="677" w:name="_Toc16991"/>
      <w:bookmarkStart w:id="678" w:name="_Toc2528"/>
      <w:bookmarkStart w:id="679" w:name="_Toc2044"/>
      <w:r>
        <w:rPr>
          <w:rFonts w:hint="eastAsia" w:ascii="宋体" w:hAnsi="宋体" w:cs="宋体"/>
          <w:color w:val="auto"/>
          <w:sz w:val="32"/>
          <w:highlight w:val="none"/>
          <w:lang w:val="zh-CN"/>
        </w:rPr>
        <w:t>格式</w:t>
      </w:r>
      <w:r>
        <w:rPr>
          <w:rFonts w:hint="eastAsia" w:ascii="宋体" w:hAnsi="宋体" w:cs="宋体"/>
          <w:color w:val="auto"/>
          <w:sz w:val="32"/>
          <w:highlight w:val="none"/>
        </w:rPr>
        <w:t>1</w:t>
      </w:r>
      <w:r>
        <w:rPr>
          <w:rFonts w:hint="eastAsia" w:ascii="宋体" w:hAnsi="宋体" w:cs="宋体"/>
          <w:color w:val="auto"/>
          <w:sz w:val="32"/>
          <w:highlight w:val="none"/>
          <w:lang w:val="en-US" w:eastAsia="zh-CN"/>
        </w:rPr>
        <w:t>8</w:t>
      </w:r>
      <w:r>
        <w:rPr>
          <w:rFonts w:hint="eastAsia" w:ascii="宋体" w:hAnsi="宋体" w:cs="宋体"/>
          <w:color w:val="auto"/>
          <w:sz w:val="32"/>
          <w:highlight w:val="none"/>
          <w:lang w:val="zh-CN"/>
        </w:rPr>
        <w:t>、供应商的业绩证明材料</w:t>
      </w:r>
      <w:bookmarkEnd w:id="674"/>
      <w:bookmarkEnd w:id="675"/>
      <w:bookmarkEnd w:id="676"/>
      <w:bookmarkEnd w:id="677"/>
      <w:bookmarkEnd w:id="678"/>
      <w:bookmarkEnd w:id="679"/>
    </w:p>
    <w:p w14:paraId="54937EB7">
      <w:pPr>
        <w:autoSpaceDE w:val="0"/>
        <w:autoSpaceDN w:val="0"/>
        <w:spacing w:line="360" w:lineRule="auto"/>
        <w:rPr>
          <w:rFonts w:hint="eastAsia" w:ascii="宋体" w:hAnsi="宋体" w:cs="宋体"/>
          <w:color w:val="auto"/>
          <w:kern w:val="0"/>
          <w:sz w:val="28"/>
          <w:szCs w:val="28"/>
          <w:highlight w:val="none"/>
          <w:lang w:val="zh-CN"/>
        </w:rPr>
      </w:pPr>
    </w:p>
    <w:p w14:paraId="419AAFD8">
      <w:pPr>
        <w:autoSpaceDE w:val="0"/>
        <w:autoSpaceDN w:val="0"/>
        <w:spacing w:line="360" w:lineRule="auto"/>
        <w:jc w:val="center"/>
        <w:rPr>
          <w:rFonts w:hint="eastAsia" w:ascii="宋体" w:hAnsi="宋体" w:cs="宋体"/>
          <w:b/>
          <w:bCs/>
          <w:color w:val="auto"/>
          <w:kern w:val="0"/>
          <w:sz w:val="36"/>
          <w:szCs w:val="36"/>
          <w:highlight w:val="none"/>
          <w:lang w:val="zh-CN"/>
        </w:rPr>
      </w:pPr>
      <w:r>
        <w:rPr>
          <w:rFonts w:hint="eastAsia" w:ascii="宋体" w:hAnsi="宋体" w:cs="宋体"/>
          <w:b/>
          <w:bCs/>
          <w:color w:val="auto"/>
          <w:kern w:val="0"/>
          <w:sz w:val="28"/>
          <w:szCs w:val="28"/>
          <w:highlight w:val="none"/>
          <w:lang w:val="zh-CN"/>
        </w:rPr>
        <w:t>供应商的类似业绩证明材料</w:t>
      </w:r>
    </w:p>
    <w:p w14:paraId="1BAB26B1">
      <w:pPr>
        <w:pStyle w:val="10"/>
        <w:ind w:firstLine="480" w:firstLineChars="200"/>
        <w:rPr>
          <w:rFonts w:hint="eastAsia"/>
          <w:color w:val="auto"/>
          <w:highlight w:val="none"/>
          <w:lang w:val="zh-CN"/>
        </w:rPr>
      </w:pPr>
      <w:bookmarkStart w:id="680" w:name="_Toc8294"/>
      <w:r>
        <w:rPr>
          <w:rFonts w:hint="eastAsia"/>
          <w:color w:val="auto"/>
          <w:highlight w:val="none"/>
          <w:lang w:val="zh-CN"/>
        </w:rPr>
        <w:br w:type="page"/>
      </w:r>
      <w:bookmarkStart w:id="681" w:name="_Toc11780"/>
      <w:bookmarkStart w:id="682" w:name="_Toc6939"/>
      <w:r>
        <w:rPr>
          <w:rFonts w:hint="eastAsia" w:ascii="宋体" w:hAnsi="宋体" w:eastAsia="宋体" w:cs="宋体"/>
          <w:b/>
          <w:bCs/>
          <w:iCs/>
          <w:color w:val="auto"/>
          <w:sz w:val="32"/>
          <w:szCs w:val="32"/>
          <w:highlight w:val="none"/>
          <w:lang w:val="zh-CN" w:eastAsia="zh-CN" w:bidi="ar-SA"/>
        </w:rPr>
        <w:t>格式1</w:t>
      </w:r>
      <w:r>
        <w:rPr>
          <w:rFonts w:hint="eastAsia" w:cs="宋体"/>
          <w:b/>
          <w:bCs/>
          <w:iCs/>
          <w:color w:val="auto"/>
          <w:sz w:val="32"/>
          <w:szCs w:val="32"/>
          <w:highlight w:val="none"/>
          <w:lang w:val="en-US" w:eastAsia="zh-CN" w:bidi="ar-SA"/>
        </w:rPr>
        <w:t>9</w:t>
      </w:r>
      <w:r>
        <w:rPr>
          <w:rFonts w:hint="eastAsia" w:ascii="宋体" w:hAnsi="宋体" w:eastAsia="宋体" w:cs="宋体"/>
          <w:b/>
          <w:bCs/>
          <w:iCs/>
          <w:color w:val="auto"/>
          <w:sz w:val="32"/>
          <w:szCs w:val="32"/>
          <w:highlight w:val="none"/>
          <w:lang w:val="zh-CN" w:eastAsia="zh-CN" w:bidi="ar-SA"/>
        </w:rPr>
        <w:t>、项目管理机构人员配备</w:t>
      </w:r>
      <w:bookmarkEnd w:id="680"/>
      <w:bookmarkEnd w:id="681"/>
      <w:bookmarkEnd w:id="682"/>
    </w:p>
    <w:p w14:paraId="1BB811D3">
      <w:pPr>
        <w:ind w:firstLine="482"/>
        <w:rPr>
          <w:rFonts w:hint="eastAsia"/>
          <w:b/>
          <w:bCs/>
          <w:color w:val="auto"/>
          <w:sz w:val="24"/>
          <w:szCs w:val="24"/>
          <w:highlight w:val="none"/>
        </w:rPr>
      </w:pPr>
    </w:p>
    <w:tbl>
      <w:tblPr>
        <w:tblStyle w:val="24"/>
        <w:tblW w:w="9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926"/>
        <w:gridCol w:w="926"/>
        <w:gridCol w:w="926"/>
        <w:gridCol w:w="1777"/>
        <w:gridCol w:w="1208"/>
        <w:gridCol w:w="2379"/>
      </w:tblGrid>
      <w:tr w14:paraId="0121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3619CEFB">
            <w:pPr>
              <w:spacing w:before="100" w:beforeAutospacing="1" w:after="100" w:afterAutospacing="1"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926" w:type="dxa"/>
            <w:tcBorders>
              <w:top w:val="single" w:color="auto" w:sz="4" w:space="0"/>
              <w:left w:val="nil"/>
              <w:bottom w:val="single" w:color="auto" w:sz="4" w:space="0"/>
              <w:right w:val="single" w:color="auto" w:sz="4" w:space="0"/>
            </w:tcBorders>
            <w:noWrap w:val="0"/>
            <w:vAlign w:val="center"/>
          </w:tcPr>
          <w:p w14:paraId="3C2AF0EF">
            <w:pPr>
              <w:spacing w:before="100" w:beforeAutospacing="1" w:after="100" w:afterAutospacing="1"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926" w:type="dxa"/>
            <w:tcBorders>
              <w:top w:val="single" w:color="auto" w:sz="4" w:space="0"/>
              <w:left w:val="nil"/>
              <w:bottom w:val="single" w:color="auto" w:sz="4" w:space="0"/>
              <w:right w:val="single" w:color="auto" w:sz="4" w:space="0"/>
            </w:tcBorders>
            <w:noWrap w:val="0"/>
            <w:vAlign w:val="center"/>
          </w:tcPr>
          <w:p w14:paraId="42107A13">
            <w:pPr>
              <w:spacing w:before="100" w:beforeAutospacing="1" w:after="100" w:afterAutospacing="1"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926" w:type="dxa"/>
            <w:tcBorders>
              <w:top w:val="single" w:color="auto" w:sz="4" w:space="0"/>
              <w:left w:val="nil"/>
              <w:bottom w:val="single" w:color="auto" w:sz="4" w:space="0"/>
              <w:right w:val="single" w:color="auto" w:sz="4" w:space="0"/>
            </w:tcBorders>
            <w:noWrap w:val="0"/>
            <w:vAlign w:val="center"/>
          </w:tcPr>
          <w:p w14:paraId="0330BC97">
            <w:pPr>
              <w:spacing w:before="100" w:beforeAutospacing="1" w:after="100" w:afterAutospacing="1"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777" w:type="dxa"/>
            <w:tcBorders>
              <w:top w:val="single" w:color="auto" w:sz="4" w:space="0"/>
              <w:left w:val="nil"/>
              <w:bottom w:val="single" w:color="auto" w:sz="4" w:space="0"/>
              <w:right w:val="single" w:color="auto" w:sz="4" w:space="0"/>
            </w:tcBorders>
            <w:noWrap w:val="0"/>
            <w:vAlign w:val="center"/>
          </w:tcPr>
          <w:p w14:paraId="661BFB49">
            <w:pPr>
              <w:spacing w:before="100" w:beforeAutospacing="1" w:after="100" w:afterAutospacing="1"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所附证件</w:t>
            </w:r>
          </w:p>
        </w:tc>
        <w:tc>
          <w:tcPr>
            <w:tcW w:w="1208" w:type="dxa"/>
            <w:tcBorders>
              <w:top w:val="single" w:color="auto" w:sz="4" w:space="0"/>
              <w:left w:val="nil"/>
              <w:bottom w:val="single" w:color="auto" w:sz="4" w:space="0"/>
              <w:right w:val="single" w:color="auto" w:sz="4" w:space="0"/>
            </w:tcBorders>
            <w:noWrap w:val="0"/>
            <w:vAlign w:val="center"/>
          </w:tcPr>
          <w:p w14:paraId="6ABB92A3">
            <w:pPr>
              <w:spacing w:before="100" w:beforeAutospacing="1" w:after="100" w:afterAutospacing="1"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专业及技术职称</w:t>
            </w:r>
          </w:p>
        </w:tc>
        <w:tc>
          <w:tcPr>
            <w:tcW w:w="2379" w:type="dxa"/>
            <w:tcBorders>
              <w:top w:val="single" w:color="auto" w:sz="4" w:space="0"/>
              <w:left w:val="nil"/>
              <w:bottom w:val="single" w:color="auto" w:sz="4" w:space="0"/>
              <w:right w:val="single" w:color="auto" w:sz="4" w:space="0"/>
            </w:tcBorders>
            <w:noWrap w:val="0"/>
            <w:vAlign w:val="center"/>
          </w:tcPr>
          <w:p w14:paraId="7C820F4E">
            <w:pPr>
              <w:spacing w:line="400" w:lineRule="exact"/>
              <w:ind w:firstLine="480" w:firstLineChars="200"/>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本项目拟任岗位</w:t>
            </w:r>
          </w:p>
        </w:tc>
      </w:tr>
      <w:tr w14:paraId="1A53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1CE0FF28">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E030297">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92806AC">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336C4A9">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4035946C">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159E05CC">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00D1F1C8">
            <w:pPr>
              <w:spacing w:line="400" w:lineRule="exact"/>
              <w:ind w:firstLine="480" w:firstLineChars="200"/>
              <w:jc w:val="center"/>
              <w:rPr>
                <w:rFonts w:hint="eastAsia" w:ascii="宋体" w:hAnsi="宋体" w:eastAsia="宋体" w:cs="宋体"/>
                <w:color w:val="auto"/>
                <w:sz w:val="24"/>
                <w:szCs w:val="24"/>
                <w:highlight w:val="none"/>
              </w:rPr>
            </w:pPr>
          </w:p>
        </w:tc>
      </w:tr>
      <w:tr w14:paraId="57A7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365FCBF9">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693A05F">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21C2158">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7E54480">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0AB330E2">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303226CB">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4782E373">
            <w:pPr>
              <w:spacing w:line="400" w:lineRule="exact"/>
              <w:ind w:firstLine="480" w:firstLineChars="200"/>
              <w:jc w:val="center"/>
              <w:rPr>
                <w:rFonts w:hint="eastAsia" w:ascii="宋体" w:hAnsi="宋体" w:eastAsia="宋体" w:cs="宋体"/>
                <w:color w:val="auto"/>
                <w:sz w:val="24"/>
                <w:szCs w:val="24"/>
                <w:highlight w:val="none"/>
              </w:rPr>
            </w:pPr>
          </w:p>
        </w:tc>
      </w:tr>
      <w:tr w14:paraId="6122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3FB8C63B">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367318D">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874287B">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4198C12">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10A83AC9">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1DD258A8">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44D8EF45">
            <w:pPr>
              <w:spacing w:line="400" w:lineRule="exact"/>
              <w:ind w:firstLine="480" w:firstLineChars="200"/>
              <w:jc w:val="center"/>
              <w:rPr>
                <w:rFonts w:hint="eastAsia" w:ascii="宋体" w:hAnsi="宋体" w:eastAsia="宋体" w:cs="宋体"/>
                <w:color w:val="auto"/>
                <w:sz w:val="24"/>
                <w:szCs w:val="24"/>
                <w:highlight w:val="none"/>
              </w:rPr>
            </w:pPr>
          </w:p>
        </w:tc>
      </w:tr>
      <w:tr w14:paraId="078A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1F6749C4">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50CD24F">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00E0FD0">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C87784D">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07C6A029">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00A4DF54">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3E1412BA">
            <w:pPr>
              <w:spacing w:line="400" w:lineRule="exact"/>
              <w:ind w:firstLine="480" w:firstLineChars="200"/>
              <w:jc w:val="center"/>
              <w:rPr>
                <w:rFonts w:hint="eastAsia" w:ascii="宋体" w:hAnsi="宋体" w:eastAsia="宋体" w:cs="宋体"/>
                <w:color w:val="auto"/>
                <w:sz w:val="24"/>
                <w:szCs w:val="24"/>
                <w:highlight w:val="none"/>
              </w:rPr>
            </w:pPr>
          </w:p>
        </w:tc>
      </w:tr>
      <w:tr w14:paraId="4485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12A6EBEA">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23951E75">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CFD3D67">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C691311">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00D80D0E">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047B01F3">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6E230242">
            <w:pPr>
              <w:spacing w:line="400" w:lineRule="exact"/>
              <w:ind w:firstLine="480" w:firstLineChars="200"/>
              <w:jc w:val="center"/>
              <w:rPr>
                <w:rFonts w:hint="eastAsia" w:ascii="宋体" w:hAnsi="宋体" w:eastAsia="宋体" w:cs="宋体"/>
                <w:color w:val="auto"/>
                <w:sz w:val="24"/>
                <w:szCs w:val="24"/>
                <w:highlight w:val="none"/>
              </w:rPr>
            </w:pPr>
          </w:p>
        </w:tc>
      </w:tr>
      <w:tr w14:paraId="119F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270FAA2E">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BF4FEA3">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1C29BDA">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3B7657FE">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5540CCA3">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07345493">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302A9F4C">
            <w:pPr>
              <w:spacing w:line="400" w:lineRule="exact"/>
              <w:ind w:firstLine="480" w:firstLineChars="200"/>
              <w:jc w:val="center"/>
              <w:rPr>
                <w:rFonts w:hint="eastAsia" w:ascii="宋体" w:hAnsi="宋体" w:eastAsia="宋体" w:cs="宋体"/>
                <w:color w:val="auto"/>
                <w:sz w:val="24"/>
                <w:szCs w:val="24"/>
                <w:highlight w:val="none"/>
              </w:rPr>
            </w:pPr>
          </w:p>
        </w:tc>
      </w:tr>
      <w:tr w14:paraId="4EF3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714A5DD5">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291B0AC0">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4A5C2D7">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0196208">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3C37A264">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17B0C206">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15C2E975">
            <w:pPr>
              <w:spacing w:line="400" w:lineRule="exact"/>
              <w:ind w:firstLine="480" w:firstLineChars="200"/>
              <w:jc w:val="center"/>
              <w:rPr>
                <w:rFonts w:hint="eastAsia" w:ascii="宋体" w:hAnsi="宋体" w:eastAsia="宋体" w:cs="宋体"/>
                <w:color w:val="auto"/>
                <w:sz w:val="24"/>
                <w:szCs w:val="24"/>
                <w:highlight w:val="none"/>
              </w:rPr>
            </w:pPr>
          </w:p>
        </w:tc>
      </w:tr>
      <w:tr w14:paraId="077E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5779322C">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AC528EF">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C6EBD1F">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CD09863">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2A65AC93">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126EBE95">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13E1E102">
            <w:pPr>
              <w:spacing w:line="400" w:lineRule="exact"/>
              <w:ind w:firstLine="480" w:firstLineChars="200"/>
              <w:jc w:val="center"/>
              <w:rPr>
                <w:rFonts w:hint="eastAsia" w:ascii="宋体" w:hAnsi="宋体" w:eastAsia="宋体" w:cs="宋体"/>
                <w:color w:val="auto"/>
                <w:sz w:val="24"/>
                <w:szCs w:val="24"/>
                <w:highlight w:val="none"/>
              </w:rPr>
            </w:pPr>
          </w:p>
        </w:tc>
      </w:tr>
      <w:tr w14:paraId="6D94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29E7068C">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39EDF8E3">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C7DAC99">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9607D7E">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66867F6D">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27685F10">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07355DDC">
            <w:pPr>
              <w:spacing w:line="400" w:lineRule="exact"/>
              <w:ind w:firstLine="480" w:firstLineChars="200"/>
              <w:jc w:val="center"/>
              <w:rPr>
                <w:rFonts w:hint="eastAsia" w:ascii="宋体" w:hAnsi="宋体" w:eastAsia="宋体" w:cs="宋体"/>
                <w:color w:val="auto"/>
                <w:sz w:val="24"/>
                <w:szCs w:val="24"/>
                <w:highlight w:val="none"/>
              </w:rPr>
            </w:pPr>
          </w:p>
        </w:tc>
      </w:tr>
      <w:tr w14:paraId="5C87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4065A861">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33B9FF4B">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18793B2">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E4ADA82">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4DF80F05">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5D33B06">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57166107">
            <w:pPr>
              <w:spacing w:line="400" w:lineRule="exact"/>
              <w:ind w:firstLine="480" w:firstLineChars="200"/>
              <w:jc w:val="center"/>
              <w:rPr>
                <w:rFonts w:hint="eastAsia" w:ascii="宋体" w:hAnsi="宋体" w:eastAsia="宋体" w:cs="宋体"/>
                <w:color w:val="auto"/>
                <w:sz w:val="24"/>
                <w:szCs w:val="24"/>
                <w:highlight w:val="none"/>
              </w:rPr>
            </w:pPr>
          </w:p>
        </w:tc>
      </w:tr>
      <w:tr w14:paraId="58F3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64BB2CF4">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3F3084FC">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05501EA">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018BD4B">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4C26F097">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2255E6AA">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05BBAECE">
            <w:pPr>
              <w:spacing w:line="400" w:lineRule="exact"/>
              <w:ind w:firstLine="480" w:firstLineChars="200"/>
              <w:jc w:val="center"/>
              <w:rPr>
                <w:rFonts w:hint="eastAsia" w:ascii="宋体" w:hAnsi="宋体" w:eastAsia="宋体" w:cs="宋体"/>
                <w:color w:val="auto"/>
                <w:sz w:val="24"/>
                <w:szCs w:val="24"/>
                <w:highlight w:val="none"/>
              </w:rPr>
            </w:pPr>
          </w:p>
        </w:tc>
      </w:tr>
      <w:tr w14:paraId="3E1A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022ED742">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32531F9">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BE86982">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5487D62">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15F8DED3">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9B384D4">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73892D96">
            <w:pPr>
              <w:spacing w:line="400" w:lineRule="exact"/>
              <w:ind w:firstLine="480" w:firstLineChars="200"/>
              <w:jc w:val="center"/>
              <w:rPr>
                <w:rFonts w:hint="eastAsia" w:ascii="宋体" w:hAnsi="宋体" w:eastAsia="宋体" w:cs="宋体"/>
                <w:color w:val="auto"/>
                <w:sz w:val="24"/>
                <w:szCs w:val="24"/>
                <w:highlight w:val="none"/>
              </w:rPr>
            </w:pPr>
          </w:p>
        </w:tc>
      </w:tr>
      <w:tr w14:paraId="73CBB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38B82E28">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151F19B">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E2C4C1E">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312457F">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370205A3">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F5488F8">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4C86E774">
            <w:pPr>
              <w:spacing w:line="400" w:lineRule="exact"/>
              <w:ind w:firstLine="480" w:firstLineChars="200"/>
              <w:jc w:val="center"/>
              <w:rPr>
                <w:rFonts w:hint="eastAsia" w:ascii="宋体" w:hAnsi="宋体" w:eastAsia="宋体" w:cs="宋体"/>
                <w:color w:val="auto"/>
                <w:sz w:val="24"/>
                <w:szCs w:val="24"/>
                <w:highlight w:val="none"/>
              </w:rPr>
            </w:pPr>
          </w:p>
        </w:tc>
      </w:tr>
      <w:tr w14:paraId="4592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0178E83E">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2CB8DC4">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3A3E187C">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2F797CA1">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2E9A296D">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2AE6D962">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7E3485A5">
            <w:pPr>
              <w:spacing w:line="400" w:lineRule="exact"/>
              <w:ind w:firstLine="480" w:firstLineChars="200"/>
              <w:jc w:val="center"/>
              <w:rPr>
                <w:rFonts w:hint="eastAsia" w:ascii="宋体" w:hAnsi="宋体" w:eastAsia="宋体" w:cs="宋体"/>
                <w:color w:val="auto"/>
                <w:sz w:val="24"/>
                <w:szCs w:val="24"/>
                <w:highlight w:val="none"/>
              </w:rPr>
            </w:pPr>
          </w:p>
        </w:tc>
      </w:tr>
      <w:tr w14:paraId="6C43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65FDBF28">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D419467">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134518BF">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2A15FBD">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00270923">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56258686">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072DF907">
            <w:pPr>
              <w:spacing w:line="400" w:lineRule="exact"/>
              <w:ind w:firstLine="480" w:firstLineChars="200"/>
              <w:jc w:val="center"/>
              <w:rPr>
                <w:rFonts w:hint="eastAsia" w:ascii="宋体" w:hAnsi="宋体" w:eastAsia="宋体" w:cs="宋体"/>
                <w:color w:val="auto"/>
                <w:sz w:val="24"/>
                <w:szCs w:val="24"/>
                <w:highlight w:val="none"/>
              </w:rPr>
            </w:pPr>
          </w:p>
        </w:tc>
      </w:tr>
      <w:tr w14:paraId="1C86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55D72760">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89696AB">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CEC13AD">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62FE4CF0">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507E2AE4">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B4239F8">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40DFB6D1">
            <w:pPr>
              <w:spacing w:line="400" w:lineRule="exact"/>
              <w:ind w:firstLine="480" w:firstLineChars="200"/>
              <w:jc w:val="center"/>
              <w:rPr>
                <w:rFonts w:hint="eastAsia" w:ascii="宋体" w:hAnsi="宋体" w:eastAsia="宋体" w:cs="宋体"/>
                <w:color w:val="auto"/>
                <w:sz w:val="24"/>
                <w:szCs w:val="24"/>
                <w:highlight w:val="none"/>
              </w:rPr>
            </w:pPr>
          </w:p>
        </w:tc>
      </w:tr>
      <w:tr w14:paraId="7A09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36F864EC">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A4FAD7E">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93BB84A">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27DF397E">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3B5285CC">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73576A2">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46576AA5">
            <w:pPr>
              <w:spacing w:line="400" w:lineRule="exact"/>
              <w:ind w:firstLine="480" w:firstLineChars="200"/>
              <w:jc w:val="center"/>
              <w:rPr>
                <w:rFonts w:hint="eastAsia" w:ascii="宋体" w:hAnsi="宋体" w:eastAsia="宋体" w:cs="宋体"/>
                <w:color w:val="auto"/>
                <w:sz w:val="24"/>
                <w:szCs w:val="24"/>
                <w:highlight w:val="none"/>
              </w:rPr>
            </w:pPr>
          </w:p>
        </w:tc>
      </w:tr>
      <w:tr w14:paraId="60B8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42D74829">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07C2750">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C03EAFD">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09F1FB1">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19F65956">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37BF0C06">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12606868">
            <w:pPr>
              <w:spacing w:line="400" w:lineRule="exact"/>
              <w:ind w:firstLine="480" w:firstLineChars="200"/>
              <w:jc w:val="center"/>
              <w:rPr>
                <w:rFonts w:hint="eastAsia" w:ascii="宋体" w:hAnsi="宋体" w:eastAsia="宋体" w:cs="宋体"/>
                <w:color w:val="auto"/>
                <w:sz w:val="24"/>
                <w:szCs w:val="24"/>
                <w:highlight w:val="none"/>
              </w:rPr>
            </w:pPr>
          </w:p>
        </w:tc>
      </w:tr>
      <w:tr w14:paraId="7B9C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6EFA8A9B">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85E5CE7">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46DB53C3">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D07222C">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01A94FBD">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4FF1137">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3CAF7EF1">
            <w:pPr>
              <w:spacing w:line="400" w:lineRule="exact"/>
              <w:ind w:firstLine="480" w:firstLineChars="200"/>
              <w:jc w:val="center"/>
              <w:rPr>
                <w:rFonts w:hint="eastAsia" w:ascii="宋体" w:hAnsi="宋体" w:eastAsia="宋体" w:cs="宋体"/>
                <w:color w:val="auto"/>
                <w:sz w:val="24"/>
                <w:szCs w:val="24"/>
                <w:highlight w:val="none"/>
              </w:rPr>
            </w:pPr>
          </w:p>
        </w:tc>
      </w:tr>
      <w:tr w14:paraId="70FD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7" w:type="dxa"/>
            <w:tcBorders>
              <w:top w:val="single" w:color="auto" w:sz="4" w:space="0"/>
              <w:left w:val="single" w:color="auto" w:sz="4" w:space="0"/>
              <w:bottom w:val="single" w:color="auto" w:sz="4" w:space="0"/>
              <w:right w:val="single" w:color="auto" w:sz="4" w:space="0"/>
            </w:tcBorders>
            <w:noWrap w:val="0"/>
            <w:vAlign w:val="center"/>
          </w:tcPr>
          <w:p w14:paraId="578B2327">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7DAAC843">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01FD33F9">
            <w:pPr>
              <w:spacing w:line="400" w:lineRule="exact"/>
              <w:ind w:firstLine="480" w:firstLineChars="200"/>
              <w:jc w:val="center"/>
              <w:rPr>
                <w:rFonts w:hint="eastAsia" w:ascii="宋体" w:hAnsi="宋体" w:eastAsia="宋体" w:cs="宋体"/>
                <w:color w:val="auto"/>
                <w:sz w:val="24"/>
                <w:szCs w:val="24"/>
                <w:highlight w:val="none"/>
              </w:rPr>
            </w:pPr>
          </w:p>
        </w:tc>
        <w:tc>
          <w:tcPr>
            <w:tcW w:w="926" w:type="dxa"/>
            <w:tcBorders>
              <w:top w:val="single" w:color="auto" w:sz="4" w:space="0"/>
              <w:left w:val="nil"/>
              <w:bottom w:val="single" w:color="auto" w:sz="4" w:space="0"/>
              <w:right w:val="single" w:color="auto" w:sz="4" w:space="0"/>
            </w:tcBorders>
            <w:noWrap w:val="0"/>
            <w:vAlign w:val="center"/>
          </w:tcPr>
          <w:p w14:paraId="56339921">
            <w:pPr>
              <w:spacing w:line="400" w:lineRule="exact"/>
              <w:ind w:firstLine="480" w:firstLineChars="200"/>
              <w:jc w:val="center"/>
              <w:rPr>
                <w:rFonts w:hint="eastAsia" w:ascii="宋体" w:hAnsi="宋体" w:eastAsia="宋体" w:cs="宋体"/>
                <w:color w:val="auto"/>
                <w:sz w:val="24"/>
                <w:szCs w:val="24"/>
                <w:highlight w:val="none"/>
              </w:rPr>
            </w:pPr>
          </w:p>
        </w:tc>
        <w:tc>
          <w:tcPr>
            <w:tcW w:w="1777" w:type="dxa"/>
            <w:tcBorders>
              <w:top w:val="single" w:color="auto" w:sz="4" w:space="0"/>
              <w:left w:val="nil"/>
              <w:bottom w:val="single" w:color="auto" w:sz="4" w:space="0"/>
              <w:right w:val="single" w:color="auto" w:sz="4" w:space="0"/>
            </w:tcBorders>
            <w:noWrap w:val="0"/>
            <w:vAlign w:val="center"/>
          </w:tcPr>
          <w:p w14:paraId="03DCEF59">
            <w:pPr>
              <w:spacing w:line="400" w:lineRule="exact"/>
              <w:ind w:firstLine="480" w:firstLineChars="200"/>
              <w:jc w:val="center"/>
              <w:rPr>
                <w:rFonts w:hint="eastAsia" w:ascii="宋体" w:hAnsi="宋体" w:eastAsia="宋体" w:cs="宋体"/>
                <w:color w:val="auto"/>
                <w:sz w:val="24"/>
                <w:szCs w:val="24"/>
                <w:highlight w:val="none"/>
              </w:rPr>
            </w:pPr>
          </w:p>
        </w:tc>
        <w:tc>
          <w:tcPr>
            <w:tcW w:w="1208" w:type="dxa"/>
            <w:tcBorders>
              <w:top w:val="single" w:color="auto" w:sz="4" w:space="0"/>
              <w:left w:val="nil"/>
              <w:bottom w:val="single" w:color="auto" w:sz="4" w:space="0"/>
              <w:right w:val="single" w:color="auto" w:sz="4" w:space="0"/>
            </w:tcBorders>
            <w:noWrap w:val="0"/>
            <w:vAlign w:val="center"/>
          </w:tcPr>
          <w:p w14:paraId="79C9A849">
            <w:pPr>
              <w:spacing w:line="400" w:lineRule="exact"/>
              <w:ind w:firstLine="480" w:firstLineChars="200"/>
              <w:jc w:val="center"/>
              <w:rPr>
                <w:rFonts w:hint="eastAsia" w:ascii="宋体" w:hAnsi="宋体" w:eastAsia="宋体" w:cs="宋体"/>
                <w:color w:val="auto"/>
                <w:sz w:val="24"/>
                <w:szCs w:val="24"/>
                <w:highlight w:val="none"/>
              </w:rPr>
            </w:pPr>
          </w:p>
        </w:tc>
        <w:tc>
          <w:tcPr>
            <w:tcW w:w="2379" w:type="dxa"/>
            <w:tcBorders>
              <w:top w:val="single" w:color="auto" w:sz="4" w:space="0"/>
              <w:left w:val="nil"/>
              <w:bottom w:val="single" w:color="auto" w:sz="4" w:space="0"/>
              <w:right w:val="single" w:color="auto" w:sz="4" w:space="0"/>
            </w:tcBorders>
            <w:noWrap w:val="0"/>
            <w:vAlign w:val="center"/>
          </w:tcPr>
          <w:p w14:paraId="75D2A21A">
            <w:pPr>
              <w:spacing w:line="400" w:lineRule="exact"/>
              <w:ind w:firstLine="480" w:firstLineChars="200"/>
              <w:jc w:val="center"/>
              <w:rPr>
                <w:rFonts w:hint="eastAsia" w:ascii="宋体" w:hAnsi="宋体" w:eastAsia="宋体" w:cs="宋体"/>
                <w:color w:val="auto"/>
                <w:sz w:val="24"/>
                <w:szCs w:val="24"/>
                <w:highlight w:val="none"/>
              </w:rPr>
            </w:pPr>
          </w:p>
        </w:tc>
      </w:tr>
    </w:tbl>
    <w:p w14:paraId="78EC7357">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eastAsia="宋体" w:cs="宋体"/>
          <w:color w:val="auto"/>
          <w:sz w:val="24"/>
          <w:szCs w:val="24"/>
          <w:highlight w:val="none"/>
          <w:lang w:eastAsia="zh-CN"/>
        </w:rPr>
        <w:t>供应商</w:t>
      </w:r>
      <w:r>
        <w:rPr>
          <w:rFonts w:hint="eastAsia" w:ascii="宋体" w:hAnsi="宋体" w:eastAsia="宋体" w:cs="宋体"/>
          <w:color w:val="auto"/>
          <w:sz w:val="24"/>
          <w:szCs w:val="24"/>
          <w:highlight w:val="none"/>
        </w:rPr>
        <w:t>根据项目人员配备情况填写该表及附身份证或驾照、劳工合同等内容列入本表人员如要更换，需经采购人单位同意。擅自更换或不到位属违约行为。</w:t>
      </w:r>
    </w:p>
    <w:p w14:paraId="434DB0E1">
      <w:pPr>
        <w:pStyle w:val="30"/>
        <w:ind w:firstLine="420"/>
        <w:rPr>
          <w:rFonts w:hint="eastAsia" w:ascii="宋体" w:hAnsi="宋体" w:eastAsia="宋体" w:cs="宋体"/>
          <w:color w:val="auto"/>
          <w:sz w:val="24"/>
          <w:szCs w:val="24"/>
          <w:highlight w:val="none"/>
          <w:lang w:val="zh-CN"/>
        </w:rPr>
      </w:pPr>
    </w:p>
    <w:p w14:paraId="6D003B02">
      <w:pPr>
        <w:pStyle w:val="3"/>
        <w:tabs>
          <w:tab w:val="left" w:pos="425"/>
        </w:tabs>
        <w:rPr>
          <w:rFonts w:hint="eastAsia" w:ascii="宋体" w:hAnsi="宋体" w:eastAsia="宋体" w:cs="宋体"/>
          <w:color w:val="auto"/>
          <w:sz w:val="24"/>
          <w:szCs w:val="24"/>
          <w:highlight w:val="none"/>
          <w:lang w:val="zh-CN"/>
        </w:rPr>
      </w:pPr>
    </w:p>
    <w:p w14:paraId="2F080935">
      <w:pPr>
        <w:autoSpaceDE w:val="0"/>
        <w:autoSpaceDN w:val="0"/>
        <w:spacing w:line="360" w:lineRule="auto"/>
        <w:jc w:val="left"/>
        <w:rPr>
          <w:rFonts w:hint="eastAsia" w:eastAsia="宋体"/>
          <w:color w:val="auto"/>
          <w:sz w:val="24"/>
          <w:highlight w:val="none"/>
          <w:lang w:val="zh-CN"/>
        </w:rPr>
      </w:pPr>
      <w:bookmarkStart w:id="683" w:name="_Toc22397"/>
      <w:bookmarkStart w:id="684" w:name="_Toc24907"/>
      <w:bookmarkStart w:id="685" w:name="_Toc27956"/>
    </w:p>
    <w:p w14:paraId="0EC1C7CF">
      <w:pPr>
        <w:pStyle w:val="4"/>
        <w:numPr>
          <w:ilvl w:val="0"/>
          <w:numId w:val="0"/>
        </w:numPr>
        <w:tabs>
          <w:tab w:val="left" w:pos="425"/>
        </w:tabs>
        <w:spacing w:line="360" w:lineRule="auto"/>
        <w:rPr>
          <w:rFonts w:hint="eastAsia" w:eastAsia="宋体" w:cs="宋体"/>
          <w:b/>
          <w:color w:val="auto"/>
          <w:sz w:val="32"/>
          <w:highlight w:val="none"/>
          <w:lang w:val="zh-CN"/>
        </w:rPr>
      </w:pPr>
      <w:bookmarkStart w:id="686" w:name="_Toc31212"/>
      <w:r>
        <w:rPr>
          <w:rFonts w:hint="eastAsia" w:ascii="宋体" w:hAnsi="宋体" w:cs="宋体"/>
          <w:color w:val="auto"/>
          <w:sz w:val="32"/>
          <w:highlight w:val="none"/>
          <w:lang w:val="zh-CN"/>
        </w:rPr>
        <w:br w:type="page"/>
      </w:r>
      <w:bookmarkStart w:id="687" w:name="_Toc8485"/>
      <w:bookmarkStart w:id="688" w:name="_Toc5656"/>
      <w:r>
        <w:rPr>
          <w:rFonts w:hint="eastAsia" w:eastAsia="宋体" w:cs="宋体"/>
          <w:b/>
          <w:color w:val="auto"/>
          <w:sz w:val="32"/>
          <w:highlight w:val="none"/>
          <w:lang w:val="zh-CN"/>
        </w:rPr>
        <w:t>格式</w:t>
      </w:r>
      <w:bookmarkEnd w:id="683"/>
      <w:bookmarkEnd w:id="684"/>
      <w:bookmarkEnd w:id="685"/>
      <w:bookmarkEnd w:id="686"/>
      <w:bookmarkEnd w:id="687"/>
      <w:bookmarkEnd w:id="688"/>
      <w:r>
        <w:rPr>
          <w:rFonts w:hint="eastAsia" w:eastAsia="宋体" w:cs="宋体"/>
          <w:b/>
          <w:color w:val="auto"/>
          <w:sz w:val="32"/>
          <w:highlight w:val="none"/>
          <w:lang w:val="en-US" w:eastAsia="zh-CN"/>
        </w:rPr>
        <w:t>20</w:t>
      </w:r>
      <w:r>
        <w:rPr>
          <w:rFonts w:hint="eastAsia" w:eastAsia="宋体" w:cs="宋体"/>
          <w:b/>
          <w:color w:val="auto"/>
          <w:sz w:val="32"/>
          <w:highlight w:val="none"/>
          <w:lang w:val="zh-CN"/>
        </w:rPr>
        <w:t>、磋商供应商认为在其他方面有必要说明的事项</w:t>
      </w:r>
    </w:p>
    <w:p w14:paraId="5B703EDD">
      <w:pPr>
        <w:autoSpaceDE w:val="0"/>
        <w:autoSpaceDN w:val="0"/>
        <w:adjustRightInd w:val="0"/>
        <w:spacing w:line="360" w:lineRule="auto"/>
        <w:rPr>
          <w:rFonts w:hint="eastAsia" w:eastAsia="宋体"/>
          <w:color w:val="auto"/>
          <w:sz w:val="24"/>
          <w:highlight w:val="none"/>
          <w:lang w:val="zh-CN"/>
        </w:rPr>
      </w:pPr>
    </w:p>
    <w:p w14:paraId="67EDC03F">
      <w:pPr>
        <w:pStyle w:val="11"/>
        <w:spacing w:line="360" w:lineRule="auto"/>
        <w:jc w:val="center"/>
        <w:rPr>
          <w:rFonts w:hint="eastAsia" w:hAnsi="宋体"/>
          <w:b/>
          <w:bCs/>
          <w:color w:val="auto"/>
          <w:sz w:val="30"/>
          <w:szCs w:val="30"/>
          <w:highlight w:val="none"/>
          <w:lang w:val="zh-CN"/>
        </w:rPr>
      </w:pPr>
      <w:r>
        <w:rPr>
          <w:rFonts w:hint="eastAsia" w:hAnsi="宋体"/>
          <w:b/>
          <w:bCs/>
          <w:color w:val="auto"/>
          <w:sz w:val="32"/>
          <w:szCs w:val="30"/>
          <w:highlight w:val="none"/>
          <w:lang w:val="zh-CN"/>
        </w:rPr>
        <w:t>磋商供应商认为在其他方面有必要说明的事项</w:t>
      </w:r>
    </w:p>
    <w:p w14:paraId="32ABE47E">
      <w:pPr>
        <w:autoSpaceDE w:val="0"/>
        <w:autoSpaceDN w:val="0"/>
        <w:spacing w:line="360" w:lineRule="auto"/>
        <w:jc w:val="center"/>
        <w:rPr>
          <w:rFonts w:hint="eastAsia" w:eastAsia="宋体"/>
          <w:color w:val="auto"/>
          <w:sz w:val="24"/>
          <w:highlight w:val="none"/>
          <w:lang w:val="zh-CN"/>
        </w:rPr>
      </w:pPr>
      <w:r>
        <w:rPr>
          <w:rFonts w:hint="eastAsia" w:eastAsia="宋体"/>
          <w:color w:val="auto"/>
          <w:sz w:val="24"/>
          <w:highlight w:val="none"/>
          <w:lang w:val="zh-CN"/>
        </w:rPr>
        <w:t>（需提</w:t>
      </w:r>
      <w:r>
        <w:rPr>
          <w:rFonts w:hint="eastAsia" w:ascii="宋体" w:hAnsi="宋体" w:eastAsia="宋体" w:cs="宋体"/>
          <w:color w:val="auto"/>
          <w:sz w:val="24"/>
          <w:highlight w:val="none"/>
          <w:lang w:val="zh-CN"/>
        </w:rPr>
        <w:t>供以下</w:t>
      </w:r>
      <w:r>
        <w:rPr>
          <w:rFonts w:hint="eastAsia" w:ascii="宋体" w:hAnsi="宋体" w:eastAsia="宋体" w:cs="宋体"/>
          <w:color w:val="auto"/>
          <w:sz w:val="24"/>
          <w:highlight w:val="none"/>
          <w:lang w:val="en-US" w:eastAsia="zh-CN"/>
        </w:rPr>
        <w:t>保密承诺书，其他内容</w:t>
      </w:r>
      <w:r>
        <w:rPr>
          <w:rFonts w:hint="eastAsia" w:ascii="宋体" w:hAnsi="宋体" w:eastAsia="宋体" w:cs="宋体"/>
          <w:color w:val="auto"/>
          <w:sz w:val="24"/>
          <w:highlight w:val="none"/>
          <w:lang w:val="zh-CN"/>
        </w:rPr>
        <w:t>格式</w:t>
      </w:r>
      <w:r>
        <w:rPr>
          <w:rFonts w:hint="eastAsia" w:eastAsia="宋体"/>
          <w:color w:val="auto"/>
          <w:sz w:val="24"/>
          <w:highlight w:val="none"/>
          <w:lang w:val="zh-CN"/>
        </w:rPr>
        <w:t>可自定）</w:t>
      </w:r>
    </w:p>
    <w:p w14:paraId="372DC6D0">
      <w:pPr>
        <w:jc w:val="center"/>
        <w:rPr>
          <w:rFonts w:hint="eastAsia" w:eastAsia="宋体" w:cs="宋体"/>
          <w:bCs/>
          <w:color w:val="auto"/>
          <w:sz w:val="24"/>
          <w:szCs w:val="28"/>
          <w:highlight w:val="none"/>
        </w:rPr>
      </w:pPr>
      <w:r>
        <w:rPr>
          <w:rFonts w:hint="eastAsia" w:eastAsia="宋体" w:cs="宋体"/>
          <w:bCs/>
          <w:color w:val="auto"/>
          <w:sz w:val="24"/>
          <w:szCs w:val="28"/>
          <w:highlight w:val="none"/>
        </w:rPr>
        <w:br w:type="page"/>
      </w:r>
      <w:bookmarkStart w:id="689" w:name="_Toc1685"/>
      <w:bookmarkStart w:id="690" w:name="_Toc314"/>
      <w:bookmarkStart w:id="691" w:name="_Toc5604"/>
      <w:bookmarkStart w:id="692" w:name="_Toc30170"/>
      <w:bookmarkStart w:id="693" w:name="_Toc14132"/>
      <w:bookmarkStart w:id="694" w:name="_Toc1240"/>
    </w:p>
    <w:p w14:paraId="7C4C825E">
      <w:pPr>
        <w:jc w:val="center"/>
        <w:rPr>
          <w:rFonts w:hint="eastAsia" w:eastAsia="宋体" w:cs="宋体"/>
          <w:bCs/>
          <w:color w:val="auto"/>
          <w:sz w:val="24"/>
          <w:szCs w:val="28"/>
          <w:highlight w:val="none"/>
        </w:rPr>
      </w:pPr>
    </w:p>
    <w:p w14:paraId="00C3F48D">
      <w:pPr>
        <w:jc w:val="center"/>
        <w:rPr>
          <w:rFonts w:hint="eastAsia" w:ascii="宋体" w:hAnsi="宋体" w:eastAsia="宋体" w:cs="宋体"/>
          <w:b/>
          <w:bCs/>
          <w:color w:val="auto"/>
          <w:kern w:val="0"/>
          <w:sz w:val="36"/>
          <w:szCs w:val="36"/>
          <w:highlight w:val="none"/>
          <w:lang w:val="en-US" w:eastAsia="zh-CN" w:bidi="ar"/>
        </w:rPr>
      </w:pPr>
      <w:r>
        <w:rPr>
          <w:rFonts w:hint="eastAsia" w:ascii="宋体" w:hAnsi="宋体" w:eastAsia="宋体" w:cs="宋体"/>
          <w:b/>
          <w:bCs/>
          <w:color w:val="auto"/>
          <w:kern w:val="0"/>
          <w:sz w:val="36"/>
          <w:szCs w:val="36"/>
          <w:highlight w:val="none"/>
          <w:lang w:val="en-US" w:eastAsia="zh-CN" w:bidi="ar"/>
        </w:rPr>
        <w:t>保密承诺书</w:t>
      </w:r>
    </w:p>
    <w:p w14:paraId="4703B378">
      <w:pPr>
        <w:rPr>
          <w:color w:val="auto"/>
          <w:highlight w:val="none"/>
        </w:rPr>
      </w:pPr>
    </w:p>
    <w:p w14:paraId="0C1E8E3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（采购人名称）： </w:t>
      </w:r>
    </w:p>
    <w:p w14:paraId="6E1172F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我方参加贵</w:t>
      </w:r>
      <w:r>
        <w:rPr>
          <w:rFonts w:hint="eastAsia" w:eastAsia="宋体" w:cs="Times New Roman"/>
          <w:color w:val="auto"/>
          <w:sz w:val="24"/>
          <w:highlight w:val="none"/>
          <w:lang w:val="en-US" w:eastAsia="zh-CN"/>
        </w:rPr>
        <w:t>单位</w:t>
      </w:r>
      <w:r>
        <w:rPr>
          <w:rFonts w:hint="eastAsia" w:ascii="宋体" w:hAnsi="宋体" w:eastAsia="宋体" w:cs="Times New Roman"/>
          <w:color w:val="auto"/>
          <w:sz w:val="24"/>
          <w:highlight w:val="none"/>
          <w:lang w:val="en-US" w:eastAsia="zh-CN"/>
        </w:rPr>
        <w:t>组织的</w:t>
      </w:r>
      <w:r>
        <w:rPr>
          <w:rFonts w:hint="eastAsia" w:ascii="宋体" w:hAnsi="宋体" w:eastAsia="宋体" w:cs="Times New Roman"/>
          <w:color w:val="auto"/>
          <w:sz w:val="24"/>
          <w:highlight w:val="none"/>
          <w:u w:val="single"/>
          <w:lang w:val="en-US" w:eastAsia="zh-CN"/>
        </w:rPr>
        <w:t xml:space="preserve">（项目名称：）编号： </w:t>
      </w:r>
      <w:r>
        <w:rPr>
          <w:rFonts w:hint="eastAsia" w:ascii="宋体" w:hAnsi="宋体" w:eastAsia="宋体" w:cs="Times New Roman"/>
          <w:color w:val="auto"/>
          <w:sz w:val="24"/>
          <w:highlight w:val="none"/>
          <w:lang w:val="en-US" w:eastAsia="zh-CN"/>
        </w:rPr>
        <w:t xml:space="preserve">项目采购活动，根据有关保密法规制度，知悉应当承担的保密义务和法律责任，承诺如下： </w:t>
      </w:r>
    </w:p>
    <w:p w14:paraId="4E2B4C8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一、严格遵守国家和</w:t>
      </w:r>
      <w:r>
        <w:rPr>
          <w:rFonts w:hint="eastAsia" w:eastAsia="宋体" w:cs="Times New Roman"/>
          <w:color w:val="auto"/>
          <w:sz w:val="24"/>
          <w:highlight w:val="none"/>
          <w:lang w:val="en-US" w:eastAsia="zh-CN"/>
        </w:rPr>
        <w:t>采购人</w:t>
      </w:r>
      <w:r>
        <w:rPr>
          <w:rFonts w:hint="eastAsia" w:ascii="宋体" w:hAnsi="宋体" w:eastAsia="宋体" w:cs="Times New Roman"/>
          <w:color w:val="auto"/>
          <w:sz w:val="24"/>
          <w:highlight w:val="none"/>
          <w:lang w:val="en-US" w:eastAsia="zh-CN"/>
        </w:rPr>
        <w:t xml:space="preserve">的保密法律法规和规章制度，履行保密义务。 </w:t>
      </w:r>
    </w:p>
    <w:p w14:paraId="4A6CD40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二、不以任何方式泄露或传播本次采购项目相关信息。 </w:t>
      </w:r>
    </w:p>
    <w:p w14:paraId="23597DB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三、不违规记录、存储、复制本次采购项目相关信息。 </w:t>
      </w:r>
    </w:p>
    <w:p w14:paraId="18A1DE7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四、项目相关技术文件专室放置、专盘存储、专人管理。 </w:t>
      </w:r>
    </w:p>
    <w:p w14:paraId="0ECF964E">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五、未经招标人审查批准，不得擅自在互联网、通讯媒体等发表涉及此次采购项目相关内容或资讯。 </w:t>
      </w:r>
    </w:p>
    <w:p w14:paraId="4923945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违反上述承诺，愿承担一切法律责任，接受</w:t>
      </w:r>
      <w:r>
        <w:rPr>
          <w:rFonts w:hint="eastAsia" w:eastAsia="宋体" w:cs="Times New Roman"/>
          <w:color w:val="auto"/>
          <w:sz w:val="24"/>
          <w:highlight w:val="none"/>
          <w:lang w:val="en-US" w:eastAsia="zh-CN"/>
        </w:rPr>
        <w:t>采购人</w:t>
      </w:r>
      <w:r>
        <w:rPr>
          <w:rFonts w:hint="eastAsia" w:ascii="宋体" w:hAnsi="宋体" w:eastAsia="宋体" w:cs="Times New Roman"/>
          <w:color w:val="auto"/>
          <w:sz w:val="24"/>
          <w:highlight w:val="none"/>
          <w:lang w:val="en-US" w:eastAsia="zh-CN"/>
        </w:rPr>
        <w:t>采购管理部门按国家和</w:t>
      </w:r>
      <w:r>
        <w:rPr>
          <w:rFonts w:hint="eastAsia" w:eastAsia="宋体" w:cs="Times New Roman"/>
          <w:color w:val="auto"/>
          <w:sz w:val="24"/>
          <w:highlight w:val="none"/>
          <w:lang w:val="en-US" w:eastAsia="zh-CN"/>
        </w:rPr>
        <w:t>采购人</w:t>
      </w:r>
      <w:r>
        <w:rPr>
          <w:rFonts w:hint="eastAsia" w:ascii="宋体" w:hAnsi="宋体" w:eastAsia="宋体" w:cs="Times New Roman"/>
          <w:color w:val="auto"/>
          <w:sz w:val="24"/>
          <w:highlight w:val="none"/>
          <w:lang w:val="en-US" w:eastAsia="zh-CN"/>
        </w:rPr>
        <w:t xml:space="preserve">规定作出的相关处罚。 </w:t>
      </w:r>
    </w:p>
    <w:p w14:paraId="19DE89E1">
      <w:pPr>
        <w:pStyle w:val="3"/>
        <w:rPr>
          <w:rFonts w:hint="eastAsia" w:ascii="宋体" w:hAnsi="宋体" w:eastAsia="宋体" w:cs="宋体"/>
          <w:color w:val="auto"/>
          <w:kern w:val="0"/>
          <w:sz w:val="22"/>
          <w:szCs w:val="22"/>
          <w:highlight w:val="none"/>
          <w:lang w:val="en-US" w:eastAsia="zh-CN" w:bidi="ar"/>
        </w:rPr>
      </w:pPr>
    </w:p>
    <w:p w14:paraId="35CBC24F">
      <w:pPr>
        <w:rPr>
          <w:color w:val="auto"/>
          <w:highlight w:val="none"/>
        </w:rPr>
      </w:pPr>
    </w:p>
    <w:p w14:paraId="362EBB4B">
      <w:pPr>
        <w:adjustRightInd w:val="0"/>
        <w:spacing w:line="360" w:lineRule="auto"/>
        <w:ind w:firstLine="908" w:firstLineChars="377"/>
        <w:jc w:val="center"/>
        <w:textAlignment w:val="baseline"/>
        <w:rPr>
          <w:rFonts w:hint="eastAsia" w:ascii="宋体" w:hAnsi="宋体"/>
          <w:b/>
          <w:bCs/>
          <w:color w:val="auto"/>
          <w:sz w:val="24"/>
          <w:highlight w:val="none"/>
        </w:rPr>
      </w:pPr>
      <w:r>
        <w:rPr>
          <w:rFonts w:hint="eastAsia" w:ascii="宋体" w:hAnsi="宋体" w:eastAsia="宋体" w:cs="Times New Roman"/>
          <w:b/>
          <w:color w:val="auto"/>
          <w:sz w:val="24"/>
          <w:szCs w:val="32"/>
          <w:highlight w:val="none"/>
          <w:lang w:val="en-US" w:eastAsia="zh-CN"/>
        </w:rPr>
        <w:t>供应商：</w:t>
      </w:r>
      <w:r>
        <w:rPr>
          <w:rFonts w:hint="eastAsia" w:ascii="宋体" w:hAnsi="宋体"/>
          <w:b/>
          <w:bCs/>
          <w:color w:val="auto"/>
          <w:sz w:val="24"/>
          <w:highlight w:val="none"/>
        </w:rPr>
        <w:t xml:space="preserve">       （公章）</w:t>
      </w:r>
    </w:p>
    <w:p w14:paraId="0F6387EA">
      <w:pPr>
        <w:adjustRightInd w:val="0"/>
        <w:spacing w:line="360" w:lineRule="auto"/>
        <w:ind w:firstLine="908" w:firstLineChars="377"/>
        <w:jc w:val="right"/>
        <w:textAlignment w:val="baseline"/>
        <w:rPr>
          <w:rFonts w:hint="eastAsia" w:ascii="宋体" w:hAnsi="宋体"/>
          <w:b/>
          <w:bCs/>
          <w:color w:val="auto"/>
          <w:sz w:val="24"/>
          <w:highlight w:val="none"/>
        </w:rPr>
      </w:pPr>
      <w:r>
        <w:rPr>
          <w:rFonts w:hint="eastAsia" w:eastAsia="宋体"/>
          <w:b/>
          <w:color w:val="auto"/>
          <w:sz w:val="24"/>
          <w:szCs w:val="28"/>
          <w:highlight w:val="none"/>
        </w:rPr>
        <w:t xml:space="preserve"> 委托代理人或法定代表人：</w:t>
      </w:r>
      <w:r>
        <w:rPr>
          <w:rFonts w:hint="eastAsia" w:ascii="宋体" w:hAnsi="宋体"/>
          <w:b/>
          <w:bCs/>
          <w:color w:val="auto"/>
          <w:sz w:val="24"/>
          <w:highlight w:val="none"/>
        </w:rPr>
        <w:t xml:space="preserve">       （签字或盖章）</w:t>
      </w:r>
    </w:p>
    <w:p w14:paraId="023C4A97">
      <w:pPr>
        <w:jc w:val="right"/>
      </w:pPr>
      <w:r>
        <w:rPr>
          <w:rFonts w:hint="eastAsia" w:ascii="宋体" w:hAnsi="宋体"/>
          <w:b/>
          <w:bCs/>
          <w:color w:val="auto"/>
          <w:sz w:val="24"/>
          <w:highlight w:val="none"/>
        </w:rPr>
        <w:t>年   月  日</w:t>
      </w:r>
    </w:p>
    <w:p w14:paraId="7977869A">
      <w:pPr>
        <w:pStyle w:val="7"/>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bCs/>
          <w:sz w:val="28"/>
          <w:szCs w:val="28"/>
          <w:highlight w:val="none"/>
          <w:lang w:eastAsia="zh-CN"/>
        </w:rPr>
      </w:pPr>
    </w:p>
    <w:p w14:paraId="43852273">
      <w:pPr>
        <w:rPr>
          <w:rFonts w:hint="eastAsia" w:eastAsia="宋体" w:cs="宋体"/>
          <w:b/>
          <w:color w:val="auto"/>
          <w:sz w:val="32"/>
          <w:szCs w:val="32"/>
          <w:highlight w:val="none"/>
          <w:lang w:val="zh-CN"/>
        </w:rPr>
      </w:pPr>
      <w:r>
        <w:rPr>
          <w:rFonts w:hint="eastAsia" w:eastAsia="宋体" w:cs="宋体"/>
          <w:b/>
          <w:color w:val="auto"/>
          <w:sz w:val="32"/>
          <w:szCs w:val="32"/>
          <w:highlight w:val="none"/>
          <w:lang w:val="zh-CN"/>
        </w:rPr>
        <w:br w:type="page"/>
      </w:r>
    </w:p>
    <w:p w14:paraId="18B949FF">
      <w:pPr>
        <w:pStyle w:val="4"/>
        <w:numPr>
          <w:ilvl w:val="0"/>
          <w:numId w:val="0"/>
        </w:numPr>
        <w:tabs>
          <w:tab w:val="left" w:pos="425"/>
        </w:tabs>
        <w:spacing w:line="360" w:lineRule="auto"/>
        <w:jc w:val="both"/>
        <w:rPr>
          <w:rFonts w:hint="eastAsia" w:eastAsia="宋体" w:cs="宋体"/>
          <w:b/>
          <w:color w:val="auto"/>
          <w:sz w:val="32"/>
          <w:szCs w:val="32"/>
          <w:highlight w:val="none"/>
        </w:rPr>
      </w:pPr>
      <w:r>
        <w:rPr>
          <w:rFonts w:hint="eastAsia" w:eastAsia="宋体" w:cs="宋体"/>
          <w:b/>
          <w:color w:val="auto"/>
          <w:sz w:val="32"/>
          <w:szCs w:val="32"/>
          <w:highlight w:val="none"/>
          <w:lang w:val="zh-CN"/>
        </w:rPr>
        <w:t>磋商最终报价表</w:t>
      </w:r>
      <w:r>
        <w:rPr>
          <w:rFonts w:hint="eastAsia" w:eastAsia="宋体" w:cs="宋体"/>
          <w:b/>
          <w:color w:val="auto"/>
          <w:sz w:val="32"/>
          <w:szCs w:val="32"/>
          <w:highlight w:val="none"/>
        </w:rPr>
        <w:t>（单独提交）</w:t>
      </w:r>
      <w:bookmarkEnd w:id="689"/>
      <w:bookmarkEnd w:id="690"/>
      <w:bookmarkEnd w:id="691"/>
      <w:bookmarkEnd w:id="692"/>
      <w:bookmarkEnd w:id="693"/>
      <w:bookmarkEnd w:id="694"/>
    </w:p>
    <w:p w14:paraId="4487F6D2">
      <w:pPr>
        <w:spacing w:line="360" w:lineRule="auto"/>
        <w:rPr>
          <w:rFonts w:hint="eastAsia" w:eastAsia="宋体"/>
          <w:color w:val="auto"/>
          <w:highlight w:val="none"/>
          <w:lang w:val="zh-CN"/>
        </w:rPr>
      </w:pPr>
    </w:p>
    <w:p w14:paraId="28A306F1">
      <w:pPr>
        <w:spacing w:line="360" w:lineRule="auto"/>
        <w:jc w:val="center"/>
        <w:rPr>
          <w:rFonts w:hint="eastAsia" w:eastAsia="宋体"/>
          <w:b/>
          <w:color w:val="auto"/>
          <w:sz w:val="32"/>
          <w:szCs w:val="36"/>
          <w:highlight w:val="none"/>
        </w:rPr>
      </w:pPr>
      <w:r>
        <w:rPr>
          <w:rFonts w:hint="eastAsia" w:eastAsia="宋体"/>
          <w:b/>
          <w:color w:val="auto"/>
          <w:sz w:val="32"/>
          <w:szCs w:val="36"/>
          <w:highlight w:val="none"/>
        </w:rPr>
        <w:t>磋商最终报价表</w:t>
      </w:r>
    </w:p>
    <w:p w14:paraId="5DA3B430">
      <w:pPr>
        <w:spacing w:line="360" w:lineRule="auto"/>
        <w:outlineLvl w:val="1"/>
        <w:rPr>
          <w:rFonts w:hint="eastAsia" w:eastAsia="宋体"/>
          <w:b/>
          <w:color w:val="auto"/>
          <w:sz w:val="24"/>
          <w:highlight w:val="none"/>
        </w:rPr>
      </w:pPr>
      <w:bookmarkStart w:id="695" w:name="_Toc20792"/>
      <w:bookmarkStart w:id="696" w:name="_Toc10293"/>
      <w:bookmarkStart w:id="697" w:name="_Toc19749"/>
      <w:r>
        <w:rPr>
          <w:rFonts w:hint="eastAsia" w:eastAsia="宋体"/>
          <w:b/>
          <w:color w:val="auto"/>
          <w:sz w:val="24"/>
          <w:szCs w:val="28"/>
          <w:highlight w:val="none"/>
        </w:rPr>
        <w:t xml:space="preserve">磋商供应商名称： </w:t>
      </w:r>
      <w:r>
        <w:rPr>
          <w:rFonts w:hint="eastAsia" w:eastAsia="宋体"/>
          <w:b/>
          <w:color w:val="auto"/>
          <w:sz w:val="28"/>
          <w:szCs w:val="28"/>
          <w:highlight w:val="none"/>
        </w:rPr>
        <w:t xml:space="preserve">                                      </w:t>
      </w:r>
      <w:r>
        <w:rPr>
          <w:rFonts w:hint="eastAsia" w:eastAsia="宋体"/>
          <w:b/>
          <w:color w:val="auto"/>
          <w:sz w:val="24"/>
          <w:highlight w:val="none"/>
        </w:rPr>
        <w:t>单位：元</w:t>
      </w:r>
      <w:bookmarkEnd w:id="695"/>
      <w:bookmarkEnd w:id="696"/>
      <w:bookmarkEnd w:id="697"/>
    </w:p>
    <w:tbl>
      <w:tblPr>
        <w:tblStyle w:val="24"/>
        <w:tblpPr w:leftFromText="180" w:rightFromText="180" w:vertAnchor="text" w:horzAnchor="page" w:tblpX="972" w:tblpY="118"/>
        <w:tblOverlap w:val="never"/>
        <w:tblW w:w="9915" w:type="dxa"/>
        <w:tblInd w:w="0" w:type="dxa"/>
        <w:tblLayout w:type="fixed"/>
        <w:tblCellMar>
          <w:top w:w="0" w:type="dxa"/>
          <w:left w:w="108" w:type="dxa"/>
          <w:bottom w:w="0" w:type="dxa"/>
          <w:right w:w="108" w:type="dxa"/>
        </w:tblCellMar>
      </w:tblPr>
      <w:tblGrid>
        <w:gridCol w:w="637"/>
        <w:gridCol w:w="1194"/>
        <w:gridCol w:w="14"/>
        <w:gridCol w:w="863"/>
        <w:gridCol w:w="1316"/>
        <w:gridCol w:w="1139"/>
        <w:gridCol w:w="1520"/>
        <w:gridCol w:w="1226"/>
        <w:gridCol w:w="1003"/>
        <w:gridCol w:w="1003"/>
      </w:tblGrid>
      <w:tr w14:paraId="37DB7785">
        <w:tblPrEx>
          <w:tblCellMar>
            <w:top w:w="0" w:type="dxa"/>
            <w:left w:w="108" w:type="dxa"/>
            <w:bottom w:w="0" w:type="dxa"/>
            <w:right w:w="108" w:type="dxa"/>
          </w:tblCellMar>
        </w:tblPrEx>
        <w:trPr>
          <w:trHeight w:val="863" w:hRule="atLeast"/>
        </w:trPr>
        <w:tc>
          <w:tcPr>
            <w:tcW w:w="637" w:type="dxa"/>
            <w:tcBorders>
              <w:top w:val="single" w:color="auto" w:sz="8" w:space="0"/>
              <w:left w:val="single" w:color="auto" w:sz="8" w:space="0"/>
              <w:bottom w:val="single" w:color="auto" w:sz="8" w:space="0"/>
              <w:right w:val="single" w:color="auto" w:sz="8" w:space="0"/>
            </w:tcBorders>
            <w:noWrap w:val="0"/>
            <w:vAlign w:val="center"/>
          </w:tcPr>
          <w:p w14:paraId="0634EE5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序号</w:t>
            </w:r>
          </w:p>
        </w:tc>
        <w:tc>
          <w:tcPr>
            <w:tcW w:w="1194" w:type="dxa"/>
            <w:tcBorders>
              <w:top w:val="single" w:color="auto" w:sz="8" w:space="0"/>
              <w:left w:val="nil"/>
              <w:bottom w:val="single" w:color="auto" w:sz="8" w:space="0"/>
              <w:right w:val="single" w:color="auto" w:sz="8" w:space="0"/>
            </w:tcBorders>
            <w:noWrap w:val="0"/>
            <w:vAlign w:val="center"/>
          </w:tcPr>
          <w:p w14:paraId="0BCBC44F">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产品名称</w:t>
            </w:r>
          </w:p>
        </w:tc>
        <w:tc>
          <w:tcPr>
            <w:tcW w:w="877" w:type="dxa"/>
            <w:gridSpan w:val="2"/>
            <w:tcBorders>
              <w:top w:val="single" w:color="auto" w:sz="8" w:space="0"/>
              <w:left w:val="nil"/>
              <w:bottom w:val="single" w:color="auto" w:sz="8" w:space="0"/>
              <w:right w:val="single" w:color="auto" w:sz="8" w:space="0"/>
            </w:tcBorders>
            <w:noWrap w:val="0"/>
            <w:vAlign w:val="center"/>
          </w:tcPr>
          <w:p w14:paraId="1801376F">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品牌</w:t>
            </w:r>
          </w:p>
        </w:tc>
        <w:tc>
          <w:tcPr>
            <w:tcW w:w="1316" w:type="dxa"/>
            <w:tcBorders>
              <w:top w:val="single" w:color="auto" w:sz="8" w:space="0"/>
              <w:left w:val="nil"/>
              <w:bottom w:val="single" w:color="auto" w:sz="8" w:space="0"/>
              <w:right w:val="single" w:color="auto" w:sz="8" w:space="0"/>
            </w:tcBorders>
            <w:noWrap w:val="0"/>
            <w:vAlign w:val="center"/>
          </w:tcPr>
          <w:p w14:paraId="500CB5CC">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规格型号</w:t>
            </w:r>
          </w:p>
        </w:tc>
        <w:tc>
          <w:tcPr>
            <w:tcW w:w="1139" w:type="dxa"/>
            <w:tcBorders>
              <w:top w:val="single" w:color="auto" w:sz="8" w:space="0"/>
              <w:left w:val="nil"/>
              <w:bottom w:val="single" w:color="auto" w:sz="8" w:space="0"/>
              <w:right w:val="single" w:color="auto" w:sz="8" w:space="0"/>
            </w:tcBorders>
            <w:noWrap w:val="0"/>
            <w:vAlign w:val="center"/>
          </w:tcPr>
          <w:p w14:paraId="15E323E7">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生产厂家</w:t>
            </w:r>
          </w:p>
        </w:tc>
        <w:tc>
          <w:tcPr>
            <w:tcW w:w="1520" w:type="dxa"/>
            <w:tcBorders>
              <w:top w:val="single" w:color="auto" w:sz="8" w:space="0"/>
              <w:left w:val="nil"/>
              <w:bottom w:val="single" w:color="auto" w:sz="8" w:space="0"/>
              <w:right w:val="single" w:color="auto" w:sz="8" w:space="0"/>
            </w:tcBorders>
            <w:noWrap w:val="0"/>
            <w:vAlign w:val="center"/>
          </w:tcPr>
          <w:p w14:paraId="40CD2419">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数量及单位</w:t>
            </w:r>
          </w:p>
        </w:tc>
        <w:tc>
          <w:tcPr>
            <w:tcW w:w="1226" w:type="dxa"/>
            <w:tcBorders>
              <w:top w:val="single" w:color="auto" w:sz="8" w:space="0"/>
              <w:left w:val="nil"/>
              <w:bottom w:val="single" w:color="auto" w:sz="8" w:space="0"/>
              <w:right w:val="single" w:color="auto" w:sz="8" w:space="0"/>
            </w:tcBorders>
            <w:noWrap w:val="0"/>
            <w:vAlign w:val="center"/>
          </w:tcPr>
          <w:p w14:paraId="0710F10C">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单价</w:t>
            </w:r>
          </w:p>
        </w:tc>
        <w:tc>
          <w:tcPr>
            <w:tcW w:w="1003" w:type="dxa"/>
            <w:tcBorders>
              <w:top w:val="single" w:color="auto" w:sz="8" w:space="0"/>
              <w:left w:val="nil"/>
              <w:bottom w:val="single" w:color="auto" w:sz="8" w:space="0"/>
              <w:right w:val="single" w:color="auto" w:sz="8" w:space="0"/>
            </w:tcBorders>
            <w:noWrap w:val="0"/>
            <w:vAlign w:val="center"/>
          </w:tcPr>
          <w:p w14:paraId="17FE111C">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合计</w:t>
            </w:r>
          </w:p>
        </w:tc>
        <w:tc>
          <w:tcPr>
            <w:tcW w:w="1003" w:type="dxa"/>
            <w:tcBorders>
              <w:top w:val="single" w:color="auto" w:sz="8" w:space="0"/>
              <w:left w:val="nil"/>
              <w:bottom w:val="single" w:color="auto" w:sz="8" w:space="0"/>
              <w:right w:val="single" w:color="auto" w:sz="8" w:space="0"/>
            </w:tcBorders>
            <w:noWrap w:val="0"/>
            <w:vAlign w:val="center"/>
          </w:tcPr>
          <w:p w14:paraId="1DABC808">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eastAsia="zh-CN"/>
              </w:rPr>
            </w:pPr>
            <w:r>
              <w:rPr>
                <w:rFonts w:hint="eastAsia" w:ascii="宋体" w:hAnsi="宋体" w:eastAsia="宋体" w:cs="宋体"/>
                <w:bCs/>
                <w:color w:val="auto"/>
                <w:sz w:val="24"/>
                <w:szCs w:val="24"/>
                <w:highlight w:val="none"/>
                <w:lang w:val="en-US" w:eastAsia="zh-CN"/>
              </w:rPr>
              <w:t>备注</w:t>
            </w:r>
          </w:p>
        </w:tc>
      </w:tr>
      <w:tr w14:paraId="7F4EA367">
        <w:tblPrEx>
          <w:tblCellMar>
            <w:top w:w="0" w:type="dxa"/>
            <w:left w:w="108" w:type="dxa"/>
            <w:bottom w:w="0" w:type="dxa"/>
            <w:right w:w="108" w:type="dxa"/>
          </w:tblCellMar>
        </w:tblPrEx>
        <w:trPr>
          <w:trHeight w:val="492" w:hRule="atLeast"/>
        </w:trPr>
        <w:tc>
          <w:tcPr>
            <w:tcW w:w="637" w:type="dxa"/>
            <w:tcBorders>
              <w:top w:val="nil"/>
              <w:left w:val="single" w:color="auto" w:sz="8" w:space="0"/>
              <w:bottom w:val="single" w:color="auto" w:sz="8" w:space="0"/>
              <w:right w:val="single" w:color="auto" w:sz="8" w:space="0"/>
            </w:tcBorders>
            <w:noWrap w:val="0"/>
            <w:vAlign w:val="center"/>
          </w:tcPr>
          <w:p w14:paraId="2850517A">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1</w:t>
            </w:r>
          </w:p>
        </w:tc>
        <w:tc>
          <w:tcPr>
            <w:tcW w:w="1194" w:type="dxa"/>
            <w:tcBorders>
              <w:top w:val="nil"/>
              <w:left w:val="nil"/>
              <w:bottom w:val="single" w:color="auto" w:sz="8" w:space="0"/>
              <w:right w:val="single" w:color="auto" w:sz="8" w:space="0"/>
            </w:tcBorders>
            <w:noWrap w:val="0"/>
            <w:vAlign w:val="center"/>
          </w:tcPr>
          <w:p w14:paraId="489C0533">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877" w:type="dxa"/>
            <w:gridSpan w:val="2"/>
            <w:tcBorders>
              <w:top w:val="nil"/>
              <w:left w:val="nil"/>
              <w:bottom w:val="single" w:color="auto" w:sz="8" w:space="0"/>
              <w:right w:val="single" w:color="auto" w:sz="8" w:space="0"/>
            </w:tcBorders>
            <w:noWrap w:val="0"/>
            <w:vAlign w:val="center"/>
          </w:tcPr>
          <w:p w14:paraId="328569BD">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16" w:type="dxa"/>
            <w:tcBorders>
              <w:top w:val="nil"/>
              <w:left w:val="nil"/>
              <w:bottom w:val="single" w:color="auto" w:sz="8" w:space="0"/>
              <w:right w:val="single" w:color="auto" w:sz="8" w:space="0"/>
            </w:tcBorders>
            <w:noWrap w:val="0"/>
            <w:vAlign w:val="center"/>
          </w:tcPr>
          <w:p w14:paraId="3CA2305B">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39" w:type="dxa"/>
            <w:tcBorders>
              <w:top w:val="nil"/>
              <w:left w:val="nil"/>
              <w:bottom w:val="single" w:color="auto" w:sz="8" w:space="0"/>
              <w:right w:val="single" w:color="auto" w:sz="8" w:space="0"/>
            </w:tcBorders>
            <w:noWrap w:val="0"/>
            <w:vAlign w:val="center"/>
          </w:tcPr>
          <w:p w14:paraId="7FA1A884">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20" w:type="dxa"/>
            <w:tcBorders>
              <w:top w:val="nil"/>
              <w:left w:val="nil"/>
              <w:bottom w:val="single" w:color="auto" w:sz="8" w:space="0"/>
              <w:right w:val="single" w:color="auto" w:sz="8" w:space="0"/>
            </w:tcBorders>
            <w:noWrap w:val="0"/>
            <w:vAlign w:val="center"/>
          </w:tcPr>
          <w:p w14:paraId="32C6C193">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26" w:type="dxa"/>
            <w:tcBorders>
              <w:top w:val="nil"/>
              <w:left w:val="nil"/>
              <w:bottom w:val="single" w:color="auto" w:sz="8" w:space="0"/>
              <w:right w:val="single" w:color="auto" w:sz="8" w:space="0"/>
            </w:tcBorders>
            <w:noWrap w:val="0"/>
            <w:vAlign w:val="center"/>
          </w:tcPr>
          <w:p w14:paraId="55215EC1">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4F88DA9E">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00DC8B46">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6DF96131">
        <w:tblPrEx>
          <w:tblCellMar>
            <w:top w:w="0" w:type="dxa"/>
            <w:left w:w="108" w:type="dxa"/>
            <w:bottom w:w="0" w:type="dxa"/>
            <w:right w:w="108" w:type="dxa"/>
          </w:tblCellMar>
        </w:tblPrEx>
        <w:trPr>
          <w:trHeight w:val="576" w:hRule="atLeast"/>
        </w:trPr>
        <w:tc>
          <w:tcPr>
            <w:tcW w:w="637" w:type="dxa"/>
            <w:tcBorders>
              <w:top w:val="nil"/>
              <w:left w:val="single" w:color="auto" w:sz="8" w:space="0"/>
              <w:bottom w:val="single" w:color="auto" w:sz="8" w:space="0"/>
              <w:right w:val="single" w:color="auto" w:sz="8" w:space="0"/>
            </w:tcBorders>
            <w:noWrap w:val="0"/>
            <w:vAlign w:val="center"/>
          </w:tcPr>
          <w:p w14:paraId="4C6FD629">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2</w:t>
            </w:r>
          </w:p>
        </w:tc>
        <w:tc>
          <w:tcPr>
            <w:tcW w:w="1194" w:type="dxa"/>
            <w:tcBorders>
              <w:top w:val="nil"/>
              <w:left w:val="nil"/>
              <w:bottom w:val="single" w:color="auto" w:sz="8" w:space="0"/>
              <w:right w:val="single" w:color="auto" w:sz="8" w:space="0"/>
            </w:tcBorders>
            <w:noWrap w:val="0"/>
            <w:vAlign w:val="center"/>
          </w:tcPr>
          <w:p w14:paraId="734A7134">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877" w:type="dxa"/>
            <w:gridSpan w:val="2"/>
            <w:tcBorders>
              <w:top w:val="nil"/>
              <w:left w:val="nil"/>
              <w:bottom w:val="single" w:color="auto" w:sz="8" w:space="0"/>
              <w:right w:val="single" w:color="auto" w:sz="8" w:space="0"/>
            </w:tcBorders>
            <w:noWrap w:val="0"/>
            <w:vAlign w:val="center"/>
          </w:tcPr>
          <w:p w14:paraId="58BF75B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16" w:type="dxa"/>
            <w:tcBorders>
              <w:top w:val="nil"/>
              <w:left w:val="nil"/>
              <w:bottom w:val="single" w:color="auto" w:sz="8" w:space="0"/>
              <w:right w:val="single" w:color="auto" w:sz="8" w:space="0"/>
            </w:tcBorders>
            <w:noWrap w:val="0"/>
            <w:vAlign w:val="center"/>
          </w:tcPr>
          <w:p w14:paraId="3FB4B87C">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39" w:type="dxa"/>
            <w:tcBorders>
              <w:top w:val="nil"/>
              <w:left w:val="nil"/>
              <w:bottom w:val="single" w:color="auto" w:sz="8" w:space="0"/>
              <w:right w:val="single" w:color="auto" w:sz="8" w:space="0"/>
            </w:tcBorders>
            <w:noWrap w:val="0"/>
            <w:vAlign w:val="center"/>
          </w:tcPr>
          <w:p w14:paraId="1F3C9A28">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20" w:type="dxa"/>
            <w:tcBorders>
              <w:top w:val="nil"/>
              <w:left w:val="nil"/>
              <w:bottom w:val="single" w:color="auto" w:sz="8" w:space="0"/>
              <w:right w:val="single" w:color="auto" w:sz="8" w:space="0"/>
            </w:tcBorders>
            <w:noWrap w:val="0"/>
            <w:vAlign w:val="center"/>
          </w:tcPr>
          <w:p w14:paraId="3D6CE246">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26" w:type="dxa"/>
            <w:tcBorders>
              <w:top w:val="nil"/>
              <w:left w:val="nil"/>
              <w:bottom w:val="single" w:color="auto" w:sz="8" w:space="0"/>
              <w:right w:val="single" w:color="auto" w:sz="8" w:space="0"/>
            </w:tcBorders>
            <w:noWrap w:val="0"/>
            <w:vAlign w:val="center"/>
          </w:tcPr>
          <w:p w14:paraId="58E1D8A7">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2A340B34">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7427EB1F">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28E359AD">
        <w:tblPrEx>
          <w:tblCellMar>
            <w:top w:w="0" w:type="dxa"/>
            <w:left w:w="108" w:type="dxa"/>
            <w:bottom w:w="0" w:type="dxa"/>
            <w:right w:w="108" w:type="dxa"/>
          </w:tblCellMar>
        </w:tblPrEx>
        <w:trPr>
          <w:trHeight w:val="557" w:hRule="atLeast"/>
        </w:trPr>
        <w:tc>
          <w:tcPr>
            <w:tcW w:w="637" w:type="dxa"/>
            <w:tcBorders>
              <w:top w:val="nil"/>
              <w:left w:val="single" w:color="auto" w:sz="8" w:space="0"/>
              <w:bottom w:val="single" w:color="auto" w:sz="8" w:space="0"/>
              <w:right w:val="single" w:color="auto" w:sz="8" w:space="0"/>
            </w:tcBorders>
            <w:noWrap w:val="0"/>
            <w:vAlign w:val="center"/>
          </w:tcPr>
          <w:p w14:paraId="4A5B3B27">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3</w:t>
            </w:r>
          </w:p>
        </w:tc>
        <w:tc>
          <w:tcPr>
            <w:tcW w:w="1194" w:type="dxa"/>
            <w:tcBorders>
              <w:top w:val="nil"/>
              <w:left w:val="nil"/>
              <w:bottom w:val="single" w:color="auto" w:sz="8" w:space="0"/>
              <w:right w:val="single" w:color="auto" w:sz="8" w:space="0"/>
            </w:tcBorders>
            <w:noWrap w:val="0"/>
            <w:vAlign w:val="center"/>
          </w:tcPr>
          <w:p w14:paraId="406F228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877" w:type="dxa"/>
            <w:gridSpan w:val="2"/>
            <w:tcBorders>
              <w:top w:val="nil"/>
              <w:left w:val="nil"/>
              <w:bottom w:val="single" w:color="auto" w:sz="8" w:space="0"/>
              <w:right w:val="single" w:color="auto" w:sz="8" w:space="0"/>
            </w:tcBorders>
            <w:noWrap w:val="0"/>
            <w:vAlign w:val="center"/>
          </w:tcPr>
          <w:p w14:paraId="5EB549B1">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16" w:type="dxa"/>
            <w:tcBorders>
              <w:top w:val="nil"/>
              <w:left w:val="nil"/>
              <w:bottom w:val="single" w:color="auto" w:sz="8" w:space="0"/>
              <w:right w:val="single" w:color="auto" w:sz="8" w:space="0"/>
            </w:tcBorders>
            <w:noWrap w:val="0"/>
            <w:vAlign w:val="center"/>
          </w:tcPr>
          <w:p w14:paraId="49969039">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39" w:type="dxa"/>
            <w:tcBorders>
              <w:top w:val="nil"/>
              <w:left w:val="nil"/>
              <w:bottom w:val="single" w:color="auto" w:sz="8" w:space="0"/>
              <w:right w:val="single" w:color="auto" w:sz="8" w:space="0"/>
            </w:tcBorders>
            <w:noWrap w:val="0"/>
            <w:vAlign w:val="center"/>
          </w:tcPr>
          <w:p w14:paraId="3F77167A">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20" w:type="dxa"/>
            <w:tcBorders>
              <w:top w:val="nil"/>
              <w:left w:val="nil"/>
              <w:bottom w:val="single" w:color="auto" w:sz="8" w:space="0"/>
              <w:right w:val="single" w:color="auto" w:sz="8" w:space="0"/>
            </w:tcBorders>
            <w:noWrap w:val="0"/>
            <w:vAlign w:val="center"/>
          </w:tcPr>
          <w:p w14:paraId="5372CEF1">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26" w:type="dxa"/>
            <w:tcBorders>
              <w:top w:val="nil"/>
              <w:left w:val="nil"/>
              <w:bottom w:val="single" w:color="auto" w:sz="8" w:space="0"/>
              <w:right w:val="single" w:color="auto" w:sz="8" w:space="0"/>
            </w:tcBorders>
            <w:noWrap w:val="0"/>
            <w:vAlign w:val="center"/>
          </w:tcPr>
          <w:p w14:paraId="5EF5A8A5">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5069D767">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2849E0B3">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224B6377">
        <w:tblPrEx>
          <w:tblCellMar>
            <w:top w:w="0" w:type="dxa"/>
            <w:left w:w="108" w:type="dxa"/>
            <w:bottom w:w="0" w:type="dxa"/>
            <w:right w:w="108" w:type="dxa"/>
          </w:tblCellMar>
        </w:tblPrEx>
        <w:trPr>
          <w:trHeight w:val="844" w:hRule="atLeast"/>
        </w:trPr>
        <w:tc>
          <w:tcPr>
            <w:tcW w:w="637" w:type="dxa"/>
            <w:tcBorders>
              <w:top w:val="nil"/>
              <w:left w:val="single" w:color="auto" w:sz="8" w:space="0"/>
              <w:bottom w:val="single" w:color="auto" w:sz="8" w:space="0"/>
              <w:right w:val="single" w:color="auto" w:sz="8" w:space="0"/>
            </w:tcBorders>
            <w:noWrap w:val="0"/>
            <w:vAlign w:val="center"/>
          </w:tcPr>
          <w:p w14:paraId="4AB91C55">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w:t>
            </w:r>
          </w:p>
        </w:tc>
        <w:tc>
          <w:tcPr>
            <w:tcW w:w="1194" w:type="dxa"/>
            <w:tcBorders>
              <w:top w:val="nil"/>
              <w:left w:val="nil"/>
              <w:bottom w:val="single" w:color="auto" w:sz="8" w:space="0"/>
              <w:right w:val="single" w:color="auto" w:sz="8" w:space="0"/>
            </w:tcBorders>
            <w:noWrap w:val="0"/>
            <w:vAlign w:val="center"/>
          </w:tcPr>
          <w:p w14:paraId="25202947">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877" w:type="dxa"/>
            <w:gridSpan w:val="2"/>
            <w:tcBorders>
              <w:top w:val="nil"/>
              <w:left w:val="nil"/>
              <w:bottom w:val="single" w:color="auto" w:sz="8" w:space="0"/>
              <w:right w:val="single" w:color="auto" w:sz="8" w:space="0"/>
            </w:tcBorders>
            <w:noWrap w:val="0"/>
            <w:vAlign w:val="center"/>
          </w:tcPr>
          <w:p w14:paraId="17EAD0A0">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316" w:type="dxa"/>
            <w:tcBorders>
              <w:top w:val="nil"/>
              <w:left w:val="nil"/>
              <w:bottom w:val="single" w:color="auto" w:sz="8" w:space="0"/>
              <w:right w:val="single" w:color="auto" w:sz="8" w:space="0"/>
            </w:tcBorders>
            <w:noWrap w:val="0"/>
            <w:vAlign w:val="center"/>
          </w:tcPr>
          <w:p w14:paraId="245D7625">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139" w:type="dxa"/>
            <w:tcBorders>
              <w:top w:val="nil"/>
              <w:left w:val="nil"/>
              <w:bottom w:val="single" w:color="auto" w:sz="8" w:space="0"/>
              <w:right w:val="single" w:color="auto" w:sz="8" w:space="0"/>
            </w:tcBorders>
            <w:noWrap w:val="0"/>
            <w:vAlign w:val="center"/>
          </w:tcPr>
          <w:p w14:paraId="119D10EB">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520" w:type="dxa"/>
            <w:tcBorders>
              <w:top w:val="nil"/>
              <w:left w:val="nil"/>
              <w:bottom w:val="single" w:color="auto" w:sz="8" w:space="0"/>
              <w:right w:val="single" w:color="auto" w:sz="8" w:space="0"/>
            </w:tcBorders>
            <w:noWrap w:val="0"/>
            <w:vAlign w:val="center"/>
          </w:tcPr>
          <w:p w14:paraId="5F1FF34B">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p>
        </w:tc>
        <w:tc>
          <w:tcPr>
            <w:tcW w:w="1226" w:type="dxa"/>
            <w:tcBorders>
              <w:top w:val="nil"/>
              <w:left w:val="nil"/>
              <w:bottom w:val="single" w:color="auto" w:sz="8" w:space="0"/>
              <w:right w:val="single" w:color="auto" w:sz="8" w:space="0"/>
            </w:tcBorders>
            <w:noWrap w:val="0"/>
            <w:vAlign w:val="center"/>
          </w:tcPr>
          <w:p w14:paraId="0D75C5FF">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1D0967A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28099E2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2BA76D99">
        <w:tblPrEx>
          <w:tblCellMar>
            <w:top w:w="0" w:type="dxa"/>
            <w:left w:w="108" w:type="dxa"/>
            <w:bottom w:w="0" w:type="dxa"/>
            <w:right w:w="108" w:type="dxa"/>
          </w:tblCellMar>
        </w:tblPrEx>
        <w:trPr>
          <w:trHeight w:val="572" w:hRule="atLeast"/>
        </w:trPr>
        <w:tc>
          <w:tcPr>
            <w:tcW w:w="7909" w:type="dxa"/>
            <w:gridSpan w:val="8"/>
            <w:tcBorders>
              <w:top w:val="nil"/>
              <w:left w:val="single" w:color="auto" w:sz="8" w:space="0"/>
              <w:bottom w:val="single" w:color="auto" w:sz="8" w:space="0"/>
              <w:right w:val="single" w:color="auto" w:sz="8" w:space="0"/>
            </w:tcBorders>
            <w:noWrap w:val="0"/>
            <w:vAlign w:val="center"/>
          </w:tcPr>
          <w:p w14:paraId="18F8FA2F">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合计</w:t>
            </w:r>
          </w:p>
        </w:tc>
        <w:tc>
          <w:tcPr>
            <w:tcW w:w="1003" w:type="dxa"/>
            <w:tcBorders>
              <w:top w:val="nil"/>
              <w:left w:val="nil"/>
              <w:bottom w:val="single" w:color="auto" w:sz="8" w:space="0"/>
              <w:right w:val="single" w:color="auto" w:sz="8" w:space="0"/>
            </w:tcBorders>
            <w:noWrap w:val="0"/>
            <w:vAlign w:val="center"/>
          </w:tcPr>
          <w:p w14:paraId="64588F64">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c>
          <w:tcPr>
            <w:tcW w:w="1003" w:type="dxa"/>
            <w:tcBorders>
              <w:top w:val="nil"/>
              <w:left w:val="nil"/>
              <w:bottom w:val="single" w:color="auto" w:sz="8" w:space="0"/>
              <w:right w:val="single" w:color="auto" w:sz="8" w:space="0"/>
            </w:tcBorders>
            <w:noWrap w:val="0"/>
            <w:vAlign w:val="center"/>
          </w:tcPr>
          <w:p w14:paraId="09E0F46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15D9822E">
        <w:tblPrEx>
          <w:tblCellMar>
            <w:top w:w="0" w:type="dxa"/>
            <w:left w:w="108" w:type="dxa"/>
            <w:bottom w:w="0" w:type="dxa"/>
            <w:right w:w="108" w:type="dxa"/>
          </w:tblCellMar>
        </w:tblPrEx>
        <w:trPr>
          <w:trHeight w:val="1258" w:hRule="atLeast"/>
        </w:trPr>
        <w:tc>
          <w:tcPr>
            <w:tcW w:w="9915" w:type="dxa"/>
            <w:gridSpan w:val="10"/>
            <w:tcBorders>
              <w:top w:val="single" w:color="auto" w:sz="8" w:space="0"/>
              <w:left w:val="single" w:color="auto" w:sz="8" w:space="0"/>
              <w:bottom w:val="single" w:color="auto" w:sz="8" w:space="0"/>
              <w:right w:val="single" w:color="auto" w:sz="8" w:space="0"/>
            </w:tcBorders>
            <w:noWrap w:val="0"/>
            <w:vAlign w:val="center"/>
          </w:tcPr>
          <w:p w14:paraId="51235FB9">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优惠承诺及其他：</w:t>
            </w:r>
          </w:p>
          <w:p w14:paraId="3212FD24">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p w14:paraId="3061A35E">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tc>
      </w:tr>
      <w:tr w14:paraId="09B1F597">
        <w:tblPrEx>
          <w:tblCellMar>
            <w:top w:w="0" w:type="dxa"/>
            <w:left w:w="108" w:type="dxa"/>
            <w:bottom w:w="0" w:type="dxa"/>
            <w:right w:w="108" w:type="dxa"/>
          </w:tblCellMar>
        </w:tblPrEx>
        <w:trPr>
          <w:trHeight w:val="1275" w:hRule="atLeast"/>
        </w:trPr>
        <w:tc>
          <w:tcPr>
            <w:tcW w:w="1845" w:type="dxa"/>
            <w:gridSpan w:val="3"/>
            <w:tcBorders>
              <w:top w:val="single" w:color="auto" w:sz="8" w:space="0"/>
              <w:left w:val="single" w:color="auto" w:sz="8" w:space="0"/>
              <w:bottom w:val="single" w:color="auto" w:sz="8" w:space="0"/>
              <w:right w:val="single" w:color="000000" w:sz="8" w:space="0"/>
            </w:tcBorders>
            <w:noWrap w:val="0"/>
            <w:vAlign w:val="center"/>
          </w:tcPr>
          <w:p w14:paraId="5FF57CD1">
            <w:pPr>
              <w:pageBreakBefore w:val="0"/>
              <w:kinsoku/>
              <w:overflowPunct/>
              <w:topLinePunct w:val="0"/>
              <w:bidi w:val="0"/>
              <w:spacing w:line="360" w:lineRule="auto"/>
              <w:jc w:val="center"/>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磋商总价</w:t>
            </w:r>
          </w:p>
        </w:tc>
        <w:tc>
          <w:tcPr>
            <w:tcW w:w="8070" w:type="dxa"/>
            <w:gridSpan w:val="7"/>
            <w:tcBorders>
              <w:top w:val="single" w:color="auto" w:sz="8" w:space="0"/>
              <w:left w:val="nil"/>
              <w:bottom w:val="single" w:color="auto" w:sz="8" w:space="0"/>
              <w:right w:val="single" w:color="000000" w:sz="8" w:space="0"/>
            </w:tcBorders>
            <w:noWrap w:val="0"/>
            <w:vAlign w:val="center"/>
          </w:tcPr>
          <w:p w14:paraId="1C035119">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大写：</w:t>
            </w:r>
          </w:p>
          <w:p w14:paraId="2FD742B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p>
          <w:p w14:paraId="1B66866B">
            <w:pPr>
              <w:pageBreakBefore w:val="0"/>
              <w:kinsoku/>
              <w:overflowPunct/>
              <w:topLinePunct w:val="0"/>
              <w:bidi w:val="0"/>
              <w:spacing w:line="360" w:lineRule="auto"/>
              <w:rPr>
                <w:rFonts w:hint="eastAsia" w:ascii="宋体" w:hAnsi="宋体" w:eastAsia="宋体" w:cs="宋体"/>
                <w:bCs/>
                <w:color w:val="auto"/>
                <w:sz w:val="24"/>
                <w:szCs w:val="24"/>
                <w:highlight w:val="none"/>
                <w:lang w:val="zh-CN"/>
              </w:rPr>
            </w:pPr>
            <w:r>
              <w:rPr>
                <w:rFonts w:hint="eastAsia" w:ascii="宋体" w:hAnsi="宋体" w:eastAsia="宋体" w:cs="宋体"/>
                <w:bCs/>
                <w:color w:val="auto"/>
                <w:sz w:val="24"/>
                <w:szCs w:val="24"/>
                <w:highlight w:val="none"/>
                <w:lang w:val="zh-CN"/>
              </w:rPr>
              <w:t>小写：</w:t>
            </w:r>
          </w:p>
        </w:tc>
      </w:tr>
    </w:tbl>
    <w:p w14:paraId="6328D9B3">
      <w:pPr>
        <w:spacing w:line="360" w:lineRule="auto"/>
        <w:jc w:val="left"/>
        <w:rPr>
          <w:rFonts w:hint="eastAsia" w:eastAsia="宋体"/>
          <w:b/>
          <w:color w:val="auto"/>
          <w:highlight w:val="none"/>
        </w:rPr>
      </w:pPr>
    </w:p>
    <w:p w14:paraId="14C5B150">
      <w:pPr>
        <w:adjustRightInd w:val="0"/>
        <w:ind w:firstLine="480"/>
        <w:jc w:val="left"/>
        <w:textAlignment w:val="baseline"/>
        <w:rPr>
          <w:rFonts w:hint="eastAsia" w:eastAsia="宋体"/>
          <w:bCs/>
          <w:color w:val="auto"/>
          <w:sz w:val="24"/>
          <w:szCs w:val="22"/>
          <w:highlight w:val="none"/>
          <w:lang w:val="zh-CN"/>
        </w:rPr>
      </w:pPr>
      <w:r>
        <w:rPr>
          <w:rFonts w:hint="eastAsia" w:eastAsia="宋体"/>
          <w:bCs/>
          <w:color w:val="auto"/>
          <w:sz w:val="24"/>
          <w:szCs w:val="22"/>
          <w:highlight w:val="none"/>
          <w:lang w:val="zh-CN"/>
        </w:rPr>
        <w:t>注：</w:t>
      </w:r>
      <w:r>
        <w:rPr>
          <w:rFonts w:hint="eastAsia" w:eastAsia="宋体"/>
          <w:bCs/>
          <w:color w:val="auto"/>
          <w:sz w:val="24"/>
          <w:szCs w:val="22"/>
          <w:highlight w:val="none"/>
          <w:lang w:val="en-US" w:eastAsia="zh-CN"/>
        </w:rPr>
        <w:t>1、</w:t>
      </w:r>
      <w:r>
        <w:rPr>
          <w:rFonts w:hint="eastAsia" w:eastAsia="宋体"/>
          <w:bCs/>
          <w:color w:val="auto"/>
          <w:sz w:val="24"/>
          <w:szCs w:val="22"/>
          <w:highlight w:val="none"/>
          <w:lang w:val="zh-CN"/>
        </w:rPr>
        <w:t>此表不需装订在磋商响应文件中，磋商供应商事先须盖章、签字。</w:t>
      </w:r>
    </w:p>
    <w:p w14:paraId="6D636AC4">
      <w:pPr>
        <w:adjustRightInd w:val="0"/>
        <w:ind w:firstLine="480"/>
        <w:jc w:val="left"/>
        <w:textAlignment w:val="baseline"/>
        <w:rPr>
          <w:rFonts w:eastAsia="宋体"/>
          <w:color w:val="auto"/>
          <w:sz w:val="24"/>
          <w:szCs w:val="24"/>
          <w:highlight w:val="none"/>
          <w:lang w:val="zh-CN"/>
        </w:rPr>
      </w:pPr>
      <w:r>
        <w:rPr>
          <w:rFonts w:hint="eastAsia" w:eastAsia="宋体"/>
          <w:color w:val="auto"/>
          <w:sz w:val="24"/>
          <w:szCs w:val="24"/>
          <w:highlight w:val="none"/>
          <w:lang w:val="zh-CN"/>
        </w:rPr>
        <w:t>2、“磋商报价”为磋商总价。磋商报价必</w:t>
      </w:r>
      <w:r>
        <w:rPr>
          <w:rFonts w:hint="eastAsia" w:eastAsia="宋体"/>
          <w:color w:val="000000" w:themeColor="text1"/>
          <w:sz w:val="24"/>
          <w:szCs w:val="24"/>
          <w:highlight w:val="none"/>
          <w:lang w:val="zh-CN"/>
          <w14:textFill>
            <w14:solidFill>
              <w14:schemeClr w14:val="tx1"/>
            </w14:solidFill>
          </w14:textFill>
        </w:rPr>
        <w:t>须包括：</w:t>
      </w:r>
      <w:r>
        <w:rPr>
          <w:rFonts w:hint="eastAsia" w:ascii="宋体" w:hAnsi="宋体" w:eastAsia="宋体" w:cs="宋体"/>
          <w:sz w:val="24"/>
          <w:szCs w:val="24"/>
          <w:highlight w:val="none"/>
          <w:lang w:val="en-US" w:eastAsia="zh-CN"/>
        </w:rPr>
        <w:t>产品费、系统维护费、系统集成费、安装费、调试及维护费、验收费、手续费、包装费、运输费、保险费、售前、售中、售后服务费、税金及不可预见费等全部费用。</w:t>
      </w:r>
    </w:p>
    <w:p w14:paraId="4FFC3F45">
      <w:pPr>
        <w:autoSpaceDE w:val="0"/>
        <w:autoSpaceDN w:val="0"/>
        <w:spacing w:line="360" w:lineRule="auto"/>
        <w:ind w:firstLine="482"/>
        <w:jc w:val="center"/>
        <w:rPr>
          <w:rFonts w:hint="eastAsia" w:eastAsia="宋体"/>
          <w:bCs/>
          <w:color w:val="auto"/>
          <w:sz w:val="24"/>
          <w:szCs w:val="22"/>
          <w:highlight w:val="none"/>
          <w:lang w:val="zh-CN"/>
        </w:rPr>
      </w:pPr>
    </w:p>
    <w:p w14:paraId="4598795C">
      <w:pPr>
        <w:tabs>
          <w:tab w:val="left" w:pos="168"/>
        </w:tabs>
        <w:adjustRightInd w:val="0"/>
        <w:spacing w:line="360" w:lineRule="auto"/>
        <w:jc w:val="both"/>
        <w:textAlignment w:val="baseline"/>
        <w:rPr>
          <w:rFonts w:hint="eastAsia" w:eastAsia="宋体"/>
          <w:bCs/>
          <w:color w:val="auto"/>
          <w:sz w:val="24"/>
          <w:szCs w:val="28"/>
          <w:highlight w:val="none"/>
        </w:rPr>
      </w:pPr>
    </w:p>
    <w:p w14:paraId="5D9E93FA">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698" w:name="_Toc1253"/>
      <w:bookmarkStart w:id="699" w:name="_Toc9172"/>
      <w:bookmarkStart w:id="700" w:name="_Toc1281"/>
      <w:r>
        <w:rPr>
          <w:rFonts w:hint="eastAsia" w:eastAsia="宋体"/>
          <w:b/>
          <w:color w:val="auto"/>
          <w:sz w:val="24"/>
          <w:szCs w:val="28"/>
          <w:highlight w:val="none"/>
        </w:rPr>
        <w:t>供应商：                   （公章）</w:t>
      </w:r>
      <w:bookmarkEnd w:id="698"/>
      <w:bookmarkEnd w:id="699"/>
      <w:bookmarkEnd w:id="700"/>
    </w:p>
    <w:p w14:paraId="1AF117DC">
      <w:pPr>
        <w:tabs>
          <w:tab w:val="left" w:pos="168"/>
        </w:tabs>
        <w:adjustRightInd w:val="0"/>
        <w:spacing w:line="360" w:lineRule="auto"/>
        <w:jc w:val="right"/>
        <w:textAlignment w:val="baseline"/>
        <w:outlineLvl w:val="1"/>
        <w:rPr>
          <w:rFonts w:hint="eastAsia" w:eastAsia="宋体"/>
          <w:b/>
          <w:color w:val="auto"/>
          <w:sz w:val="24"/>
          <w:szCs w:val="28"/>
          <w:highlight w:val="none"/>
        </w:rPr>
      </w:pPr>
      <w:bookmarkStart w:id="701" w:name="_Toc5052"/>
      <w:bookmarkStart w:id="702" w:name="_Toc30972"/>
      <w:bookmarkStart w:id="703" w:name="_Toc6474"/>
      <w:r>
        <w:rPr>
          <w:rFonts w:hint="eastAsia" w:eastAsia="宋体"/>
          <w:b/>
          <w:color w:val="auto"/>
          <w:sz w:val="24"/>
          <w:szCs w:val="28"/>
          <w:highlight w:val="none"/>
        </w:rPr>
        <w:t xml:space="preserve"> 委托代理人或法定代表人：               （签字或盖章）</w:t>
      </w:r>
      <w:bookmarkEnd w:id="701"/>
      <w:bookmarkEnd w:id="702"/>
      <w:bookmarkEnd w:id="703"/>
    </w:p>
    <w:p w14:paraId="75136DF0">
      <w:pPr>
        <w:tabs>
          <w:tab w:val="left" w:pos="168"/>
        </w:tabs>
        <w:adjustRightInd w:val="0"/>
        <w:spacing w:line="360" w:lineRule="auto"/>
        <w:jc w:val="right"/>
        <w:textAlignment w:val="baseline"/>
        <w:outlineLvl w:val="1"/>
        <w:rPr>
          <w:rFonts w:hint="eastAsia" w:eastAsia="宋体"/>
          <w:bCs/>
          <w:color w:val="auto"/>
          <w:sz w:val="24"/>
          <w:szCs w:val="28"/>
          <w:highlight w:val="none"/>
        </w:rPr>
      </w:pPr>
      <w:bookmarkStart w:id="704" w:name="_Toc32348"/>
      <w:bookmarkStart w:id="705" w:name="_Toc28586"/>
      <w:bookmarkStart w:id="706" w:name="_Toc27312"/>
      <w:r>
        <w:rPr>
          <w:rFonts w:hint="eastAsia" w:eastAsia="宋体"/>
          <w:b/>
          <w:color w:val="auto"/>
          <w:sz w:val="24"/>
          <w:szCs w:val="28"/>
          <w:highlight w:val="none"/>
        </w:rPr>
        <w:t>日期：          年   月   日</w:t>
      </w:r>
      <w:bookmarkEnd w:id="704"/>
      <w:bookmarkEnd w:id="705"/>
      <w:bookmarkEnd w:id="706"/>
    </w:p>
    <w:p w14:paraId="11924ECC">
      <w:pPr>
        <w:pStyle w:val="21"/>
        <w:numPr>
          <w:ilvl w:val="0"/>
          <w:numId w:val="0"/>
        </w:numPr>
        <w:ind w:leftChars="0" w:right="0" w:rightChars="0"/>
        <w:jc w:val="both"/>
        <w:rPr>
          <w:rFonts w:hint="eastAsia" w:ascii="宋体" w:hAnsi="宋体"/>
          <w:color w:val="auto"/>
          <w:kern w:val="28"/>
          <w:highlight w:val="none"/>
          <w:lang w:val="zh-CN"/>
        </w:rPr>
      </w:pPr>
      <w:r>
        <w:rPr>
          <w:rFonts w:hint="eastAsia" w:ascii="宋体" w:hAnsi="宋体"/>
          <w:color w:val="auto"/>
          <w:kern w:val="28"/>
          <w:highlight w:val="none"/>
        </w:rPr>
        <w:br w:type="page"/>
      </w:r>
      <w:bookmarkEnd w:id="403"/>
      <w:bookmarkEnd w:id="404"/>
      <w:bookmarkStart w:id="707" w:name="_Toc470775775"/>
      <w:bookmarkStart w:id="708" w:name="_Toc461983006"/>
      <w:bookmarkStart w:id="709" w:name="_Toc495567982"/>
      <w:bookmarkStart w:id="710" w:name="_Toc455584731"/>
      <w:bookmarkStart w:id="711" w:name="_Toc7462"/>
      <w:bookmarkStart w:id="712" w:name="_Toc23945"/>
      <w:bookmarkStart w:id="713" w:name="_Toc11998"/>
      <w:bookmarkStart w:id="714" w:name="_Toc495666300"/>
      <w:bookmarkStart w:id="715" w:name="_Toc10902"/>
      <w:bookmarkStart w:id="716" w:name="_Toc28222"/>
      <w:bookmarkStart w:id="717" w:name="_Toc13360"/>
      <w:r>
        <w:rPr>
          <w:rFonts w:hint="eastAsia" w:ascii="宋体" w:hAnsi="宋体"/>
          <w:color w:val="auto"/>
          <w:kern w:val="28"/>
          <w:highlight w:val="none"/>
          <w:lang w:val="en-US" w:eastAsia="zh-CN"/>
        </w:rPr>
        <w:t>第六部分、</w:t>
      </w:r>
      <w:r>
        <w:rPr>
          <w:rFonts w:hint="eastAsia" w:ascii="宋体" w:hAnsi="宋体"/>
          <w:color w:val="auto"/>
          <w:kern w:val="28"/>
          <w:highlight w:val="none"/>
          <w:lang w:val="zh-CN"/>
        </w:rPr>
        <w:t>采购项目要求</w:t>
      </w:r>
      <w:bookmarkEnd w:id="707"/>
      <w:bookmarkEnd w:id="708"/>
      <w:bookmarkEnd w:id="709"/>
      <w:bookmarkEnd w:id="710"/>
      <w:r>
        <w:rPr>
          <w:rFonts w:hint="eastAsia" w:ascii="宋体" w:hAnsi="宋体"/>
          <w:color w:val="auto"/>
          <w:kern w:val="28"/>
          <w:highlight w:val="none"/>
          <w:lang w:val="zh-CN"/>
        </w:rPr>
        <w:t>及技术参数</w:t>
      </w:r>
      <w:bookmarkEnd w:id="711"/>
      <w:bookmarkEnd w:id="712"/>
      <w:bookmarkEnd w:id="713"/>
      <w:bookmarkEnd w:id="714"/>
      <w:bookmarkEnd w:id="715"/>
      <w:bookmarkEnd w:id="716"/>
      <w:bookmarkEnd w:id="717"/>
    </w:p>
    <w:p w14:paraId="5FD511D1">
      <w:pPr>
        <w:numPr>
          <w:ilvl w:val="0"/>
          <w:numId w:val="0"/>
        </w:numPr>
        <w:rPr>
          <w:rFonts w:hint="eastAsia"/>
          <w:lang w:val="zh-CN"/>
        </w:rPr>
      </w:pPr>
    </w:p>
    <w:p w14:paraId="75B43427">
      <w:pPr>
        <w:widowControl/>
        <w:spacing w:line="360" w:lineRule="auto"/>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一、投标要求</w:t>
      </w:r>
    </w:p>
    <w:p w14:paraId="75AFA7B6">
      <w:pPr>
        <w:widowControl/>
        <w:spacing w:line="360" w:lineRule="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1、投标说明</w:t>
      </w:r>
    </w:p>
    <w:p w14:paraId="74B5FD63">
      <w:pPr>
        <w:widowControl/>
        <w:spacing w:line="360" w:lineRule="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1.1供应商可以按照磋商文件规定选择投标，但必须对所投项目所有内容作为一个整体进行投标，不能拆分或少报。否则，投标无效。</w:t>
      </w:r>
    </w:p>
    <w:p w14:paraId="330DAFAE">
      <w:pPr>
        <w:widowControl/>
        <w:spacing w:line="360" w:lineRule="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1.2 所投产品或其任何一部分不得侵犯专利权、著作权、商标权和工业设计权等知识产权。</w:t>
      </w:r>
    </w:p>
    <w:p w14:paraId="2F19D730">
      <w:pPr>
        <w:widowControl/>
        <w:spacing w:line="360" w:lineRule="auto"/>
        <w:rPr>
          <w:rFonts w:hint="default"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1.3项目中标后分包情况：不允许。</w:t>
      </w:r>
    </w:p>
    <w:p w14:paraId="6424A4C6">
      <w:pPr>
        <w:widowControl/>
        <w:spacing w:line="360" w:lineRule="auto"/>
        <w:rPr>
          <w:rFonts w:hint="eastAsia" w:asciiTheme="minorEastAsia" w:hAnsiTheme="minorEastAsia" w:eastAsiaTheme="minorEastAsia" w:cstheme="minorEastAsia"/>
          <w:b w:val="0"/>
          <w:bCs/>
          <w:sz w:val="24"/>
          <w:szCs w:val="24"/>
          <w:highlight w:val="none"/>
          <w:lang w:val="en-US" w:eastAsia="zh-CN"/>
        </w:rPr>
      </w:pPr>
    </w:p>
    <w:p w14:paraId="06D84A42">
      <w:pPr>
        <w:widowControl/>
        <w:spacing w:line="360" w:lineRule="auto"/>
        <w:rPr>
          <w:rFonts w:hint="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2、商务要求</w:t>
      </w:r>
    </w:p>
    <w:p w14:paraId="6F5DA685">
      <w:pPr>
        <w:pageBreakBefore w:val="0"/>
        <w:kinsoku/>
        <w:overflowPunct/>
        <w:topLinePunct w:val="0"/>
        <w:autoSpaceDE w:val="0"/>
        <w:autoSpaceDN w:val="0"/>
        <w:bidi w:val="0"/>
        <w:adjustRightInd w:val="0"/>
        <w:spacing w:line="360" w:lineRule="auto"/>
        <w:jc w:val="left"/>
        <w:rPr>
          <w:rFonts w:hint="eastAsia" w:asciiTheme="minorEastAsia" w:hAnsiTheme="minorEastAsia" w:eastAsiaTheme="minorEastAsia" w:cstheme="minorEastAsia"/>
          <w:i w:val="0"/>
          <w:iCs w:val="0"/>
          <w:caps w:val="0"/>
          <w:color w:val="000000" w:themeColor="text1"/>
          <w:spacing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2.1交货时间：</w:t>
      </w:r>
      <w:r>
        <w:rPr>
          <w:rFonts w:hint="eastAsia" w:ascii="宋体" w:hAnsi="宋体" w:eastAsia="宋体" w:cs="宋体"/>
          <w:i w:val="0"/>
          <w:iCs w:val="0"/>
          <w:caps w:val="0"/>
          <w:color w:val="000000" w:themeColor="text1"/>
          <w:spacing w:val="0"/>
          <w:sz w:val="24"/>
          <w:szCs w:val="24"/>
          <w:highlight w:val="none"/>
          <w:lang w:val="en-US" w:eastAsia="zh-CN"/>
          <w14:textFill>
            <w14:solidFill>
              <w14:schemeClr w14:val="tx1"/>
            </w14:solidFill>
          </w14:textFill>
        </w:rPr>
        <w:t>自合同签订之日起</w:t>
      </w:r>
      <w:r>
        <w:rPr>
          <w:rFonts w:hint="eastAsia" w:eastAsia="宋体" w:cs="宋体"/>
          <w:i w:val="0"/>
          <w:iCs w:val="0"/>
          <w:caps w:val="0"/>
          <w:color w:val="000000" w:themeColor="text1"/>
          <w:spacing w:val="0"/>
          <w:sz w:val="24"/>
          <w:szCs w:val="24"/>
          <w:highlight w:val="none"/>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4"/>
          <w:szCs w:val="24"/>
          <w:highlight w:val="none"/>
          <w:lang w:val="en-US" w:eastAsia="zh-CN"/>
          <w14:textFill>
            <w14:solidFill>
              <w14:schemeClr w14:val="tx1"/>
            </w14:solidFill>
          </w14:textFill>
        </w:rPr>
        <w:t>0天内交货并安装完毕。</w:t>
      </w:r>
    </w:p>
    <w:p w14:paraId="0BD529C8">
      <w:pPr>
        <w:widowControl/>
        <w:spacing w:line="360" w:lineRule="auto"/>
        <w:rPr>
          <w:rFonts w:hint="eastAsia" w:eastAsia="宋体" w:asciiTheme="minorEastAsia" w:hAnsiTheme="minorEastAsia" w:cstheme="minorEastAsia"/>
          <w:i w:val="0"/>
          <w:iCs w:val="0"/>
          <w:caps w:val="0"/>
          <w:color w:val="000000" w:themeColor="text1"/>
          <w:spacing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highlight w:val="none"/>
          <w:lang w:val="en-US" w:eastAsia="zh-CN"/>
          <w14:textFill>
            <w14:solidFill>
              <w14:schemeClr w14:val="tx1"/>
            </w14:solidFill>
          </w14:textFill>
        </w:rPr>
        <w:t>质保期：3</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投标时由供应商提供承诺</w:t>
      </w:r>
      <w:r>
        <w:rPr>
          <w:rFonts w:hint="eastAsia" w:ascii="宋体" w:hAnsi="宋体" w:eastAsia="宋体" w:cs="宋体"/>
          <w:color w:val="000000" w:themeColor="text1"/>
          <w:sz w:val="24"/>
          <w:highlight w:val="none"/>
          <w:lang w:eastAsia="zh-CN"/>
          <w14:textFill>
            <w14:solidFill>
              <w14:schemeClr w14:val="tx1"/>
            </w14:solidFill>
          </w14:textFill>
        </w:rPr>
        <w:t>）。</w:t>
      </w:r>
    </w:p>
    <w:p w14:paraId="2BEF64B0">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2.2交货地点：</w:t>
      </w:r>
      <w:r>
        <w:rPr>
          <w:rFonts w:hint="eastAsia" w:ascii="宋体" w:hAnsi="宋体" w:cs="宋体"/>
          <w:color w:val="000000" w:themeColor="text1"/>
          <w:sz w:val="24"/>
          <w:highlight w:val="none"/>
          <w14:textFill>
            <w14:solidFill>
              <w14:schemeClr w14:val="tx1"/>
            </w14:solidFill>
          </w14:textFill>
        </w:rPr>
        <w:t>青海民族大学东序校区。</w:t>
      </w:r>
    </w:p>
    <w:p w14:paraId="73C19B5C">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sz w:val="24"/>
          <w:szCs w:val="24"/>
          <w:highlight w:val="none"/>
          <w:lang w:val="zh-CN" w:eastAsia="zh-CN"/>
        </w:rPr>
        <w:t>2.</w:t>
      </w:r>
      <w:r>
        <w:rPr>
          <w:rFonts w:hint="eastAsia" w:asciiTheme="minorEastAsia" w:hAnsiTheme="minorEastAsia" w:eastAsiaTheme="minorEastAsia" w:cstheme="minorEastAsia"/>
          <w:b w:val="0"/>
          <w:bCs/>
          <w:sz w:val="24"/>
          <w:szCs w:val="24"/>
          <w:highlight w:val="none"/>
          <w:lang w:val="en-US" w:eastAsia="zh-CN"/>
        </w:rPr>
        <w:t>3</w:t>
      </w:r>
      <w:r>
        <w:rPr>
          <w:rFonts w:hint="eastAsia" w:asciiTheme="minorEastAsia" w:hAnsiTheme="minorEastAsia" w:eastAsiaTheme="minorEastAsia" w:cstheme="minorEastAsia"/>
          <w:b w:val="0"/>
          <w:bCs/>
          <w:sz w:val="24"/>
          <w:szCs w:val="24"/>
          <w:highlight w:val="none"/>
          <w:lang w:val="zh-CN" w:eastAsia="zh-CN"/>
        </w:rPr>
        <w:t>.付款方式：详见“第三部分 青海省政府采购项目合同书范本”中“四、付</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款方式”的规定。</w:t>
      </w:r>
    </w:p>
    <w:p w14:paraId="353D0DB4">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2.4.</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算力保用服务：</w:t>
      </w:r>
    </w:p>
    <w:p w14:paraId="00E62F9B">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1.投标人须提供7×24小时算力保用服务，</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配备</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不低于现有算力设备配置标准，可100%兼容算力承载的所有业务场景、运算程序、数据格式；</w:t>
      </w:r>
    </w:p>
    <w:p w14:paraId="0E9C6064">
      <w:pPr>
        <w:widowControl/>
        <w:spacing w:line="360" w:lineRule="auto"/>
        <w:rPr>
          <w:rFonts w:hint="default"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2.算力保用服务时常不低于24个月，自项目验收之日算起。</w:t>
      </w:r>
    </w:p>
    <w:p w14:paraId="64A57E05">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.投标人须明确服务标准、响应时效及数据安全要求；</w:t>
      </w:r>
    </w:p>
    <w:p w14:paraId="20B0D144">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.投标人需提供日常巡检、全天候技术支持、操作培训等配套运维服务；</w:t>
      </w:r>
    </w:p>
    <w:p w14:paraId="76005AF0">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.本服务全程伴随项目履约周期，采购人将对服务质量进行考核。</w:t>
      </w:r>
    </w:p>
    <w:p w14:paraId="2CCED308">
      <w:pPr>
        <w:widowControl/>
        <w:spacing w:line="360" w:lineRule="auto"/>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w:t>
      </w:r>
      <w:r>
        <w:rPr>
          <w:rFonts w:hint="eastAsia" w:asciiTheme="minorEastAsia" w:hAnsiTheme="minorEastAsia" w:eastAsiaTheme="minorEastAsia" w:cstheme="minorEastAsia"/>
          <w:b w:val="0"/>
          <w:bCs/>
          <w:color w:val="000000" w:themeColor="text1"/>
          <w:sz w:val="24"/>
          <w:szCs w:val="24"/>
          <w:highlight w:val="none"/>
          <w:lang w:val="en-US" w:eastAsia="zh-CN"/>
          <w14:textFill>
            <w14:solidFill>
              <w14:schemeClr w14:val="tx1"/>
            </w14:solidFill>
          </w14:textFill>
        </w:rPr>
        <w:t>以上内容需提供承诺函，不提供即废标</w:t>
      </w:r>
      <w:r>
        <w:rPr>
          <w:rFonts w:hint="eastAsia" w:asciiTheme="minorEastAsia" w:hAnsiTheme="minorEastAsia" w:eastAsiaTheme="minorEastAsia" w:cstheme="minorEastAsia"/>
          <w:b w:val="0"/>
          <w:bCs/>
          <w:color w:val="000000" w:themeColor="text1"/>
          <w:sz w:val="24"/>
          <w:szCs w:val="24"/>
          <w:highlight w:val="none"/>
          <w:lang w:val="zh-CN" w:eastAsia="zh-CN"/>
          <w14:textFill>
            <w14:solidFill>
              <w14:schemeClr w14:val="tx1"/>
            </w14:solidFill>
          </w14:textFill>
        </w:rPr>
        <w:t>）</w:t>
      </w:r>
    </w:p>
    <w:p w14:paraId="0172CA11">
      <w:pPr>
        <w:rPr>
          <w:rFonts w:hint="default"/>
          <w:lang w:val="en-US" w:eastAsia="zh-CN"/>
        </w:rPr>
      </w:pPr>
    </w:p>
    <w:p w14:paraId="2A7E8BC2">
      <w:pPr>
        <w:rPr>
          <w:rFonts w:hint="default"/>
          <w:lang w:val="en-US" w:eastAsia="zh-CN"/>
        </w:rPr>
      </w:pPr>
    </w:p>
    <w:p w14:paraId="12C68C96">
      <w:pPr>
        <w:rPr>
          <w:rFonts w:hint="default"/>
          <w:lang w:val="en-US" w:eastAsia="zh-CN"/>
        </w:rPr>
      </w:pPr>
    </w:p>
    <w:p w14:paraId="7A044E31">
      <w:pPr>
        <w:rPr>
          <w:rFonts w:hint="default"/>
          <w:lang w:val="en-US" w:eastAsia="zh-CN"/>
        </w:rPr>
      </w:pPr>
    </w:p>
    <w:p w14:paraId="64909BCD">
      <w:pPr>
        <w:rPr>
          <w:rFonts w:hint="default"/>
          <w:lang w:val="en-US" w:eastAsia="zh-CN"/>
        </w:rPr>
      </w:pPr>
    </w:p>
    <w:p w14:paraId="564A2A01">
      <w:pPr>
        <w:rPr>
          <w:rFonts w:hint="default"/>
          <w:lang w:val="en-US" w:eastAsia="zh-CN"/>
        </w:rPr>
      </w:pPr>
    </w:p>
    <w:p w14:paraId="790DEE15">
      <w:pPr>
        <w:widowControl/>
        <w:spacing w:line="360" w:lineRule="auto"/>
        <w:rPr>
          <w:rFonts w:hint="eastAsia" w:ascii="宋体" w:hAnsi="宋体" w:eastAsia="宋体" w:cs="宋体"/>
          <w:b/>
          <w:color w:val="000000"/>
          <w:sz w:val="28"/>
          <w:szCs w:val="21"/>
          <w:lang w:val="en-US" w:eastAsia="zh-CN" w:bidi="ar-SA"/>
        </w:rPr>
      </w:pPr>
      <w:r>
        <w:rPr>
          <w:rFonts w:hint="eastAsia" w:asciiTheme="minorEastAsia" w:hAnsiTheme="minorEastAsia" w:eastAsiaTheme="minorEastAsia" w:cstheme="minorEastAsia"/>
          <w:b/>
          <w:sz w:val="24"/>
          <w:szCs w:val="24"/>
          <w:highlight w:val="none"/>
          <w:lang w:val="en-US" w:eastAsia="zh-CN"/>
        </w:rPr>
        <w:t>二、项目运维服务要求及内容</w:t>
      </w:r>
    </w:p>
    <w:tbl>
      <w:tblPr>
        <w:tblStyle w:val="24"/>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1112"/>
        <w:gridCol w:w="6313"/>
        <w:gridCol w:w="458"/>
        <w:gridCol w:w="442"/>
        <w:gridCol w:w="525"/>
      </w:tblGrid>
      <w:tr w14:paraId="0AC0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33A0A854">
            <w:pPr>
              <w:widowControl/>
              <w:spacing w:after="0" w:line="240" w:lineRule="auto"/>
              <w:jc w:val="center"/>
              <w:rPr>
                <w:rFonts w:hint="eastAsia" w:ascii="宋体" w:hAnsi="宋体" w:eastAsia="宋体" w:cs="宋体"/>
                <w:b/>
                <w:bCs/>
                <w:color w:val="000000"/>
                <w:kern w:val="0"/>
                <w:sz w:val="20"/>
                <w:szCs w:val="20"/>
                <w14:ligatures w14:val="none"/>
              </w:rPr>
            </w:pPr>
            <w:r>
              <w:rPr>
                <w:rFonts w:hint="eastAsia" w:ascii="宋体" w:hAnsi="宋体" w:eastAsia="宋体" w:cs="宋体"/>
                <w:b/>
                <w:bCs/>
                <w:color w:val="000000"/>
                <w:kern w:val="0"/>
                <w:sz w:val="20"/>
                <w:szCs w:val="20"/>
                <w14:ligatures w14:val="none"/>
              </w:rPr>
              <w:t>序号</w:t>
            </w:r>
          </w:p>
        </w:tc>
        <w:tc>
          <w:tcPr>
            <w:tcW w:w="1112" w:type="dxa"/>
            <w:vAlign w:val="center"/>
          </w:tcPr>
          <w:p w14:paraId="35666686">
            <w:pPr>
              <w:widowControl/>
              <w:spacing w:after="0" w:line="240" w:lineRule="auto"/>
              <w:jc w:val="center"/>
              <w:rPr>
                <w:rFonts w:hint="eastAsia" w:ascii="宋体" w:hAnsi="宋体" w:eastAsia="宋体" w:cs="宋体"/>
                <w:b/>
                <w:bCs/>
                <w:color w:val="000000"/>
                <w:kern w:val="0"/>
                <w:sz w:val="20"/>
                <w:szCs w:val="20"/>
                <w14:ligatures w14:val="none"/>
              </w:rPr>
            </w:pPr>
            <w:r>
              <w:rPr>
                <w:rFonts w:hint="eastAsia" w:ascii="宋体" w:hAnsi="宋体" w:eastAsia="宋体" w:cs="宋体"/>
                <w:b/>
                <w:bCs/>
                <w:color w:val="000000"/>
                <w:kern w:val="0"/>
                <w:sz w:val="20"/>
                <w:szCs w:val="20"/>
                <w14:ligatures w14:val="none"/>
              </w:rPr>
              <w:t>名称</w:t>
            </w:r>
          </w:p>
        </w:tc>
        <w:tc>
          <w:tcPr>
            <w:tcW w:w="6313" w:type="dxa"/>
            <w:vAlign w:val="center"/>
          </w:tcPr>
          <w:p w14:paraId="3477EB83">
            <w:pPr>
              <w:widowControl/>
              <w:spacing w:after="0" w:line="240" w:lineRule="auto"/>
              <w:jc w:val="center"/>
              <w:rPr>
                <w:rFonts w:hint="eastAsia" w:ascii="宋体" w:hAnsi="宋体" w:eastAsia="宋体" w:cs="宋体"/>
                <w:b/>
                <w:bCs/>
                <w:color w:val="000000"/>
                <w:kern w:val="0"/>
                <w:sz w:val="20"/>
                <w:szCs w:val="20"/>
                <w14:ligatures w14:val="none"/>
              </w:rPr>
            </w:pPr>
            <w:r>
              <w:rPr>
                <w:rFonts w:hint="eastAsia" w:ascii="宋体" w:hAnsi="宋体" w:eastAsia="宋体" w:cs="宋体"/>
                <w:b/>
                <w:bCs/>
                <w:color w:val="000000"/>
                <w:kern w:val="0"/>
                <w:sz w:val="20"/>
                <w:szCs w:val="20"/>
                <w14:ligatures w14:val="none"/>
              </w:rPr>
              <w:t>技术要求</w:t>
            </w:r>
          </w:p>
        </w:tc>
        <w:tc>
          <w:tcPr>
            <w:tcW w:w="458" w:type="dxa"/>
            <w:vAlign w:val="center"/>
          </w:tcPr>
          <w:p w14:paraId="7792C958">
            <w:pPr>
              <w:widowControl/>
              <w:spacing w:after="0" w:line="240" w:lineRule="auto"/>
              <w:jc w:val="center"/>
              <w:rPr>
                <w:rFonts w:hint="eastAsia" w:ascii="宋体" w:hAnsi="宋体" w:eastAsia="宋体" w:cs="宋体"/>
                <w:b/>
                <w:bCs/>
                <w:color w:val="000000"/>
                <w:kern w:val="0"/>
                <w:sz w:val="20"/>
                <w:szCs w:val="20"/>
                <w14:ligatures w14:val="none"/>
              </w:rPr>
            </w:pPr>
            <w:r>
              <w:rPr>
                <w:rFonts w:hint="eastAsia" w:ascii="宋体" w:hAnsi="宋体" w:eastAsia="宋体" w:cs="宋体"/>
                <w:b/>
                <w:bCs/>
                <w:color w:val="000000"/>
                <w:kern w:val="0"/>
                <w:sz w:val="20"/>
                <w:szCs w:val="20"/>
                <w14:ligatures w14:val="none"/>
              </w:rPr>
              <w:t>单位</w:t>
            </w:r>
          </w:p>
        </w:tc>
        <w:tc>
          <w:tcPr>
            <w:tcW w:w="442" w:type="dxa"/>
            <w:vAlign w:val="center"/>
          </w:tcPr>
          <w:p w14:paraId="55431D1E">
            <w:pPr>
              <w:widowControl/>
              <w:spacing w:after="0" w:line="240" w:lineRule="auto"/>
              <w:jc w:val="center"/>
              <w:rPr>
                <w:rFonts w:hint="eastAsia" w:ascii="宋体" w:hAnsi="宋体" w:eastAsia="宋体" w:cs="宋体"/>
                <w:b/>
                <w:bCs/>
                <w:color w:val="000000"/>
                <w:kern w:val="0"/>
                <w:sz w:val="20"/>
                <w:szCs w:val="20"/>
                <w14:ligatures w14:val="none"/>
              </w:rPr>
            </w:pPr>
            <w:r>
              <w:rPr>
                <w:rFonts w:hint="eastAsia" w:ascii="宋体" w:hAnsi="宋体" w:eastAsia="宋体" w:cs="宋体"/>
                <w:b/>
                <w:bCs/>
                <w:color w:val="000000"/>
                <w:kern w:val="0"/>
                <w:sz w:val="20"/>
                <w:szCs w:val="20"/>
                <w14:ligatures w14:val="none"/>
              </w:rPr>
              <w:t>数量</w:t>
            </w:r>
          </w:p>
        </w:tc>
        <w:tc>
          <w:tcPr>
            <w:tcW w:w="525" w:type="dxa"/>
            <w:vAlign w:val="center"/>
          </w:tcPr>
          <w:p w14:paraId="0C9E9CEE">
            <w:pPr>
              <w:widowControl/>
              <w:spacing w:after="0" w:line="240" w:lineRule="auto"/>
              <w:jc w:val="center"/>
              <w:rPr>
                <w:rFonts w:hint="eastAsia" w:ascii="宋体" w:hAnsi="宋体" w:eastAsia="宋体" w:cs="宋体"/>
                <w:b/>
                <w:bCs/>
                <w:color w:val="000000"/>
                <w:kern w:val="0"/>
                <w:sz w:val="20"/>
                <w:szCs w:val="20"/>
                <w14:ligatures w14:val="none"/>
              </w:rPr>
            </w:pPr>
            <w:r>
              <w:rPr>
                <w:rFonts w:hint="eastAsia" w:ascii="宋体" w:hAnsi="宋体" w:eastAsia="宋体" w:cs="宋体"/>
                <w:b/>
                <w:bCs/>
                <w:color w:val="000000"/>
                <w:kern w:val="0"/>
                <w:sz w:val="20"/>
                <w:szCs w:val="20"/>
                <w14:ligatures w14:val="none"/>
              </w:rPr>
              <w:t>备注</w:t>
            </w:r>
          </w:p>
        </w:tc>
      </w:tr>
      <w:tr w14:paraId="0F5D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2769C143">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w:t>
            </w:r>
          </w:p>
        </w:tc>
        <w:tc>
          <w:tcPr>
            <w:tcW w:w="1112" w:type="dxa"/>
            <w:vAlign w:val="center"/>
          </w:tcPr>
          <w:p w14:paraId="1F27E828">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算力一体机</w:t>
            </w:r>
          </w:p>
        </w:tc>
        <w:tc>
          <w:tcPr>
            <w:tcW w:w="6313" w:type="dxa"/>
            <w:vAlign w:val="center"/>
          </w:tcPr>
          <w:p w14:paraId="5901FE94">
            <w:pPr>
              <w:widowControl/>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1.架构：2U机架式软硬件一体服务器。</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2.处理器：实配≥2颗 48核心/96线程，不低于2.6GHz主频。</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3.内存：最大支持16个内存DIMM槽，实配≥512GB DDR4。</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4.硬盘：最大支持8个热插拔3.5”/2.5” SATA/SAS/SSD硬盘；配置≥1块4TB 7.2K转企业级SATA数据盘，≥1块960GTB U.2 SSD系统盘；</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5.网络：≥2个千兆网口</w:t>
            </w:r>
            <w:r>
              <w:rPr>
                <w:rFonts w:hint="eastAsia" w:ascii="宋体" w:hAnsi="宋体" w:eastAsia="宋体" w:cs="宋体"/>
                <w:color w:val="000000" w:themeColor="text1"/>
                <w:kern w:val="0"/>
                <w:sz w:val="20"/>
                <w:szCs w:val="20"/>
                <w14:textFill>
                  <w14:solidFill>
                    <w14:schemeClr w14:val="tx1"/>
                  </w14:solidFill>
                </w14:textFill>
                <w14:ligatures w14:val="none"/>
              </w:rPr>
              <w:t>，≥2个</w:t>
            </w:r>
            <w:r>
              <w:rPr>
                <w:rFonts w:hint="eastAsia" w:ascii="宋体" w:hAnsi="宋体" w:eastAsia="宋体" w:cs="宋体"/>
                <w:color w:val="000000"/>
                <w:kern w:val="0"/>
                <w:sz w:val="20"/>
                <w:szCs w:val="20"/>
                <w14:ligatures w14:val="none"/>
              </w:rPr>
              <w:t>万兆网口（含多模SFP+模块）。</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6.I/O： ≥ 3个PCI-E扩展插槽</w:t>
            </w:r>
            <w:r>
              <w:rPr>
                <w:rFonts w:hint="eastAsia" w:ascii="宋体" w:hAnsi="宋体" w:eastAsia="宋体" w:cs="宋体"/>
                <w:color w:val="000000" w:themeColor="text1"/>
                <w:kern w:val="0"/>
                <w:sz w:val="20"/>
                <w:szCs w:val="20"/>
                <w14:textFill>
                  <w14:solidFill>
                    <w14:schemeClr w14:val="tx1"/>
                  </w14:solidFill>
                </w14:textFill>
                <w14:ligatures w14:val="none"/>
              </w:rPr>
              <w:t>，≥2个USB端口，≥1个VGA</w:t>
            </w:r>
            <w:r>
              <w:rPr>
                <w:rFonts w:hint="eastAsia" w:ascii="宋体" w:hAnsi="宋体" w:eastAsia="宋体" w:cs="宋体"/>
                <w:color w:val="000000"/>
                <w:kern w:val="0"/>
                <w:sz w:val="20"/>
                <w:szCs w:val="20"/>
                <w14:ligatures w14:val="none"/>
              </w:rPr>
              <w:t>端口。</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7.电源：标配节能服务器专用冗余电源。</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8.支持IPMI2.0，对外提供100/1000 Mbps RJ45管理网口，支持远程管理。</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9.为保证系统网络安全性与稳定性，支持多网卡绑定，支持activebackup、broadcast、roundrobin、random、loadbalance、lacp等6种常用的bond模式； 也可支持管理网络、镜像网络分离，将两种网络分别绑定到不同的服务器物理网卡，实现网络分流，上述功能均无需采用命令行操作（提供功能截图）。</w:t>
            </w:r>
          </w:p>
        </w:tc>
        <w:tc>
          <w:tcPr>
            <w:tcW w:w="458" w:type="dxa"/>
            <w:vAlign w:val="center"/>
          </w:tcPr>
          <w:p w14:paraId="3C904883">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台</w:t>
            </w:r>
          </w:p>
        </w:tc>
        <w:tc>
          <w:tcPr>
            <w:tcW w:w="442" w:type="dxa"/>
            <w:vAlign w:val="center"/>
          </w:tcPr>
          <w:p w14:paraId="063A8DC7">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w:t>
            </w:r>
          </w:p>
        </w:tc>
        <w:tc>
          <w:tcPr>
            <w:tcW w:w="525" w:type="dxa"/>
            <w:vAlign w:val="center"/>
          </w:tcPr>
          <w:p w14:paraId="0F678C50">
            <w:pPr>
              <w:widowControl/>
              <w:spacing w:after="0" w:line="240" w:lineRule="auto"/>
              <w:jc w:val="center"/>
              <w:rPr>
                <w:rFonts w:hint="eastAsia" w:ascii="宋体" w:hAnsi="宋体" w:eastAsia="宋体" w:cs="宋体"/>
                <w:color w:val="000000"/>
                <w:kern w:val="0"/>
                <w:sz w:val="20"/>
                <w:szCs w:val="20"/>
                <w14:ligatures w14:val="none"/>
              </w:rPr>
            </w:pPr>
          </w:p>
        </w:tc>
      </w:tr>
      <w:tr w14:paraId="0D7C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1C1B89D8">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2</w:t>
            </w:r>
          </w:p>
        </w:tc>
        <w:tc>
          <w:tcPr>
            <w:tcW w:w="1112" w:type="dxa"/>
            <w:vAlign w:val="center"/>
          </w:tcPr>
          <w:p w14:paraId="6783D226">
            <w:pPr>
              <w:widowControl/>
              <w:spacing w:after="0" w:line="240" w:lineRule="auto"/>
              <w:jc w:val="center"/>
              <w:rPr>
                <w:rFonts w:hint="eastAsia" w:ascii="宋体" w:hAnsi="宋体" w:eastAsia="宋体" w:cs="宋体"/>
                <w:color w:val="000000"/>
                <w:kern w:val="0"/>
                <w:sz w:val="20"/>
                <w:szCs w:val="20"/>
                <w:highlight w:val="none"/>
                <w14:ligatures w14:val="none"/>
              </w:rPr>
            </w:pPr>
            <w:r>
              <w:rPr>
                <w:rFonts w:hint="eastAsia" w:ascii="宋体" w:hAnsi="宋体" w:eastAsia="宋体" w:cs="宋体"/>
                <w:color w:val="000000"/>
                <w:kern w:val="0"/>
                <w:sz w:val="20"/>
                <w:szCs w:val="20"/>
                <w:highlight w:val="none"/>
                <w14:ligatures w14:val="none"/>
              </w:rPr>
              <w:t>万兆交换机</w:t>
            </w:r>
          </w:p>
        </w:tc>
        <w:tc>
          <w:tcPr>
            <w:tcW w:w="6313" w:type="dxa"/>
            <w:vAlign w:val="center"/>
          </w:tcPr>
          <w:p w14:paraId="4721DBDD">
            <w:pPr>
              <w:widowControl/>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themeColor="text1"/>
                <w:kern w:val="0"/>
                <w:sz w:val="20"/>
                <w:szCs w:val="20"/>
                <w14:textFill>
                  <w14:solidFill>
                    <w14:schemeClr w14:val="tx1"/>
                  </w14:solidFill>
                </w14:textFill>
                <w14:ligatures w14:val="none"/>
              </w:rPr>
              <w:t>≥24个1G/</w:t>
            </w:r>
            <w:r>
              <w:rPr>
                <w:rFonts w:hint="eastAsia" w:ascii="宋体" w:hAnsi="宋体" w:eastAsia="宋体" w:cs="宋体"/>
                <w:color w:val="000000"/>
                <w:kern w:val="0"/>
                <w:sz w:val="20"/>
                <w:szCs w:val="20"/>
                <w14:ligatures w14:val="none"/>
              </w:rPr>
              <w:t>2.5G/10G SFP</w:t>
            </w:r>
            <w:r>
              <w:rPr>
                <w:rFonts w:hint="eastAsia" w:ascii="宋体" w:hAnsi="宋体" w:eastAsia="宋体" w:cs="宋体"/>
                <w:color w:val="000000" w:themeColor="text1"/>
                <w:kern w:val="0"/>
                <w:sz w:val="20"/>
                <w:szCs w:val="20"/>
                <w14:textFill>
                  <w14:solidFill>
                    <w14:schemeClr w14:val="tx1"/>
                  </w14:solidFill>
                </w14:textFill>
                <w14:ligatures w14:val="none"/>
              </w:rPr>
              <w:t>+光口，≥2个40GE QS</w:t>
            </w:r>
            <w:r>
              <w:rPr>
                <w:rFonts w:hint="eastAsia" w:ascii="宋体" w:hAnsi="宋体" w:eastAsia="宋体" w:cs="宋体"/>
                <w:color w:val="000000"/>
                <w:kern w:val="0"/>
                <w:sz w:val="20"/>
                <w:szCs w:val="20"/>
                <w14:ligatures w14:val="none"/>
              </w:rPr>
              <w:t>FP+光口；</w:t>
            </w:r>
            <w:r>
              <w:rPr>
                <w:rFonts w:hint="eastAsia" w:ascii="宋体" w:hAnsi="宋体" w:eastAsia="宋体" w:cs="宋体"/>
                <w:color w:val="000000" w:themeColor="text1"/>
                <w:kern w:val="0"/>
                <w:sz w:val="20"/>
                <w:szCs w:val="20"/>
                <w:highlight w:val="none"/>
                <w14:textFill>
                  <w14:solidFill>
                    <w14:schemeClr w14:val="tx1"/>
                  </w14:solidFill>
                </w14:textFill>
                <w14:ligatures w14:val="none"/>
              </w:rPr>
              <w:t>交换容量≥</w:t>
            </w:r>
            <w:r>
              <w:rPr>
                <w:rFonts w:hint="eastAsia" w:ascii="宋体" w:hAnsi="宋体" w:eastAsia="宋体" w:cs="宋体"/>
                <w:color w:val="000000" w:themeColor="text1"/>
                <w:kern w:val="0"/>
                <w:sz w:val="20"/>
                <w:szCs w:val="20"/>
                <w:highlight w:val="none"/>
                <w:lang w:val="en-US" w:eastAsia="zh-CN"/>
                <w14:textFill>
                  <w14:solidFill>
                    <w14:schemeClr w14:val="tx1"/>
                  </w14:solidFill>
                </w14:textFill>
                <w14:ligatures w14:val="none"/>
              </w:rPr>
              <w:t>5.98</w:t>
            </w:r>
            <w:r>
              <w:rPr>
                <w:rFonts w:hint="eastAsia" w:ascii="宋体" w:hAnsi="宋体" w:eastAsia="宋体" w:cs="宋体"/>
                <w:color w:val="000000" w:themeColor="text1"/>
                <w:kern w:val="0"/>
                <w:sz w:val="20"/>
                <w:szCs w:val="20"/>
                <w:highlight w:val="none"/>
                <w14:textFill>
                  <w14:solidFill>
                    <w14:schemeClr w14:val="tx1"/>
                  </w14:solidFill>
                </w14:textFill>
                <w14:ligatures w14:val="none"/>
              </w:rPr>
              <w:t>Tbps，包转发率≥</w:t>
            </w:r>
            <w:r>
              <w:rPr>
                <w:rFonts w:hint="eastAsia" w:ascii="宋体" w:hAnsi="宋体" w:eastAsia="宋体" w:cs="宋体"/>
                <w:color w:val="000000" w:themeColor="text1"/>
                <w:kern w:val="0"/>
                <w:sz w:val="20"/>
                <w:szCs w:val="20"/>
                <w:highlight w:val="none"/>
                <w:lang w:val="en-US" w:eastAsia="zh-CN"/>
                <w14:textFill>
                  <w14:solidFill>
                    <w14:schemeClr w14:val="tx1"/>
                  </w14:solidFill>
                </w14:textFill>
                <w14:ligatures w14:val="none"/>
              </w:rPr>
              <w:t>2220</w:t>
            </w:r>
            <w:r>
              <w:rPr>
                <w:rFonts w:hint="eastAsia" w:ascii="宋体" w:hAnsi="宋体" w:eastAsia="宋体" w:cs="宋体"/>
                <w:color w:val="000000" w:themeColor="text1"/>
                <w:kern w:val="0"/>
                <w:sz w:val="20"/>
                <w:szCs w:val="20"/>
                <w:highlight w:val="none"/>
                <w14:textFill>
                  <w14:solidFill>
                    <w14:schemeClr w14:val="tx1"/>
                  </w14:solidFill>
                </w14:textFill>
                <w14:ligatures w14:val="none"/>
              </w:rPr>
              <w:t>Mpps，支持全端口线速</w:t>
            </w:r>
            <w:r>
              <w:rPr>
                <w:rFonts w:hint="eastAsia" w:ascii="宋体" w:hAnsi="宋体" w:eastAsia="宋体" w:cs="宋体"/>
                <w:color w:val="000000"/>
                <w:kern w:val="0"/>
                <w:sz w:val="20"/>
                <w:szCs w:val="20"/>
                <w14:ligatures w14:val="none"/>
              </w:rPr>
              <w:t>转发；支持NMC/vNMC/NAC/SAC统一管理、统一查看状态、VLAN等配置管理；支持终端识别、终端准入、安全防护及安全画像可视；支持胖瘦一体化；支持双电源模块，默认 1个150W可插拔AC交流电源，并预留一个扩展可插拔电源槽位；</w:t>
            </w:r>
          </w:p>
        </w:tc>
        <w:tc>
          <w:tcPr>
            <w:tcW w:w="458" w:type="dxa"/>
            <w:vAlign w:val="center"/>
          </w:tcPr>
          <w:p w14:paraId="78FC81E0">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台</w:t>
            </w:r>
          </w:p>
        </w:tc>
        <w:tc>
          <w:tcPr>
            <w:tcW w:w="442" w:type="dxa"/>
            <w:vAlign w:val="center"/>
          </w:tcPr>
          <w:p w14:paraId="0A0F715A">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2</w:t>
            </w:r>
          </w:p>
        </w:tc>
        <w:tc>
          <w:tcPr>
            <w:tcW w:w="525" w:type="dxa"/>
            <w:vAlign w:val="center"/>
          </w:tcPr>
          <w:p w14:paraId="1A27AFB9">
            <w:pPr>
              <w:widowControl/>
              <w:spacing w:after="0" w:line="240" w:lineRule="auto"/>
              <w:jc w:val="center"/>
              <w:rPr>
                <w:rFonts w:hint="eastAsia" w:ascii="宋体" w:hAnsi="宋体" w:eastAsia="宋体" w:cs="宋体"/>
                <w:color w:val="000000"/>
                <w:kern w:val="0"/>
                <w:sz w:val="20"/>
                <w:szCs w:val="20"/>
                <w:lang w:val="en-US" w:eastAsia="zh-CN"/>
                <w14:ligatures w14:val="none"/>
              </w:rPr>
            </w:pPr>
          </w:p>
        </w:tc>
      </w:tr>
      <w:tr w14:paraId="4AE4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752EF107">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3</w:t>
            </w:r>
          </w:p>
        </w:tc>
        <w:tc>
          <w:tcPr>
            <w:tcW w:w="1112" w:type="dxa"/>
            <w:vAlign w:val="center"/>
          </w:tcPr>
          <w:p w14:paraId="24E19BFF">
            <w:pPr>
              <w:widowControl/>
              <w:spacing w:after="0" w:line="240" w:lineRule="auto"/>
              <w:jc w:val="center"/>
              <w:rPr>
                <w:rFonts w:hint="eastAsia" w:ascii="宋体" w:hAnsi="宋体" w:eastAsia="宋体" w:cs="宋体"/>
                <w:color w:val="000000"/>
                <w:kern w:val="0"/>
                <w:sz w:val="20"/>
                <w:szCs w:val="20"/>
                <w:highlight w:val="none"/>
                <w14:ligatures w14:val="none"/>
              </w:rPr>
            </w:pPr>
            <w:r>
              <w:rPr>
                <w:rFonts w:hint="eastAsia" w:ascii="宋体" w:hAnsi="宋体" w:eastAsia="宋体" w:cs="宋体"/>
                <w:color w:val="000000"/>
                <w:kern w:val="0"/>
                <w:sz w:val="20"/>
                <w:szCs w:val="20"/>
                <w:highlight w:val="none"/>
                <w14:ligatures w14:val="none"/>
              </w:rPr>
              <w:t>千兆交换机</w:t>
            </w:r>
          </w:p>
        </w:tc>
        <w:tc>
          <w:tcPr>
            <w:tcW w:w="6313" w:type="dxa"/>
            <w:vAlign w:val="center"/>
          </w:tcPr>
          <w:p w14:paraId="7E2A4240">
            <w:pPr>
              <w:widowControl/>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themeColor="text1"/>
                <w:kern w:val="0"/>
                <w:sz w:val="20"/>
                <w:szCs w:val="20"/>
                <w14:textFill>
                  <w14:solidFill>
                    <w14:schemeClr w14:val="tx1"/>
                  </w14:solidFill>
                </w14:textFill>
                <w14:ligatures w14:val="none"/>
              </w:rPr>
              <w:t>≥24个10/100/1000Base-T以太网端口，≥4个</w:t>
            </w:r>
            <w:r>
              <w:rPr>
                <w:rFonts w:hint="eastAsia" w:ascii="宋体" w:hAnsi="宋体" w:eastAsia="宋体" w:cs="宋体"/>
                <w:color w:val="000000"/>
                <w:kern w:val="0"/>
                <w:sz w:val="20"/>
                <w:szCs w:val="20"/>
                <w14:ligatures w14:val="none"/>
              </w:rPr>
              <w:t>万兆SFP+光口；</w:t>
            </w:r>
            <w:r>
              <w:rPr>
                <w:rFonts w:hint="eastAsia" w:ascii="宋体" w:hAnsi="宋体" w:eastAsia="宋体" w:cs="宋体"/>
                <w:color w:val="000000" w:themeColor="text1"/>
                <w:kern w:val="0"/>
                <w:sz w:val="20"/>
                <w:szCs w:val="20"/>
                <w:highlight w:val="none"/>
                <w14:textFill>
                  <w14:solidFill>
                    <w14:schemeClr w14:val="tx1"/>
                  </w14:solidFill>
                </w14:textFill>
                <w14:ligatures w14:val="none"/>
              </w:rPr>
              <w:t>交换容量≥672Gbps包转发率≥171Mpps，</w:t>
            </w:r>
            <w:r>
              <w:rPr>
                <w:rFonts w:hint="eastAsia" w:ascii="宋体" w:hAnsi="宋体" w:eastAsia="宋体" w:cs="宋体"/>
                <w:color w:val="000000"/>
                <w:kern w:val="0"/>
                <w:sz w:val="20"/>
                <w:szCs w:val="20"/>
                <w14:ligatures w14:val="none"/>
              </w:rPr>
              <w:t>支持全端口线速转发；支持NMC/vNMC/NAC/SAC统一管理及自动生成智能拓扑、统一查看状态、VLAN等配置管理；</w:t>
            </w:r>
          </w:p>
        </w:tc>
        <w:tc>
          <w:tcPr>
            <w:tcW w:w="458" w:type="dxa"/>
            <w:vAlign w:val="center"/>
          </w:tcPr>
          <w:p w14:paraId="363C8F6E">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台</w:t>
            </w:r>
          </w:p>
        </w:tc>
        <w:tc>
          <w:tcPr>
            <w:tcW w:w="442" w:type="dxa"/>
            <w:vAlign w:val="center"/>
          </w:tcPr>
          <w:p w14:paraId="4C57444E">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4</w:t>
            </w:r>
          </w:p>
        </w:tc>
        <w:tc>
          <w:tcPr>
            <w:tcW w:w="525" w:type="dxa"/>
            <w:vAlign w:val="center"/>
          </w:tcPr>
          <w:p w14:paraId="62478B11">
            <w:pPr>
              <w:widowControl/>
              <w:spacing w:after="0" w:line="240" w:lineRule="auto"/>
              <w:jc w:val="center"/>
              <w:rPr>
                <w:rFonts w:hint="eastAsia" w:ascii="宋体" w:hAnsi="宋体" w:eastAsia="宋体" w:cs="宋体"/>
                <w:color w:val="000000"/>
                <w:kern w:val="0"/>
                <w:sz w:val="20"/>
                <w:szCs w:val="20"/>
                <w14:ligatures w14:val="none"/>
              </w:rPr>
            </w:pPr>
          </w:p>
        </w:tc>
      </w:tr>
      <w:tr w14:paraId="3063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308E3D64">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4</w:t>
            </w:r>
          </w:p>
        </w:tc>
        <w:tc>
          <w:tcPr>
            <w:tcW w:w="1112" w:type="dxa"/>
            <w:vAlign w:val="center"/>
          </w:tcPr>
          <w:p w14:paraId="5BD60370">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融合空间教学软件（本地部署）</w:t>
            </w:r>
          </w:p>
        </w:tc>
        <w:tc>
          <w:tcPr>
            <w:tcW w:w="6313" w:type="dxa"/>
            <w:vAlign w:val="center"/>
          </w:tcPr>
          <w:p w14:paraId="5F8081A1">
            <w:pPr>
              <w:widowControl/>
              <w:numPr>
                <w:ilvl w:val="0"/>
                <w:numId w:val="6"/>
              </w:numPr>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 xml:space="preserve">支持师生使用个人笔记本、办公电脑、PAD等设备，在实验室、办公室、校外等地方远程访问WEB管理平台，实现对异构算力的统一纳管，资源池化使用及监控，课程桌面的算力创建、分配及负载调度，课程桌面的高可用及算力平台HA策略，系统平台的属性设置管理； </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2.支持通过KVM虚拟化技术，将不同算力类型（云端算力、云端高性能算力、桌面云算力、信创算力）的物理算力资源（CPU、内存、存储、显存等）抽象化，实现硬件资源池化重构，并可根据算力用途（科研、应用、教学等）及划分多个资源池，每个资源池可独立设置集群网络配置策略、桌面创建策略、桌面存储策略；</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 xml:space="preserve">3.支持可视化呈现算力中心数据的使用情况，展示算力资源池中不同算力类型的分布状态，动态呈现算力中心资源池总数、算力中心CPU总核心数、算力中心内存总容量和算力中心存储总容量，支持以环形图百分比展示不同算力设备的本地存储使用总数据容量和已使用数据容量，并以折线图形式趋势化呈现所有算力设备的实时CPU占用率分布和内存占用情况； </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4.支持单个实验室设置多个开放计划，开放计划信息包含计划名称、开放形式、开放对象、起止时间、重复频率、可用时间段、是否允许预约和预约人数，可针对单个开放计划执行修改、暂停、恢复、取消操作等，可设定实验室是否支持师生占位预约使用；</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5.支持开启或关闭开放实验室的预约权限，管理员开放预约权限后，学生可在门户中查看到可预约的实验室，可选择指定日期中具体时间段进行预约，预约时间确认后无需管理员再次审核通过到对应时段即可使用；</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 xml:space="preserve">6.平台支持师生使用账号密码及微信扫码的登陆方式，可设置安全策略，在连续密码输入错误后可强制冻结账号，管理员可设定自动时长解锁或手动解锁冻结账号； </w:t>
            </w:r>
          </w:p>
          <w:p w14:paraId="3C4EBEEC">
            <w:pPr>
              <w:widowControl/>
              <w:numPr>
                <w:ilvl w:val="0"/>
                <w:numId w:val="0"/>
              </w:numPr>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7. 支持以可视化形式展示已开放的孪生实验室，信息至少包含：实验室名、接入总数、剩余接入数以及当前实验室可选择的桌面环境，可根据空闲状态及已满状态快速筛选对应类型开放实验室，也可根据实验室名称进行搜索定位，进入实验室后可以进行选座；（提供功能截图）</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8.支持教室开放功能，管理员可指定任意教室线上开放的权限，可设置开放时间段并按日、周、月执行重复开放计划，可设置指定使用对象通过账号密码登录访问或生成邀请链接实现访客验证码访问（提供功能截图）；</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9.支持高并发教学的磁盘加速策略及灵活的资源回收策略，基于冗余内存资源，在高并发教学场景下可临时调度内存资源加速师生桌面应用以实现更流畅运行；可自定义设置桌面资源自动回收计时，当师生桌面使用完毕断开连接后按时回归资源池并允许其他师生按需使用；</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10.支持设置课程分组，将同一专业群或同一学院的计算机实验课程划分到一个分组内，支持将对接的第三方课表里的课程信息同步到课程分组，实现快速创建课程分组体系，也可以通过导入课程模板，快速创建课程和课程分组，便于老师创建实验教学环境时快速便捷选择课程。</w:t>
            </w:r>
          </w:p>
        </w:tc>
        <w:tc>
          <w:tcPr>
            <w:tcW w:w="458" w:type="dxa"/>
            <w:vAlign w:val="center"/>
          </w:tcPr>
          <w:p w14:paraId="33FF3868">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套</w:t>
            </w:r>
          </w:p>
        </w:tc>
        <w:tc>
          <w:tcPr>
            <w:tcW w:w="442" w:type="dxa"/>
            <w:vAlign w:val="center"/>
          </w:tcPr>
          <w:p w14:paraId="6123AAFF">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w:t>
            </w:r>
          </w:p>
        </w:tc>
        <w:tc>
          <w:tcPr>
            <w:tcW w:w="525" w:type="dxa"/>
            <w:vAlign w:val="center"/>
          </w:tcPr>
          <w:p w14:paraId="6E06E8E9">
            <w:pPr>
              <w:widowControl/>
              <w:spacing w:after="0" w:line="240" w:lineRule="auto"/>
              <w:jc w:val="center"/>
              <w:rPr>
                <w:rFonts w:hint="eastAsia" w:ascii="宋体" w:hAnsi="宋体" w:eastAsia="宋体" w:cs="宋体"/>
                <w:color w:val="000000"/>
                <w:kern w:val="0"/>
                <w:sz w:val="20"/>
                <w:szCs w:val="20"/>
                <w14:ligatures w14:val="none"/>
              </w:rPr>
            </w:pPr>
          </w:p>
        </w:tc>
      </w:tr>
      <w:tr w14:paraId="6006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02DBA97C">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5</w:t>
            </w:r>
          </w:p>
        </w:tc>
        <w:tc>
          <w:tcPr>
            <w:tcW w:w="1112" w:type="dxa"/>
            <w:vAlign w:val="center"/>
          </w:tcPr>
          <w:p w14:paraId="4001AC40">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孪生融合空间接入授权（学生端）</w:t>
            </w:r>
          </w:p>
        </w:tc>
        <w:tc>
          <w:tcPr>
            <w:tcW w:w="6313" w:type="dxa"/>
            <w:vAlign w:val="center"/>
          </w:tcPr>
          <w:p w14:paraId="1B39E18E">
            <w:pPr>
              <w:widowControl/>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1.支持利旧现有PC机设备，可通过现有PC机设备部署客户端，采用底层部署方案，可实现开机后直接接入教学桌面系统，无需使用进入本地系统再接入虚拟桌面的模式。</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2.无线网络环境下，师生可通过WEB端和客户端方式，采用高性能桌面连接协议，使用笔记本、云终端、PC、PAD等设备，在校内外随时接入线上实验空间；</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3.提供特色化门户网站，可根据预约数据和管理员开放数据形成用户空间，可展示开放实验室、用户虚拟桌面、网盘、实验室预约、桌面申请、定制化申请等内容（提供功能截图）；</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 xml:space="preserve">4.支持将桌面通过邀请码开放给他人使用，可生成随机邀请码，学生输入邀请码即可教师开放至线上的实验室及共享桌面，支持未登录访客或登录验证账号使用； </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5.针对异常桌面，师生可自主将桌面进行重置，重置将清除桌面的所有数据并将桌面恢复至初始状态；</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6.支持在实验室开放页面，针对已开放预约的实验室，可进行预约申请，可选定预约日期和预约时间段，教师可设置预约单审批，学生到达对应时间即可使用该实验室，学生可随时查看自己的预约单，页可随时取消预约单，可删除已结束的预约单；</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7.学生可在预约与申请页面，提交定制桌面申请，可定制内容包括桌面的系统类型、vCPU核数、内存大小、系统盘大小、数据盘大小、所需软件和单人桌面数，可填写起止时间、可用时间段及重复执行周期等参数。；</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8.提供个人中心界面，用户可在个人中心中查看并修改个人信息（包括头像、姓名、班级组织、联系方式等），并提供密码修改功能（提供功能截图）；</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9.支持客户端直接调用本地笔记本电脑连接的USB外设，支持师生将物理连接到本地笔记本电脑的USB外接设备无缝地映射到云端的虚拟环境中，并且通过加密安全通道进行数据传输，保护数据的完整性和隐私性；</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10.客户端支持实时网络条件感知，自动监测网络带宽、延迟的情况，通过传输协议进行自适应调整，实现桌面分辨率、帧率和压缩率的动态最佳调优，同时支持用户自定义桌面画质，保障桌面的流畅使用。</w:t>
            </w:r>
          </w:p>
        </w:tc>
        <w:tc>
          <w:tcPr>
            <w:tcW w:w="458" w:type="dxa"/>
            <w:vAlign w:val="center"/>
          </w:tcPr>
          <w:p w14:paraId="168EC7F3">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点</w:t>
            </w:r>
          </w:p>
        </w:tc>
        <w:tc>
          <w:tcPr>
            <w:tcW w:w="442" w:type="dxa"/>
            <w:vAlign w:val="center"/>
          </w:tcPr>
          <w:p w14:paraId="7E997410">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80</w:t>
            </w:r>
          </w:p>
        </w:tc>
        <w:tc>
          <w:tcPr>
            <w:tcW w:w="525" w:type="dxa"/>
            <w:vAlign w:val="center"/>
          </w:tcPr>
          <w:p w14:paraId="29E0A4CB">
            <w:pPr>
              <w:widowControl/>
              <w:spacing w:after="0" w:line="240" w:lineRule="auto"/>
              <w:jc w:val="center"/>
              <w:rPr>
                <w:rFonts w:hint="eastAsia" w:ascii="宋体" w:hAnsi="宋体" w:eastAsia="宋体" w:cs="宋体"/>
                <w:color w:val="000000"/>
                <w:kern w:val="0"/>
                <w:sz w:val="20"/>
                <w:szCs w:val="20"/>
                <w14:ligatures w14:val="none"/>
              </w:rPr>
            </w:pPr>
          </w:p>
        </w:tc>
      </w:tr>
      <w:tr w14:paraId="5A45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414" w:type="dxa"/>
            <w:vAlign w:val="center"/>
          </w:tcPr>
          <w:p w14:paraId="7725BEF9">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6</w:t>
            </w:r>
          </w:p>
        </w:tc>
        <w:tc>
          <w:tcPr>
            <w:tcW w:w="1112" w:type="dxa"/>
            <w:vAlign w:val="center"/>
          </w:tcPr>
          <w:p w14:paraId="7E1C3DDB">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教学管理软件</w:t>
            </w:r>
          </w:p>
        </w:tc>
        <w:tc>
          <w:tcPr>
            <w:tcW w:w="6313" w:type="dxa"/>
            <w:vAlign w:val="center"/>
          </w:tcPr>
          <w:p w14:paraId="1C7DEDE0">
            <w:pPr>
              <w:widowControl/>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1．支持IPV4、IPV6网络环境下安装和正常使用，支持windows7 32位/64位，windows10 64位、windows11  64位操作系统；</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2．支持对学生视图自定义命令和排序，便于学生未点名时，通过座位信息快速找到学生；</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3．屏幕广播支持区域广播方式，教师端可选取一块区域广播给学生机；</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4．教师可选定一个学生操作本机或操作教师机进行教学演示，并将该学生演示的画面广播给每一个学生；被广播的学生将全屏/窗口接收演示学生的画面，全屏状态键盘和鼠标被锁定；</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5．教师机可以连续监看所选学生机屏幕，每屏可监视多个学生,可设置每屏学生机的数量以及学生机屏幕轮循的时间间隔；</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6．具备游戏互动教学功能，支持击鼓传花，电子抢答等互动方式；</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7．支持作业下发，教师机可将自己机器上的文件传输到学生机，支持一对多传输，当选中多台学生机执行下发文件时，教师端需选择其中一台学生机作为样本机，并选择存放路径，支持发送文件或文件夹；</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8．支持收取作业，教师可发起作业提交，学生提交作业后自动收取，默认将收取上来的作业存放在桌面，该路径可自定义更换；作业命名方式支持学生自定义和教师自定义，教师自定义命名支持加入学生姓名、学号、学生机器名或学生机IP地址中的一种方式；</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9．支持黑屏肃静，教师可对学生执行黑屏肃静操作，能够自定义黑屏肃静的提示信息，支持手动解锁、按时解锁、按时长解锁；</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10．支持考试功能，包括试题编辑、下发试卷、考试监控、成绩统计。可添加单选题、多选题、判断题、填空题、问答题；可设置考试时长，倒计时结束后自动结束考试。阅卷时，单选题、多选题、判断题支持自动评分和统计正确率（提供功能截图）。</w:t>
            </w:r>
          </w:p>
        </w:tc>
        <w:tc>
          <w:tcPr>
            <w:tcW w:w="458" w:type="dxa"/>
            <w:vAlign w:val="center"/>
          </w:tcPr>
          <w:p w14:paraId="261B72D5">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套</w:t>
            </w:r>
          </w:p>
        </w:tc>
        <w:tc>
          <w:tcPr>
            <w:tcW w:w="442" w:type="dxa"/>
            <w:vAlign w:val="center"/>
          </w:tcPr>
          <w:p w14:paraId="061121A9">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w:t>
            </w:r>
          </w:p>
        </w:tc>
        <w:tc>
          <w:tcPr>
            <w:tcW w:w="525" w:type="dxa"/>
            <w:vAlign w:val="center"/>
          </w:tcPr>
          <w:p w14:paraId="783B72F4">
            <w:pPr>
              <w:widowControl/>
              <w:spacing w:after="0" w:line="240" w:lineRule="auto"/>
              <w:jc w:val="center"/>
              <w:rPr>
                <w:rFonts w:hint="eastAsia" w:ascii="宋体" w:hAnsi="宋体" w:eastAsia="宋体" w:cs="宋体"/>
                <w:color w:val="000000"/>
                <w:kern w:val="0"/>
                <w:sz w:val="20"/>
                <w:szCs w:val="20"/>
                <w14:ligatures w14:val="none"/>
              </w:rPr>
            </w:pPr>
          </w:p>
        </w:tc>
      </w:tr>
      <w:tr w14:paraId="28D61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414" w:type="dxa"/>
            <w:vAlign w:val="center"/>
          </w:tcPr>
          <w:p w14:paraId="242E19A2">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7</w:t>
            </w:r>
          </w:p>
        </w:tc>
        <w:tc>
          <w:tcPr>
            <w:tcW w:w="1112" w:type="dxa"/>
            <w:vAlign w:val="center"/>
          </w:tcPr>
          <w:p w14:paraId="179A32FF">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机房改造及安装服务</w:t>
            </w:r>
          </w:p>
        </w:tc>
        <w:tc>
          <w:tcPr>
            <w:tcW w:w="6313" w:type="dxa"/>
            <w:vAlign w:val="center"/>
          </w:tcPr>
          <w:p w14:paraId="11A31DA2">
            <w:pPr>
              <w:widowControl/>
              <w:spacing w:after="0" w:line="240" w:lineRule="auto"/>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完成学院现有2间机房的软硬件升级改造及配套集成和培训服务。</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1.设备交付：设备交付包含集成辅材，包括：项目中可能涉及的视音频线缆、网线、光纤、模块、视音频插接件，线槽、扎带、标准化线标等；</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2.搭建费用：专业工程师上门完成软硬件设备搭建安装，包括设备现场安装环境预置、硬件设备上架归置、系统软件及应用软件安装等；</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3.系统测试：包括硬件加电测试、系统稳定性测试、软件功能符合性测试，系统压力测试、系统故障恢复测试等内容，具体根据项目软硬件设备情况进行；</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4.专业技能培训：由具备技术资格的工程师对采购人指定人员进行系统化培训，培训内容包括：开关机培训、软硬件操作培训、常见故障处理、素材管理培训。</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5..运行维护服务：质保期内设备维修、维护服务，工程师上门服务，系统测试期间保障服务；</w:t>
            </w:r>
            <w:r>
              <w:rPr>
                <w:rFonts w:hint="eastAsia" w:ascii="宋体" w:hAnsi="宋体" w:eastAsia="宋体" w:cs="宋体"/>
                <w:color w:val="000000"/>
                <w:kern w:val="0"/>
                <w:sz w:val="20"/>
                <w:szCs w:val="20"/>
                <w14:ligatures w14:val="none"/>
              </w:rPr>
              <w:br w:type="textWrapping"/>
            </w:r>
            <w:r>
              <w:rPr>
                <w:rFonts w:hint="eastAsia" w:ascii="宋体" w:hAnsi="宋体" w:eastAsia="宋体" w:cs="宋体"/>
                <w:color w:val="000000"/>
                <w:kern w:val="0"/>
                <w:sz w:val="20"/>
                <w:szCs w:val="20"/>
                <w14:ligatures w14:val="none"/>
              </w:rPr>
              <w:t>6.技术服务：系统方案设计服务、技术测试服务、验收服务；</w:t>
            </w:r>
          </w:p>
        </w:tc>
        <w:tc>
          <w:tcPr>
            <w:tcW w:w="458" w:type="dxa"/>
            <w:vAlign w:val="center"/>
          </w:tcPr>
          <w:p w14:paraId="39B47DC9">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项</w:t>
            </w:r>
          </w:p>
        </w:tc>
        <w:tc>
          <w:tcPr>
            <w:tcW w:w="442" w:type="dxa"/>
            <w:vAlign w:val="center"/>
          </w:tcPr>
          <w:p w14:paraId="5C4A48C2">
            <w:pPr>
              <w:widowControl/>
              <w:spacing w:after="0" w:line="240" w:lineRule="auto"/>
              <w:jc w:val="center"/>
              <w:rPr>
                <w:rFonts w:hint="eastAsia" w:ascii="宋体" w:hAnsi="宋体" w:eastAsia="宋体" w:cs="宋体"/>
                <w:color w:val="000000"/>
                <w:kern w:val="0"/>
                <w:sz w:val="20"/>
                <w:szCs w:val="20"/>
                <w14:ligatures w14:val="none"/>
              </w:rPr>
            </w:pPr>
            <w:r>
              <w:rPr>
                <w:rFonts w:hint="eastAsia" w:ascii="宋体" w:hAnsi="宋体" w:eastAsia="宋体" w:cs="宋体"/>
                <w:color w:val="000000"/>
                <w:kern w:val="0"/>
                <w:sz w:val="20"/>
                <w:szCs w:val="20"/>
                <w14:ligatures w14:val="none"/>
              </w:rPr>
              <w:t>1</w:t>
            </w:r>
          </w:p>
        </w:tc>
        <w:tc>
          <w:tcPr>
            <w:tcW w:w="525" w:type="dxa"/>
            <w:vAlign w:val="center"/>
          </w:tcPr>
          <w:p w14:paraId="2BA20D77">
            <w:pPr>
              <w:widowControl/>
              <w:spacing w:after="0" w:line="240" w:lineRule="auto"/>
              <w:jc w:val="center"/>
              <w:rPr>
                <w:rFonts w:hint="eastAsia" w:ascii="宋体" w:hAnsi="宋体" w:eastAsia="宋体" w:cs="宋体"/>
                <w:color w:val="000000"/>
                <w:kern w:val="0"/>
                <w:sz w:val="20"/>
                <w:szCs w:val="20"/>
                <w14:ligatures w14:val="none"/>
              </w:rPr>
            </w:pPr>
          </w:p>
        </w:tc>
      </w:tr>
    </w:tbl>
    <w:p w14:paraId="6B84D88A">
      <w:pPr>
        <w:spacing w:line="360" w:lineRule="auto"/>
        <w:rPr>
          <w:rFonts w:hint="eastAsia" w:ascii="宋体" w:hAnsi="宋体" w:eastAsia="Times New Roman" w:cs="宋体"/>
          <w:b/>
          <w:bCs/>
          <w:color w:val="auto"/>
          <w:sz w:val="24"/>
          <w:szCs w:val="24"/>
          <w:lang w:val="en-US" w:eastAsia="zh-CN"/>
        </w:rPr>
      </w:pPr>
    </w:p>
    <w:sectPr>
      <w:footerReference r:id="rId11" w:type="default"/>
      <w:pgSz w:w="11906" w:h="16838"/>
      <w:pgMar w:top="1440" w:right="1797" w:bottom="1440" w:left="1797" w:header="1021" w:footer="868" w:gutter="0"/>
      <w:pgBorders w:offsetFrom="page">
        <w:top w:val="single" w:color="auto" w:sz="12" w:space="24"/>
        <w:left w:val="single" w:color="auto" w:sz="12" w:space="24"/>
        <w:bottom w:val="single" w:color="auto" w:sz="12" w:space="24"/>
        <w:right w:val="single" w:color="auto" w:sz="12" w:space="24"/>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Cambria">
    <w:panose1 w:val="02040503050406030204"/>
    <w:charset w:val="00"/>
    <w:family w:val="roman"/>
    <w:pitch w:val="default"/>
    <w:sig w:usb0="E00002FF" w:usb1="400004FF" w:usb2="00000000" w:usb3="00000000" w:csb0="2000019F" w:csb1="00000000"/>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81B8F">
    <w:pPr>
      <w:pStyle w:val="15"/>
      <w:tabs>
        <w:tab w:val="center" w:pos="4153"/>
        <w:tab w:val="right" w:pos="8306"/>
        <w:tab w:val="clear" w:pos="4140"/>
        <w:tab w:val="clear" w:pos="8300"/>
      </w:tabs>
      <w:ind w:firstLine="3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D8C57">
    <w:pPr>
      <w:pStyle w:val="15"/>
      <w:framePr w:wrap="around" w:vAnchor="text" w:hAnchor="margin" w:xAlign="center" w:y="1"/>
      <w:tabs>
        <w:tab w:val="center" w:pos="4153"/>
        <w:tab w:val="right" w:pos="8306"/>
        <w:tab w:val="clear" w:pos="4140"/>
        <w:tab w:val="clear" w:pos="8300"/>
      </w:tabs>
      <w:ind w:firstLine="360"/>
      <w:rPr>
        <w:rStyle w:val="26"/>
      </w:rPr>
    </w:pPr>
    <w:r>
      <w:fldChar w:fldCharType="begin"/>
    </w:r>
    <w:r>
      <w:rPr>
        <w:rStyle w:val="26"/>
      </w:rPr>
      <w:instrText xml:space="preserve">PAGE  </w:instrText>
    </w:r>
    <w:r>
      <w:fldChar w:fldCharType="end"/>
    </w:r>
  </w:p>
  <w:p w14:paraId="352205B8">
    <w:pPr>
      <w:pStyle w:val="15"/>
      <w:tabs>
        <w:tab w:val="center" w:pos="4153"/>
        <w:tab w:val="right" w:pos="8306"/>
        <w:tab w:val="clear" w:pos="4140"/>
        <w:tab w:val="clear" w:pos="8300"/>
      </w:tabs>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31AD1">
    <w:pPr>
      <w:pStyle w:val="15"/>
      <w:tabs>
        <w:tab w:val="center" w:pos="4153"/>
        <w:tab w:val="right" w:pos="8306"/>
        <w:tab w:val="clear" w:pos="4140"/>
        <w:tab w:val="clear" w:pos="8300"/>
      </w:tabs>
      <w:ind w:firstLine="360"/>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90ED">
    <w:pPr>
      <w:pStyle w:val="15"/>
      <w:tabs>
        <w:tab w:val="center" w:pos="4153"/>
        <w:tab w:val="right" w:pos="8306"/>
        <w:tab w:val="clear" w:pos="4140"/>
        <w:tab w:val="clear" w:pos="8300"/>
      </w:tabs>
      <w:ind w:firstLine="36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27BC7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127BC73">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8C329">
    <w:pPr>
      <w:pStyle w:val="17"/>
      <w:pBdr>
        <w:bottom w:val="none" w:color="auto" w:sz="0" w:space="1"/>
      </w:pBdr>
      <w:jc w:val="both"/>
    </w:pPr>
    <w:r>
      <w:rPr>
        <w:rFonts w:hint="eastAsia"/>
        <w:u w:val="none"/>
      </w:rPr>
      <w:t xml:space="preserve"> </w:t>
    </w:r>
    <w:r>
      <w:rPr>
        <w:rFonts w:hint="eastAsia"/>
        <w:u w:val="none"/>
        <w:lang w:val="en-US" w:eastAsia="zh-CN"/>
      </w:rPr>
      <w:t xml:space="preserve">                                                     </w:t>
    </w:r>
    <w:r>
      <w:rPr>
        <w:rFonts w:hint="eastAsia" w:eastAsia="宋体"/>
        <w:u w:val="none"/>
      </w:rPr>
      <w:t xml:space="preserve"> </w:t>
    </w:r>
    <w:r>
      <w:rPr>
        <w:rFonts w:hint="eastAsia"/>
        <w:b/>
        <w:color w:val="C00000"/>
      </w:rPr>
      <w:drawing>
        <wp:anchor distT="0" distB="0" distL="114300" distR="114300" simplePos="0" relativeHeight="251660288" behindDoc="1" locked="0" layoutInCell="1" allowOverlap="1">
          <wp:simplePos x="0" y="0"/>
          <wp:positionH relativeFrom="column">
            <wp:posOffset>12700</wp:posOffset>
          </wp:positionH>
          <wp:positionV relativeFrom="paragraph">
            <wp:posOffset>-147320</wp:posOffset>
          </wp:positionV>
          <wp:extent cx="401320" cy="396240"/>
          <wp:effectExtent l="0" t="0" r="17780" b="3810"/>
          <wp:wrapTight wrapText="bothSides">
            <wp:wrapPolygon>
              <wp:start x="0" y="0"/>
              <wp:lineTo x="0" y="20769"/>
              <wp:lineTo x="20506" y="20769"/>
              <wp:lineTo x="20506" y="0"/>
              <wp:lineTo x="0" y="0"/>
            </wp:wrapPolygon>
          </wp:wrapTight>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
                  <a:stretch>
                    <a:fillRect/>
                  </a:stretch>
                </pic:blipFill>
                <pic:spPr>
                  <a:xfrm>
                    <a:off x="0" y="0"/>
                    <a:ext cx="401320" cy="39624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86E39">
    <w:pPr>
      <w:pStyle w:val="17"/>
      <w:tabs>
        <w:tab w:val="center" w:pos="4153"/>
        <w:tab w:val="right" w:pos="8306"/>
        <w:tab w:val="clear" w:pos="4140"/>
        <w:tab w:val="clear" w:pos="8300"/>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48878">
    <w:pPr>
      <w:pStyle w:val="17"/>
      <w:tabs>
        <w:tab w:val="center" w:pos="4153"/>
        <w:tab w:val="right" w:pos="8306"/>
        <w:tab w:val="clear" w:pos="4140"/>
        <w:tab w:val="clear" w:pos="8300"/>
      </w:tabs>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7C1F8"/>
    <w:multiLevelType w:val="singleLevel"/>
    <w:tmpl w:val="9107C1F8"/>
    <w:lvl w:ilvl="0" w:tentative="0">
      <w:start w:val="1"/>
      <w:numFmt w:val="decimal"/>
      <w:lvlText w:val="%1."/>
      <w:lvlJc w:val="left"/>
      <w:pPr>
        <w:tabs>
          <w:tab w:val="left" w:pos="312"/>
        </w:tabs>
      </w:pPr>
    </w:lvl>
  </w:abstractNum>
  <w:abstractNum w:abstractNumId="1">
    <w:nsid w:val="FFDAC33C"/>
    <w:multiLevelType w:val="singleLevel"/>
    <w:tmpl w:val="FFDAC33C"/>
    <w:lvl w:ilvl="0" w:tentative="0">
      <w:start w:val="15"/>
      <w:numFmt w:val="decimal"/>
      <w:suff w:val="nothing"/>
      <w:lvlText w:val="%1、"/>
      <w:lvlJc w:val="left"/>
    </w:lvl>
  </w:abstractNum>
  <w:abstractNum w:abstractNumId="2">
    <w:nsid w:val="00000002"/>
    <w:multiLevelType w:val="singleLevel"/>
    <w:tmpl w:val="00000002"/>
    <w:lvl w:ilvl="0" w:tentative="0">
      <w:start w:val="1"/>
      <w:numFmt w:val="decimal"/>
      <w:suff w:val="nothing"/>
      <w:lvlText w:val="%1"/>
      <w:lvlJc w:val="left"/>
      <w:pPr>
        <w:tabs>
          <w:tab w:val="left" w:pos="0"/>
        </w:tabs>
        <w:ind w:left="0" w:firstLine="0"/>
      </w:pPr>
      <w:rPr>
        <w:rFonts w:hint="default"/>
      </w:rPr>
    </w:lvl>
  </w:abstractNum>
  <w:abstractNum w:abstractNumId="3">
    <w:nsid w:val="00000003"/>
    <w:multiLevelType w:val="multilevel"/>
    <w:tmpl w:val="00000003"/>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720"/>
        </w:tabs>
        <w:ind w:left="567" w:hanging="567"/>
      </w:pPr>
      <w:rPr>
        <w:rFonts w:hint="eastAsia"/>
      </w:rPr>
    </w:lvl>
    <w:lvl w:ilvl="2" w:tentative="0">
      <w:start w:val="1"/>
      <w:numFmt w:val="chineseCountingThousand"/>
      <w:pStyle w:val="4"/>
      <w:lvlText w:val="%3、"/>
      <w:lvlJc w:val="left"/>
      <w:pPr>
        <w:tabs>
          <w:tab w:val="left" w:pos="709"/>
        </w:tabs>
        <w:ind w:left="709" w:hanging="709"/>
      </w:pPr>
      <w:rPr>
        <w:rFonts w:hint="eastAsia"/>
        <w:b/>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15523A46"/>
    <w:multiLevelType w:val="singleLevel"/>
    <w:tmpl w:val="15523A46"/>
    <w:lvl w:ilvl="0" w:tentative="0">
      <w:start w:val="5"/>
      <w:numFmt w:val="chineseCounting"/>
      <w:suff w:val="nothing"/>
      <w:lvlText w:val="%1、"/>
      <w:lvlJc w:val="left"/>
      <w:rPr>
        <w:rFonts w:hint="eastAsia"/>
      </w:rPr>
    </w:lvl>
  </w:abstractNum>
  <w:abstractNum w:abstractNumId="5">
    <w:nsid w:val="7EEC6BA8"/>
    <w:multiLevelType w:val="multilevel"/>
    <w:tmpl w:val="7EEC6BA8"/>
    <w:lvl w:ilvl="0" w:tentative="0">
      <w:start w:val="11"/>
      <w:numFmt w:val="decimal"/>
      <w:lvlText w:val="%1"/>
      <w:lvlJc w:val="left"/>
      <w:pPr>
        <w:ind w:left="570" w:hanging="570"/>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pStyle w:val="44"/>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num w:numId="1">
    <w:abstractNumId w:val="3"/>
  </w:num>
  <w:num w:numId="2">
    <w:abstractNumId w:val="5"/>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MzZjYTA0OGI0ZGZmOTljZDIxNDUwYTg2YmU1YjQifQ=="/>
  </w:docVars>
  <w:rsids>
    <w:rsidRoot w:val="25F948EC"/>
    <w:rsid w:val="00164C26"/>
    <w:rsid w:val="00AD7338"/>
    <w:rsid w:val="014B08FF"/>
    <w:rsid w:val="020236B3"/>
    <w:rsid w:val="0227311A"/>
    <w:rsid w:val="02F54FC6"/>
    <w:rsid w:val="03DF0C98"/>
    <w:rsid w:val="03EE0393"/>
    <w:rsid w:val="0429421C"/>
    <w:rsid w:val="043568B3"/>
    <w:rsid w:val="046C12B8"/>
    <w:rsid w:val="04C17856"/>
    <w:rsid w:val="0515054F"/>
    <w:rsid w:val="054B4A70"/>
    <w:rsid w:val="0680729D"/>
    <w:rsid w:val="068648B3"/>
    <w:rsid w:val="069F7723"/>
    <w:rsid w:val="06D118A6"/>
    <w:rsid w:val="06E11AE9"/>
    <w:rsid w:val="0737589E"/>
    <w:rsid w:val="077C5CB6"/>
    <w:rsid w:val="07ED2710"/>
    <w:rsid w:val="080812F8"/>
    <w:rsid w:val="080C5221"/>
    <w:rsid w:val="081A2B6C"/>
    <w:rsid w:val="08514E05"/>
    <w:rsid w:val="08A950FC"/>
    <w:rsid w:val="0904592E"/>
    <w:rsid w:val="090F0777"/>
    <w:rsid w:val="09410F65"/>
    <w:rsid w:val="09554A11"/>
    <w:rsid w:val="09AD65FB"/>
    <w:rsid w:val="0A690774"/>
    <w:rsid w:val="0B040A30"/>
    <w:rsid w:val="0B4E1717"/>
    <w:rsid w:val="0B84286B"/>
    <w:rsid w:val="0BA53A2D"/>
    <w:rsid w:val="0BDC2FC6"/>
    <w:rsid w:val="0BE55E0C"/>
    <w:rsid w:val="0C9968AD"/>
    <w:rsid w:val="0CB62BD5"/>
    <w:rsid w:val="0DA25D4B"/>
    <w:rsid w:val="0DA96B21"/>
    <w:rsid w:val="0DEA1BCB"/>
    <w:rsid w:val="0DF5231E"/>
    <w:rsid w:val="0E3666AB"/>
    <w:rsid w:val="0E4C6DDF"/>
    <w:rsid w:val="0E52151F"/>
    <w:rsid w:val="0E6F005F"/>
    <w:rsid w:val="0ED87C76"/>
    <w:rsid w:val="0EE5407C"/>
    <w:rsid w:val="0F8306C9"/>
    <w:rsid w:val="0FAB148F"/>
    <w:rsid w:val="0FC020E5"/>
    <w:rsid w:val="10246EEB"/>
    <w:rsid w:val="10C20BDE"/>
    <w:rsid w:val="10EC43F7"/>
    <w:rsid w:val="112278CE"/>
    <w:rsid w:val="11AE2F10"/>
    <w:rsid w:val="12694F97"/>
    <w:rsid w:val="126D2DCB"/>
    <w:rsid w:val="127E6D86"/>
    <w:rsid w:val="12BB7DB5"/>
    <w:rsid w:val="12BC340B"/>
    <w:rsid w:val="13407AFC"/>
    <w:rsid w:val="13596EAB"/>
    <w:rsid w:val="136742B4"/>
    <w:rsid w:val="13E17837"/>
    <w:rsid w:val="142F0C8C"/>
    <w:rsid w:val="14956CDD"/>
    <w:rsid w:val="14D860AF"/>
    <w:rsid w:val="152A0AFF"/>
    <w:rsid w:val="156360F8"/>
    <w:rsid w:val="156511EA"/>
    <w:rsid w:val="159F2FBE"/>
    <w:rsid w:val="15AA0A32"/>
    <w:rsid w:val="15C617EC"/>
    <w:rsid w:val="15D21CE7"/>
    <w:rsid w:val="15E246C7"/>
    <w:rsid w:val="15F80BFE"/>
    <w:rsid w:val="163A2FC4"/>
    <w:rsid w:val="1658299B"/>
    <w:rsid w:val="16B74615"/>
    <w:rsid w:val="16DF7B60"/>
    <w:rsid w:val="174907D2"/>
    <w:rsid w:val="17571174"/>
    <w:rsid w:val="17607324"/>
    <w:rsid w:val="17D11706"/>
    <w:rsid w:val="183323C1"/>
    <w:rsid w:val="185D40A4"/>
    <w:rsid w:val="18DA1116"/>
    <w:rsid w:val="18ED5D87"/>
    <w:rsid w:val="18EF08D7"/>
    <w:rsid w:val="1906465F"/>
    <w:rsid w:val="19143FA0"/>
    <w:rsid w:val="19550F45"/>
    <w:rsid w:val="197C1B46"/>
    <w:rsid w:val="19E212FF"/>
    <w:rsid w:val="1A2B14B7"/>
    <w:rsid w:val="1A2E6B5A"/>
    <w:rsid w:val="1A3F329F"/>
    <w:rsid w:val="1A846F04"/>
    <w:rsid w:val="1A8C7B66"/>
    <w:rsid w:val="1AF5570C"/>
    <w:rsid w:val="1AFF2A2E"/>
    <w:rsid w:val="1B20248D"/>
    <w:rsid w:val="1B7900EB"/>
    <w:rsid w:val="1BC021BE"/>
    <w:rsid w:val="1BDF588B"/>
    <w:rsid w:val="1C00080C"/>
    <w:rsid w:val="1C0A3439"/>
    <w:rsid w:val="1C0B4E85"/>
    <w:rsid w:val="1C493F61"/>
    <w:rsid w:val="1C4C4878"/>
    <w:rsid w:val="1C9B653F"/>
    <w:rsid w:val="1CD5426B"/>
    <w:rsid w:val="1D387767"/>
    <w:rsid w:val="1D483F90"/>
    <w:rsid w:val="1D721295"/>
    <w:rsid w:val="1DB775F0"/>
    <w:rsid w:val="1EAC07D7"/>
    <w:rsid w:val="1EBA1146"/>
    <w:rsid w:val="1F1A1BE5"/>
    <w:rsid w:val="1F2C37B2"/>
    <w:rsid w:val="1F5C4B76"/>
    <w:rsid w:val="1F8F0FE5"/>
    <w:rsid w:val="20074F85"/>
    <w:rsid w:val="20176124"/>
    <w:rsid w:val="20C444FE"/>
    <w:rsid w:val="20FC7DE4"/>
    <w:rsid w:val="21020B82"/>
    <w:rsid w:val="21562C7C"/>
    <w:rsid w:val="21935C7E"/>
    <w:rsid w:val="21C347B6"/>
    <w:rsid w:val="21E0455D"/>
    <w:rsid w:val="22425E1E"/>
    <w:rsid w:val="225546C0"/>
    <w:rsid w:val="22F5760D"/>
    <w:rsid w:val="239A6A17"/>
    <w:rsid w:val="239E6548"/>
    <w:rsid w:val="24165DFC"/>
    <w:rsid w:val="24681644"/>
    <w:rsid w:val="24725180"/>
    <w:rsid w:val="247F142C"/>
    <w:rsid w:val="24DF538D"/>
    <w:rsid w:val="253634F0"/>
    <w:rsid w:val="257A33DD"/>
    <w:rsid w:val="259721E1"/>
    <w:rsid w:val="25BC57A4"/>
    <w:rsid w:val="25D759B8"/>
    <w:rsid w:val="25E22D30"/>
    <w:rsid w:val="25E82A3D"/>
    <w:rsid w:val="25F948EC"/>
    <w:rsid w:val="26083896"/>
    <w:rsid w:val="26221C45"/>
    <w:rsid w:val="26AF1BEB"/>
    <w:rsid w:val="26B11517"/>
    <w:rsid w:val="26CD41DA"/>
    <w:rsid w:val="270656D0"/>
    <w:rsid w:val="272A0E33"/>
    <w:rsid w:val="27A16CFB"/>
    <w:rsid w:val="27A21CEA"/>
    <w:rsid w:val="27CF490A"/>
    <w:rsid w:val="27FC27CF"/>
    <w:rsid w:val="2960239A"/>
    <w:rsid w:val="29C15A7E"/>
    <w:rsid w:val="2A0D0A5E"/>
    <w:rsid w:val="2A7E0CBC"/>
    <w:rsid w:val="2AE9690F"/>
    <w:rsid w:val="2AF16304"/>
    <w:rsid w:val="2B083239"/>
    <w:rsid w:val="2B7A553B"/>
    <w:rsid w:val="2B951167"/>
    <w:rsid w:val="2B9B5E5B"/>
    <w:rsid w:val="2BFF63EA"/>
    <w:rsid w:val="2C4F3123"/>
    <w:rsid w:val="2C8608B9"/>
    <w:rsid w:val="2C9C63F3"/>
    <w:rsid w:val="2CB95E54"/>
    <w:rsid w:val="2D067291"/>
    <w:rsid w:val="2D242008"/>
    <w:rsid w:val="2D8C0579"/>
    <w:rsid w:val="2D8F379E"/>
    <w:rsid w:val="2DB72286"/>
    <w:rsid w:val="2DD37B2E"/>
    <w:rsid w:val="2DF45CF7"/>
    <w:rsid w:val="2E422F06"/>
    <w:rsid w:val="2EC1207D"/>
    <w:rsid w:val="2EC41B6D"/>
    <w:rsid w:val="2EC658E5"/>
    <w:rsid w:val="2F48454C"/>
    <w:rsid w:val="30357495"/>
    <w:rsid w:val="307750E9"/>
    <w:rsid w:val="309E0F71"/>
    <w:rsid w:val="30CD1B30"/>
    <w:rsid w:val="311A3CC6"/>
    <w:rsid w:val="316B5274"/>
    <w:rsid w:val="316D029A"/>
    <w:rsid w:val="317C04DD"/>
    <w:rsid w:val="31AF08B2"/>
    <w:rsid w:val="321B0031"/>
    <w:rsid w:val="3225686A"/>
    <w:rsid w:val="32326328"/>
    <w:rsid w:val="32F0638D"/>
    <w:rsid w:val="334119DE"/>
    <w:rsid w:val="334E5EA9"/>
    <w:rsid w:val="33D53ED4"/>
    <w:rsid w:val="33F4241A"/>
    <w:rsid w:val="342C618A"/>
    <w:rsid w:val="34496D9C"/>
    <w:rsid w:val="349A75F8"/>
    <w:rsid w:val="34AC112E"/>
    <w:rsid w:val="3508122B"/>
    <w:rsid w:val="352275ED"/>
    <w:rsid w:val="35862AD7"/>
    <w:rsid w:val="35DA3A24"/>
    <w:rsid w:val="365657A0"/>
    <w:rsid w:val="36733BBB"/>
    <w:rsid w:val="3821593A"/>
    <w:rsid w:val="38D64977"/>
    <w:rsid w:val="38E2156D"/>
    <w:rsid w:val="395A7356"/>
    <w:rsid w:val="39914A94"/>
    <w:rsid w:val="39A131D7"/>
    <w:rsid w:val="3AD969A0"/>
    <w:rsid w:val="3B556027"/>
    <w:rsid w:val="3C1F3E60"/>
    <w:rsid w:val="3C2033DF"/>
    <w:rsid w:val="3C521745"/>
    <w:rsid w:val="3C917532"/>
    <w:rsid w:val="3CDB69FF"/>
    <w:rsid w:val="3CF863E8"/>
    <w:rsid w:val="3DC26AE9"/>
    <w:rsid w:val="3DD07BE6"/>
    <w:rsid w:val="3E414A6D"/>
    <w:rsid w:val="3E7E0E93"/>
    <w:rsid w:val="3F7153F9"/>
    <w:rsid w:val="3F7546C2"/>
    <w:rsid w:val="3F8A2017"/>
    <w:rsid w:val="3FCA68CE"/>
    <w:rsid w:val="3FE55BE1"/>
    <w:rsid w:val="40FA31CC"/>
    <w:rsid w:val="41110100"/>
    <w:rsid w:val="41456B3D"/>
    <w:rsid w:val="41596145"/>
    <w:rsid w:val="41DA7286"/>
    <w:rsid w:val="424A56D9"/>
    <w:rsid w:val="431C1B20"/>
    <w:rsid w:val="434D2213"/>
    <w:rsid w:val="434F4ECF"/>
    <w:rsid w:val="436A2B58"/>
    <w:rsid w:val="438A6A89"/>
    <w:rsid w:val="44675C90"/>
    <w:rsid w:val="44734899"/>
    <w:rsid w:val="44997E3C"/>
    <w:rsid w:val="452151CC"/>
    <w:rsid w:val="45294080"/>
    <w:rsid w:val="45350C29"/>
    <w:rsid w:val="4574354D"/>
    <w:rsid w:val="4577128F"/>
    <w:rsid w:val="46454EEA"/>
    <w:rsid w:val="474D674C"/>
    <w:rsid w:val="47683326"/>
    <w:rsid w:val="48427933"/>
    <w:rsid w:val="48967C7F"/>
    <w:rsid w:val="492458CB"/>
    <w:rsid w:val="49BA5610"/>
    <w:rsid w:val="49BC1967"/>
    <w:rsid w:val="4A17094B"/>
    <w:rsid w:val="4AE566DA"/>
    <w:rsid w:val="4B710CB8"/>
    <w:rsid w:val="4B7A5635"/>
    <w:rsid w:val="4BAF3531"/>
    <w:rsid w:val="4BB30F1E"/>
    <w:rsid w:val="4BE5005A"/>
    <w:rsid w:val="4D5E5881"/>
    <w:rsid w:val="4D826A23"/>
    <w:rsid w:val="4DD32D63"/>
    <w:rsid w:val="4E2A3343"/>
    <w:rsid w:val="4E5017E4"/>
    <w:rsid w:val="4E782C6A"/>
    <w:rsid w:val="4ECF2D80"/>
    <w:rsid w:val="4F56338F"/>
    <w:rsid w:val="4F6801C7"/>
    <w:rsid w:val="501E6ED7"/>
    <w:rsid w:val="5079410E"/>
    <w:rsid w:val="51E05EB9"/>
    <w:rsid w:val="52554706"/>
    <w:rsid w:val="52761292"/>
    <w:rsid w:val="531E2D4A"/>
    <w:rsid w:val="53576042"/>
    <w:rsid w:val="53C10133"/>
    <w:rsid w:val="53D0673A"/>
    <w:rsid w:val="53D14261"/>
    <w:rsid w:val="53D55AFF"/>
    <w:rsid w:val="541505F1"/>
    <w:rsid w:val="545575FF"/>
    <w:rsid w:val="54BC4E62"/>
    <w:rsid w:val="54EF2BF0"/>
    <w:rsid w:val="551B1C37"/>
    <w:rsid w:val="55793E59"/>
    <w:rsid w:val="55A57753"/>
    <w:rsid w:val="55F45FE4"/>
    <w:rsid w:val="560315AA"/>
    <w:rsid w:val="56064695"/>
    <w:rsid w:val="5641015F"/>
    <w:rsid w:val="56DB3A9A"/>
    <w:rsid w:val="56F23479"/>
    <w:rsid w:val="57122BC6"/>
    <w:rsid w:val="571E156B"/>
    <w:rsid w:val="576212E6"/>
    <w:rsid w:val="57E62FE8"/>
    <w:rsid w:val="58040BF9"/>
    <w:rsid w:val="586215F3"/>
    <w:rsid w:val="58951D01"/>
    <w:rsid w:val="591D1134"/>
    <w:rsid w:val="597C278F"/>
    <w:rsid w:val="59965D30"/>
    <w:rsid w:val="59A34F82"/>
    <w:rsid w:val="5A5359CF"/>
    <w:rsid w:val="5A785436"/>
    <w:rsid w:val="5B062E9F"/>
    <w:rsid w:val="5B484E08"/>
    <w:rsid w:val="5B5E37AB"/>
    <w:rsid w:val="5B9C33A6"/>
    <w:rsid w:val="5CB12E81"/>
    <w:rsid w:val="5CCE4A88"/>
    <w:rsid w:val="5D5E0913"/>
    <w:rsid w:val="5EA20CD3"/>
    <w:rsid w:val="5EA902B4"/>
    <w:rsid w:val="5EB17C83"/>
    <w:rsid w:val="5F2C3E0D"/>
    <w:rsid w:val="5F4A047A"/>
    <w:rsid w:val="60182CB2"/>
    <w:rsid w:val="602B7269"/>
    <w:rsid w:val="60AF76D8"/>
    <w:rsid w:val="6102608D"/>
    <w:rsid w:val="611B4D6D"/>
    <w:rsid w:val="61755D3C"/>
    <w:rsid w:val="61820C83"/>
    <w:rsid w:val="618741B1"/>
    <w:rsid w:val="62316984"/>
    <w:rsid w:val="623668B4"/>
    <w:rsid w:val="62593AD5"/>
    <w:rsid w:val="62DD530F"/>
    <w:rsid w:val="633C1AE5"/>
    <w:rsid w:val="63696264"/>
    <w:rsid w:val="636B3282"/>
    <w:rsid w:val="63DF6526"/>
    <w:rsid w:val="64063AB3"/>
    <w:rsid w:val="642229CF"/>
    <w:rsid w:val="64504D2E"/>
    <w:rsid w:val="647E318E"/>
    <w:rsid w:val="64CD1E07"/>
    <w:rsid w:val="64E63993"/>
    <w:rsid w:val="64F575DB"/>
    <w:rsid w:val="64FE517C"/>
    <w:rsid w:val="65017B21"/>
    <w:rsid w:val="656071F2"/>
    <w:rsid w:val="65CE4409"/>
    <w:rsid w:val="65F53DDF"/>
    <w:rsid w:val="668B029F"/>
    <w:rsid w:val="685E210F"/>
    <w:rsid w:val="69833542"/>
    <w:rsid w:val="698F3A33"/>
    <w:rsid w:val="6995206A"/>
    <w:rsid w:val="69E403F2"/>
    <w:rsid w:val="69E54ACE"/>
    <w:rsid w:val="6A0E61BC"/>
    <w:rsid w:val="6ABB6A1B"/>
    <w:rsid w:val="6B29003E"/>
    <w:rsid w:val="6B574BF4"/>
    <w:rsid w:val="6BAA11C7"/>
    <w:rsid w:val="6C0F150D"/>
    <w:rsid w:val="6CE05D4C"/>
    <w:rsid w:val="6CF7668E"/>
    <w:rsid w:val="6D023C02"/>
    <w:rsid w:val="6D1C60F5"/>
    <w:rsid w:val="6E8126B3"/>
    <w:rsid w:val="6EB84C34"/>
    <w:rsid w:val="6EC07734"/>
    <w:rsid w:val="6EC52067"/>
    <w:rsid w:val="6F1F65C5"/>
    <w:rsid w:val="6F5D6E5C"/>
    <w:rsid w:val="6F9E54E7"/>
    <w:rsid w:val="6FBD5F8F"/>
    <w:rsid w:val="707573D1"/>
    <w:rsid w:val="712D08D1"/>
    <w:rsid w:val="71C476F9"/>
    <w:rsid w:val="71C54FAD"/>
    <w:rsid w:val="71FE20AA"/>
    <w:rsid w:val="725A2A5E"/>
    <w:rsid w:val="72834520"/>
    <w:rsid w:val="72EB0A43"/>
    <w:rsid w:val="732148D4"/>
    <w:rsid w:val="732B6917"/>
    <w:rsid w:val="73A95F54"/>
    <w:rsid w:val="73F25E01"/>
    <w:rsid w:val="74AB66DC"/>
    <w:rsid w:val="74DB21BE"/>
    <w:rsid w:val="750E6C6B"/>
    <w:rsid w:val="751E65E2"/>
    <w:rsid w:val="753F0A9F"/>
    <w:rsid w:val="75647CD2"/>
    <w:rsid w:val="756D3991"/>
    <w:rsid w:val="75E43528"/>
    <w:rsid w:val="75EE2698"/>
    <w:rsid w:val="76562678"/>
    <w:rsid w:val="76B4739E"/>
    <w:rsid w:val="77244524"/>
    <w:rsid w:val="77446974"/>
    <w:rsid w:val="77626DFA"/>
    <w:rsid w:val="77642B72"/>
    <w:rsid w:val="776C1A27"/>
    <w:rsid w:val="77E205E7"/>
    <w:rsid w:val="77E5560D"/>
    <w:rsid w:val="785C63D1"/>
    <w:rsid w:val="787768D5"/>
    <w:rsid w:val="78FC360C"/>
    <w:rsid w:val="79613633"/>
    <w:rsid w:val="7A2D1941"/>
    <w:rsid w:val="7A3F5348"/>
    <w:rsid w:val="7A42057B"/>
    <w:rsid w:val="7AE71AF0"/>
    <w:rsid w:val="7B252618"/>
    <w:rsid w:val="7B371B9B"/>
    <w:rsid w:val="7BBD74E0"/>
    <w:rsid w:val="7C790E6E"/>
    <w:rsid w:val="7C995DC0"/>
    <w:rsid w:val="7CA53A11"/>
    <w:rsid w:val="7CF82FAC"/>
    <w:rsid w:val="7CFC55FB"/>
    <w:rsid w:val="7D761851"/>
    <w:rsid w:val="7DE568EA"/>
    <w:rsid w:val="7E1352F2"/>
    <w:rsid w:val="7E15185A"/>
    <w:rsid w:val="7ECE1C31"/>
    <w:rsid w:val="7ED700CE"/>
    <w:rsid w:val="7F73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atLeast"/>
      <w:jc w:val="both"/>
    </w:pPr>
    <w:rPr>
      <w:rFonts w:ascii="宋体" w:hAnsi="宋体" w:eastAsia="Times New Roman" w:cs="宋体"/>
      <w:color w:val="000000"/>
      <w:sz w:val="21"/>
      <w:lang w:val="en-US" w:eastAsia="zh-CN" w:bidi="ar-SA"/>
    </w:rPr>
  </w:style>
  <w:style w:type="paragraph" w:styleId="2">
    <w:name w:val="heading 1"/>
    <w:basedOn w:val="1"/>
    <w:next w:val="1"/>
    <w:qFormat/>
    <w:uiPriority w:val="0"/>
    <w:pPr>
      <w:keepNext/>
      <w:keepLines/>
      <w:widowControl w:val="0"/>
      <w:spacing w:before="340" w:after="330" w:line="360" w:lineRule="auto"/>
      <w:ind w:left="0" w:right="0"/>
      <w:jc w:val="center"/>
      <w:outlineLvl w:val="0"/>
    </w:pPr>
    <w:rPr>
      <w:rFonts w:ascii="Times New Roman" w:hAnsi="Times New Roman" w:eastAsia="宋体" w:cs="Times New Roman"/>
      <w:b/>
      <w:bCs/>
      <w:color w:val="auto"/>
      <w:kern w:val="44"/>
      <w:sz w:val="32"/>
      <w:szCs w:val="44"/>
    </w:rPr>
  </w:style>
  <w:style w:type="paragraph" w:styleId="3">
    <w:name w:val="heading 2"/>
    <w:basedOn w:val="1"/>
    <w:next w:val="1"/>
    <w:qFormat/>
    <w:uiPriority w:val="0"/>
    <w:pPr>
      <w:keepNext/>
      <w:keepLines/>
      <w:widowControl w:val="0"/>
      <w:spacing w:after="0" w:line="360" w:lineRule="auto"/>
      <w:jc w:val="left"/>
      <w:outlineLvl w:val="1"/>
    </w:pPr>
    <w:rPr>
      <w:rFonts w:ascii="Arial" w:hAnsi="Arial" w:eastAsia="宋体" w:cs="Times New Roman"/>
      <w:b/>
      <w:bCs/>
      <w:iCs/>
      <w:sz w:val="24"/>
      <w:szCs w:val="32"/>
    </w:rPr>
  </w:style>
  <w:style w:type="paragraph" w:styleId="4">
    <w:name w:val="heading 3"/>
    <w:basedOn w:val="1"/>
    <w:next w:val="1"/>
    <w:qFormat/>
    <w:uiPriority w:val="0"/>
    <w:pPr>
      <w:numPr>
        <w:ilvl w:val="2"/>
        <w:numId w:val="1"/>
      </w:numPr>
      <w:outlineLvl w:val="2"/>
    </w:pPr>
    <w:rPr>
      <w:rFonts w:cs="Times New Roman"/>
    </w:rPr>
  </w:style>
  <w:style w:type="paragraph" w:styleId="5">
    <w:name w:val="heading 4"/>
    <w:basedOn w:val="1"/>
    <w:next w:val="1"/>
    <w:qFormat/>
    <w:uiPriority w:val="0"/>
    <w:pPr>
      <w:keepNext/>
      <w:keepLines/>
      <w:spacing w:before="280" w:beforeLines="0" w:after="290" w:afterLines="0" w:line="376" w:lineRule="auto"/>
      <w:outlineLvl w:val="3"/>
    </w:pPr>
    <w:rPr>
      <w:rFonts w:ascii="Calibri Light" w:hAnsi="Calibri Light" w:eastAsia="宋体" w:cs="Times New Roman"/>
      <w:b/>
      <w:bCs/>
      <w:sz w:val="28"/>
      <w:szCs w:val="28"/>
    </w:rPr>
  </w:style>
  <w:style w:type="paragraph" w:styleId="6">
    <w:name w:val="heading 7"/>
    <w:basedOn w:val="1"/>
    <w:next w:val="1"/>
    <w:qFormat/>
    <w:uiPriority w:val="1"/>
    <w:pPr>
      <w:spacing w:before="1"/>
      <w:ind w:left="1541"/>
      <w:outlineLvl w:val="6"/>
    </w:pPr>
    <w:rPr>
      <w:b/>
      <w:bCs/>
      <w:sz w:val="24"/>
      <w:szCs w:val="24"/>
    </w:rPr>
  </w:style>
  <w:style w:type="character" w:default="1" w:styleId="25">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firstLineChars="200"/>
    </w:pPr>
    <w:rPr>
      <w:rFonts w:ascii="Times New Roman" w:hAnsi="Times New Roman" w:eastAsia="Times New Roman" w:cs="Times New Roman"/>
    </w:rPr>
  </w:style>
  <w:style w:type="paragraph" w:styleId="8">
    <w:name w:val="toa heading"/>
    <w:basedOn w:val="1"/>
    <w:next w:val="1"/>
    <w:semiHidden/>
    <w:unhideWhenUsed/>
    <w:qFormat/>
    <w:uiPriority w:val="99"/>
    <w:pPr>
      <w:spacing w:before="120"/>
    </w:pPr>
    <w:rPr>
      <w:rFonts w:asciiTheme="majorHAnsi" w:hAnsiTheme="majorHAnsi" w:eastAsiaTheme="majorEastAsia" w:cstheme="majorBidi"/>
    </w:rPr>
  </w:style>
  <w:style w:type="paragraph" w:styleId="9">
    <w:name w:val="annotation text"/>
    <w:basedOn w:val="1"/>
    <w:qFormat/>
    <w:uiPriority w:val="0"/>
    <w:pPr>
      <w:jc w:val="left"/>
    </w:pPr>
    <w:rPr>
      <w:rFonts w:ascii="Times New Roman" w:hAnsi="Times New Roman" w:eastAsia="宋体" w:cs="Times New Roman"/>
    </w:rPr>
  </w:style>
  <w:style w:type="paragraph" w:styleId="10">
    <w:name w:val="Body Text"/>
    <w:basedOn w:val="1"/>
    <w:next w:val="11"/>
    <w:qFormat/>
    <w:uiPriority w:val="0"/>
    <w:pPr>
      <w:widowControl w:val="0"/>
      <w:spacing w:after="0" w:line="360" w:lineRule="atLeast"/>
      <w:jc w:val="both"/>
    </w:pPr>
    <w:rPr>
      <w:rFonts w:ascii="宋体" w:hAnsi="宋体" w:eastAsia="宋体" w:cs="宋体"/>
      <w:color w:val="000000"/>
      <w:sz w:val="24"/>
      <w:lang w:val="en-US" w:eastAsia="zh-CN" w:bidi="ar-SA"/>
    </w:rPr>
  </w:style>
  <w:style w:type="paragraph" w:styleId="11">
    <w:name w:val="Plain Text"/>
    <w:basedOn w:val="1"/>
    <w:qFormat/>
    <w:uiPriority w:val="0"/>
    <w:pPr>
      <w:widowControl w:val="0"/>
      <w:spacing w:after="0" w:line="400" w:lineRule="atLeast"/>
      <w:jc w:val="both"/>
    </w:pPr>
    <w:rPr>
      <w:rFonts w:ascii="宋体" w:hAnsi="Courier New" w:eastAsia="宋体" w:cs="宋体"/>
      <w:color w:val="000000"/>
      <w:sz w:val="21"/>
      <w:szCs w:val="20"/>
      <w:lang w:val="en-US" w:eastAsia="zh-CN" w:bidi="ar-SA"/>
    </w:rPr>
  </w:style>
  <w:style w:type="paragraph" w:styleId="12">
    <w:name w:val="Body Text Indent"/>
    <w:basedOn w:val="1"/>
    <w:link w:val="43"/>
    <w:qFormat/>
    <w:uiPriority w:val="0"/>
    <w:pPr>
      <w:widowControl w:val="0"/>
      <w:spacing w:before="0" w:after="120" w:line="400" w:lineRule="atLeast"/>
      <w:ind w:left="420" w:leftChars="200" w:right="0"/>
      <w:jc w:val="both"/>
    </w:pPr>
    <w:rPr>
      <w:rFonts w:ascii="宋体" w:hAnsi="宋体" w:eastAsia="宋体" w:cs="宋体"/>
      <w:color w:val="000000"/>
      <w:sz w:val="21"/>
      <w:lang w:val="en-US" w:eastAsia="zh-CN" w:bidi="ar-SA"/>
    </w:rPr>
  </w:style>
  <w:style w:type="paragraph" w:styleId="13">
    <w:name w:val="Date"/>
    <w:basedOn w:val="1"/>
    <w:next w:val="1"/>
    <w:qFormat/>
    <w:uiPriority w:val="0"/>
    <w:pPr>
      <w:spacing w:line="240" w:lineRule="auto"/>
      <w:ind w:left="0" w:leftChars="0"/>
      <w:jc w:val="left"/>
    </w:pPr>
  </w:style>
  <w:style w:type="paragraph" w:styleId="14">
    <w:name w:val="Balloon Text"/>
    <w:basedOn w:val="1"/>
    <w:qFormat/>
    <w:uiPriority w:val="0"/>
    <w:pPr>
      <w:spacing w:line="240" w:lineRule="auto"/>
    </w:pPr>
    <w:rPr>
      <w:rFonts w:ascii="Times New Roman" w:hAnsi="Times New Roman" w:cs="Times New Roman"/>
      <w:sz w:val="18"/>
      <w:szCs w:val="18"/>
    </w:rPr>
  </w:style>
  <w:style w:type="paragraph" w:styleId="15">
    <w:name w:val="footer"/>
    <w:basedOn w:val="1"/>
    <w:qFormat/>
    <w:uiPriority w:val="0"/>
    <w:pPr>
      <w:widowControl w:val="0"/>
      <w:tabs>
        <w:tab w:val="center" w:pos="4140"/>
        <w:tab w:val="right" w:pos="8300"/>
      </w:tabs>
      <w:snapToGrid w:val="0"/>
      <w:spacing w:after="0" w:line="400" w:lineRule="atLeast"/>
      <w:jc w:val="left"/>
    </w:pPr>
    <w:rPr>
      <w:rFonts w:eastAsia="宋体" w:cs="Times New Roman"/>
      <w:bCs/>
      <w:iCs/>
      <w:sz w:val="18"/>
    </w:rPr>
  </w:style>
  <w:style w:type="paragraph" w:styleId="16">
    <w:name w:val="envelope return"/>
    <w:basedOn w:val="1"/>
    <w:qFormat/>
    <w:uiPriority w:val="0"/>
    <w:pPr>
      <w:snapToGrid w:val="0"/>
    </w:pPr>
    <w:rPr>
      <w:rFonts w:ascii="Arial" w:hAnsi="Arial"/>
    </w:rPr>
  </w:style>
  <w:style w:type="paragraph" w:styleId="17">
    <w:name w:val="header"/>
    <w:basedOn w:val="1"/>
    <w:qFormat/>
    <w:uiPriority w:val="0"/>
    <w:pPr>
      <w:widowControl w:val="0"/>
      <w:pBdr>
        <w:bottom w:val="single" w:color="auto" w:sz="6" w:space="1"/>
      </w:pBdr>
      <w:tabs>
        <w:tab w:val="center" w:pos="4140"/>
        <w:tab w:val="right" w:pos="8300"/>
      </w:tabs>
      <w:snapToGrid w:val="0"/>
      <w:spacing w:after="0" w:line="400" w:lineRule="atLeast"/>
      <w:jc w:val="center"/>
    </w:pPr>
    <w:rPr>
      <w:rFonts w:ascii="宋体" w:hAnsi="宋体" w:eastAsia="宋体" w:cs="宋体"/>
      <w:color w:val="000000"/>
      <w:sz w:val="18"/>
      <w:szCs w:val="18"/>
      <w:lang w:val="en-US" w:eastAsia="zh-CN" w:bidi="ar-SA"/>
    </w:rPr>
  </w:style>
  <w:style w:type="paragraph" w:styleId="18">
    <w:name w:val="Subtitle"/>
    <w:basedOn w:val="1"/>
    <w:next w:val="1"/>
    <w:qFormat/>
    <w:uiPriority w:val="0"/>
    <w:pPr>
      <w:spacing w:before="240" w:after="60" w:line="312" w:lineRule="auto"/>
      <w:jc w:val="center"/>
      <w:outlineLvl w:val="1"/>
    </w:pPr>
    <w:rPr>
      <w:rFonts w:ascii="Calibri Light" w:hAnsi="Calibri Light" w:eastAsia="Times New Roman" w:cs="Times New Roman"/>
      <w:b/>
      <w:bCs/>
      <w:kern w:val="28"/>
      <w:sz w:val="32"/>
      <w:szCs w:val="32"/>
    </w:rPr>
  </w:style>
  <w:style w:type="paragraph" w:styleId="19">
    <w:name w:val="HTML Preformatted"/>
    <w:basedOn w:val="1"/>
    <w:qFormat/>
    <w:uiPriority w:val="0"/>
    <w:pPr>
      <w:widowControl/>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330" w:lineRule="atLeast"/>
      <w:jc w:val="left"/>
    </w:pPr>
    <w:rPr>
      <w:rFonts w:ascii="Arial" w:hAnsi="Arial" w:cs="Times New Roman"/>
      <w:szCs w:val="21"/>
    </w:rPr>
  </w:style>
  <w:style w:type="paragraph" w:styleId="20">
    <w:name w:val="Normal (Web)"/>
    <w:basedOn w:val="1"/>
    <w:qFormat/>
    <w:uiPriority w:val="0"/>
    <w:pPr>
      <w:widowControl w:val="0"/>
      <w:spacing w:before="100" w:beforeAutospacing="1" w:after="100" w:afterAutospacing="1" w:line="400" w:lineRule="atLeast"/>
      <w:ind w:left="0" w:right="0"/>
      <w:jc w:val="left"/>
    </w:pPr>
    <w:rPr>
      <w:rFonts w:ascii="宋体" w:hAnsi="宋体" w:eastAsia="宋体" w:cs="宋体"/>
      <w:color w:val="000000"/>
      <w:kern w:val="0"/>
      <w:sz w:val="24"/>
      <w:lang w:val="en-US" w:eastAsia="zh-CN"/>
    </w:rPr>
  </w:style>
  <w:style w:type="paragraph" w:styleId="21">
    <w:name w:val="Title"/>
    <w:basedOn w:val="1"/>
    <w:next w:val="1"/>
    <w:qFormat/>
    <w:uiPriority w:val="0"/>
    <w:pPr>
      <w:widowControl w:val="0"/>
      <w:spacing w:before="120" w:after="120" w:line="360" w:lineRule="auto"/>
      <w:ind w:left="0" w:right="0" w:firstLine="0" w:firstLineChars="0"/>
      <w:jc w:val="center"/>
      <w:outlineLvl w:val="0"/>
    </w:pPr>
    <w:rPr>
      <w:rFonts w:ascii="Cambria" w:hAnsi="Cambria" w:eastAsia="宋体" w:cs="宋体"/>
      <w:b/>
      <w:bCs/>
      <w:color w:val="000000"/>
      <w:sz w:val="36"/>
      <w:szCs w:val="32"/>
      <w:lang w:val="en-US" w:eastAsia="zh-CN" w:bidi="ar-SA"/>
    </w:rPr>
  </w:style>
  <w:style w:type="paragraph" w:styleId="22">
    <w:name w:val="Body Text First Indent"/>
    <w:basedOn w:val="10"/>
    <w:unhideWhenUsed/>
    <w:qFormat/>
    <w:uiPriority w:val="0"/>
    <w:pPr>
      <w:ind w:firstLine="420" w:firstLineChars="100"/>
    </w:pPr>
    <w:rPr>
      <w:rFonts w:hint="eastAsia"/>
      <w:sz w:val="28"/>
    </w:rPr>
  </w:style>
  <w:style w:type="paragraph" w:styleId="23">
    <w:name w:val="Body Text First Indent 2"/>
    <w:basedOn w:val="12"/>
    <w:unhideWhenUsed/>
    <w:qFormat/>
    <w:uiPriority w:val="99"/>
    <w:pPr>
      <w:ind w:firstLine="420" w:firstLineChars="200"/>
    </w:pPr>
  </w:style>
  <w:style w:type="character" w:styleId="26">
    <w:name w:val="page number"/>
    <w:qFormat/>
    <w:uiPriority w:val="0"/>
    <w:rPr>
      <w:rFonts w:ascii="Times New Roman" w:hAnsi="Times New Roman" w:eastAsia="宋体" w:cs="Times New Roman"/>
    </w:rPr>
  </w:style>
  <w:style w:type="paragraph" w:customStyle="1" w:styleId="27">
    <w:name w:val="[Normal]"/>
    <w:autoRedefine/>
    <w:qFormat/>
    <w:uiPriority w:val="0"/>
    <w:rPr>
      <w:rFonts w:ascii="宋体" w:hAnsi="宋体" w:eastAsia="宋体" w:cs="Times New Roman"/>
      <w:sz w:val="24"/>
      <w:szCs w:val="22"/>
      <w:lang w:val="zh-CN" w:eastAsia="zh-CN" w:bidi="ar-SA"/>
    </w:rPr>
  </w:style>
  <w:style w:type="paragraph" w:customStyle="1" w:styleId="28">
    <w:name w:val="一级条标题"/>
    <w:basedOn w:val="29"/>
    <w:next w:val="30"/>
    <w:qFormat/>
    <w:uiPriority w:val="0"/>
    <w:pPr>
      <w:spacing w:line="240" w:lineRule="auto"/>
      <w:ind w:left="420"/>
      <w:outlineLvl w:val="2"/>
    </w:pPr>
    <w:rPr>
      <w:rFonts w:ascii="Times New Roman" w:hAnsi="Times New Roman" w:eastAsia="宋体" w:cs="Times New Roman"/>
    </w:rPr>
  </w:style>
  <w:style w:type="paragraph" w:customStyle="1" w:styleId="29">
    <w:name w:val="章标题"/>
    <w:next w:val="1"/>
    <w:qFormat/>
    <w:uiPriority w:val="0"/>
    <w:pPr>
      <w:spacing w:line="360" w:lineRule="auto"/>
      <w:jc w:val="both"/>
      <w:outlineLvl w:val="1"/>
    </w:pPr>
    <w:rPr>
      <w:rFonts w:ascii="黑体" w:hAnsi="Calibri" w:eastAsia="黑体" w:cs="Times New Roman"/>
      <w:sz w:val="21"/>
      <w:szCs w:val="22"/>
      <w:lang w:val="en-US" w:eastAsia="zh-CN" w:bidi="ar-SA"/>
    </w:rPr>
  </w:style>
  <w:style w:type="paragraph" w:customStyle="1" w:styleId="30">
    <w:name w:val="段"/>
    <w:next w:val="1"/>
    <w:qFormat/>
    <w:uiPriority w:val="0"/>
    <w:pPr>
      <w:autoSpaceDE w:val="0"/>
      <w:autoSpaceDN w:val="0"/>
      <w:spacing w:line="360" w:lineRule="auto"/>
      <w:ind w:firstLine="200" w:firstLineChars="200"/>
      <w:jc w:val="both"/>
    </w:pPr>
    <w:rPr>
      <w:rFonts w:ascii="宋体" w:hAnsi="Calibri" w:eastAsia="Times New Roman" w:cs="Times New Roman"/>
      <w:sz w:val="21"/>
      <w:szCs w:val="22"/>
      <w:lang w:val="en-US" w:eastAsia="zh-CN" w:bidi="ar-SA"/>
    </w:rPr>
  </w:style>
  <w:style w:type="paragraph" w:customStyle="1" w:styleId="31">
    <w:name w:val="正文1"/>
    <w:qFormat/>
    <w:uiPriority w:val="99"/>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paragraph" w:customStyle="1" w:styleId="32">
    <w:name w:val="WPSOffice手动目录 1"/>
    <w:qFormat/>
    <w:uiPriority w:val="0"/>
    <w:rPr>
      <w:rFonts w:ascii="Calibri" w:hAnsi="Calibri" w:eastAsia="宋体" w:cs="Times New Roman"/>
      <w:lang w:val="en-US" w:eastAsia="zh-CN" w:bidi="ar-SA"/>
    </w:rPr>
  </w:style>
  <w:style w:type="paragraph" w:customStyle="1" w:styleId="33">
    <w:name w:val="WPSOffice手动目录 2"/>
    <w:qFormat/>
    <w:uiPriority w:val="0"/>
    <w:pPr>
      <w:ind w:leftChars="200"/>
    </w:pPr>
    <w:rPr>
      <w:rFonts w:ascii="Calibri" w:hAnsi="Calibri" w:eastAsia="宋体" w:cs="Times New Roman"/>
      <w:lang w:val="en-US" w:eastAsia="zh-CN" w:bidi="ar-SA"/>
    </w:rPr>
  </w:style>
  <w:style w:type="paragraph" w:customStyle="1" w:styleId="34">
    <w:name w:val="Normal_4"/>
    <w:qFormat/>
    <w:uiPriority w:val="0"/>
    <w:pPr>
      <w:spacing w:before="120" w:after="240"/>
      <w:jc w:val="both"/>
    </w:pPr>
    <w:rPr>
      <w:rFonts w:ascii="Calibri" w:hAnsi="Calibri" w:eastAsia="Calibri" w:cs="Times New Roman"/>
      <w:sz w:val="22"/>
      <w:szCs w:val="22"/>
      <w:lang w:val="ru-RU" w:eastAsia="en-US" w:bidi="ar-SA"/>
    </w:rPr>
  </w:style>
  <w:style w:type="paragraph" w:styleId="35">
    <w:name w:val="List Paragraph"/>
    <w:basedOn w:val="1"/>
    <w:qFormat/>
    <w:uiPriority w:val="34"/>
    <w:pPr>
      <w:ind w:firstLine="420" w:firstLineChars="200"/>
    </w:pPr>
    <w:rPr>
      <w:rFonts w:ascii="Calibri" w:hAnsi="Calibri" w:eastAsia="宋体" w:cs="Times New Roman"/>
      <w:szCs w:val="22"/>
    </w:rPr>
  </w:style>
  <w:style w:type="paragraph" w:customStyle="1" w:styleId="36">
    <w:name w:val="正文（正式）"/>
    <w:basedOn w:val="1"/>
    <w:qFormat/>
    <w:uiPriority w:val="0"/>
    <w:pPr>
      <w:adjustRightInd w:val="0"/>
      <w:snapToGrid w:val="0"/>
      <w:spacing w:line="312" w:lineRule="auto"/>
      <w:ind w:firstLine="200" w:firstLineChars="200"/>
    </w:pPr>
    <w:rPr>
      <w:rFonts w:ascii="Times New Roman" w:hAnsi="Times New Roman" w:eastAsia="Times New Roman" w:cs="Times New Roman"/>
      <w:bCs/>
      <w:sz w:val="24"/>
      <w:szCs w:val="28"/>
    </w:rPr>
  </w:style>
  <w:style w:type="paragraph" w:customStyle="1" w:styleId="37">
    <w:name w:val="Table Paragraph"/>
    <w:basedOn w:val="1"/>
    <w:qFormat/>
    <w:uiPriority w:val="1"/>
  </w:style>
  <w:style w:type="paragraph" w:customStyle="1" w:styleId="38">
    <w:name w:val="HtmlNormal"/>
    <w:basedOn w:val="1"/>
    <w:qFormat/>
    <w:uiPriority w:val="0"/>
    <w:pPr>
      <w:spacing w:before="100" w:beforeAutospacing="1" w:after="100" w:afterAutospacing="1"/>
      <w:ind w:left="0" w:right="0"/>
      <w:jc w:val="left"/>
      <w:textAlignment w:val="baseline"/>
    </w:pPr>
    <w:rPr>
      <w:kern w:val="0"/>
      <w:sz w:val="24"/>
      <w:szCs w:val="24"/>
      <w:lang w:val="en-US" w:eastAsia="zh-CN"/>
    </w:rPr>
  </w:style>
  <w:style w:type="paragraph" w:customStyle="1" w:styleId="39">
    <w:name w:val="_Style 29"/>
    <w:basedOn w:val="1"/>
    <w:qFormat/>
    <w:uiPriority w:val="0"/>
    <w:pPr>
      <w:ind w:firstLine="420" w:firstLineChars="200"/>
    </w:pPr>
    <w:rPr>
      <w:rFonts w:ascii="Times New Roman" w:hAnsi="Times New Roman" w:eastAsia="Times New Roman" w:cs="Times New Roman"/>
    </w:rPr>
  </w:style>
  <w:style w:type="paragraph" w:customStyle="1" w:styleId="40">
    <w:name w:val="正文_0"/>
    <w:qFormat/>
    <w:uiPriority w:val="0"/>
    <w:pPr>
      <w:widowControl w:val="0"/>
      <w:spacing w:line="360" w:lineRule="auto"/>
      <w:jc w:val="both"/>
    </w:pPr>
    <w:rPr>
      <w:rFonts w:ascii="Calibri" w:hAnsi="Calibri" w:eastAsia="Times New Roman" w:cs="Times New Roman"/>
      <w:kern w:val="2"/>
      <w:sz w:val="21"/>
      <w:szCs w:val="24"/>
      <w:lang w:val="en-US" w:eastAsia="zh-CN" w:bidi="ar-SA"/>
    </w:rPr>
  </w:style>
  <w:style w:type="paragraph" w:customStyle="1" w:styleId="41">
    <w:name w:val="Normal_55"/>
    <w:qFormat/>
    <w:uiPriority w:val="0"/>
    <w:pPr>
      <w:spacing w:before="120" w:after="240"/>
      <w:jc w:val="both"/>
    </w:pPr>
    <w:rPr>
      <w:rFonts w:ascii="Calibri" w:hAnsi="Calibri" w:eastAsia="Calibri" w:cs="Times New Roman"/>
      <w:sz w:val="22"/>
      <w:szCs w:val="22"/>
      <w:lang w:val="ru-RU" w:eastAsia="en-US" w:bidi="ar-SA"/>
    </w:rPr>
  </w:style>
  <w:style w:type="character" w:customStyle="1" w:styleId="42">
    <w:name w:val="NormalCharacter"/>
    <w:semiHidden/>
    <w:qFormat/>
    <w:uiPriority w:val="0"/>
  </w:style>
  <w:style w:type="character" w:customStyle="1" w:styleId="43">
    <w:name w:val="正文文本缩进 Char"/>
    <w:link w:val="12"/>
    <w:qFormat/>
    <w:uiPriority w:val="0"/>
    <w:rPr>
      <w:rFonts w:ascii="宋体" w:hAnsi="宋体" w:eastAsia="宋体" w:cs="宋体"/>
      <w:color w:val="000000"/>
      <w:sz w:val="21"/>
      <w:lang w:val="en-US" w:eastAsia="zh-CN" w:bidi="ar-SA"/>
    </w:rPr>
  </w:style>
  <w:style w:type="paragraph" w:customStyle="1" w:styleId="44">
    <w:name w:val="4 级标题"/>
    <w:basedOn w:val="5"/>
    <w:next w:val="1"/>
    <w:qFormat/>
    <w:uiPriority w:val="3"/>
    <w:pPr>
      <w:widowControl w:val="0"/>
      <w:numPr>
        <w:ilvl w:val="3"/>
        <w:numId w:val="2"/>
      </w:numPr>
      <w:adjustRightInd w:val="0"/>
      <w:spacing w:beforeLines="50" w:afterLines="50" w:line="240" w:lineRule="auto"/>
      <w:ind w:left="1559" w:hanging="425"/>
    </w:pPr>
    <w:rPr>
      <w:rFonts w:ascii="Times New Roman" w:hAnsi="Times New Roman" w:eastAsia="宋体" w:cs="Times New Roman"/>
      <w:szCs w:val="24"/>
    </w:rPr>
  </w:style>
  <w:style w:type="paragraph" w:customStyle="1" w:styleId="45">
    <w:name w:val="Normal_5"/>
    <w:qFormat/>
    <w:uiPriority w:val="0"/>
    <w:pPr>
      <w:spacing w:before="120" w:after="240"/>
      <w:jc w:val="both"/>
    </w:pPr>
    <w:rPr>
      <w:rFonts w:ascii="Calibri" w:hAnsi="Calibri" w:eastAsia="Calibri" w:cs="Times New Roman"/>
      <w:sz w:val="22"/>
      <w:szCs w:val="22"/>
      <w:lang w:val="ru-RU" w:eastAsia="en-US" w:bidi="ar-SA"/>
    </w:rPr>
  </w:style>
  <w:style w:type="paragraph" w:customStyle="1" w:styleId="46">
    <w:name w:val="Heading2"/>
    <w:basedOn w:val="1"/>
    <w:next w:val="1"/>
    <w:qFormat/>
    <w:uiPriority w:val="0"/>
    <w:pPr>
      <w:keepNext/>
      <w:keepLines/>
      <w:spacing w:before="260" w:after="260" w:line="415" w:lineRule="auto"/>
      <w:jc w:val="both"/>
      <w:textAlignment w:val="baseline"/>
    </w:pPr>
    <w:rPr>
      <w:rFonts w:ascii="Cambria" w:hAnsi="Cambria" w:eastAsia="宋体" w:cs="Times New Roman"/>
      <w:b/>
      <w:bCs/>
      <w:kern w:val="2"/>
      <w:sz w:val="32"/>
      <w:szCs w:val="32"/>
      <w:lang w:val="en-US" w:eastAsia="zh-CN" w:bidi="ar-SA"/>
    </w:rPr>
  </w:style>
  <w:style w:type="character" w:customStyle="1" w:styleId="47">
    <w:name w:val="font91"/>
    <w:basedOn w:val="25"/>
    <w:qFormat/>
    <w:uiPriority w:val="0"/>
    <w:rPr>
      <w:rFonts w:hint="eastAsia" w:ascii="宋体" w:hAnsi="宋体" w:eastAsia="宋体" w:cs="宋体"/>
      <w:color w:val="FF0000"/>
      <w:sz w:val="18"/>
      <w:szCs w:val="18"/>
      <w:u w:val="none"/>
    </w:rPr>
  </w:style>
  <w:style w:type="character" w:customStyle="1" w:styleId="48">
    <w:name w:val="font71"/>
    <w:basedOn w:val="25"/>
    <w:qFormat/>
    <w:uiPriority w:val="0"/>
    <w:rPr>
      <w:rFonts w:hint="eastAsia" w:ascii="宋体" w:hAnsi="宋体" w:eastAsia="宋体" w:cs="宋体"/>
      <w:color w:val="000000"/>
      <w:sz w:val="18"/>
      <w:szCs w:val="18"/>
      <w:u w:val="none"/>
    </w:rPr>
  </w:style>
  <w:style w:type="character" w:customStyle="1" w:styleId="49">
    <w:name w:val="font101"/>
    <w:basedOn w:val="25"/>
    <w:qFormat/>
    <w:uiPriority w:val="0"/>
    <w:rPr>
      <w:rFonts w:hint="eastAsia" w:ascii="宋体" w:hAnsi="宋体" w:eastAsia="宋体" w:cs="宋体"/>
      <w:color w:val="000000"/>
      <w:sz w:val="18"/>
      <w:szCs w:val="18"/>
      <w:u w:val="none"/>
    </w:rPr>
  </w:style>
  <w:style w:type="character" w:customStyle="1" w:styleId="50">
    <w:name w:val="font112"/>
    <w:basedOn w:val="25"/>
    <w:qFormat/>
    <w:uiPriority w:val="0"/>
    <w:rPr>
      <w:rFonts w:hint="eastAsia" w:ascii="宋体" w:hAnsi="宋体" w:eastAsia="宋体" w:cs="宋体"/>
      <w:color w:val="FF0000"/>
      <w:sz w:val="20"/>
      <w:szCs w:val="20"/>
      <w:u w:val="none"/>
    </w:rPr>
  </w:style>
  <w:style w:type="character" w:customStyle="1" w:styleId="51">
    <w:name w:val="font31"/>
    <w:basedOn w:val="25"/>
    <w:qFormat/>
    <w:uiPriority w:val="0"/>
    <w:rPr>
      <w:rFonts w:hint="eastAsia" w:ascii="宋体" w:hAnsi="宋体" w:eastAsia="宋体" w:cs="宋体"/>
      <w:color w:val="000000"/>
      <w:sz w:val="20"/>
      <w:szCs w:val="20"/>
      <w:u w:val="none"/>
    </w:rPr>
  </w:style>
  <w:style w:type="character" w:customStyle="1" w:styleId="52">
    <w:name w:val="font121"/>
    <w:basedOn w:val="25"/>
    <w:qFormat/>
    <w:uiPriority w:val="0"/>
    <w:rPr>
      <w:rFonts w:hint="eastAsia" w:ascii="宋体" w:hAnsi="宋体" w:eastAsia="宋体" w:cs="宋体"/>
      <w:color w:val="0066CC"/>
      <w:sz w:val="20"/>
      <w:szCs w:val="20"/>
      <w:u w:val="none"/>
    </w:rPr>
  </w:style>
  <w:style w:type="character" w:customStyle="1" w:styleId="53">
    <w:name w:val="font131"/>
    <w:basedOn w:val="25"/>
    <w:qFormat/>
    <w:uiPriority w:val="0"/>
    <w:rPr>
      <w:rFonts w:hint="eastAsia" w:ascii="宋体" w:hAnsi="宋体" w:eastAsia="宋体" w:cs="宋体"/>
      <w:b/>
      <w:bCs/>
      <w:color w:val="000000"/>
      <w:sz w:val="20"/>
      <w:szCs w:val="20"/>
      <w:u w:val="none"/>
    </w:rPr>
  </w:style>
  <w:style w:type="character" w:customStyle="1" w:styleId="54">
    <w:name w:val="font141"/>
    <w:basedOn w:val="25"/>
    <w:qFormat/>
    <w:uiPriority w:val="0"/>
    <w:rPr>
      <w:rFonts w:hint="eastAsia" w:ascii="宋体" w:hAnsi="宋体" w:eastAsia="宋体" w:cs="宋体"/>
      <w:color w:val="000000"/>
      <w:sz w:val="20"/>
      <w:szCs w:val="20"/>
      <w:u w:val="none"/>
    </w:rPr>
  </w:style>
  <w:style w:type="character" w:customStyle="1" w:styleId="55">
    <w:name w:val="font151"/>
    <w:basedOn w:val="25"/>
    <w:qFormat/>
    <w:uiPriority w:val="0"/>
    <w:rPr>
      <w:rFonts w:hint="eastAsia" w:ascii="宋体" w:hAnsi="宋体" w:eastAsia="宋体" w:cs="宋体"/>
      <w:color w:val="3366FF"/>
      <w:sz w:val="20"/>
      <w:szCs w:val="20"/>
      <w:u w:val="none"/>
    </w:rPr>
  </w:style>
  <w:style w:type="paragraph" w:customStyle="1" w:styleId="56">
    <w:name w:val="标准中文版式_正文"/>
    <w:basedOn w:val="1"/>
    <w:qFormat/>
    <w:uiPriority w:val="0"/>
    <w:pPr>
      <w:spacing w:before="30" w:beforeLines="0" w:line="360" w:lineRule="auto"/>
      <w:ind w:firstLineChars="200"/>
    </w:pPr>
    <w:rPr>
      <w:rFonts w:ascii="Arial" w:hAnsi="Arial"/>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7850</Words>
  <Characters>8423</Characters>
  <Lines>0</Lines>
  <Paragraphs>0</Paragraphs>
  <TotalTime>41</TotalTime>
  <ScaleCrop>false</ScaleCrop>
  <LinksUpToDate>false</LinksUpToDate>
  <CharactersWithSpaces>8618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2022-04-21T08:41:00Z</dcterms:created>
  <dc:creator>Administrator</dc:creator>
  <cp:lastModifiedBy>Administrator</cp:lastModifiedBy>
  <dcterms:modified xsi:type="dcterms:W3CDTF">2026-07-27T08:53:31Z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07AA3CEA48384153ABED0230B2ADAE82_13</vt:lpwstr>
  </property>
  <property fmtid="{D5CDD505-2E9C-101B-9397-08002B2CF9AE}" pid="4" name="KSOTemplateDocerSaveRecord">
    <vt:lpwstr>eyJoZGlkIjoiOGE5MmFhYWI0ZjRiOTEzN2JhMGRlOThjMTk1NDg2YzgiLCJ1c2VySWQiOiIxMDM2MTczMjM1In0=</vt:lpwstr>
  </property>
</Properties>
</file>