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2D4E6">
      <w:pPr>
        <w:pStyle w:val="5"/>
      </w:pPr>
      <w:bookmarkStart w:id="0" w:name="附件1履约资格现场核查确认表"/>
      <w:r>
        <w:rPr>
          <w:rFonts w:hint="eastAsia"/>
        </w:rPr>
        <w:t>附件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：履约资格现场核查确认表</w:t>
      </w:r>
    </w:p>
    <w:tbl>
      <w:tblPr>
        <w:tblStyle w:val="41"/>
        <w:tblW w:w="901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2105"/>
        <w:gridCol w:w="1766"/>
        <w:gridCol w:w="1552"/>
        <w:gridCol w:w="3595"/>
      </w:tblGrid>
      <w:tr w14:paraId="6AC6D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blHeader/>
        </w:trPr>
        <w:tc>
          <w:p w14:paraId="52DC92F3">
            <w:pPr>
              <w:pStyle w:val="24"/>
              <w:jc w:val="left"/>
            </w:pPr>
            <w:r>
              <w:rPr>
                <w:rFonts w:hint="eastAsia"/>
              </w:rPr>
              <w:t>供应商名称</w:t>
            </w:r>
          </w:p>
        </w:tc>
        <w:tc>
          <w:p w14:paraId="7ABC9E55">
            <w:pPr>
              <w:pStyle w:val="24"/>
            </w:pPr>
          </w:p>
        </w:tc>
        <w:tc>
          <w:p w14:paraId="7B11F23B">
            <w:pPr>
              <w:pStyle w:val="24"/>
              <w:jc w:val="left"/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3594" w:type="dxa"/>
          </w:tcPr>
          <w:p w14:paraId="2C3DD4DB">
            <w:pPr>
              <w:pStyle w:val="24"/>
            </w:pPr>
          </w:p>
        </w:tc>
      </w:tr>
      <w:tr w14:paraId="295BF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p w14:paraId="028F3684">
            <w:pPr>
              <w:pStyle w:val="24"/>
              <w:jc w:val="left"/>
            </w:pPr>
            <w:r>
              <w:rPr>
                <w:rFonts w:hint="eastAsia"/>
              </w:rPr>
              <w:t>法定代表人姓名</w:t>
            </w:r>
          </w:p>
        </w:tc>
        <w:tc>
          <w:p w14:paraId="76E592FD">
            <w:pPr>
              <w:pStyle w:val="24"/>
            </w:pPr>
          </w:p>
        </w:tc>
        <w:tc>
          <w:p w14:paraId="4380E631">
            <w:pPr>
              <w:pStyle w:val="24"/>
              <w:jc w:val="lef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594" w:type="dxa"/>
          </w:tcPr>
          <w:p w14:paraId="27AB5BCF">
            <w:pPr>
              <w:pStyle w:val="24"/>
            </w:pPr>
          </w:p>
        </w:tc>
      </w:tr>
      <w:tr w14:paraId="5B147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p w14:paraId="76BCFE41">
            <w:pPr>
              <w:pStyle w:val="24"/>
              <w:jc w:val="left"/>
            </w:pPr>
            <w:r>
              <w:rPr>
                <w:rFonts w:hint="eastAsia"/>
              </w:rPr>
              <w:t>被授权人姓名（如适用）</w:t>
            </w:r>
          </w:p>
        </w:tc>
        <w:tc>
          <w:p w14:paraId="672206DD">
            <w:pPr>
              <w:pStyle w:val="24"/>
            </w:pPr>
          </w:p>
        </w:tc>
        <w:tc>
          <w:p w14:paraId="5395AED7">
            <w:pPr>
              <w:pStyle w:val="24"/>
              <w:jc w:val="left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594" w:type="dxa"/>
          </w:tcPr>
          <w:p w14:paraId="2D072694">
            <w:pPr>
              <w:pStyle w:val="24"/>
            </w:pPr>
          </w:p>
        </w:tc>
      </w:tr>
      <w:tr w14:paraId="26C40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p w14:paraId="2B6272C9">
            <w:pPr>
              <w:pStyle w:val="24"/>
              <w:jc w:val="left"/>
            </w:pPr>
            <w:r>
              <w:rPr>
                <w:rFonts w:hint="eastAsia"/>
              </w:rPr>
              <w:t>核查时间</w:t>
            </w:r>
          </w:p>
        </w:tc>
        <w:tc>
          <w:p w14:paraId="66C18B45">
            <w:pPr>
              <w:pStyle w:val="24"/>
              <w:jc w:val="left"/>
            </w:pPr>
            <w:r>
              <w:rPr>
                <w:rFonts w:hint="eastAsia"/>
              </w:rPr>
              <w:t>2026年____月____日</w:t>
            </w:r>
          </w:p>
        </w:tc>
        <w:tc>
          <w:p w14:paraId="07EB242E">
            <w:pPr>
              <w:pStyle w:val="24"/>
              <w:jc w:val="left"/>
            </w:pPr>
            <w:r>
              <w:rPr>
                <w:rFonts w:hint="eastAsia"/>
              </w:rPr>
              <w:t>核查地点</w:t>
            </w:r>
          </w:p>
        </w:tc>
        <w:tc>
          <w:tcPr>
            <w:tcW w:w="3594" w:type="dxa"/>
          </w:tcPr>
          <w:p w14:paraId="3E39CE28">
            <w:pPr>
              <w:pStyle w:val="24"/>
              <w:jc w:val="left"/>
            </w:pPr>
            <w:r>
              <w:rPr>
                <w:rFonts w:hint="eastAsia"/>
              </w:rPr>
              <w:t>青海省交控建设工程集团有限公司</w:t>
            </w:r>
            <w:r>
              <w:rPr>
                <w:rFonts w:hint="eastAsia"/>
                <w:lang w:val="en-US" w:eastAsia="zh-CN"/>
              </w:rPr>
              <w:t>工程</w:t>
            </w:r>
            <w:r>
              <w:rPr>
                <w:rFonts w:hint="eastAsia"/>
              </w:rPr>
              <w:t>管理部</w:t>
            </w:r>
          </w:p>
        </w:tc>
      </w:tr>
    </w:tbl>
    <w:p w14:paraId="1D7564D7">
      <w:pPr>
        <w:pStyle w:val="6"/>
      </w:pPr>
      <w:bookmarkStart w:id="1" w:name="一主体资格核验情况"/>
      <w:r>
        <w:rPr>
          <w:rFonts w:hint="eastAsia"/>
        </w:rPr>
        <w:t>一、主体资格核验情况</w:t>
      </w:r>
    </w:p>
    <w:tbl>
      <w:tblPr>
        <w:tblStyle w:val="41"/>
        <w:tblW w:w="89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2328"/>
        <w:gridCol w:w="3840"/>
        <w:gridCol w:w="1994"/>
        <w:gridCol w:w="826"/>
      </w:tblGrid>
      <w:tr w14:paraId="0F058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blHeader/>
        </w:trPr>
        <w:tc>
          <w:tcPr>
            <w:tcW w:w="2328" w:type="dxa"/>
          </w:tcPr>
          <w:p w14:paraId="1502A5BB">
            <w:pPr>
              <w:pStyle w:val="24"/>
              <w:jc w:val="left"/>
            </w:pPr>
            <w:r>
              <w:rPr>
                <w:rFonts w:hint="eastAsia"/>
              </w:rPr>
              <w:t>核验项目</w:t>
            </w:r>
          </w:p>
        </w:tc>
        <w:tc>
          <w:tcPr>
            <w:tcW w:w="3840" w:type="dxa"/>
          </w:tcPr>
          <w:p w14:paraId="05A877E7">
            <w:pPr>
              <w:pStyle w:val="24"/>
              <w:jc w:val="left"/>
            </w:pPr>
            <w:r>
              <w:rPr>
                <w:rFonts w:hint="eastAsia"/>
              </w:rPr>
              <w:t>核验内容</w:t>
            </w:r>
          </w:p>
        </w:tc>
        <w:tc>
          <w:tcPr>
            <w:tcW w:w="1994" w:type="dxa"/>
          </w:tcPr>
          <w:p w14:paraId="75BFCF9E">
            <w:pPr>
              <w:pStyle w:val="24"/>
              <w:jc w:val="left"/>
            </w:pPr>
            <w:r>
              <w:rPr>
                <w:rFonts w:hint="eastAsia"/>
              </w:rPr>
              <w:t>核验结果</w:t>
            </w:r>
          </w:p>
        </w:tc>
        <w:tc>
          <w:tcPr>
            <w:tcW w:w="826" w:type="dxa"/>
          </w:tcPr>
          <w:p w14:paraId="3483E2C1">
            <w:pPr>
              <w:pStyle w:val="24"/>
              <w:jc w:val="left"/>
            </w:pPr>
            <w:r>
              <w:rPr>
                <w:rFonts w:hint="eastAsia"/>
              </w:rPr>
              <w:t>备注</w:t>
            </w:r>
          </w:p>
        </w:tc>
      </w:tr>
      <w:tr w14:paraId="02740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tcW w:w="2328" w:type="dxa"/>
          </w:tcPr>
          <w:p w14:paraId="1D60E104">
            <w:pPr>
              <w:pStyle w:val="24"/>
              <w:jc w:val="left"/>
            </w:pPr>
            <w:r>
              <w:rPr>
                <w:rFonts w:hint="eastAsia"/>
              </w:rPr>
              <w:t>法人身份证</w:t>
            </w:r>
          </w:p>
        </w:tc>
        <w:tc>
          <w:tcPr>
            <w:tcW w:w="3840" w:type="dxa"/>
          </w:tcPr>
          <w:p w14:paraId="101184CB">
            <w:pPr>
              <w:pStyle w:val="24"/>
              <w:jc w:val="left"/>
            </w:pPr>
            <w:r>
              <w:rPr>
                <w:rFonts w:hint="eastAsia"/>
              </w:rPr>
              <w:t>原件与本人一致，且在有效期内</w:t>
            </w:r>
          </w:p>
        </w:tc>
        <w:tc>
          <w:tcPr>
            <w:tcW w:w="1994" w:type="dxa"/>
          </w:tcPr>
          <w:p w14:paraId="098CF806">
            <w:pPr>
              <w:pStyle w:val="24"/>
              <w:jc w:val="left"/>
            </w:pPr>
            <w:r>
              <w:rPr>
                <w:rFonts w:hint="eastAsia"/>
              </w:rPr>
              <w:t>□通过</w:t>
            </w:r>
            <w:r>
              <w:t xml:space="preserve"> </w:t>
            </w:r>
            <w:r>
              <w:rPr>
                <w:rFonts w:hint="eastAsia"/>
              </w:rPr>
              <w:t>□不通过</w:t>
            </w:r>
          </w:p>
        </w:tc>
        <w:tc>
          <w:tcPr>
            <w:tcW w:w="826" w:type="dxa"/>
          </w:tcPr>
          <w:p w14:paraId="7F085AB6">
            <w:pPr>
              <w:pStyle w:val="24"/>
            </w:pPr>
          </w:p>
        </w:tc>
      </w:tr>
      <w:tr w14:paraId="4D5D6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tcW w:w="2328" w:type="dxa"/>
          </w:tcPr>
          <w:p w14:paraId="79602773">
            <w:pPr>
              <w:pStyle w:val="24"/>
              <w:jc w:val="left"/>
            </w:pPr>
            <w:r>
              <w:rPr>
                <w:rFonts w:hint="eastAsia"/>
              </w:rPr>
              <w:t>营业执照副本</w:t>
            </w:r>
          </w:p>
        </w:tc>
        <w:tc>
          <w:tcPr>
            <w:tcW w:w="3840" w:type="dxa"/>
          </w:tcPr>
          <w:p w14:paraId="3F03035F">
            <w:pPr>
              <w:pStyle w:val="24"/>
              <w:jc w:val="left"/>
            </w:pPr>
            <w:r>
              <w:rPr>
                <w:rFonts w:hint="eastAsia"/>
              </w:rPr>
              <w:t>原件信息准确，处于正常存续状态</w:t>
            </w:r>
          </w:p>
        </w:tc>
        <w:tc>
          <w:tcPr>
            <w:tcW w:w="1994" w:type="dxa"/>
          </w:tcPr>
          <w:p w14:paraId="32C571AF">
            <w:pPr>
              <w:pStyle w:val="24"/>
              <w:jc w:val="left"/>
            </w:pPr>
            <w:r>
              <w:rPr>
                <w:rFonts w:hint="eastAsia"/>
              </w:rPr>
              <w:t>□通过</w:t>
            </w:r>
            <w:r>
              <w:t xml:space="preserve"> </w:t>
            </w:r>
            <w:r>
              <w:rPr>
                <w:rFonts w:hint="eastAsia"/>
              </w:rPr>
              <w:t>□不通过</w:t>
            </w:r>
          </w:p>
        </w:tc>
        <w:tc>
          <w:tcPr>
            <w:tcW w:w="826" w:type="dxa"/>
          </w:tcPr>
          <w:p w14:paraId="4DCB8808">
            <w:pPr>
              <w:pStyle w:val="24"/>
            </w:pPr>
          </w:p>
        </w:tc>
      </w:tr>
      <w:tr w14:paraId="3D00B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tcW w:w="2328" w:type="dxa"/>
          </w:tcPr>
          <w:p w14:paraId="3CA98642">
            <w:pPr>
              <w:pStyle w:val="24"/>
              <w:jc w:val="left"/>
            </w:pPr>
            <w:r>
              <w:rPr>
                <w:rFonts w:hint="eastAsia"/>
              </w:rPr>
              <w:t>授权委托书（如适用）</w:t>
            </w:r>
          </w:p>
        </w:tc>
        <w:tc>
          <w:tcPr>
            <w:tcW w:w="3840" w:type="dxa"/>
          </w:tcPr>
          <w:p w14:paraId="34D608F5">
            <w:pPr>
              <w:pStyle w:val="24"/>
              <w:jc w:val="left"/>
            </w:pPr>
            <w:r>
              <w:rPr>
                <w:rFonts w:hint="eastAsia"/>
              </w:rPr>
              <w:t>加盖公章，授权事项、期限明确</w:t>
            </w:r>
          </w:p>
        </w:tc>
        <w:tc>
          <w:tcPr>
            <w:tcW w:w="1994" w:type="dxa"/>
          </w:tcPr>
          <w:p w14:paraId="31895686">
            <w:pPr>
              <w:pStyle w:val="24"/>
              <w:jc w:val="left"/>
            </w:pPr>
            <w:r>
              <w:rPr>
                <w:rFonts w:hint="eastAsia"/>
              </w:rPr>
              <w:t>□通过</w:t>
            </w:r>
            <w:r>
              <w:t xml:space="preserve"> </w:t>
            </w:r>
            <w:r>
              <w:rPr>
                <w:rFonts w:hint="eastAsia"/>
              </w:rPr>
              <w:t>□不适用</w:t>
            </w:r>
          </w:p>
        </w:tc>
        <w:tc>
          <w:tcPr>
            <w:tcW w:w="826" w:type="dxa"/>
          </w:tcPr>
          <w:p w14:paraId="65ED3D58">
            <w:pPr>
              <w:pStyle w:val="24"/>
            </w:pPr>
          </w:p>
        </w:tc>
      </w:tr>
      <w:bookmarkEnd w:id="1"/>
    </w:tbl>
    <w:p w14:paraId="6CCDFB81">
      <w:pPr>
        <w:pStyle w:val="6"/>
      </w:pPr>
      <w:bookmarkStart w:id="2" w:name="二信用状况查询情况"/>
      <w:r>
        <w:rPr>
          <w:rFonts w:hint="eastAsia"/>
        </w:rPr>
        <w:t>二、信用状况查询情况</w:t>
      </w:r>
    </w:p>
    <w:tbl>
      <w:tblPr>
        <w:tblStyle w:val="41"/>
        <w:tblW w:w="903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2478"/>
        <w:gridCol w:w="3495"/>
        <w:gridCol w:w="2219"/>
        <w:gridCol w:w="841"/>
      </w:tblGrid>
      <w:tr w14:paraId="77F93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blHeader/>
        </w:trPr>
        <w:tc>
          <w:tcPr>
            <w:tcW w:w="2478" w:type="dxa"/>
          </w:tcPr>
          <w:p w14:paraId="11E51150">
            <w:pPr>
              <w:pStyle w:val="24"/>
              <w:jc w:val="left"/>
            </w:pPr>
            <w:r>
              <w:rPr>
                <w:rFonts w:hint="eastAsia"/>
              </w:rPr>
              <w:t>查询平台</w:t>
            </w:r>
          </w:p>
        </w:tc>
        <w:tc>
          <w:tcPr>
            <w:tcW w:w="3495" w:type="dxa"/>
          </w:tcPr>
          <w:p w14:paraId="7F4D1192">
            <w:pPr>
              <w:pStyle w:val="24"/>
              <w:jc w:val="left"/>
            </w:pPr>
            <w:r>
              <w:rPr>
                <w:rFonts w:hint="eastAsia"/>
              </w:rPr>
              <w:t>查询内容</w:t>
            </w:r>
          </w:p>
        </w:tc>
        <w:tc>
          <w:tcPr>
            <w:tcW w:w="2219" w:type="dxa"/>
          </w:tcPr>
          <w:p w14:paraId="2F532487">
            <w:pPr>
              <w:pStyle w:val="24"/>
              <w:jc w:val="left"/>
            </w:pPr>
            <w:r>
              <w:rPr>
                <w:rFonts w:hint="eastAsia"/>
              </w:rPr>
              <w:t>查询结果</w:t>
            </w:r>
          </w:p>
        </w:tc>
        <w:tc>
          <w:tcPr>
            <w:tcW w:w="841" w:type="dxa"/>
          </w:tcPr>
          <w:p w14:paraId="3A13309B">
            <w:pPr>
              <w:pStyle w:val="24"/>
              <w:jc w:val="left"/>
            </w:pPr>
            <w:r>
              <w:rPr>
                <w:rFonts w:hint="eastAsia"/>
              </w:rPr>
              <w:t>备注</w:t>
            </w:r>
          </w:p>
        </w:tc>
      </w:tr>
      <w:tr w14:paraId="6CE91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tcW w:w="2478" w:type="dxa"/>
          </w:tcPr>
          <w:p w14:paraId="11C6D4CB">
            <w:pPr>
              <w:pStyle w:val="24"/>
              <w:jc w:val="left"/>
            </w:pPr>
            <w:r>
              <w:rPr>
                <w:rFonts w:hint="eastAsia"/>
              </w:rPr>
              <w:t>国家企业信用信息公示系统</w:t>
            </w:r>
          </w:p>
        </w:tc>
        <w:tc>
          <w:tcPr>
            <w:tcW w:w="3495" w:type="dxa"/>
          </w:tcPr>
          <w:p w14:paraId="6C3A63A7">
            <w:pPr>
              <w:pStyle w:val="24"/>
              <w:jc w:val="left"/>
            </w:pPr>
            <w:r>
              <w:rPr>
                <w:rFonts w:hint="eastAsia"/>
              </w:rPr>
              <w:t>是否列入严重违法失信企业名单</w:t>
            </w:r>
          </w:p>
        </w:tc>
        <w:tc>
          <w:tcPr>
            <w:tcW w:w="2219" w:type="dxa"/>
          </w:tcPr>
          <w:p w14:paraId="5D8A9CF9">
            <w:pPr>
              <w:pStyle w:val="24"/>
              <w:jc w:val="left"/>
            </w:pPr>
            <w:r>
              <w:rPr>
                <w:rFonts w:hint="eastAsia"/>
              </w:rPr>
              <w:t>□无记录</w:t>
            </w:r>
            <w:r>
              <w:t xml:space="preserve"> </w:t>
            </w:r>
            <w:r>
              <w:rPr>
                <w:rFonts w:hint="eastAsia"/>
              </w:rPr>
              <w:t>□有记录</w:t>
            </w:r>
          </w:p>
        </w:tc>
        <w:tc>
          <w:tcPr>
            <w:tcW w:w="841" w:type="dxa"/>
          </w:tcPr>
          <w:p w14:paraId="14999F16">
            <w:pPr>
              <w:pStyle w:val="24"/>
            </w:pPr>
          </w:p>
        </w:tc>
      </w:tr>
      <w:tr w14:paraId="11B0D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tcW w:w="2478" w:type="dxa"/>
          </w:tcPr>
          <w:p w14:paraId="3506F94C">
            <w:pPr>
              <w:pStyle w:val="24"/>
              <w:jc w:val="left"/>
            </w:pPr>
            <w:r>
              <w:rPr>
                <w:rFonts w:hint="eastAsia"/>
              </w:rPr>
              <w:t>中国执行信息公开网</w:t>
            </w:r>
          </w:p>
        </w:tc>
        <w:tc>
          <w:tcPr>
            <w:tcW w:w="3495" w:type="dxa"/>
          </w:tcPr>
          <w:p w14:paraId="56CADF82">
            <w:pPr>
              <w:pStyle w:val="24"/>
              <w:jc w:val="left"/>
            </w:pPr>
            <w:r>
              <w:rPr>
                <w:rFonts w:hint="eastAsia"/>
              </w:rPr>
              <w:t>是否列入失信被执行人名单</w:t>
            </w:r>
          </w:p>
        </w:tc>
        <w:tc>
          <w:tcPr>
            <w:tcW w:w="2219" w:type="dxa"/>
          </w:tcPr>
          <w:p w14:paraId="353B435F">
            <w:pPr>
              <w:pStyle w:val="24"/>
              <w:jc w:val="left"/>
            </w:pPr>
            <w:r>
              <w:rPr>
                <w:rFonts w:hint="eastAsia"/>
              </w:rPr>
              <w:t>□无记录</w:t>
            </w:r>
            <w:r>
              <w:t xml:space="preserve"> </w:t>
            </w:r>
            <w:r>
              <w:rPr>
                <w:rFonts w:hint="eastAsia"/>
              </w:rPr>
              <w:t>□有记录</w:t>
            </w:r>
          </w:p>
        </w:tc>
        <w:tc>
          <w:tcPr>
            <w:tcW w:w="841" w:type="dxa"/>
          </w:tcPr>
          <w:p w14:paraId="7675C65B">
            <w:pPr>
              <w:pStyle w:val="24"/>
            </w:pPr>
          </w:p>
        </w:tc>
      </w:tr>
      <w:tr w14:paraId="75A93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tcW w:w="2478" w:type="dxa"/>
          </w:tcPr>
          <w:p w14:paraId="4FA8D38D">
            <w:pPr>
              <w:pStyle w:val="24"/>
              <w:jc w:val="left"/>
            </w:pPr>
            <w:r>
              <w:rPr>
                <w:rFonts w:hint="eastAsia"/>
              </w:rPr>
              <w:t>信用中国网站</w:t>
            </w:r>
          </w:p>
        </w:tc>
        <w:tc>
          <w:tcPr>
            <w:tcW w:w="3495" w:type="dxa"/>
          </w:tcPr>
          <w:p w14:paraId="0DFF2980">
            <w:pPr>
              <w:pStyle w:val="24"/>
              <w:jc w:val="left"/>
            </w:pPr>
            <w:r>
              <w:rPr>
                <w:rFonts w:hint="eastAsia"/>
              </w:rPr>
              <w:t>是否列入经营（活动）异常名录</w:t>
            </w:r>
          </w:p>
        </w:tc>
        <w:tc>
          <w:tcPr>
            <w:tcW w:w="2219" w:type="dxa"/>
          </w:tcPr>
          <w:p w14:paraId="750C1BCD">
            <w:pPr>
              <w:pStyle w:val="24"/>
              <w:jc w:val="left"/>
            </w:pPr>
            <w:r>
              <w:rPr>
                <w:rFonts w:hint="eastAsia"/>
              </w:rPr>
              <w:t>□无记录</w:t>
            </w:r>
            <w:r>
              <w:t xml:space="preserve"> </w:t>
            </w:r>
            <w:r>
              <w:rPr>
                <w:rFonts w:hint="eastAsia"/>
              </w:rPr>
              <w:t>□有记录</w:t>
            </w:r>
          </w:p>
        </w:tc>
        <w:tc>
          <w:tcPr>
            <w:tcW w:w="841" w:type="dxa"/>
          </w:tcPr>
          <w:p w14:paraId="7FF9B968">
            <w:pPr>
              <w:pStyle w:val="24"/>
            </w:pPr>
          </w:p>
        </w:tc>
      </w:tr>
      <w:tr w14:paraId="2C70B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tcW w:w="2478" w:type="dxa"/>
          </w:tcPr>
          <w:p w14:paraId="0FB11553">
            <w:pPr>
              <w:pStyle w:val="24"/>
              <w:jc w:val="left"/>
            </w:pPr>
            <w:r>
              <w:rPr>
                <w:rFonts w:hint="eastAsia"/>
              </w:rPr>
              <w:t>信用中国网站</w:t>
            </w:r>
          </w:p>
        </w:tc>
        <w:tc>
          <w:tcPr>
            <w:tcW w:w="3495" w:type="dxa"/>
          </w:tcPr>
          <w:p w14:paraId="4F64869C">
            <w:pPr>
              <w:pStyle w:val="24"/>
              <w:jc w:val="left"/>
            </w:pPr>
            <w:r>
              <w:rPr>
                <w:rFonts w:hint="eastAsia"/>
              </w:rPr>
              <w:t>是否列入重大税收违法失信主体名单</w:t>
            </w:r>
          </w:p>
        </w:tc>
        <w:tc>
          <w:tcPr>
            <w:tcW w:w="2219" w:type="dxa"/>
          </w:tcPr>
          <w:p w14:paraId="5B1CFD22">
            <w:pPr>
              <w:pStyle w:val="24"/>
              <w:jc w:val="left"/>
            </w:pPr>
            <w:r>
              <w:rPr>
                <w:rFonts w:hint="eastAsia"/>
              </w:rPr>
              <w:t>□无记录</w:t>
            </w:r>
            <w:r>
              <w:t xml:space="preserve"> </w:t>
            </w:r>
            <w:r>
              <w:rPr>
                <w:rFonts w:hint="eastAsia"/>
              </w:rPr>
              <w:t>□有记录</w:t>
            </w:r>
          </w:p>
        </w:tc>
        <w:tc>
          <w:tcPr>
            <w:tcW w:w="841" w:type="dxa"/>
          </w:tcPr>
          <w:p w14:paraId="73FCD4FC">
            <w:pPr>
              <w:pStyle w:val="24"/>
            </w:pPr>
          </w:p>
        </w:tc>
      </w:tr>
      <w:bookmarkEnd w:id="2"/>
    </w:tbl>
    <w:p w14:paraId="240CED86">
      <w:pPr>
        <w:pStyle w:val="6"/>
      </w:pPr>
      <w:bookmarkStart w:id="3" w:name="三履约能力综合判定"/>
      <w:r>
        <w:rPr>
          <w:rFonts w:hint="eastAsia"/>
        </w:rPr>
        <w:t>三、履约能力综合判定</w:t>
      </w:r>
    </w:p>
    <w:tbl>
      <w:tblPr>
        <w:tblStyle w:val="41"/>
        <w:tblW w:w="921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807"/>
        <w:gridCol w:w="6295"/>
        <w:gridCol w:w="1298"/>
        <w:gridCol w:w="813"/>
      </w:tblGrid>
      <w:tr w14:paraId="543E4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blHeader/>
        </w:trPr>
        <w:tc>
          <w:tcPr>
            <w:tcW w:w="807" w:type="dxa"/>
          </w:tcPr>
          <w:p w14:paraId="63D7216D">
            <w:pPr>
              <w:pStyle w:val="24"/>
              <w:jc w:val="left"/>
            </w:pPr>
            <w:r>
              <w:rPr>
                <w:rFonts w:hint="eastAsia"/>
              </w:rPr>
              <w:t>判定项目</w:t>
            </w:r>
          </w:p>
        </w:tc>
        <w:tc>
          <w:tcPr>
            <w:tcW w:w="6295" w:type="dxa"/>
          </w:tcPr>
          <w:p w14:paraId="425C6B72">
            <w:pPr>
              <w:pStyle w:val="24"/>
              <w:jc w:val="center"/>
            </w:pPr>
            <w:r>
              <w:rPr>
                <w:rFonts w:hint="eastAsia"/>
              </w:rPr>
              <w:t>判定内容</w:t>
            </w:r>
          </w:p>
        </w:tc>
        <w:tc>
          <w:tcPr>
            <w:tcW w:w="1298" w:type="dxa"/>
          </w:tcPr>
          <w:p w14:paraId="2F2CDAB3">
            <w:pPr>
              <w:pStyle w:val="24"/>
              <w:jc w:val="left"/>
            </w:pPr>
            <w:r>
              <w:rPr>
                <w:rFonts w:hint="eastAsia"/>
              </w:rPr>
              <w:t>判定结果</w:t>
            </w:r>
          </w:p>
        </w:tc>
        <w:tc>
          <w:tcPr>
            <w:tcW w:w="813" w:type="dxa"/>
          </w:tcPr>
          <w:p w14:paraId="3515D00C">
            <w:pPr>
              <w:pStyle w:val="24"/>
              <w:jc w:val="left"/>
            </w:pPr>
            <w:r>
              <w:rPr>
                <w:rFonts w:hint="eastAsia"/>
              </w:rPr>
              <w:t>备注</w:t>
            </w:r>
          </w:p>
        </w:tc>
      </w:tr>
      <w:tr w14:paraId="01C34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tcW w:w="807" w:type="dxa"/>
          </w:tcPr>
          <w:p w14:paraId="1041DBD3">
            <w:pPr>
              <w:pStyle w:val="24"/>
              <w:jc w:val="left"/>
            </w:pPr>
            <w:r>
              <w:rPr>
                <w:rFonts w:hint="eastAsia"/>
              </w:rPr>
              <w:t>履约能力</w:t>
            </w:r>
          </w:p>
        </w:tc>
        <w:tc>
          <w:tcPr>
            <w:tcW w:w="6295" w:type="dxa"/>
          </w:tcPr>
          <w:p w14:paraId="0A0DD5FE">
            <w:pPr>
              <w:pStyle w:val="24"/>
              <w:jc w:val="left"/>
            </w:pPr>
            <w:r>
              <w:rPr>
                <w:rFonts w:hint="eastAsia"/>
              </w:rPr>
              <w:t>是否存在被责令停产停业、暂扣或吊销执照/许可证/资质证书、进入清算程序、被宣告破产等丧失履约能力的情形</w:t>
            </w:r>
          </w:p>
        </w:tc>
        <w:tc>
          <w:tcPr>
            <w:tcW w:w="1298" w:type="dxa"/>
          </w:tcPr>
          <w:p w14:paraId="1429F51C">
            <w:pPr>
              <w:pStyle w:val="24"/>
              <w:jc w:val="left"/>
            </w:pPr>
            <w:r>
              <w:rPr>
                <w:rFonts w:hint="eastAsia"/>
              </w:rPr>
              <w:t>□具备</w:t>
            </w:r>
            <w:r>
              <w:t xml:space="preserve"> </w:t>
            </w:r>
            <w:r>
              <w:rPr>
                <w:rFonts w:hint="eastAsia"/>
              </w:rPr>
              <w:t>□不具备</w:t>
            </w:r>
          </w:p>
        </w:tc>
        <w:tc>
          <w:tcPr>
            <w:tcW w:w="813" w:type="dxa"/>
          </w:tcPr>
          <w:p w14:paraId="4F572E63">
            <w:pPr>
              <w:pStyle w:val="24"/>
            </w:pPr>
          </w:p>
        </w:tc>
      </w:tr>
      <w:tr w14:paraId="4CE5B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tcW w:w="807" w:type="dxa"/>
          </w:tcPr>
          <w:p w14:paraId="137339A7">
            <w:pPr>
              <w:pStyle w:val="24"/>
              <w:jc w:val="left"/>
            </w:pPr>
            <w:r>
              <w:rPr>
                <w:rFonts w:hint="eastAsia"/>
              </w:rPr>
              <w:t>综合结论</w:t>
            </w:r>
          </w:p>
        </w:tc>
        <w:tc>
          <w:tcPr>
            <w:tcW w:w="6295" w:type="dxa"/>
          </w:tcPr>
          <w:p w14:paraId="3510610D">
            <w:pPr>
              <w:pStyle w:val="24"/>
              <w:jc w:val="left"/>
            </w:pPr>
            <w:r>
              <w:rPr>
                <w:rFonts w:hint="eastAsia"/>
              </w:rPr>
              <w:t>本次现场核查结果</w:t>
            </w:r>
          </w:p>
        </w:tc>
        <w:tc>
          <w:tcPr>
            <w:tcW w:w="1298" w:type="dxa"/>
          </w:tcPr>
          <w:p w14:paraId="19881010">
            <w:pPr>
              <w:pStyle w:val="24"/>
              <w:jc w:val="left"/>
            </w:pPr>
            <w:r>
              <w:rPr>
                <w:rFonts w:hint="eastAsia"/>
              </w:rPr>
              <w:t>□通过</w:t>
            </w:r>
            <w:r>
              <w:t xml:space="preserve"> </w:t>
            </w:r>
            <w:r>
              <w:rPr>
                <w:rFonts w:hint="eastAsia"/>
              </w:rPr>
              <w:t>□不通过</w:t>
            </w:r>
          </w:p>
        </w:tc>
        <w:tc>
          <w:tcPr>
            <w:tcW w:w="813" w:type="dxa"/>
          </w:tcPr>
          <w:p w14:paraId="03C744A3">
            <w:pPr>
              <w:pStyle w:val="24"/>
            </w:pPr>
          </w:p>
        </w:tc>
      </w:tr>
      <w:bookmarkEnd w:id="3"/>
    </w:tbl>
    <w:p w14:paraId="53F8871B">
      <w:pPr>
        <w:pStyle w:val="6"/>
      </w:pPr>
      <w:bookmarkStart w:id="4" w:name="四签字确认"/>
      <w:r>
        <w:rPr>
          <w:rFonts w:hint="eastAsia"/>
        </w:rPr>
        <w:t>四、签字确认</w:t>
      </w:r>
    </w:p>
    <w:p w14:paraId="0C817F07">
      <w:pPr>
        <w:pStyle w:val="23"/>
      </w:pPr>
      <w:r>
        <w:rPr>
          <w:rFonts w:hint="eastAsia"/>
        </w:rPr>
        <w:t>供应商（盖章）：_____________</w:t>
      </w:r>
      <w:r>
        <w:br w:type="textWrapping"/>
      </w:r>
      <w:r>
        <w:rPr>
          <w:rFonts w:hint="eastAsia"/>
        </w:rPr>
        <w:t>法定代表人/被授权人（签字）：_____________</w:t>
      </w:r>
      <w:r>
        <w:br w:type="textWrapping"/>
      </w:r>
      <w:r>
        <w:rPr>
          <w:rFonts w:hint="eastAsia"/>
        </w:rPr>
        <w:t>日期：2026年____月____日</w:t>
      </w:r>
    </w:p>
    <w:p w14:paraId="73303E57">
      <w:pPr>
        <w:pStyle w:val="3"/>
      </w:pPr>
      <w:r>
        <w:rPr>
          <w:rFonts w:hint="eastAsia"/>
        </w:rPr>
        <w:t>核查单位（盖章）：_____________</w:t>
      </w:r>
      <w:r>
        <w:br w:type="textWrapping"/>
      </w:r>
      <w:r>
        <w:rPr>
          <w:rFonts w:hint="eastAsia"/>
        </w:rPr>
        <w:t>核查人（签字）：_____________</w:t>
      </w:r>
      <w:r>
        <w:br w:type="textWrapping"/>
      </w:r>
      <w:r>
        <w:rPr>
          <w:rFonts w:hint="eastAsia"/>
        </w:rPr>
        <w:t>日期：2026年____月____日</w:t>
      </w:r>
    </w:p>
    <w:bookmarkEnd w:id="0"/>
    <w:bookmarkEnd w:id="4"/>
    <w:p w14:paraId="1B04AC79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2C7B7095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257D2F5F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7E1C4DE3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6A0C27EC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29046CE1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2307761E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0E9D6A22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2B8605B4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41FA4BFC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12F0C169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18462D44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54BB3F84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6C2F3856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7AF3D99F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78BA1B82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07C72BC7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52735BDD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3ABAD7A0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4D249399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7C9F0F90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50EBFF93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 w14:paraId="35D5C027">
      <w:pPr>
        <w:pStyle w:val="5"/>
        <w:rPr>
          <w:rFonts w:hint="default" w:eastAsiaTheme="majorEastAsia"/>
          <w:lang w:val="en-US"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自动放弃入围资格的函</w:t>
      </w:r>
    </w:p>
    <w:p w14:paraId="006232C5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5C396F04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自愿放弃入围资格的函</w:t>
      </w:r>
    </w:p>
    <w:p w14:paraId="48BD6583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05F4B9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青海省交控建设工程集团有限公司：</w:t>
      </w:r>
    </w:p>
    <w:p w14:paraId="73989E28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从XXXX网上看到贵公司《关于对劳务服务单位入围供应商开展履约资格现场核查的通知》，我公司决定，自愿放弃入围资格，不再参与贵公司的现场核查。</w:t>
      </w:r>
    </w:p>
    <w:p w14:paraId="3E90D565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87E74DA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D0017CB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4DFC4D4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XXXX公司</w:t>
      </w:r>
    </w:p>
    <w:p w14:paraId="3CC6FB3C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40" w:firstLineChars="17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 月</w:t>
      </w:r>
      <w:bookmarkStart w:id="5" w:name="_GoBack"/>
      <w:bookmarkEnd w:id="5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日</w:t>
      </w:r>
    </w:p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F3D49"/>
    <w:rsid w:val="25E40380"/>
    <w:rsid w:val="39EB3189"/>
    <w:rsid w:val="4510761C"/>
    <w:rsid w:val="504C5953"/>
    <w:rsid w:val="6CC626AC"/>
    <w:rsid w:val="736762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paragraph" w:styleId="4">
    <w:name w:val="heading 2"/>
    <w:basedOn w:val="1"/>
    <w:next w:val="3"/>
    <w:link w:val="32"/>
    <w:unhideWhenUsed/>
    <w:qFormat/>
    <w:uiPriority w:val="9"/>
    <w:pPr>
      <w:keepNext/>
      <w:keepLines/>
      <w:spacing w:before="240" w:after="80"/>
      <w:outlineLvl w:val="1"/>
    </w:pPr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paragraph" w:styleId="5">
    <w:name w:val="heading 3"/>
    <w:basedOn w:val="1"/>
    <w:next w:val="1"/>
    <w:link w:val="33"/>
    <w:unhideWhenUsed/>
    <w:qFormat/>
    <w:uiPriority w:val="9"/>
    <w:pPr>
      <w:keepNext/>
      <w:keepLines/>
      <w:spacing w:before="200" w:after="80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6">
    <w:name w:val="heading 4"/>
    <w:basedOn w:val="1"/>
    <w:next w:val="3"/>
    <w:link w:val="34"/>
    <w:unhideWhenUsed/>
    <w:qFormat/>
    <w:uiPriority w:val="9"/>
    <w:pPr>
      <w:keepNext/>
      <w:keepLines/>
      <w:spacing w:before="160" w:after="60"/>
      <w:outlineLvl w:val="3"/>
    </w:pPr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paragraph" w:styleId="7">
    <w:name w:val="heading 5"/>
    <w:basedOn w:val="1"/>
    <w:next w:val="3"/>
    <w:link w:val="35"/>
    <w:unhideWhenUsed/>
    <w:qFormat/>
    <w:uiPriority w:val="9"/>
    <w:pPr>
      <w:keepNext/>
      <w:keepLines/>
      <w:spacing w:before="160" w:after="60"/>
      <w:outlineLvl w:val="4"/>
    </w:pPr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paragraph" w:styleId="8">
    <w:name w:val="heading 6"/>
    <w:basedOn w:val="1"/>
    <w:next w:val="3"/>
    <w:link w:val="36"/>
    <w:unhideWhenUsed/>
    <w:qFormat/>
    <w:uiPriority w:val="9"/>
    <w:pPr>
      <w:keepNext/>
      <w:keepLines/>
      <w:spacing w:before="120" w:after="40"/>
      <w:outlineLvl w:val="5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9">
    <w:name w:val="heading 7"/>
    <w:basedOn w:val="1"/>
    <w:next w:val="3"/>
    <w:link w:val="37"/>
    <w:unhideWhenUsed/>
    <w:qFormat/>
    <w:uiPriority w:val="9"/>
    <w:pPr>
      <w:keepNext/>
      <w:keepLines/>
      <w:spacing w:before="120" w:after="40"/>
      <w:outlineLvl w:val="6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0">
    <w:name w:val="heading 8"/>
    <w:basedOn w:val="1"/>
    <w:next w:val="3"/>
    <w:link w:val="38"/>
    <w:unhideWhenUsed/>
    <w:qFormat/>
    <w:uiPriority w:val="9"/>
    <w:pPr>
      <w:keepNext/>
      <w:keepLines/>
      <w:spacing w:before="120" w:after="40"/>
      <w:outlineLvl w:val="7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1">
    <w:name w:val="heading 9"/>
    <w:basedOn w:val="1"/>
    <w:next w:val="3"/>
    <w:link w:val="39"/>
    <w:unhideWhenUsed/>
    <w:qFormat/>
    <w:uiPriority w:val="9"/>
    <w:pPr>
      <w:keepNext/>
      <w:keepLines/>
      <w:spacing w:before="120" w:after="40"/>
      <w:outlineLvl w:val="8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0" w:after="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pBdr>
        <w:left w:val="single" w:color="CCCCCC" w:sz="18" w:space="12"/>
      </w:pBdr>
      <w:spacing w:before="100" w:after="100"/>
      <w:ind w:left="480" w:right="480" w:firstLine="0"/>
    </w:pPr>
    <w:rPr>
      <w:color w:val="999999"/>
    </w:r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0" w:after="0"/>
    </w:pPr>
  </w:style>
  <w:style w:type="character" w:customStyle="1" w:styleId="25">
    <w:name w:val="Title Char"/>
    <w:basedOn w:val="19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character" w:customStyle="1" w:styleId="32">
    <w:name w:val="Heading 2 Char"/>
    <w:basedOn w:val="19"/>
    <w:link w:val="4"/>
    <w:qFormat/>
    <w:uiPriority w:val="9"/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character" w:customStyle="1" w:styleId="33">
    <w:name w:val="Heading 3 Char"/>
    <w:basedOn w:val="19"/>
    <w:link w:val="5"/>
    <w:qFormat/>
    <w:uiPriority w:val="9"/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character" w:customStyle="1" w:styleId="34">
    <w:name w:val="Heading 4 Char"/>
    <w:basedOn w:val="19"/>
    <w:link w:val="6"/>
    <w:qFormat/>
    <w:uiPriority w:val="9"/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character" w:customStyle="1" w:styleId="35">
    <w:name w:val="Heading 5 Char"/>
    <w:basedOn w:val="19"/>
    <w:link w:val="7"/>
    <w:qFormat/>
    <w:uiPriority w:val="9"/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character" w:customStyle="1" w:styleId="36">
    <w:name w:val="Heading 6 Char"/>
    <w:basedOn w:val="19"/>
    <w:link w:val="8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7">
    <w:name w:val="Heading 7 Char"/>
    <w:basedOn w:val="19"/>
    <w:link w:val="9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8">
    <w:name w:val="Heading 8 Char"/>
    <w:basedOn w:val="19"/>
    <w:link w:val="10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9">
    <w:name w:val="Heading 9 Char"/>
    <w:basedOn w:val="19"/>
    <w:link w:val="11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unhideWhenUsed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55" w:type="dxa"/>
        <w:left w:w="108" w:type="dxa"/>
        <w:bottom w:w="55" w:type="dxa"/>
        <w:right w:w="108" w:type="dxa"/>
      </w:tblCellMar>
    </w:tblPr>
    <w:tblStylePr w:type="firstRow">
      <w:rPr>
        <w:b/>
        <w:bCs/>
      </w:rPr>
      <w:tcPr>
        <w:tcBorders>
          <w:bottom w:val="single" w:color="000000" w:sz="8" w:space="0"/>
        </w:tcBorders>
        <w:vAlign w:val="bottom"/>
      </w:tcPr>
    </w:tblStylePr>
  </w:style>
  <w:style w:type="table" w:customStyle="1" w:styleId="42">
    <w:name w:val="LayoutTable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Definition Term"/>
    <w:basedOn w:val="1"/>
    <w:next w:val="44"/>
    <w:qFormat/>
    <w:uiPriority w:val="0"/>
    <w:pPr>
      <w:keepNext/>
      <w:keepLines/>
      <w:spacing w:after="0"/>
    </w:pPr>
    <w:rPr>
      <w:b/>
    </w:rPr>
  </w:style>
  <w:style w:type="paragraph" w:customStyle="1" w:styleId="44">
    <w:name w:val="Definition"/>
    <w:basedOn w:val="1"/>
    <w:qFormat/>
    <w:uiPriority w:val="0"/>
  </w:style>
  <w:style w:type="paragraph" w:customStyle="1" w:styleId="45">
    <w:name w:val="Table Caption"/>
    <w:basedOn w:val="12"/>
    <w:qFormat/>
    <w:uiPriority w:val="0"/>
    <w:pPr>
      <w:keepNext/>
    </w:pPr>
  </w:style>
  <w:style w:type="paragraph" w:customStyle="1" w:styleId="46">
    <w:name w:val="Image Caption"/>
    <w:basedOn w:val="12"/>
    <w:qFormat/>
    <w:uiPriority w:val="0"/>
  </w:style>
  <w:style w:type="paragraph" w:customStyle="1" w:styleId="47">
    <w:name w:val="Figure"/>
    <w:basedOn w:val="1"/>
    <w:qFormat/>
    <w:uiPriority w:val="0"/>
  </w:style>
  <w:style w:type="paragraph" w:customStyle="1" w:styleId="48">
    <w:name w:val="Captioned Figure"/>
    <w:basedOn w:val="47"/>
    <w:qFormat/>
    <w:uiPriority w:val="0"/>
    <w:pPr>
      <w:keepNext/>
    </w:pPr>
  </w:style>
  <w:style w:type="paragraph" w:customStyle="1" w:styleId="49">
    <w:name w:val="Source Code"/>
    <w:basedOn w:val="1"/>
    <w:qFormat/>
    <w:uiPriority w:val="9"/>
    <w:pPr>
      <w:shd w:val="clear" w:color="auto" w:fill="F0F0F0"/>
      <w:spacing w:before="100" w:after="100"/>
      <w:ind w:left="240" w:right="240"/>
    </w:pPr>
    <w:rPr>
      <w:rFonts w:ascii="Consolas" w:hAnsi="Consolas"/>
      <w:color w:val="333333"/>
      <w:sz w:val="22"/>
    </w:rPr>
  </w:style>
  <w:style w:type="character" w:customStyle="1" w:styleId="50">
    <w:name w:val="Verbatim Char"/>
    <w:basedOn w:val="21"/>
    <w:qFormat/>
    <w:uiPriority w:val="0"/>
    <w:rPr>
      <w:rFonts w:ascii="Consolas" w:hAnsi="Consolas"/>
      <w:color w:val="333333"/>
      <w:sz w:val="22"/>
      <w:shd w:val="clear" w:color="auto" w:fill="F0F0F0"/>
    </w:rPr>
  </w:style>
  <w:style w:type="character" w:customStyle="1" w:styleId="51">
    <w:name w:val="Section Number"/>
    <w:basedOn w:val="21"/>
    <w:qFormat/>
    <w:uiPriority w:val="0"/>
  </w:style>
  <w:style w:type="paragraph" w:customStyle="1" w:styleId="52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104862" w:themeColor="accent1" w:themeShade="BF"/>
    </w:rPr>
  </w:style>
  <w:style w:type="character" w:customStyle="1" w:styleId="53">
    <w:name w:val="KeywordTok"/>
    <w:basedOn w:val="50"/>
    <w:qFormat/>
    <w:uiPriority w:val="0"/>
    <w:rPr>
      <w:b/>
      <w:color w:val="007020"/>
    </w:rPr>
  </w:style>
  <w:style w:type="character" w:customStyle="1" w:styleId="54">
    <w:name w:val="DataTypeTok"/>
    <w:basedOn w:val="50"/>
    <w:qFormat/>
    <w:uiPriority w:val="0"/>
    <w:rPr>
      <w:color w:val="902000"/>
    </w:rPr>
  </w:style>
  <w:style w:type="character" w:customStyle="1" w:styleId="55">
    <w:name w:val="DecValTok"/>
    <w:basedOn w:val="50"/>
    <w:qFormat/>
    <w:uiPriority w:val="0"/>
    <w:rPr>
      <w:color w:val="40A070"/>
    </w:rPr>
  </w:style>
  <w:style w:type="character" w:customStyle="1" w:styleId="56">
    <w:name w:val="BaseNTok"/>
    <w:basedOn w:val="50"/>
    <w:qFormat/>
    <w:uiPriority w:val="0"/>
    <w:rPr>
      <w:color w:val="40A070"/>
    </w:rPr>
  </w:style>
  <w:style w:type="character" w:customStyle="1" w:styleId="57">
    <w:name w:val="FloatTok"/>
    <w:basedOn w:val="50"/>
    <w:qFormat/>
    <w:uiPriority w:val="0"/>
    <w:rPr>
      <w:color w:val="40A070"/>
    </w:rPr>
  </w:style>
  <w:style w:type="character" w:customStyle="1" w:styleId="58">
    <w:name w:val="ConstantTok"/>
    <w:basedOn w:val="50"/>
    <w:qFormat/>
    <w:uiPriority w:val="0"/>
    <w:rPr>
      <w:color w:val="880000"/>
    </w:rPr>
  </w:style>
  <w:style w:type="character" w:customStyle="1" w:styleId="59">
    <w:name w:val="CharTok"/>
    <w:basedOn w:val="50"/>
    <w:qFormat/>
    <w:uiPriority w:val="0"/>
    <w:rPr>
      <w:color w:val="4070A0"/>
    </w:rPr>
  </w:style>
  <w:style w:type="character" w:customStyle="1" w:styleId="60">
    <w:name w:val="SpecialCharTok"/>
    <w:basedOn w:val="50"/>
    <w:qFormat/>
    <w:uiPriority w:val="0"/>
    <w:rPr>
      <w:color w:val="4070A0"/>
    </w:rPr>
  </w:style>
  <w:style w:type="character" w:customStyle="1" w:styleId="61">
    <w:name w:val="StringTok"/>
    <w:basedOn w:val="50"/>
    <w:qFormat/>
    <w:uiPriority w:val="0"/>
    <w:rPr>
      <w:color w:val="4070A0"/>
    </w:rPr>
  </w:style>
  <w:style w:type="character" w:customStyle="1" w:styleId="62">
    <w:name w:val="VerbatimStringTok"/>
    <w:basedOn w:val="50"/>
    <w:qFormat/>
    <w:uiPriority w:val="0"/>
    <w:rPr>
      <w:color w:val="4070A0"/>
    </w:rPr>
  </w:style>
  <w:style w:type="character" w:customStyle="1" w:styleId="63">
    <w:name w:val="SpecialStringTok"/>
    <w:basedOn w:val="50"/>
    <w:qFormat/>
    <w:uiPriority w:val="0"/>
    <w:rPr>
      <w:color w:val="BB6688"/>
    </w:rPr>
  </w:style>
  <w:style w:type="character" w:customStyle="1" w:styleId="64">
    <w:name w:val="ImportTok"/>
    <w:basedOn w:val="50"/>
    <w:qFormat/>
    <w:uiPriority w:val="0"/>
    <w:rPr>
      <w:b/>
      <w:color w:val="008000"/>
    </w:rPr>
  </w:style>
  <w:style w:type="character" w:customStyle="1" w:styleId="65">
    <w:name w:val="CommentTok"/>
    <w:basedOn w:val="50"/>
    <w:qFormat/>
    <w:uiPriority w:val="0"/>
    <w:rPr>
      <w:i/>
      <w:color w:val="60A0B0"/>
    </w:rPr>
  </w:style>
  <w:style w:type="character" w:customStyle="1" w:styleId="66">
    <w:name w:val="DocumentationTok"/>
    <w:basedOn w:val="50"/>
    <w:qFormat/>
    <w:uiPriority w:val="0"/>
    <w:rPr>
      <w:i/>
      <w:color w:val="BA2121"/>
    </w:rPr>
  </w:style>
  <w:style w:type="character" w:customStyle="1" w:styleId="67">
    <w:name w:val="AnnotationTok"/>
    <w:basedOn w:val="50"/>
    <w:qFormat/>
    <w:uiPriority w:val="0"/>
    <w:rPr>
      <w:b/>
      <w:i/>
      <w:color w:val="60A0B0"/>
    </w:rPr>
  </w:style>
  <w:style w:type="character" w:customStyle="1" w:styleId="68">
    <w:name w:val="CommentVarTok"/>
    <w:basedOn w:val="50"/>
    <w:qFormat/>
    <w:uiPriority w:val="0"/>
    <w:rPr>
      <w:b/>
      <w:i/>
      <w:color w:val="60A0B0"/>
    </w:rPr>
  </w:style>
  <w:style w:type="character" w:customStyle="1" w:styleId="69">
    <w:name w:val="OtherTok"/>
    <w:basedOn w:val="50"/>
    <w:qFormat/>
    <w:uiPriority w:val="0"/>
    <w:rPr>
      <w:color w:val="007020"/>
    </w:rPr>
  </w:style>
  <w:style w:type="character" w:customStyle="1" w:styleId="70">
    <w:name w:val="FunctionTok"/>
    <w:basedOn w:val="50"/>
    <w:qFormat/>
    <w:uiPriority w:val="0"/>
    <w:rPr>
      <w:color w:val="06287E"/>
    </w:rPr>
  </w:style>
  <w:style w:type="character" w:customStyle="1" w:styleId="71">
    <w:name w:val="VariableTok"/>
    <w:basedOn w:val="50"/>
    <w:qFormat/>
    <w:uiPriority w:val="0"/>
    <w:rPr>
      <w:color w:val="19177C"/>
    </w:rPr>
  </w:style>
  <w:style w:type="character" w:customStyle="1" w:styleId="72">
    <w:name w:val="ControlFlowTok"/>
    <w:basedOn w:val="50"/>
    <w:qFormat/>
    <w:uiPriority w:val="0"/>
    <w:rPr>
      <w:b/>
      <w:color w:val="007020"/>
    </w:rPr>
  </w:style>
  <w:style w:type="character" w:customStyle="1" w:styleId="73">
    <w:name w:val="OperatorTok"/>
    <w:basedOn w:val="50"/>
    <w:qFormat/>
    <w:uiPriority w:val="0"/>
    <w:rPr>
      <w:color w:val="666666"/>
    </w:rPr>
  </w:style>
  <w:style w:type="character" w:customStyle="1" w:styleId="74">
    <w:name w:val="BuiltInTok"/>
    <w:basedOn w:val="50"/>
    <w:qFormat/>
    <w:uiPriority w:val="0"/>
    <w:rPr>
      <w:color w:val="008000"/>
    </w:rPr>
  </w:style>
  <w:style w:type="character" w:customStyle="1" w:styleId="75">
    <w:name w:val="ExtensionTok"/>
    <w:basedOn w:val="50"/>
    <w:qFormat/>
    <w:uiPriority w:val="0"/>
  </w:style>
  <w:style w:type="character" w:customStyle="1" w:styleId="76">
    <w:name w:val="PreprocessorTok"/>
    <w:basedOn w:val="50"/>
    <w:qFormat/>
    <w:uiPriority w:val="0"/>
    <w:rPr>
      <w:color w:val="BC7A00"/>
    </w:rPr>
  </w:style>
  <w:style w:type="character" w:customStyle="1" w:styleId="77">
    <w:name w:val="AttributeTok"/>
    <w:basedOn w:val="50"/>
    <w:qFormat/>
    <w:uiPriority w:val="0"/>
    <w:rPr>
      <w:color w:val="7D9029"/>
    </w:rPr>
  </w:style>
  <w:style w:type="character" w:customStyle="1" w:styleId="78">
    <w:name w:val="RegionMarkerTok"/>
    <w:basedOn w:val="50"/>
    <w:qFormat/>
    <w:uiPriority w:val="0"/>
  </w:style>
  <w:style w:type="character" w:customStyle="1" w:styleId="79">
    <w:name w:val="InformationTok"/>
    <w:basedOn w:val="50"/>
    <w:qFormat/>
    <w:uiPriority w:val="0"/>
    <w:rPr>
      <w:b/>
      <w:i/>
      <w:color w:val="60A0B0"/>
    </w:rPr>
  </w:style>
  <w:style w:type="character" w:customStyle="1" w:styleId="80">
    <w:name w:val="WarningTok"/>
    <w:basedOn w:val="50"/>
    <w:qFormat/>
    <w:uiPriority w:val="0"/>
    <w:rPr>
      <w:b/>
      <w:i/>
      <w:color w:val="60A0B0"/>
    </w:rPr>
  </w:style>
  <w:style w:type="character" w:customStyle="1" w:styleId="81">
    <w:name w:val="AlertTok"/>
    <w:basedOn w:val="50"/>
    <w:qFormat/>
    <w:uiPriority w:val="0"/>
    <w:rPr>
      <w:b/>
      <w:color w:val="FF0000"/>
    </w:rPr>
  </w:style>
  <w:style w:type="character" w:customStyle="1" w:styleId="82">
    <w:name w:val="ErrorTok"/>
    <w:basedOn w:val="50"/>
    <w:qFormat/>
    <w:uiPriority w:val="0"/>
    <w:rPr>
      <w:b/>
      <w:color w:val="FF0000"/>
    </w:rPr>
  </w:style>
  <w:style w:type="character" w:customStyle="1" w:styleId="83">
    <w:name w:val="NormalTok"/>
    <w:basedOn w:val="5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633</Words>
  <Characters>717</Characters>
  <Lines>12</Lines>
  <Paragraphs>8</Paragraphs>
  <TotalTime>2</TotalTime>
  <ScaleCrop>false</ScaleCrop>
  <LinksUpToDate>false</LinksUpToDate>
  <CharactersWithSpaces>729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2026-07-30T08:02:00Z</dcterms:created>
  <dc:creator>Lenovo</dc:creator>
  <cp:lastModifiedBy>李成龙</cp:lastModifiedBy>
  <cp:lastPrinted>2026-08-18T08:38:44Z</cp:lastPrinted>
  <dcterms:modified xsi:type="dcterms:W3CDTF">2026-08-18T08:38:50Z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bL09xMxU0ASsDKrb4aSfEuzTi1dZB5/rYtcuFz8UVN0=","ProduceID":"doc_sgs:a4574c4d-c715-48ba-8ae5-06ed63e87c0f","ReservedCode2":"bL09xMxU0ASsDKrb4aSfEuzTi1dZB5/rYtcuFz8UVN0=","PropagateID":"doc_sgs:a4574c4d-c715-48ba-8ae5-06ed63e87c0f","ContentProducer":"001191440101MA9Y9T4H7A00000"}</vt:lpwstr>
  </property>
  <property fmtid="{D5CDD505-2E9C-101B-9397-08002B2CF9AE}" pid="3" name="KSOTemplateDocerSaveRecord">
    <vt:lpwstr>eyJoZGlkIjoiMmFkMDZhZjM0MGQwNDBlYWI0NjFkOTliN2VkNjU0MGYiLCJ1c2VySWQiOiIxODI0ODkwODU3In0=</vt:lpwstr>
  </property>
  <property fmtid="{D5CDD505-2E9C-101B-9397-08002B2CF9AE}" pid="4" name="KSOProductBuildVer">
    <vt:lpwstr>2052-12.1.0.26375</vt:lpwstr>
  </property>
  <property fmtid="{D5CDD505-2E9C-101B-9397-08002B2CF9AE}" pid="5" name="ICV">
    <vt:lpwstr>314047F33F1A4AD68B99363D99C200D5_13</vt:lpwstr>
  </property>
</Properties>
</file>