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4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40"/>
          <w:szCs w:val="40"/>
          <w:u w:val="single"/>
          <w:lang w:eastAsia="zh-CN"/>
        </w:rPr>
      </w:pPr>
    </w:p>
    <w:p w14:paraId="491B3E6B">
      <w:pPr>
        <w:pStyle w:val="4"/>
        <w:pageBreakBefore w:val="0"/>
        <w:kinsoku/>
        <w:wordWrap/>
        <w:overflowPunct/>
        <w:topLinePunct w:val="0"/>
        <w:autoSpaceDE/>
        <w:autoSpaceDN/>
        <w:bidi w:val="0"/>
        <w:adjustRightInd/>
        <w:snapToGrid/>
        <w:spacing w:line="480" w:lineRule="auto"/>
        <w:jc w:val="center"/>
        <w:textAlignment w:val="auto"/>
        <w:outlineLvl w:val="9"/>
        <w:rPr>
          <w:rFonts w:hint="eastAsia" w:ascii="宋体" w:hAnsi="宋体" w:cs="宋体"/>
          <w:b/>
          <w:bCs/>
          <w:color w:val="auto"/>
          <w:sz w:val="44"/>
          <w:szCs w:val="44"/>
          <w:u w:val="none"/>
          <w:lang w:eastAsia="zh-CN"/>
        </w:rPr>
      </w:pPr>
      <w:r>
        <w:rPr>
          <w:rFonts w:hint="eastAsia" w:ascii="宋体" w:hAnsi="宋体" w:cs="宋体"/>
          <w:b/>
          <w:bCs/>
          <w:color w:val="auto"/>
          <w:sz w:val="44"/>
          <w:szCs w:val="44"/>
          <w:u w:val="none"/>
          <w:lang w:eastAsia="zh-CN"/>
        </w:rPr>
        <w:t>青海民族大学修业楼2-5楼北面教室改造项目</w:t>
      </w:r>
    </w:p>
    <w:p w14:paraId="4A9D5AD0">
      <w:pPr>
        <w:pStyle w:val="4"/>
        <w:pageBreakBefore w:val="0"/>
        <w:kinsoku/>
        <w:wordWrap/>
        <w:overflowPunct/>
        <w:topLinePunct w:val="0"/>
        <w:autoSpaceDE/>
        <w:autoSpaceDN/>
        <w:bidi w:val="0"/>
        <w:adjustRightInd/>
        <w:snapToGrid/>
        <w:spacing w:line="480" w:lineRule="auto"/>
        <w:jc w:val="center"/>
        <w:textAlignment w:val="auto"/>
        <w:outlineLvl w:val="9"/>
        <w:rPr>
          <w:rFonts w:hint="eastAsia" w:ascii="宋体" w:hAnsi="宋体" w:cs="宋体"/>
          <w:b/>
          <w:bCs/>
          <w:color w:val="auto"/>
          <w:sz w:val="44"/>
          <w:szCs w:val="44"/>
          <w:u w:val="none"/>
          <w:lang w:eastAsia="zh-CN"/>
        </w:rPr>
      </w:pPr>
    </w:p>
    <w:p w14:paraId="524B05BA">
      <w:pPr>
        <w:pStyle w:val="4"/>
        <w:pageBreakBefore w:val="0"/>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z w:val="44"/>
          <w:szCs w:val="44"/>
          <w:u w:val="none"/>
        </w:rPr>
      </w:pPr>
      <w:r>
        <w:rPr>
          <w:rFonts w:hint="eastAsia" w:ascii="宋体" w:hAnsi="宋体" w:eastAsia="宋体" w:cs="宋体"/>
          <w:b/>
          <w:bCs/>
          <w:color w:val="auto"/>
          <w:sz w:val="44"/>
          <w:szCs w:val="44"/>
          <w:u w:val="none"/>
        </w:rPr>
        <w:t>询比采购文件</w:t>
      </w:r>
    </w:p>
    <w:p w14:paraId="745A151B">
      <w:pPr>
        <w:pStyle w:val="19"/>
        <w:keepNext w:val="0"/>
        <w:keepLines w:val="0"/>
        <w:pageBreakBefore w:val="0"/>
        <w:widowControl/>
        <w:kinsoku/>
        <w:wordWrap/>
        <w:overflowPunct/>
        <w:topLinePunct w:val="0"/>
        <w:autoSpaceDE/>
        <w:autoSpaceDN/>
        <w:bidi w:val="0"/>
        <w:adjustRightInd/>
        <w:snapToGrid/>
        <w:spacing w:beforeAutospacing="0" w:afterAutospacing="0" w:line="480" w:lineRule="auto"/>
        <w:ind w:firstLine="1920" w:firstLineChars="600"/>
        <w:jc w:val="both"/>
        <w:textAlignment w:val="auto"/>
        <w:rPr>
          <w:rFonts w:hint="eastAsia" w:ascii="宋体" w:hAnsi="宋体" w:eastAsia="宋体" w:cs="宋体"/>
          <w:color w:val="auto"/>
          <w:sz w:val="32"/>
          <w:szCs w:val="32"/>
        </w:rPr>
      </w:pPr>
    </w:p>
    <w:p w14:paraId="68CC221A">
      <w:pPr>
        <w:pStyle w:val="19"/>
        <w:keepNext w:val="0"/>
        <w:keepLines w:val="0"/>
        <w:pageBreakBefore w:val="0"/>
        <w:widowControl/>
        <w:kinsoku/>
        <w:wordWrap/>
        <w:overflowPunct/>
        <w:topLinePunct w:val="0"/>
        <w:autoSpaceDE/>
        <w:autoSpaceDN/>
        <w:bidi w:val="0"/>
        <w:adjustRightInd/>
        <w:snapToGrid/>
        <w:spacing w:beforeAutospacing="0" w:afterAutospacing="0" w:line="480" w:lineRule="auto"/>
        <w:jc w:val="center"/>
        <w:textAlignment w:val="auto"/>
        <w:rPr>
          <w:rFonts w:hint="eastAsia" w:ascii="宋体" w:hAnsi="宋体" w:eastAsia="宋体" w:cs="宋体"/>
          <w:color w:val="auto"/>
          <w:sz w:val="32"/>
          <w:szCs w:val="32"/>
        </w:rPr>
      </w:pPr>
    </w:p>
    <w:p w14:paraId="1AB524F6">
      <w:pPr>
        <w:pStyle w:val="19"/>
        <w:keepNext w:val="0"/>
        <w:keepLines w:val="0"/>
        <w:pageBreakBefore w:val="0"/>
        <w:widowControl/>
        <w:kinsoku/>
        <w:wordWrap/>
        <w:overflowPunct/>
        <w:topLinePunct w:val="0"/>
        <w:autoSpaceDE/>
        <w:autoSpaceDN/>
        <w:bidi w:val="0"/>
        <w:adjustRightInd/>
        <w:snapToGrid/>
        <w:spacing w:beforeAutospacing="0" w:afterAutospacing="0" w:line="480" w:lineRule="auto"/>
        <w:jc w:val="center"/>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w:t>
      </w:r>
      <w:r>
        <w:rPr>
          <w:rFonts w:hint="eastAsia" w:ascii="宋体" w:hAnsi="宋体" w:eastAsia="宋体" w:cs="宋体"/>
          <w:b/>
          <w:bCs/>
          <w:color w:val="auto"/>
          <w:sz w:val="28"/>
          <w:szCs w:val="28"/>
          <w:highlight w:val="none"/>
          <w:lang w:val="en-US" w:eastAsia="zh-CN"/>
        </w:rPr>
        <w:t>采购</w:t>
      </w:r>
      <w:r>
        <w:rPr>
          <w:rFonts w:hint="eastAsia" w:ascii="宋体" w:hAnsi="宋体" w:eastAsia="宋体" w:cs="宋体"/>
          <w:b/>
          <w:bCs/>
          <w:color w:val="auto"/>
          <w:sz w:val="28"/>
          <w:szCs w:val="28"/>
          <w:highlight w:val="none"/>
          <w:lang w:eastAsia="zh-CN"/>
        </w:rPr>
        <w:t>项目</w:t>
      </w:r>
      <w:r>
        <w:rPr>
          <w:rFonts w:hint="eastAsia" w:ascii="宋体" w:hAnsi="宋体" w:eastAsia="宋体" w:cs="宋体"/>
          <w:b/>
          <w:bCs/>
          <w:color w:val="auto"/>
          <w:sz w:val="28"/>
          <w:szCs w:val="28"/>
          <w:highlight w:val="none"/>
        </w:rPr>
        <w:t>编号∶</w:t>
      </w:r>
      <w:r>
        <w:rPr>
          <w:rFonts w:hint="eastAsia" w:ascii="宋体" w:hAnsi="宋体" w:eastAsia="宋体" w:cs="宋体"/>
          <w:b/>
          <w:bCs/>
          <w:color w:val="auto"/>
          <w:sz w:val="28"/>
          <w:szCs w:val="28"/>
          <w:highlight w:val="none"/>
          <w:lang w:eastAsia="zh-CN"/>
        </w:rPr>
        <w:t>上海容基询比(工程)2026-151</w:t>
      </w:r>
      <w:r>
        <w:rPr>
          <w:rFonts w:hint="eastAsia" w:ascii="宋体" w:hAnsi="宋体" w:eastAsia="宋体" w:cs="宋体"/>
          <w:color w:val="auto"/>
          <w:sz w:val="32"/>
          <w:szCs w:val="32"/>
        </w:rPr>
        <w:t>）</w:t>
      </w:r>
    </w:p>
    <w:p w14:paraId="7FA70C78">
      <w:pPr>
        <w:pStyle w:val="19"/>
        <w:keepNext w:val="0"/>
        <w:keepLines w:val="0"/>
        <w:pageBreakBefore w:val="0"/>
        <w:widowControl/>
        <w:kinsoku/>
        <w:wordWrap/>
        <w:overflowPunct/>
        <w:topLinePunct w:val="0"/>
        <w:autoSpaceDE/>
        <w:autoSpaceDN/>
        <w:bidi w:val="0"/>
        <w:adjustRightInd/>
        <w:snapToGrid/>
        <w:spacing w:beforeAutospacing="0" w:afterAutospacing="0" w:line="480" w:lineRule="auto"/>
        <w:jc w:val="center"/>
        <w:textAlignment w:val="auto"/>
        <w:rPr>
          <w:rFonts w:hint="eastAsia" w:ascii="宋体" w:hAnsi="宋体" w:eastAsia="宋体" w:cs="宋体"/>
          <w:color w:val="auto"/>
          <w:sz w:val="32"/>
          <w:szCs w:val="32"/>
        </w:rPr>
      </w:pPr>
    </w:p>
    <w:p w14:paraId="4462ABB6">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rPr>
      </w:pPr>
      <w:r>
        <w:rPr>
          <w:rFonts w:hint="eastAsia" w:ascii="宋体" w:hAnsi="宋体" w:eastAsia="宋体" w:cs="宋体"/>
          <w:color w:val="auto"/>
          <w:sz w:val="24"/>
          <w:szCs w:val="24"/>
        </w:rPr>
        <w:fldChar w:fldCharType="begin"/>
      </w:r>
      <w:r>
        <w:rPr>
          <w:rFonts w:hint="eastAsia" w:ascii="宋体" w:hAnsi="宋体" w:eastAsia="宋体" w:cs="宋体"/>
          <w:color w:val="auto"/>
        </w:rPr>
        <w:instrText xml:space="preserve"> INCLUDEPICTURE "C:\\Users\\Administrator\\Documents\\tencent files\\389655873\\Documents\\Tencent%20Files\\615866252\\Image\\C2C\\89U%7d%7bX%7dH8)H3A7S)K%7b~UR%254.jpg" \* MERGEFORMAT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drawing>
          <wp:inline distT="0" distB="0" distL="114300" distR="114300">
            <wp:extent cx="2602865" cy="2557780"/>
            <wp:effectExtent l="0" t="0" r="3175" b="2540"/>
            <wp:docPr id="17" name="图片 6" descr="89U}{X}H8)H3A7S)K{~U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89U}{X}H8)H3A7S)K{~UR%4"/>
                    <pic:cNvPicPr>
                      <a:picLocks noChangeAspect="1"/>
                    </pic:cNvPicPr>
                  </pic:nvPicPr>
                  <pic:blipFill>
                    <a:blip r:embed="rId8"/>
                    <a:stretch>
                      <a:fillRect/>
                    </a:stretch>
                  </pic:blipFill>
                  <pic:spPr>
                    <a:xfrm>
                      <a:off x="0" y="0"/>
                      <a:ext cx="2602865" cy="2557780"/>
                    </a:xfrm>
                    <a:prstGeom prst="rect">
                      <a:avLst/>
                    </a:prstGeom>
                    <a:noFill/>
                    <a:ln>
                      <a:noFill/>
                    </a:ln>
                  </pic:spPr>
                </pic:pic>
              </a:graphicData>
            </a:graphic>
          </wp:inline>
        </w:drawing>
      </w:r>
      <w:r>
        <w:rPr>
          <w:rFonts w:hint="eastAsia" w:ascii="宋体" w:hAnsi="宋体" w:eastAsia="宋体" w:cs="宋体"/>
          <w:color w:val="auto"/>
          <w:sz w:val="24"/>
          <w:szCs w:val="24"/>
        </w:rPr>
        <w:fldChar w:fldCharType="end"/>
      </w:r>
    </w:p>
    <w:p w14:paraId="3B5D275C">
      <w:pPr>
        <w:pStyle w:val="19"/>
        <w:pageBreakBefore w:val="0"/>
        <w:widowControl/>
        <w:kinsoku/>
        <w:overflowPunct/>
        <w:topLinePunct w:val="0"/>
        <w:bidi w:val="0"/>
        <w:snapToGrid/>
        <w:spacing w:beforeAutospacing="0" w:afterAutospacing="0" w:line="360" w:lineRule="auto"/>
        <w:jc w:val="both"/>
        <w:rPr>
          <w:rFonts w:hint="eastAsia" w:ascii="宋体" w:hAnsi="宋体" w:eastAsia="宋体" w:cs="宋体"/>
          <w:color w:val="auto"/>
        </w:rPr>
      </w:pPr>
    </w:p>
    <w:p w14:paraId="15858739">
      <w:pPr>
        <w:pStyle w:val="10"/>
        <w:rPr>
          <w:rFonts w:hint="eastAsia" w:ascii="宋体" w:hAnsi="宋体" w:eastAsia="宋体" w:cs="宋体"/>
          <w:color w:val="auto"/>
        </w:rPr>
      </w:pPr>
    </w:p>
    <w:p w14:paraId="6E0F6590">
      <w:pPr>
        <w:pStyle w:val="10"/>
        <w:rPr>
          <w:rFonts w:hint="eastAsia" w:ascii="宋体" w:hAnsi="宋体" w:eastAsia="宋体" w:cs="宋体"/>
          <w:color w:val="auto"/>
        </w:rPr>
      </w:pPr>
    </w:p>
    <w:p w14:paraId="401C811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1960" w:firstLineChars="700"/>
        <w:jc w:val="both"/>
        <w:textAlignment w:val="auto"/>
        <w:rPr>
          <w:rFonts w:hint="eastAsia" w:ascii="宋体" w:hAnsi="宋体" w:eastAsia="宋体" w:cs="宋体"/>
          <w:color w:val="auto"/>
          <w:kern w:val="2"/>
          <w:sz w:val="28"/>
          <w:szCs w:val="28"/>
          <w:u w:val="single"/>
          <w:lang w:val="en-US" w:eastAsia="zh-CN" w:bidi="ar-SA"/>
        </w:rPr>
      </w:pPr>
      <w:r>
        <w:rPr>
          <w:rFonts w:hint="eastAsia" w:ascii="宋体" w:hAnsi="宋体" w:eastAsia="宋体" w:cs="宋体"/>
          <w:color w:val="auto"/>
          <w:sz w:val="28"/>
          <w:szCs w:val="28"/>
          <w:lang w:val="en-US" w:eastAsia="zh-CN"/>
        </w:rPr>
        <w:t>招   标   人</w:t>
      </w:r>
      <w:r>
        <w:rPr>
          <w:rFonts w:hint="eastAsia" w:ascii="宋体" w:hAnsi="宋体" w:eastAsia="宋体" w:cs="宋体"/>
          <w:color w:val="auto"/>
          <w:sz w:val="28"/>
          <w:szCs w:val="28"/>
        </w:rPr>
        <w:t>∶</w:t>
      </w:r>
      <w:r>
        <w:rPr>
          <w:rFonts w:hint="eastAsia" w:ascii="宋体" w:hAnsi="宋体" w:eastAsia="宋体" w:cs="宋体"/>
          <w:color w:val="auto"/>
          <w:kern w:val="2"/>
          <w:sz w:val="28"/>
          <w:szCs w:val="28"/>
          <w:u w:val="single"/>
          <w:lang w:val="en-US" w:eastAsia="zh-CN" w:bidi="ar-SA"/>
        </w:rPr>
        <w:t>青海民族大学</w:t>
      </w:r>
    </w:p>
    <w:p w14:paraId="4136E85F">
      <w:pPr>
        <w:pStyle w:val="10"/>
        <w:keepNext w:val="0"/>
        <w:keepLines w:val="0"/>
        <w:pageBreakBefore w:val="0"/>
        <w:kinsoku/>
        <w:wordWrap/>
        <w:overflowPunct/>
        <w:topLinePunct w:val="0"/>
        <w:autoSpaceDE/>
        <w:autoSpaceDN/>
        <w:bidi w:val="0"/>
        <w:adjustRightInd/>
        <w:snapToGrid/>
        <w:spacing w:after="0" w:line="360" w:lineRule="auto"/>
        <w:ind w:firstLine="0" w:firstLineChars="0"/>
        <w:jc w:val="center"/>
        <w:textAlignment w:val="auto"/>
        <w:rPr>
          <w:rFonts w:hint="eastAsia" w:ascii="宋体" w:hAnsi="宋体" w:eastAsia="宋体" w:cs="宋体"/>
          <w:color w:val="auto"/>
          <w:sz w:val="28"/>
          <w:szCs w:val="28"/>
          <w:u w:val="single"/>
        </w:rPr>
      </w:pPr>
      <w:r>
        <w:rPr>
          <w:rFonts w:hint="eastAsia" w:ascii="宋体" w:hAnsi="宋体" w:eastAsia="宋体" w:cs="宋体"/>
          <w:color w:val="auto"/>
          <w:sz w:val="28"/>
          <w:szCs w:val="28"/>
          <w:lang w:val="en-US" w:eastAsia="zh-CN"/>
        </w:rPr>
        <w:t>采购</w:t>
      </w:r>
      <w:r>
        <w:rPr>
          <w:rFonts w:hint="eastAsia" w:ascii="宋体" w:hAnsi="宋体" w:eastAsia="宋体" w:cs="宋体"/>
          <w:color w:val="auto"/>
          <w:sz w:val="28"/>
          <w:szCs w:val="28"/>
          <w:lang w:eastAsia="zh-CN"/>
        </w:rPr>
        <w:t>代理机构</w:t>
      </w:r>
      <w:r>
        <w:rPr>
          <w:rFonts w:hint="eastAsia" w:ascii="宋体" w:hAnsi="宋体" w:eastAsia="宋体" w:cs="宋体"/>
          <w:color w:val="auto"/>
          <w:sz w:val="28"/>
          <w:szCs w:val="28"/>
        </w:rPr>
        <w:t>∶</w:t>
      </w:r>
      <w:r>
        <w:rPr>
          <w:rFonts w:hint="eastAsia" w:ascii="宋体" w:hAnsi="宋体" w:eastAsia="宋体" w:cs="宋体"/>
          <w:color w:val="auto"/>
          <w:sz w:val="28"/>
          <w:szCs w:val="28"/>
          <w:u w:val="single"/>
          <w:lang w:eastAsia="zh-CN"/>
        </w:rPr>
        <w:t>上海容基工程项目管理有限公司</w:t>
      </w:r>
    </w:p>
    <w:p w14:paraId="02E8A71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4200" w:firstLineChars="15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u w:val="single"/>
          <w:lang w:val="en-US" w:eastAsia="zh-CN"/>
        </w:rPr>
        <w:t>2026</w:t>
      </w:r>
      <w:r>
        <w:rPr>
          <w:rFonts w:hint="eastAsia" w:ascii="宋体" w:hAnsi="宋体" w:eastAsia="宋体" w:cs="宋体"/>
          <w:color w:val="auto"/>
          <w:sz w:val="28"/>
          <w:szCs w:val="28"/>
          <w:u w:val="single"/>
        </w:rPr>
        <w:t>年</w:t>
      </w:r>
      <w:r>
        <w:rPr>
          <w:rFonts w:hint="eastAsia" w:ascii="宋体" w:hAnsi="宋体" w:eastAsia="宋体" w:cs="宋体"/>
          <w:color w:val="auto"/>
          <w:sz w:val="28"/>
          <w:szCs w:val="28"/>
          <w:u w:val="single"/>
          <w:lang w:val="en-US" w:eastAsia="zh-CN"/>
        </w:rPr>
        <w:t>10</w:t>
      </w:r>
      <w:r>
        <w:rPr>
          <w:rFonts w:hint="eastAsia" w:ascii="宋体" w:hAnsi="宋体" w:eastAsia="宋体" w:cs="宋体"/>
          <w:color w:val="auto"/>
          <w:sz w:val="28"/>
          <w:szCs w:val="28"/>
          <w:u w:val="single"/>
        </w:rPr>
        <w:t>月</w:t>
      </w:r>
    </w:p>
    <w:p w14:paraId="5B3CF36B">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br w:type="page"/>
      </w:r>
    </w:p>
    <w:p w14:paraId="65919DD7">
      <w:pPr>
        <w:pStyle w:val="19"/>
        <w:pageBreakBefore w:val="0"/>
        <w:widowControl/>
        <w:kinsoku/>
        <w:overflowPunct/>
        <w:topLinePunct w:val="0"/>
        <w:bidi w:val="0"/>
        <w:snapToGrid/>
        <w:spacing w:beforeAutospacing="0" w:afterAutospacing="0" w:line="360" w:lineRule="auto"/>
        <w:ind w:firstLine="3960" w:firstLineChars="900"/>
        <w:jc w:val="both"/>
        <w:rPr>
          <w:rFonts w:hint="eastAsia" w:ascii="宋体" w:hAnsi="宋体" w:eastAsia="宋体" w:cs="宋体"/>
          <w:color w:val="auto"/>
          <w:sz w:val="44"/>
          <w:szCs w:val="44"/>
        </w:rPr>
      </w:pPr>
      <w:r>
        <w:rPr>
          <w:rFonts w:hint="eastAsia" w:ascii="宋体" w:hAnsi="宋体" w:eastAsia="宋体" w:cs="宋体"/>
          <w:color w:val="auto"/>
          <w:sz w:val="44"/>
          <w:szCs w:val="44"/>
        </w:rPr>
        <w:t>目  录</w:t>
      </w:r>
    </w:p>
    <w:p w14:paraId="050263C5">
      <w:pPr>
        <w:pStyle w:val="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TOC \o "1-4" \h \u </w:instrText>
      </w:r>
      <w:r>
        <w:rPr>
          <w:rFonts w:hint="eastAsia" w:ascii="宋体" w:hAnsi="宋体" w:eastAsia="宋体" w:cs="宋体"/>
          <w:color w:val="auto"/>
        </w:rPr>
        <w:fldChar w:fldCharType="separate"/>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_Toc15647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第一章  询比采购公告</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_Toc15647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2989163">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_Toc25138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 采购项目简介</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lang w:val="en-US" w:eastAsia="zh-CN"/>
        </w:rPr>
        <w:t>8</w:t>
      </w:r>
    </w:p>
    <w:p w14:paraId="162BCA58">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_Toc2712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2采购范围及相关要求（A）</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696CA6BF">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_Toc31097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 采购范围及相关要求（B）</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1B64C5E4">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_Toc10188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 采购范围及相关要求（C）（本项目不适用）</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772DADBB">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_Toc21086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资格要求</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7C8D3ABC">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_Toc32438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 采购文件的获取</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06083BF8">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_Toc20340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5 响应文件的递交</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66E32DD4">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_Toc3606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6 响应文件开启时间和地点</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74A5B7BE">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_Toc26894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7 发布公告的媒介</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5FDC20EE">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_Toc22335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8 其他</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21647DF5">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_Toc1105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9 联系方式</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fldChar w:fldCharType="end"/>
      </w:r>
    </w:p>
    <w:p w14:paraId="1A02E8F1">
      <w:pPr>
        <w:pStyle w:val="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_Toc30553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 xml:space="preserve">第二章  </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_Toc30553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F6A5330">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_Toc19451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_Toc19451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2C076D73">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_Toc12181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 总则</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_Toc12181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6CD98F4">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_Toc8542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2采购文件</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_Toc8542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2DE2F9E1">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_Toc4316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3响应文件</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_Toc4316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F5EB6A8">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_Toc7333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 响应文件的递交</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_Toc7333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AD0D6CE">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_Toc32557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5 开启响应文件</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_Toc32557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091CCCB1">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_Toc19415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6 评审</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_Toc19415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24</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F019A68">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_Toc19431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7 合同授予</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_Toc19431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2A69D06B">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_Toc2906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8 异议</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_Toc2906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26</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FEA2EA3">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_Toc31622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9纪律要求</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_Toc31622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27</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353A99BC">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_Toc4588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10 需要补充的其他内容</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_Toc4588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27</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EB34028">
      <w:pPr>
        <w:pStyle w:val="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_Toc7809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第三章  评审办法</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lang w:val="en-US" w:eastAsia="zh-CN"/>
        </w:rPr>
        <w:t>6</w:t>
      </w:r>
    </w:p>
    <w:p w14:paraId="73C1C71B">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_Toc14994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评审办法前附表</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lang w:val="en-US" w:eastAsia="zh-CN"/>
        </w:rPr>
        <w:t>6</w:t>
      </w:r>
    </w:p>
    <w:p w14:paraId="5F4EEE3D">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_Toc1158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1评审方法（最低价法）</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_Toc1158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1F33227">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_Toc6304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1评审方法（本项目采用综合评分法）</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_Toc6304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2E2432B4">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_Toc24862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2,初步评审标准和程序</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_Toc24862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861A84D">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_Toc3979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3详细评审标准和程序(最低价法)</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_Toc3979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D3BD8EA">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_Toc352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3详细评审标准和程序(综合评分法)</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_Toc352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41</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3E0ECD5">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_Toc21999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4评审结果</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_Toc21999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42</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6A0C275">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_Toc6352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5直接转换采购方式评审程序</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_Toc6352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42</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EF066AC">
      <w:pPr>
        <w:pStyle w:val="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_Toc9596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第四章  合同条款及格式</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_Toc9596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220D9C5F">
      <w:pPr>
        <w:pStyle w:val="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_Toc2515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第五章  采购需求</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_Toc2515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167</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35E39C2A">
      <w:pPr>
        <w:pStyle w:val="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_Toc26582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第六章  响应文件格式</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_Toc26582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176</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1487A78A">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_Toc31557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目录</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_Toc31557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177</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5506A62">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_Toc8726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—、响应函</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_Toc8726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178</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E0D71C7">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_Toc32695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二、授权委托书</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_Toc32695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9A3D7E0">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_Toc20553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三、联合体协议书</w:t>
      </w:r>
      <w:r>
        <w:rPr>
          <w:rFonts w:hint="eastAsia" w:ascii="宋体" w:hAnsi="宋体" w:eastAsia="宋体" w:cs="宋体"/>
          <w:color w:val="auto"/>
          <w:sz w:val="24"/>
          <w:szCs w:val="24"/>
          <w:lang w:eastAsia="zh-CN"/>
        </w:rPr>
        <w:t>（本项目不适用）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_Toc20553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181</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3DFACD0">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_Toc6650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四、响应保证金</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_Toc6650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182</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20AC3C3">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_Toc12197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五、商务和技术偏差表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_Toc12197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ED0B926">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_Toc26351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六、报价表（A）</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_Toc26351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184</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19206327">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_Toc17442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七、资格审查资料(A)</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_Toc17442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4C51334">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_Toc8069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（一）基本情况</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_Toc8069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8873660">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_Toc32727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（二）近年财务状况</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_Toc32727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2A8B586">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_Toc25886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（三）近年的类似项目情况表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_Toc25886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186</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27BB1487">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_Toc18819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（四）拟委任的主要人员汇总表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_Toc18819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187</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033942C9">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_Toc10969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（五）主要人员简历表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_Toc10969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187</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152FE72">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_Toc14775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rPr>
        <w:t>）项目经理承诺书</w:t>
      </w:r>
      <w:r>
        <w:rPr>
          <w:rFonts w:hint="eastAsia" w:ascii="宋体" w:hAnsi="宋体" w:eastAsia="宋体" w:cs="宋体"/>
          <w:color w:val="auto"/>
          <w:sz w:val="24"/>
          <w:szCs w:val="24"/>
        </w:rPr>
        <w:tab/>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lang w:val="en-US" w:eastAsia="zh-CN"/>
        </w:rPr>
        <w:t>98</w:t>
      </w:r>
    </w:p>
    <w:p w14:paraId="685EDA00">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_Toc6442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八、响应方案（A）</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_Toc6442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189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D8EE7B2">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_Toc10399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（一）施工组织设计</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_Toc10399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C6D26A1">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_Toc15113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附表一：拟投入本工程的主要施工设备表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_Toc15113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7DCDFE9">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_Toc8925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附表二：拟配备本工程的试验和检测仪器设备表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_Toc8925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885C60D">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_Toc10712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附表三：劳动力计划表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_Toc10712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191</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BE34C86">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_Toc18035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附表四：计划开、竣工日期和施工进度网络图</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_Toc18035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191</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7BF36E4">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_Toc21803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附表五：施工总平面图</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_Toc21803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192</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141973E8">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_Toc20437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附表六：临时用地表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_Toc20437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192</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7A7662D">
      <w:pPr>
        <w:pStyle w:val="12"/>
        <w:keepNext w:val="0"/>
        <w:keepLines w:val="0"/>
        <w:pageBreakBefore w:val="0"/>
        <w:widowControl w:val="0"/>
        <w:tabs>
          <w:tab w:val="right" w:leader="dot" w:pos="9746"/>
        </w:tabs>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_Toc11797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（二）拟分包项目情况表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_Toc11797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791D194">
      <w:pPr>
        <w:pStyle w:val="17"/>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_Toc8332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九、其他资料</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_Toc8332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194</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DACAADD">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fldChar w:fldCharType="end"/>
      </w:r>
    </w:p>
    <w:p w14:paraId="7C8B591D">
      <w:pPr>
        <w:pageBreakBefore w:val="0"/>
        <w:kinsoku/>
        <w:overflowPunct/>
        <w:topLinePunct w:val="0"/>
        <w:bidi w:val="0"/>
        <w:snapToGrid/>
        <w:spacing w:line="360" w:lineRule="auto"/>
        <w:jc w:val="center"/>
        <w:rPr>
          <w:rFonts w:hint="eastAsia" w:ascii="宋体" w:hAnsi="宋体" w:eastAsia="宋体" w:cs="宋体"/>
          <w:b/>
          <w:bCs/>
          <w:color w:val="auto"/>
          <w:sz w:val="44"/>
          <w:szCs w:val="44"/>
        </w:rPr>
        <w:sectPr>
          <w:headerReference r:id="rId3" w:type="default"/>
          <w:footerReference r:id="rId4" w:type="default"/>
          <w:pgSz w:w="11906" w:h="16838"/>
          <w:pgMar w:top="1440" w:right="1080" w:bottom="1440" w:left="1080" w:header="851" w:footer="992" w:gutter="0"/>
          <w:pgBorders w:offsetFrom="page">
            <w:top w:val="single" w:color="808080" w:sz="18" w:space="24"/>
            <w:left w:val="single" w:color="808080" w:sz="18" w:space="24"/>
            <w:bottom w:val="single" w:color="808080" w:sz="18" w:space="24"/>
            <w:right w:val="single" w:color="808080" w:sz="18" w:space="24"/>
          </w:pgBorders>
          <w:pgNumType w:fmt="decimal"/>
          <w:cols w:space="425" w:num="1"/>
          <w:docGrid w:type="lines" w:linePitch="312" w:charSpace="0"/>
        </w:sectPr>
      </w:pPr>
    </w:p>
    <w:p w14:paraId="64F585FE">
      <w:pPr>
        <w:pageBreakBefore w:val="0"/>
        <w:kinsoku/>
        <w:overflowPunct/>
        <w:topLinePunct w:val="0"/>
        <w:bidi w:val="0"/>
        <w:snapToGrid/>
        <w:spacing w:line="360" w:lineRule="auto"/>
        <w:jc w:val="center"/>
        <w:rPr>
          <w:rFonts w:hint="eastAsia" w:ascii="宋体" w:hAnsi="宋体" w:eastAsia="宋体" w:cs="宋体"/>
          <w:b/>
          <w:bCs/>
          <w:color w:val="auto"/>
          <w:sz w:val="44"/>
          <w:szCs w:val="44"/>
        </w:rPr>
      </w:pPr>
      <w:bookmarkStart w:id="0" w:name="_Toc25607"/>
      <w:bookmarkStart w:id="1" w:name="_Toc15647"/>
    </w:p>
    <w:p w14:paraId="280A90CF">
      <w:pPr>
        <w:pageBreakBefore w:val="0"/>
        <w:kinsoku/>
        <w:overflowPunct/>
        <w:topLinePunct w:val="0"/>
        <w:bidi w:val="0"/>
        <w:snapToGrid/>
        <w:spacing w:line="360" w:lineRule="auto"/>
        <w:jc w:val="both"/>
        <w:rPr>
          <w:rFonts w:hint="eastAsia" w:ascii="宋体" w:hAnsi="宋体" w:eastAsia="宋体" w:cs="宋体"/>
          <w:b/>
          <w:bCs/>
          <w:color w:val="auto"/>
          <w:sz w:val="44"/>
          <w:szCs w:val="44"/>
        </w:rPr>
      </w:pPr>
    </w:p>
    <w:p w14:paraId="5161ECC4">
      <w:pPr>
        <w:pStyle w:val="3"/>
        <w:pageBreakBefore w:val="0"/>
        <w:kinsoku/>
        <w:overflowPunct/>
        <w:topLinePunct w:val="0"/>
        <w:bidi w:val="0"/>
        <w:snapToGrid/>
        <w:spacing w:line="360" w:lineRule="auto"/>
        <w:jc w:val="center"/>
        <w:rPr>
          <w:rFonts w:hint="eastAsia" w:ascii="宋体" w:hAnsi="宋体" w:eastAsia="宋体" w:cs="宋体"/>
          <w:color w:val="auto"/>
        </w:rPr>
      </w:pPr>
      <w:r>
        <w:rPr>
          <w:rFonts w:hint="eastAsia" w:ascii="宋体" w:hAnsi="宋体" w:eastAsia="宋体" w:cs="宋体"/>
          <w:color w:val="auto"/>
        </w:rPr>
        <w:t>第一章  询比采购公告</w:t>
      </w:r>
      <w:bookmarkEnd w:id="0"/>
      <w:bookmarkEnd w:id="1"/>
    </w:p>
    <w:p w14:paraId="6A2BFA2F">
      <w:pPr>
        <w:pageBreakBefore w:val="0"/>
        <w:kinsoku/>
        <w:overflowPunct/>
        <w:topLinePunct w:val="0"/>
        <w:bidi w:val="0"/>
        <w:snapToGrid/>
        <w:spacing w:line="360" w:lineRule="auto"/>
        <w:jc w:val="center"/>
        <w:rPr>
          <w:rFonts w:hint="eastAsia" w:ascii="宋体" w:hAnsi="宋体" w:eastAsia="宋体" w:cs="宋体"/>
          <w:color w:val="auto"/>
          <w:spacing w:val="20"/>
          <w:sz w:val="32"/>
          <w:szCs w:val="32"/>
        </w:rPr>
      </w:pPr>
    </w:p>
    <w:p w14:paraId="4724C8EB">
      <w:pPr>
        <w:pageBreakBefore w:val="0"/>
        <w:kinsoku/>
        <w:overflowPunct/>
        <w:topLinePunct w:val="0"/>
        <w:bidi w:val="0"/>
        <w:snapToGrid/>
        <w:spacing w:line="360" w:lineRule="auto"/>
        <w:jc w:val="center"/>
        <w:rPr>
          <w:rFonts w:hint="eastAsia" w:ascii="宋体" w:hAnsi="宋体" w:eastAsia="宋体" w:cs="宋体"/>
          <w:color w:val="auto"/>
          <w:spacing w:val="20"/>
          <w:sz w:val="32"/>
          <w:szCs w:val="32"/>
        </w:rPr>
      </w:pPr>
    </w:p>
    <w:p w14:paraId="063908DB">
      <w:pPr>
        <w:pageBreakBefore w:val="0"/>
        <w:kinsoku/>
        <w:overflowPunct/>
        <w:topLinePunct w:val="0"/>
        <w:bidi w:val="0"/>
        <w:snapToGrid/>
        <w:spacing w:line="360" w:lineRule="auto"/>
        <w:jc w:val="center"/>
        <w:rPr>
          <w:rFonts w:hint="eastAsia" w:ascii="宋体" w:hAnsi="宋体" w:eastAsia="宋体" w:cs="宋体"/>
          <w:color w:val="auto"/>
          <w:spacing w:val="20"/>
          <w:sz w:val="32"/>
          <w:szCs w:val="32"/>
        </w:rPr>
      </w:pPr>
      <w:r>
        <w:rPr>
          <w:rFonts w:hint="eastAsia" w:ascii="宋体" w:hAnsi="宋体" w:eastAsia="宋体" w:cs="宋体"/>
          <w:color w:val="auto"/>
          <w:spacing w:val="20"/>
          <w:sz w:val="32"/>
          <w:szCs w:val="32"/>
        </w:rPr>
        <w:t>（适用于公告邀请</w:t>
      </w:r>
      <w:r>
        <w:rPr>
          <w:rFonts w:hint="eastAsia" w:ascii="宋体" w:hAnsi="宋体" w:eastAsia="宋体" w:cs="宋体"/>
          <w:color w:val="auto"/>
          <w:spacing w:val="20"/>
          <w:sz w:val="32"/>
          <w:szCs w:val="32"/>
          <w:lang w:eastAsia="zh-CN"/>
        </w:rPr>
        <w:t>询比响应人</w:t>
      </w:r>
      <w:r>
        <w:rPr>
          <w:rFonts w:hint="eastAsia" w:ascii="宋体" w:hAnsi="宋体" w:eastAsia="宋体" w:cs="宋体"/>
          <w:color w:val="auto"/>
          <w:spacing w:val="20"/>
          <w:sz w:val="32"/>
          <w:szCs w:val="32"/>
        </w:rPr>
        <w:t>方式）</w:t>
      </w:r>
    </w:p>
    <w:p w14:paraId="60C7ED5E">
      <w:pPr>
        <w:pageBreakBefore w:val="0"/>
        <w:kinsoku/>
        <w:overflowPunct/>
        <w:topLinePunct w:val="0"/>
        <w:bidi w:val="0"/>
        <w:snapToGrid/>
        <w:spacing w:line="360" w:lineRule="auto"/>
        <w:rPr>
          <w:rFonts w:hint="eastAsia" w:ascii="宋体" w:hAnsi="宋体" w:eastAsia="宋体" w:cs="宋体"/>
          <w:color w:val="auto"/>
          <w:sz w:val="32"/>
          <w:szCs w:val="32"/>
        </w:rPr>
      </w:pPr>
      <w:r>
        <w:rPr>
          <w:rFonts w:hint="eastAsia" w:ascii="宋体" w:hAnsi="宋体" w:eastAsia="宋体" w:cs="宋体"/>
          <w:color w:val="auto"/>
          <w:sz w:val="32"/>
          <w:szCs w:val="32"/>
        </w:rPr>
        <w:br w:type="page"/>
      </w:r>
    </w:p>
    <w:p w14:paraId="441932E4">
      <w:pPr>
        <w:spacing w:line="360" w:lineRule="auto"/>
        <w:ind w:left="3200" w:hanging="3213" w:hangingChars="1000"/>
        <w:jc w:val="center"/>
        <w:rPr>
          <w:rFonts w:hint="eastAsia" w:ascii="宋体" w:hAnsi="宋体" w:eastAsia="宋体" w:cs="宋体"/>
          <w:b/>
          <w:bCs/>
          <w:color w:val="auto"/>
          <w:sz w:val="32"/>
          <w:szCs w:val="32"/>
          <w:highlight w:val="none"/>
          <w:u w:val="none"/>
          <w:lang w:eastAsia="zh-CN"/>
        </w:rPr>
      </w:pPr>
      <w:bookmarkStart w:id="2" w:name="_Toc4981"/>
      <w:r>
        <w:rPr>
          <w:rFonts w:hint="eastAsia" w:ascii="宋体" w:hAnsi="宋体" w:eastAsia="宋体" w:cs="宋体"/>
          <w:b/>
          <w:bCs/>
          <w:color w:val="auto"/>
          <w:sz w:val="32"/>
          <w:szCs w:val="32"/>
          <w:highlight w:val="none"/>
          <w:u w:val="none"/>
          <w:lang w:val="en-US" w:eastAsia="zh-CN"/>
        </w:rPr>
        <w:t xml:space="preserve">第一章  </w:t>
      </w:r>
      <w:bookmarkStart w:id="1034" w:name="_GoBack"/>
      <w:r>
        <w:rPr>
          <w:rFonts w:hint="eastAsia" w:ascii="宋体" w:hAnsi="宋体" w:eastAsia="宋体" w:cs="宋体"/>
          <w:b/>
          <w:bCs/>
          <w:color w:val="auto"/>
          <w:sz w:val="32"/>
          <w:szCs w:val="32"/>
          <w:highlight w:val="none"/>
          <w:u w:val="none"/>
          <w:lang w:eastAsia="zh-CN"/>
        </w:rPr>
        <w:t>青海民族大学修业楼2-5楼北面教室改造项目</w:t>
      </w:r>
    </w:p>
    <w:p w14:paraId="508DF5D1">
      <w:pPr>
        <w:spacing w:line="360" w:lineRule="auto"/>
        <w:ind w:left="3200" w:hanging="3213" w:hangingChars="1000"/>
        <w:jc w:val="center"/>
        <w:rPr>
          <w:rFonts w:hint="eastAsia" w:ascii="宋体" w:hAnsi="宋体" w:eastAsia="宋体" w:cs="宋体"/>
          <w:b/>
          <w:bCs/>
          <w:color w:val="auto"/>
          <w:highlight w:val="none"/>
          <w:u w:val="single"/>
        </w:rPr>
      </w:pPr>
      <w:r>
        <w:rPr>
          <w:rFonts w:hint="eastAsia" w:ascii="宋体" w:hAnsi="宋体" w:eastAsia="宋体" w:cs="宋体"/>
          <w:b/>
          <w:bCs/>
          <w:color w:val="auto"/>
          <w:sz w:val="32"/>
          <w:szCs w:val="32"/>
          <w:highlight w:val="none"/>
          <w:u w:val="none"/>
        </w:rPr>
        <w:t>询比采购公告</w:t>
      </w:r>
    </w:p>
    <w:p w14:paraId="0278E9E7">
      <w:pPr>
        <w:spacing w:line="360" w:lineRule="auto"/>
        <w:ind w:firstLine="482" w:firstLineChars="200"/>
        <w:jc w:val="left"/>
        <w:outlineLvl w:val="9"/>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4"/>
          <w:szCs w:val="24"/>
          <w:u w:val="single"/>
          <w:lang w:eastAsia="zh-CN"/>
        </w:rPr>
        <w:t>青海民族大学修业楼2-5楼北面教室改造项目</w:t>
      </w:r>
      <w:r>
        <w:rPr>
          <w:rFonts w:hint="eastAsia" w:ascii="宋体" w:hAnsi="宋体" w:eastAsia="宋体" w:cs="宋体"/>
          <w:b/>
          <w:bCs/>
          <w:color w:val="auto"/>
          <w:sz w:val="24"/>
          <w:highlight w:val="none"/>
        </w:rPr>
        <w:t>已具备采购条件，现公开邀请</w:t>
      </w:r>
      <w:r>
        <w:rPr>
          <w:rFonts w:hint="eastAsia" w:ascii="宋体" w:hAnsi="宋体" w:cs="宋体"/>
          <w:b/>
          <w:bCs/>
          <w:color w:val="auto"/>
          <w:sz w:val="24"/>
          <w:highlight w:val="none"/>
          <w:lang w:eastAsia="zh-CN"/>
        </w:rPr>
        <w:t>投标人</w:t>
      </w:r>
      <w:r>
        <w:rPr>
          <w:rFonts w:hint="eastAsia" w:ascii="宋体" w:hAnsi="宋体" w:eastAsia="宋体" w:cs="宋体"/>
          <w:b/>
          <w:bCs/>
          <w:color w:val="auto"/>
          <w:sz w:val="24"/>
          <w:highlight w:val="none"/>
        </w:rPr>
        <w:t>参加询比采购活动。</w:t>
      </w:r>
      <w:bookmarkEnd w:id="2"/>
    </w:p>
    <w:p w14:paraId="1C0813DA">
      <w:pPr>
        <w:pStyle w:val="19"/>
        <w:widowControl/>
        <w:spacing w:beforeAutospacing="0" w:afterAutospacing="0" w:line="360" w:lineRule="auto"/>
        <w:rPr>
          <w:rFonts w:hint="eastAsia" w:ascii="宋体" w:hAnsi="宋体" w:eastAsia="宋体" w:cs="宋体"/>
          <w:color w:val="auto"/>
          <w:sz w:val="24"/>
          <w:szCs w:val="24"/>
          <w:u w:val="single"/>
          <w:lang w:eastAsia="zh-CN"/>
        </w:rPr>
      </w:pPr>
      <w:r>
        <w:rPr>
          <w:rFonts w:hint="eastAsia" w:ascii="宋体" w:hAnsi="宋体" w:eastAsia="宋体" w:cs="宋体"/>
          <w:color w:val="auto"/>
          <w:kern w:val="0"/>
          <w:sz w:val="24"/>
          <w:highlight w:val="none"/>
        </w:rPr>
        <w:t>1.1</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kern w:val="0"/>
          <w:sz w:val="24"/>
          <w:highlight w:val="none"/>
        </w:rPr>
        <w:t>项目名称∶</w:t>
      </w:r>
      <w:r>
        <w:rPr>
          <w:rFonts w:hint="eastAsia" w:ascii="宋体" w:hAnsi="宋体" w:eastAsia="宋体" w:cs="宋体"/>
          <w:color w:val="auto"/>
          <w:sz w:val="24"/>
          <w:szCs w:val="24"/>
          <w:u w:val="single"/>
          <w:lang w:eastAsia="zh-CN"/>
        </w:rPr>
        <w:t>青海民族大学修业楼2-5楼北面教室改造项目</w:t>
      </w:r>
    </w:p>
    <w:p w14:paraId="678D3F03">
      <w:pPr>
        <w:pStyle w:val="19"/>
        <w:widowControl/>
        <w:spacing w:beforeAutospacing="0" w:afterAutospacing="0" w:line="360" w:lineRule="auto"/>
        <w:rPr>
          <w:rFonts w:hint="default" w:ascii="宋体" w:hAnsi="宋体" w:eastAsia="宋体" w:cs="宋体"/>
          <w:color w:val="auto"/>
          <w:highlight w:val="none"/>
          <w:u w:val="single"/>
          <w:lang w:val="en-US" w:eastAsia="zh-CN"/>
        </w:rPr>
      </w:pPr>
      <w:r>
        <w:rPr>
          <w:rFonts w:hint="eastAsia" w:ascii="宋体" w:hAnsi="宋体" w:eastAsia="宋体" w:cs="宋体"/>
          <w:color w:val="auto"/>
          <w:highlight w:val="none"/>
          <w:lang w:val="en-US" w:eastAsia="zh-CN"/>
        </w:rPr>
        <w:t>1.2</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lang w:val="en-US" w:eastAsia="zh-CN"/>
        </w:rPr>
        <w:t>项目编号：</w:t>
      </w:r>
      <w:r>
        <w:rPr>
          <w:rFonts w:hint="eastAsia" w:ascii="宋体" w:hAnsi="宋体" w:eastAsia="宋体" w:cs="宋体"/>
          <w:color w:val="auto"/>
          <w:highlight w:val="none"/>
          <w:u w:val="single"/>
          <w:lang w:val="en-US" w:eastAsia="zh-CN"/>
        </w:rPr>
        <w:t>上海容基询比(工程)2026-151</w:t>
      </w:r>
    </w:p>
    <w:p w14:paraId="0BE7551D">
      <w:pPr>
        <w:pStyle w:val="19"/>
        <w:widowControl/>
        <w:spacing w:beforeAutospacing="0" w:afterAutospacing="0"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rPr>
        <w:t>人∶</w:t>
      </w:r>
      <w:r>
        <w:rPr>
          <w:rFonts w:hint="eastAsia" w:ascii="宋体" w:hAnsi="宋体" w:eastAsia="宋体" w:cs="宋体"/>
          <w:color w:val="auto"/>
          <w:highlight w:val="none"/>
          <w:u w:val="single"/>
          <w:lang w:val="en-US" w:eastAsia="zh-CN"/>
        </w:rPr>
        <w:t>青海民族大学</w:t>
      </w:r>
    </w:p>
    <w:p w14:paraId="47AC4DA2">
      <w:pPr>
        <w:pStyle w:val="19"/>
        <w:widowControl/>
        <w:spacing w:beforeAutospacing="0" w:afterAutospacing="0"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rPr>
        <w:t>代理机构∶</w:t>
      </w:r>
      <w:r>
        <w:rPr>
          <w:rFonts w:hint="eastAsia" w:ascii="宋体" w:hAnsi="宋体" w:eastAsia="宋体" w:cs="宋体"/>
          <w:color w:val="auto"/>
          <w:highlight w:val="none"/>
          <w:u w:val="single"/>
        </w:rPr>
        <w:t>上海容基工程项目管理有限公司</w:t>
      </w:r>
    </w:p>
    <w:p w14:paraId="7D4CBC1F">
      <w:pPr>
        <w:pStyle w:val="19"/>
        <w:widowControl/>
        <w:spacing w:beforeAutospacing="0" w:afterAutospacing="0"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rPr>
        <w:t>项目资金落实情况∶</w:t>
      </w:r>
      <w:r>
        <w:rPr>
          <w:rFonts w:hint="eastAsia" w:ascii="宋体" w:hAnsi="宋体" w:eastAsia="宋体" w:cs="宋体"/>
          <w:color w:val="auto"/>
          <w:highlight w:val="none"/>
          <w:u w:val="single"/>
        </w:rPr>
        <w:t>已落实</w:t>
      </w:r>
    </w:p>
    <w:p w14:paraId="57937D48">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rPr>
        <w:t>项目概况</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详见询比采购文件</w:t>
      </w:r>
    </w:p>
    <w:p w14:paraId="58AA6CDD">
      <w:pPr>
        <w:pStyle w:val="19"/>
        <w:widowControl/>
        <w:spacing w:beforeAutospacing="0" w:afterAutospacing="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成交</w:t>
      </w:r>
      <w:r>
        <w:rPr>
          <w:rFonts w:hint="eastAsia" w:ascii="宋体" w:hAnsi="宋体" w:eastAsia="宋体" w:cs="宋体"/>
          <w:color w:val="auto"/>
          <w:highlight w:val="none"/>
          <w:lang w:eastAsia="zh-CN"/>
        </w:rPr>
        <w:t>人</w:t>
      </w:r>
      <w:r>
        <w:rPr>
          <w:rFonts w:hint="eastAsia" w:ascii="宋体" w:hAnsi="宋体" w:eastAsia="宋体" w:cs="宋体"/>
          <w:color w:val="auto"/>
          <w:highlight w:val="none"/>
        </w:rPr>
        <w:t>数量及成交份额∶</w:t>
      </w:r>
      <w:r>
        <w:rPr>
          <w:rFonts w:hint="eastAsia" w:ascii="宋体" w:hAnsi="宋体" w:eastAsia="宋体" w:cs="宋体"/>
          <w:color w:val="auto"/>
          <w:highlight w:val="none"/>
          <w:lang w:eastAsia="zh-CN"/>
        </w:rPr>
        <w:t>一家</w:t>
      </w:r>
    </w:p>
    <w:p w14:paraId="1C4FA9C4">
      <w:pPr>
        <w:pStyle w:val="4"/>
        <w:spacing w:line="360" w:lineRule="auto"/>
        <w:jc w:val="left"/>
        <w:rPr>
          <w:rFonts w:hint="eastAsia" w:ascii="宋体" w:hAnsi="宋体" w:eastAsia="宋体" w:cs="宋体"/>
          <w:color w:val="auto"/>
          <w:sz w:val="28"/>
          <w:szCs w:val="28"/>
          <w:highlight w:val="none"/>
        </w:rPr>
      </w:pPr>
      <w:bookmarkStart w:id="3" w:name="_Toc7927"/>
      <w:bookmarkStart w:id="4" w:name="_Toc6778"/>
      <w:bookmarkStart w:id="5" w:name="_Toc1403"/>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lang w:val="en-US" w:eastAsia="zh-CN"/>
        </w:rPr>
        <w:t>采购</w:t>
      </w:r>
      <w:r>
        <w:rPr>
          <w:rFonts w:hint="eastAsia" w:ascii="宋体" w:hAnsi="宋体" w:eastAsia="宋体" w:cs="宋体"/>
          <w:color w:val="auto"/>
          <w:sz w:val="28"/>
          <w:szCs w:val="28"/>
          <w:highlight w:val="none"/>
        </w:rPr>
        <w:t>范围及相关要求</w:t>
      </w:r>
      <w:bookmarkEnd w:id="3"/>
      <w:bookmarkEnd w:id="4"/>
      <w:bookmarkEnd w:id="5"/>
    </w:p>
    <w:p w14:paraId="09DA398B">
      <w:pPr>
        <w:pStyle w:val="4"/>
        <w:jc w:val="center"/>
        <w:rPr>
          <w:rFonts w:hint="eastAsia" w:ascii="宋体" w:hAnsi="宋体" w:eastAsia="宋体" w:cs="宋体"/>
          <w:color w:val="auto"/>
          <w:sz w:val="28"/>
          <w:szCs w:val="28"/>
          <w:highlight w:val="none"/>
        </w:rPr>
      </w:pPr>
      <w:bookmarkStart w:id="6" w:name="_Toc20792"/>
      <w:bookmarkStart w:id="7" w:name="_Toc13630"/>
      <w:bookmarkStart w:id="8" w:name="_Toc15679"/>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eastAsia="zh-CN"/>
        </w:rPr>
        <w:t>投标人</w:t>
      </w:r>
      <w:r>
        <w:rPr>
          <w:rFonts w:hint="eastAsia" w:ascii="宋体" w:hAnsi="宋体" w:eastAsia="宋体" w:cs="宋体"/>
          <w:color w:val="auto"/>
          <w:sz w:val="28"/>
          <w:szCs w:val="28"/>
          <w:highlight w:val="none"/>
        </w:rPr>
        <w:t>资格要求</w:t>
      </w:r>
      <w:bookmarkEnd w:id="6"/>
      <w:bookmarkEnd w:id="7"/>
      <w:bookmarkEnd w:id="8"/>
    </w:p>
    <w:p w14:paraId="53CA30D3">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3.1 </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应依法设立且满足如下要求∶</w:t>
      </w:r>
    </w:p>
    <w:p w14:paraId="25A53ED4">
      <w:pPr>
        <w:pStyle w:val="19"/>
        <w:pageBreakBefore w:val="0"/>
        <w:widowControl/>
        <w:kinsoku/>
        <w:overflowPunct/>
        <w:topLinePunct w:val="0"/>
        <w:bidi w:val="0"/>
        <w:snapToGrid/>
        <w:spacing w:beforeAutospacing="0" w:afterAutospacing="0" w:line="360" w:lineRule="auto"/>
        <w:rPr>
          <w:color w:val="auto"/>
        </w:rPr>
      </w:pPr>
      <w:r>
        <w:rPr>
          <w:rFonts w:hint="eastAsia" w:ascii="宋体" w:hAnsi="宋体" w:eastAsia="宋体" w:cs="宋体"/>
          <w:color w:val="auto"/>
          <w:lang w:val="en-US" w:eastAsia="zh-CN"/>
        </w:rPr>
        <w:t>3.1.1</w:t>
      </w:r>
      <w:r>
        <w:rPr>
          <w:rFonts w:hint="eastAsia" w:ascii="宋体" w:hAnsi="宋体" w:eastAsia="宋体" w:cs="宋体"/>
          <w:color w:val="auto"/>
        </w:rPr>
        <w:t>资质要求</w:t>
      </w:r>
      <w:r>
        <w:rPr>
          <w:rFonts w:hint="eastAsia" w:ascii="宋体" w:hAnsi="宋体" w:eastAsia="宋体" w:cs="宋体"/>
          <w:color w:val="auto"/>
          <w:highlight w:val="none"/>
        </w:rPr>
        <w:t>∶</w:t>
      </w:r>
      <w:r>
        <w:rPr>
          <w:rFonts w:hint="eastAsia" w:ascii="宋体" w:hAnsi="宋体" w:eastAsia="宋体" w:cs="宋体"/>
          <w:color w:val="auto"/>
          <w:highlight w:val="none"/>
          <w:u w:val="single"/>
          <w:lang w:eastAsia="zh-CN"/>
        </w:rPr>
        <w:t>询比响应人</w:t>
      </w:r>
      <w:r>
        <w:rPr>
          <w:rFonts w:hint="eastAsia" w:ascii="宋体" w:hAnsi="宋体" w:eastAsia="宋体" w:cs="宋体"/>
          <w:color w:val="auto"/>
          <w:highlight w:val="none"/>
          <w:u w:val="single"/>
        </w:rPr>
        <w:t>须</w:t>
      </w:r>
      <w:r>
        <w:rPr>
          <w:rFonts w:hint="eastAsia" w:ascii="宋体" w:hAnsi="宋体" w:eastAsia="宋体" w:cs="宋体"/>
          <w:color w:val="auto"/>
          <w:highlight w:val="none"/>
          <w:u w:val="single"/>
          <w:lang w:val="en-US" w:eastAsia="zh-CN"/>
        </w:rPr>
        <w:t>具备建筑装修装饰工程贰级(含贰级) 及以上资质；</w:t>
      </w:r>
    </w:p>
    <w:p w14:paraId="4EA16EC1">
      <w:pPr>
        <w:pStyle w:val="19"/>
        <w:pageBreakBefore w:val="0"/>
        <w:widowControl/>
        <w:kinsoku/>
        <w:overflowPunct/>
        <w:topLinePunct w:val="0"/>
        <w:bidi w:val="0"/>
        <w:snapToGrid/>
        <w:spacing w:beforeAutospacing="0" w:afterAutospacing="0" w:line="360" w:lineRule="auto"/>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3.1.2</w:t>
      </w:r>
      <w:r>
        <w:rPr>
          <w:rFonts w:hint="eastAsia" w:ascii="宋体" w:hAnsi="宋体" w:eastAsia="宋体" w:cs="宋体"/>
          <w:color w:val="auto"/>
          <w:highlight w:val="none"/>
          <w:u w:val="single"/>
          <w:lang w:eastAsia="zh-CN"/>
        </w:rPr>
        <w:t>询比响应人</w:t>
      </w:r>
      <w:r>
        <w:rPr>
          <w:rFonts w:hint="eastAsia" w:ascii="宋体" w:hAnsi="宋体" w:eastAsia="宋体" w:cs="宋体"/>
          <w:color w:val="auto"/>
          <w:highlight w:val="none"/>
          <w:u w:val="single"/>
        </w:rPr>
        <w:t>须具有有效</w:t>
      </w:r>
      <w:r>
        <w:rPr>
          <w:rFonts w:hint="eastAsia" w:ascii="宋体" w:hAnsi="宋体" w:eastAsia="宋体" w:cs="宋体"/>
          <w:color w:val="auto"/>
          <w:highlight w:val="none"/>
          <w:u w:val="single"/>
          <w:lang w:eastAsia="zh-CN"/>
        </w:rPr>
        <w:t>期内</w:t>
      </w:r>
      <w:r>
        <w:rPr>
          <w:rFonts w:hint="eastAsia" w:ascii="宋体" w:hAnsi="宋体" w:eastAsia="宋体" w:cs="宋体"/>
          <w:color w:val="auto"/>
          <w:highlight w:val="none"/>
          <w:u w:val="single"/>
        </w:rPr>
        <w:t>的安全生产许可证；</w:t>
      </w:r>
    </w:p>
    <w:p w14:paraId="0DE5813A">
      <w:pPr>
        <w:pStyle w:val="19"/>
        <w:pageBreakBefore w:val="0"/>
        <w:widowControl/>
        <w:numPr>
          <w:ilvl w:val="0"/>
          <w:numId w:val="2"/>
        </w:numPr>
        <w:kinsoku/>
        <w:overflowPunct/>
        <w:topLinePunct w:val="0"/>
        <w:bidi w:val="0"/>
        <w:snapToGrid/>
        <w:spacing w:beforeAutospacing="0" w:afterAutospacing="0" w:line="360" w:lineRule="auto"/>
        <w:rPr>
          <w:rFonts w:hint="eastAsia" w:ascii="宋体" w:hAnsi="宋体" w:eastAsia="宋体" w:cs="宋体"/>
          <w:color w:val="auto"/>
          <w:highlight w:val="none"/>
          <w:u w:val="single"/>
          <w:lang w:val="zh-CN"/>
        </w:rPr>
      </w:pPr>
      <w:r>
        <w:rPr>
          <w:rFonts w:hint="eastAsia" w:ascii="宋体" w:hAnsi="宋体" w:eastAsia="宋体" w:cs="宋体"/>
          <w:color w:val="auto"/>
          <w:highlight w:val="none"/>
        </w:rPr>
        <w:t>财务要求∶</w:t>
      </w:r>
      <w:r>
        <w:rPr>
          <w:rFonts w:hint="eastAsia" w:ascii="宋体" w:hAnsi="宋体" w:eastAsia="宋体" w:cs="宋体"/>
          <w:color w:val="auto"/>
          <w:highlight w:val="none"/>
          <w:u w:val="single"/>
          <w:lang w:val="zh-CN"/>
        </w:rPr>
        <w:t>提供基本开户银行近三个月内出具的资信证明（同时提供基本存款账户开户许可证或基本账户开户信息）或</w:t>
      </w:r>
      <w:r>
        <w:rPr>
          <w:rFonts w:hint="eastAsia" w:ascii="宋体" w:hAnsi="宋体" w:eastAsia="宋体" w:cs="宋体"/>
          <w:color w:val="auto"/>
          <w:highlight w:val="none"/>
          <w:u w:val="single"/>
          <w:lang w:val="en-US" w:eastAsia="zh-CN"/>
        </w:rPr>
        <w:t>2025年度</w:t>
      </w:r>
      <w:r>
        <w:rPr>
          <w:rFonts w:hint="eastAsia" w:ascii="宋体" w:hAnsi="宋体" w:eastAsia="宋体" w:cs="宋体"/>
          <w:color w:val="auto"/>
          <w:highlight w:val="none"/>
          <w:u w:val="single"/>
          <w:lang w:val="zh-CN"/>
        </w:rPr>
        <w:t>经第三方审计的财务状况报告，包括资产负债表、现金流量表、利润表和财务（会计）报表附注；</w:t>
      </w:r>
    </w:p>
    <w:p w14:paraId="092CAC72">
      <w:pPr>
        <w:pStyle w:val="19"/>
        <w:pageBreakBefore w:val="0"/>
        <w:widowControl/>
        <w:numPr>
          <w:ilvl w:val="0"/>
          <w:numId w:val="0"/>
        </w:numPr>
        <w:kinsoku/>
        <w:overflowPunct/>
        <w:topLinePunct w:val="0"/>
        <w:bidi w:val="0"/>
        <w:snapToGrid/>
        <w:spacing w:beforeAutospacing="0" w:afterAutospacing="0" w:line="360" w:lineRule="auto"/>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lang w:val="en-US" w:eastAsia="zh-CN"/>
        </w:rPr>
        <w:t>注：</w:t>
      </w:r>
      <w:r>
        <w:rPr>
          <w:rFonts w:hint="eastAsia" w:ascii="宋体" w:hAnsi="宋体" w:eastAsia="宋体" w:cs="宋体"/>
          <w:b/>
          <w:bCs/>
          <w:color w:val="auto"/>
          <w:highlight w:val="none"/>
          <w:u w:val="single"/>
          <w:lang w:val="zh-CN"/>
        </w:rPr>
        <w:t>《关于加强审计报告查验工作的通知》要求，审计公司出具的审计报告要上传至注册会计师行业统一监管平台并申请赋码），提供的审计报告必须</w:t>
      </w:r>
      <w:r>
        <w:rPr>
          <w:rFonts w:hint="eastAsia" w:ascii="宋体" w:hAnsi="宋体" w:eastAsia="宋体" w:cs="宋体"/>
          <w:b/>
          <w:bCs/>
          <w:color w:val="auto"/>
          <w:highlight w:val="none"/>
          <w:u w:val="single"/>
          <w:lang w:val="en-US" w:eastAsia="zh-CN"/>
        </w:rPr>
        <w:t>保证有</w:t>
      </w:r>
      <w:r>
        <w:rPr>
          <w:rFonts w:hint="eastAsia" w:ascii="宋体" w:hAnsi="宋体" w:eastAsia="宋体" w:cs="宋体"/>
          <w:b/>
          <w:bCs/>
          <w:color w:val="auto"/>
          <w:highlight w:val="none"/>
          <w:u w:val="single"/>
          <w:lang w:val="zh-CN"/>
        </w:rPr>
        <w:t>申请赋码且可扫扫描查询，</w:t>
      </w:r>
      <w:r>
        <w:rPr>
          <w:rFonts w:hint="eastAsia" w:ascii="宋体" w:hAnsi="宋体" w:eastAsia="宋体" w:cs="宋体"/>
          <w:b/>
          <w:bCs/>
          <w:color w:val="auto"/>
          <w:highlight w:val="none"/>
          <w:u w:val="single"/>
          <w:lang w:val="en-US" w:eastAsia="zh-CN"/>
        </w:rPr>
        <w:t>否则按否决投标处理</w:t>
      </w:r>
      <w:r>
        <w:rPr>
          <w:rFonts w:hint="eastAsia" w:ascii="宋体" w:hAnsi="宋体" w:eastAsia="宋体" w:cs="宋体"/>
          <w:b/>
          <w:bCs/>
          <w:color w:val="auto"/>
          <w:highlight w:val="none"/>
          <w:u w:val="single"/>
          <w:lang w:val="zh-CN"/>
        </w:rPr>
        <w:t>；</w:t>
      </w:r>
    </w:p>
    <w:p w14:paraId="45AE0EC4">
      <w:pPr>
        <w:pStyle w:val="19"/>
        <w:pageBreakBefore w:val="0"/>
        <w:widowControl/>
        <w:kinsoku/>
        <w:overflowPunct/>
        <w:topLinePunct w:val="0"/>
        <w:bidi w:val="0"/>
        <w:snapToGrid/>
        <w:spacing w:beforeAutospacing="0" w:afterAutospacing="0" w:line="360" w:lineRule="auto"/>
        <w:rPr>
          <w:rFonts w:hint="default" w:ascii="宋体" w:hAnsi="宋体" w:eastAsia="宋体" w:cs="宋体"/>
          <w:color w:val="auto"/>
          <w:highlight w:val="none"/>
          <w:u w:val="single"/>
          <w:lang w:val="en-US" w:eastAsia="zh-CN"/>
        </w:rPr>
      </w:pPr>
      <w:r>
        <w:rPr>
          <w:rFonts w:hint="eastAsia" w:ascii="宋体" w:hAnsi="宋体" w:eastAsia="宋体" w:cs="宋体"/>
          <w:color w:val="auto"/>
          <w:highlight w:val="none"/>
        </w:rPr>
        <w:t>（3）业绩要求∶</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p>
    <w:p w14:paraId="48E1E1FC">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（4）信誉要求∶</w:t>
      </w:r>
      <w:r>
        <w:rPr>
          <w:rFonts w:hint="eastAsia" w:ascii="宋体" w:hAnsi="宋体" w:eastAsia="宋体" w:cs="宋体"/>
          <w:color w:val="auto"/>
          <w:highlight w:val="none"/>
          <w:u w:val="single"/>
        </w:rPr>
        <w:t>在“信用中国”网站（www.creditchina.gov.cn）和“青海省工程建设监管和信用管理平台”（139.170.150.135）中被列入严重失信主体名单的市场主体，限制其参加工程建设项目招标投标活动</w:t>
      </w:r>
      <w:r>
        <w:rPr>
          <w:rFonts w:hint="eastAsia" w:ascii="宋体" w:hAnsi="宋体" w:eastAsia="宋体" w:cs="宋体"/>
          <w:color w:val="auto"/>
          <w:sz w:val="24"/>
          <w:highlight w:val="none"/>
          <w:u w:val="single"/>
        </w:rPr>
        <w:t>。</w:t>
      </w:r>
    </w:p>
    <w:p w14:paraId="788C7563">
      <w:pPr>
        <w:pStyle w:val="19"/>
        <w:pageBreakBefore w:val="0"/>
        <w:widowControl/>
        <w:numPr>
          <w:ilvl w:val="0"/>
          <w:numId w:val="0"/>
        </w:numPr>
        <w:kinsoku/>
        <w:overflowPunct/>
        <w:topLinePunct w:val="0"/>
        <w:bidi w:val="0"/>
        <w:snapToGrid/>
        <w:spacing w:beforeAutospacing="0" w:afterAutospacing="0" w:line="360" w:lineRule="auto"/>
        <w:ind w:leftChars="100" w:right="0" w:right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承担本项目的主要人员要求∶</w:t>
      </w:r>
      <w:r>
        <w:rPr>
          <w:rFonts w:hint="eastAsia" w:ascii="宋体" w:hAnsi="宋体" w:eastAsia="宋体" w:cs="宋体"/>
          <w:color w:val="auto"/>
          <w:highlight w:val="none"/>
          <w:u w:val="single"/>
        </w:rPr>
        <w:t>项目经理须具备[注册二级建造师·</w:t>
      </w:r>
      <w:r>
        <w:rPr>
          <w:rFonts w:hint="eastAsia" w:ascii="宋体" w:hAnsi="宋体" w:eastAsia="宋体" w:cs="宋体"/>
          <w:color w:val="auto"/>
          <w:highlight w:val="none"/>
          <w:u w:val="single"/>
          <w:lang w:val="en-US" w:eastAsia="zh-CN"/>
        </w:rPr>
        <w:t>建筑工程</w:t>
      </w:r>
      <w:r>
        <w:rPr>
          <w:rFonts w:hint="eastAsia" w:ascii="宋体" w:hAnsi="宋体" w:eastAsia="宋体" w:cs="宋体"/>
          <w:color w:val="auto"/>
          <w:highlight w:val="none"/>
          <w:u w:val="single"/>
        </w:rPr>
        <w:t>](含)以上(含)以上注册建造师职业资格</w:t>
      </w:r>
      <w:r>
        <w:rPr>
          <w:rFonts w:hint="eastAsia" w:ascii="宋体" w:hAnsi="宋体" w:eastAsia="宋体" w:cs="宋体"/>
          <w:color w:val="auto"/>
          <w:sz w:val="24"/>
          <w:highlight w:val="none"/>
          <w:u w:val="single"/>
          <w:lang w:val="en-US" w:eastAsia="zh-CN"/>
        </w:rPr>
        <w:t>，提供建造师执业证、注册证</w:t>
      </w:r>
      <w:r>
        <w:rPr>
          <w:rFonts w:hint="eastAsia" w:ascii="宋体" w:hAnsi="宋体" w:eastAsia="宋体" w:cs="宋体"/>
          <w:color w:val="auto"/>
          <w:u w:val="single"/>
        </w:rPr>
        <w:t>和有效</w:t>
      </w:r>
      <w:r>
        <w:rPr>
          <w:rFonts w:hint="eastAsia" w:ascii="宋体" w:hAnsi="宋体" w:eastAsia="宋体" w:cs="宋体"/>
          <w:color w:val="auto"/>
          <w:sz w:val="24"/>
          <w:highlight w:val="none"/>
          <w:u w:val="single"/>
          <w:lang w:val="en-US" w:eastAsia="zh-CN"/>
        </w:rPr>
        <w:t>的安全生产考核合格证书，未同时在其他项目担任项目经理的承诺书；</w:t>
      </w:r>
    </w:p>
    <w:p w14:paraId="2136E683">
      <w:pPr>
        <w:pStyle w:val="19"/>
        <w:widowControl/>
        <w:spacing w:beforeAutospacing="0" w:afterAutospacing="0"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（6）其他：</w:t>
      </w:r>
      <w:r>
        <w:rPr>
          <w:rFonts w:hint="eastAsia" w:ascii="宋体" w:hAnsi="宋体" w:eastAsia="宋体" w:cs="宋体"/>
          <w:color w:val="auto"/>
          <w:highlight w:val="none"/>
          <w:u w:val="single"/>
          <w:lang w:val="en-US" w:eastAsia="zh-CN"/>
        </w:rPr>
        <w:t>企业注册地不在青海省辖区内的企业,应提供《青海省省外建设工程企业登记册（施工企业）》完整内容。</w:t>
      </w:r>
    </w:p>
    <w:p w14:paraId="1B580354">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3.2</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不得存在下列情形之一∶</w:t>
      </w:r>
    </w:p>
    <w:p w14:paraId="52A46F91">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（1）处于被责令停产停业、暂扣或者吊销执照、暂扣或者吊销许可证、吊销资质证书状态;</w:t>
      </w:r>
    </w:p>
    <w:p w14:paraId="64A22E9A">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（2）进入清算程序，或被宣告破产，或其他丧失履约能力的情形;</w:t>
      </w:r>
    </w:p>
    <w:p w14:paraId="2014ED19">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（3）其他∶</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p>
    <w:p w14:paraId="2AF76B07">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3.3本次</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u w:val="single"/>
        </w:rPr>
        <w:t xml:space="preserve">    不接受  （接受或不接受）</w:t>
      </w:r>
      <w:r>
        <w:rPr>
          <w:rFonts w:hint="eastAsia" w:ascii="宋体" w:hAnsi="宋体" w:eastAsia="宋体" w:cs="宋体"/>
          <w:color w:val="auto"/>
          <w:highlight w:val="none"/>
        </w:rPr>
        <w:t>联合体。</w:t>
      </w:r>
    </w:p>
    <w:p w14:paraId="4D92626C">
      <w:pPr>
        <w:pStyle w:val="19"/>
        <w:widowControl/>
        <w:spacing w:beforeAutospacing="0" w:afterAutospacing="0"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联合体参加询比采购活动的，联合体应满足本条第3.1款规定的要求，且联合体各方均不得存在本条第3.2款规定的情形。此外，联合体各方应分别满足如下条件∶</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p>
    <w:p w14:paraId="16005B98">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联合体的资格认定标准如下∶</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p>
    <w:p w14:paraId="464A5CBE">
      <w:pPr>
        <w:pStyle w:val="19"/>
        <w:widowControl/>
        <w:spacing w:beforeAutospacing="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（注∶此部分应明确由同一专业或不同专业组成的联合体中各专业的资质、财务、业绩、信誉、主要人员等的认定方法，以最终认定联合体的资格。）</w:t>
      </w:r>
    </w:p>
    <w:p w14:paraId="5F6F6098">
      <w:pPr>
        <w:pStyle w:val="19"/>
        <w:widowControl/>
        <w:spacing w:beforeAutospacing="0" w:afterAutospacing="0" w:line="360" w:lineRule="auto"/>
        <w:ind w:firstLine="480" w:firstLineChars="200"/>
        <w:rPr>
          <w:rFonts w:hint="eastAsia" w:ascii="宋体" w:hAnsi="宋体" w:eastAsia="宋体" w:cs="宋体"/>
          <w:color w:val="auto"/>
          <w:sz w:val="28"/>
          <w:szCs w:val="28"/>
          <w:highlight w:val="none"/>
        </w:rPr>
      </w:pPr>
      <w:r>
        <w:rPr>
          <w:rFonts w:hint="eastAsia" w:ascii="宋体" w:hAnsi="宋体" w:eastAsia="宋体" w:cs="宋体"/>
          <w:color w:val="auto"/>
          <w:highlight w:val="none"/>
        </w:rPr>
        <w:t>联合体应递交联合体协议书，且联合体各方不得再以自己名义单独或参加其他联合体参与本询比采购项目，否则相关响应文件均无效。</w:t>
      </w:r>
    </w:p>
    <w:p w14:paraId="031166A3">
      <w:pPr>
        <w:pStyle w:val="5"/>
        <w:spacing w:line="360" w:lineRule="auto"/>
        <w:jc w:val="both"/>
        <w:outlineLvl w:val="2"/>
        <w:rPr>
          <w:rFonts w:hint="eastAsia"/>
          <w:color w:val="auto"/>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采购范围及相关要求（</w:t>
      </w:r>
      <w:r>
        <w:rPr>
          <w:rFonts w:hint="eastAsia" w:ascii="宋体" w:hAnsi="宋体" w:cs="宋体"/>
          <w:color w:val="auto"/>
          <w:sz w:val="24"/>
          <w:szCs w:val="24"/>
          <w:highlight w:val="none"/>
          <w:lang w:val="en-US" w:eastAsia="zh-CN"/>
        </w:rPr>
        <w:t>A</w:t>
      </w:r>
      <w:r>
        <w:rPr>
          <w:rFonts w:hint="eastAsia" w:ascii="宋体" w:hAnsi="宋体" w:eastAsia="宋体" w:cs="宋体"/>
          <w:color w:val="auto"/>
          <w:sz w:val="24"/>
          <w:szCs w:val="24"/>
          <w:highlight w:val="none"/>
        </w:rPr>
        <w:t>）</w:t>
      </w:r>
    </w:p>
    <w:p w14:paraId="231164DD">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.1</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rPr>
        <w:t>范围∶</w:t>
      </w:r>
      <w:r>
        <w:rPr>
          <w:rFonts w:hint="eastAsia" w:ascii="宋体" w:hAnsi="宋体" w:eastAsia="宋体" w:cs="宋体"/>
          <w:color w:val="auto"/>
          <w:u w:val="single"/>
          <w:lang w:eastAsia="zh-CN"/>
        </w:rPr>
        <w:t>青海民族大学修业楼2-5楼北面教室改造项目，</w:t>
      </w:r>
      <w:r>
        <w:rPr>
          <w:rFonts w:hint="eastAsia" w:ascii="宋体" w:hAnsi="宋体" w:eastAsia="宋体" w:cs="宋体"/>
          <w:color w:val="auto"/>
          <w:highlight w:val="none"/>
          <w:u w:val="single"/>
          <w:lang w:val="en-US" w:eastAsia="zh-CN"/>
        </w:rPr>
        <w:t>具体内容详见工程量清单。</w:t>
      </w:r>
    </w:p>
    <w:p w14:paraId="169F46B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b/>
          <w:bCs/>
          <w:color w:val="auto"/>
          <w:sz w:val="24"/>
          <w:highlight w:val="none"/>
          <w:u w:val="single"/>
          <w:lang w:val="en-US" w:eastAsia="zh-CN"/>
        </w:rPr>
      </w:pPr>
      <w:r>
        <w:rPr>
          <w:rFonts w:hint="eastAsia" w:ascii="宋体" w:hAnsi="宋体" w:eastAsia="宋体" w:cs="宋体"/>
          <w:color w:val="auto"/>
          <w:highlight w:val="none"/>
          <w:lang w:val="en-US" w:eastAsia="zh-CN"/>
        </w:rPr>
        <w:t>1.2</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lang w:val="en-US" w:eastAsia="zh-CN"/>
        </w:rPr>
        <w:t>预算控制额度：</w:t>
      </w:r>
      <w:r>
        <w:rPr>
          <w:rFonts w:hint="eastAsia" w:ascii="宋体" w:hAnsi="宋体" w:eastAsia="宋体" w:cs="宋体"/>
          <w:color w:val="auto"/>
          <w:u w:val="single"/>
          <w:lang w:val="en-US" w:eastAsia="zh-CN"/>
        </w:rPr>
        <w:t>449686.04元（肆拾肆万玖仟陆佰捌拾陆元零角肆分）</w:t>
      </w:r>
    </w:p>
    <w:p w14:paraId="16A03539">
      <w:pPr>
        <w:pStyle w:val="19"/>
        <w:pageBreakBefore w:val="0"/>
        <w:widowControl/>
        <w:kinsoku/>
        <w:overflowPunct/>
        <w:topLinePunct w:val="0"/>
        <w:bidi w:val="0"/>
        <w:snapToGrid/>
        <w:spacing w:beforeAutospacing="0" w:afterAutospacing="0" w:line="360" w:lineRule="auto"/>
        <w:rPr>
          <w:rFonts w:hint="default" w:ascii="宋体" w:hAnsi="宋体" w:eastAsia="宋体" w:cs="宋体"/>
          <w:color w:val="auto"/>
          <w:highlight w:val="none"/>
          <w:u w:val="single"/>
          <w:lang w:val="en-US" w:eastAsia="zh-CN"/>
        </w:rPr>
      </w:pPr>
      <w:r>
        <w:rPr>
          <w:rFonts w:hint="eastAsia" w:ascii="宋体" w:hAnsi="宋体" w:eastAsia="宋体" w:cs="宋体"/>
          <w:color w:val="auto"/>
          <w:highlight w:val="none"/>
          <w:lang w:val="en-US" w:eastAsia="zh-CN"/>
        </w:rPr>
        <w:t>1.3计划工期∶</w:t>
      </w:r>
      <w:r>
        <w:rPr>
          <w:rFonts w:hint="eastAsia" w:ascii="宋体" w:hAnsi="宋体" w:eastAsia="宋体" w:cs="宋体"/>
          <w:color w:val="auto"/>
          <w:u w:val="single"/>
          <w:lang w:val="en-US" w:eastAsia="zh-CN"/>
        </w:rPr>
        <w:t>20天</w:t>
      </w:r>
    </w:p>
    <w:p w14:paraId="04FBE575">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建设地点∶</w:t>
      </w:r>
      <w:r>
        <w:rPr>
          <w:rFonts w:hint="eastAsia" w:ascii="宋体" w:hAnsi="宋体" w:eastAsia="宋体" w:cs="宋体"/>
          <w:color w:val="auto"/>
          <w:highlight w:val="none"/>
          <w:u w:val="single"/>
          <w:lang w:val="en-US" w:eastAsia="zh-CN"/>
        </w:rPr>
        <w:t>青海民族大学</w:t>
      </w:r>
    </w:p>
    <w:p w14:paraId="0CEDAA4C">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质量要求∶</w:t>
      </w:r>
      <w:r>
        <w:rPr>
          <w:rFonts w:hint="eastAsia" w:ascii="宋体" w:hAnsi="宋体" w:eastAsia="宋体" w:cs="宋体"/>
          <w:color w:val="auto"/>
          <w:highlight w:val="none"/>
          <w:u w:val="single"/>
        </w:rPr>
        <w:t xml:space="preserve">符合现行国家有关工程施工验收规范和标准的要求合格标准  </w:t>
      </w:r>
    </w:p>
    <w:p w14:paraId="0FA3E315">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u w:val="single"/>
        </w:rPr>
      </w:pPr>
      <w:r>
        <w:rPr>
          <w:rFonts w:hint="eastAsia" w:ascii="宋体" w:hAnsi="宋体" w:eastAsia="宋体" w:cs="宋体"/>
          <w:color w:val="auto"/>
          <w:lang w:val="en-US" w:eastAsia="zh-CN"/>
        </w:rPr>
        <w:t>1</w:t>
      </w:r>
      <w:r>
        <w:rPr>
          <w:rFonts w:hint="eastAsia" w:ascii="宋体" w:hAnsi="宋体" w:eastAsia="宋体" w:cs="宋体"/>
          <w:color w:val="auto"/>
        </w:rPr>
        <w:t>.</w:t>
      </w:r>
      <w:r>
        <w:rPr>
          <w:rFonts w:hint="eastAsia" w:ascii="宋体" w:hAnsi="宋体" w:eastAsia="宋体" w:cs="宋体"/>
          <w:color w:val="auto"/>
          <w:lang w:val="en-US" w:eastAsia="zh-CN"/>
        </w:rPr>
        <w:t>6</w:t>
      </w:r>
      <w:r>
        <w:rPr>
          <w:rFonts w:hint="eastAsia" w:ascii="宋体" w:hAnsi="宋体" w:eastAsia="宋体" w:cs="宋体"/>
          <w:color w:val="auto"/>
        </w:rPr>
        <w:t>安全目标∶</w:t>
      </w:r>
      <w:r>
        <w:rPr>
          <w:rFonts w:hint="eastAsia" w:ascii="宋体" w:hAnsi="宋体" w:eastAsia="宋体" w:cs="宋体"/>
          <w:color w:val="auto"/>
          <w:u w:val="single"/>
        </w:rPr>
        <w:t xml:space="preserve">符合国家现行有关标准要求   </w:t>
      </w:r>
    </w:p>
    <w:p w14:paraId="000C6ECC">
      <w:pPr>
        <w:pStyle w:val="19"/>
        <w:pageBreakBefore w:val="0"/>
        <w:widowControl/>
        <w:kinsoku/>
        <w:overflowPunct/>
        <w:topLinePunct w:val="0"/>
        <w:bidi w:val="0"/>
        <w:snapToGrid/>
        <w:spacing w:beforeAutospacing="0" w:afterAutospacing="0" w:line="360" w:lineRule="auto"/>
        <w:rPr>
          <w:rFonts w:hint="default" w:ascii="宋体" w:hAnsi="宋体" w:eastAsia="宋体" w:cs="宋体"/>
          <w:color w:val="auto"/>
          <w:u w:val="none"/>
          <w:lang w:val="en-US" w:eastAsia="zh-CN"/>
        </w:rPr>
      </w:pPr>
      <w:r>
        <w:rPr>
          <w:rFonts w:hint="eastAsia" w:ascii="宋体" w:hAnsi="宋体" w:eastAsia="宋体" w:cs="宋体"/>
          <w:color w:val="auto"/>
          <w:u w:val="none"/>
          <w:lang w:val="en-US" w:eastAsia="zh-CN"/>
        </w:rPr>
        <w:t>1.7质量保修期：两年</w:t>
      </w:r>
    </w:p>
    <w:p w14:paraId="42C9E6E5">
      <w:pPr>
        <w:pStyle w:val="5"/>
        <w:spacing w:line="360" w:lineRule="auto"/>
        <w:jc w:val="both"/>
        <w:outlineLvl w:val="2"/>
        <w:rPr>
          <w:rFonts w:hint="eastAsia" w:ascii="宋体" w:hAnsi="宋体" w:eastAsia="宋体" w:cs="宋体"/>
          <w:color w:val="auto"/>
          <w:sz w:val="24"/>
          <w:szCs w:val="24"/>
          <w:highlight w:val="none"/>
        </w:rPr>
      </w:pPr>
      <w:bookmarkStart w:id="9" w:name="_Toc16711"/>
      <w:bookmarkStart w:id="10" w:name="_Toc19839"/>
      <w:bookmarkStart w:id="11" w:name="_Toc29237"/>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采购范围及相关要求（B）</w:t>
      </w:r>
      <w:bookmarkEnd w:id="9"/>
      <w:bookmarkEnd w:id="10"/>
      <w:bookmarkEnd w:id="11"/>
      <w:r>
        <w:rPr>
          <w:rFonts w:hint="eastAsia" w:ascii="宋体" w:hAnsi="宋体" w:eastAsia="宋体" w:cs="宋体"/>
          <w:color w:val="auto"/>
          <w:sz w:val="24"/>
          <w:szCs w:val="24"/>
          <w:highlight w:val="none"/>
        </w:rPr>
        <w:t>（本项目不适用）</w:t>
      </w:r>
    </w:p>
    <w:p w14:paraId="2376359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采购</w:t>
      </w:r>
      <w:r>
        <w:rPr>
          <w:rFonts w:hint="eastAsia" w:ascii="宋体" w:hAnsi="宋体" w:eastAsia="宋体" w:cs="宋体"/>
          <w:color w:val="auto"/>
          <w:sz w:val="24"/>
          <w:highlight w:val="none"/>
        </w:rPr>
        <w:t>范围∶</w:t>
      </w:r>
      <w:r>
        <w:rPr>
          <w:rFonts w:hint="eastAsia" w:ascii="宋体" w:hAnsi="宋体" w:eastAsia="宋体" w:cs="宋体"/>
          <w:color w:val="auto"/>
          <w:highlight w:val="none"/>
          <w:u w:val="single"/>
        </w:rPr>
        <w:t xml:space="preserve">                                   </w:t>
      </w:r>
    </w:p>
    <w:p w14:paraId="73BAB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2.2采购预算控制额度：</w:t>
      </w:r>
      <w:r>
        <w:rPr>
          <w:rFonts w:hint="eastAsia" w:ascii="宋体" w:hAnsi="宋体" w:eastAsia="宋体" w:cs="宋体"/>
          <w:color w:val="auto"/>
          <w:highlight w:val="none"/>
          <w:u w:val="single"/>
        </w:rPr>
        <w:t xml:space="preserve">                          </w:t>
      </w:r>
    </w:p>
    <w:p w14:paraId="71FB4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交货期</w:t>
      </w:r>
      <w:r>
        <w:rPr>
          <w:rFonts w:hint="eastAsia" w:ascii="宋体" w:hAnsi="宋体" w:eastAsia="宋体" w:cs="宋体"/>
          <w:color w:val="auto"/>
          <w:sz w:val="24"/>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p>
    <w:p w14:paraId="0E9653A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交货</w:t>
      </w:r>
      <w:r>
        <w:rPr>
          <w:rFonts w:hint="eastAsia" w:ascii="宋体" w:hAnsi="宋体" w:eastAsia="宋体" w:cs="宋体"/>
          <w:color w:val="auto"/>
          <w:sz w:val="24"/>
          <w:highlight w:val="none"/>
        </w:rPr>
        <w:t>地点∶</w:t>
      </w:r>
      <w:r>
        <w:rPr>
          <w:rFonts w:hint="eastAsia" w:ascii="宋体" w:hAnsi="宋体" w:eastAsia="宋体" w:cs="宋体"/>
          <w:color w:val="auto"/>
          <w:sz w:val="24"/>
          <w:highlight w:val="none"/>
          <w:u w:val="single"/>
          <w:lang w:eastAsia="zh-CN"/>
        </w:rPr>
        <w:t xml:space="preserve"> </w:t>
      </w:r>
      <w:r>
        <w:rPr>
          <w:rFonts w:hint="eastAsia" w:ascii="宋体" w:hAnsi="宋体" w:eastAsia="宋体" w:cs="宋体"/>
          <w:color w:val="auto"/>
          <w:highlight w:val="none"/>
          <w:u w:val="single"/>
        </w:rPr>
        <w:t xml:space="preserve">                                  </w:t>
      </w:r>
    </w:p>
    <w:p w14:paraId="58C6634C">
      <w:pPr>
        <w:pStyle w:val="19"/>
        <w:widowControl/>
        <w:spacing w:beforeAutospacing="0" w:afterAutospacing="0" w:line="360" w:lineRule="auto"/>
        <w:rPr>
          <w:rFonts w:hint="eastAsia" w:ascii="宋体" w:hAnsi="宋体" w:eastAsia="宋体" w:cs="宋体"/>
          <w:color w:val="auto"/>
          <w:highlight w:val="none"/>
          <w:u w:val="singl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货物质量标准或主要技术性能指标</w:t>
      </w:r>
      <w:r>
        <w:rPr>
          <w:rFonts w:hint="eastAsia" w:ascii="宋体" w:hAnsi="宋体" w:eastAsia="宋体" w:cs="宋体"/>
          <w:color w:val="auto"/>
          <w:sz w:val="24"/>
          <w:highlight w:val="none"/>
        </w:rPr>
        <w:t>∶</w:t>
      </w:r>
      <w:r>
        <w:rPr>
          <w:rFonts w:hint="eastAsia" w:ascii="宋体" w:hAnsi="宋体" w:eastAsia="宋体" w:cs="宋体"/>
          <w:color w:val="auto"/>
          <w:highlight w:val="none"/>
          <w:u w:val="single"/>
        </w:rPr>
        <w:t xml:space="preserve">         </w:t>
      </w:r>
    </w:p>
    <w:p w14:paraId="62C2F56F">
      <w:pPr>
        <w:pStyle w:val="5"/>
        <w:jc w:val="both"/>
        <w:outlineLvl w:val="2"/>
        <w:rPr>
          <w:rFonts w:hint="eastAsia" w:ascii="宋体" w:hAnsi="宋体" w:eastAsia="宋体" w:cs="宋体"/>
          <w:color w:val="auto"/>
          <w:sz w:val="24"/>
          <w:szCs w:val="24"/>
          <w:highlight w:val="none"/>
        </w:rPr>
      </w:pPr>
      <w:bookmarkStart w:id="12" w:name="_Toc5286"/>
      <w:bookmarkStart w:id="13" w:name="_Toc24536"/>
      <w:bookmarkStart w:id="14" w:name="_Toc4365"/>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采购范围及相关要求（C）（本项目不适用）</w:t>
      </w:r>
      <w:bookmarkEnd w:id="12"/>
      <w:bookmarkEnd w:id="13"/>
      <w:bookmarkEnd w:id="14"/>
    </w:p>
    <w:p w14:paraId="3E5F0DC3">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.1采购范围∶</w:t>
      </w:r>
      <w:r>
        <w:rPr>
          <w:rFonts w:hint="eastAsia" w:ascii="宋体" w:hAnsi="宋体" w:eastAsia="宋体" w:cs="宋体"/>
          <w:color w:val="auto"/>
          <w:highlight w:val="none"/>
          <w:u w:val="single"/>
        </w:rPr>
        <w:t xml:space="preserve">                                     </w:t>
      </w:r>
    </w:p>
    <w:p w14:paraId="036FAE3F">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.2服务期限∶</w:t>
      </w:r>
      <w:r>
        <w:rPr>
          <w:rFonts w:hint="eastAsia" w:ascii="宋体" w:hAnsi="宋体" w:eastAsia="宋体" w:cs="宋体"/>
          <w:color w:val="auto"/>
          <w:highlight w:val="none"/>
          <w:u w:val="single"/>
        </w:rPr>
        <w:t xml:space="preserve">                                     </w:t>
      </w:r>
    </w:p>
    <w:p w14:paraId="7DDBC2B1">
      <w:pPr>
        <w:pStyle w:val="19"/>
        <w:widowControl/>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.3服务地点∶</w:t>
      </w:r>
      <w:r>
        <w:rPr>
          <w:rFonts w:hint="eastAsia" w:ascii="宋体" w:hAnsi="宋体" w:eastAsia="宋体" w:cs="宋体"/>
          <w:color w:val="auto"/>
          <w:highlight w:val="none"/>
          <w:u w:val="single"/>
        </w:rPr>
        <w:t xml:space="preserve">                                     </w:t>
      </w:r>
    </w:p>
    <w:p w14:paraId="0FB31130">
      <w:pPr>
        <w:pStyle w:val="19"/>
        <w:widowControl/>
        <w:spacing w:beforeAutospacing="0" w:afterAutospacing="0"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.4 质量要求或服务标准∶</w:t>
      </w:r>
      <w:r>
        <w:rPr>
          <w:rFonts w:hint="eastAsia" w:ascii="宋体" w:hAnsi="宋体" w:eastAsia="宋体" w:cs="宋体"/>
          <w:color w:val="auto"/>
          <w:highlight w:val="none"/>
          <w:u w:val="single"/>
        </w:rPr>
        <w:t xml:space="preserve">                          </w:t>
      </w:r>
    </w:p>
    <w:p w14:paraId="51481A3F">
      <w:pPr>
        <w:pStyle w:val="4"/>
        <w:jc w:val="center"/>
        <w:rPr>
          <w:rFonts w:hint="eastAsia" w:ascii="宋体" w:hAnsi="宋体" w:eastAsia="宋体" w:cs="宋体"/>
          <w:color w:val="auto"/>
          <w:sz w:val="28"/>
          <w:szCs w:val="28"/>
          <w:highlight w:val="none"/>
        </w:rPr>
      </w:pPr>
      <w:bookmarkStart w:id="15" w:name="_Toc3339"/>
      <w:bookmarkStart w:id="16" w:name="_Toc17366"/>
      <w:r>
        <w:rPr>
          <w:rFonts w:hint="eastAsia" w:ascii="宋体" w:hAnsi="宋体" w:eastAsia="宋体" w:cs="宋体"/>
          <w:color w:val="auto"/>
          <w:sz w:val="28"/>
          <w:szCs w:val="28"/>
          <w:highlight w:val="none"/>
        </w:rPr>
        <w:t>4采购文件的获取</w:t>
      </w:r>
      <w:bookmarkEnd w:id="15"/>
      <w:bookmarkEnd w:id="16"/>
    </w:p>
    <w:p w14:paraId="08734CE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4.1有意参加</w:t>
      </w:r>
      <w:r>
        <w:rPr>
          <w:rFonts w:hint="eastAsia" w:ascii="宋体" w:hAnsi="宋体" w:eastAsia="宋体" w:cs="宋体"/>
          <w:color w:val="auto"/>
          <w:highlight w:val="none"/>
          <w:lang w:eastAsia="zh-CN"/>
        </w:rPr>
        <w:t>询比</w:t>
      </w:r>
      <w:r>
        <w:rPr>
          <w:rFonts w:hint="eastAsia" w:ascii="宋体" w:hAnsi="宋体" w:eastAsia="宋体" w:cs="宋体"/>
          <w:color w:val="auto"/>
          <w:highlight w:val="none"/>
        </w:rPr>
        <w:t>采购活动的单位，请于</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eastAsia="宋体" w:cs="宋体"/>
          <w:color w:val="auto"/>
          <w:sz w:val="24"/>
          <w:szCs w:val="24"/>
          <w:highlight w:val="none"/>
          <w:u w:val="single"/>
          <w:lang w:val="en-US" w:eastAsia="zh-CN"/>
        </w:rPr>
        <w:t>27</w:t>
      </w:r>
      <w:r>
        <w:rPr>
          <w:rFonts w:hint="eastAsia" w:ascii="宋体" w:hAnsi="宋体" w:eastAsia="宋体" w:cs="宋体"/>
          <w:color w:val="auto"/>
          <w:sz w:val="24"/>
          <w:szCs w:val="24"/>
          <w:highlight w:val="none"/>
          <w:u w:val="single"/>
        </w:rPr>
        <w:t>日至202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10月30</w:t>
      </w:r>
      <w:r>
        <w:rPr>
          <w:rFonts w:hint="eastAsia" w:ascii="宋体" w:hAnsi="宋体" w:eastAsia="宋体" w:cs="宋体"/>
          <w:color w:val="auto"/>
          <w:sz w:val="24"/>
          <w:szCs w:val="24"/>
          <w:highlight w:val="none"/>
          <w:u w:val="single"/>
        </w:rPr>
        <w:t>日</w:t>
      </w:r>
      <w:r>
        <w:rPr>
          <w:rFonts w:hint="eastAsia" w:ascii="宋体" w:hAnsi="宋体" w:eastAsia="宋体" w:cs="宋体"/>
          <w:color w:val="auto"/>
          <w:highlight w:val="none"/>
        </w:rPr>
        <w:t>，每日上午</w:t>
      </w:r>
      <w:r>
        <w:rPr>
          <w:rFonts w:hint="eastAsia" w:ascii="宋体" w:hAnsi="宋体" w:eastAsia="宋体" w:cs="宋体"/>
          <w:color w:val="auto"/>
          <w:highlight w:val="none"/>
          <w:u w:val="single"/>
          <w:lang w:val="en-US" w:eastAsia="zh-CN"/>
        </w:rPr>
        <w:t>09:00</w:t>
      </w:r>
      <w:r>
        <w:rPr>
          <w:rFonts w:hint="eastAsia" w:ascii="宋体" w:hAnsi="宋体" w:eastAsia="宋体" w:cs="宋体"/>
          <w:color w:val="auto"/>
          <w:highlight w:val="none"/>
        </w:rPr>
        <w:t>时至</w:t>
      </w:r>
      <w:r>
        <w:rPr>
          <w:rFonts w:hint="eastAsia" w:ascii="宋体" w:hAnsi="宋体" w:eastAsia="宋体" w:cs="宋体"/>
          <w:color w:val="auto"/>
          <w:highlight w:val="none"/>
          <w:u w:val="single"/>
          <w:lang w:val="en-US" w:eastAsia="zh-CN"/>
        </w:rPr>
        <w:t>12:00</w:t>
      </w:r>
      <w:r>
        <w:rPr>
          <w:rFonts w:hint="eastAsia" w:ascii="宋体" w:hAnsi="宋体" w:eastAsia="宋体" w:cs="宋体"/>
          <w:color w:val="auto"/>
          <w:highlight w:val="none"/>
        </w:rPr>
        <w:t>时，下午</w:t>
      </w:r>
      <w:r>
        <w:rPr>
          <w:rFonts w:hint="eastAsia" w:ascii="宋体" w:hAnsi="宋体" w:eastAsia="宋体" w:cs="宋体"/>
          <w:color w:val="auto"/>
          <w:highlight w:val="none"/>
          <w:u w:val="single"/>
          <w:lang w:val="en-US" w:eastAsia="zh-CN"/>
        </w:rPr>
        <w:t>14:00</w:t>
      </w:r>
      <w:r>
        <w:rPr>
          <w:rFonts w:hint="eastAsia" w:ascii="宋体" w:hAnsi="宋体" w:eastAsia="宋体" w:cs="宋体"/>
          <w:color w:val="auto"/>
          <w:highlight w:val="none"/>
        </w:rPr>
        <w:t>时至</w:t>
      </w:r>
      <w:r>
        <w:rPr>
          <w:rFonts w:hint="eastAsia" w:ascii="宋体" w:hAnsi="宋体" w:eastAsia="宋体" w:cs="宋体"/>
          <w:color w:val="auto"/>
          <w:highlight w:val="none"/>
          <w:u w:val="single"/>
          <w:lang w:val="en-US" w:eastAsia="zh-CN"/>
        </w:rPr>
        <w:t>17:30</w:t>
      </w:r>
      <w:r>
        <w:rPr>
          <w:rFonts w:hint="eastAsia" w:ascii="宋体" w:hAnsi="宋体" w:eastAsia="宋体" w:cs="宋体"/>
          <w:color w:val="auto"/>
          <w:highlight w:val="none"/>
        </w:rPr>
        <w:t>时（北京时间，下同），在</w:t>
      </w:r>
      <w:r>
        <w:rPr>
          <w:rFonts w:hint="eastAsia" w:ascii="宋体" w:hAnsi="宋体" w:eastAsia="宋体" w:cs="宋体"/>
          <w:color w:val="auto"/>
          <w:highlight w:val="none"/>
          <w:u w:val="single"/>
        </w:rPr>
        <w:t>青海省西宁市西川南路76号万达中心1号写字楼6楼10608室购买</w:t>
      </w:r>
      <w:r>
        <w:rPr>
          <w:rFonts w:hint="eastAsia" w:ascii="宋体" w:hAnsi="宋体" w:eastAsia="宋体" w:cs="宋体"/>
          <w:color w:val="auto"/>
          <w:highlight w:val="none"/>
          <w:u w:val="single"/>
          <w:lang w:eastAsia="zh-CN"/>
        </w:rPr>
        <w:t>询比</w:t>
      </w:r>
      <w:r>
        <w:rPr>
          <w:rFonts w:hint="eastAsia" w:ascii="宋体" w:hAnsi="宋体" w:eastAsia="宋体" w:cs="宋体"/>
          <w:color w:val="auto"/>
          <w:highlight w:val="none"/>
          <w:u w:val="single"/>
        </w:rPr>
        <w:t>采购文件</w:t>
      </w:r>
      <w:r>
        <w:rPr>
          <w:rFonts w:hint="eastAsia" w:ascii="宋体" w:hAnsi="宋体" w:eastAsia="宋体" w:cs="宋体"/>
          <w:color w:val="auto"/>
          <w:highlight w:val="none"/>
        </w:rPr>
        <w:t>。</w:t>
      </w:r>
    </w:p>
    <w:p w14:paraId="06F86DF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color w:val="auto"/>
          <w:highlight w:val="none"/>
        </w:rPr>
      </w:pPr>
      <w:r>
        <w:rPr>
          <w:rFonts w:hint="eastAsia" w:ascii="宋体" w:hAnsi="宋体" w:eastAsia="宋体" w:cs="宋体"/>
          <w:color w:val="auto"/>
          <w:highlight w:val="none"/>
        </w:rPr>
        <w:t>4.2采购文件每套售价</w:t>
      </w:r>
      <w:r>
        <w:rPr>
          <w:rFonts w:hint="eastAsia" w:ascii="宋体" w:hAnsi="宋体" w:eastAsia="宋体" w:cs="宋体"/>
          <w:color w:val="auto"/>
          <w:highlight w:val="none"/>
          <w:u w:val="single"/>
          <w:lang w:val="en-US" w:eastAsia="zh-CN"/>
        </w:rPr>
        <w:t>500元</w:t>
      </w:r>
      <w:r>
        <w:rPr>
          <w:rFonts w:hint="eastAsia" w:ascii="宋体" w:hAnsi="宋体" w:eastAsia="宋体" w:cs="宋体"/>
          <w:color w:val="auto"/>
          <w:highlight w:val="none"/>
        </w:rPr>
        <w:t>，售后不退。</w:t>
      </w:r>
    </w:p>
    <w:p w14:paraId="29EFC5CE">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4.3采购文件获取方式：线下获取；</w:t>
      </w:r>
    </w:p>
    <w:p w14:paraId="73FED088">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color w:val="auto"/>
          <w:kern w:val="0"/>
          <w:sz w:val="24"/>
          <w:szCs w:val="24"/>
          <w:highlight w:val="none"/>
          <w:lang w:val="en-US" w:eastAsia="zh-CN" w:bidi="ar"/>
        </w:rPr>
        <w:t>4.4获取采购文件所需资料：</w:t>
      </w:r>
      <w:r>
        <w:rPr>
          <w:rFonts w:hint="eastAsia" w:ascii="宋体" w:hAnsi="宋体" w:eastAsia="宋体" w:cs="宋体"/>
          <w:color w:val="auto"/>
          <w:kern w:val="0"/>
          <w:sz w:val="24"/>
          <w:szCs w:val="24"/>
          <w:highlight w:val="none"/>
          <w:u w:val="single"/>
          <w:lang w:val="en-US" w:eastAsia="zh-CN" w:bidi="ar"/>
        </w:rPr>
        <w:t>营业执照副本复印件（加盖单位公章）、法定代表人证明书（含法定代表人身份证复印件）、法定代表人授权书（含委托代理人身份证复印件）以上资料除原件外均需加盖投标单位公章；</w:t>
      </w:r>
    </w:p>
    <w:p w14:paraId="544ED020">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注：投标询比响应人必须在报名时间截止前向</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kern w:val="0"/>
          <w:sz w:val="24"/>
          <w:szCs w:val="24"/>
          <w:highlight w:val="none"/>
          <w:lang w:val="en-US" w:eastAsia="zh-CN" w:bidi="ar"/>
        </w:rPr>
        <w:t>代理机构提交报名资料及标书费（标书费以</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kern w:val="0"/>
          <w:sz w:val="24"/>
          <w:szCs w:val="24"/>
          <w:highlight w:val="none"/>
          <w:lang w:val="en-US" w:eastAsia="zh-CN" w:bidi="ar"/>
        </w:rPr>
        <w:t>代理机构帐户到账时间或开具收据为准），报名时间截止后递交的潜在投标询比响应人均无资格参加此次投标。</w:t>
      </w:r>
    </w:p>
    <w:p w14:paraId="7071119E">
      <w:pPr>
        <w:pStyle w:val="4"/>
        <w:spacing w:line="360" w:lineRule="auto"/>
        <w:jc w:val="center"/>
        <w:rPr>
          <w:rFonts w:hint="eastAsia" w:ascii="宋体" w:hAnsi="宋体" w:eastAsia="宋体" w:cs="宋体"/>
          <w:color w:val="auto"/>
          <w:sz w:val="28"/>
          <w:szCs w:val="28"/>
          <w:highlight w:val="none"/>
        </w:rPr>
      </w:pPr>
      <w:bookmarkStart w:id="17" w:name="_Toc11449"/>
      <w:bookmarkStart w:id="18" w:name="_Toc1063"/>
      <w:bookmarkStart w:id="19" w:name="_Toc27963"/>
      <w:r>
        <w:rPr>
          <w:rFonts w:hint="eastAsia" w:ascii="宋体" w:hAnsi="宋体" w:eastAsia="宋体" w:cs="宋体"/>
          <w:color w:val="auto"/>
          <w:sz w:val="28"/>
          <w:szCs w:val="28"/>
          <w:highlight w:val="none"/>
        </w:rPr>
        <w:t>5响应文件的递交</w:t>
      </w:r>
      <w:bookmarkEnd w:id="17"/>
      <w:bookmarkEnd w:id="18"/>
      <w:bookmarkEnd w:id="19"/>
    </w:p>
    <w:p w14:paraId="59BFE1B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u w:val="single"/>
          <w:lang w:val="en-US" w:eastAsia="zh-CN" w:bidi="ar"/>
        </w:rPr>
      </w:pPr>
      <w:bookmarkStart w:id="20" w:name="_Toc2765"/>
      <w:bookmarkStart w:id="21" w:name="_Toc20423"/>
      <w:r>
        <w:rPr>
          <w:rFonts w:hint="eastAsia" w:ascii="宋体" w:hAnsi="宋体" w:eastAsia="宋体" w:cs="宋体"/>
          <w:color w:val="auto"/>
          <w:kern w:val="0"/>
          <w:sz w:val="24"/>
          <w:szCs w:val="24"/>
          <w:highlight w:val="none"/>
          <w:lang w:val="en-US" w:eastAsia="zh-CN" w:bidi="ar"/>
        </w:rPr>
        <w:t>5.1响应文件递交的截止时间为</w:t>
      </w:r>
      <w:r>
        <w:rPr>
          <w:rFonts w:hint="eastAsia" w:ascii="宋体" w:hAnsi="宋体" w:eastAsia="宋体" w:cs="宋体"/>
          <w:b w:val="0"/>
          <w:bCs w:val="0"/>
          <w:color w:val="auto"/>
          <w:kern w:val="0"/>
          <w:sz w:val="24"/>
          <w:szCs w:val="24"/>
          <w:highlight w:val="none"/>
          <w:u w:val="single"/>
          <w:lang w:val="en-US" w:eastAsia="zh-CN" w:bidi="ar"/>
        </w:rPr>
        <w:t>2026年11月03日上午09时00分（北京时间）</w:t>
      </w:r>
      <w:r>
        <w:rPr>
          <w:rFonts w:hint="eastAsia" w:ascii="宋体" w:hAnsi="宋体" w:eastAsia="宋体" w:cs="宋体"/>
          <w:color w:val="auto"/>
          <w:kern w:val="0"/>
          <w:sz w:val="24"/>
          <w:szCs w:val="24"/>
          <w:highlight w:val="none"/>
          <w:lang w:val="en-US" w:eastAsia="zh-CN" w:bidi="ar"/>
        </w:rPr>
        <w:t>，地点为</w:t>
      </w:r>
      <w:r>
        <w:rPr>
          <w:rFonts w:hint="eastAsia" w:ascii="宋体" w:hAnsi="宋体" w:eastAsia="宋体" w:cs="宋体"/>
          <w:color w:val="auto"/>
          <w:sz w:val="24"/>
          <w:highlight w:val="none"/>
          <w:u w:val="single"/>
        </w:rPr>
        <w:t>青海省西宁市西川南路76号万达中心1号写字楼6楼1060</w:t>
      </w:r>
      <w:r>
        <w:rPr>
          <w:rFonts w:hint="eastAsia" w:ascii="宋体" w:hAnsi="宋体" w:eastAsia="宋体" w:cs="宋体"/>
          <w:color w:val="auto"/>
          <w:sz w:val="24"/>
          <w:highlight w:val="none"/>
          <w:u w:val="single"/>
          <w:lang w:val="en-US" w:eastAsia="zh-CN"/>
        </w:rPr>
        <w:t>5</w:t>
      </w:r>
      <w:r>
        <w:rPr>
          <w:rFonts w:hint="eastAsia" w:ascii="宋体" w:hAnsi="宋体" w:eastAsia="宋体" w:cs="宋体"/>
          <w:color w:val="auto"/>
          <w:sz w:val="24"/>
          <w:highlight w:val="none"/>
          <w:u w:val="single"/>
        </w:rPr>
        <w:t>室</w:t>
      </w:r>
    </w:p>
    <w:p w14:paraId="1CD7A86C">
      <w:pPr>
        <w:jc w:val="both"/>
        <w:outlineLvl w:val="9"/>
        <w:rPr>
          <w:rFonts w:hint="eastAsia" w:ascii="宋体" w:hAnsi="宋体" w:eastAsia="宋体" w:cs="宋体"/>
          <w:b w:val="0"/>
          <w:bCs w:val="0"/>
          <w:color w:val="auto"/>
          <w:kern w:val="0"/>
          <w:sz w:val="24"/>
          <w:szCs w:val="24"/>
          <w:highlight w:val="none"/>
          <w:lang w:val="en-US" w:eastAsia="zh-CN" w:bidi="ar"/>
        </w:rPr>
      </w:pPr>
      <w:bookmarkStart w:id="22" w:name="_Toc17445"/>
      <w:r>
        <w:rPr>
          <w:rFonts w:hint="eastAsia" w:ascii="宋体" w:hAnsi="宋体" w:eastAsia="宋体" w:cs="宋体"/>
          <w:b w:val="0"/>
          <w:bCs w:val="0"/>
          <w:color w:val="auto"/>
          <w:kern w:val="0"/>
          <w:sz w:val="24"/>
          <w:szCs w:val="24"/>
          <w:highlight w:val="none"/>
          <w:lang w:val="en-US" w:eastAsia="zh-CN" w:bidi="ar"/>
        </w:rPr>
        <w:t>5.2逾期送达的、未送达指定地点的响应文件，</w:t>
      </w:r>
      <w:r>
        <w:rPr>
          <w:rFonts w:hint="eastAsia" w:ascii="宋体" w:hAnsi="宋体" w:eastAsia="宋体" w:cs="宋体"/>
          <w:color w:val="auto"/>
          <w:kern w:val="0"/>
          <w:sz w:val="24"/>
          <w:highlight w:val="none"/>
          <w:lang w:val="en-US" w:eastAsia="zh-CN"/>
        </w:rPr>
        <w:t>采购</w:t>
      </w:r>
      <w:r>
        <w:rPr>
          <w:rFonts w:hint="eastAsia" w:ascii="宋体" w:hAnsi="宋体" w:eastAsia="宋体" w:cs="宋体"/>
          <w:b w:val="0"/>
          <w:bCs w:val="0"/>
          <w:color w:val="auto"/>
          <w:kern w:val="0"/>
          <w:sz w:val="24"/>
          <w:szCs w:val="24"/>
          <w:highlight w:val="none"/>
          <w:lang w:val="en-US" w:eastAsia="zh-CN" w:bidi="ar"/>
        </w:rPr>
        <w:t>人将拒绝接收</w:t>
      </w:r>
      <w:bookmarkEnd w:id="22"/>
    </w:p>
    <w:p w14:paraId="3ECF427D">
      <w:pPr>
        <w:pStyle w:val="4"/>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6响应文件开启时间和地点</w:t>
      </w:r>
      <w:bookmarkEnd w:id="20"/>
      <w:bookmarkEnd w:id="21"/>
    </w:p>
    <w:p w14:paraId="197D49A4">
      <w:pPr>
        <w:pStyle w:val="19"/>
        <w:widowControl/>
        <w:spacing w:beforeAutospacing="0" w:afterAutospacing="0" w:line="360" w:lineRule="auto"/>
        <w:ind w:firstLine="48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响应文件开启在响应文件递交截止时间的同一时间进行，地点为响应文件递交地点。邀请所有</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的法定代表人（单位负责人）或其授权的代理人参加开启会议，</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未派代表参加开启会议的，视为默认开启结果。</w:t>
      </w:r>
    </w:p>
    <w:p w14:paraId="69AFBC0C">
      <w:pPr>
        <w:pStyle w:val="4"/>
        <w:spacing w:line="360" w:lineRule="auto"/>
        <w:jc w:val="center"/>
        <w:rPr>
          <w:rFonts w:hint="eastAsia" w:ascii="宋体" w:hAnsi="宋体" w:eastAsia="宋体" w:cs="宋体"/>
          <w:color w:val="auto"/>
          <w:sz w:val="28"/>
          <w:szCs w:val="28"/>
          <w:highlight w:val="none"/>
        </w:rPr>
      </w:pPr>
      <w:bookmarkStart w:id="23" w:name="_Toc2048"/>
      <w:bookmarkStart w:id="24" w:name="_Toc9741"/>
      <w:bookmarkStart w:id="25" w:name="_Toc8516"/>
      <w:r>
        <w:rPr>
          <w:rFonts w:hint="eastAsia" w:ascii="宋体" w:hAnsi="宋体" w:eastAsia="宋体" w:cs="宋体"/>
          <w:color w:val="auto"/>
          <w:sz w:val="28"/>
          <w:szCs w:val="28"/>
          <w:highlight w:val="none"/>
        </w:rPr>
        <w:t>7 发布公告的媒介</w:t>
      </w:r>
      <w:bookmarkEnd w:id="23"/>
      <w:bookmarkEnd w:id="24"/>
      <w:bookmarkEnd w:id="25"/>
    </w:p>
    <w:p w14:paraId="2E4710C7">
      <w:pPr>
        <w:pStyle w:val="19"/>
        <w:widowControl/>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本询比采购公告在</w:t>
      </w:r>
      <w:r>
        <w:rPr>
          <w:rFonts w:hint="eastAsia" w:ascii="宋体" w:hAnsi="宋体" w:eastAsia="宋体" w:cs="宋体"/>
          <w:color w:val="auto"/>
          <w:highlight w:val="none"/>
          <w:u w:val="single"/>
        </w:rPr>
        <w:t>中国采购与招标网、</w:t>
      </w:r>
      <w:r>
        <w:rPr>
          <w:rFonts w:hint="eastAsia" w:ascii="宋体" w:hAnsi="宋体" w:eastAsia="宋体" w:cs="宋体"/>
          <w:color w:val="auto"/>
          <w:highlight w:val="none"/>
          <w:u w:val="single"/>
          <w:lang w:eastAsia="zh-CN"/>
        </w:rPr>
        <w:t>青海项目信息网、</w:t>
      </w:r>
      <w:r>
        <w:rPr>
          <w:rFonts w:hint="eastAsia" w:ascii="宋体" w:hAnsi="宋体" w:eastAsia="宋体" w:cs="宋体"/>
          <w:color w:val="auto"/>
          <w:highlight w:val="none"/>
          <w:u w:val="single"/>
        </w:rPr>
        <w:t>上海容基工程项目管理有限公司青海分公司</w:t>
      </w:r>
      <w:r>
        <w:rPr>
          <w:rFonts w:hint="eastAsia" w:ascii="宋体" w:hAnsi="宋体" w:eastAsia="宋体" w:cs="宋体"/>
          <w:color w:val="auto"/>
          <w:highlight w:val="none"/>
          <w:u w:val="single"/>
          <w:lang w:eastAsia="zh-CN"/>
        </w:rPr>
        <w:t>官网</w:t>
      </w:r>
      <w:r>
        <w:rPr>
          <w:rFonts w:hint="eastAsia" w:ascii="宋体" w:hAnsi="宋体" w:eastAsia="宋体" w:cs="宋体"/>
          <w:color w:val="auto"/>
          <w:highlight w:val="none"/>
          <w:u w:val="single"/>
        </w:rPr>
        <w:t>（http://rongjiqinghai.aly20.qzkey.com/）</w:t>
      </w:r>
      <w:r>
        <w:rPr>
          <w:rFonts w:hint="eastAsia" w:ascii="宋体" w:hAnsi="宋体" w:eastAsia="宋体" w:cs="宋体"/>
          <w:color w:val="auto"/>
          <w:highlight w:val="none"/>
        </w:rPr>
        <w:t>上发布。</w:t>
      </w:r>
    </w:p>
    <w:p w14:paraId="3F55969A">
      <w:pPr>
        <w:pStyle w:val="19"/>
        <w:widowControl/>
        <w:spacing w:beforeAutospacing="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（注∶国有资金占控股或主导地位的采购项目，</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sz w:val="24"/>
          <w:szCs w:val="24"/>
          <w:highlight w:val="none"/>
        </w:rPr>
        <w:t>公告应在中国招标投标公共服务平台发布，或者通过省级电子招标投标公共服务平台在中国招标投标公共服务平台发布。）</w:t>
      </w:r>
    </w:p>
    <w:p w14:paraId="00A2070D">
      <w:pPr>
        <w:pStyle w:val="4"/>
        <w:spacing w:line="360" w:lineRule="auto"/>
        <w:jc w:val="center"/>
        <w:rPr>
          <w:rFonts w:hint="eastAsia" w:ascii="宋体" w:hAnsi="宋体" w:eastAsia="宋体" w:cs="宋体"/>
          <w:color w:val="auto"/>
          <w:sz w:val="28"/>
          <w:szCs w:val="28"/>
          <w:highlight w:val="none"/>
        </w:rPr>
      </w:pPr>
      <w:bookmarkStart w:id="26" w:name="_Toc29898"/>
      <w:bookmarkStart w:id="27" w:name="_Toc17468"/>
      <w:bookmarkStart w:id="28" w:name="_Toc6983"/>
      <w:r>
        <w:rPr>
          <w:rFonts w:hint="eastAsia" w:ascii="宋体" w:hAnsi="宋体" w:eastAsia="宋体" w:cs="宋体"/>
          <w:color w:val="auto"/>
          <w:sz w:val="28"/>
          <w:szCs w:val="28"/>
          <w:highlight w:val="none"/>
        </w:rPr>
        <w:t>8 其他</w:t>
      </w:r>
      <w:bookmarkEnd w:id="26"/>
      <w:bookmarkEnd w:id="27"/>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无</w:t>
      </w:r>
      <w:bookmarkEnd w:id="28"/>
    </w:p>
    <w:p w14:paraId="2B991DD3">
      <w:pPr>
        <w:pStyle w:val="19"/>
        <w:widowControl/>
        <w:spacing w:beforeAutospacing="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（注∶可根据项目情况简述采购项目评审方法等其他需要说明的内容。）</w:t>
      </w:r>
    </w:p>
    <w:p w14:paraId="7584B7F8">
      <w:pPr>
        <w:pStyle w:val="4"/>
        <w:spacing w:line="360" w:lineRule="auto"/>
        <w:jc w:val="center"/>
        <w:rPr>
          <w:rFonts w:hint="eastAsia" w:ascii="宋体" w:hAnsi="宋体" w:eastAsia="宋体" w:cs="宋体"/>
          <w:b/>
          <w:bCs/>
          <w:color w:val="auto"/>
          <w:sz w:val="28"/>
          <w:szCs w:val="28"/>
          <w:highlight w:val="none"/>
        </w:rPr>
      </w:pPr>
      <w:bookmarkStart w:id="29" w:name="_Toc32318"/>
      <w:bookmarkStart w:id="30" w:name="_Toc9289"/>
      <w:bookmarkStart w:id="31" w:name="_Toc16102"/>
      <w:r>
        <w:rPr>
          <w:rFonts w:hint="eastAsia" w:ascii="宋体" w:hAnsi="宋体" w:eastAsia="宋体" w:cs="宋体"/>
          <w:color w:val="auto"/>
          <w:sz w:val="28"/>
          <w:szCs w:val="28"/>
          <w:highlight w:val="none"/>
        </w:rPr>
        <w:t xml:space="preserve">9 </w:t>
      </w:r>
      <w:bookmarkEnd w:id="29"/>
      <w:bookmarkEnd w:id="30"/>
      <w:r>
        <w:rPr>
          <w:rFonts w:hint="eastAsia" w:ascii="宋体" w:hAnsi="宋体" w:eastAsia="宋体" w:cs="宋体"/>
          <w:b/>
          <w:bCs/>
          <w:color w:val="auto"/>
          <w:sz w:val="28"/>
          <w:szCs w:val="28"/>
          <w:highlight w:val="none"/>
        </w:rPr>
        <w:t>联系方式</w:t>
      </w:r>
      <w:bookmarkEnd w:id="31"/>
    </w:p>
    <w:tbl>
      <w:tblPr>
        <w:tblStyle w:val="23"/>
        <w:tblW w:w="10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7"/>
        <w:gridCol w:w="5212"/>
      </w:tblGrid>
      <w:tr w14:paraId="6218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2" w:hRule="atLeast"/>
          <w:jc w:val="center"/>
        </w:trPr>
        <w:tc>
          <w:tcPr>
            <w:tcW w:w="4887" w:type="dxa"/>
          </w:tcPr>
          <w:p w14:paraId="65FD2182">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sz w:val="24"/>
                <w:szCs w:val="24"/>
                <w:highlight w:val="none"/>
                <w:u w:val="none"/>
              </w:rPr>
              <w:t>人∶</w:t>
            </w:r>
            <w:r>
              <w:rPr>
                <w:rFonts w:hint="eastAsia" w:ascii="宋体" w:hAnsi="宋体" w:eastAsia="宋体" w:cs="宋体"/>
                <w:color w:val="auto"/>
                <w:sz w:val="24"/>
                <w:szCs w:val="24"/>
                <w:highlight w:val="none"/>
                <w:u w:val="none"/>
                <w:lang w:eastAsia="zh-CN"/>
              </w:rPr>
              <w:t xml:space="preserve">青海民族大学 </w:t>
            </w:r>
            <w:r>
              <w:rPr>
                <w:rFonts w:hint="eastAsia" w:ascii="宋体" w:hAnsi="宋体" w:eastAsia="宋体" w:cs="宋体"/>
                <w:color w:val="auto"/>
                <w:sz w:val="24"/>
                <w:szCs w:val="24"/>
                <w:highlight w:val="none"/>
                <w:u w:val="none"/>
                <w:lang w:val="en-US" w:eastAsia="zh-CN"/>
              </w:rPr>
              <w:t xml:space="preserve">     </w:t>
            </w:r>
          </w:p>
        </w:tc>
        <w:tc>
          <w:tcPr>
            <w:tcW w:w="5212" w:type="dxa"/>
          </w:tcPr>
          <w:p w14:paraId="53EC016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vertAlign w:val="baseline"/>
                <w:lang w:val="en-US" w:eastAsia="zh-CN"/>
              </w:rPr>
              <w:t>采购代理机构</w:t>
            </w:r>
            <w:r>
              <w:rPr>
                <w:rFonts w:hint="eastAsia" w:ascii="宋体" w:hAnsi="宋体" w:eastAsia="宋体" w:cs="宋体"/>
                <w:color w:val="auto"/>
                <w:sz w:val="24"/>
                <w:szCs w:val="24"/>
                <w:highlight w:val="none"/>
                <w:u w:val="none"/>
                <w:vertAlign w:val="baseline"/>
              </w:rPr>
              <w:t>∶上海容基工程项目管理有限公司</w:t>
            </w:r>
            <w:r>
              <w:rPr>
                <w:rFonts w:hint="eastAsia" w:ascii="宋体" w:hAnsi="宋体" w:eastAsia="宋体" w:cs="宋体"/>
                <w:color w:val="auto"/>
                <w:sz w:val="24"/>
                <w:szCs w:val="24"/>
                <w:highlight w:val="none"/>
                <w:u w:val="none"/>
                <w:vertAlign w:val="baseline"/>
                <w:lang w:val="en-US" w:eastAsia="zh-CN"/>
              </w:rPr>
              <w:t xml:space="preserve">   </w:t>
            </w:r>
          </w:p>
        </w:tc>
      </w:tr>
      <w:tr w14:paraId="4279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4887" w:type="dxa"/>
          </w:tcPr>
          <w:p w14:paraId="6CD2391F">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lang w:eastAsia="zh-CN"/>
              </w:rPr>
            </w:pPr>
            <w:r>
              <w:rPr>
                <w:rFonts w:hint="eastAsia" w:ascii="宋体" w:hAnsi="宋体" w:eastAsia="宋体" w:cs="宋体"/>
                <w:color w:val="auto"/>
                <w:sz w:val="24"/>
                <w:szCs w:val="24"/>
                <w:highlight w:val="none"/>
                <w:u w:val="none"/>
              </w:rPr>
              <w:t>地址∶</w:t>
            </w:r>
            <w:r>
              <w:rPr>
                <w:rFonts w:hint="eastAsia" w:ascii="宋体" w:hAnsi="宋体" w:eastAsia="宋体" w:cs="宋体"/>
                <w:color w:val="auto"/>
                <w:sz w:val="24"/>
                <w:szCs w:val="24"/>
                <w:highlight w:val="none"/>
                <w:u w:val="none"/>
                <w:lang w:val="zh-CN" w:eastAsia="zh-CN"/>
              </w:rPr>
              <w:t>西宁市城东区博雅路与夏都大街交叉口西150米</w:t>
            </w:r>
          </w:p>
        </w:tc>
        <w:tc>
          <w:tcPr>
            <w:tcW w:w="5212" w:type="dxa"/>
          </w:tcPr>
          <w:p w14:paraId="425B5859">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rPr>
              <w:t>地</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址∶</w:t>
            </w:r>
            <w:r>
              <w:rPr>
                <w:rFonts w:hint="eastAsia" w:ascii="宋体" w:hAnsi="宋体" w:eastAsia="宋体" w:cs="宋体"/>
                <w:color w:val="auto"/>
                <w:sz w:val="24"/>
                <w:szCs w:val="24"/>
                <w:highlight w:val="none"/>
                <w:u w:val="none"/>
                <w:lang w:val="zh-CN"/>
              </w:rPr>
              <w:t>青海省西宁市西川南路</w:t>
            </w:r>
            <w:r>
              <w:rPr>
                <w:rFonts w:hint="eastAsia" w:ascii="宋体" w:hAnsi="宋体" w:eastAsia="宋体" w:cs="宋体"/>
                <w:color w:val="auto"/>
                <w:sz w:val="24"/>
                <w:szCs w:val="24"/>
                <w:highlight w:val="none"/>
                <w:u w:val="none"/>
              </w:rPr>
              <w:t>76</w:t>
            </w:r>
            <w:r>
              <w:rPr>
                <w:rFonts w:hint="eastAsia" w:ascii="宋体" w:hAnsi="宋体" w:eastAsia="宋体" w:cs="宋体"/>
                <w:color w:val="auto"/>
                <w:sz w:val="24"/>
                <w:szCs w:val="24"/>
                <w:highlight w:val="none"/>
                <w:u w:val="none"/>
                <w:lang w:val="zh-CN"/>
              </w:rPr>
              <w:t>号万达中心</w:t>
            </w: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val="zh-CN"/>
              </w:rPr>
              <w:t>号写字楼</w:t>
            </w:r>
            <w:r>
              <w:rPr>
                <w:rFonts w:hint="eastAsia" w:ascii="宋体" w:hAnsi="宋体" w:eastAsia="宋体" w:cs="宋体"/>
                <w:color w:val="auto"/>
                <w:sz w:val="24"/>
                <w:szCs w:val="24"/>
                <w:highlight w:val="none"/>
                <w:u w:val="none"/>
              </w:rPr>
              <w:t>6</w:t>
            </w:r>
            <w:r>
              <w:rPr>
                <w:rFonts w:hint="eastAsia" w:ascii="宋体" w:hAnsi="宋体" w:eastAsia="宋体" w:cs="宋体"/>
                <w:color w:val="auto"/>
                <w:sz w:val="24"/>
                <w:szCs w:val="24"/>
                <w:highlight w:val="none"/>
                <w:u w:val="none"/>
                <w:lang w:val="zh-CN"/>
              </w:rPr>
              <w:t>楼</w:t>
            </w:r>
            <w:r>
              <w:rPr>
                <w:rFonts w:hint="eastAsia" w:ascii="宋体" w:hAnsi="宋体" w:eastAsia="宋体" w:cs="宋体"/>
                <w:color w:val="auto"/>
                <w:sz w:val="24"/>
                <w:szCs w:val="24"/>
                <w:highlight w:val="none"/>
                <w:u w:val="none"/>
              </w:rPr>
              <w:t>10608</w:t>
            </w:r>
            <w:r>
              <w:rPr>
                <w:rFonts w:hint="eastAsia" w:ascii="宋体" w:hAnsi="宋体" w:eastAsia="宋体" w:cs="宋体"/>
                <w:color w:val="auto"/>
                <w:sz w:val="24"/>
                <w:szCs w:val="24"/>
                <w:highlight w:val="none"/>
                <w:u w:val="none"/>
                <w:lang w:val="zh-CN"/>
              </w:rPr>
              <w:t>室</w:t>
            </w:r>
          </w:p>
        </w:tc>
      </w:tr>
      <w:tr w14:paraId="7366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887" w:type="dxa"/>
          </w:tcPr>
          <w:p w14:paraId="3925CC8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rPr>
              <w:t>邮政编码∶</w:t>
            </w:r>
            <w:r>
              <w:rPr>
                <w:rFonts w:hint="eastAsia" w:ascii="宋体" w:hAnsi="宋体" w:eastAsia="宋体" w:cs="宋体"/>
                <w:color w:val="auto"/>
                <w:sz w:val="24"/>
                <w:szCs w:val="24"/>
                <w:highlight w:val="none"/>
                <w:u w:val="none"/>
                <w:lang w:val="en-US" w:eastAsia="zh-CN"/>
              </w:rPr>
              <w:t xml:space="preserve">  /          </w:t>
            </w:r>
          </w:p>
        </w:tc>
        <w:tc>
          <w:tcPr>
            <w:tcW w:w="5212" w:type="dxa"/>
          </w:tcPr>
          <w:p w14:paraId="0B155ABB">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rPr>
              <w:t>邮政编码∶</w:t>
            </w:r>
            <w:r>
              <w:rPr>
                <w:rFonts w:hint="eastAsia" w:ascii="宋体" w:hAnsi="宋体" w:eastAsia="宋体" w:cs="宋体"/>
                <w:color w:val="auto"/>
                <w:sz w:val="24"/>
                <w:szCs w:val="24"/>
                <w:highlight w:val="none"/>
                <w:u w:val="none"/>
                <w:lang w:val="en-US" w:eastAsia="zh-CN"/>
              </w:rPr>
              <w:t>810000</w:t>
            </w:r>
          </w:p>
        </w:tc>
      </w:tr>
      <w:tr w14:paraId="17DC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887" w:type="dxa"/>
          </w:tcPr>
          <w:p w14:paraId="1A397B0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eastAsia="zh-CN"/>
              </w:rPr>
              <w:t>联</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lang w:eastAsia="zh-CN"/>
              </w:rPr>
              <w:t>系</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lang w:eastAsia="zh-CN"/>
              </w:rPr>
              <w:t>人∶</w:t>
            </w:r>
            <w:r>
              <w:rPr>
                <w:rFonts w:hint="eastAsia" w:ascii="宋体" w:hAnsi="宋体" w:eastAsia="宋体" w:cs="宋体"/>
                <w:color w:val="auto"/>
                <w:sz w:val="24"/>
                <w:szCs w:val="24"/>
                <w:highlight w:val="none"/>
                <w:u w:val="none"/>
                <w:lang w:val="en-US" w:eastAsia="zh-CN"/>
              </w:rPr>
              <w:t>李老师</w:t>
            </w:r>
          </w:p>
        </w:tc>
        <w:tc>
          <w:tcPr>
            <w:tcW w:w="5212" w:type="dxa"/>
          </w:tcPr>
          <w:p w14:paraId="1FAA4B80">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rPr>
              <w:t>联</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系</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人∶</w:t>
            </w:r>
            <w:r>
              <w:rPr>
                <w:rFonts w:hint="eastAsia" w:ascii="宋体" w:hAnsi="宋体" w:eastAsia="宋体" w:cs="宋体"/>
                <w:color w:val="auto"/>
                <w:sz w:val="24"/>
                <w:szCs w:val="24"/>
                <w:highlight w:val="none"/>
                <w:u w:val="none"/>
                <w:lang w:val="en-US" w:eastAsia="zh-CN"/>
              </w:rPr>
              <w:t xml:space="preserve">刘女士   </w:t>
            </w:r>
          </w:p>
        </w:tc>
      </w:tr>
      <w:tr w14:paraId="2A51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887" w:type="dxa"/>
          </w:tcPr>
          <w:p w14:paraId="6332A427">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eastAsia="zh-CN"/>
              </w:rPr>
              <w:t>电</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lang w:eastAsia="zh-CN"/>
              </w:rPr>
              <w:t>话∶</w:t>
            </w:r>
            <w:r>
              <w:rPr>
                <w:rFonts w:hint="eastAsia" w:ascii="宋体" w:hAnsi="宋体" w:eastAsia="宋体" w:cs="宋体"/>
                <w:color w:val="auto"/>
                <w:sz w:val="24"/>
                <w:szCs w:val="24"/>
                <w:highlight w:val="none"/>
                <w:u w:val="none"/>
                <w:lang w:val="zh-CN" w:eastAsia="zh-CN"/>
              </w:rPr>
              <w:t>0972-</w:t>
            </w:r>
            <w:r>
              <w:rPr>
                <w:rFonts w:hint="eastAsia" w:ascii="宋体" w:hAnsi="宋体" w:eastAsia="宋体" w:cs="宋体"/>
                <w:color w:val="auto"/>
                <w:sz w:val="24"/>
                <w:szCs w:val="24"/>
                <w:highlight w:val="none"/>
                <w:u w:val="none"/>
                <w:lang w:val="en-US" w:eastAsia="zh-CN"/>
              </w:rPr>
              <w:t>8802687</w:t>
            </w:r>
            <w:r>
              <w:rPr>
                <w:rFonts w:hint="eastAsia" w:ascii="宋体" w:hAnsi="宋体" w:eastAsia="宋体" w:cs="宋体"/>
                <w:color w:val="auto"/>
                <w:sz w:val="24"/>
                <w:szCs w:val="24"/>
                <w:highlight w:val="none"/>
                <w:u w:val="none"/>
                <w:lang w:eastAsia="zh-CN"/>
              </w:rPr>
              <w:t> </w:t>
            </w:r>
          </w:p>
        </w:tc>
        <w:tc>
          <w:tcPr>
            <w:tcW w:w="5212" w:type="dxa"/>
          </w:tcPr>
          <w:p w14:paraId="384700C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default" w:ascii="宋体" w:hAnsi="宋体" w:eastAsia="宋体" w:cs="宋体"/>
                <w:color w:val="auto"/>
                <w:sz w:val="24"/>
                <w:szCs w:val="24"/>
                <w:highlight w:val="none"/>
                <w:u w:val="none"/>
                <w:vertAlign w:val="baseline"/>
                <w:lang w:val="en-US"/>
              </w:rPr>
            </w:pPr>
            <w:r>
              <w:rPr>
                <w:rFonts w:hint="eastAsia" w:ascii="宋体" w:hAnsi="宋体" w:eastAsia="宋体" w:cs="宋体"/>
                <w:color w:val="auto"/>
                <w:sz w:val="24"/>
                <w:szCs w:val="24"/>
                <w:highlight w:val="none"/>
                <w:u w:val="none"/>
              </w:rPr>
              <w:t>电</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话∶0971-</w:t>
            </w:r>
            <w:r>
              <w:rPr>
                <w:rFonts w:hint="eastAsia" w:ascii="宋体" w:hAnsi="宋体" w:eastAsia="宋体" w:cs="宋体"/>
                <w:color w:val="auto"/>
                <w:sz w:val="24"/>
                <w:szCs w:val="24"/>
                <w:highlight w:val="none"/>
                <w:u w:val="none"/>
                <w:lang w:val="en-US" w:eastAsia="zh-CN"/>
              </w:rPr>
              <w:t>8166798转0</w:t>
            </w:r>
          </w:p>
        </w:tc>
      </w:tr>
      <w:tr w14:paraId="0032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887" w:type="dxa"/>
          </w:tcPr>
          <w:p w14:paraId="0801BEA3">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rPr>
              <w:t>电子邮箱∶</w:t>
            </w:r>
            <w:r>
              <w:rPr>
                <w:rFonts w:hint="eastAsia" w:ascii="宋体" w:hAnsi="宋体" w:eastAsia="宋体" w:cs="宋体"/>
                <w:color w:val="auto"/>
                <w:sz w:val="24"/>
                <w:szCs w:val="24"/>
                <w:highlight w:val="none"/>
                <w:u w:val="none"/>
                <w:lang w:val="en-US" w:eastAsia="zh-CN"/>
              </w:rPr>
              <w:t xml:space="preserve">      /             </w:t>
            </w:r>
          </w:p>
        </w:tc>
        <w:tc>
          <w:tcPr>
            <w:tcW w:w="5212" w:type="dxa"/>
          </w:tcPr>
          <w:p w14:paraId="7BF6E77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vertAlign w:val="baseline"/>
              </w:rPr>
            </w:pPr>
            <w:r>
              <w:rPr>
                <w:rFonts w:hint="eastAsia" w:ascii="宋体" w:hAnsi="宋体" w:eastAsia="宋体" w:cs="宋体"/>
                <w:color w:val="auto"/>
                <w:sz w:val="24"/>
                <w:szCs w:val="24"/>
                <w:highlight w:val="none"/>
                <w:u w:val="none"/>
              </w:rPr>
              <w:t>电子邮箱∶qhrj</w:t>
            </w:r>
            <w:r>
              <w:rPr>
                <w:rFonts w:hint="eastAsia" w:ascii="宋体" w:hAnsi="宋体" w:eastAsia="宋体" w:cs="宋体"/>
                <w:color w:val="auto"/>
                <w:sz w:val="24"/>
                <w:szCs w:val="24"/>
                <w:highlight w:val="none"/>
                <w:u w:val="none"/>
                <w:lang w:val="en-US" w:eastAsia="zh-CN"/>
              </w:rPr>
              <w:t>8812</w:t>
            </w: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val="en-US" w:eastAsia="zh-CN"/>
              </w:rPr>
              <w:t>26</w:t>
            </w:r>
            <w:r>
              <w:rPr>
                <w:rFonts w:hint="eastAsia" w:ascii="宋体" w:hAnsi="宋体" w:eastAsia="宋体" w:cs="宋体"/>
                <w:color w:val="auto"/>
                <w:sz w:val="24"/>
                <w:szCs w:val="24"/>
                <w:highlight w:val="none"/>
                <w:u w:val="none"/>
              </w:rPr>
              <w:t>.com</w:t>
            </w:r>
            <w:r>
              <w:rPr>
                <w:rFonts w:hint="eastAsia" w:ascii="宋体" w:hAnsi="宋体" w:eastAsia="宋体" w:cs="宋体"/>
                <w:color w:val="auto"/>
                <w:sz w:val="24"/>
                <w:szCs w:val="24"/>
                <w:highlight w:val="none"/>
                <w:u w:val="none"/>
                <w:lang w:val="en-US" w:eastAsia="zh-CN"/>
              </w:rPr>
              <w:t xml:space="preserve"> </w:t>
            </w:r>
          </w:p>
        </w:tc>
      </w:tr>
      <w:tr w14:paraId="43F8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4887" w:type="dxa"/>
          </w:tcPr>
          <w:p w14:paraId="6FF11544">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开户银行∶</w:t>
            </w:r>
            <w:r>
              <w:rPr>
                <w:rFonts w:hint="eastAsia" w:ascii="宋体" w:hAnsi="宋体" w:eastAsia="宋体" w:cs="宋体"/>
                <w:color w:val="auto"/>
                <w:sz w:val="24"/>
                <w:szCs w:val="24"/>
                <w:highlight w:val="none"/>
                <w:u w:val="none"/>
                <w:lang w:val="en-US" w:eastAsia="zh-CN"/>
              </w:rPr>
              <w:t xml:space="preserve">     /               </w:t>
            </w:r>
          </w:p>
        </w:tc>
        <w:tc>
          <w:tcPr>
            <w:tcW w:w="5212" w:type="dxa"/>
            <w:vAlign w:val="top"/>
          </w:tcPr>
          <w:p w14:paraId="6E4D7AE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eastAsia" w:ascii="宋体" w:hAnsi="宋体" w:eastAsia="宋体" w:cs="宋体"/>
                <w:color w:val="auto"/>
                <w:kern w:val="0"/>
                <w:sz w:val="24"/>
                <w:szCs w:val="24"/>
                <w:highlight w:val="none"/>
                <w:u w:val="none"/>
                <w:lang w:val="en-US" w:eastAsia="zh-CN" w:bidi="ar"/>
              </w:rPr>
            </w:pPr>
            <w:r>
              <w:rPr>
                <w:rFonts w:hint="eastAsia" w:ascii="宋体" w:hAnsi="宋体" w:eastAsia="宋体" w:cs="宋体"/>
                <w:color w:val="auto"/>
                <w:sz w:val="24"/>
                <w:szCs w:val="24"/>
                <w:highlight w:val="none"/>
                <w:u w:val="none"/>
              </w:rPr>
              <w:t>开户银行∶</w:t>
            </w:r>
            <w:r>
              <w:rPr>
                <w:rFonts w:hint="eastAsia" w:ascii="宋体" w:hAnsi="宋体" w:eastAsia="宋体" w:cs="宋体"/>
                <w:b w:val="0"/>
                <w:bCs/>
                <w:color w:val="auto"/>
                <w:sz w:val="24"/>
                <w:szCs w:val="24"/>
                <w:highlight w:val="none"/>
                <w:u w:val="none"/>
              </w:rPr>
              <w:t>中国工商银行股份有限公司西宁城西支行</w:t>
            </w:r>
          </w:p>
        </w:tc>
      </w:tr>
      <w:tr w14:paraId="11CE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4887" w:type="dxa"/>
          </w:tcPr>
          <w:p w14:paraId="23086A85">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textAlignment w:val="auto"/>
              <w:rPr>
                <w:rFonts w:hint="default"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eastAsia="zh-CN"/>
              </w:rPr>
              <w:t>账号：</w:t>
            </w:r>
            <w:r>
              <w:rPr>
                <w:rFonts w:hint="eastAsia" w:ascii="宋体" w:hAnsi="宋体" w:eastAsia="宋体" w:cs="宋体"/>
                <w:color w:val="auto"/>
                <w:sz w:val="24"/>
                <w:szCs w:val="24"/>
                <w:highlight w:val="none"/>
                <w:u w:val="none"/>
                <w:lang w:val="en-US" w:eastAsia="zh-CN"/>
              </w:rPr>
              <w:t>/</w:t>
            </w:r>
          </w:p>
        </w:tc>
        <w:tc>
          <w:tcPr>
            <w:tcW w:w="5212" w:type="dxa"/>
            <w:vAlign w:val="top"/>
          </w:tcPr>
          <w:p w14:paraId="6DFE492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eastAsia="zh-CN"/>
              </w:rPr>
              <w:t>账号：</w:t>
            </w:r>
            <w:r>
              <w:rPr>
                <w:rFonts w:hint="eastAsia" w:ascii="宋体" w:hAnsi="宋体" w:eastAsia="宋体" w:cs="宋体"/>
                <w:color w:val="auto"/>
                <w:sz w:val="24"/>
                <w:szCs w:val="24"/>
                <w:highlight w:val="none"/>
                <w:u w:val="none"/>
                <w:lang w:val="en-US" w:eastAsia="zh-CN"/>
              </w:rPr>
              <w:t>2806002209000006196</w:t>
            </w:r>
          </w:p>
        </w:tc>
      </w:tr>
    </w:tbl>
    <w:p w14:paraId="7671FEC1">
      <w:pPr>
        <w:rPr>
          <w:rFonts w:hint="eastAsia"/>
          <w:color w:val="auto"/>
        </w:rPr>
      </w:pPr>
    </w:p>
    <w:p w14:paraId="0F4DBA7D">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960" w:firstLineChars="2900"/>
        <w:textAlignment w:val="auto"/>
        <w:rPr>
          <w:rFonts w:hint="eastAsia" w:ascii="宋体" w:hAnsi="宋体" w:eastAsia="宋体" w:cs="宋体"/>
          <w:color w:val="auto"/>
          <w:highlight w:val="none"/>
        </w:rPr>
      </w:pPr>
      <w:r>
        <w:rPr>
          <w:rFonts w:hint="eastAsia" w:ascii="宋体" w:hAnsi="宋体" w:eastAsia="宋体" w:cs="宋体"/>
          <w:i w:val="0"/>
          <w:iCs w:val="0"/>
          <w:color w:val="auto"/>
          <w:highlight w:val="none"/>
          <w:u w:val="single"/>
          <w:lang w:val="en-US" w:eastAsia="zh-CN"/>
        </w:rPr>
        <w:t>2026</w:t>
      </w:r>
      <w:r>
        <w:rPr>
          <w:rFonts w:hint="eastAsia" w:ascii="宋体" w:hAnsi="宋体" w:eastAsia="宋体" w:cs="宋体"/>
          <w:color w:val="auto"/>
          <w:highlight w:val="none"/>
        </w:rPr>
        <w:t>年</w:t>
      </w:r>
      <w:r>
        <w:rPr>
          <w:rFonts w:hint="eastAsia" w:ascii="宋体" w:hAnsi="宋体" w:eastAsia="宋体" w:cs="宋体"/>
          <w:color w:val="auto"/>
          <w:highlight w:val="none"/>
          <w:u w:val="single"/>
          <w:lang w:val="en-US" w:eastAsia="zh-CN"/>
        </w:rPr>
        <w:t>10</w:t>
      </w:r>
      <w:r>
        <w:rPr>
          <w:rFonts w:hint="eastAsia" w:ascii="宋体" w:hAnsi="宋体" w:eastAsia="宋体" w:cs="宋体"/>
          <w:color w:val="auto"/>
          <w:highlight w:val="none"/>
        </w:rPr>
        <w:t>月</w:t>
      </w:r>
      <w:r>
        <w:rPr>
          <w:rFonts w:hint="eastAsia" w:ascii="宋体" w:hAnsi="宋体" w:eastAsia="宋体" w:cs="宋体"/>
          <w:color w:val="auto"/>
          <w:highlight w:val="none"/>
          <w:u w:val="single"/>
          <w:lang w:val="en-US" w:eastAsia="zh-CN"/>
        </w:rPr>
        <w:t>26</w:t>
      </w:r>
      <w:r>
        <w:rPr>
          <w:rFonts w:hint="eastAsia" w:ascii="宋体" w:hAnsi="宋体" w:eastAsia="宋体" w:cs="宋体"/>
          <w:color w:val="auto"/>
          <w:highlight w:val="none"/>
        </w:rPr>
        <w:t>日</w:t>
      </w:r>
    </w:p>
    <w:bookmarkEnd w:id="1034"/>
    <w:p w14:paraId="2476D7B4">
      <w:pPr>
        <w:pageBreakBefore w:val="0"/>
        <w:kinsoku/>
        <w:overflowPunct/>
        <w:topLinePunct w:val="0"/>
        <w:bidi w:val="0"/>
        <w:snapToGrid/>
        <w:spacing w:line="360" w:lineRule="auto"/>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br w:type="page"/>
      </w:r>
    </w:p>
    <w:p w14:paraId="274A53EE">
      <w:pPr>
        <w:pStyle w:val="3"/>
        <w:pageBreakBefore w:val="0"/>
        <w:kinsoku/>
        <w:overflowPunct/>
        <w:topLinePunct w:val="0"/>
        <w:bidi w:val="0"/>
        <w:snapToGrid/>
        <w:spacing w:line="360" w:lineRule="auto"/>
        <w:ind w:firstLine="1767" w:firstLineChars="400"/>
        <w:jc w:val="left"/>
        <w:rPr>
          <w:rFonts w:hint="eastAsia" w:ascii="宋体" w:hAnsi="宋体" w:eastAsia="宋体" w:cs="宋体"/>
          <w:color w:val="auto"/>
          <w:highlight w:val="none"/>
        </w:rPr>
      </w:pPr>
      <w:bookmarkStart w:id="32" w:name="_Toc30553"/>
      <w:bookmarkStart w:id="33" w:name="_Toc27589"/>
      <w:r>
        <w:rPr>
          <w:rFonts w:hint="eastAsia" w:ascii="宋体" w:hAnsi="宋体" w:eastAsia="宋体" w:cs="宋体"/>
          <w:color w:val="auto"/>
          <w:highlight w:val="none"/>
        </w:rPr>
        <w:t xml:space="preserve">第二章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w:t>
      </w:r>
      <w:bookmarkEnd w:id="32"/>
      <w:bookmarkEnd w:id="33"/>
    </w:p>
    <w:p w14:paraId="5C2A75D0">
      <w:pPr>
        <w:pStyle w:val="4"/>
        <w:pageBreakBefore w:val="0"/>
        <w:kinsoku/>
        <w:overflowPunct/>
        <w:topLinePunct w:val="0"/>
        <w:bidi w:val="0"/>
        <w:snapToGrid/>
        <w:spacing w:line="360" w:lineRule="auto"/>
        <w:ind w:firstLine="2811" w:firstLineChars="1000"/>
        <w:jc w:val="left"/>
        <w:rPr>
          <w:rFonts w:hint="eastAsia" w:ascii="宋体" w:hAnsi="宋体" w:eastAsia="宋体" w:cs="宋体"/>
          <w:color w:val="auto"/>
          <w:highlight w:val="none"/>
        </w:rPr>
      </w:pPr>
      <w:bookmarkStart w:id="34" w:name="_Toc19451"/>
      <w:bookmarkStart w:id="35" w:name="_Toc22904"/>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w:t>
      </w:r>
      <w:bookmarkEnd w:id="34"/>
      <w:bookmarkEnd w:id="35"/>
    </w:p>
    <w:tbl>
      <w:tblPr>
        <w:tblStyle w:val="23"/>
        <w:tblW w:w="10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3075"/>
        <w:gridCol w:w="6095"/>
      </w:tblGrid>
      <w:tr w14:paraId="51DE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6D3BC82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3075" w:type="dxa"/>
            <w:vAlign w:val="center"/>
          </w:tcPr>
          <w:p w14:paraId="0839671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 款 内 容</w:t>
            </w:r>
          </w:p>
        </w:tc>
        <w:tc>
          <w:tcPr>
            <w:tcW w:w="6095" w:type="dxa"/>
            <w:vAlign w:val="center"/>
          </w:tcPr>
          <w:p w14:paraId="0DD51A1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 列 内 容</w:t>
            </w:r>
          </w:p>
        </w:tc>
      </w:tr>
      <w:tr w14:paraId="41CB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1437" w:type="dxa"/>
            <w:vAlign w:val="center"/>
          </w:tcPr>
          <w:p w14:paraId="71493C2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p>
        </w:tc>
        <w:tc>
          <w:tcPr>
            <w:tcW w:w="3075" w:type="dxa"/>
            <w:vAlign w:val="center"/>
          </w:tcPr>
          <w:p w14:paraId="4427C18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6095" w:type="dxa"/>
            <w:vAlign w:val="center"/>
          </w:tcPr>
          <w:p w14:paraId="49874D0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不组织</w:t>
            </w:r>
          </w:p>
          <w:p w14:paraId="7DCEBBE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组织，踏勘时间：</w:t>
            </w:r>
            <w:r>
              <w:rPr>
                <w:rFonts w:hint="eastAsia" w:ascii="宋体" w:hAnsi="宋体" w:eastAsia="宋体" w:cs="宋体"/>
                <w:color w:val="auto"/>
                <w:sz w:val="24"/>
                <w:szCs w:val="24"/>
                <w:highlight w:val="none"/>
                <w:u w:val="single"/>
              </w:rPr>
              <w:t xml:space="preserve">                   </w:t>
            </w:r>
          </w:p>
          <w:p w14:paraId="40FE7BD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960" w:firstLineChars="4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踏勘集中地点：</w:t>
            </w:r>
            <w:r>
              <w:rPr>
                <w:rFonts w:hint="eastAsia" w:ascii="宋体" w:hAnsi="宋体" w:eastAsia="宋体" w:cs="宋体"/>
                <w:color w:val="auto"/>
                <w:sz w:val="24"/>
                <w:szCs w:val="24"/>
                <w:highlight w:val="none"/>
                <w:u w:val="single"/>
              </w:rPr>
              <w:t xml:space="preserve">              </w:t>
            </w:r>
          </w:p>
        </w:tc>
      </w:tr>
      <w:tr w14:paraId="2B24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1437" w:type="dxa"/>
            <w:vAlign w:val="center"/>
          </w:tcPr>
          <w:p w14:paraId="10569C7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3075" w:type="dxa"/>
            <w:vAlign w:val="center"/>
          </w:tcPr>
          <w:p w14:paraId="5E80BB9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询比采购预备会</w:t>
            </w:r>
          </w:p>
        </w:tc>
        <w:tc>
          <w:tcPr>
            <w:tcW w:w="6095" w:type="dxa"/>
            <w:vAlign w:val="center"/>
          </w:tcPr>
          <w:p w14:paraId="1942BDB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不召开</w:t>
            </w:r>
          </w:p>
          <w:p w14:paraId="0890F41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召开，召开时间：</w:t>
            </w:r>
            <w:r>
              <w:rPr>
                <w:rFonts w:hint="eastAsia" w:ascii="宋体" w:hAnsi="宋体" w:eastAsia="宋体" w:cs="宋体"/>
                <w:color w:val="auto"/>
                <w:sz w:val="24"/>
                <w:szCs w:val="24"/>
                <w:highlight w:val="none"/>
                <w:u w:val="single"/>
              </w:rPr>
              <w:t xml:space="preserve">                   </w:t>
            </w:r>
          </w:p>
          <w:p w14:paraId="4F3A9963">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960" w:firstLineChars="4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召开地点：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tc>
      </w:tr>
      <w:tr w14:paraId="7444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437" w:type="dxa"/>
            <w:vAlign w:val="center"/>
          </w:tcPr>
          <w:p w14:paraId="22D2A67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3075" w:type="dxa"/>
            <w:vAlign w:val="center"/>
          </w:tcPr>
          <w:p w14:paraId="034DF5F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分包（A、C）</w:t>
            </w:r>
          </w:p>
        </w:tc>
        <w:tc>
          <w:tcPr>
            <w:tcW w:w="6095" w:type="dxa"/>
            <w:vAlign w:val="center"/>
          </w:tcPr>
          <w:p w14:paraId="7281114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不得分包的内容∶</w:t>
            </w:r>
            <w:r>
              <w:rPr>
                <w:rFonts w:hint="eastAsia" w:ascii="宋体" w:hAnsi="宋体" w:eastAsia="宋体" w:cs="宋体"/>
                <w:color w:val="auto"/>
                <w:sz w:val="24"/>
                <w:szCs w:val="24"/>
                <w:highlight w:val="none"/>
                <w:u w:val="single"/>
              </w:rPr>
              <w:t xml:space="preserve">       /                  </w:t>
            </w:r>
          </w:p>
          <w:p w14:paraId="21CBD7C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对分包</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的要求∶</w:t>
            </w:r>
            <w:r>
              <w:rPr>
                <w:rFonts w:hint="eastAsia" w:ascii="宋体" w:hAnsi="宋体" w:eastAsia="宋体" w:cs="宋体"/>
                <w:color w:val="auto"/>
                <w:sz w:val="24"/>
                <w:szCs w:val="24"/>
                <w:highlight w:val="none"/>
                <w:u w:val="single"/>
              </w:rPr>
              <w:t xml:space="preserve">     /                </w:t>
            </w:r>
          </w:p>
        </w:tc>
      </w:tr>
      <w:tr w14:paraId="655B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437" w:type="dxa"/>
            <w:vAlign w:val="center"/>
          </w:tcPr>
          <w:p w14:paraId="625F509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1.10.2</w:t>
            </w:r>
          </w:p>
        </w:tc>
        <w:tc>
          <w:tcPr>
            <w:tcW w:w="3075" w:type="dxa"/>
            <w:vAlign w:val="center"/>
          </w:tcPr>
          <w:p w14:paraId="2F9A305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对非关键条款的偏差</w:t>
            </w:r>
          </w:p>
        </w:tc>
        <w:tc>
          <w:tcPr>
            <w:tcW w:w="6095" w:type="dxa"/>
            <w:vAlign w:val="center"/>
          </w:tcPr>
          <w:p w14:paraId="2DD342A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highlight w:val="none"/>
              </w:rPr>
              <w:sym w:font="Wingdings" w:char="00FE"/>
            </w:r>
            <w:r>
              <w:rPr>
                <w:rFonts w:hint="eastAsia" w:ascii="宋体" w:hAnsi="宋体" w:eastAsia="宋体" w:cs="宋体"/>
                <w:color w:val="auto"/>
                <w:sz w:val="24"/>
                <w:highlight w:val="none"/>
              </w:rPr>
              <w:t>不适用</w:t>
            </w:r>
          </w:p>
          <w:p w14:paraId="5FEF1A0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允许偏差的范围∶</w:t>
            </w:r>
            <w:r>
              <w:rPr>
                <w:rFonts w:hint="eastAsia" w:ascii="宋体" w:hAnsi="宋体" w:eastAsia="宋体" w:cs="宋体"/>
                <w:color w:val="auto"/>
                <w:sz w:val="24"/>
                <w:szCs w:val="24"/>
                <w:highlight w:val="none"/>
                <w:u w:val="single"/>
              </w:rPr>
              <w:t xml:space="preserve">      /                   </w:t>
            </w:r>
          </w:p>
          <w:p w14:paraId="6BD2A96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仓许偏差的项数∶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w:t>
            </w:r>
          </w:p>
        </w:tc>
      </w:tr>
      <w:tr w14:paraId="38F5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71BCBBC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2.1(7)</w:t>
            </w:r>
          </w:p>
        </w:tc>
        <w:tc>
          <w:tcPr>
            <w:tcW w:w="3075" w:type="dxa"/>
            <w:vAlign w:val="center"/>
          </w:tcPr>
          <w:p w14:paraId="25BC84A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构成采购文件的其他资料</w:t>
            </w:r>
          </w:p>
        </w:tc>
        <w:tc>
          <w:tcPr>
            <w:tcW w:w="6095" w:type="dxa"/>
            <w:vAlign w:val="center"/>
          </w:tcPr>
          <w:p w14:paraId="08A8CF66">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资料名称∶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rPr>
              <w:t>采购文件澄清或修改</w:t>
            </w:r>
            <w:r>
              <w:rPr>
                <w:rFonts w:hint="eastAsia" w:ascii="宋体" w:hAnsi="宋体" w:eastAsia="宋体" w:cs="宋体"/>
                <w:color w:val="auto"/>
                <w:sz w:val="24"/>
                <w:szCs w:val="24"/>
                <w:highlight w:val="none"/>
                <w:u w:val="single"/>
              </w:rPr>
              <w:t xml:space="preserve">             </w:t>
            </w:r>
          </w:p>
        </w:tc>
      </w:tr>
      <w:tr w14:paraId="4A58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0EFD12AA">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3075" w:type="dxa"/>
            <w:vAlign w:val="center"/>
          </w:tcPr>
          <w:p w14:paraId="390166F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要求澄清采购文件的时间</w:t>
            </w:r>
          </w:p>
        </w:tc>
        <w:tc>
          <w:tcPr>
            <w:tcW w:w="6095" w:type="dxa"/>
            <w:vAlign w:val="center"/>
          </w:tcPr>
          <w:p w14:paraId="5DCE252E">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截止时间∶</w:t>
            </w:r>
            <w:r>
              <w:rPr>
                <w:rFonts w:hint="eastAsia" w:ascii="宋体" w:hAnsi="宋体" w:eastAsia="宋体" w:cs="宋体"/>
                <w:color w:val="auto"/>
                <w:kern w:val="0"/>
                <w:sz w:val="24"/>
                <w:szCs w:val="24"/>
                <w:highlight w:val="none"/>
                <w:u w:val="single"/>
              </w:rPr>
              <w:t>202</w:t>
            </w:r>
            <w:r>
              <w:rPr>
                <w:rFonts w:hint="eastAsia" w:ascii="宋体" w:hAnsi="宋体" w:eastAsia="宋体" w:cs="宋体"/>
                <w:color w:val="auto"/>
                <w:kern w:val="0"/>
                <w:sz w:val="24"/>
                <w:szCs w:val="24"/>
                <w:highlight w:val="none"/>
                <w:u w:val="single"/>
                <w:lang w:val="en-US" w:eastAsia="zh-CN"/>
              </w:rPr>
              <w:t>6</w:t>
            </w:r>
            <w:r>
              <w:rPr>
                <w:rFonts w:hint="eastAsia" w:ascii="宋体" w:hAnsi="宋体" w:eastAsia="宋体" w:cs="宋体"/>
                <w:color w:val="auto"/>
                <w:kern w:val="0"/>
                <w:sz w:val="24"/>
                <w:szCs w:val="24"/>
                <w:highlight w:val="none"/>
                <w:u w:val="single"/>
              </w:rPr>
              <w:t>年</w:t>
            </w:r>
            <w:r>
              <w:rPr>
                <w:rFonts w:hint="eastAsia" w:ascii="宋体" w:hAnsi="宋体" w:eastAsia="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u w:val="single"/>
              </w:rPr>
              <w:t>月</w:t>
            </w:r>
            <w:r>
              <w:rPr>
                <w:rFonts w:hint="eastAsia" w:ascii="宋体" w:hAnsi="宋体" w:eastAsia="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u w:val="single"/>
              </w:rPr>
              <w:t>日下午17时30分</w:t>
            </w:r>
          </w:p>
        </w:tc>
      </w:tr>
      <w:tr w14:paraId="5807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437" w:type="dxa"/>
            <w:vAlign w:val="center"/>
          </w:tcPr>
          <w:p w14:paraId="0431D45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3075" w:type="dxa"/>
            <w:vAlign w:val="center"/>
          </w:tcPr>
          <w:p w14:paraId="133D152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确认收到采购</w:t>
            </w:r>
          </w:p>
          <w:p w14:paraId="401BEC7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文件补充文件</w:t>
            </w:r>
          </w:p>
        </w:tc>
        <w:tc>
          <w:tcPr>
            <w:tcW w:w="6095" w:type="dxa"/>
            <w:vAlign w:val="center"/>
          </w:tcPr>
          <w:p w14:paraId="6B0E9A37">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确认的最晚时间∶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p>
          <w:p w14:paraId="259143B4">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确认的方式∶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p>
        </w:tc>
      </w:tr>
      <w:tr w14:paraId="0267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102C817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3.1.1(9)</w:t>
            </w:r>
          </w:p>
        </w:tc>
        <w:tc>
          <w:tcPr>
            <w:tcW w:w="3075" w:type="dxa"/>
            <w:vAlign w:val="center"/>
          </w:tcPr>
          <w:p w14:paraId="1900DCB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构成响应文件的其他资料</w:t>
            </w:r>
          </w:p>
        </w:tc>
        <w:tc>
          <w:tcPr>
            <w:tcW w:w="6095" w:type="dxa"/>
            <w:vAlign w:val="center"/>
          </w:tcPr>
          <w:p w14:paraId="165EB98C">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资料名称∶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变更内容、</w:t>
            </w:r>
            <w:r>
              <w:rPr>
                <w:rFonts w:hint="eastAsia" w:ascii="宋体" w:hAnsi="宋体" w:eastAsia="宋体" w:cs="宋体"/>
                <w:color w:val="auto"/>
                <w:sz w:val="24"/>
                <w:highlight w:val="none"/>
                <w:u w:val="single"/>
              </w:rPr>
              <w:t>图纸及</w:t>
            </w:r>
            <w:r>
              <w:rPr>
                <w:rFonts w:hint="eastAsia" w:ascii="宋体" w:hAnsi="宋体" w:eastAsia="宋体" w:cs="宋体"/>
                <w:color w:val="auto"/>
                <w:sz w:val="24"/>
                <w:highlight w:val="none"/>
                <w:u w:val="single"/>
                <w:lang w:eastAsia="zh-CN"/>
              </w:rPr>
              <w:t>询比</w:t>
            </w:r>
            <w:r>
              <w:rPr>
                <w:rFonts w:hint="eastAsia" w:ascii="宋体" w:hAnsi="宋体" w:eastAsia="宋体" w:cs="宋体"/>
                <w:color w:val="auto"/>
                <w:sz w:val="24"/>
                <w:highlight w:val="none"/>
                <w:u w:val="single"/>
              </w:rPr>
              <w:t>过程中通知和补遗书等</w:t>
            </w:r>
          </w:p>
        </w:tc>
      </w:tr>
      <w:tr w14:paraId="6360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437" w:type="dxa"/>
            <w:vAlign w:val="center"/>
          </w:tcPr>
          <w:p w14:paraId="62950A8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w:t>
            </w:r>
          </w:p>
        </w:tc>
        <w:tc>
          <w:tcPr>
            <w:tcW w:w="3075" w:type="dxa"/>
            <w:vAlign w:val="center"/>
          </w:tcPr>
          <w:p w14:paraId="278326F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采购标的数量增减幅度</w:t>
            </w:r>
          </w:p>
        </w:tc>
        <w:tc>
          <w:tcPr>
            <w:tcW w:w="6095" w:type="dxa"/>
            <w:vAlign w:val="center"/>
          </w:tcPr>
          <w:p w14:paraId="1C8E18E5">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highlight w:val="none"/>
              </w:rPr>
              <w:sym w:font="Wingdings" w:char="00FE"/>
            </w:r>
            <w:r>
              <w:rPr>
                <w:rFonts w:hint="eastAsia" w:ascii="宋体" w:hAnsi="宋体" w:eastAsia="宋体" w:cs="宋体"/>
                <w:color w:val="auto"/>
                <w:sz w:val="24"/>
                <w:highlight w:val="none"/>
              </w:rPr>
              <w:t>不适用</w:t>
            </w:r>
          </w:p>
          <w:p w14:paraId="5F54C82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采购标的数量增减幅度:</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C1D7243">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（注∶数量增减幅度通常在10%以内。）</w:t>
            </w:r>
          </w:p>
        </w:tc>
      </w:tr>
      <w:tr w14:paraId="2B3B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437" w:type="dxa"/>
            <w:vAlign w:val="center"/>
          </w:tcPr>
          <w:p w14:paraId="1EA5185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w:t>
            </w:r>
          </w:p>
        </w:tc>
        <w:tc>
          <w:tcPr>
            <w:tcW w:w="3075" w:type="dxa"/>
            <w:vAlign w:val="center"/>
          </w:tcPr>
          <w:p w14:paraId="2E18318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最高限价或其计算方法</w:t>
            </w:r>
          </w:p>
        </w:tc>
        <w:tc>
          <w:tcPr>
            <w:tcW w:w="6095" w:type="dxa"/>
            <w:vAlign w:val="center"/>
          </w:tcPr>
          <w:p w14:paraId="63EE6A8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napToGrid/>
              <w:spacing w:before="75" w:beforeAutospacing="0" w:after="75" w:afterAutospacing="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A3"/>
            </w:r>
            <w:r>
              <w:rPr>
                <w:rFonts w:hint="eastAsia" w:ascii="宋体" w:hAnsi="宋体" w:eastAsia="宋体" w:cs="宋体"/>
                <w:color w:val="auto"/>
                <w:sz w:val="24"/>
                <w:szCs w:val="24"/>
                <w:highlight w:val="none"/>
                <w:lang w:val="en-US" w:eastAsia="zh-CN"/>
              </w:rPr>
              <w:t>无</w:t>
            </w:r>
          </w:p>
          <w:p w14:paraId="057A02D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napToGrid/>
              <w:spacing w:before="75" w:beforeAutospacing="0" w:after="75" w:afterAutospacing="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52"/>
            </w:r>
            <w:r>
              <w:rPr>
                <w:rFonts w:hint="eastAsia" w:ascii="宋体" w:hAnsi="宋体" w:eastAsia="宋体" w:cs="宋体"/>
                <w:color w:val="auto"/>
                <w:sz w:val="24"/>
                <w:szCs w:val="24"/>
                <w:highlight w:val="none"/>
                <w:lang w:val="en-US" w:eastAsia="zh-CN"/>
              </w:rPr>
              <w:t>有，最高限价或其计算方法∶</w:t>
            </w:r>
          </w:p>
          <w:p w14:paraId="2EE47E7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bidi w:val="0"/>
              <w:snapToGrid/>
              <w:spacing w:before="75" w:beforeAutospacing="0" w:after="75" w:afterAutospacing="0" w:line="360" w:lineRule="auto"/>
              <w:ind w:right="0"/>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highlight w:val="none"/>
                <w:u w:val="single"/>
                <w:lang w:val="en-US" w:eastAsia="zh-CN"/>
              </w:rPr>
              <w:t>449686.04</w:t>
            </w:r>
            <w:r>
              <w:rPr>
                <w:rFonts w:hint="eastAsia" w:ascii="宋体" w:hAnsi="宋体" w:eastAsia="宋体" w:cs="宋体"/>
                <w:color w:val="auto"/>
                <w:sz w:val="24"/>
                <w:szCs w:val="24"/>
                <w:highlight w:val="none"/>
                <w:u w:val="single"/>
                <w:lang w:val="en-US" w:eastAsia="zh-CN"/>
              </w:rPr>
              <w:t>元（肆拾肆万玖仟陆佰捌拾陆元零角肆分）</w:t>
            </w:r>
          </w:p>
        </w:tc>
      </w:tr>
      <w:tr w14:paraId="7D68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6A7C910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w:t>
            </w:r>
          </w:p>
        </w:tc>
        <w:tc>
          <w:tcPr>
            <w:tcW w:w="3075" w:type="dxa"/>
            <w:vAlign w:val="center"/>
          </w:tcPr>
          <w:p w14:paraId="0054260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报价的其他要求</w:t>
            </w:r>
          </w:p>
        </w:tc>
        <w:tc>
          <w:tcPr>
            <w:tcW w:w="6095" w:type="dxa"/>
            <w:vAlign w:val="center"/>
          </w:tcPr>
          <w:p w14:paraId="103DD8C9">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报价应包括：</w:t>
            </w:r>
            <w:r>
              <w:rPr>
                <w:rFonts w:hint="eastAsia" w:ascii="宋体" w:hAnsi="宋体" w:eastAsia="宋体" w:cs="宋体"/>
                <w:color w:val="auto"/>
                <w:sz w:val="24"/>
                <w:szCs w:val="24"/>
                <w:highlight w:val="none"/>
              </w:rPr>
              <w:t>报价应是本询比文件所确定的全部工作内容的价格体现。其应包括施工设备、劳务、管理、材料、安装、维护、税金及人工费、材料费、机械费、措施项目费等政策性文件规定的各项应有费用</w:t>
            </w:r>
          </w:p>
        </w:tc>
      </w:tr>
      <w:tr w14:paraId="0B11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6428DB6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w:t>
            </w:r>
          </w:p>
        </w:tc>
        <w:tc>
          <w:tcPr>
            <w:tcW w:w="3075" w:type="dxa"/>
            <w:vAlign w:val="center"/>
          </w:tcPr>
          <w:p w14:paraId="5210B73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响应文件有效期</w:t>
            </w:r>
          </w:p>
        </w:tc>
        <w:tc>
          <w:tcPr>
            <w:tcW w:w="6095" w:type="dxa"/>
            <w:vAlign w:val="center"/>
          </w:tcPr>
          <w:p w14:paraId="55E947E0">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本次</w:t>
            </w:r>
            <w:r>
              <w:rPr>
                <w:rFonts w:hint="eastAsia" w:ascii="宋体" w:hAnsi="宋体" w:eastAsia="宋体" w:cs="宋体"/>
                <w:color w:val="auto"/>
                <w:sz w:val="24"/>
                <w:highlight w:val="none"/>
                <w:lang w:eastAsia="zh-CN"/>
              </w:rPr>
              <w:t>询比</w:t>
            </w:r>
            <w:r>
              <w:rPr>
                <w:rFonts w:hint="eastAsia" w:ascii="宋体" w:hAnsi="宋体" w:eastAsia="宋体" w:cs="宋体"/>
                <w:color w:val="auto"/>
                <w:sz w:val="24"/>
                <w:highlight w:val="none"/>
              </w:rPr>
              <w:t>有效期为自</w:t>
            </w:r>
            <w:r>
              <w:rPr>
                <w:rFonts w:hint="eastAsia" w:ascii="宋体" w:hAnsi="宋体" w:eastAsia="宋体" w:cs="宋体"/>
                <w:color w:val="auto"/>
                <w:sz w:val="24"/>
                <w:highlight w:val="none"/>
                <w:lang w:eastAsia="zh-CN"/>
              </w:rPr>
              <w:t>询比</w:t>
            </w:r>
            <w:r>
              <w:rPr>
                <w:rFonts w:hint="eastAsia" w:ascii="宋体" w:hAnsi="宋体" w:eastAsia="宋体" w:cs="宋体"/>
                <w:color w:val="auto"/>
                <w:sz w:val="24"/>
                <w:highlight w:val="none"/>
              </w:rPr>
              <w:t>之日起90个日历日</w:t>
            </w:r>
          </w:p>
        </w:tc>
      </w:tr>
      <w:tr w14:paraId="759C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1437" w:type="dxa"/>
            <w:vAlign w:val="center"/>
          </w:tcPr>
          <w:p w14:paraId="3A58AE8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w:t>
            </w:r>
          </w:p>
        </w:tc>
        <w:tc>
          <w:tcPr>
            <w:tcW w:w="3075" w:type="dxa"/>
            <w:vAlign w:val="center"/>
          </w:tcPr>
          <w:p w14:paraId="27AEC65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响应保证金</w:t>
            </w:r>
          </w:p>
        </w:tc>
        <w:tc>
          <w:tcPr>
            <w:tcW w:w="6095" w:type="dxa"/>
            <w:vAlign w:val="center"/>
          </w:tcPr>
          <w:p w14:paraId="23FB460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不要求递交</w:t>
            </w:r>
          </w:p>
          <w:p w14:paraId="05C0E38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要求递交</w:t>
            </w:r>
          </w:p>
          <w:p w14:paraId="6B507F5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Style w:val="47"/>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保证金的金额</w:t>
            </w:r>
            <w:r>
              <w:rPr>
                <w:rFonts w:hint="eastAsia" w:ascii="宋体" w:hAnsi="宋体" w:eastAsia="宋体" w:cs="宋体"/>
                <w:b/>
                <w:bCs/>
                <w:color w:val="auto"/>
                <w:sz w:val="24"/>
                <w:szCs w:val="24"/>
                <w:highlight w:val="none"/>
                <w:u w:val="single"/>
              </w:rPr>
              <w:t>：</w:t>
            </w:r>
            <w:r>
              <w:rPr>
                <w:rFonts w:hint="eastAsia" w:ascii="宋体" w:hAnsi="宋体" w:eastAsia="宋体" w:cs="宋体"/>
                <w:b/>
                <w:bCs/>
                <w:color w:val="auto"/>
                <w:sz w:val="24"/>
                <w:szCs w:val="24"/>
                <w:highlight w:val="none"/>
                <w:u w:val="single"/>
                <w:lang w:val="en-US" w:eastAsia="zh-CN"/>
              </w:rPr>
              <w:t>8000.00 元（捌仟元整）</w:t>
            </w:r>
            <w:r>
              <w:rPr>
                <w:rStyle w:val="47"/>
                <w:rFonts w:hint="eastAsia" w:ascii="宋体" w:hAnsi="宋体" w:eastAsia="宋体" w:cs="宋体"/>
                <w:b/>
                <w:bCs/>
                <w:color w:val="auto"/>
                <w:sz w:val="24"/>
                <w:szCs w:val="24"/>
                <w:highlight w:val="none"/>
              </w:rPr>
              <w:t>；</w:t>
            </w:r>
          </w:p>
          <w:p w14:paraId="1B97AA2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保证金的形式：</w:t>
            </w:r>
            <w:r>
              <w:rPr>
                <w:rFonts w:hint="eastAsia" w:ascii="宋体" w:hAnsi="宋体" w:eastAsia="宋体" w:cs="宋体"/>
                <w:color w:val="auto"/>
                <w:sz w:val="24"/>
                <w:highlight w:val="none"/>
                <w:u w:val="single"/>
                <w:lang w:eastAsia="zh-CN"/>
              </w:rPr>
              <w:t>转账</w:t>
            </w:r>
            <w:r>
              <w:rPr>
                <w:rFonts w:hint="eastAsia" w:ascii="宋体" w:hAnsi="宋体" w:eastAsia="宋体" w:cs="宋体"/>
                <w:color w:val="auto"/>
                <w:sz w:val="24"/>
                <w:highlight w:val="none"/>
                <w:u w:val="single"/>
              </w:rPr>
              <w:t>、电汇、银行保函</w:t>
            </w:r>
            <w:r>
              <w:rPr>
                <w:rFonts w:hint="eastAsia" w:ascii="宋体" w:hAnsi="宋体" w:eastAsia="宋体" w:cs="宋体"/>
                <w:color w:val="auto"/>
                <w:sz w:val="24"/>
                <w:highlight w:val="none"/>
                <w:u w:val="single"/>
                <w:lang w:eastAsia="zh-CN"/>
              </w:rPr>
              <w:t>、保单</w:t>
            </w:r>
            <w:r>
              <w:rPr>
                <w:rFonts w:hint="eastAsia" w:ascii="宋体" w:hAnsi="宋体" w:eastAsia="宋体" w:cs="宋体"/>
                <w:color w:val="auto"/>
                <w:sz w:val="24"/>
                <w:highlight w:val="none"/>
                <w:u w:val="single"/>
              </w:rPr>
              <w:t>等非现金形式</w:t>
            </w:r>
            <w:r>
              <w:rPr>
                <w:rFonts w:hint="eastAsia" w:ascii="宋体" w:hAnsi="宋体" w:eastAsia="宋体" w:cs="宋体"/>
                <w:color w:val="auto"/>
                <w:sz w:val="24"/>
                <w:highlight w:val="none"/>
                <w:u w:val="none"/>
              </w:rPr>
              <w:t>；</w:t>
            </w:r>
          </w:p>
          <w:p w14:paraId="68892B89">
            <w:pPr>
              <w:keepNext w:val="0"/>
              <w:keepLines w:val="0"/>
              <w:pageBreakBefore w:val="0"/>
              <w:kinsoku/>
              <w:wordWrap/>
              <w:overflowPunct/>
              <w:topLinePunct w:val="0"/>
              <w:autoSpaceDE/>
              <w:autoSpaceDN/>
              <w:bidi w:val="0"/>
              <w:adjustRightInd/>
              <w:snapToGrid/>
              <w:spacing w:line="360" w:lineRule="auto"/>
              <w:rPr>
                <w:rFonts w:hint="default" w:ascii="Arial" w:hAnsi="Arial" w:eastAsia="宋体" w:cs="Arial"/>
                <w:color w:val="auto"/>
                <w:kern w:val="0"/>
                <w:sz w:val="24"/>
                <w:szCs w:val="24"/>
                <w:highlight w:val="none"/>
              </w:rPr>
            </w:pPr>
            <w:r>
              <w:rPr>
                <w:rFonts w:hint="default" w:ascii="Arial" w:hAnsi="Arial" w:eastAsia="宋体" w:cs="Arial"/>
                <w:color w:val="auto"/>
                <w:kern w:val="0"/>
                <w:sz w:val="24"/>
                <w:szCs w:val="24"/>
                <w:highlight w:val="none"/>
                <w:lang w:eastAsia="zh-CN"/>
              </w:rPr>
              <w:t>响应</w:t>
            </w:r>
            <w:r>
              <w:rPr>
                <w:rFonts w:hint="default" w:ascii="Arial" w:hAnsi="Arial" w:eastAsia="宋体" w:cs="Arial"/>
                <w:color w:val="auto"/>
                <w:kern w:val="0"/>
                <w:sz w:val="24"/>
                <w:szCs w:val="24"/>
                <w:highlight w:val="none"/>
              </w:rPr>
              <w:t>人须在</w:t>
            </w:r>
            <w:r>
              <w:rPr>
                <w:rFonts w:hint="default" w:ascii="Arial" w:hAnsi="Arial" w:eastAsia="宋体" w:cs="Arial"/>
                <w:color w:val="auto"/>
                <w:kern w:val="0"/>
                <w:sz w:val="24"/>
                <w:szCs w:val="24"/>
                <w:highlight w:val="none"/>
                <w:lang w:eastAsia="zh-CN"/>
              </w:rPr>
              <w:t>询比</w:t>
            </w:r>
            <w:r>
              <w:rPr>
                <w:rFonts w:hint="default" w:ascii="Arial" w:hAnsi="Arial" w:eastAsia="宋体" w:cs="Arial"/>
                <w:color w:val="auto"/>
                <w:kern w:val="0"/>
                <w:sz w:val="24"/>
                <w:szCs w:val="24"/>
                <w:highlight w:val="none"/>
              </w:rPr>
              <w:t>截止期前按以下要求交纳</w:t>
            </w:r>
            <w:r>
              <w:rPr>
                <w:rFonts w:hint="eastAsia" w:ascii="Arial" w:hAnsi="Arial" w:eastAsia="宋体" w:cs="Arial"/>
                <w:color w:val="auto"/>
                <w:kern w:val="0"/>
                <w:sz w:val="24"/>
                <w:szCs w:val="24"/>
                <w:highlight w:val="none"/>
                <w:lang w:eastAsia="zh-CN"/>
              </w:rPr>
              <w:t>询比采购</w:t>
            </w:r>
            <w:r>
              <w:rPr>
                <w:rFonts w:hint="default" w:ascii="Arial" w:hAnsi="Arial" w:eastAsia="宋体" w:cs="Arial"/>
                <w:color w:val="auto"/>
                <w:kern w:val="0"/>
                <w:sz w:val="24"/>
                <w:szCs w:val="24"/>
                <w:highlight w:val="none"/>
              </w:rPr>
              <w:t>保证金（</w:t>
            </w:r>
            <w:r>
              <w:rPr>
                <w:rFonts w:hint="eastAsia" w:ascii="Arial" w:hAnsi="Arial" w:eastAsia="宋体" w:cs="Arial"/>
                <w:color w:val="auto"/>
                <w:kern w:val="0"/>
                <w:sz w:val="24"/>
                <w:szCs w:val="24"/>
                <w:highlight w:val="none"/>
                <w:lang w:eastAsia="zh-CN"/>
              </w:rPr>
              <w:t>询比采购</w:t>
            </w:r>
            <w:r>
              <w:rPr>
                <w:rFonts w:hint="default" w:ascii="Arial" w:hAnsi="Arial" w:eastAsia="宋体" w:cs="Arial"/>
                <w:color w:val="auto"/>
                <w:kern w:val="0"/>
                <w:sz w:val="24"/>
                <w:szCs w:val="24"/>
                <w:highlight w:val="none"/>
              </w:rPr>
              <w:t>保证金</w:t>
            </w:r>
            <w:r>
              <w:rPr>
                <w:rFonts w:hint="eastAsia" w:ascii="Arial" w:hAnsi="Arial" w:eastAsia="宋体" w:cs="Arial"/>
                <w:color w:val="auto"/>
                <w:kern w:val="0"/>
                <w:sz w:val="24"/>
                <w:szCs w:val="24"/>
                <w:highlight w:val="none"/>
                <w:lang w:eastAsia="zh-CN"/>
              </w:rPr>
              <w:t>以银行转账方式转账的</w:t>
            </w:r>
            <w:r>
              <w:rPr>
                <w:rFonts w:hint="default" w:ascii="Arial" w:hAnsi="Arial" w:eastAsia="宋体" w:cs="Arial"/>
                <w:color w:val="auto"/>
                <w:kern w:val="0"/>
                <w:sz w:val="24"/>
                <w:szCs w:val="24"/>
                <w:highlight w:val="none"/>
              </w:rPr>
              <w:t>应当从其基本账户汇出，询比响应文件中须附企业基本账户开户许可证或基本账户开户信息）</w:t>
            </w:r>
          </w:p>
          <w:p w14:paraId="22CDA2AE">
            <w:pPr>
              <w:keepNext w:val="0"/>
              <w:keepLines w:val="0"/>
              <w:pageBreakBefore w:val="0"/>
              <w:kinsoku/>
              <w:wordWrap/>
              <w:overflowPunct/>
              <w:topLinePunct w:val="0"/>
              <w:autoSpaceDE/>
              <w:autoSpaceDN/>
              <w:bidi w:val="0"/>
              <w:adjustRightInd/>
              <w:snapToGrid/>
              <w:spacing w:line="360" w:lineRule="auto"/>
              <w:rPr>
                <w:rFonts w:hint="default" w:ascii="Arial" w:hAnsi="Arial" w:eastAsia="宋体" w:cs="Arial"/>
                <w:color w:val="auto"/>
                <w:kern w:val="0"/>
                <w:sz w:val="24"/>
                <w:szCs w:val="24"/>
                <w:highlight w:val="none"/>
              </w:rPr>
            </w:pPr>
            <w:r>
              <w:rPr>
                <w:rFonts w:hint="default" w:ascii="Arial" w:hAnsi="Arial" w:eastAsia="宋体" w:cs="Arial"/>
                <w:color w:val="auto"/>
                <w:kern w:val="0"/>
                <w:sz w:val="24"/>
                <w:szCs w:val="24"/>
                <w:highlight w:val="none"/>
              </w:rPr>
              <w:t>缴纳</w:t>
            </w:r>
            <w:r>
              <w:rPr>
                <w:rFonts w:hint="eastAsia" w:ascii="Arial" w:hAnsi="Arial" w:eastAsia="宋体" w:cs="Arial"/>
                <w:color w:val="auto"/>
                <w:kern w:val="0"/>
                <w:sz w:val="24"/>
                <w:szCs w:val="24"/>
                <w:highlight w:val="none"/>
                <w:lang w:eastAsia="zh-CN"/>
              </w:rPr>
              <w:t>询比采购</w:t>
            </w:r>
            <w:r>
              <w:rPr>
                <w:rFonts w:hint="default" w:ascii="Arial" w:hAnsi="Arial" w:eastAsia="宋体" w:cs="Arial"/>
                <w:color w:val="auto"/>
                <w:kern w:val="0"/>
                <w:sz w:val="24"/>
                <w:szCs w:val="24"/>
                <w:highlight w:val="none"/>
              </w:rPr>
              <w:t>保证金时须注明此次项目编号及项目名称（可简写）</w:t>
            </w:r>
          </w:p>
          <w:p w14:paraId="7D31E6B3">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交纳时间：</w:t>
            </w:r>
            <w:r>
              <w:rPr>
                <w:rFonts w:hint="eastAsia" w:ascii="宋体" w:hAnsi="宋体" w:eastAsia="宋体" w:cs="宋体"/>
                <w:b/>
                <w:bCs/>
                <w:color w:val="auto"/>
                <w:kern w:val="0"/>
                <w:sz w:val="24"/>
                <w:szCs w:val="24"/>
                <w:highlight w:val="none"/>
                <w:lang w:val="en-US" w:eastAsia="zh-CN"/>
              </w:rPr>
              <w:t>响应文件递交截止时间前</w:t>
            </w:r>
            <w:r>
              <w:rPr>
                <w:rFonts w:hint="eastAsia" w:ascii="宋体" w:hAnsi="宋体" w:eastAsia="宋体" w:cs="宋体"/>
                <w:b/>
                <w:bCs/>
                <w:color w:val="auto"/>
                <w:kern w:val="0"/>
                <w:sz w:val="24"/>
                <w:szCs w:val="24"/>
                <w:highlight w:val="none"/>
              </w:rPr>
              <w:t>，以银行到账时间为准；</w:t>
            </w:r>
          </w:p>
          <w:p w14:paraId="113D9BD3">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账户名：上海容基工程项目管理有限公司青海分公司</w:t>
            </w:r>
          </w:p>
          <w:p w14:paraId="57D85E63">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开户行：中国农业银行股份有限公司西宁分行</w:t>
            </w:r>
          </w:p>
          <w:p w14:paraId="2005D12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color w:val="auto"/>
                <w:kern w:val="2"/>
                <w:sz w:val="24"/>
                <w:szCs w:val="24"/>
                <w:highlight w:val="none"/>
                <w:u w:val="single"/>
                <w:lang w:bidi="ar-SA"/>
              </w:rPr>
            </w:pPr>
            <w:r>
              <w:rPr>
                <w:rFonts w:hint="eastAsia" w:ascii="宋体" w:hAnsi="宋体" w:eastAsia="宋体" w:cs="宋体"/>
                <w:b/>
                <w:bCs/>
                <w:color w:val="auto"/>
                <w:sz w:val="24"/>
                <w:szCs w:val="24"/>
                <w:highlight w:val="none"/>
              </w:rPr>
              <w:t xml:space="preserve">账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号：28001001040023902</w:t>
            </w:r>
          </w:p>
        </w:tc>
      </w:tr>
      <w:tr w14:paraId="0676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6DB7E80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w:t>
            </w:r>
          </w:p>
        </w:tc>
        <w:tc>
          <w:tcPr>
            <w:tcW w:w="3075" w:type="dxa"/>
            <w:vAlign w:val="center"/>
          </w:tcPr>
          <w:p w14:paraId="1AA5646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退还响应保证金的时间</w:t>
            </w:r>
          </w:p>
        </w:tc>
        <w:tc>
          <w:tcPr>
            <w:tcW w:w="6095" w:type="dxa"/>
            <w:vAlign w:val="center"/>
          </w:tcPr>
          <w:p w14:paraId="7C0C5867">
            <w:pPr>
              <w:keepNext w:val="0"/>
              <w:keepLines w:val="0"/>
              <w:pageBreakBefore w:val="0"/>
              <w:widowControl/>
              <w:kinsoku/>
              <w:wordWrap/>
              <w:overflowPunct/>
              <w:topLinePunct w:val="0"/>
              <w:autoSpaceDE/>
              <w:autoSpaceDN/>
              <w:bidi w:val="0"/>
              <w:adjustRightInd/>
              <w:snapToGrid/>
              <w:spacing w:line="360" w:lineRule="auto"/>
              <w:textAlignment w:val="center"/>
              <w:rPr>
                <w:rStyle w:val="44"/>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未成交</w:t>
            </w:r>
            <w:r>
              <w:rPr>
                <w:rFonts w:hint="eastAsia" w:ascii="宋体" w:hAnsi="宋体" w:eastAsia="宋体" w:cs="宋体"/>
                <w:color w:val="auto"/>
                <w:kern w:val="0"/>
                <w:sz w:val="24"/>
                <w:szCs w:val="24"/>
                <w:highlight w:val="none"/>
                <w:lang w:eastAsia="zh-CN"/>
              </w:rPr>
              <w:t>询比</w:t>
            </w:r>
            <w:r>
              <w:rPr>
                <w:rFonts w:hint="eastAsia" w:ascii="宋体" w:hAnsi="宋体" w:eastAsia="宋体" w:cs="宋体"/>
                <w:color w:val="auto"/>
                <w:kern w:val="0"/>
                <w:sz w:val="24"/>
                <w:szCs w:val="24"/>
                <w:highlight w:val="none"/>
              </w:rPr>
              <w:t>响应人的谈判保证金自成交通知书发出之日起5</w:t>
            </w:r>
            <w:r>
              <w:rPr>
                <w:rStyle w:val="44"/>
                <w:rFonts w:hint="eastAsia" w:ascii="宋体" w:hAnsi="宋体" w:eastAsia="宋体" w:cs="宋体"/>
                <w:color w:val="auto"/>
                <w:sz w:val="24"/>
                <w:szCs w:val="24"/>
                <w:highlight w:val="none"/>
              </w:rPr>
              <w:t>个日历日内退还（不退现金）；</w:t>
            </w:r>
          </w:p>
          <w:p w14:paraId="4C353176">
            <w:pPr>
              <w:keepNext w:val="0"/>
              <w:keepLines w:val="0"/>
              <w:pageBreakBefore w:val="0"/>
              <w:widowControl/>
              <w:kinsoku/>
              <w:wordWrap/>
              <w:overflowPunct/>
              <w:topLinePunct w:val="0"/>
              <w:autoSpaceDE/>
              <w:autoSpaceDN/>
              <w:bidi w:val="0"/>
              <w:adjustRightInd/>
              <w:snapToGrid/>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成交单位的谈判保证金，自合同签订之日起5</w:t>
            </w:r>
            <w:r>
              <w:rPr>
                <w:rStyle w:val="44"/>
                <w:rFonts w:hint="eastAsia" w:ascii="宋体" w:hAnsi="宋体" w:eastAsia="宋体" w:cs="宋体"/>
                <w:color w:val="auto"/>
                <w:sz w:val="24"/>
                <w:szCs w:val="24"/>
                <w:highlight w:val="none"/>
              </w:rPr>
              <w:t>个日历日内退还（不退现金）。</w:t>
            </w:r>
          </w:p>
        </w:tc>
      </w:tr>
      <w:tr w14:paraId="094F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37" w:type="dxa"/>
            <w:vAlign w:val="center"/>
          </w:tcPr>
          <w:p w14:paraId="191AA43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3.4.3(3)</w:t>
            </w:r>
          </w:p>
        </w:tc>
        <w:tc>
          <w:tcPr>
            <w:tcW w:w="3075" w:type="dxa"/>
            <w:vAlign w:val="center"/>
          </w:tcPr>
          <w:p w14:paraId="13FB829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不退还响应保证金的其他情形</w:t>
            </w:r>
          </w:p>
        </w:tc>
        <w:tc>
          <w:tcPr>
            <w:tcW w:w="6095" w:type="dxa"/>
            <w:vAlign w:val="center"/>
          </w:tcPr>
          <w:p w14:paraId="2AD386F7">
            <w:pPr>
              <w:keepNext w:val="0"/>
              <w:keepLines w:val="0"/>
              <w:pageBreakBefore w:val="0"/>
              <w:widowControl/>
              <w:numPr>
                <w:ilvl w:val="0"/>
                <w:numId w:val="3"/>
              </w:numPr>
              <w:kinsoku/>
              <w:wordWrap/>
              <w:overflowPunct/>
              <w:topLinePunct w:val="0"/>
              <w:autoSpaceDE/>
              <w:autoSpaceDN/>
              <w:bidi w:val="0"/>
              <w:adjustRightInd/>
              <w:snapToGrid/>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在规定的谈判有效期内撤销或修改其响应文件；</w:t>
            </w:r>
          </w:p>
          <w:p w14:paraId="77DC0724">
            <w:pPr>
              <w:keepNext w:val="0"/>
              <w:keepLines w:val="0"/>
              <w:pageBreakBefore w:val="0"/>
              <w:widowControl/>
              <w:kinsoku/>
              <w:wordWrap/>
              <w:overflowPunct/>
              <w:topLinePunct w:val="0"/>
              <w:autoSpaceDE/>
              <w:autoSpaceDN/>
              <w:bidi w:val="0"/>
              <w:adjustRightInd/>
              <w:snapToGrid/>
              <w:spacing w:line="360" w:lineRule="auto"/>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Style w:val="44"/>
                <w:rFonts w:hint="eastAsia" w:ascii="宋体" w:hAnsi="宋体" w:eastAsia="宋体" w:cs="宋体"/>
                <w:color w:val="auto"/>
                <w:sz w:val="24"/>
                <w:szCs w:val="24"/>
                <w:highlight w:val="none"/>
              </w:rPr>
              <w:t>）</w:t>
            </w:r>
            <w:r>
              <w:rPr>
                <w:rStyle w:val="46"/>
                <w:rFonts w:hint="eastAsia" w:ascii="宋体" w:hAnsi="宋体" w:eastAsia="宋体" w:cs="宋体"/>
                <w:color w:val="auto"/>
                <w:sz w:val="24"/>
                <w:szCs w:val="24"/>
                <w:highlight w:val="none"/>
              </w:rPr>
              <w:t>成交人在收到成交通知书后，无正当理由拒签合同协议书或未按</w:t>
            </w:r>
            <w:r>
              <w:rPr>
                <w:rStyle w:val="46"/>
                <w:rFonts w:hint="eastAsia" w:ascii="宋体" w:hAnsi="宋体" w:eastAsia="宋体" w:cs="宋体"/>
                <w:color w:val="auto"/>
                <w:sz w:val="24"/>
                <w:szCs w:val="24"/>
                <w:highlight w:val="none"/>
                <w:lang w:eastAsia="zh-CN"/>
              </w:rPr>
              <w:t>询比</w:t>
            </w:r>
            <w:r>
              <w:rPr>
                <w:rStyle w:val="46"/>
                <w:rFonts w:hint="eastAsia" w:ascii="宋体" w:hAnsi="宋体" w:eastAsia="宋体" w:cs="宋体"/>
                <w:color w:val="auto"/>
                <w:sz w:val="24"/>
                <w:szCs w:val="24"/>
                <w:highlight w:val="none"/>
              </w:rPr>
              <w:t>采购文件规定提交履约担保</w:t>
            </w:r>
          </w:p>
        </w:tc>
      </w:tr>
      <w:tr w14:paraId="344E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437" w:type="dxa"/>
            <w:vAlign w:val="center"/>
          </w:tcPr>
          <w:p w14:paraId="18E8ABA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3.5(1)</w:t>
            </w:r>
          </w:p>
        </w:tc>
        <w:tc>
          <w:tcPr>
            <w:tcW w:w="3075" w:type="dxa"/>
            <w:vAlign w:val="center"/>
          </w:tcPr>
          <w:p w14:paraId="0CF1242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依法设立的证明材料</w:t>
            </w:r>
          </w:p>
        </w:tc>
        <w:tc>
          <w:tcPr>
            <w:tcW w:w="6095" w:type="dxa"/>
            <w:vAlign w:val="center"/>
          </w:tcPr>
          <w:p w14:paraId="21FE1E4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应提供市场监管部门或其他行政机关颁发的可以合法开展业务的执照或证书复印件</w:t>
            </w:r>
          </w:p>
        </w:tc>
      </w:tr>
    </w:tbl>
    <w:p w14:paraId="41C5EEC2">
      <w:pPr>
        <w:pageBreakBefore w:val="0"/>
        <w:kinsoku/>
        <w:overflowPunct/>
        <w:topLinePunct w:val="0"/>
        <w:bidi w:val="0"/>
        <w:snapToGrid/>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续表</w:t>
      </w:r>
    </w:p>
    <w:tbl>
      <w:tblPr>
        <w:tblStyle w:val="23"/>
        <w:tblW w:w="10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3051"/>
        <w:gridCol w:w="6251"/>
      </w:tblGrid>
      <w:tr w14:paraId="135D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217" w:type="dxa"/>
            <w:vAlign w:val="center"/>
          </w:tcPr>
          <w:p w14:paraId="4E68054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3051" w:type="dxa"/>
            <w:vAlign w:val="center"/>
          </w:tcPr>
          <w:p w14:paraId="4C6FE61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 款 内 容</w:t>
            </w:r>
          </w:p>
        </w:tc>
        <w:tc>
          <w:tcPr>
            <w:tcW w:w="6251" w:type="dxa"/>
            <w:vAlign w:val="center"/>
          </w:tcPr>
          <w:p w14:paraId="5428D84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 列 内 容</w:t>
            </w:r>
          </w:p>
        </w:tc>
      </w:tr>
      <w:tr w14:paraId="2804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jc w:val="center"/>
        </w:trPr>
        <w:tc>
          <w:tcPr>
            <w:tcW w:w="1217" w:type="dxa"/>
            <w:vAlign w:val="center"/>
          </w:tcPr>
          <w:p w14:paraId="2E5BC36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3.5(2)</w:t>
            </w:r>
          </w:p>
        </w:tc>
        <w:tc>
          <w:tcPr>
            <w:tcW w:w="3051" w:type="dxa"/>
            <w:vAlign w:val="center"/>
          </w:tcPr>
          <w:p w14:paraId="02CB3B1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资质要求证明材料</w:t>
            </w:r>
          </w:p>
        </w:tc>
        <w:tc>
          <w:tcPr>
            <w:tcW w:w="6251" w:type="dxa"/>
            <w:vAlign w:val="center"/>
          </w:tcPr>
          <w:p w14:paraId="581B745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不适用</w:t>
            </w:r>
          </w:p>
          <w:p w14:paraId="704D637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应提供相关资质证书副本的复印件，以证明</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具有承担本项目要求的资质</w:t>
            </w:r>
          </w:p>
          <w:p w14:paraId="182F6D0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资质证书包括∶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eastAsia="zh-CN"/>
              </w:rPr>
              <w:t>询比响应人须具备建筑装修装饰工程贰级(含贰级) 及以上资质</w:t>
            </w:r>
            <w:r>
              <w:rPr>
                <w:rFonts w:hint="eastAsia" w:ascii="宋体" w:hAnsi="宋体" w:eastAsia="宋体" w:cs="宋体"/>
                <w:color w:val="auto"/>
                <w:sz w:val="24"/>
                <w:szCs w:val="24"/>
                <w:highlight w:val="none"/>
                <w:u w:val="single"/>
              </w:rPr>
              <w:t>；</w:t>
            </w:r>
          </w:p>
          <w:p w14:paraId="71F0723E">
            <w:pPr>
              <w:pStyle w:val="19"/>
              <w:pageBreakBefore w:val="0"/>
              <w:widowControl/>
              <w:kinsoku/>
              <w:overflowPunct/>
              <w:topLinePunct w:val="0"/>
              <w:bidi w:val="0"/>
              <w:snapToGrid/>
              <w:spacing w:beforeAutospacing="0" w:afterAutospacing="0" w:line="360" w:lineRule="auto"/>
              <w:rPr>
                <w:rFonts w:hint="eastAsia" w:eastAsia="宋体"/>
                <w:color w:val="auto"/>
                <w:lang w:eastAsia="zh-CN"/>
              </w:rPr>
            </w:pP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highlight w:val="none"/>
                <w:u w:val="single"/>
                <w:lang w:eastAsia="zh-CN"/>
              </w:rPr>
              <w:t>询比响应人</w:t>
            </w:r>
            <w:r>
              <w:rPr>
                <w:rFonts w:hint="eastAsia" w:ascii="宋体" w:hAnsi="宋体" w:eastAsia="宋体" w:cs="宋体"/>
                <w:color w:val="auto"/>
                <w:highlight w:val="none"/>
                <w:u w:val="single"/>
              </w:rPr>
              <w:t>须具有有效</w:t>
            </w:r>
            <w:r>
              <w:rPr>
                <w:rFonts w:hint="eastAsia" w:ascii="宋体" w:hAnsi="宋体" w:eastAsia="宋体" w:cs="宋体"/>
                <w:color w:val="auto"/>
                <w:highlight w:val="none"/>
                <w:u w:val="single"/>
                <w:lang w:eastAsia="zh-CN"/>
              </w:rPr>
              <w:t>期内</w:t>
            </w:r>
            <w:r>
              <w:rPr>
                <w:rFonts w:hint="eastAsia" w:ascii="宋体" w:hAnsi="宋体" w:eastAsia="宋体" w:cs="宋体"/>
                <w:color w:val="auto"/>
                <w:highlight w:val="none"/>
                <w:u w:val="single"/>
              </w:rPr>
              <w:t>的安全生产许可证；</w:t>
            </w:r>
          </w:p>
          <w:p w14:paraId="62AB709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（注∶此处应填写资质证书的名称、等级、专业、颁发机构等内容。）</w:t>
            </w:r>
          </w:p>
        </w:tc>
      </w:tr>
      <w:tr w14:paraId="3850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4" w:hRule="atLeast"/>
          <w:jc w:val="center"/>
        </w:trPr>
        <w:tc>
          <w:tcPr>
            <w:tcW w:w="1217" w:type="dxa"/>
            <w:vAlign w:val="center"/>
          </w:tcPr>
          <w:p w14:paraId="635EE17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3.5(3)</w:t>
            </w:r>
          </w:p>
        </w:tc>
        <w:tc>
          <w:tcPr>
            <w:tcW w:w="3051" w:type="dxa"/>
            <w:vAlign w:val="center"/>
          </w:tcPr>
          <w:p w14:paraId="2875F7A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财务要求证明材料</w:t>
            </w:r>
          </w:p>
        </w:tc>
        <w:tc>
          <w:tcPr>
            <w:tcW w:w="6251" w:type="dxa"/>
            <w:vAlign w:val="center"/>
          </w:tcPr>
          <w:p w14:paraId="191198D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不适用</w:t>
            </w:r>
          </w:p>
          <w:p w14:paraId="627240BE">
            <w:pPr>
              <w:pStyle w:val="19"/>
              <w:pageBreakBefore w:val="0"/>
              <w:widowControl/>
              <w:numPr>
                <w:ilvl w:val="0"/>
                <w:numId w:val="0"/>
              </w:numPr>
              <w:kinsoku/>
              <w:overflowPunct/>
              <w:topLinePunct w:val="0"/>
              <w:bidi w:val="0"/>
              <w:snapToGrid/>
              <w:spacing w:beforeAutospacing="0" w:afterAutospacing="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应提供经会计师事务所或审计机构审计的近年财务会计报表复印件，包括资产负债表、现金流量表、利润表等。近年财务会计报表年份是指∶</w:t>
            </w:r>
            <w:r>
              <w:rPr>
                <w:rFonts w:hint="eastAsia" w:ascii="宋体" w:hAnsi="宋体" w:eastAsia="宋体" w:cs="宋体"/>
                <w:color w:val="auto"/>
                <w:sz w:val="24"/>
                <w:szCs w:val="24"/>
                <w:highlight w:val="none"/>
                <w:u w:val="single"/>
                <w:lang w:val="en-US" w:eastAsia="zh-CN"/>
              </w:rPr>
              <w:t>2025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的成立时间少于该规定年份的，应提供成立以来的财务会计报表）或提供基本开户银行近三个月内出具的资信证明（同时提供基本存款账户开户许可证或基本账户开户信息）</w:t>
            </w:r>
            <w:r>
              <w:rPr>
                <w:rFonts w:hint="eastAsia" w:ascii="宋体" w:hAnsi="宋体" w:eastAsia="宋体" w:cs="宋体"/>
                <w:b/>
                <w:bCs/>
                <w:color w:val="auto"/>
                <w:highlight w:val="none"/>
                <w:u w:val="single"/>
                <w:lang w:val="en-US" w:eastAsia="zh-CN"/>
              </w:rPr>
              <w:t>注：</w:t>
            </w:r>
            <w:r>
              <w:rPr>
                <w:rFonts w:hint="eastAsia" w:ascii="宋体" w:hAnsi="宋体" w:eastAsia="宋体" w:cs="宋体"/>
                <w:b/>
                <w:bCs/>
                <w:color w:val="auto"/>
                <w:highlight w:val="none"/>
                <w:u w:val="single"/>
                <w:lang w:val="zh-CN"/>
              </w:rPr>
              <w:t>《关于加强审计报告查验工作的通知》要求，审计公司出具的审计报告要上传至注册会计师行业统一监管平台并申请赋码），提供的审计报告必须</w:t>
            </w:r>
            <w:r>
              <w:rPr>
                <w:rFonts w:hint="eastAsia" w:ascii="宋体" w:hAnsi="宋体" w:eastAsia="宋体" w:cs="宋体"/>
                <w:b/>
                <w:bCs/>
                <w:color w:val="auto"/>
                <w:highlight w:val="none"/>
                <w:u w:val="single"/>
                <w:lang w:val="en-US" w:eastAsia="zh-CN"/>
              </w:rPr>
              <w:t>保证有</w:t>
            </w:r>
            <w:r>
              <w:rPr>
                <w:rFonts w:hint="eastAsia" w:ascii="宋体" w:hAnsi="宋体" w:eastAsia="宋体" w:cs="宋体"/>
                <w:b/>
                <w:bCs/>
                <w:color w:val="auto"/>
                <w:highlight w:val="none"/>
                <w:u w:val="single"/>
                <w:lang w:val="zh-CN"/>
              </w:rPr>
              <w:t>申请赋码且可扫扫描查询，</w:t>
            </w:r>
            <w:r>
              <w:rPr>
                <w:rFonts w:hint="eastAsia" w:ascii="宋体" w:hAnsi="宋体" w:eastAsia="宋体" w:cs="宋体"/>
                <w:b/>
                <w:bCs/>
                <w:color w:val="auto"/>
                <w:highlight w:val="none"/>
                <w:u w:val="single"/>
                <w:lang w:val="en-US" w:eastAsia="zh-CN"/>
              </w:rPr>
              <w:t>否则按否决投标处理</w:t>
            </w:r>
            <w:r>
              <w:rPr>
                <w:rFonts w:hint="eastAsia" w:ascii="宋体" w:hAnsi="宋体" w:eastAsia="宋体" w:cs="宋体"/>
                <w:b/>
                <w:bCs/>
                <w:color w:val="auto"/>
                <w:highlight w:val="none"/>
                <w:u w:val="single"/>
                <w:lang w:val="zh-CN"/>
              </w:rPr>
              <w:t>；</w:t>
            </w:r>
          </w:p>
          <w:p w14:paraId="3B540C8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应提供近年财务会计报表复印件，包括资产负债表、利润表。近年财务会计报表年份∶</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的成立时间少于该规定年份的，应提供成立以来的财务会计报表）（注∶有财务要求的，应选择两种财务会计报表中的一种作为财务证明资料。）</w:t>
            </w:r>
          </w:p>
        </w:tc>
      </w:tr>
      <w:tr w14:paraId="7839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5" w:hRule="atLeast"/>
          <w:jc w:val="center"/>
        </w:trPr>
        <w:tc>
          <w:tcPr>
            <w:tcW w:w="1217" w:type="dxa"/>
            <w:vAlign w:val="center"/>
          </w:tcPr>
          <w:p w14:paraId="1075468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3.5(4)</w:t>
            </w:r>
          </w:p>
        </w:tc>
        <w:tc>
          <w:tcPr>
            <w:tcW w:w="3051" w:type="dxa"/>
            <w:vAlign w:val="center"/>
          </w:tcPr>
          <w:p w14:paraId="132808C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业绩要求证明材料</w:t>
            </w:r>
          </w:p>
        </w:tc>
        <w:tc>
          <w:tcPr>
            <w:tcW w:w="6251" w:type="dxa"/>
            <w:vAlign w:val="center"/>
          </w:tcPr>
          <w:p w14:paraId="25AC6FD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不适用</w:t>
            </w:r>
          </w:p>
          <w:p w14:paraId="47EF125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适用。</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应提供近年的类似项目情况表（格式见第六章"响应文件格式"七、资格审查资料（三）近年的类似项目情况表），以证明</w:t>
            </w:r>
            <w:r>
              <w:rPr>
                <w:rFonts w:hint="eastAsia" w:ascii="宋体" w:hAnsi="宋体" w:eastAsia="宋体" w:cs="宋体"/>
                <w:color w:val="auto"/>
                <w:sz w:val="24"/>
                <w:szCs w:val="24"/>
                <w:highlight w:val="none"/>
                <w:lang w:eastAsia="zh-CN"/>
              </w:rPr>
              <w:t>询比响应人</w:t>
            </w:r>
            <w:r>
              <w:rPr>
                <w:rFonts w:hint="eastAsia" w:ascii="宋体" w:hAnsi="宋体" w:eastAsia="宋体" w:cs="宋体"/>
                <w:color w:val="auto"/>
                <w:sz w:val="24"/>
                <w:szCs w:val="24"/>
                <w:highlight w:val="none"/>
              </w:rPr>
              <w:t>具有承担本项目要求的业绩。近年是指∶</w:t>
            </w:r>
            <w:r>
              <w:rPr>
                <w:rFonts w:hint="eastAsia" w:ascii="宋体" w:hAnsi="宋体" w:eastAsia="宋体" w:cs="宋体"/>
                <w:color w:val="auto"/>
                <w:sz w:val="24"/>
                <w:szCs w:val="24"/>
                <w:highlight w:val="none"/>
                <w:u w:val="single"/>
                <w:lang w:val="en-US" w:eastAsia="zh-CN"/>
              </w:rPr>
              <w:t>/</w:t>
            </w:r>
          </w:p>
          <w:p w14:paraId="0913998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业绩证明材料∶</w:t>
            </w:r>
          </w:p>
          <w:p w14:paraId="6464B03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合同/订单</w:t>
            </w:r>
          </w:p>
          <w:p w14:paraId="68D7018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中标通知书/成交通知书</w:t>
            </w:r>
          </w:p>
          <w:p w14:paraId="18832BF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竣工验收报告/验收证明</w:t>
            </w:r>
          </w:p>
          <w:p w14:paraId="13AB6AA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业主证明</w:t>
            </w:r>
          </w:p>
          <w:p w14:paraId="4010449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其他材料∶</w:t>
            </w:r>
            <w:r>
              <w:rPr>
                <w:rFonts w:hint="eastAsia" w:ascii="宋体" w:hAnsi="宋体" w:eastAsia="宋体" w:cs="宋体"/>
                <w:color w:val="auto"/>
                <w:sz w:val="24"/>
                <w:szCs w:val="24"/>
                <w:highlight w:val="none"/>
                <w:u w:val="single"/>
              </w:rPr>
              <w:t xml:space="preserve">                              </w:t>
            </w:r>
          </w:p>
          <w:p w14:paraId="61EAA36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业绩证明材料种类要求∶</w:t>
            </w:r>
          </w:p>
          <w:p w14:paraId="2F4BF55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提供上述勾选的任一项证明材料即可</w:t>
            </w:r>
          </w:p>
          <w:p w14:paraId="341C815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需同时提供上述勾选的所有证明材料</w:t>
            </w:r>
          </w:p>
          <w:p w14:paraId="29DA8A1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其他要求∶</w:t>
            </w:r>
          </w:p>
        </w:tc>
      </w:tr>
    </w:tbl>
    <w:p w14:paraId="0E6E1DE8">
      <w:pPr>
        <w:pageBreakBefore w:val="0"/>
        <w:kinsoku/>
        <w:overflowPunct/>
        <w:topLinePunct w:val="0"/>
        <w:bidi w:val="0"/>
        <w:snapToGrid/>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续表</w:t>
      </w:r>
    </w:p>
    <w:tbl>
      <w:tblPr>
        <w:tblStyle w:val="23"/>
        <w:tblW w:w="10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3029"/>
        <w:gridCol w:w="6255"/>
      </w:tblGrid>
      <w:tr w14:paraId="2558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214" w:type="dxa"/>
            <w:vAlign w:val="center"/>
          </w:tcPr>
          <w:p w14:paraId="7D782FC3">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条款号</w:t>
            </w:r>
          </w:p>
        </w:tc>
        <w:tc>
          <w:tcPr>
            <w:tcW w:w="3029" w:type="dxa"/>
            <w:vAlign w:val="center"/>
          </w:tcPr>
          <w:p w14:paraId="50A08C2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 款 内 容</w:t>
            </w:r>
          </w:p>
        </w:tc>
        <w:tc>
          <w:tcPr>
            <w:tcW w:w="6255" w:type="dxa"/>
            <w:vAlign w:val="center"/>
          </w:tcPr>
          <w:p w14:paraId="2CB3BE9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 列 内 容</w:t>
            </w:r>
          </w:p>
        </w:tc>
      </w:tr>
      <w:tr w14:paraId="5B02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4" w:type="dxa"/>
            <w:vAlign w:val="center"/>
          </w:tcPr>
          <w:p w14:paraId="56479A5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3.5(5)</w:t>
            </w:r>
          </w:p>
        </w:tc>
        <w:tc>
          <w:tcPr>
            <w:tcW w:w="3029" w:type="dxa"/>
            <w:vAlign w:val="center"/>
          </w:tcPr>
          <w:p w14:paraId="57A99A8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信誉要求证明材料</w:t>
            </w:r>
          </w:p>
        </w:tc>
        <w:tc>
          <w:tcPr>
            <w:tcW w:w="6255" w:type="dxa"/>
            <w:vAlign w:val="center"/>
          </w:tcPr>
          <w:p w14:paraId="0281720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不适用</w:t>
            </w:r>
          </w:p>
          <w:p w14:paraId="0987341C">
            <w:pPr>
              <w:pStyle w:val="19"/>
              <w:pageBreakBefore w:val="0"/>
              <w:widowControl/>
              <w:kinsoku/>
              <w:overflowPunct/>
              <w:topLinePunct w:val="0"/>
              <w:bidi w:val="0"/>
              <w:snapToGrid/>
              <w:spacing w:beforeAutospacing="0" w:afterAutospacing="0" w:line="360" w:lineRule="auto"/>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适用。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应提供相关信誉情况的证明材料，包括∶</w:t>
            </w:r>
            <w:r>
              <w:rPr>
                <w:rFonts w:hint="eastAsia" w:ascii="宋体" w:hAnsi="宋体" w:eastAsia="宋体" w:cs="宋体"/>
                <w:color w:val="auto"/>
                <w:highlight w:val="none"/>
                <w:u w:val="single"/>
              </w:rPr>
              <w:t>在“信用中国”网站（www.creditchina.gov.cn）和“青海省工程建设监管和信用管理平台”（139.170.150.135）中被列入严重失信主体名单的市场主体，限制其参加工程建设项目招标投标活动</w:t>
            </w:r>
            <w:r>
              <w:rPr>
                <w:rStyle w:val="44"/>
                <w:rFonts w:hint="eastAsia" w:ascii="宋体" w:hAnsi="宋体" w:eastAsia="宋体" w:cs="宋体"/>
                <w:color w:val="auto"/>
                <w:highlight w:val="none"/>
                <w:u w:val="single"/>
              </w:rPr>
              <w:t>。</w:t>
            </w:r>
          </w:p>
        </w:tc>
      </w:tr>
      <w:tr w14:paraId="2418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jc w:val="center"/>
        </w:trPr>
        <w:tc>
          <w:tcPr>
            <w:tcW w:w="1214" w:type="dxa"/>
            <w:vAlign w:val="center"/>
          </w:tcPr>
          <w:p w14:paraId="3563987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3.5(6)</w:t>
            </w:r>
          </w:p>
        </w:tc>
        <w:tc>
          <w:tcPr>
            <w:tcW w:w="3029" w:type="dxa"/>
            <w:vAlign w:val="center"/>
          </w:tcPr>
          <w:p w14:paraId="7591D77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承担本项目的主要人员</w:t>
            </w:r>
          </w:p>
          <w:p w14:paraId="34844AB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要求证明材料</w:t>
            </w:r>
          </w:p>
        </w:tc>
        <w:tc>
          <w:tcPr>
            <w:tcW w:w="6255" w:type="dxa"/>
            <w:vAlign w:val="center"/>
          </w:tcPr>
          <w:p w14:paraId="0B89BFD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不适用</w:t>
            </w:r>
          </w:p>
          <w:p w14:paraId="654DC94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适用。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应提供拟委任的主要人员汇总表和主要人员简历表（格式见第六章"响应文件格式"七、资格审查资料（四）拟委任的主要人员汇总表和（五）主要人员简历表）。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应填报满足第一章"询比采购公告/询比采购邀请书"规定的项目负责人和其他主要人员的相关信息，并按如下要求提供相关证明文件∶</w:t>
            </w:r>
            <w:r>
              <w:rPr>
                <w:rFonts w:hint="eastAsia" w:ascii="宋体" w:hAnsi="宋体" w:eastAsia="宋体" w:cs="宋体"/>
                <w:color w:val="auto"/>
                <w:sz w:val="24"/>
                <w:highlight w:val="none"/>
                <w:u w:val="single"/>
                <w:lang w:val="en-US" w:eastAsia="zh-CN"/>
              </w:rPr>
              <w:t>项目经理须具备</w:t>
            </w:r>
            <w:r>
              <w:rPr>
                <w:rFonts w:hint="eastAsia" w:ascii="宋体" w:hAnsi="宋体" w:eastAsia="宋体" w:cs="宋体"/>
                <w:color w:val="auto"/>
                <w:highlight w:val="none"/>
                <w:u w:val="single"/>
                <w:lang w:val="en-US" w:eastAsia="zh-CN"/>
              </w:rPr>
              <w:t>建筑工程</w:t>
            </w:r>
            <w:r>
              <w:rPr>
                <w:rFonts w:hint="eastAsia" w:ascii="宋体" w:hAnsi="宋体" w:eastAsia="宋体" w:cs="宋体"/>
                <w:color w:val="auto"/>
                <w:sz w:val="24"/>
                <w:highlight w:val="none"/>
                <w:u w:val="single"/>
                <w:lang w:val="en-US" w:eastAsia="zh-CN"/>
              </w:rPr>
              <w:t>专业贰级及以上建造师资格，提供建造师执业证、注册证</w:t>
            </w:r>
            <w:r>
              <w:rPr>
                <w:rFonts w:hint="eastAsia" w:ascii="宋体" w:hAnsi="宋体" w:eastAsia="宋体" w:cs="宋体"/>
                <w:color w:val="auto"/>
                <w:u w:val="single"/>
              </w:rPr>
              <w:t>和有效</w:t>
            </w:r>
            <w:r>
              <w:rPr>
                <w:rFonts w:hint="eastAsia" w:ascii="宋体" w:hAnsi="宋体" w:eastAsia="宋体" w:cs="宋体"/>
                <w:color w:val="auto"/>
                <w:sz w:val="24"/>
                <w:highlight w:val="none"/>
                <w:u w:val="single"/>
                <w:lang w:val="en-US" w:eastAsia="zh-CN"/>
              </w:rPr>
              <w:t>的安全生产考核合格证书，未同时在其他项目担任项目经理的承诺书；</w:t>
            </w:r>
          </w:p>
          <w:p w14:paraId="35DDEC0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（注∶一般工程和服务项目有本项要求。</w:t>
            </w:r>
            <w:r>
              <w:rPr>
                <w:rFonts w:hint="eastAsia" w:ascii="宋体" w:hAnsi="宋体" w:eastAsia="宋体" w:cs="宋体"/>
                <w:color w:val="auto"/>
                <w:kern w:val="0"/>
                <w:sz w:val="24"/>
                <w:highlight w:val="none"/>
                <w:lang w:val="en-US" w:eastAsia="zh-CN"/>
              </w:rPr>
              <w:t>采购</w:t>
            </w:r>
            <w:r>
              <w:rPr>
                <w:rFonts w:hint="eastAsia" w:ascii="宋体" w:hAnsi="宋体" w:eastAsia="宋体" w:cs="宋体"/>
                <w:color w:val="auto"/>
                <w:highlight w:val="none"/>
                <w:lang w:eastAsia="zh-CN"/>
              </w:rPr>
              <w:t>人</w:t>
            </w:r>
            <w:r>
              <w:rPr>
                <w:rFonts w:hint="eastAsia" w:ascii="宋体" w:hAnsi="宋体" w:eastAsia="宋体" w:cs="宋体"/>
                <w:color w:val="auto"/>
                <w:highlight w:val="none"/>
              </w:rPr>
              <w:t>可在此处明确</w:t>
            </w:r>
            <w:r>
              <w:rPr>
                <w:rFonts w:hint="eastAsia" w:ascii="宋体" w:hAnsi="宋体" w:eastAsia="宋体" w:cs="宋体"/>
                <w:color w:val="auto"/>
                <w:highlight w:val="none"/>
                <w:lang w:eastAsia="zh-CN"/>
              </w:rPr>
              <w:t>相关</w:t>
            </w:r>
            <w:r>
              <w:rPr>
                <w:rFonts w:hint="eastAsia" w:ascii="宋体" w:hAnsi="宋体" w:eastAsia="宋体" w:cs="宋体"/>
                <w:color w:val="auto"/>
                <w:highlight w:val="none"/>
              </w:rPr>
              <w:t>证书、执业证书、社保缴费证明及业绩证明等的具体要求。）</w:t>
            </w:r>
          </w:p>
        </w:tc>
      </w:tr>
      <w:tr w14:paraId="2DBD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214" w:type="dxa"/>
            <w:vAlign w:val="center"/>
          </w:tcPr>
          <w:p w14:paraId="0DD1AB3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3.5(7)</w:t>
            </w:r>
          </w:p>
        </w:tc>
        <w:tc>
          <w:tcPr>
            <w:tcW w:w="3029" w:type="dxa"/>
            <w:vAlign w:val="center"/>
          </w:tcPr>
          <w:p w14:paraId="53D1156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其他要求的证明材料</w:t>
            </w:r>
          </w:p>
        </w:tc>
        <w:tc>
          <w:tcPr>
            <w:tcW w:w="6255" w:type="dxa"/>
            <w:vAlign w:val="center"/>
          </w:tcPr>
          <w:p w14:paraId="131F652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企业注册地不在青海省辖区内的企业,应提供《青海省省外建设工程企业登记册（施工企业）》完整内容。</w:t>
            </w:r>
          </w:p>
        </w:tc>
      </w:tr>
      <w:tr w14:paraId="2D56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214" w:type="dxa"/>
            <w:vAlign w:val="center"/>
          </w:tcPr>
          <w:p w14:paraId="3B4C9C6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3.5(8)</w:t>
            </w:r>
          </w:p>
        </w:tc>
        <w:tc>
          <w:tcPr>
            <w:tcW w:w="3029" w:type="dxa"/>
            <w:vAlign w:val="center"/>
          </w:tcPr>
          <w:p w14:paraId="0DEAD97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不存在第一章3.2款</w:t>
            </w:r>
          </w:p>
          <w:p w14:paraId="2042CA9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情形的证明材料</w:t>
            </w:r>
          </w:p>
        </w:tc>
        <w:tc>
          <w:tcPr>
            <w:tcW w:w="6255" w:type="dxa"/>
            <w:vAlign w:val="center"/>
          </w:tcPr>
          <w:p w14:paraId="4995643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不需提供证明材料</w:t>
            </w:r>
          </w:p>
          <w:p w14:paraId="600F1A6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需要提供证明材料，包括∶</w:t>
            </w:r>
            <w:r>
              <w:rPr>
                <w:rFonts w:hint="eastAsia" w:ascii="宋体" w:hAnsi="宋体" w:eastAsia="宋体" w:cs="宋体"/>
                <w:color w:val="auto"/>
                <w:highlight w:val="none"/>
                <w:u w:val="single"/>
              </w:rPr>
              <w:t xml:space="preserve">                </w:t>
            </w:r>
          </w:p>
        </w:tc>
      </w:tr>
      <w:tr w14:paraId="3CCA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1214" w:type="dxa"/>
            <w:vAlign w:val="center"/>
          </w:tcPr>
          <w:p w14:paraId="36D5919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3.5(9)</w:t>
            </w:r>
          </w:p>
        </w:tc>
        <w:tc>
          <w:tcPr>
            <w:tcW w:w="3029" w:type="dxa"/>
            <w:vAlign w:val="center"/>
          </w:tcPr>
          <w:p w14:paraId="678945D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联合体要求的证明材料</w:t>
            </w:r>
          </w:p>
        </w:tc>
        <w:tc>
          <w:tcPr>
            <w:tcW w:w="6255" w:type="dxa"/>
            <w:vAlign w:val="center"/>
          </w:tcPr>
          <w:p w14:paraId="3D3A105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不适用</w:t>
            </w:r>
          </w:p>
          <w:p w14:paraId="5C62A7B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适用。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应按照采购文件提供的格式（格式见第六章"响应文件格式"三、联合体协议书）拟订联合体协议书，并提供联合体协议书的原件。联合体协议书应明确联合体各方的分工</w:t>
            </w:r>
          </w:p>
        </w:tc>
      </w:tr>
      <w:tr w14:paraId="012A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214" w:type="dxa"/>
            <w:vAlign w:val="center"/>
          </w:tcPr>
          <w:p w14:paraId="6E51514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3.6.1</w:t>
            </w:r>
          </w:p>
        </w:tc>
        <w:tc>
          <w:tcPr>
            <w:tcW w:w="3029" w:type="dxa"/>
            <w:vAlign w:val="center"/>
          </w:tcPr>
          <w:p w14:paraId="6AD988E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对关键条款进行响应的证据或证明材料要求</w:t>
            </w:r>
          </w:p>
        </w:tc>
        <w:tc>
          <w:tcPr>
            <w:tcW w:w="6255" w:type="dxa"/>
            <w:vAlign w:val="center"/>
          </w:tcPr>
          <w:p w14:paraId="4425AD9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33AB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214" w:type="dxa"/>
            <w:vAlign w:val="center"/>
          </w:tcPr>
          <w:p w14:paraId="1DC0DEB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3.6.2</w:t>
            </w:r>
          </w:p>
        </w:tc>
        <w:tc>
          <w:tcPr>
            <w:tcW w:w="3029" w:type="dxa"/>
            <w:vAlign w:val="center"/>
          </w:tcPr>
          <w:p w14:paraId="1BB1435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响应方案数量</w:t>
            </w:r>
          </w:p>
        </w:tc>
        <w:tc>
          <w:tcPr>
            <w:tcW w:w="6255" w:type="dxa"/>
            <w:vAlign w:val="center"/>
          </w:tcPr>
          <w:p w14:paraId="7FC49CE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只能提出唯一响应方案</w:t>
            </w:r>
          </w:p>
          <w:p w14:paraId="6EB1E51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可提出多个响应方案</w:t>
            </w:r>
          </w:p>
        </w:tc>
      </w:tr>
      <w:tr w14:paraId="088C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214" w:type="dxa"/>
            <w:vAlign w:val="center"/>
          </w:tcPr>
          <w:p w14:paraId="775230A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3.7.5</w:t>
            </w:r>
          </w:p>
        </w:tc>
        <w:tc>
          <w:tcPr>
            <w:tcW w:w="3029" w:type="dxa"/>
            <w:vAlign w:val="center"/>
          </w:tcPr>
          <w:p w14:paraId="77B9FA0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响应文件副本份数要求</w:t>
            </w:r>
          </w:p>
        </w:tc>
        <w:tc>
          <w:tcPr>
            <w:tcW w:w="6255" w:type="dxa"/>
            <w:vAlign w:val="center"/>
          </w:tcPr>
          <w:p w14:paraId="24A7563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color w:val="auto"/>
                <w:sz w:val="24"/>
                <w:szCs w:val="24"/>
                <w:highlight w:val="none"/>
                <w:lang w:eastAsia="zh-CN"/>
              </w:rPr>
            </w:pPr>
            <w:r>
              <w:rPr>
                <w:rFonts w:hint="eastAsia" w:ascii="宋体" w:hAnsi="宋体" w:cs="宋体"/>
                <w:color w:val="auto"/>
                <w:sz w:val="24"/>
                <w:szCs w:val="24"/>
                <w:highlight w:val="none"/>
                <w:lang w:eastAsia="zh-CN"/>
              </w:rPr>
              <w:t>响</w:t>
            </w:r>
            <w:r>
              <w:rPr>
                <w:rFonts w:hint="eastAsia"/>
                <w:color w:val="auto"/>
                <w:sz w:val="24"/>
                <w:szCs w:val="24"/>
                <w:highlight w:val="none"/>
                <w:lang w:eastAsia="zh-CN"/>
              </w:rPr>
              <w:t>应文件正本份数：</w:t>
            </w:r>
            <w:r>
              <w:rPr>
                <w:rFonts w:hint="eastAsia"/>
                <w:color w:val="auto"/>
                <w:sz w:val="24"/>
                <w:szCs w:val="24"/>
                <w:highlight w:val="none"/>
                <w:lang w:val="en-US" w:eastAsia="zh-CN"/>
              </w:rPr>
              <w:t>1</w:t>
            </w:r>
            <w:r>
              <w:rPr>
                <w:rFonts w:hint="eastAsia"/>
                <w:color w:val="auto"/>
                <w:sz w:val="24"/>
                <w:szCs w:val="24"/>
                <w:highlight w:val="none"/>
                <w:lang w:eastAsia="zh-CN"/>
              </w:rPr>
              <w:t>份</w:t>
            </w:r>
          </w:p>
          <w:p w14:paraId="16A47CF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color w:val="auto"/>
                <w:sz w:val="24"/>
                <w:szCs w:val="24"/>
                <w:highlight w:val="none"/>
                <w:lang w:eastAsia="zh-CN"/>
              </w:rPr>
            </w:pPr>
            <w:r>
              <w:rPr>
                <w:rFonts w:hint="eastAsia"/>
                <w:color w:val="auto"/>
                <w:sz w:val="24"/>
                <w:szCs w:val="24"/>
                <w:highlight w:val="none"/>
                <w:lang w:eastAsia="zh-CN"/>
              </w:rPr>
              <w:t>响应文件副本份数：</w:t>
            </w:r>
            <w:r>
              <w:rPr>
                <w:rFonts w:hint="eastAsia"/>
                <w:color w:val="auto"/>
                <w:sz w:val="24"/>
                <w:szCs w:val="24"/>
                <w:highlight w:val="none"/>
                <w:lang w:val="en-US" w:eastAsia="zh-CN"/>
              </w:rPr>
              <w:t>2</w:t>
            </w:r>
            <w:r>
              <w:rPr>
                <w:rFonts w:hint="eastAsia"/>
                <w:color w:val="auto"/>
                <w:sz w:val="24"/>
                <w:szCs w:val="24"/>
                <w:highlight w:val="none"/>
                <w:lang w:eastAsia="zh-CN"/>
              </w:rPr>
              <w:t>份</w:t>
            </w:r>
          </w:p>
          <w:p w14:paraId="1DC5AF5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color w:val="auto"/>
                <w:sz w:val="24"/>
                <w:szCs w:val="24"/>
                <w:highlight w:val="none"/>
                <w:lang w:eastAsia="zh-CN"/>
              </w:rPr>
            </w:pPr>
            <w:r>
              <w:rPr>
                <w:rFonts w:hint="eastAsia"/>
                <w:color w:val="auto"/>
                <w:sz w:val="24"/>
                <w:szCs w:val="24"/>
                <w:highlight w:val="none"/>
                <w:lang w:eastAsia="zh-CN"/>
              </w:rPr>
              <w:t>响应文件电子版份数：1份</w:t>
            </w:r>
          </w:p>
          <w:p w14:paraId="0FA2A59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color w:val="auto"/>
                <w:sz w:val="24"/>
                <w:szCs w:val="24"/>
                <w:highlight w:val="none"/>
                <w:lang w:eastAsia="zh-CN"/>
              </w:rPr>
            </w:pPr>
            <w:r>
              <w:rPr>
                <w:rFonts w:hint="eastAsia"/>
                <w:color w:val="auto"/>
                <w:sz w:val="24"/>
                <w:szCs w:val="24"/>
                <w:highlight w:val="none"/>
                <w:lang w:eastAsia="zh-CN"/>
              </w:rPr>
              <w:t>响应文件电子版形式：U盘</w:t>
            </w:r>
          </w:p>
          <w:p w14:paraId="4C6E46B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color w:val="auto"/>
                <w:sz w:val="24"/>
                <w:szCs w:val="24"/>
                <w:highlight w:val="none"/>
                <w:lang w:val="en-US" w:eastAsia="zh-CN"/>
              </w:rPr>
            </w:pPr>
            <w:r>
              <w:rPr>
                <w:rFonts w:hint="eastAsia"/>
                <w:color w:val="auto"/>
                <w:sz w:val="24"/>
                <w:szCs w:val="24"/>
                <w:highlight w:val="none"/>
                <w:lang w:eastAsia="zh-CN"/>
              </w:rPr>
              <w:t>响应函及报价一览表：</w:t>
            </w:r>
            <w:r>
              <w:rPr>
                <w:rFonts w:hint="eastAsia"/>
                <w:color w:val="auto"/>
                <w:sz w:val="24"/>
                <w:szCs w:val="24"/>
                <w:highlight w:val="none"/>
                <w:lang w:val="en-US" w:eastAsia="zh-CN"/>
              </w:rPr>
              <w:t>1份</w:t>
            </w:r>
          </w:p>
          <w:p w14:paraId="0E1F2EF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cs="宋体"/>
                <w:color w:val="auto"/>
                <w:sz w:val="24"/>
                <w:szCs w:val="24"/>
                <w:highlight w:val="none"/>
              </w:rPr>
              <w:t>其他要求：</w:t>
            </w:r>
            <w:r>
              <w:rPr>
                <w:rFonts w:hint="eastAsia"/>
                <w:color w:val="auto"/>
                <w:sz w:val="24"/>
                <w:szCs w:val="24"/>
                <w:highlight w:val="none"/>
              </w:rPr>
              <w:t>单独密封“</w:t>
            </w:r>
            <w:r>
              <w:rPr>
                <w:rFonts w:hint="eastAsia"/>
                <w:color w:val="auto"/>
                <w:sz w:val="24"/>
                <w:szCs w:val="24"/>
                <w:highlight w:val="none"/>
                <w:lang w:eastAsia="zh-CN"/>
              </w:rPr>
              <w:t>响应函及报价一览表</w:t>
            </w:r>
            <w:r>
              <w:rPr>
                <w:rFonts w:hint="eastAsia"/>
                <w:color w:val="auto"/>
                <w:sz w:val="24"/>
                <w:szCs w:val="24"/>
                <w:highlight w:val="none"/>
              </w:rPr>
              <w:t>”</w:t>
            </w:r>
            <w:r>
              <w:rPr>
                <w:color w:val="auto"/>
                <w:sz w:val="24"/>
                <w:szCs w:val="24"/>
                <w:highlight w:val="none"/>
              </w:rPr>
              <w:t>、</w:t>
            </w:r>
            <w:r>
              <w:rPr>
                <w:rFonts w:hint="eastAsia"/>
                <w:color w:val="auto"/>
                <w:sz w:val="24"/>
                <w:szCs w:val="24"/>
                <w:highlight w:val="none"/>
              </w:rPr>
              <w:t>“</w:t>
            </w:r>
            <w:r>
              <w:rPr>
                <w:rFonts w:hint="eastAsia"/>
                <w:color w:val="auto"/>
                <w:sz w:val="24"/>
                <w:szCs w:val="24"/>
                <w:highlight w:val="none"/>
                <w:lang w:eastAsia="zh-CN"/>
              </w:rPr>
              <w:t>询比</w:t>
            </w:r>
            <w:r>
              <w:rPr>
                <w:color w:val="auto"/>
                <w:sz w:val="24"/>
                <w:szCs w:val="24"/>
                <w:highlight w:val="none"/>
              </w:rPr>
              <w:t>响应文件电子版</w:t>
            </w:r>
            <w:r>
              <w:rPr>
                <w:rFonts w:hint="eastAsia"/>
                <w:color w:val="auto"/>
                <w:sz w:val="24"/>
                <w:szCs w:val="24"/>
                <w:highlight w:val="none"/>
              </w:rPr>
              <w:t>”</w:t>
            </w:r>
            <w:r>
              <w:rPr>
                <w:rFonts w:hint="eastAsia"/>
                <w:color w:val="auto"/>
                <w:sz w:val="24"/>
                <w:szCs w:val="24"/>
                <w:highlight w:val="none"/>
                <w:lang w:eastAsia="zh-CN"/>
              </w:rPr>
              <w:t>、“正本”、“副本”</w:t>
            </w:r>
            <w:r>
              <w:rPr>
                <w:rFonts w:hint="eastAsia"/>
                <w:color w:val="auto"/>
                <w:sz w:val="24"/>
                <w:szCs w:val="24"/>
                <w:highlight w:val="none"/>
              </w:rPr>
              <w:t>须分别装封于不同的密封袋中</w:t>
            </w:r>
            <w:r>
              <w:rPr>
                <w:color w:val="auto"/>
                <w:sz w:val="24"/>
                <w:szCs w:val="24"/>
                <w:highlight w:val="none"/>
              </w:rPr>
              <w:t>并加贴封条，并在封套封口处加盖</w:t>
            </w:r>
            <w:r>
              <w:rPr>
                <w:rFonts w:hint="eastAsia"/>
                <w:color w:val="auto"/>
                <w:sz w:val="24"/>
                <w:szCs w:val="24"/>
                <w:highlight w:val="none"/>
                <w:lang w:eastAsia="zh-CN"/>
              </w:rPr>
              <w:t>询比询比响应人</w:t>
            </w:r>
            <w:r>
              <w:rPr>
                <w:color w:val="auto"/>
                <w:sz w:val="24"/>
                <w:szCs w:val="24"/>
                <w:highlight w:val="none"/>
              </w:rPr>
              <w:t>公章，在封套上标记</w:t>
            </w:r>
            <w:r>
              <w:rPr>
                <w:rFonts w:hint="eastAsia"/>
                <w:color w:val="auto"/>
                <w:sz w:val="24"/>
                <w:szCs w:val="24"/>
                <w:highlight w:val="none"/>
              </w:rPr>
              <w:t>“</w:t>
            </w:r>
            <w:r>
              <w:rPr>
                <w:rFonts w:hint="eastAsia"/>
                <w:color w:val="auto"/>
                <w:sz w:val="24"/>
                <w:szCs w:val="24"/>
                <w:highlight w:val="none"/>
                <w:lang w:eastAsia="zh-CN"/>
              </w:rPr>
              <w:t>报价一览表</w:t>
            </w:r>
            <w:r>
              <w:rPr>
                <w:rFonts w:hint="eastAsia"/>
                <w:color w:val="auto"/>
                <w:sz w:val="24"/>
                <w:szCs w:val="24"/>
                <w:highlight w:val="none"/>
              </w:rPr>
              <w:t>”</w:t>
            </w:r>
            <w:r>
              <w:rPr>
                <w:color w:val="auto"/>
                <w:sz w:val="24"/>
                <w:szCs w:val="24"/>
                <w:highlight w:val="none"/>
              </w:rPr>
              <w:t>、</w:t>
            </w:r>
            <w:r>
              <w:rPr>
                <w:rFonts w:hint="eastAsia"/>
                <w:color w:val="auto"/>
                <w:sz w:val="24"/>
                <w:szCs w:val="24"/>
                <w:highlight w:val="none"/>
              </w:rPr>
              <w:t>“</w:t>
            </w:r>
            <w:r>
              <w:rPr>
                <w:rFonts w:hint="eastAsia"/>
                <w:color w:val="auto"/>
                <w:sz w:val="24"/>
                <w:szCs w:val="24"/>
                <w:highlight w:val="none"/>
                <w:lang w:eastAsia="zh-CN"/>
              </w:rPr>
              <w:t>询比</w:t>
            </w:r>
            <w:r>
              <w:rPr>
                <w:color w:val="auto"/>
                <w:sz w:val="24"/>
                <w:szCs w:val="24"/>
                <w:highlight w:val="none"/>
              </w:rPr>
              <w:t>响应文件电子版</w:t>
            </w:r>
            <w:r>
              <w:rPr>
                <w:rFonts w:hint="eastAsia"/>
                <w:color w:val="auto"/>
                <w:sz w:val="24"/>
                <w:szCs w:val="24"/>
                <w:highlight w:val="none"/>
              </w:rPr>
              <w:t>”</w:t>
            </w:r>
            <w:r>
              <w:rPr>
                <w:rFonts w:hint="eastAsia"/>
                <w:color w:val="auto"/>
                <w:sz w:val="24"/>
                <w:szCs w:val="24"/>
                <w:highlight w:val="none"/>
                <w:lang w:eastAsia="zh-CN"/>
              </w:rPr>
              <w:t>、“正本”、“副本”</w:t>
            </w:r>
            <w:r>
              <w:rPr>
                <w:color w:val="auto"/>
                <w:sz w:val="24"/>
                <w:szCs w:val="24"/>
                <w:highlight w:val="none"/>
              </w:rPr>
              <w:t>字样，否则</w:t>
            </w:r>
            <w:r>
              <w:rPr>
                <w:rFonts w:hint="eastAsia"/>
                <w:color w:val="auto"/>
                <w:sz w:val="24"/>
                <w:szCs w:val="24"/>
                <w:highlight w:val="none"/>
                <w:lang w:eastAsia="zh-CN"/>
              </w:rPr>
              <w:t>询比</w:t>
            </w:r>
            <w:r>
              <w:rPr>
                <w:color w:val="auto"/>
                <w:sz w:val="24"/>
                <w:szCs w:val="24"/>
                <w:highlight w:val="none"/>
              </w:rPr>
              <w:t>响应文件不予接收。</w:t>
            </w:r>
          </w:p>
        </w:tc>
      </w:tr>
      <w:tr w14:paraId="525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14" w:type="dxa"/>
            <w:vAlign w:val="center"/>
          </w:tcPr>
          <w:p w14:paraId="4280E83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3.7.6</w:t>
            </w:r>
          </w:p>
        </w:tc>
        <w:tc>
          <w:tcPr>
            <w:tcW w:w="3029" w:type="dxa"/>
            <w:vAlign w:val="center"/>
          </w:tcPr>
          <w:p w14:paraId="3D674F2C">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分册装订要求</w:t>
            </w:r>
          </w:p>
        </w:tc>
        <w:tc>
          <w:tcPr>
            <w:tcW w:w="6255" w:type="dxa"/>
            <w:vAlign w:val="center"/>
          </w:tcPr>
          <w:p w14:paraId="670D155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不适用</w:t>
            </w:r>
          </w:p>
        </w:tc>
      </w:tr>
    </w:tbl>
    <w:p w14:paraId="72D89597">
      <w:pPr>
        <w:pageBreakBefore w:val="0"/>
        <w:kinsoku/>
        <w:overflowPunct/>
        <w:topLinePunct w:val="0"/>
        <w:bidi w:val="0"/>
        <w:snapToGrid/>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续表</w:t>
      </w:r>
    </w:p>
    <w:tbl>
      <w:tblPr>
        <w:tblStyle w:val="23"/>
        <w:tblW w:w="10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3186"/>
        <w:gridCol w:w="6129"/>
      </w:tblGrid>
      <w:tr w14:paraId="7B64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182" w:type="dxa"/>
            <w:vAlign w:val="center"/>
          </w:tcPr>
          <w:p w14:paraId="07958F8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条款号</w:t>
            </w:r>
          </w:p>
        </w:tc>
        <w:tc>
          <w:tcPr>
            <w:tcW w:w="3186" w:type="dxa"/>
            <w:vAlign w:val="center"/>
          </w:tcPr>
          <w:p w14:paraId="2A40F0A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 款 内 容</w:t>
            </w:r>
          </w:p>
        </w:tc>
        <w:tc>
          <w:tcPr>
            <w:tcW w:w="6129" w:type="dxa"/>
            <w:vAlign w:val="center"/>
          </w:tcPr>
          <w:p w14:paraId="313CE50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 列 内 容</w:t>
            </w:r>
          </w:p>
        </w:tc>
      </w:tr>
      <w:tr w14:paraId="4396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182" w:type="dxa"/>
            <w:vAlign w:val="center"/>
          </w:tcPr>
          <w:p w14:paraId="5CB25D0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4.1.2</w:t>
            </w:r>
          </w:p>
        </w:tc>
        <w:tc>
          <w:tcPr>
            <w:tcW w:w="3186" w:type="dxa"/>
            <w:vAlign w:val="center"/>
          </w:tcPr>
          <w:p w14:paraId="39FA313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封套上应载明的信息</w:t>
            </w:r>
          </w:p>
        </w:tc>
        <w:tc>
          <w:tcPr>
            <w:tcW w:w="6129" w:type="dxa"/>
            <w:vAlign w:val="center"/>
          </w:tcPr>
          <w:p w14:paraId="740955B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名称∶</w:t>
            </w:r>
            <w:r>
              <w:rPr>
                <w:rFonts w:hint="eastAsia" w:ascii="宋体" w:hAnsi="宋体" w:eastAsia="宋体" w:cs="宋体"/>
                <w:color w:val="auto"/>
                <w:highlight w:val="none"/>
                <w:u w:val="single"/>
              </w:rPr>
              <w:t xml:space="preserve">                             </w:t>
            </w:r>
          </w:p>
          <w:p w14:paraId="44A7543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（项目名称）</w:t>
            </w:r>
            <w:r>
              <w:rPr>
                <w:rFonts w:hint="eastAsia" w:ascii="宋体" w:hAnsi="宋体" w:eastAsia="宋体" w:cs="宋体"/>
                <w:color w:val="auto"/>
                <w:highlight w:val="none"/>
              </w:rPr>
              <w:t>响应文件</w:t>
            </w:r>
          </w:p>
        </w:tc>
      </w:tr>
      <w:tr w14:paraId="67B6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182" w:type="dxa"/>
            <w:vAlign w:val="center"/>
          </w:tcPr>
          <w:p w14:paraId="77AC5F6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4.2.1</w:t>
            </w:r>
          </w:p>
        </w:tc>
        <w:tc>
          <w:tcPr>
            <w:tcW w:w="3186" w:type="dxa"/>
            <w:vAlign w:val="center"/>
          </w:tcPr>
          <w:p w14:paraId="0C6E73B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递交响应文件截止时间和地点</w:t>
            </w:r>
          </w:p>
        </w:tc>
        <w:tc>
          <w:tcPr>
            <w:tcW w:w="6129" w:type="dxa"/>
            <w:vAlign w:val="center"/>
          </w:tcPr>
          <w:p w14:paraId="107D2EC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bCs/>
                <w:color w:val="auto"/>
                <w:highlight w:val="none"/>
                <w:u w:val="single"/>
              </w:rPr>
            </w:pPr>
            <w:r>
              <w:rPr>
                <w:rFonts w:hint="eastAsia" w:ascii="宋体" w:hAnsi="宋体" w:eastAsia="宋体" w:cs="宋体"/>
                <w:color w:val="auto"/>
                <w:highlight w:val="none"/>
              </w:rPr>
              <w:t>截止时间∶</w:t>
            </w:r>
            <w:r>
              <w:rPr>
                <w:rFonts w:hint="eastAsia" w:ascii="宋体" w:hAnsi="宋体" w:eastAsia="宋体" w:cs="宋体"/>
                <w:color w:val="auto"/>
                <w:highlight w:val="none"/>
                <w:u w:val="single"/>
              </w:rPr>
              <w:t xml:space="preserve"> </w:t>
            </w:r>
            <w:r>
              <w:rPr>
                <w:rFonts w:hint="eastAsia" w:ascii="宋体" w:hAnsi="宋体" w:eastAsia="宋体" w:cs="宋体"/>
                <w:b/>
                <w:bCs/>
                <w:color w:val="auto"/>
                <w:kern w:val="0"/>
                <w:sz w:val="24"/>
                <w:szCs w:val="24"/>
                <w:highlight w:val="none"/>
                <w:u w:val="single"/>
                <w:lang w:val="en-US" w:eastAsia="zh-CN" w:bidi="ar"/>
              </w:rPr>
              <w:t>2026年11月03日上午09时00分（北京时间）</w:t>
            </w:r>
          </w:p>
          <w:p w14:paraId="0546E41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递交响应文件的地点∶</w:t>
            </w:r>
            <w:r>
              <w:rPr>
                <w:rFonts w:hint="eastAsia" w:ascii="宋体" w:hAnsi="宋体" w:eastAsia="宋体" w:cs="宋体"/>
                <w:color w:val="auto"/>
                <w:highlight w:val="none"/>
                <w:u w:val="single"/>
              </w:rPr>
              <w:t xml:space="preserve"> 青海省西宁市西川南路76号万达中心1号写字楼6楼10605室 </w:t>
            </w:r>
          </w:p>
        </w:tc>
      </w:tr>
      <w:tr w14:paraId="4076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182" w:type="dxa"/>
            <w:vAlign w:val="center"/>
          </w:tcPr>
          <w:p w14:paraId="39E8BE2A">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4.2.2</w:t>
            </w:r>
          </w:p>
        </w:tc>
        <w:tc>
          <w:tcPr>
            <w:tcW w:w="3186" w:type="dxa"/>
            <w:vAlign w:val="center"/>
          </w:tcPr>
          <w:p w14:paraId="470511A3">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是否退还响应文件</w:t>
            </w:r>
          </w:p>
        </w:tc>
        <w:tc>
          <w:tcPr>
            <w:tcW w:w="6129" w:type="dxa"/>
            <w:vAlign w:val="center"/>
          </w:tcPr>
          <w:p w14:paraId="6E3EF7F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否</w:t>
            </w:r>
          </w:p>
          <w:p w14:paraId="126517F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是，退还时间∶</w:t>
            </w:r>
            <w:r>
              <w:rPr>
                <w:rFonts w:hint="eastAsia" w:ascii="宋体" w:hAnsi="宋体" w:eastAsia="宋体" w:cs="宋体"/>
                <w:color w:val="auto"/>
                <w:highlight w:val="none"/>
                <w:u w:val="single"/>
              </w:rPr>
              <w:t xml:space="preserve">                        </w:t>
            </w:r>
          </w:p>
        </w:tc>
      </w:tr>
      <w:tr w14:paraId="3D49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1182" w:type="dxa"/>
            <w:vAlign w:val="center"/>
          </w:tcPr>
          <w:p w14:paraId="74C59F8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4.3.3</w:t>
            </w:r>
          </w:p>
        </w:tc>
        <w:tc>
          <w:tcPr>
            <w:tcW w:w="3186" w:type="dxa"/>
            <w:vAlign w:val="center"/>
          </w:tcPr>
          <w:p w14:paraId="7DED6B2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撤回响应文件情况下退还响应保证金的时间</w:t>
            </w:r>
          </w:p>
        </w:tc>
        <w:tc>
          <w:tcPr>
            <w:tcW w:w="6129" w:type="dxa"/>
            <w:vAlign w:val="center"/>
          </w:tcPr>
          <w:p w14:paraId="3110DB2A">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自</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收到</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递交的书面通知之日起</w:t>
            </w:r>
            <w:r>
              <w:rPr>
                <w:rFonts w:hint="eastAsia" w:ascii="宋体" w:hAnsi="宋体" w:eastAsia="宋体" w:cs="宋体"/>
                <w:color w:val="auto"/>
                <w:highlight w:val="none"/>
                <w:u w:val="single"/>
              </w:rPr>
              <w:t>3</w:t>
            </w:r>
            <w:r>
              <w:rPr>
                <w:rFonts w:hint="eastAsia" w:ascii="宋体" w:hAnsi="宋体" w:eastAsia="宋体" w:cs="宋体"/>
                <w:color w:val="auto"/>
                <w:highlight w:val="none"/>
              </w:rPr>
              <w:t>日内</w:t>
            </w:r>
            <w:r>
              <w:rPr>
                <w:rFonts w:hint="eastAsia" w:ascii="宋体" w:hAnsi="宋体" w:eastAsia="宋体" w:cs="宋体"/>
                <w:color w:val="auto"/>
                <w:highlight w:val="none"/>
                <w:lang w:eastAsia="zh-CN"/>
              </w:rPr>
              <w:t>，</w:t>
            </w:r>
          </w:p>
          <w:p w14:paraId="1B4FAB8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自采购人收到询比响应人递交的书面通知之日起</w:t>
            </w:r>
            <w:r>
              <w:rPr>
                <w:rFonts w:hint="eastAsia" w:ascii="宋体" w:hAnsi="宋体" w:eastAsia="宋体" w:cs="宋体"/>
                <w:color w:val="auto"/>
                <w:highlight w:val="none"/>
                <w:u w:val="single"/>
                <w:lang w:eastAsia="zh-CN"/>
              </w:rPr>
              <w:t>5</w:t>
            </w:r>
            <w:r>
              <w:rPr>
                <w:rFonts w:hint="eastAsia" w:ascii="宋体" w:hAnsi="宋体" w:eastAsia="宋体" w:cs="宋体"/>
                <w:color w:val="auto"/>
                <w:highlight w:val="none"/>
                <w:lang w:eastAsia="zh-CN"/>
              </w:rPr>
              <w:t>日内</w:t>
            </w:r>
          </w:p>
        </w:tc>
      </w:tr>
      <w:tr w14:paraId="3CCF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1182" w:type="dxa"/>
            <w:vAlign w:val="center"/>
          </w:tcPr>
          <w:p w14:paraId="2BA4795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5.2(4)</w:t>
            </w:r>
          </w:p>
        </w:tc>
        <w:tc>
          <w:tcPr>
            <w:tcW w:w="3186" w:type="dxa"/>
            <w:vAlign w:val="center"/>
          </w:tcPr>
          <w:p w14:paraId="7686F22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开启程序</w:t>
            </w:r>
          </w:p>
        </w:tc>
        <w:tc>
          <w:tcPr>
            <w:tcW w:w="6129" w:type="dxa"/>
            <w:vAlign w:val="center"/>
          </w:tcPr>
          <w:p w14:paraId="154B464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i/>
                <w:iCs/>
                <w:color w:val="auto"/>
                <w:highlight w:val="none"/>
                <w:u w:val="single"/>
              </w:rPr>
            </w:pPr>
            <w:r>
              <w:rPr>
                <w:rFonts w:hint="eastAsia" w:ascii="宋体" w:hAnsi="宋体" w:eastAsia="宋体" w:cs="宋体"/>
                <w:color w:val="auto"/>
                <w:highlight w:val="none"/>
              </w:rPr>
              <w:t>开启顺序∶</w:t>
            </w:r>
            <w:r>
              <w:rPr>
                <w:rFonts w:hint="eastAsia" w:ascii="宋体" w:hAnsi="宋体" w:eastAsia="宋体" w:cs="宋体"/>
                <w:i/>
                <w:iCs/>
                <w:color w:val="auto"/>
                <w:highlight w:val="none"/>
                <w:u w:val="single"/>
              </w:rPr>
              <w:t xml:space="preserve">  </w:t>
            </w:r>
            <w:r>
              <w:rPr>
                <w:rFonts w:hint="eastAsia" w:ascii="宋体" w:hAnsi="宋体" w:eastAsia="宋体" w:cs="宋体"/>
                <w:color w:val="auto"/>
                <w:highlight w:val="none"/>
                <w:u w:val="single"/>
              </w:rPr>
              <w:t xml:space="preserve">递交顺序  </w:t>
            </w:r>
            <w:r>
              <w:rPr>
                <w:rFonts w:hint="eastAsia" w:ascii="宋体" w:hAnsi="宋体" w:eastAsia="宋体" w:cs="宋体"/>
                <w:i/>
                <w:iCs/>
                <w:color w:val="auto"/>
                <w:highlight w:val="none"/>
                <w:u w:val="single"/>
              </w:rPr>
              <w:t xml:space="preserve">              </w:t>
            </w:r>
          </w:p>
          <w:p w14:paraId="135F9DA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其他应公布的信息∶</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p>
        </w:tc>
      </w:tr>
      <w:tr w14:paraId="4C1B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1182" w:type="dxa"/>
            <w:vAlign w:val="center"/>
          </w:tcPr>
          <w:p w14:paraId="0236D2A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5.3</w:t>
            </w:r>
          </w:p>
        </w:tc>
        <w:tc>
          <w:tcPr>
            <w:tcW w:w="3186" w:type="dxa"/>
            <w:vAlign w:val="center"/>
          </w:tcPr>
          <w:p w14:paraId="16AAF36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递交响应文件的</w:t>
            </w:r>
            <w:r>
              <w:rPr>
                <w:rFonts w:hint="eastAsia" w:ascii="宋体" w:hAnsi="宋体" w:eastAsia="宋体" w:cs="宋体"/>
                <w:color w:val="auto"/>
                <w:highlight w:val="none"/>
                <w:lang w:eastAsia="zh-CN"/>
              </w:rPr>
              <w:t>询比响应人</w:t>
            </w:r>
          </w:p>
          <w:p w14:paraId="7DA9DDF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不足的情形</w:t>
            </w:r>
          </w:p>
        </w:tc>
        <w:tc>
          <w:tcPr>
            <w:tcW w:w="6129" w:type="dxa"/>
            <w:vAlign w:val="center"/>
          </w:tcPr>
          <w:p w14:paraId="2F29938A">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为多家时，</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不足的数量要求：</w:t>
            </w:r>
          </w:p>
          <w:p w14:paraId="6F2271C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3  </w:t>
            </w:r>
            <w:r>
              <w:rPr>
                <w:rFonts w:hint="eastAsia" w:ascii="宋体" w:hAnsi="宋体" w:eastAsia="宋体" w:cs="宋体"/>
                <w:color w:val="auto"/>
                <w:highlight w:val="none"/>
              </w:rPr>
              <w:t>家</w:t>
            </w:r>
          </w:p>
          <w:p w14:paraId="16EFEFF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在此处填写的数量一般不少于成交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数量的2倍。）</w:t>
            </w:r>
          </w:p>
        </w:tc>
      </w:tr>
      <w:tr w14:paraId="684E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1182" w:type="dxa"/>
            <w:vAlign w:val="center"/>
          </w:tcPr>
          <w:p w14:paraId="47EAAE5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6.2.2</w:t>
            </w:r>
          </w:p>
        </w:tc>
        <w:tc>
          <w:tcPr>
            <w:tcW w:w="3186" w:type="dxa"/>
            <w:vAlign w:val="center"/>
          </w:tcPr>
          <w:p w14:paraId="74C5E1A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推荐候选成交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w:t>
            </w:r>
          </w:p>
          <w:p w14:paraId="2B5B2DB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排序及数量</w:t>
            </w:r>
          </w:p>
        </w:tc>
        <w:tc>
          <w:tcPr>
            <w:tcW w:w="6129" w:type="dxa"/>
            <w:vAlign w:val="center"/>
          </w:tcPr>
          <w:p w14:paraId="0BBF819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是否排序：</w:t>
            </w:r>
          </w:p>
          <w:p w14:paraId="2F44CE0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排序</w:t>
            </w:r>
          </w:p>
          <w:p w14:paraId="66EE9F53">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不排序</w:t>
            </w:r>
          </w:p>
          <w:p w14:paraId="00F5007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数量：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1-3</w:t>
            </w:r>
            <w:r>
              <w:rPr>
                <w:rFonts w:hint="eastAsia" w:ascii="宋体" w:hAnsi="宋体" w:eastAsia="宋体" w:cs="宋体"/>
                <w:color w:val="auto"/>
                <w:highlight w:val="none"/>
                <w:u w:val="single"/>
              </w:rPr>
              <w:t xml:space="preserve"> </w:t>
            </w:r>
          </w:p>
        </w:tc>
      </w:tr>
      <w:tr w14:paraId="125A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jc w:val="center"/>
        </w:trPr>
        <w:tc>
          <w:tcPr>
            <w:tcW w:w="1182" w:type="dxa"/>
            <w:vAlign w:val="center"/>
          </w:tcPr>
          <w:p w14:paraId="24A232F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7.3</w:t>
            </w:r>
          </w:p>
        </w:tc>
        <w:tc>
          <w:tcPr>
            <w:tcW w:w="3186" w:type="dxa"/>
            <w:vAlign w:val="center"/>
          </w:tcPr>
          <w:p w14:paraId="571D61D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预成交结果公示</w:t>
            </w:r>
          </w:p>
        </w:tc>
        <w:tc>
          <w:tcPr>
            <w:tcW w:w="6129" w:type="dxa"/>
            <w:vAlign w:val="center"/>
          </w:tcPr>
          <w:p w14:paraId="604BDD3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公示媒介：</w:t>
            </w:r>
            <w:r>
              <w:rPr>
                <w:rFonts w:hint="eastAsia" w:ascii="宋体" w:hAnsi="宋体" w:eastAsia="宋体" w:cs="宋体"/>
                <w:color w:val="auto"/>
                <w:highlight w:val="none"/>
                <w:u w:val="single"/>
              </w:rPr>
              <w:t>中国采购与招标网、</w:t>
            </w:r>
            <w:r>
              <w:rPr>
                <w:rFonts w:hint="eastAsia" w:ascii="宋体" w:hAnsi="宋体" w:eastAsia="宋体" w:cs="宋体"/>
                <w:color w:val="auto"/>
                <w:highlight w:val="none"/>
                <w:u w:val="single"/>
                <w:lang w:eastAsia="zh-CN"/>
              </w:rPr>
              <w:t>青海项目信息网、</w:t>
            </w:r>
            <w:r>
              <w:rPr>
                <w:rFonts w:hint="eastAsia" w:ascii="宋体" w:hAnsi="宋体" w:eastAsia="宋体" w:cs="宋体"/>
                <w:color w:val="auto"/>
                <w:highlight w:val="none"/>
                <w:u w:val="single"/>
              </w:rPr>
              <w:t>上海容基工程项目管理有限公司青海分公司</w:t>
            </w:r>
            <w:r>
              <w:rPr>
                <w:rFonts w:hint="eastAsia" w:ascii="宋体" w:hAnsi="宋体" w:eastAsia="宋体" w:cs="宋体"/>
                <w:color w:val="auto"/>
                <w:highlight w:val="none"/>
                <w:u w:val="single"/>
                <w:lang w:eastAsia="zh-CN"/>
              </w:rPr>
              <w:t>官网</w:t>
            </w:r>
            <w:r>
              <w:rPr>
                <w:rFonts w:hint="eastAsia" w:ascii="宋体" w:hAnsi="宋体" w:eastAsia="宋体" w:cs="宋体"/>
                <w:color w:val="auto"/>
                <w:highlight w:val="none"/>
                <w:u w:val="single"/>
              </w:rPr>
              <w:t>（http://rongjiqinghai.aly20.qzkey.com/）</w:t>
            </w:r>
            <w:r>
              <w:rPr>
                <w:rFonts w:hint="eastAsia" w:ascii="宋体" w:hAnsi="宋体" w:eastAsia="宋体" w:cs="宋体"/>
                <w:color w:val="auto"/>
                <w:highlight w:val="none"/>
                <w:u w:val="single"/>
                <w:lang w:eastAsia="zh-CN"/>
              </w:rPr>
              <w:t>同时公示；</w:t>
            </w:r>
            <w:r>
              <w:rPr>
                <w:rFonts w:hint="eastAsia" w:ascii="宋体" w:hAnsi="宋体" w:eastAsia="宋体" w:cs="宋体"/>
                <w:color w:val="auto"/>
                <w:highlight w:val="none"/>
                <w:u w:val="single"/>
              </w:rPr>
              <w:t xml:space="preserve">                 </w:t>
            </w:r>
          </w:p>
          <w:p w14:paraId="5E23125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公示期限：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3日</w:t>
            </w:r>
            <w:r>
              <w:rPr>
                <w:rFonts w:hint="eastAsia" w:ascii="宋体" w:hAnsi="宋体" w:eastAsia="宋体" w:cs="宋体"/>
                <w:color w:val="auto"/>
                <w:highlight w:val="none"/>
                <w:u w:val="single"/>
              </w:rPr>
              <w:t xml:space="preserve">  </w:t>
            </w:r>
          </w:p>
          <w:p w14:paraId="4407138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其他应公示的内容：</w:t>
            </w:r>
            <w:bookmarkStart w:id="36" w:name="EB0baf7d643847405287557e91353f5ebd"/>
            <w:r>
              <w:rPr>
                <w:rFonts w:hint="eastAsia" w:ascii="宋体" w:hAnsi="宋体" w:eastAsia="宋体" w:cs="宋体"/>
                <w:color w:val="auto"/>
                <w:highlight w:val="none"/>
                <w:u w:val="single"/>
                <w:lang w:val="en-US" w:eastAsia="zh-CN"/>
              </w:rPr>
              <w:t>成交候选人排序、名称、响应报价、工期、项目经理姓名及职业(职称)资格证号</w:t>
            </w:r>
            <w:bookmarkEnd w:id="36"/>
          </w:p>
          <w:p w14:paraId="66748A6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（注：国有资金占控股或主导地位的采购项目，预成交结果公示应在中国招标投标公共服务平台发布，或者通过省级电子招投标公共服务平台在中国招标投标公共服务平台发布。）</w:t>
            </w:r>
          </w:p>
        </w:tc>
      </w:tr>
      <w:tr w14:paraId="2998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1182" w:type="dxa"/>
            <w:vAlign w:val="center"/>
          </w:tcPr>
          <w:p w14:paraId="6BAD03F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7.5</w:t>
            </w:r>
          </w:p>
        </w:tc>
        <w:tc>
          <w:tcPr>
            <w:tcW w:w="3186" w:type="dxa"/>
            <w:vAlign w:val="center"/>
          </w:tcPr>
          <w:p w14:paraId="5CF1BDD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发布成交公告</w:t>
            </w:r>
          </w:p>
        </w:tc>
        <w:tc>
          <w:tcPr>
            <w:tcW w:w="6129" w:type="dxa"/>
            <w:vAlign w:val="center"/>
          </w:tcPr>
          <w:p w14:paraId="27125730">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公告媒介：</w:t>
            </w:r>
            <w:r>
              <w:rPr>
                <w:rStyle w:val="44"/>
                <w:rFonts w:hint="eastAsia" w:ascii="宋体" w:hAnsi="宋体" w:eastAsia="宋体" w:cs="宋体"/>
                <w:color w:val="auto"/>
                <w:highlight w:val="none"/>
                <w:u w:val="single"/>
              </w:rPr>
              <w:t>中国采购与招标网、</w:t>
            </w:r>
            <w:r>
              <w:rPr>
                <w:rFonts w:hint="eastAsia" w:ascii="宋体" w:hAnsi="宋体" w:eastAsia="宋体" w:cs="宋体"/>
                <w:color w:val="auto"/>
                <w:sz w:val="24"/>
                <w:highlight w:val="none"/>
                <w:u w:val="single"/>
                <w:lang w:eastAsia="zh-CN"/>
              </w:rPr>
              <w:t>青海项目信息网、</w:t>
            </w:r>
            <w:r>
              <w:rPr>
                <w:rStyle w:val="44"/>
                <w:rFonts w:hint="eastAsia" w:ascii="宋体" w:hAnsi="宋体" w:eastAsia="宋体" w:cs="宋体"/>
                <w:color w:val="auto"/>
                <w:highlight w:val="none"/>
                <w:u w:val="single"/>
              </w:rPr>
              <w:t>上海</w:t>
            </w:r>
            <w:r>
              <w:rPr>
                <w:rStyle w:val="44"/>
                <w:rFonts w:hint="eastAsia" w:ascii="宋体" w:hAnsi="宋体" w:eastAsia="宋体" w:cs="宋体"/>
                <w:color w:val="auto"/>
                <w:highlight w:val="none"/>
                <w:u w:val="single"/>
                <w:lang w:eastAsia="zh-CN"/>
              </w:rPr>
              <w:t>容基</w:t>
            </w:r>
            <w:r>
              <w:rPr>
                <w:rStyle w:val="44"/>
                <w:rFonts w:hint="eastAsia" w:ascii="宋体" w:hAnsi="宋体" w:eastAsia="宋体" w:cs="宋体"/>
                <w:color w:val="auto"/>
                <w:highlight w:val="none"/>
                <w:u w:val="single"/>
              </w:rPr>
              <w:t>工程项目管理有限公司青海分公司；</w:t>
            </w:r>
            <w:r>
              <w:rPr>
                <w:rFonts w:hint="eastAsia" w:ascii="宋体" w:hAnsi="宋体" w:eastAsia="宋体" w:cs="宋体"/>
                <w:color w:val="auto"/>
                <w:highlight w:val="none"/>
                <w:u w:val="none"/>
              </w:rPr>
              <w:t xml:space="preserve">                 </w:t>
            </w:r>
            <w:r>
              <w:rPr>
                <w:rFonts w:hint="eastAsia" w:ascii="宋体" w:hAnsi="宋体" w:eastAsia="宋体" w:cs="宋体"/>
                <w:color w:val="auto"/>
                <w:highlight w:val="none"/>
                <w:u w:val="single"/>
              </w:rPr>
              <w:t xml:space="preserve">               </w:t>
            </w:r>
          </w:p>
          <w:p w14:paraId="03BAAE1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其他应公告的内容：</w:t>
            </w:r>
            <w:bookmarkStart w:id="37" w:name="EBb8e7f20c61c946d991fe2f09d10195d6"/>
            <w:r>
              <w:rPr>
                <w:rFonts w:hint="eastAsia" w:ascii="宋体" w:hAnsi="宋体" w:eastAsia="宋体" w:cs="宋体"/>
                <w:color w:val="auto"/>
                <w:highlight w:val="none"/>
                <w:u w:val="single"/>
                <w:lang w:val="en-US" w:eastAsia="zh-CN"/>
              </w:rPr>
              <w:t>成交</w:t>
            </w:r>
            <w:r>
              <w:rPr>
                <w:rFonts w:hint="eastAsia" w:ascii="宋体" w:hAnsi="宋体" w:eastAsia="宋体" w:cs="宋体"/>
                <w:color w:val="auto"/>
                <w:highlight w:val="none"/>
                <w:u w:val="single"/>
              </w:rPr>
              <w:t>人名称、</w:t>
            </w:r>
            <w:r>
              <w:rPr>
                <w:rFonts w:hint="eastAsia" w:ascii="宋体" w:hAnsi="宋体" w:eastAsia="宋体" w:cs="宋体"/>
                <w:color w:val="auto"/>
                <w:highlight w:val="none"/>
                <w:u w:val="single"/>
                <w:lang w:val="en-US" w:eastAsia="zh-CN"/>
              </w:rPr>
              <w:t>成交</w:t>
            </w:r>
            <w:r>
              <w:rPr>
                <w:rFonts w:hint="eastAsia" w:ascii="宋体" w:hAnsi="宋体" w:eastAsia="宋体" w:cs="宋体"/>
                <w:color w:val="auto"/>
                <w:highlight w:val="none"/>
                <w:u w:val="single"/>
              </w:rPr>
              <w:t>价、工期、项目经理姓名及职业(职称)资格证号</w:t>
            </w:r>
            <w:bookmarkEnd w:id="37"/>
            <w:r>
              <w:rPr>
                <w:rFonts w:hint="eastAsia" w:ascii="宋体" w:hAnsi="宋体" w:eastAsia="宋体" w:cs="宋体"/>
                <w:color w:val="auto"/>
                <w:highlight w:val="none"/>
                <w:u w:val="single"/>
              </w:rPr>
              <w:t xml:space="preserve">          </w:t>
            </w:r>
          </w:p>
          <w:p w14:paraId="1431654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（注：国有资金占控股或主导地位的采购项目，成交公告应在中国招标投标公共服务平台发布，或者通过省级电子招投标公共服务平台在中国招标投标公共服务平台发布。）</w:t>
            </w:r>
          </w:p>
        </w:tc>
      </w:tr>
    </w:tbl>
    <w:p w14:paraId="095D2BFB">
      <w:pPr>
        <w:pageBreakBefore w:val="0"/>
        <w:kinsoku/>
        <w:overflowPunct/>
        <w:topLinePunct w:val="0"/>
        <w:bidi w:val="0"/>
        <w:snapToGrid/>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续表</w:t>
      </w:r>
    </w:p>
    <w:tbl>
      <w:tblPr>
        <w:tblStyle w:val="23"/>
        <w:tblW w:w="104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3139"/>
        <w:gridCol w:w="6145"/>
      </w:tblGrid>
      <w:tr w14:paraId="0793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198" w:type="dxa"/>
            <w:vAlign w:val="center"/>
          </w:tcPr>
          <w:p w14:paraId="2A01353D">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条款号</w:t>
            </w:r>
          </w:p>
        </w:tc>
        <w:tc>
          <w:tcPr>
            <w:tcW w:w="3139" w:type="dxa"/>
            <w:vAlign w:val="center"/>
          </w:tcPr>
          <w:p w14:paraId="2AF365A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 款 内 容</w:t>
            </w:r>
          </w:p>
        </w:tc>
        <w:tc>
          <w:tcPr>
            <w:tcW w:w="6145" w:type="dxa"/>
            <w:vAlign w:val="center"/>
          </w:tcPr>
          <w:p w14:paraId="672EB33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编 列 内 容</w:t>
            </w:r>
          </w:p>
        </w:tc>
      </w:tr>
      <w:tr w14:paraId="7C45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198" w:type="dxa"/>
            <w:vAlign w:val="center"/>
          </w:tcPr>
          <w:p w14:paraId="3F50BAA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7.6</w:t>
            </w:r>
          </w:p>
        </w:tc>
        <w:tc>
          <w:tcPr>
            <w:tcW w:w="3139" w:type="dxa"/>
            <w:vAlign w:val="center"/>
          </w:tcPr>
          <w:p w14:paraId="0394E52A">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履约保证金</w:t>
            </w:r>
          </w:p>
        </w:tc>
        <w:tc>
          <w:tcPr>
            <w:tcW w:w="6145" w:type="dxa"/>
            <w:vAlign w:val="center"/>
          </w:tcPr>
          <w:p w14:paraId="32EE79C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不要求递交</w:t>
            </w:r>
          </w:p>
          <w:p w14:paraId="2A80C4B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要求递交</w:t>
            </w:r>
          </w:p>
          <w:p w14:paraId="4D6C782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履约保证金金额∶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合同总金额的3% </w:t>
            </w:r>
            <w:r>
              <w:rPr>
                <w:rFonts w:hint="eastAsia" w:ascii="宋体" w:hAnsi="宋体" w:eastAsia="宋体" w:cs="宋体"/>
                <w:color w:val="auto"/>
                <w:highlight w:val="none"/>
                <w:u w:val="single"/>
              </w:rPr>
              <w:t xml:space="preserve">           </w:t>
            </w:r>
          </w:p>
          <w:p w14:paraId="076E822A">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履约保证金形式∶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对公转账   </w:t>
            </w:r>
            <w:r>
              <w:rPr>
                <w:rFonts w:hint="eastAsia" w:ascii="宋体" w:hAnsi="宋体" w:eastAsia="宋体" w:cs="宋体"/>
                <w:color w:val="auto"/>
                <w:highlight w:val="none"/>
                <w:u w:val="single"/>
              </w:rPr>
              <w:t xml:space="preserve">            </w:t>
            </w:r>
          </w:p>
          <w:p w14:paraId="31E4C4C8">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left="2879" w:leftChars="114" w:hanging="2640" w:hangingChars="11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履约保证金有效期限∶</w:t>
            </w:r>
            <w:r>
              <w:rPr>
                <w:rFonts w:hint="eastAsia" w:ascii="宋体" w:hAnsi="宋体" w:eastAsia="宋体" w:cs="宋体"/>
                <w:color w:val="auto"/>
                <w:highlight w:val="none"/>
                <w:u w:val="single"/>
              </w:rPr>
              <w:t>项目验收完成后履约保证金自动转为质保金，两年</w:t>
            </w:r>
          </w:p>
          <w:p w14:paraId="20BE45B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递交时间∶</w:t>
            </w:r>
            <w:r>
              <w:rPr>
                <w:rFonts w:hint="eastAsia" w:ascii="宋体" w:hAnsi="宋体" w:eastAsia="宋体" w:cs="宋体"/>
                <w:color w:val="auto"/>
                <w:highlight w:val="none"/>
                <w:u w:val="single"/>
              </w:rPr>
              <w:t xml:space="preserve"> 收到</w:t>
            </w:r>
            <w:r>
              <w:rPr>
                <w:rFonts w:hint="eastAsia" w:ascii="宋体" w:hAnsi="宋体" w:eastAsia="宋体" w:cs="宋体"/>
                <w:color w:val="auto"/>
                <w:highlight w:val="none"/>
                <w:u w:val="single"/>
                <w:lang w:val="en-US" w:eastAsia="zh-CN"/>
              </w:rPr>
              <w:t>成交</w:t>
            </w:r>
            <w:r>
              <w:rPr>
                <w:rFonts w:hint="eastAsia" w:ascii="宋体" w:hAnsi="宋体" w:eastAsia="宋体" w:cs="宋体"/>
                <w:color w:val="auto"/>
                <w:highlight w:val="none"/>
                <w:u w:val="single"/>
              </w:rPr>
              <w:t xml:space="preserve">通知书后3-5天内      </w:t>
            </w:r>
          </w:p>
          <w:p w14:paraId="7960CA73">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firstLine="240" w:firstLineChars="1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其他要求∶</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无</w:t>
            </w:r>
            <w:r>
              <w:rPr>
                <w:rFonts w:hint="eastAsia" w:ascii="宋体" w:hAnsi="宋体" w:eastAsia="宋体" w:cs="宋体"/>
                <w:color w:val="auto"/>
                <w:highlight w:val="none"/>
                <w:u w:val="single"/>
              </w:rPr>
              <w:t xml:space="preserve">               </w:t>
            </w:r>
          </w:p>
        </w:tc>
      </w:tr>
      <w:tr w14:paraId="02A9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198" w:type="dxa"/>
            <w:vAlign w:val="center"/>
          </w:tcPr>
          <w:p w14:paraId="44AC9E2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7.7.4</w:t>
            </w:r>
          </w:p>
        </w:tc>
        <w:tc>
          <w:tcPr>
            <w:tcW w:w="3139" w:type="dxa"/>
            <w:vAlign w:val="center"/>
          </w:tcPr>
          <w:p w14:paraId="7FB75DD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签约合同价</w:t>
            </w:r>
          </w:p>
        </w:tc>
        <w:tc>
          <w:tcPr>
            <w:tcW w:w="6145" w:type="dxa"/>
            <w:vAlign w:val="center"/>
          </w:tcPr>
          <w:p w14:paraId="31B7A99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最终确定的中标价</w:t>
            </w:r>
          </w:p>
        </w:tc>
      </w:tr>
      <w:tr w14:paraId="0CCA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198" w:type="dxa"/>
            <w:vAlign w:val="center"/>
          </w:tcPr>
          <w:p w14:paraId="2E6CD24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8.1</w:t>
            </w:r>
          </w:p>
        </w:tc>
        <w:tc>
          <w:tcPr>
            <w:tcW w:w="3139" w:type="dxa"/>
            <w:vAlign w:val="center"/>
          </w:tcPr>
          <w:p w14:paraId="67B32C46">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异议渠道</w:t>
            </w:r>
          </w:p>
        </w:tc>
        <w:tc>
          <w:tcPr>
            <w:tcW w:w="6145" w:type="dxa"/>
            <w:vAlign w:val="center"/>
          </w:tcPr>
          <w:p w14:paraId="28AB6B5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联系人∶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刘</w:t>
            </w:r>
            <w:r>
              <w:rPr>
                <w:rFonts w:hint="eastAsia" w:ascii="宋体" w:hAnsi="宋体" w:eastAsia="宋体" w:cs="宋体"/>
                <w:color w:val="auto"/>
                <w:highlight w:val="none"/>
                <w:u w:val="single"/>
                <w:lang w:eastAsia="zh-CN"/>
              </w:rPr>
              <w:t>女士</w:t>
            </w:r>
            <w:r>
              <w:rPr>
                <w:rFonts w:hint="eastAsia" w:ascii="宋体" w:hAnsi="宋体" w:eastAsia="宋体" w:cs="宋体"/>
                <w:color w:val="auto"/>
                <w:highlight w:val="none"/>
                <w:u w:val="single"/>
              </w:rPr>
              <w:t xml:space="preserve">                                 </w:t>
            </w:r>
          </w:p>
          <w:p w14:paraId="7714423E">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0971-8166798</w:t>
            </w:r>
            <w:r>
              <w:rPr>
                <w:rFonts w:hint="eastAsia" w:ascii="宋体" w:hAnsi="宋体" w:eastAsia="宋体" w:cs="宋体"/>
                <w:color w:val="auto"/>
                <w:highlight w:val="none"/>
                <w:u w:val="single"/>
              </w:rPr>
              <w:t xml:space="preserve">                      </w:t>
            </w:r>
          </w:p>
          <w:p w14:paraId="4C934C77">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通信地址∶</w:t>
            </w:r>
            <w:r>
              <w:rPr>
                <w:rFonts w:hint="eastAsia" w:ascii="宋体" w:hAnsi="宋体" w:eastAsia="宋体" w:cs="宋体"/>
                <w:color w:val="auto"/>
                <w:highlight w:val="none"/>
                <w:u w:val="single"/>
              </w:rPr>
              <w:t xml:space="preserve"> 青海省西宁市西川南路76</w:t>
            </w:r>
            <w:r>
              <w:rPr>
                <w:rStyle w:val="44"/>
                <w:rFonts w:hint="eastAsia" w:ascii="宋体" w:hAnsi="宋体" w:eastAsia="宋体" w:cs="宋体"/>
                <w:color w:val="auto"/>
                <w:highlight w:val="none"/>
                <w:u w:val="single"/>
              </w:rPr>
              <w:t>号万达中心</w:t>
            </w:r>
            <w:r>
              <w:rPr>
                <w:rStyle w:val="46"/>
                <w:rFonts w:hint="eastAsia" w:ascii="宋体" w:hAnsi="宋体" w:eastAsia="宋体" w:cs="宋体"/>
                <w:color w:val="auto"/>
                <w:highlight w:val="none"/>
                <w:u w:val="single"/>
              </w:rPr>
              <w:t>1</w:t>
            </w:r>
            <w:r>
              <w:rPr>
                <w:rStyle w:val="44"/>
                <w:rFonts w:hint="eastAsia" w:ascii="宋体" w:hAnsi="宋体" w:eastAsia="宋体" w:cs="宋体"/>
                <w:color w:val="auto"/>
                <w:highlight w:val="none"/>
                <w:u w:val="single"/>
              </w:rPr>
              <w:t>号写字楼</w:t>
            </w:r>
            <w:r>
              <w:rPr>
                <w:rStyle w:val="46"/>
                <w:rFonts w:hint="eastAsia" w:ascii="宋体" w:hAnsi="宋体" w:eastAsia="宋体" w:cs="宋体"/>
                <w:color w:val="auto"/>
                <w:highlight w:val="none"/>
                <w:u w:val="single"/>
              </w:rPr>
              <w:t>6</w:t>
            </w:r>
            <w:r>
              <w:rPr>
                <w:rStyle w:val="44"/>
                <w:rFonts w:hint="eastAsia" w:ascii="宋体" w:hAnsi="宋体" w:eastAsia="宋体" w:cs="宋体"/>
                <w:color w:val="auto"/>
                <w:highlight w:val="none"/>
                <w:u w:val="single"/>
              </w:rPr>
              <w:t>楼</w:t>
            </w:r>
            <w:r>
              <w:rPr>
                <w:rStyle w:val="46"/>
                <w:rFonts w:hint="eastAsia" w:ascii="宋体" w:hAnsi="宋体" w:eastAsia="宋体" w:cs="宋体"/>
                <w:color w:val="auto"/>
                <w:highlight w:val="none"/>
                <w:u w:val="single"/>
              </w:rPr>
              <w:t>1060</w:t>
            </w:r>
            <w:r>
              <w:rPr>
                <w:rStyle w:val="46"/>
                <w:rFonts w:hint="eastAsia" w:ascii="宋体" w:hAnsi="宋体" w:eastAsia="宋体" w:cs="宋体"/>
                <w:color w:val="auto"/>
                <w:highlight w:val="none"/>
                <w:u w:val="single"/>
                <w:lang w:val="en-US" w:eastAsia="zh-CN"/>
              </w:rPr>
              <w:t>8</w:t>
            </w:r>
            <w:r>
              <w:rPr>
                <w:rStyle w:val="44"/>
                <w:rFonts w:hint="eastAsia" w:ascii="宋体" w:hAnsi="宋体" w:eastAsia="宋体" w:cs="宋体"/>
                <w:color w:val="auto"/>
                <w:highlight w:val="none"/>
                <w:u w:val="single"/>
              </w:rPr>
              <w:t>室</w:t>
            </w:r>
            <w:r>
              <w:rPr>
                <w:rFonts w:hint="eastAsia" w:ascii="宋体" w:hAnsi="宋体" w:eastAsia="宋体" w:cs="宋体"/>
                <w:color w:val="auto"/>
                <w:highlight w:val="none"/>
                <w:u w:val="single"/>
              </w:rPr>
              <w:t xml:space="preserve">                               </w:t>
            </w:r>
          </w:p>
          <w:p w14:paraId="242CD64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其他∶</w:t>
            </w:r>
            <w:r>
              <w:rPr>
                <w:rFonts w:hint="eastAsia" w:ascii="宋体" w:hAnsi="宋体" w:eastAsia="宋体" w:cs="宋体"/>
                <w:color w:val="auto"/>
                <w:highlight w:val="none"/>
                <w:u w:val="single"/>
              </w:rPr>
              <w:t xml:space="preserve"> 递交异议材料采用书面形式，并提供授权书；                                </w:t>
            </w:r>
          </w:p>
        </w:tc>
      </w:tr>
      <w:tr w14:paraId="23D6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198" w:type="dxa"/>
            <w:vAlign w:val="center"/>
          </w:tcPr>
          <w:p w14:paraId="7321146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8.2</w:t>
            </w:r>
          </w:p>
        </w:tc>
        <w:tc>
          <w:tcPr>
            <w:tcW w:w="3139" w:type="dxa"/>
            <w:vAlign w:val="center"/>
          </w:tcPr>
          <w:p w14:paraId="228E7CA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可以调解异议争议的行业组织或专业咨询机构</w:t>
            </w:r>
          </w:p>
        </w:tc>
        <w:tc>
          <w:tcPr>
            <w:tcW w:w="6145" w:type="dxa"/>
            <w:vAlign w:val="center"/>
          </w:tcPr>
          <w:p w14:paraId="1EA42E2B">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响应人对询比采购文件有任何异议的均应在递交</w:t>
            </w:r>
            <w:r>
              <w:rPr>
                <w:rFonts w:hint="eastAsia" w:ascii="宋体" w:hAnsi="宋体" w:eastAsia="宋体" w:cs="宋体"/>
                <w:color w:val="auto"/>
                <w:highlight w:val="none"/>
                <w:lang w:eastAsia="zh-CN"/>
              </w:rPr>
              <w:t>询比响应</w:t>
            </w:r>
            <w:r>
              <w:rPr>
                <w:rFonts w:hint="eastAsia" w:ascii="宋体" w:hAnsi="宋体" w:eastAsia="宋体" w:cs="宋体"/>
                <w:color w:val="auto"/>
                <w:highlight w:val="none"/>
              </w:rPr>
              <w:t>文件截止时间3</w:t>
            </w:r>
            <w:r>
              <w:rPr>
                <w:rStyle w:val="44"/>
                <w:rFonts w:hint="eastAsia" w:ascii="宋体" w:hAnsi="宋体" w:eastAsia="宋体" w:cs="宋体"/>
                <w:color w:val="auto"/>
                <w:highlight w:val="none"/>
              </w:rPr>
              <w:t>天前向</w:t>
            </w:r>
            <w:r>
              <w:rPr>
                <w:rStyle w:val="44"/>
                <w:rFonts w:hint="eastAsia" w:ascii="宋体" w:hAnsi="宋体" w:eastAsia="宋体" w:cs="宋体"/>
                <w:color w:val="auto"/>
                <w:highlight w:val="none"/>
                <w:lang w:eastAsia="zh-CN"/>
              </w:rPr>
              <w:t>询比</w:t>
            </w:r>
            <w:r>
              <w:rPr>
                <w:rStyle w:val="44"/>
                <w:rFonts w:hint="eastAsia" w:ascii="宋体" w:hAnsi="宋体" w:eastAsia="宋体" w:cs="宋体"/>
                <w:color w:val="auto"/>
                <w:highlight w:val="none"/>
              </w:rPr>
              <w:t>小组提出，在规定时间内未提出异议的视为完全认同本询比采购文件的要求。</w:t>
            </w:r>
          </w:p>
        </w:tc>
      </w:tr>
      <w:tr w14:paraId="5AE3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198" w:type="dxa"/>
            <w:vAlign w:val="center"/>
          </w:tcPr>
          <w:p w14:paraId="52B9C5AF">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10.1</w:t>
            </w:r>
          </w:p>
        </w:tc>
        <w:tc>
          <w:tcPr>
            <w:tcW w:w="3139" w:type="dxa"/>
            <w:vAlign w:val="center"/>
          </w:tcPr>
          <w:p w14:paraId="51035FA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采购代理</w:t>
            </w:r>
            <w:r>
              <w:rPr>
                <w:rFonts w:hint="eastAsia" w:ascii="宋体" w:hAnsi="宋体" w:eastAsia="宋体" w:cs="宋体"/>
                <w:color w:val="auto"/>
                <w:highlight w:val="none"/>
              </w:rPr>
              <w:t>服务费</w:t>
            </w:r>
          </w:p>
        </w:tc>
        <w:tc>
          <w:tcPr>
            <w:tcW w:w="6145" w:type="dxa"/>
            <w:vAlign w:val="center"/>
          </w:tcPr>
          <w:p w14:paraId="1329A8A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A3"/>
            </w:r>
            <w:r>
              <w:rPr>
                <w:rFonts w:hint="eastAsia" w:ascii="宋体" w:hAnsi="宋体" w:eastAsia="宋体" w:cs="宋体"/>
                <w:color w:val="auto"/>
                <w:highlight w:val="none"/>
              </w:rPr>
              <w:t>不要求承担</w:t>
            </w:r>
          </w:p>
          <w:p w14:paraId="7DD21DE9">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要求承担</w:t>
            </w:r>
          </w:p>
          <w:p w14:paraId="3D0AC362">
            <w:pPr>
              <w:pStyle w:val="10"/>
              <w:keepNext w:val="0"/>
              <w:keepLines w:val="0"/>
              <w:pageBreakBefore w:val="0"/>
              <w:kinsoku/>
              <w:wordWrap/>
              <w:overflowPunct/>
              <w:topLinePunct w:val="0"/>
              <w:autoSpaceDE/>
              <w:autoSpaceDN/>
              <w:bidi w:val="0"/>
              <w:adjustRightInd/>
              <w:snapToGrid/>
              <w:spacing w:after="0" w:line="360" w:lineRule="auto"/>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收取对象：</w:t>
            </w:r>
            <w:r>
              <w:rPr>
                <w:rFonts w:hint="eastAsia" w:ascii="宋体" w:hAnsi="宋体" w:eastAsia="宋体" w:cs="宋体"/>
                <w:color w:val="auto"/>
                <w:sz w:val="24"/>
                <w:highlight w:val="none"/>
                <w:lang w:val="en-US" w:eastAsia="zh-CN"/>
              </w:rPr>
              <w:t>成交人</w:t>
            </w:r>
          </w:p>
          <w:p w14:paraId="42351A38">
            <w:pPr>
              <w:pStyle w:val="19"/>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费用标准：以招标控制价作为计算基数，参照《关于进一步放开建设项目专项业务服务价格的通知》（发改价格[2015]299号）规定执行。</w:t>
            </w:r>
          </w:p>
          <w:p w14:paraId="6CA387D7">
            <w:pPr>
              <w:pStyle w:val="19"/>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交费时间∶自领取中标通知书前一次性支付全部金额，本项目采购代理服务费已在采购代理协议中约定；</w:t>
            </w:r>
          </w:p>
          <w:p w14:paraId="126D1A2E">
            <w:pPr>
              <w:pStyle w:val="19"/>
              <w:keepNext w:val="0"/>
              <w:keepLines w:val="0"/>
              <w:pageBreakBefore w:val="0"/>
              <w:widowControl/>
              <w:numPr>
                <w:ilvl w:val="0"/>
                <w:numId w:val="4"/>
              </w:numPr>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金额：5000元整（伍仟元整）</w:t>
            </w:r>
          </w:p>
          <w:p w14:paraId="262ABBE4">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highlight w:val="none"/>
              </w:rPr>
              <w:t>交费方式∶转账或其他；</w:t>
            </w:r>
          </w:p>
        </w:tc>
      </w:tr>
      <w:tr w14:paraId="46C9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98" w:type="dxa"/>
            <w:vAlign w:val="center"/>
          </w:tcPr>
          <w:p w14:paraId="1E9FF5F1">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10.2</w:t>
            </w:r>
          </w:p>
        </w:tc>
        <w:tc>
          <w:tcPr>
            <w:tcW w:w="3139" w:type="dxa"/>
            <w:vAlign w:val="center"/>
          </w:tcPr>
          <w:p w14:paraId="367294D5">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需要补充的其他内容</w:t>
            </w:r>
          </w:p>
        </w:tc>
        <w:tc>
          <w:tcPr>
            <w:tcW w:w="6145" w:type="dxa"/>
            <w:vAlign w:val="center"/>
          </w:tcPr>
          <w:p w14:paraId="361FE1B2">
            <w:pPr>
              <w:pStyle w:val="19"/>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根据青海省发展和改革委员会青海省招标投标协会二零一九年三月青海省非招标方式招标采购代理规范的规定结合本次招标项目的实际情况，</w:t>
            </w:r>
            <w:r>
              <w:rPr>
                <w:rFonts w:hint="eastAsia" w:ascii="宋体" w:hAnsi="宋体" w:eastAsia="宋体" w:cs="宋体"/>
                <w:color w:val="auto"/>
                <w:highlight w:val="none"/>
                <w:lang w:eastAsia="zh-CN"/>
              </w:rPr>
              <w:t>询比</w:t>
            </w:r>
            <w:r>
              <w:rPr>
                <w:rFonts w:hint="eastAsia" w:ascii="宋体" w:hAnsi="宋体" w:eastAsia="宋体" w:cs="宋体"/>
                <w:color w:val="auto"/>
                <w:highlight w:val="none"/>
              </w:rPr>
              <w:t>小组由招标单位的代表和评审专家共3</w:t>
            </w:r>
            <w:r>
              <w:rPr>
                <w:rStyle w:val="44"/>
                <w:rFonts w:hint="eastAsia" w:ascii="宋体" w:hAnsi="宋体" w:eastAsia="宋体" w:cs="宋体"/>
                <w:color w:val="auto"/>
                <w:highlight w:val="none"/>
              </w:rPr>
              <w:t>人以上的单数组成，其中专家人数不得少于</w:t>
            </w:r>
            <w:r>
              <w:rPr>
                <w:rStyle w:val="44"/>
                <w:rFonts w:hint="eastAsia" w:ascii="宋体" w:hAnsi="宋体" w:eastAsia="宋体" w:cs="宋体"/>
                <w:color w:val="auto"/>
                <w:highlight w:val="none"/>
                <w:lang w:eastAsia="zh-CN"/>
              </w:rPr>
              <w:t>询比</w:t>
            </w:r>
            <w:r>
              <w:rPr>
                <w:rStyle w:val="44"/>
                <w:rFonts w:hint="eastAsia" w:ascii="宋体" w:hAnsi="宋体" w:eastAsia="宋体" w:cs="宋体"/>
                <w:color w:val="auto"/>
                <w:highlight w:val="none"/>
              </w:rPr>
              <w:t>采购小组成员总数的三分之二，负责本次招标项目的</w:t>
            </w:r>
            <w:r>
              <w:rPr>
                <w:rStyle w:val="44"/>
                <w:rFonts w:hint="eastAsia" w:ascii="宋体" w:hAnsi="宋体" w:eastAsia="宋体" w:cs="宋体"/>
                <w:color w:val="auto"/>
                <w:highlight w:val="none"/>
                <w:lang w:eastAsia="zh-CN"/>
              </w:rPr>
              <w:t>询比</w:t>
            </w:r>
            <w:r>
              <w:rPr>
                <w:rStyle w:val="44"/>
                <w:rFonts w:hint="eastAsia" w:ascii="宋体" w:hAnsi="宋体" w:eastAsia="宋体" w:cs="宋体"/>
                <w:color w:val="auto"/>
                <w:highlight w:val="none"/>
              </w:rPr>
              <w:t>采购和评审工作。</w:t>
            </w:r>
          </w:p>
        </w:tc>
      </w:tr>
    </w:tbl>
    <w:p w14:paraId="4D9A2902">
      <w:pPr>
        <w:pageBreakBefore w:val="0"/>
        <w:kinsoku/>
        <w:overflowPunct/>
        <w:topLinePunct w:val="0"/>
        <w:bidi w:val="0"/>
        <w:snapToGrid/>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ED8E3DC">
      <w:pPr>
        <w:pStyle w:val="4"/>
        <w:pageBreakBefore w:val="0"/>
        <w:kinsoku/>
        <w:overflowPunct/>
        <w:topLinePunct w:val="0"/>
        <w:bidi w:val="0"/>
        <w:snapToGrid/>
        <w:spacing w:line="360" w:lineRule="auto"/>
        <w:jc w:val="both"/>
        <w:rPr>
          <w:rFonts w:hint="eastAsia" w:ascii="宋体" w:hAnsi="宋体" w:eastAsia="宋体" w:cs="宋体"/>
          <w:color w:val="auto"/>
          <w:highlight w:val="none"/>
        </w:rPr>
      </w:pPr>
      <w:bookmarkStart w:id="38" w:name="_Toc12181"/>
      <w:bookmarkStart w:id="39" w:name="_Toc4793"/>
      <w:r>
        <w:rPr>
          <w:rFonts w:hint="eastAsia" w:ascii="宋体" w:hAnsi="宋体" w:eastAsia="宋体" w:cs="宋体"/>
          <w:color w:val="auto"/>
          <w:highlight w:val="none"/>
        </w:rPr>
        <w:t>1 总则</w:t>
      </w:r>
      <w:bookmarkEnd w:id="38"/>
      <w:bookmarkEnd w:id="39"/>
    </w:p>
    <w:p w14:paraId="20F02478">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40" w:name="_Toc12377"/>
      <w:bookmarkStart w:id="41" w:name="_Toc24631"/>
      <w:r>
        <w:rPr>
          <w:rFonts w:hint="eastAsia" w:ascii="宋体" w:hAnsi="宋体" w:eastAsia="宋体" w:cs="宋体"/>
          <w:color w:val="auto"/>
          <w:highlight w:val="none"/>
        </w:rPr>
        <w:t>1.1 采购方式</w:t>
      </w:r>
      <w:bookmarkEnd w:id="40"/>
      <w:bookmarkEnd w:id="41"/>
    </w:p>
    <w:p w14:paraId="46E12EA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本项目采用中国招标投标协会发布的《非招标方式采购代理服务规范》（T/CTBA 001—2019）规定的询比采购方式。</w:t>
      </w:r>
    </w:p>
    <w:p w14:paraId="459E47F7">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询比采购是指</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组建评审小组对响应采购的</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按照采购文件规定的规则和时间一次递交的响应文件进行评审，</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根据评审小组的评审结果，选择确定成交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的采购方式。</w:t>
      </w:r>
    </w:p>
    <w:p w14:paraId="471E2EEA">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42" w:name="_Toc31786"/>
      <w:bookmarkStart w:id="43" w:name="_Toc18941"/>
      <w:r>
        <w:rPr>
          <w:rFonts w:hint="eastAsia" w:ascii="宋体" w:hAnsi="宋体" w:eastAsia="宋体" w:cs="宋体"/>
          <w:color w:val="auto"/>
          <w:highlight w:val="none"/>
        </w:rPr>
        <w:t>1.2 采购项目概况和</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资格要求</w:t>
      </w:r>
      <w:bookmarkEnd w:id="42"/>
      <w:bookmarkEnd w:id="43"/>
    </w:p>
    <w:p w14:paraId="1E2DA01F">
      <w:pPr>
        <w:pStyle w:val="19"/>
        <w:pageBreakBefore w:val="0"/>
        <w:widowControl/>
        <w:kinsoku/>
        <w:overflowPunct/>
        <w:topLinePunct w:val="0"/>
        <w:bidi w:val="0"/>
        <w:snapToGrid/>
        <w:spacing w:beforeAutospacing="0" w:afterAutospacing="0" w:line="360" w:lineRule="auto"/>
        <w:ind w:firstLine="456" w:firstLineChars="200"/>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采购项目概况和</w:t>
      </w:r>
      <w:r>
        <w:rPr>
          <w:rFonts w:hint="eastAsia" w:ascii="宋体" w:hAnsi="宋体" w:eastAsia="宋体" w:cs="宋体"/>
          <w:color w:val="auto"/>
          <w:spacing w:val="-6"/>
          <w:highlight w:val="none"/>
          <w:lang w:eastAsia="zh-CN"/>
        </w:rPr>
        <w:t>询比响应人</w:t>
      </w:r>
      <w:r>
        <w:rPr>
          <w:rFonts w:hint="eastAsia" w:ascii="宋体" w:hAnsi="宋体" w:eastAsia="宋体" w:cs="宋体"/>
          <w:color w:val="auto"/>
          <w:spacing w:val="-6"/>
          <w:highlight w:val="none"/>
        </w:rPr>
        <w:t>资格要求见第一章"询比采购公告/询比采购邀请书"。</w:t>
      </w:r>
    </w:p>
    <w:p w14:paraId="0F3F442F">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44" w:name="_Toc7734"/>
      <w:bookmarkStart w:id="45" w:name="_Toc31092"/>
      <w:r>
        <w:rPr>
          <w:rFonts w:hint="eastAsia" w:ascii="宋体" w:hAnsi="宋体" w:eastAsia="宋体" w:cs="宋体"/>
          <w:color w:val="auto"/>
          <w:highlight w:val="none"/>
        </w:rPr>
        <w:t>1.3 费用承担</w:t>
      </w:r>
      <w:bookmarkEnd w:id="44"/>
      <w:bookmarkEnd w:id="45"/>
    </w:p>
    <w:p w14:paraId="45B9AFAA">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准备和参加询比采购活动所发生的各种费用由</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自行承担。</w:t>
      </w:r>
    </w:p>
    <w:p w14:paraId="75CE2978">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46" w:name="_Toc14871"/>
      <w:bookmarkStart w:id="47" w:name="_Toc6165"/>
      <w:r>
        <w:rPr>
          <w:rFonts w:hint="eastAsia" w:ascii="宋体" w:hAnsi="宋体" w:eastAsia="宋体" w:cs="宋体"/>
          <w:color w:val="auto"/>
          <w:highlight w:val="none"/>
        </w:rPr>
        <w:t>1.4 保密</w:t>
      </w:r>
      <w:bookmarkEnd w:id="46"/>
      <w:bookmarkEnd w:id="47"/>
    </w:p>
    <w:p w14:paraId="7F0EEC6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参加询比采购活动的各方应对采购文件和响应文件中的商业和技术等秘密保密，否则应承担相应的法律责任。</w:t>
      </w:r>
    </w:p>
    <w:p w14:paraId="650D2FEA">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48" w:name="_Toc1379"/>
      <w:bookmarkStart w:id="49" w:name="_Toc32396"/>
      <w:r>
        <w:rPr>
          <w:rFonts w:hint="eastAsia" w:ascii="宋体" w:hAnsi="宋体" w:eastAsia="宋体" w:cs="宋体"/>
          <w:color w:val="auto"/>
          <w:highlight w:val="none"/>
        </w:rPr>
        <w:t>1.5 语言文字</w:t>
      </w:r>
      <w:bookmarkEnd w:id="48"/>
      <w:bookmarkEnd w:id="49"/>
    </w:p>
    <w:p w14:paraId="1A1E100B">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采购文件和响应文件使用的语言文字为中文。专用术语使用外文的，应附有中文注释。</w:t>
      </w:r>
    </w:p>
    <w:p w14:paraId="2C6D3046">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50" w:name="_Toc963"/>
      <w:bookmarkStart w:id="51" w:name="_Toc31723"/>
      <w:r>
        <w:rPr>
          <w:rFonts w:hint="eastAsia" w:ascii="宋体" w:hAnsi="宋体" w:eastAsia="宋体" w:cs="宋体"/>
          <w:color w:val="auto"/>
          <w:highlight w:val="none"/>
        </w:rPr>
        <w:t>1.6 计量单位</w:t>
      </w:r>
      <w:bookmarkEnd w:id="50"/>
      <w:bookmarkEnd w:id="51"/>
    </w:p>
    <w:p w14:paraId="59F32EC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所有计量均采用中华人民共和国法定计量单位。</w:t>
      </w:r>
    </w:p>
    <w:p w14:paraId="5DB665BB">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52" w:name="_Toc12141"/>
      <w:bookmarkStart w:id="53" w:name="_Toc2889"/>
      <w:r>
        <w:rPr>
          <w:rFonts w:hint="eastAsia" w:ascii="宋体" w:hAnsi="宋体" w:eastAsia="宋体" w:cs="宋体"/>
          <w:color w:val="auto"/>
          <w:highlight w:val="none"/>
        </w:rPr>
        <w:t>1.7 踏勘现场</w:t>
      </w:r>
      <w:bookmarkEnd w:id="52"/>
      <w:bookmarkEnd w:id="53"/>
    </w:p>
    <w:p w14:paraId="6AA716F7">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1.7.1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须知前附表规定组织踏勘现场的，</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按</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须知前附表规定的时间、地点组织</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踏勘项目现场。部分</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未按时参加踏勘现场的，不影响踏勘现场的正常进行。</w:t>
      </w:r>
    </w:p>
    <w:p w14:paraId="1D6EBAB4">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1.7.2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可自愿参加踏勘现场活动。除</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的原因外，</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对</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参加踏勘现场中所发生的人员伤亡和财产损失不承担责任。</w:t>
      </w:r>
    </w:p>
    <w:p w14:paraId="1670155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1.7.3 </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在踏勘现场中介绍的工程场地和相关的周边环境情况，仅作为</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编制响应文件的参考，</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不对</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据此作出的判断和决策负责。</w:t>
      </w:r>
    </w:p>
    <w:p w14:paraId="35EF71AF">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54" w:name="_Toc16997"/>
      <w:bookmarkStart w:id="55" w:name="_Toc6217"/>
      <w:r>
        <w:rPr>
          <w:rFonts w:hint="eastAsia" w:ascii="宋体" w:hAnsi="宋体" w:eastAsia="宋体" w:cs="宋体"/>
          <w:color w:val="auto"/>
          <w:highlight w:val="none"/>
        </w:rPr>
        <w:t>1.8询比采购预备会</w:t>
      </w:r>
      <w:bookmarkEnd w:id="54"/>
      <w:bookmarkEnd w:id="55"/>
    </w:p>
    <w:p w14:paraId="7C2DE406">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须知前附表规定召开询比采购预备会的，</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按</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须知前附表规定的时间和地点召开询比采购预备会。</w:t>
      </w:r>
    </w:p>
    <w:p w14:paraId="1F506E4E">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56" w:name="_Toc14966"/>
      <w:bookmarkStart w:id="57" w:name="_Toc14722"/>
      <w:r>
        <w:rPr>
          <w:rFonts w:hint="eastAsia" w:ascii="宋体" w:hAnsi="宋体" w:eastAsia="宋体" w:cs="宋体"/>
          <w:color w:val="auto"/>
          <w:highlight w:val="none"/>
        </w:rPr>
        <w:t>1.9分包（A、C）</w:t>
      </w:r>
      <w:bookmarkEnd w:id="56"/>
      <w:bookmarkEnd w:id="57"/>
    </w:p>
    <w:p w14:paraId="6DEE652A">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拟在成交后将成交项目的部分工作进行分包的，应符合</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须知前附表的规定，并在响应文件中作出说明。</w:t>
      </w:r>
    </w:p>
    <w:p w14:paraId="760F1605">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分包</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不得将分包项目再次分包。成交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应当就分包项目向</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负责，分包</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就分包项目承担连带责任。</w:t>
      </w:r>
    </w:p>
    <w:p w14:paraId="38D91E14">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58" w:name="_Toc9927"/>
      <w:bookmarkStart w:id="59" w:name="_Toc20636"/>
      <w:r>
        <w:rPr>
          <w:rFonts w:hint="eastAsia" w:ascii="宋体" w:hAnsi="宋体" w:eastAsia="宋体" w:cs="宋体"/>
          <w:color w:val="auto"/>
          <w:highlight w:val="none"/>
        </w:rPr>
        <w:t>1.9 主要材料和关键部件外购（B）</w:t>
      </w:r>
      <w:bookmarkEnd w:id="58"/>
      <w:bookmarkEnd w:id="59"/>
    </w:p>
    <w:p w14:paraId="6A30D2F3">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拟对主要材料和关键部件进行外购的，应符合第五章"采购需求"中提出的或允许外购的相关规定，并在响应文件中作出说明。</w:t>
      </w:r>
    </w:p>
    <w:p w14:paraId="4A068187">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60" w:name="_Toc7731"/>
      <w:bookmarkStart w:id="61" w:name="_Toc12394"/>
      <w:r>
        <w:rPr>
          <w:rFonts w:hint="eastAsia" w:ascii="宋体" w:hAnsi="宋体" w:eastAsia="宋体" w:cs="宋体"/>
          <w:color w:val="auto"/>
          <w:highlight w:val="none"/>
        </w:rPr>
        <w:t>1.10 响应和偏差</w:t>
      </w:r>
      <w:bookmarkEnd w:id="60"/>
      <w:bookmarkEnd w:id="61"/>
    </w:p>
    <w:p w14:paraId="2DD1F822">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1.10.1 采购需求和合同草案中的关键条款均以"*"符号标记。响应文件应当对采购需求和合同草案中的关键条款作出满足性或更有利于</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的响应，否则，</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的响应文件将被视为无效。</w:t>
      </w:r>
    </w:p>
    <w:p w14:paraId="43CF9F3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1.10.2</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须知前附表规定了对非关键条款允许偏差的范围和可以偏差的项数的，如响应文件存在的偏差超出上述范围或项数，将被视为无效。</w:t>
      </w:r>
    </w:p>
    <w:p w14:paraId="43E6B37F">
      <w:pPr>
        <w:pStyle w:val="4"/>
        <w:pageBreakBefore w:val="0"/>
        <w:kinsoku/>
        <w:overflowPunct/>
        <w:topLinePunct w:val="0"/>
        <w:bidi w:val="0"/>
        <w:snapToGrid/>
        <w:spacing w:line="360" w:lineRule="auto"/>
        <w:jc w:val="both"/>
        <w:rPr>
          <w:rFonts w:hint="eastAsia" w:ascii="宋体" w:hAnsi="宋体" w:eastAsia="宋体" w:cs="宋体"/>
          <w:color w:val="auto"/>
          <w:highlight w:val="none"/>
        </w:rPr>
      </w:pPr>
      <w:bookmarkStart w:id="62" w:name="_Toc5380"/>
      <w:bookmarkStart w:id="63" w:name="_Toc8542"/>
      <w:r>
        <w:rPr>
          <w:rFonts w:hint="eastAsia" w:ascii="宋体" w:hAnsi="宋体" w:eastAsia="宋体" w:cs="宋体"/>
          <w:color w:val="auto"/>
          <w:highlight w:val="none"/>
        </w:rPr>
        <w:t>2采购文件</w:t>
      </w:r>
      <w:bookmarkEnd w:id="62"/>
      <w:bookmarkEnd w:id="63"/>
    </w:p>
    <w:p w14:paraId="1E6B2BD2">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64" w:name="_Toc24158"/>
      <w:bookmarkStart w:id="65" w:name="_Toc8902"/>
      <w:r>
        <w:rPr>
          <w:rFonts w:hint="eastAsia" w:ascii="宋体" w:hAnsi="宋体" w:eastAsia="宋体" w:cs="宋体"/>
          <w:color w:val="auto"/>
          <w:highlight w:val="none"/>
        </w:rPr>
        <w:t>2.1 采购文件的组成</w:t>
      </w:r>
      <w:bookmarkEnd w:id="64"/>
      <w:bookmarkEnd w:id="65"/>
    </w:p>
    <w:p w14:paraId="6FBD5AC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本采购文件包括∶</w:t>
      </w:r>
    </w:p>
    <w:p w14:paraId="2DDD13CC">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（1）询比采购公告（或询比采购邀请书）;</w:t>
      </w:r>
    </w:p>
    <w:p w14:paraId="576DAA6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w:t>
      </w:r>
    </w:p>
    <w:p w14:paraId="5C0E3A4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（3）评审办法;</w:t>
      </w:r>
    </w:p>
    <w:p w14:paraId="6420E33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（4）合同条款及格式;</w:t>
      </w:r>
    </w:p>
    <w:p w14:paraId="72FD1E3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（5）采购需求;</w:t>
      </w:r>
    </w:p>
    <w:p w14:paraId="18B9AF25">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（6）响应文件格式;</w:t>
      </w:r>
    </w:p>
    <w:p w14:paraId="3381946C">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（7）</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须知前附表规定的其他资料。</w:t>
      </w:r>
    </w:p>
    <w:p w14:paraId="567CCFC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依照本章规定，对采购文件所作的澄清、修改，构成采购文件的组成部分。</w:t>
      </w:r>
    </w:p>
    <w:p w14:paraId="79C1BF92">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66" w:name="_Toc18063"/>
      <w:bookmarkStart w:id="67" w:name="_Toc29940"/>
      <w:r>
        <w:rPr>
          <w:rFonts w:hint="eastAsia" w:ascii="宋体" w:hAnsi="宋体" w:eastAsia="宋体" w:cs="宋体"/>
          <w:color w:val="auto"/>
          <w:highlight w:val="none"/>
        </w:rPr>
        <w:t>2.2 采购文件的澄清和修改</w:t>
      </w:r>
      <w:bookmarkEnd w:id="66"/>
      <w:bookmarkEnd w:id="67"/>
    </w:p>
    <w:p w14:paraId="3B15365D">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2.2.1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应仔细阅读和检查采购文件的全部内容。如发现缺页或内容不全，应及时向</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提出，以便补齐。如有疑问，应在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须知前附表规定的时间前，以书面形式要求</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对采购文件予以澄清。</w:t>
      </w:r>
    </w:p>
    <w:p w14:paraId="391DD5B4">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2.2.2 </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可根据</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的要求或主动对采购文件进行澄清或修改。澄清或修改的内容以补充文件的形式发给所有获取采购文件的</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可视具体情况在补充文件中通知</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推迟递交响应文件的截止时间。</w:t>
      </w:r>
    </w:p>
    <w:p w14:paraId="0A70B5E7">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2.2.3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在收到补充文件后，应按</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须知前附表规定的时间和方式通知</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，确认已收到该补充文件。</w:t>
      </w:r>
    </w:p>
    <w:p w14:paraId="3495AA40">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2.2.4 除非确有必要，</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有权拒绝回复</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在本章第2.2.1项规定的时间后提出的任何澄清要求。</w:t>
      </w:r>
    </w:p>
    <w:p w14:paraId="18B71289">
      <w:pPr>
        <w:pStyle w:val="4"/>
        <w:pageBreakBefore w:val="0"/>
        <w:kinsoku/>
        <w:overflowPunct/>
        <w:topLinePunct w:val="0"/>
        <w:bidi w:val="0"/>
        <w:snapToGrid/>
        <w:spacing w:line="360" w:lineRule="auto"/>
        <w:jc w:val="both"/>
        <w:rPr>
          <w:rFonts w:hint="eastAsia" w:ascii="宋体" w:hAnsi="宋体" w:eastAsia="宋体" w:cs="宋体"/>
          <w:color w:val="auto"/>
          <w:highlight w:val="none"/>
        </w:rPr>
      </w:pPr>
      <w:bookmarkStart w:id="68" w:name="_Toc18676"/>
      <w:bookmarkStart w:id="69" w:name="_Toc4316"/>
      <w:r>
        <w:rPr>
          <w:rFonts w:hint="eastAsia" w:ascii="宋体" w:hAnsi="宋体" w:eastAsia="宋体" w:cs="宋体"/>
          <w:color w:val="auto"/>
          <w:highlight w:val="none"/>
        </w:rPr>
        <w:t>3响应文件</w:t>
      </w:r>
      <w:bookmarkEnd w:id="68"/>
      <w:bookmarkEnd w:id="69"/>
    </w:p>
    <w:p w14:paraId="1C58B16A">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70" w:name="_Toc14777"/>
      <w:bookmarkStart w:id="71" w:name="_Toc1240"/>
      <w:r>
        <w:rPr>
          <w:rFonts w:hint="eastAsia" w:ascii="宋体" w:hAnsi="宋体" w:eastAsia="宋体" w:cs="宋体"/>
          <w:color w:val="auto"/>
          <w:highlight w:val="none"/>
        </w:rPr>
        <w:t>3.1 响应文件的组成</w:t>
      </w:r>
      <w:bookmarkEnd w:id="70"/>
      <w:bookmarkEnd w:id="71"/>
    </w:p>
    <w:p w14:paraId="015758A4">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3.1.1 响应文件应包括下列内容∶</w:t>
      </w:r>
    </w:p>
    <w:p w14:paraId="319C238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（1）响应函;</w:t>
      </w:r>
    </w:p>
    <w:p w14:paraId="70BE7F2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（2）授权委托书（如有）;</w:t>
      </w:r>
    </w:p>
    <w:p w14:paraId="62220EC4">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（3）联合体协议书（如有）;</w:t>
      </w:r>
    </w:p>
    <w:p w14:paraId="3E578CD3">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（4）响应保证金（如有）;</w:t>
      </w:r>
    </w:p>
    <w:p w14:paraId="0012EAC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（5）商务和技术偏差表;</w:t>
      </w:r>
    </w:p>
    <w:p w14:paraId="1AF28D96">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（6）报价表;</w:t>
      </w:r>
    </w:p>
    <w:p w14:paraId="0BE21AA6">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（7）资格审查资料;</w:t>
      </w:r>
    </w:p>
    <w:p w14:paraId="047D9D65">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（8）响应方案;</w:t>
      </w:r>
    </w:p>
    <w:p w14:paraId="4827063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（9）</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须知前附表规定的其他资料。</w:t>
      </w:r>
    </w:p>
    <w:p w14:paraId="1B8F78C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在评审过程中作出的符合采购文件要求的澄清、说明和补正，构成响应文件的组成部分。</w:t>
      </w:r>
    </w:p>
    <w:p w14:paraId="170842B0">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3.1.2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的法定代表人（单位负责人）亲自签署响应文件、亲自参加询比的，响应文件不包括第3.1.1（2）目所指的授权委托书。第一章"询比采购公告/询比采购邀请书"规定不接受联合体的，或</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没有组成联合体的，响应文件不包括第3.1.1（3）目所指的联合体协议书。</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须知前附表未要求</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递交响应保证金的，响应文件不包括第3.1.1（4）目所指的响应保证金。</w:t>
      </w:r>
    </w:p>
    <w:p w14:paraId="5127ED78">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72" w:name="_Toc31742"/>
      <w:bookmarkStart w:id="73" w:name="_Toc23997"/>
      <w:r>
        <w:rPr>
          <w:rFonts w:hint="eastAsia" w:ascii="宋体" w:hAnsi="宋体" w:eastAsia="宋体" w:cs="宋体"/>
          <w:color w:val="auto"/>
          <w:highlight w:val="none"/>
        </w:rPr>
        <w:t>3.2 报价</w:t>
      </w:r>
      <w:bookmarkEnd w:id="72"/>
      <w:bookmarkEnd w:id="73"/>
    </w:p>
    <w:p w14:paraId="520609F7">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3.2.1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应按采购文件提供的格式（见第六章"响应文件格式"）在响应函和报价表中进行报价。响应函中报价应为包含国家规定的增值税在内的含税价格，同时应列明不含税价格和增值税税额。</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将根据项目情况，在第三章"评审办法"第2.2.2项中选择按照含税价格或不含税价格对</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进行价格评审。</w:t>
      </w:r>
    </w:p>
    <w:p w14:paraId="142473FB">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3.2.2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应充分了解采购项目的总体情况以及影响报价的其他要素。对于货物和服务采购项目，</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在签署采购合同时及合同履行过程中，有权在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须知前附表规定的幅度内对采购标的的数量进行增加或减少。</w:t>
      </w:r>
    </w:p>
    <w:p w14:paraId="4FF2C73C">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3.2.3 </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设有最高限价的，</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的报价不得超过最高限价。最高限价或最高限价计算方法在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须知前附表中载明。</w:t>
      </w:r>
    </w:p>
    <w:p w14:paraId="0FB66FE3">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3.2.4 报价的其他要求见</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w:t>
      </w:r>
    </w:p>
    <w:p w14:paraId="4A79D084">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74" w:name="_Toc20657"/>
      <w:bookmarkStart w:id="75" w:name="_Toc16932"/>
      <w:r>
        <w:rPr>
          <w:rFonts w:hint="eastAsia" w:ascii="宋体" w:hAnsi="宋体" w:eastAsia="宋体" w:cs="宋体"/>
          <w:color w:val="auto"/>
          <w:highlight w:val="none"/>
        </w:rPr>
        <w:t>3.3响应文件有效期</w:t>
      </w:r>
      <w:bookmarkEnd w:id="74"/>
      <w:bookmarkEnd w:id="75"/>
    </w:p>
    <w:p w14:paraId="2CBB0FE1">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3.3.1 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须知前附表另有规定外，响应文件有效期应为90日，从采购文件规定的递交响应文件的截止时间开始计算。</w:t>
      </w:r>
    </w:p>
    <w:p w14:paraId="2F5B2299">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3.3.2 出现特殊情况需要延长响应文件有效期的，</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以书面形式通知所有</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延长响应文件有效期，</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应予以书面答复。同意延长的，应相应延长其响应保证金的有效期，但不得修改其响应文件;</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拒绝延长的，其响应文件在原有效期届满后失效，但</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有权收回其响应保证金。</w:t>
      </w:r>
    </w:p>
    <w:p w14:paraId="424B8133">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76" w:name="_Toc27226"/>
      <w:bookmarkStart w:id="77" w:name="_Toc10430"/>
      <w:r>
        <w:rPr>
          <w:rFonts w:hint="eastAsia" w:ascii="宋体" w:hAnsi="宋体" w:eastAsia="宋体" w:cs="宋体"/>
          <w:color w:val="auto"/>
          <w:highlight w:val="none"/>
        </w:rPr>
        <w:t>3.4 响应保证金</w:t>
      </w:r>
      <w:bookmarkEnd w:id="76"/>
      <w:bookmarkEnd w:id="77"/>
    </w:p>
    <w:p w14:paraId="228F7C1E">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3.4.1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须知前附表规定要求递交响应保证金的，</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在递交响应文件的同时，应按</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须知前附表规定的金额、形式和采购文件提供的格式（见第六章"响应文件格式"四、响应保证金）递交响应保证金，并作为其响应文件的组成部分。</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不按要求递交响应保证金的，其响应文件将被视为无效。</w:t>
      </w:r>
    </w:p>
    <w:p w14:paraId="1B9AE16F">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3.4.2 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须知前附表另有规定外，</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将在发出成交通知书后5日内向除候选成交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外的其他</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原额退还响应保证金，并在采购合同签订后5日内向成交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和未成交的其他候选成交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原额退还响应保证金。采用银行保函、担保机构担保函、保险机构保险单形式递交的响应保证金，经</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同意后</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可以不再退还。</w:t>
      </w:r>
    </w:p>
    <w:p w14:paraId="0BBA2CBF">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3.4.3 有下列情形之一的，响应保证金将不予退还∶</w:t>
      </w:r>
    </w:p>
    <w:p w14:paraId="1026826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在响应文件有效期内撤销响应文件;</w:t>
      </w:r>
    </w:p>
    <w:p w14:paraId="1AC2EF7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spacing w:val="-6"/>
          <w:highlight w:val="none"/>
        </w:rPr>
      </w:pPr>
      <w:r>
        <w:rPr>
          <w:rFonts w:hint="eastAsia" w:ascii="宋体" w:hAnsi="宋体" w:eastAsia="宋体" w:cs="宋体"/>
          <w:color w:val="auto"/>
          <w:highlight w:val="none"/>
        </w:rPr>
        <w:t>（2）</w:t>
      </w:r>
      <w:r>
        <w:rPr>
          <w:rFonts w:hint="eastAsia" w:ascii="宋体" w:hAnsi="宋体" w:eastAsia="宋体" w:cs="宋体"/>
          <w:color w:val="auto"/>
          <w:spacing w:val="-6"/>
          <w:highlight w:val="none"/>
        </w:rPr>
        <w:t>成交</w:t>
      </w:r>
      <w:r>
        <w:rPr>
          <w:rFonts w:hint="eastAsia" w:ascii="宋体" w:hAnsi="宋体" w:eastAsia="宋体" w:cs="宋体"/>
          <w:color w:val="auto"/>
          <w:spacing w:val="-6"/>
          <w:highlight w:val="none"/>
          <w:lang w:eastAsia="zh-CN"/>
        </w:rPr>
        <w:t>询比响应人</w:t>
      </w:r>
      <w:r>
        <w:rPr>
          <w:rFonts w:hint="eastAsia" w:ascii="宋体" w:hAnsi="宋体" w:eastAsia="宋体" w:cs="宋体"/>
          <w:color w:val="auto"/>
          <w:spacing w:val="-6"/>
          <w:highlight w:val="none"/>
        </w:rPr>
        <w:t>在收到成交通知书后，无正当理由不与</w:t>
      </w:r>
      <w:r>
        <w:rPr>
          <w:rFonts w:hint="eastAsia" w:ascii="宋体" w:hAnsi="宋体" w:eastAsia="宋体" w:cs="宋体"/>
          <w:color w:val="auto"/>
          <w:spacing w:val="-6"/>
          <w:highlight w:val="none"/>
          <w:lang w:eastAsia="zh-CN"/>
        </w:rPr>
        <w:t>采购人</w:t>
      </w:r>
      <w:r>
        <w:rPr>
          <w:rFonts w:hint="eastAsia" w:ascii="宋体" w:hAnsi="宋体" w:eastAsia="宋体" w:cs="宋体"/>
          <w:color w:val="auto"/>
          <w:spacing w:val="-6"/>
          <w:highlight w:val="none"/>
        </w:rPr>
        <w:t>订立合同，在签订合同时向</w:t>
      </w:r>
      <w:r>
        <w:rPr>
          <w:rFonts w:hint="eastAsia" w:ascii="宋体" w:hAnsi="宋体" w:eastAsia="宋体" w:cs="宋体"/>
          <w:color w:val="auto"/>
          <w:spacing w:val="-6"/>
          <w:highlight w:val="none"/>
          <w:lang w:eastAsia="zh-CN"/>
        </w:rPr>
        <w:t>采购人</w:t>
      </w:r>
      <w:r>
        <w:rPr>
          <w:rFonts w:hint="eastAsia" w:ascii="宋体" w:hAnsi="宋体" w:eastAsia="宋体" w:cs="宋体"/>
          <w:color w:val="auto"/>
          <w:spacing w:val="-6"/>
          <w:highlight w:val="none"/>
        </w:rPr>
        <w:t>提出附加条件，或者不按照采购文件要求递交履约保证金;</w:t>
      </w:r>
    </w:p>
    <w:p w14:paraId="6EC35283">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（3）发生</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须知前附表规定的其他不予退还响应保证金的情形。</w:t>
      </w:r>
    </w:p>
    <w:p w14:paraId="6F5C5210">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78" w:name="_Toc27136"/>
      <w:bookmarkStart w:id="79" w:name="_Toc17284"/>
      <w:r>
        <w:rPr>
          <w:rFonts w:hint="eastAsia" w:ascii="宋体" w:hAnsi="宋体" w:eastAsia="宋体" w:cs="宋体"/>
          <w:color w:val="auto"/>
          <w:highlight w:val="none"/>
        </w:rPr>
        <w:t>3.5 资格审查资料</w:t>
      </w:r>
      <w:bookmarkEnd w:id="78"/>
      <w:bookmarkEnd w:id="79"/>
    </w:p>
    <w:p w14:paraId="3A756FC1">
      <w:pPr>
        <w:pStyle w:val="19"/>
        <w:pageBreakBefore w:val="0"/>
        <w:widowControl/>
        <w:kinsoku/>
        <w:overflowPunct/>
        <w:topLinePunct w:val="0"/>
        <w:bidi w:val="0"/>
        <w:snapToGrid/>
        <w:spacing w:beforeAutospacing="0" w:afterAutospacing="0" w:line="360" w:lineRule="auto"/>
        <w:ind w:firstLine="456" w:firstLineChars="200"/>
        <w:rPr>
          <w:rFonts w:hint="eastAsia" w:ascii="宋体" w:hAnsi="宋体" w:eastAsia="宋体" w:cs="宋体"/>
          <w:color w:val="auto"/>
          <w:spacing w:val="-6"/>
          <w:highlight w:val="none"/>
        </w:rPr>
      </w:pPr>
      <w:r>
        <w:rPr>
          <w:rFonts w:hint="eastAsia" w:ascii="宋体" w:hAnsi="宋体" w:eastAsia="宋体" w:cs="宋体"/>
          <w:color w:val="auto"/>
          <w:spacing w:val="-6"/>
          <w:highlight w:val="none"/>
          <w:lang w:eastAsia="zh-CN"/>
        </w:rPr>
        <w:t>询比响应人</w:t>
      </w:r>
      <w:r>
        <w:rPr>
          <w:rFonts w:hint="eastAsia" w:ascii="宋体" w:hAnsi="宋体" w:eastAsia="宋体" w:cs="宋体"/>
          <w:color w:val="auto"/>
          <w:spacing w:val="-6"/>
          <w:highlight w:val="none"/>
        </w:rPr>
        <w:t>应提供</w:t>
      </w:r>
      <w:r>
        <w:rPr>
          <w:rFonts w:hint="eastAsia" w:ascii="宋体" w:hAnsi="宋体" w:eastAsia="宋体" w:cs="宋体"/>
          <w:color w:val="auto"/>
          <w:spacing w:val="-6"/>
          <w:highlight w:val="none"/>
          <w:lang w:eastAsia="zh-CN"/>
        </w:rPr>
        <w:t>询比响应人</w:t>
      </w:r>
      <w:r>
        <w:rPr>
          <w:rFonts w:hint="eastAsia" w:ascii="宋体" w:hAnsi="宋体" w:eastAsia="宋体" w:cs="宋体"/>
          <w:color w:val="auto"/>
          <w:spacing w:val="-6"/>
          <w:highlight w:val="none"/>
        </w:rPr>
        <w:t>须知前附表3.5（1）-3.5（9）中规定的资格审查资料，以证明其满足第一章""询比采购公告/询比采购邀请书"对</w:t>
      </w:r>
      <w:r>
        <w:rPr>
          <w:rFonts w:hint="eastAsia" w:ascii="宋体" w:hAnsi="宋体" w:eastAsia="宋体" w:cs="宋体"/>
          <w:color w:val="auto"/>
          <w:spacing w:val="-6"/>
          <w:highlight w:val="none"/>
          <w:lang w:eastAsia="zh-CN"/>
        </w:rPr>
        <w:t>询比响应人</w:t>
      </w:r>
      <w:r>
        <w:rPr>
          <w:rFonts w:hint="eastAsia" w:ascii="宋体" w:hAnsi="宋体" w:eastAsia="宋体" w:cs="宋体"/>
          <w:color w:val="auto"/>
          <w:spacing w:val="-6"/>
          <w:highlight w:val="none"/>
        </w:rPr>
        <w:t>的各项资格要求。</w:t>
      </w:r>
    </w:p>
    <w:p w14:paraId="50A4D18D">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80" w:name="_Toc3206"/>
      <w:bookmarkStart w:id="81" w:name="_Toc9848"/>
      <w:r>
        <w:rPr>
          <w:rFonts w:hint="eastAsia" w:ascii="宋体" w:hAnsi="宋体" w:eastAsia="宋体" w:cs="宋体"/>
          <w:color w:val="auto"/>
          <w:highlight w:val="none"/>
        </w:rPr>
        <w:t>3.6 响应方案</w:t>
      </w:r>
      <w:bookmarkEnd w:id="80"/>
      <w:bookmarkEnd w:id="81"/>
    </w:p>
    <w:p w14:paraId="641DE174">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3.6.1 响应文件应当对采购文件中的实质性内容作出响应。采购需求中明确为关键条款（标记"*"）的，</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还应按照</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须知前附表的规定提供有关证据或证明材料。</w:t>
      </w:r>
    </w:p>
    <w:p w14:paraId="5B803368">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3.6.2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只能提出唯一的响应方案。</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在响应文件中提出多个响应方案的，其响应文件将被视为无效。</w:t>
      </w:r>
    </w:p>
    <w:p w14:paraId="40C95A0B">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3.6.3 响应文件对采购文件的全部偏差，均应在响应文件的商务和技术偏差表中列明。响应文件偏差表中未列明的内容，将视为响应采购文件的要求;但如发现响应文件的其他部分与商务和技术偏差表的描述不一致或</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的响应缺乏支持性文件，则评审小组有权要求</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对相关问题进行澄清，并根据澄清结果对</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的响应文件进行评审。</w:t>
      </w:r>
    </w:p>
    <w:p w14:paraId="64972C73">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82" w:name="_Toc4619"/>
      <w:bookmarkStart w:id="83" w:name="_Toc7980"/>
      <w:r>
        <w:rPr>
          <w:rFonts w:hint="eastAsia" w:ascii="宋体" w:hAnsi="宋体" w:eastAsia="宋体" w:cs="宋体"/>
          <w:color w:val="auto"/>
          <w:highlight w:val="none"/>
        </w:rPr>
        <w:t>3.7 响应文件的编制</w:t>
      </w:r>
      <w:bookmarkEnd w:id="82"/>
      <w:bookmarkEnd w:id="83"/>
    </w:p>
    <w:p w14:paraId="4F2BC245">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3.7.1 响应文件应按第六章"响应文件格式"进行编写，如有必要，可以增加附页，作为响应文件的组成部分。</w:t>
      </w:r>
    </w:p>
    <w:p w14:paraId="4DD9273E">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3.7.2响应文件应用不褪色的材料书写或打印。</w:t>
      </w:r>
    </w:p>
    <w:p w14:paraId="77D0D50B">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响应函应由</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的法定代表人（单位负责人）或其授权的代理人签字并加盖单位章。</w:t>
      </w:r>
    </w:p>
    <w:p w14:paraId="3ACDDD8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联合体协议书（如有）应由联合体各方的法定代表人（单位负责人）或其授权的代理人签字并加盖单位章。</w:t>
      </w:r>
    </w:p>
    <w:p w14:paraId="0545303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响应函或联合体协议书（如有）由代理人签字的，应在响应文件中附授权委托书，授权委托书应由</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或联合体各方的法定代表人（单位负责人）签字并加盖单位章。</w:t>
      </w:r>
    </w:p>
    <w:p w14:paraId="540643DB">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3.7.3 评审过程中</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对响应文件的澄清、说明和补正应由</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的法定代表人（单位负责人）或其授权的代理人签字或加盖单位章。</w:t>
      </w:r>
    </w:p>
    <w:p w14:paraId="55E0FC88">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3.7.4 响应文件应尽量避免涂改、行间插字或删除。如果出现上述情况，改动之处应由</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的法定代表人单位负责人）或其授权的代理人签字或加盖单位章。3.7.5 响应文件正本一份，副本份数见</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须知前附表。正本和副本的封面右上角应清楚地标记"正本"或"副本"的字样。</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应根据</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须知前附表要求提供电子版文件。当副本和正本不一致，或电子版文件和纸质正本文件不一致时，以纸质正本文件为准。</w:t>
      </w:r>
    </w:p>
    <w:p w14:paraId="6779BE5E">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3.7.6 响应文件的正本与副本应分别装订，并编制目录。响应文件需分册装订的，具体分册装订要求见</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w:t>
      </w:r>
    </w:p>
    <w:p w14:paraId="642B041F">
      <w:pPr>
        <w:pStyle w:val="4"/>
        <w:pageBreakBefore w:val="0"/>
        <w:kinsoku/>
        <w:overflowPunct/>
        <w:topLinePunct w:val="0"/>
        <w:bidi w:val="0"/>
        <w:snapToGrid/>
        <w:spacing w:line="360" w:lineRule="auto"/>
        <w:jc w:val="both"/>
        <w:rPr>
          <w:rFonts w:hint="eastAsia" w:ascii="宋体" w:hAnsi="宋体" w:eastAsia="宋体" w:cs="宋体"/>
          <w:color w:val="auto"/>
          <w:highlight w:val="none"/>
        </w:rPr>
      </w:pPr>
      <w:bookmarkStart w:id="84" w:name="_Toc18259"/>
      <w:bookmarkStart w:id="85" w:name="_Toc7333"/>
      <w:r>
        <w:rPr>
          <w:rFonts w:hint="eastAsia" w:ascii="宋体" w:hAnsi="宋体" w:eastAsia="宋体" w:cs="宋体"/>
          <w:color w:val="auto"/>
          <w:highlight w:val="none"/>
        </w:rPr>
        <w:t>4 响应文件的递交</w:t>
      </w:r>
      <w:bookmarkEnd w:id="84"/>
      <w:bookmarkEnd w:id="85"/>
    </w:p>
    <w:p w14:paraId="1B759378">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86" w:name="_Toc18606"/>
      <w:bookmarkStart w:id="87" w:name="_Toc28323"/>
      <w:r>
        <w:rPr>
          <w:rFonts w:hint="eastAsia" w:ascii="宋体" w:hAnsi="宋体" w:eastAsia="宋体" w:cs="宋体"/>
          <w:color w:val="auto"/>
          <w:highlight w:val="none"/>
        </w:rPr>
        <w:t>4.1 响应文件的包装与标记</w:t>
      </w:r>
      <w:bookmarkEnd w:id="86"/>
      <w:bookmarkEnd w:id="87"/>
    </w:p>
    <w:p w14:paraId="10BE11B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4.1.1 响应文件应密封包装，未密封的响应文件，</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将拒绝接收。</w:t>
      </w:r>
    </w:p>
    <w:p w14:paraId="1212551B">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4.1.2 响应文件封套上应载明的内容见</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w:t>
      </w:r>
    </w:p>
    <w:p w14:paraId="0D22B842">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88" w:name="_Toc21926"/>
      <w:bookmarkStart w:id="89" w:name="_Toc18726"/>
      <w:r>
        <w:rPr>
          <w:rFonts w:hint="eastAsia" w:ascii="宋体" w:hAnsi="宋体" w:eastAsia="宋体" w:cs="宋体"/>
          <w:color w:val="auto"/>
          <w:highlight w:val="none"/>
        </w:rPr>
        <w:t>4.2 响应文件的递交</w:t>
      </w:r>
      <w:bookmarkEnd w:id="88"/>
      <w:bookmarkEnd w:id="89"/>
    </w:p>
    <w:p w14:paraId="00338B98">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4.2.1 </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应在</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须知前附表规定的递交响应文件的截止时间前，将响应文件递交到</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须知前附表规定的地点。逾期送达的或者未送达指定地点的响应文件，</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将拒绝接收。</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收到响应文件后，向</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出具接收凭证。4.2.2 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须知前附表另有规定外，</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所递交的响应文件不予退还。</w:t>
      </w:r>
    </w:p>
    <w:p w14:paraId="6ADA571E">
      <w:pPr>
        <w:pStyle w:val="5"/>
        <w:pageBreakBefore w:val="0"/>
        <w:kinsoku/>
        <w:overflowPunct/>
        <w:topLinePunct w:val="0"/>
        <w:bidi w:val="0"/>
        <w:snapToGrid/>
        <w:spacing w:line="360" w:lineRule="auto"/>
        <w:rPr>
          <w:rFonts w:hint="eastAsia" w:ascii="宋体" w:hAnsi="宋体" w:eastAsia="宋体" w:cs="宋体"/>
          <w:color w:val="auto"/>
          <w:highlight w:val="none"/>
        </w:rPr>
      </w:pPr>
      <w:bookmarkStart w:id="90" w:name="_Toc12918"/>
      <w:bookmarkStart w:id="91" w:name="_Toc9264"/>
      <w:r>
        <w:rPr>
          <w:rFonts w:hint="eastAsia" w:ascii="宋体" w:hAnsi="宋体" w:eastAsia="宋体" w:cs="宋体"/>
          <w:color w:val="auto"/>
          <w:highlight w:val="none"/>
        </w:rPr>
        <w:t>4.3 响应文件的修改与撤回</w:t>
      </w:r>
      <w:bookmarkEnd w:id="90"/>
      <w:bookmarkEnd w:id="91"/>
    </w:p>
    <w:p w14:paraId="0E4A398B">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4.3.1 在本章第4.2.1项规定的递交响应文件的截止时间前，</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可以修改或撤回已递交的响应文件，但应以书面形式通知</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w:t>
      </w:r>
    </w:p>
    <w:p w14:paraId="6BCAD3BC">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4.3.2 响应文件的修改文件或</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撤回已递交响应文件的书面通知应由</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的法定代表人（单位负责人）或其授权的代理人签字并加盖单位章。</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收到</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修改响应文件的书面文件后，向</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出具接收凭证;</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收到</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撤回响应文件的书面通知后，退回</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的响应文件。</w:t>
      </w:r>
    </w:p>
    <w:p w14:paraId="2A6E45FD">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4.3.3 除</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须知前附表另有规定外，</w:t>
      </w:r>
      <w:r>
        <w:rPr>
          <w:rFonts w:hint="eastAsia" w:ascii="宋体" w:hAnsi="宋体" w:eastAsia="宋体" w:cs="宋体"/>
          <w:color w:val="auto"/>
          <w:highlight w:val="none"/>
          <w:lang w:eastAsia="zh-CN"/>
        </w:rPr>
        <w:t>询比响应人</w:t>
      </w:r>
      <w:r>
        <w:rPr>
          <w:rFonts w:hint="eastAsia" w:ascii="宋体" w:hAnsi="宋体" w:eastAsia="宋体" w:cs="宋体"/>
          <w:color w:val="auto"/>
          <w:highlight w:val="none"/>
        </w:rPr>
        <w:t>撤回响应文件的，</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应在5日内退还已收取的响应保证金。</w:t>
      </w:r>
    </w:p>
    <w:p w14:paraId="1D1A354B">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highlight w:val="none"/>
        </w:rPr>
      </w:pPr>
      <w:r>
        <w:rPr>
          <w:rFonts w:hint="eastAsia" w:ascii="宋体" w:hAnsi="宋体" w:eastAsia="宋体" w:cs="宋体"/>
          <w:color w:val="auto"/>
          <w:highlight w:val="none"/>
        </w:rPr>
        <w:t>4.3.4 修改的内容为响应文件的组成部分。响应文件的修改文件应按照本章第3条、第4条的规定进行编制、包装、标记和递交，并标明"修改"字样。</w:t>
      </w:r>
    </w:p>
    <w:p w14:paraId="5A8F4C4E">
      <w:pPr>
        <w:pStyle w:val="4"/>
        <w:pageBreakBefore w:val="0"/>
        <w:kinsoku/>
        <w:overflowPunct/>
        <w:topLinePunct w:val="0"/>
        <w:bidi w:val="0"/>
        <w:snapToGrid/>
        <w:spacing w:line="360" w:lineRule="auto"/>
        <w:jc w:val="both"/>
        <w:rPr>
          <w:rFonts w:hint="eastAsia" w:ascii="宋体" w:hAnsi="宋体" w:eastAsia="宋体" w:cs="宋体"/>
          <w:color w:val="auto"/>
          <w:highlight w:val="none"/>
        </w:rPr>
      </w:pPr>
      <w:bookmarkStart w:id="92" w:name="_Toc11371"/>
      <w:bookmarkStart w:id="93" w:name="_Toc32557"/>
      <w:r>
        <w:rPr>
          <w:rFonts w:hint="eastAsia" w:ascii="宋体" w:hAnsi="宋体" w:eastAsia="宋体" w:cs="宋体"/>
          <w:color w:val="auto"/>
          <w:highlight w:val="none"/>
        </w:rPr>
        <w:t>5 开启响应文件</w:t>
      </w:r>
      <w:bookmarkEnd w:id="92"/>
      <w:bookmarkEnd w:id="93"/>
    </w:p>
    <w:p w14:paraId="6C8B44C7">
      <w:pPr>
        <w:pStyle w:val="5"/>
        <w:pageBreakBefore w:val="0"/>
        <w:kinsoku/>
        <w:overflowPunct/>
        <w:topLinePunct w:val="0"/>
        <w:bidi w:val="0"/>
        <w:snapToGrid/>
        <w:spacing w:line="360" w:lineRule="auto"/>
        <w:rPr>
          <w:rFonts w:hint="eastAsia" w:ascii="宋体" w:hAnsi="宋体" w:eastAsia="宋体" w:cs="宋体"/>
          <w:color w:val="auto"/>
        </w:rPr>
      </w:pPr>
      <w:bookmarkStart w:id="94" w:name="_Toc31628"/>
      <w:bookmarkStart w:id="95" w:name="_Toc26005"/>
      <w:r>
        <w:rPr>
          <w:rFonts w:hint="eastAsia" w:ascii="宋体" w:hAnsi="宋体" w:eastAsia="宋体" w:cs="宋体"/>
          <w:color w:val="auto"/>
        </w:rPr>
        <w:t>5.1 开启响应文件的时间和地点</w:t>
      </w:r>
      <w:bookmarkEnd w:id="94"/>
      <w:bookmarkEnd w:id="95"/>
    </w:p>
    <w:p w14:paraId="6F5AD499">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在本章第4.2.1项规定的递交响应文件的截止时间和地点公开开启响应文件，并邀请所有</w:t>
      </w:r>
      <w:r>
        <w:rPr>
          <w:rFonts w:hint="eastAsia" w:ascii="宋体" w:hAnsi="宋体" w:eastAsia="宋体" w:cs="宋体"/>
          <w:color w:val="auto"/>
          <w:lang w:eastAsia="zh-CN"/>
        </w:rPr>
        <w:t>询比响应人</w:t>
      </w:r>
      <w:r>
        <w:rPr>
          <w:rFonts w:hint="eastAsia" w:ascii="宋体" w:hAnsi="宋体" w:eastAsia="宋体" w:cs="宋体"/>
          <w:color w:val="auto"/>
        </w:rPr>
        <w:t>的法定代表人（单位负责人）或其授权的代理人参加开启会议，</w:t>
      </w:r>
      <w:r>
        <w:rPr>
          <w:rFonts w:hint="eastAsia" w:ascii="宋体" w:hAnsi="宋体" w:eastAsia="宋体" w:cs="宋体"/>
          <w:color w:val="auto"/>
          <w:lang w:eastAsia="zh-CN"/>
        </w:rPr>
        <w:t>询比响应人</w:t>
      </w:r>
      <w:r>
        <w:rPr>
          <w:rFonts w:hint="eastAsia" w:ascii="宋体" w:hAnsi="宋体" w:eastAsia="宋体" w:cs="宋体"/>
          <w:color w:val="auto"/>
        </w:rPr>
        <w:t>未派代表参加的，视为默认开启结果。</w:t>
      </w:r>
    </w:p>
    <w:p w14:paraId="36C5562C">
      <w:pPr>
        <w:pStyle w:val="5"/>
        <w:pageBreakBefore w:val="0"/>
        <w:kinsoku/>
        <w:overflowPunct/>
        <w:topLinePunct w:val="0"/>
        <w:bidi w:val="0"/>
        <w:snapToGrid/>
        <w:spacing w:line="360" w:lineRule="auto"/>
        <w:rPr>
          <w:rFonts w:hint="eastAsia" w:ascii="宋体" w:hAnsi="宋体" w:eastAsia="宋体" w:cs="宋体"/>
          <w:color w:val="auto"/>
        </w:rPr>
      </w:pPr>
      <w:bookmarkStart w:id="96" w:name="_Toc22834"/>
      <w:bookmarkStart w:id="97" w:name="_Toc19613"/>
      <w:r>
        <w:rPr>
          <w:rFonts w:hint="eastAsia" w:ascii="宋体" w:hAnsi="宋体" w:eastAsia="宋体" w:cs="宋体"/>
          <w:color w:val="auto"/>
        </w:rPr>
        <w:t>5.2开启程序</w:t>
      </w:r>
      <w:bookmarkEnd w:id="96"/>
      <w:bookmarkEnd w:id="97"/>
    </w:p>
    <w:p w14:paraId="29A0C7CD">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主持人按下列程序公开开启响应文件∶</w:t>
      </w:r>
    </w:p>
    <w:p w14:paraId="225DC421">
      <w:pPr>
        <w:pStyle w:val="19"/>
        <w:pageBreakBefore w:val="0"/>
        <w:widowControl/>
        <w:numPr>
          <w:ilvl w:val="0"/>
          <w:numId w:val="5"/>
        </w:numPr>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宣布开启会议纪律;</w:t>
      </w:r>
    </w:p>
    <w:p w14:paraId="62287B2F">
      <w:pPr>
        <w:pStyle w:val="19"/>
        <w:pageBreakBefore w:val="0"/>
        <w:widowControl/>
        <w:numPr>
          <w:ilvl w:val="0"/>
          <w:numId w:val="5"/>
        </w:numPr>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宣布参加开启会议的工作人员姓名;</w:t>
      </w:r>
    </w:p>
    <w:p w14:paraId="1135C943">
      <w:pPr>
        <w:pStyle w:val="19"/>
        <w:pageBreakBefore w:val="0"/>
        <w:widowControl/>
        <w:kinsoku/>
        <w:overflowPunct/>
        <w:topLinePunct w:val="0"/>
        <w:bidi w:val="0"/>
        <w:snapToGrid/>
        <w:spacing w:beforeAutospacing="0" w:afterAutospacing="0" w:line="360" w:lineRule="auto"/>
        <w:ind w:left="420" w:leftChars="200"/>
        <w:rPr>
          <w:rFonts w:hint="eastAsia"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eastAsia="zh-CN"/>
        </w:rPr>
        <w:t>询比响应人</w:t>
      </w:r>
      <w:r>
        <w:rPr>
          <w:rFonts w:hint="eastAsia" w:ascii="宋体" w:hAnsi="宋体" w:eastAsia="宋体" w:cs="宋体"/>
          <w:color w:val="auto"/>
        </w:rPr>
        <w:t>代表检查确认响应文件的密封情况;</w:t>
      </w:r>
    </w:p>
    <w:p w14:paraId="095A3BC9">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（4）按照</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须知前附表规定的开启顺序开启响应文件，公布递交响应文件的</w:t>
      </w:r>
      <w:r>
        <w:rPr>
          <w:rFonts w:hint="eastAsia" w:ascii="宋体" w:hAnsi="宋体" w:eastAsia="宋体" w:cs="宋体"/>
          <w:color w:val="auto"/>
          <w:lang w:eastAsia="zh-CN"/>
        </w:rPr>
        <w:t>询比响应人</w:t>
      </w:r>
      <w:r>
        <w:rPr>
          <w:rFonts w:hint="eastAsia" w:ascii="宋体" w:hAnsi="宋体" w:eastAsia="宋体" w:cs="宋体"/>
          <w:color w:val="auto"/>
        </w:rPr>
        <w:t>名称、响应报价及</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须知前附表规定的其他应公布的信息，并记录在案;</w:t>
      </w:r>
    </w:p>
    <w:p w14:paraId="24A61DB7">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eastAsia="zh-CN"/>
        </w:rPr>
        <w:t>询比响应人</w:t>
      </w:r>
      <w:r>
        <w:rPr>
          <w:rFonts w:hint="eastAsia" w:ascii="宋体" w:hAnsi="宋体" w:eastAsia="宋体" w:cs="宋体"/>
          <w:color w:val="auto"/>
        </w:rPr>
        <w:t>代表及相关工作人员等在响应文件开启记录上签字确认;</w:t>
      </w:r>
    </w:p>
    <w:p w14:paraId="7F790DD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（6）宣布有关注意事项;</w:t>
      </w:r>
    </w:p>
    <w:p w14:paraId="152A1F78">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（7）开启会议结束。</w:t>
      </w:r>
    </w:p>
    <w:p w14:paraId="7E97F5B7">
      <w:pPr>
        <w:pStyle w:val="5"/>
        <w:pageBreakBefore w:val="0"/>
        <w:kinsoku/>
        <w:overflowPunct/>
        <w:topLinePunct w:val="0"/>
        <w:bidi w:val="0"/>
        <w:snapToGrid/>
        <w:spacing w:line="360" w:lineRule="auto"/>
        <w:rPr>
          <w:rFonts w:hint="eastAsia" w:ascii="宋体" w:hAnsi="宋体" w:eastAsia="宋体" w:cs="宋体"/>
          <w:color w:val="auto"/>
        </w:rPr>
      </w:pPr>
      <w:bookmarkStart w:id="98" w:name="_Toc32188"/>
      <w:bookmarkStart w:id="99" w:name="_Toc8972"/>
      <w:r>
        <w:rPr>
          <w:rFonts w:hint="eastAsia" w:ascii="宋体" w:hAnsi="宋体" w:eastAsia="宋体" w:cs="宋体"/>
          <w:color w:val="auto"/>
        </w:rPr>
        <w:t>5.3递交响应文件的</w:t>
      </w:r>
      <w:r>
        <w:rPr>
          <w:rFonts w:hint="eastAsia" w:ascii="宋体" w:hAnsi="宋体" w:eastAsia="宋体" w:cs="宋体"/>
          <w:color w:val="auto"/>
          <w:lang w:eastAsia="zh-CN"/>
        </w:rPr>
        <w:t>询比响应人</w:t>
      </w:r>
      <w:r>
        <w:rPr>
          <w:rFonts w:hint="eastAsia" w:ascii="宋体" w:hAnsi="宋体" w:eastAsia="宋体" w:cs="宋体"/>
          <w:color w:val="auto"/>
        </w:rPr>
        <w:t>不足的情形</w:t>
      </w:r>
      <w:bookmarkEnd w:id="98"/>
      <w:bookmarkEnd w:id="99"/>
    </w:p>
    <w:p w14:paraId="1D7B1C0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采购项目选择一家成交</w:t>
      </w:r>
      <w:r>
        <w:rPr>
          <w:rFonts w:hint="eastAsia" w:ascii="宋体" w:hAnsi="宋体" w:eastAsia="宋体" w:cs="宋体"/>
          <w:color w:val="auto"/>
          <w:lang w:eastAsia="zh-CN"/>
        </w:rPr>
        <w:t>询比响应人</w:t>
      </w:r>
      <w:r>
        <w:rPr>
          <w:rFonts w:hint="eastAsia" w:ascii="宋体" w:hAnsi="宋体" w:eastAsia="宋体" w:cs="宋体"/>
          <w:color w:val="auto"/>
        </w:rPr>
        <w:t>时，递交响应文件的</w:t>
      </w:r>
      <w:r>
        <w:rPr>
          <w:rFonts w:hint="eastAsia" w:ascii="宋体" w:hAnsi="宋体" w:eastAsia="宋体" w:cs="宋体"/>
          <w:color w:val="auto"/>
          <w:lang w:eastAsia="zh-CN"/>
        </w:rPr>
        <w:t>询比响应人</w:t>
      </w:r>
      <w:r>
        <w:rPr>
          <w:rFonts w:hint="eastAsia" w:ascii="宋体" w:hAnsi="宋体" w:eastAsia="宋体" w:cs="宋体"/>
          <w:color w:val="auto"/>
        </w:rPr>
        <w:t>数量不足三家的，或采购项目选择多家成交</w:t>
      </w:r>
      <w:r>
        <w:rPr>
          <w:rFonts w:hint="eastAsia" w:ascii="宋体" w:hAnsi="宋体" w:eastAsia="宋体" w:cs="宋体"/>
          <w:color w:val="auto"/>
          <w:lang w:eastAsia="zh-CN"/>
        </w:rPr>
        <w:t>询比响应人</w:t>
      </w:r>
      <w:r>
        <w:rPr>
          <w:rFonts w:hint="eastAsia" w:ascii="宋体" w:hAnsi="宋体" w:eastAsia="宋体" w:cs="宋体"/>
          <w:color w:val="auto"/>
        </w:rPr>
        <w:t>时，递交响应文件的</w:t>
      </w:r>
      <w:r>
        <w:rPr>
          <w:rFonts w:hint="eastAsia" w:ascii="宋体" w:hAnsi="宋体" w:eastAsia="宋体" w:cs="宋体"/>
          <w:color w:val="auto"/>
          <w:lang w:eastAsia="zh-CN"/>
        </w:rPr>
        <w:t>询比响应人</w:t>
      </w:r>
      <w:r>
        <w:rPr>
          <w:rFonts w:hint="eastAsia" w:ascii="宋体" w:hAnsi="宋体" w:eastAsia="宋体" w:cs="宋体"/>
          <w:color w:val="auto"/>
        </w:rPr>
        <w:t>数量少于</w:t>
      </w:r>
      <w:r>
        <w:rPr>
          <w:rFonts w:hint="eastAsia" w:ascii="宋体" w:hAnsi="宋体" w:eastAsia="宋体" w:cs="宋体"/>
          <w:color w:val="auto"/>
          <w:lang w:eastAsia="zh-CN"/>
        </w:rPr>
        <w:t>询比响应人</w:t>
      </w:r>
      <w:r>
        <w:rPr>
          <w:rFonts w:hint="eastAsia" w:ascii="宋体" w:hAnsi="宋体" w:eastAsia="宋体" w:cs="宋体"/>
          <w:color w:val="auto"/>
        </w:rPr>
        <w:t>须知前附表规定数量的，</w:t>
      </w:r>
      <w:r>
        <w:rPr>
          <w:rFonts w:hint="eastAsia" w:ascii="宋体" w:hAnsi="宋体" w:eastAsia="宋体" w:cs="宋体"/>
          <w:color w:val="auto"/>
          <w:lang w:eastAsia="zh-CN"/>
        </w:rPr>
        <w:t>采购人</w:t>
      </w:r>
      <w:r>
        <w:rPr>
          <w:rFonts w:hint="eastAsia" w:ascii="宋体" w:hAnsi="宋体" w:eastAsia="宋体" w:cs="宋体"/>
          <w:color w:val="auto"/>
        </w:rPr>
        <w:t>可按照下述情形分别处理：</w:t>
      </w:r>
    </w:p>
    <w:p w14:paraId="6811C0A1">
      <w:pPr>
        <w:pStyle w:val="19"/>
        <w:pageBreakBefore w:val="0"/>
        <w:widowControl/>
        <w:numPr>
          <w:ilvl w:val="0"/>
          <w:numId w:val="6"/>
        </w:numPr>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终止询比并重新组织采购</w:t>
      </w:r>
    </w:p>
    <w:p w14:paraId="3954A388">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采购项目存在影响公平竞争情形的，</w:t>
      </w:r>
      <w:r>
        <w:rPr>
          <w:rFonts w:hint="eastAsia" w:ascii="宋体" w:hAnsi="宋体" w:eastAsia="宋体" w:cs="宋体"/>
          <w:color w:val="auto"/>
          <w:lang w:eastAsia="zh-CN"/>
        </w:rPr>
        <w:t>采购人</w:t>
      </w:r>
      <w:r>
        <w:rPr>
          <w:rFonts w:hint="eastAsia" w:ascii="宋体" w:hAnsi="宋体" w:eastAsia="宋体" w:cs="宋体"/>
          <w:color w:val="auto"/>
        </w:rPr>
        <w:t>应当终止询比采购，并根据不同情形和原因，采取相应纠正措施，重新组织采购。</w:t>
      </w:r>
    </w:p>
    <w:p w14:paraId="572BB3F9">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采购项目不存在影响公平竞争情形的，</w:t>
      </w:r>
      <w:r>
        <w:rPr>
          <w:rFonts w:hint="eastAsia" w:ascii="宋体" w:hAnsi="宋体" w:eastAsia="宋体" w:cs="宋体"/>
          <w:color w:val="auto"/>
          <w:lang w:eastAsia="zh-CN"/>
        </w:rPr>
        <w:t>采购人</w:t>
      </w:r>
      <w:r>
        <w:rPr>
          <w:rFonts w:hint="eastAsia" w:ascii="宋体" w:hAnsi="宋体" w:eastAsia="宋体" w:cs="宋体"/>
          <w:color w:val="auto"/>
        </w:rPr>
        <w:t>也可以选择终止询比采购，采取相应完善措施，重新组织采购。</w:t>
      </w:r>
    </w:p>
    <w:p w14:paraId="5F8CDFAA">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（2）继续询比采购</w:t>
      </w:r>
    </w:p>
    <w:p w14:paraId="664FDB9A">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采购项目不存在应该终止询比情形，且</w:t>
      </w:r>
      <w:r>
        <w:rPr>
          <w:rFonts w:hint="eastAsia" w:ascii="宋体" w:hAnsi="宋体" w:eastAsia="宋体" w:cs="宋体"/>
          <w:color w:val="auto"/>
          <w:lang w:eastAsia="zh-CN"/>
        </w:rPr>
        <w:t>采购人</w:t>
      </w:r>
      <w:r>
        <w:rPr>
          <w:rFonts w:hint="eastAsia" w:ascii="宋体" w:hAnsi="宋体" w:eastAsia="宋体" w:cs="宋体"/>
          <w:color w:val="auto"/>
        </w:rPr>
        <w:t>也没有自行选择终止询比采购</w:t>
      </w:r>
    </w:p>
    <w:p w14:paraId="41C27E62">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的，</w:t>
      </w:r>
      <w:r>
        <w:rPr>
          <w:rFonts w:hint="eastAsia" w:ascii="宋体" w:hAnsi="宋体" w:eastAsia="宋体" w:cs="宋体"/>
          <w:color w:val="auto"/>
          <w:lang w:eastAsia="zh-CN"/>
        </w:rPr>
        <w:t>采购人</w:t>
      </w:r>
      <w:r>
        <w:rPr>
          <w:rFonts w:hint="eastAsia" w:ascii="宋体" w:hAnsi="宋体" w:eastAsia="宋体" w:cs="宋体"/>
          <w:color w:val="auto"/>
        </w:rPr>
        <w:t>应按照本章第5.2款规定的程序继续开启响应文件，并按第三章“评审办法”规定的规则组织响应文件评审，完成询比采购后续程序。</w:t>
      </w:r>
    </w:p>
    <w:p w14:paraId="5C629DA2">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00" w:name="_Toc19415"/>
      <w:bookmarkStart w:id="101" w:name="_Toc7766"/>
      <w:r>
        <w:rPr>
          <w:rFonts w:hint="eastAsia" w:ascii="宋体" w:hAnsi="宋体" w:eastAsia="宋体" w:cs="宋体"/>
          <w:color w:val="auto"/>
        </w:rPr>
        <w:t>6 评审</w:t>
      </w:r>
      <w:bookmarkEnd w:id="100"/>
      <w:bookmarkEnd w:id="101"/>
    </w:p>
    <w:p w14:paraId="74EF189F">
      <w:pPr>
        <w:pStyle w:val="5"/>
        <w:pageBreakBefore w:val="0"/>
        <w:kinsoku/>
        <w:overflowPunct/>
        <w:topLinePunct w:val="0"/>
        <w:bidi w:val="0"/>
        <w:snapToGrid/>
        <w:spacing w:line="360" w:lineRule="auto"/>
        <w:rPr>
          <w:rFonts w:hint="eastAsia" w:ascii="宋体" w:hAnsi="宋体" w:eastAsia="宋体" w:cs="宋体"/>
          <w:color w:val="auto"/>
        </w:rPr>
      </w:pPr>
      <w:bookmarkStart w:id="102" w:name="_Toc8476"/>
      <w:bookmarkStart w:id="103" w:name="_Toc32215"/>
      <w:r>
        <w:rPr>
          <w:rFonts w:hint="eastAsia" w:ascii="宋体" w:hAnsi="宋体" w:eastAsia="宋体" w:cs="宋体"/>
          <w:color w:val="auto"/>
        </w:rPr>
        <w:t>6.1 评审小组</w:t>
      </w:r>
      <w:bookmarkEnd w:id="102"/>
      <w:bookmarkEnd w:id="103"/>
    </w:p>
    <w:p w14:paraId="2C1BFCB7">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6.1.1 评审由</w:t>
      </w:r>
      <w:r>
        <w:rPr>
          <w:rFonts w:hint="eastAsia" w:ascii="宋体" w:hAnsi="宋体" w:eastAsia="宋体" w:cs="宋体"/>
          <w:color w:val="auto"/>
          <w:lang w:eastAsia="zh-CN"/>
        </w:rPr>
        <w:t>采购人</w:t>
      </w:r>
      <w:r>
        <w:rPr>
          <w:rFonts w:hint="eastAsia" w:ascii="宋体" w:hAnsi="宋体" w:eastAsia="宋体" w:cs="宋体"/>
          <w:color w:val="auto"/>
        </w:rPr>
        <w:t>组建的评审小组负责。</w:t>
      </w:r>
    </w:p>
    <w:p w14:paraId="558A4B4A">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6.1.2 评审小组成员有下列情形之一的，应当回避：</w:t>
      </w:r>
    </w:p>
    <w:p w14:paraId="7F0E8579">
      <w:pPr>
        <w:pStyle w:val="19"/>
        <w:pageBreakBefore w:val="0"/>
        <w:widowControl/>
        <w:kinsoku/>
        <w:overflowPunct/>
        <w:topLinePunct w:val="0"/>
        <w:bidi w:val="0"/>
        <w:snapToGrid/>
        <w:spacing w:beforeAutospacing="0" w:afterAutospacing="0" w:line="360" w:lineRule="auto"/>
        <w:ind w:firstLine="48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询比响应人</w:t>
      </w:r>
      <w:r>
        <w:rPr>
          <w:rFonts w:hint="eastAsia" w:ascii="宋体" w:hAnsi="宋体" w:eastAsia="宋体" w:cs="宋体"/>
          <w:color w:val="auto"/>
        </w:rPr>
        <w:t>主要负责人或</w:t>
      </w:r>
      <w:r>
        <w:rPr>
          <w:rFonts w:hint="eastAsia" w:ascii="宋体" w:hAnsi="宋体" w:eastAsia="宋体" w:cs="宋体"/>
          <w:color w:val="auto"/>
          <w:lang w:eastAsia="zh-CN"/>
        </w:rPr>
        <w:t>询比响应人</w:t>
      </w:r>
      <w:r>
        <w:rPr>
          <w:rFonts w:hint="eastAsia" w:ascii="宋体" w:hAnsi="宋体" w:eastAsia="宋体" w:cs="宋体"/>
          <w:color w:val="auto"/>
        </w:rPr>
        <w:t>主要负责人的近亲属；</w:t>
      </w:r>
    </w:p>
    <w:p w14:paraId="375924D7">
      <w:pPr>
        <w:pStyle w:val="19"/>
        <w:pageBreakBefore w:val="0"/>
        <w:widowControl/>
        <w:kinsoku/>
        <w:overflowPunct/>
        <w:topLinePunct w:val="0"/>
        <w:bidi w:val="0"/>
        <w:snapToGrid/>
        <w:spacing w:beforeAutospacing="0" w:afterAutospacing="0" w:line="360" w:lineRule="auto"/>
        <w:ind w:firstLine="480"/>
        <w:rPr>
          <w:rFonts w:hint="eastAsia" w:ascii="宋体" w:hAnsi="宋体" w:eastAsia="宋体" w:cs="宋体"/>
          <w:color w:val="auto"/>
        </w:rPr>
      </w:pPr>
      <w:r>
        <w:rPr>
          <w:rFonts w:hint="eastAsia" w:ascii="宋体" w:hAnsi="宋体" w:eastAsia="宋体" w:cs="宋体"/>
          <w:color w:val="auto"/>
        </w:rPr>
        <w:t>（2）与</w:t>
      </w:r>
      <w:r>
        <w:rPr>
          <w:rFonts w:hint="eastAsia" w:ascii="宋体" w:hAnsi="宋体" w:eastAsia="宋体" w:cs="宋体"/>
          <w:color w:val="auto"/>
          <w:lang w:eastAsia="zh-CN"/>
        </w:rPr>
        <w:t>询比响应人</w:t>
      </w:r>
      <w:r>
        <w:rPr>
          <w:rFonts w:hint="eastAsia" w:ascii="宋体" w:hAnsi="宋体" w:eastAsia="宋体" w:cs="宋体"/>
          <w:color w:val="auto"/>
        </w:rPr>
        <w:t>有经济利益关系或其他利害关系，可能影响公正评审的。</w:t>
      </w:r>
    </w:p>
    <w:p w14:paraId="27FFA245">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6.1.3 评审小组组建后，评审小组成员共同推选或由</w:t>
      </w:r>
      <w:r>
        <w:rPr>
          <w:rFonts w:hint="eastAsia" w:ascii="宋体" w:hAnsi="宋体" w:eastAsia="宋体" w:cs="宋体"/>
          <w:color w:val="auto"/>
          <w:lang w:eastAsia="zh-CN"/>
        </w:rPr>
        <w:t>采购人</w:t>
      </w:r>
      <w:r>
        <w:rPr>
          <w:rFonts w:hint="eastAsia" w:ascii="宋体" w:hAnsi="宋体" w:eastAsia="宋体" w:cs="宋体"/>
          <w:color w:val="auto"/>
        </w:rPr>
        <w:t>指定评审小组组长，评审小组组长负责组织评审工作。</w:t>
      </w:r>
    </w:p>
    <w:p w14:paraId="5E538519">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6.1.4 在评审过程中，评审小组成员对需要共同认定的事项存在争议的，将按照少数服从多数的原则作出结论。持不同意见的评审小组成员应当在评审报告上签署不同意见及理由，否则视为同意评审报告。</w:t>
      </w:r>
    </w:p>
    <w:p w14:paraId="296249E4">
      <w:pPr>
        <w:pStyle w:val="5"/>
        <w:pageBreakBefore w:val="0"/>
        <w:kinsoku/>
        <w:overflowPunct/>
        <w:topLinePunct w:val="0"/>
        <w:bidi w:val="0"/>
        <w:snapToGrid/>
        <w:spacing w:line="360" w:lineRule="auto"/>
        <w:rPr>
          <w:rFonts w:hint="eastAsia" w:ascii="宋体" w:hAnsi="宋体" w:eastAsia="宋体" w:cs="宋体"/>
          <w:color w:val="auto"/>
        </w:rPr>
      </w:pPr>
      <w:bookmarkStart w:id="104" w:name="_Toc17365"/>
      <w:bookmarkStart w:id="105" w:name="_Toc19022"/>
      <w:r>
        <w:rPr>
          <w:rFonts w:hint="eastAsia" w:ascii="宋体" w:hAnsi="宋体" w:eastAsia="宋体" w:cs="宋体"/>
          <w:color w:val="auto"/>
        </w:rPr>
        <w:t>6.2 评审</w:t>
      </w:r>
      <w:bookmarkEnd w:id="104"/>
      <w:bookmarkEnd w:id="105"/>
    </w:p>
    <w:p w14:paraId="0580D69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6.2.1 评审小组按照第三章“评审办法”规定的评审标准和程序对响应文件进行评审和比较。</w:t>
      </w:r>
    </w:p>
    <w:p w14:paraId="579E65F9">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6.2.2 评审完成后，评审小组应当向</w:t>
      </w:r>
      <w:r>
        <w:rPr>
          <w:rFonts w:hint="eastAsia" w:ascii="宋体" w:hAnsi="宋体" w:eastAsia="宋体" w:cs="宋体"/>
          <w:color w:val="auto"/>
          <w:lang w:eastAsia="zh-CN"/>
        </w:rPr>
        <w:t>采购人</w:t>
      </w:r>
      <w:r>
        <w:rPr>
          <w:rFonts w:hint="eastAsia" w:ascii="宋体" w:hAnsi="宋体" w:eastAsia="宋体" w:cs="宋体"/>
          <w:color w:val="auto"/>
        </w:rPr>
        <w:t>提交书面评审报告和候选成交</w:t>
      </w:r>
      <w:r>
        <w:rPr>
          <w:rFonts w:hint="eastAsia" w:ascii="宋体" w:hAnsi="宋体" w:eastAsia="宋体" w:cs="宋体"/>
          <w:color w:val="auto"/>
          <w:lang w:eastAsia="zh-CN"/>
        </w:rPr>
        <w:t>询比响应人</w:t>
      </w:r>
      <w:r>
        <w:rPr>
          <w:rFonts w:hint="eastAsia" w:ascii="宋体" w:hAnsi="宋体" w:eastAsia="宋体" w:cs="宋体"/>
          <w:color w:val="auto"/>
        </w:rPr>
        <w:t>名称。评审小组推荐候选成立</w:t>
      </w:r>
      <w:r>
        <w:rPr>
          <w:rFonts w:hint="eastAsia" w:ascii="宋体" w:hAnsi="宋体" w:eastAsia="宋体" w:cs="宋体"/>
          <w:color w:val="auto"/>
          <w:lang w:eastAsia="zh-CN"/>
        </w:rPr>
        <w:t>询比响应人</w:t>
      </w:r>
      <w:r>
        <w:rPr>
          <w:rFonts w:hint="eastAsia" w:ascii="宋体" w:hAnsi="宋体" w:eastAsia="宋体" w:cs="宋体"/>
          <w:color w:val="auto"/>
        </w:rPr>
        <w:t>的排序要求及数量见</w:t>
      </w:r>
      <w:r>
        <w:rPr>
          <w:rFonts w:hint="eastAsia" w:ascii="宋体" w:hAnsi="宋体" w:eastAsia="宋体" w:cs="宋体"/>
          <w:color w:val="auto"/>
          <w:lang w:eastAsia="zh-CN"/>
        </w:rPr>
        <w:t>询比响应人</w:t>
      </w:r>
      <w:r>
        <w:rPr>
          <w:rFonts w:hint="eastAsia" w:ascii="宋体" w:hAnsi="宋体" w:eastAsia="宋体" w:cs="宋体"/>
          <w:color w:val="auto"/>
        </w:rPr>
        <w:t>须知前附表。</w:t>
      </w:r>
    </w:p>
    <w:p w14:paraId="15374710">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06" w:name="_Toc2823"/>
      <w:bookmarkStart w:id="107" w:name="_Toc19431"/>
      <w:r>
        <w:rPr>
          <w:rFonts w:hint="eastAsia" w:ascii="宋体" w:hAnsi="宋体" w:eastAsia="宋体" w:cs="宋体"/>
          <w:color w:val="auto"/>
        </w:rPr>
        <w:t>7 合同授予</w:t>
      </w:r>
      <w:bookmarkEnd w:id="106"/>
      <w:bookmarkEnd w:id="107"/>
    </w:p>
    <w:p w14:paraId="37BEA99F">
      <w:pPr>
        <w:pStyle w:val="5"/>
        <w:pageBreakBefore w:val="0"/>
        <w:kinsoku/>
        <w:overflowPunct/>
        <w:topLinePunct w:val="0"/>
        <w:bidi w:val="0"/>
        <w:snapToGrid/>
        <w:spacing w:line="360" w:lineRule="auto"/>
        <w:rPr>
          <w:rFonts w:hint="eastAsia" w:ascii="宋体" w:hAnsi="宋体" w:eastAsia="宋体" w:cs="宋体"/>
          <w:color w:val="auto"/>
        </w:rPr>
      </w:pPr>
      <w:bookmarkStart w:id="108" w:name="_Toc21986"/>
      <w:bookmarkStart w:id="109" w:name="_Toc9982"/>
      <w:r>
        <w:rPr>
          <w:rFonts w:hint="eastAsia" w:ascii="宋体" w:hAnsi="宋体" w:eastAsia="宋体" w:cs="宋体"/>
          <w:color w:val="auto"/>
        </w:rPr>
        <w:t>7.1 候选成交</w:t>
      </w:r>
      <w:r>
        <w:rPr>
          <w:rFonts w:hint="eastAsia" w:ascii="宋体" w:hAnsi="宋体" w:eastAsia="宋体" w:cs="宋体"/>
          <w:color w:val="auto"/>
          <w:lang w:eastAsia="zh-CN"/>
        </w:rPr>
        <w:t>询比响应人</w:t>
      </w:r>
      <w:r>
        <w:rPr>
          <w:rFonts w:hint="eastAsia" w:ascii="宋体" w:hAnsi="宋体" w:eastAsia="宋体" w:cs="宋体"/>
          <w:color w:val="auto"/>
        </w:rPr>
        <w:t>履约能力核查</w:t>
      </w:r>
      <w:bookmarkEnd w:id="108"/>
      <w:bookmarkEnd w:id="109"/>
    </w:p>
    <w:p w14:paraId="45001535">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可对候选成交</w:t>
      </w:r>
      <w:r>
        <w:rPr>
          <w:rFonts w:hint="eastAsia" w:ascii="宋体" w:hAnsi="宋体" w:eastAsia="宋体" w:cs="宋体"/>
          <w:color w:val="auto"/>
          <w:lang w:eastAsia="zh-CN"/>
        </w:rPr>
        <w:t>询比响应人</w:t>
      </w:r>
      <w:r>
        <w:rPr>
          <w:rFonts w:hint="eastAsia" w:ascii="宋体" w:hAnsi="宋体" w:eastAsia="宋体" w:cs="宋体"/>
          <w:color w:val="auto"/>
        </w:rPr>
        <w:t>的相关证明材料原件进行核验或组织现场考察，以确认候选成交</w:t>
      </w:r>
      <w:r>
        <w:rPr>
          <w:rFonts w:hint="eastAsia" w:ascii="宋体" w:hAnsi="宋体" w:eastAsia="宋体" w:cs="宋体"/>
          <w:color w:val="auto"/>
          <w:lang w:eastAsia="zh-CN"/>
        </w:rPr>
        <w:t>询比响应人</w:t>
      </w:r>
      <w:r>
        <w:rPr>
          <w:rFonts w:hint="eastAsia" w:ascii="宋体" w:hAnsi="宋体" w:eastAsia="宋体" w:cs="宋体"/>
          <w:color w:val="auto"/>
        </w:rPr>
        <w:t>的生产经营、财务等实际状况与响应文件是否存在其他可能影响</w:t>
      </w:r>
      <w:r>
        <w:rPr>
          <w:rFonts w:hint="eastAsia" w:ascii="宋体" w:hAnsi="宋体" w:eastAsia="宋体" w:cs="宋体"/>
          <w:color w:val="auto"/>
          <w:lang w:eastAsia="zh-CN"/>
        </w:rPr>
        <w:t>询比响应人</w:t>
      </w:r>
      <w:r>
        <w:rPr>
          <w:rFonts w:hint="eastAsia" w:ascii="宋体" w:hAnsi="宋体" w:eastAsia="宋体" w:cs="宋体"/>
          <w:color w:val="auto"/>
        </w:rPr>
        <w:t>履约能力的情况。核查结果将作为</w:t>
      </w:r>
      <w:r>
        <w:rPr>
          <w:rFonts w:hint="eastAsia" w:ascii="宋体" w:hAnsi="宋体" w:eastAsia="宋体" w:cs="宋体"/>
          <w:color w:val="auto"/>
          <w:lang w:eastAsia="zh-CN"/>
        </w:rPr>
        <w:t>采购人</w:t>
      </w:r>
      <w:r>
        <w:rPr>
          <w:rFonts w:hint="eastAsia" w:ascii="宋体" w:hAnsi="宋体" w:eastAsia="宋体" w:cs="宋体"/>
          <w:color w:val="auto"/>
        </w:rPr>
        <w:t>选择确定预成交</w:t>
      </w:r>
      <w:r>
        <w:rPr>
          <w:rFonts w:hint="eastAsia" w:ascii="宋体" w:hAnsi="宋体" w:eastAsia="宋体" w:cs="宋体"/>
          <w:color w:val="auto"/>
          <w:lang w:eastAsia="zh-CN"/>
        </w:rPr>
        <w:t>询比响应人</w:t>
      </w:r>
      <w:r>
        <w:rPr>
          <w:rFonts w:hint="eastAsia" w:ascii="宋体" w:hAnsi="宋体" w:eastAsia="宋体" w:cs="宋体"/>
          <w:color w:val="auto"/>
        </w:rPr>
        <w:t>的依据之一</w:t>
      </w:r>
    </w:p>
    <w:p w14:paraId="77CE2B05">
      <w:pPr>
        <w:pStyle w:val="5"/>
        <w:pageBreakBefore w:val="0"/>
        <w:kinsoku/>
        <w:overflowPunct/>
        <w:topLinePunct w:val="0"/>
        <w:bidi w:val="0"/>
        <w:snapToGrid/>
        <w:spacing w:line="360" w:lineRule="auto"/>
        <w:rPr>
          <w:rFonts w:hint="eastAsia" w:ascii="宋体" w:hAnsi="宋体" w:eastAsia="宋体" w:cs="宋体"/>
          <w:color w:val="auto"/>
          <w:lang w:eastAsia="zh-CN"/>
        </w:rPr>
      </w:pPr>
      <w:bookmarkStart w:id="110" w:name="_Toc4140"/>
      <w:bookmarkStart w:id="111" w:name="_Toc12226"/>
      <w:r>
        <w:rPr>
          <w:rFonts w:hint="eastAsia" w:ascii="宋体" w:hAnsi="宋体" w:eastAsia="宋体" w:cs="宋体"/>
          <w:color w:val="auto"/>
        </w:rPr>
        <w:t>7.2 确定预成交</w:t>
      </w:r>
      <w:bookmarkEnd w:id="110"/>
      <w:bookmarkEnd w:id="111"/>
      <w:r>
        <w:rPr>
          <w:rFonts w:hint="eastAsia" w:ascii="宋体" w:hAnsi="宋体" w:eastAsia="宋体" w:cs="宋体"/>
          <w:color w:val="auto"/>
          <w:lang w:eastAsia="zh-CN"/>
        </w:rPr>
        <w:t>询比响应人</w:t>
      </w:r>
    </w:p>
    <w:p w14:paraId="0097975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将根据评审报告及核查结果（如有），对候选成交</w:t>
      </w:r>
      <w:r>
        <w:rPr>
          <w:rFonts w:hint="eastAsia" w:ascii="宋体" w:hAnsi="宋体" w:eastAsia="宋体" w:cs="宋体"/>
          <w:color w:val="auto"/>
          <w:lang w:eastAsia="zh-CN"/>
        </w:rPr>
        <w:t>询比响应人</w:t>
      </w:r>
      <w:r>
        <w:rPr>
          <w:rFonts w:hint="eastAsia" w:ascii="宋体" w:hAnsi="宋体" w:eastAsia="宋体" w:cs="宋体"/>
          <w:color w:val="auto"/>
        </w:rPr>
        <w:t>综合评估后从中选择确定预成交</w:t>
      </w:r>
      <w:r>
        <w:rPr>
          <w:rFonts w:hint="eastAsia" w:ascii="宋体" w:hAnsi="宋体" w:eastAsia="宋体" w:cs="宋体"/>
          <w:color w:val="auto"/>
          <w:lang w:eastAsia="zh-CN"/>
        </w:rPr>
        <w:t>询比响应人</w:t>
      </w:r>
      <w:r>
        <w:rPr>
          <w:rFonts w:hint="eastAsia" w:ascii="宋体" w:hAnsi="宋体" w:eastAsia="宋体" w:cs="宋体"/>
          <w:color w:val="auto"/>
        </w:rPr>
        <w:t>。</w:t>
      </w:r>
    </w:p>
    <w:p w14:paraId="6ABBE668">
      <w:pPr>
        <w:pStyle w:val="5"/>
        <w:pageBreakBefore w:val="0"/>
        <w:kinsoku/>
        <w:overflowPunct/>
        <w:topLinePunct w:val="0"/>
        <w:bidi w:val="0"/>
        <w:snapToGrid/>
        <w:spacing w:line="360" w:lineRule="auto"/>
        <w:rPr>
          <w:rFonts w:hint="eastAsia" w:ascii="宋体" w:hAnsi="宋体" w:eastAsia="宋体" w:cs="宋体"/>
          <w:color w:val="auto"/>
        </w:rPr>
      </w:pPr>
      <w:bookmarkStart w:id="112" w:name="_Toc23594"/>
      <w:bookmarkStart w:id="113" w:name="_Toc23117"/>
      <w:r>
        <w:rPr>
          <w:rFonts w:hint="eastAsia" w:ascii="宋体" w:hAnsi="宋体" w:eastAsia="宋体" w:cs="宋体"/>
          <w:color w:val="auto"/>
        </w:rPr>
        <w:t>7.3 预成交结果公示</w:t>
      </w:r>
      <w:bookmarkEnd w:id="112"/>
      <w:bookmarkEnd w:id="113"/>
    </w:p>
    <w:p w14:paraId="2F58182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预成交</w:t>
      </w:r>
      <w:r>
        <w:rPr>
          <w:rFonts w:hint="eastAsia" w:ascii="宋体" w:hAnsi="宋体" w:eastAsia="宋体" w:cs="宋体"/>
          <w:color w:val="auto"/>
          <w:lang w:eastAsia="zh-CN"/>
        </w:rPr>
        <w:t>询比响应人</w:t>
      </w:r>
      <w:r>
        <w:rPr>
          <w:rFonts w:hint="eastAsia" w:ascii="宋体" w:hAnsi="宋体" w:eastAsia="宋体" w:cs="宋体"/>
          <w:color w:val="auto"/>
        </w:rPr>
        <w:t>选定后，</w:t>
      </w:r>
      <w:r>
        <w:rPr>
          <w:rFonts w:hint="eastAsia" w:ascii="宋体" w:hAnsi="宋体" w:eastAsia="宋体" w:cs="宋体"/>
          <w:color w:val="auto"/>
          <w:lang w:eastAsia="zh-CN"/>
        </w:rPr>
        <w:t>采购人</w:t>
      </w:r>
      <w:r>
        <w:rPr>
          <w:rFonts w:hint="eastAsia" w:ascii="宋体" w:hAnsi="宋体" w:eastAsia="宋体" w:cs="宋体"/>
          <w:color w:val="auto"/>
        </w:rPr>
        <w:t>将按照</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须知前附表规定的公示媒介和公示期限进行公示，公示信息包括如下内容∶</w:t>
      </w:r>
    </w:p>
    <w:p w14:paraId="5D167B33">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（1）候选成交</w:t>
      </w:r>
      <w:r>
        <w:rPr>
          <w:rFonts w:hint="eastAsia" w:ascii="宋体" w:hAnsi="宋体" w:eastAsia="宋体" w:cs="宋体"/>
          <w:color w:val="auto"/>
          <w:lang w:eastAsia="zh-CN"/>
        </w:rPr>
        <w:t>人</w:t>
      </w:r>
      <w:r>
        <w:rPr>
          <w:rFonts w:hint="eastAsia" w:ascii="宋体" w:hAnsi="宋体" w:eastAsia="宋体" w:cs="宋体"/>
          <w:color w:val="auto"/>
        </w:rPr>
        <w:t>名称、响应价格及工期/交货期/服务期限</w:t>
      </w:r>
      <w:r>
        <w:rPr>
          <w:rFonts w:hint="eastAsia" w:ascii="宋体" w:hAnsi="宋体" w:eastAsia="宋体" w:cs="宋体"/>
          <w:color w:val="auto"/>
          <w:lang w:eastAsia="zh-CN"/>
        </w:rPr>
        <w:t>等</w:t>
      </w:r>
      <w:r>
        <w:rPr>
          <w:rFonts w:hint="eastAsia" w:ascii="宋体" w:hAnsi="宋体" w:eastAsia="宋体" w:cs="宋体"/>
          <w:color w:val="auto"/>
        </w:rPr>
        <w:t>;</w:t>
      </w:r>
    </w:p>
    <w:p w14:paraId="6838CB24">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（2）预成交</w:t>
      </w:r>
      <w:r>
        <w:rPr>
          <w:rFonts w:hint="eastAsia" w:ascii="宋体" w:hAnsi="宋体" w:eastAsia="宋体" w:cs="宋体"/>
          <w:color w:val="auto"/>
          <w:lang w:eastAsia="zh-CN"/>
        </w:rPr>
        <w:t>询比响应人</w:t>
      </w:r>
      <w:r>
        <w:rPr>
          <w:rFonts w:hint="eastAsia" w:ascii="宋体" w:hAnsi="宋体" w:eastAsia="宋体" w:cs="宋体"/>
          <w:color w:val="auto"/>
        </w:rPr>
        <w:t>名称、预成交份额（如有）及选择原因;</w:t>
      </w:r>
    </w:p>
    <w:p w14:paraId="507EFAFD">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须知前附表规定的其他内容。</w:t>
      </w:r>
    </w:p>
    <w:p w14:paraId="501AEB48">
      <w:pPr>
        <w:pStyle w:val="5"/>
        <w:pageBreakBefore w:val="0"/>
        <w:kinsoku/>
        <w:overflowPunct/>
        <w:topLinePunct w:val="0"/>
        <w:bidi w:val="0"/>
        <w:snapToGrid/>
        <w:spacing w:line="360" w:lineRule="auto"/>
        <w:rPr>
          <w:rFonts w:hint="eastAsia" w:ascii="宋体" w:hAnsi="宋体" w:eastAsia="宋体" w:cs="宋体"/>
          <w:color w:val="auto"/>
        </w:rPr>
      </w:pPr>
      <w:bookmarkStart w:id="114" w:name="_Toc4948"/>
      <w:bookmarkStart w:id="115" w:name="_Toc25932"/>
      <w:r>
        <w:rPr>
          <w:rFonts w:hint="eastAsia" w:ascii="宋体" w:hAnsi="宋体" w:eastAsia="宋体" w:cs="宋体"/>
          <w:color w:val="auto"/>
        </w:rPr>
        <w:t>7.4 发出成交通知书</w:t>
      </w:r>
      <w:bookmarkEnd w:id="114"/>
      <w:bookmarkEnd w:id="115"/>
    </w:p>
    <w:p w14:paraId="38AFA57D">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公示期结束后，在本章第3.3款规定的响应文件有效期内，</w:t>
      </w:r>
      <w:r>
        <w:rPr>
          <w:rFonts w:hint="eastAsia" w:ascii="宋体" w:hAnsi="宋体" w:eastAsia="宋体" w:cs="宋体"/>
          <w:color w:val="auto"/>
          <w:lang w:eastAsia="zh-CN"/>
        </w:rPr>
        <w:t>采购人</w:t>
      </w:r>
      <w:r>
        <w:rPr>
          <w:rFonts w:hint="eastAsia" w:ascii="宋体" w:hAnsi="宋体" w:eastAsia="宋体" w:cs="宋体"/>
          <w:color w:val="auto"/>
        </w:rPr>
        <w:t>以书面形式向预成交</w:t>
      </w:r>
      <w:r>
        <w:rPr>
          <w:rFonts w:hint="eastAsia" w:ascii="宋体" w:hAnsi="宋体" w:eastAsia="宋体" w:cs="宋体"/>
          <w:color w:val="auto"/>
          <w:lang w:eastAsia="zh-CN"/>
        </w:rPr>
        <w:t>询比响应人</w:t>
      </w:r>
      <w:r>
        <w:rPr>
          <w:rFonts w:hint="eastAsia" w:ascii="宋体" w:hAnsi="宋体" w:eastAsia="宋体" w:cs="宋体"/>
          <w:color w:val="auto"/>
        </w:rPr>
        <w:t>发出成交通知书。</w:t>
      </w:r>
    </w:p>
    <w:p w14:paraId="3BEAD1F2">
      <w:pPr>
        <w:pStyle w:val="5"/>
        <w:pageBreakBefore w:val="0"/>
        <w:kinsoku/>
        <w:overflowPunct/>
        <w:topLinePunct w:val="0"/>
        <w:bidi w:val="0"/>
        <w:snapToGrid/>
        <w:spacing w:line="360" w:lineRule="auto"/>
        <w:rPr>
          <w:rFonts w:hint="eastAsia" w:ascii="宋体" w:hAnsi="宋体" w:eastAsia="宋体" w:cs="宋体"/>
          <w:color w:val="auto"/>
        </w:rPr>
      </w:pPr>
      <w:bookmarkStart w:id="116" w:name="_Toc26808"/>
      <w:bookmarkStart w:id="117" w:name="_Toc10623"/>
      <w:r>
        <w:rPr>
          <w:rFonts w:hint="eastAsia" w:ascii="宋体" w:hAnsi="宋体" w:eastAsia="宋体" w:cs="宋体"/>
          <w:color w:val="auto"/>
        </w:rPr>
        <w:t>7.5发布成交公告</w:t>
      </w:r>
      <w:bookmarkEnd w:id="116"/>
      <w:bookmarkEnd w:id="117"/>
    </w:p>
    <w:p w14:paraId="3526FE3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在发出成交通知书的同时，</w:t>
      </w:r>
      <w:r>
        <w:rPr>
          <w:rFonts w:hint="eastAsia" w:ascii="宋体" w:hAnsi="宋体" w:eastAsia="宋体" w:cs="宋体"/>
          <w:color w:val="auto"/>
          <w:lang w:eastAsia="zh-CN"/>
        </w:rPr>
        <w:t>采购人</w:t>
      </w:r>
      <w:r>
        <w:rPr>
          <w:rFonts w:hint="eastAsia" w:ascii="宋体" w:hAnsi="宋体" w:eastAsia="宋体" w:cs="宋体"/>
          <w:color w:val="auto"/>
        </w:rPr>
        <w:t>将在</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须知前附表规定的公告媒介发布成交公告，公告信息包括成交</w:t>
      </w:r>
      <w:r>
        <w:rPr>
          <w:rFonts w:hint="eastAsia" w:ascii="宋体" w:hAnsi="宋体" w:eastAsia="宋体" w:cs="宋体"/>
          <w:color w:val="auto"/>
          <w:lang w:eastAsia="zh-CN"/>
        </w:rPr>
        <w:t>询比响应人</w:t>
      </w:r>
      <w:r>
        <w:rPr>
          <w:rFonts w:hint="eastAsia" w:ascii="宋体" w:hAnsi="宋体" w:eastAsia="宋体" w:cs="宋体"/>
          <w:color w:val="auto"/>
        </w:rPr>
        <w:t>名称、响应价格及工期/交货期/服务期限、成交份额（如有）及</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须知前附表规定的其他内容。</w:t>
      </w:r>
    </w:p>
    <w:p w14:paraId="7DABAA62">
      <w:pPr>
        <w:pStyle w:val="5"/>
        <w:pageBreakBefore w:val="0"/>
        <w:kinsoku/>
        <w:overflowPunct/>
        <w:topLinePunct w:val="0"/>
        <w:bidi w:val="0"/>
        <w:snapToGrid/>
        <w:spacing w:line="360" w:lineRule="auto"/>
        <w:rPr>
          <w:rFonts w:hint="eastAsia" w:ascii="宋体" w:hAnsi="宋体" w:eastAsia="宋体" w:cs="宋体"/>
          <w:color w:val="auto"/>
        </w:rPr>
      </w:pPr>
      <w:bookmarkStart w:id="118" w:name="_Toc2380"/>
      <w:bookmarkStart w:id="119" w:name="_Toc10196"/>
      <w:r>
        <w:rPr>
          <w:rFonts w:hint="eastAsia" w:ascii="宋体" w:hAnsi="宋体" w:eastAsia="宋体" w:cs="宋体"/>
          <w:color w:val="auto"/>
        </w:rPr>
        <w:t>7.6 履约保证金</w:t>
      </w:r>
      <w:bookmarkEnd w:id="118"/>
      <w:bookmarkEnd w:id="119"/>
    </w:p>
    <w:p w14:paraId="14F7A9C7">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询比响应人</w:t>
      </w:r>
      <w:r>
        <w:rPr>
          <w:rFonts w:hint="eastAsia" w:ascii="宋体" w:hAnsi="宋体" w:eastAsia="宋体" w:cs="宋体"/>
          <w:color w:val="auto"/>
        </w:rPr>
        <w:t>须知前附表规定递交履约保证金的，成交</w:t>
      </w:r>
      <w:r>
        <w:rPr>
          <w:rFonts w:hint="eastAsia" w:ascii="宋体" w:hAnsi="宋体" w:eastAsia="宋体" w:cs="宋体"/>
          <w:color w:val="auto"/>
          <w:lang w:eastAsia="zh-CN"/>
        </w:rPr>
        <w:t>询比响应人</w:t>
      </w:r>
      <w:r>
        <w:rPr>
          <w:rFonts w:hint="eastAsia" w:ascii="宋体" w:hAnsi="宋体" w:eastAsia="宋体" w:cs="宋体"/>
          <w:color w:val="auto"/>
        </w:rPr>
        <w:t>应按</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须知前附表规定的形式、有效期限和递交时间向</w:t>
      </w:r>
      <w:r>
        <w:rPr>
          <w:rFonts w:hint="eastAsia" w:ascii="宋体" w:hAnsi="宋体" w:eastAsia="宋体" w:cs="宋体"/>
          <w:color w:val="auto"/>
          <w:lang w:eastAsia="zh-CN"/>
        </w:rPr>
        <w:t>采购人</w:t>
      </w:r>
      <w:r>
        <w:rPr>
          <w:rFonts w:hint="eastAsia" w:ascii="宋体" w:hAnsi="宋体" w:eastAsia="宋体" w:cs="宋体"/>
          <w:color w:val="auto"/>
        </w:rPr>
        <w:t>递交履约保证金。除</w:t>
      </w:r>
      <w:r>
        <w:rPr>
          <w:rFonts w:hint="eastAsia" w:ascii="宋体" w:hAnsi="宋体" w:eastAsia="宋体" w:cs="宋体"/>
          <w:color w:val="auto"/>
          <w:lang w:eastAsia="zh-CN"/>
        </w:rPr>
        <w:t>询比响应人</w:t>
      </w:r>
      <w:r>
        <w:rPr>
          <w:rFonts w:hint="eastAsia" w:ascii="宋体" w:hAnsi="宋体" w:eastAsia="宋体" w:cs="宋体"/>
          <w:color w:val="auto"/>
        </w:rPr>
        <w:t>须知前附表另有规定外，履约保证金</w:t>
      </w:r>
      <w:r>
        <w:rPr>
          <w:rFonts w:hint="eastAsia" w:ascii="宋体" w:hAnsi="宋体" w:eastAsia="宋体" w:cs="宋体"/>
          <w:color w:val="auto"/>
          <w:lang w:eastAsia="zh-CN"/>
        </w:rPr>
        <w:t>合同约定</w:t>
      </w:r>
      <w:r>
        <w:rPr>
          <w:rFonts w:hint="eastAsia" w:ascii="宋体" w:hAnsi="宋体" w:eastAsia="宋体" w:cs="宋体"/>
          <w:color w:val="auto"/>
        </w:rPr>
        <w:t>。</w:t>
      </w:r>
    </w:p>
    <w:p w14:paraId="33F3F62D">
      <w:pPr>
        <w:pStyle w:val="5"/>
        <w:pageBreakBefore w:val="0"/>
        <w:kinsoku/>
        <w:overflowPunct/>
        <w:topLinePunct w:val="0"/>
        <w:bidi w:val="0"/>
        <w:snapToGrid/>
        <w:spacing w:line="360" w:lineRule="auto"/>
        <w:rPr>
          <w:rFonts w:hint="eastAsia" w:ascii="宋体" w:hAnsi="宋体" w:eastAsia="宋体" w:cs="宋体"/>
          <w:color w:val="auto"/>
        </w:rPr>
      </w:pPr>
      <w:bookmarkStart w:id="120" w:name="_Toc10906"/>
      <w:bookmarkStart w:id="121" w:name="_Toc17191"/>
      <w:r>
        <w:rPr>
          <w:rFonts w:hint="eastAsia" w:ascii="宋体" w:hAnsi="宋体" w:eastAsia="宋体" w:cs="宋体"/>
          <w:color w:val="auto"/>
        </w:rPr>
        <w:t>7.7签订合同</w:t>
      </w:r>
      <w:bookmarkEnd w:id="120"/>
      <w:bookmarkEnd w:id="121"/>
    </w:p>
    <w:p w14:paraId="4F48730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 xml:space="preserve">7.7.1 </w:t>
      </w:r>
      <w:r>
        <w:rPr>
          <w:rFonts w:hint="eastAsia" w:ascii="宋体" w:hAnsi="宋体" w:eastAsia="宋体" w:cs="宋体"/>
          <w:color w:val="auto"/>
          <w:spacing w:val="-6"/>
          <w:lang w:eastAsia="zh-CN"/>
        </w:rPr>
        <w:t>采购人</w:t>
      </w:r>
      <w:r>
        <w:rPr>
          <w:rFonts w:hint="eastAsia" w:ascii="宋体" w:hAnsi="宋体" w:eastAsia="宋体" w:cs="宋体"/>
          <w:color w:val="auto"/>
          <w:spacing w:val="-6"/>
        </w:rPr>
        <w:t>和成交</w:t>
      </w:r>
      <w:r>
        <w:rPr>
          <w:rFonts w:hint="eastAsia" w:ascii="宋体" w:hAnsi="宋体" w:eastAsia="宋体" w:cs="宋体"/>
          <w:color w:val="auto"/>
          <w:spacing w:val="-6"/>
          <w:lang w:eastAsia="zh-CN"/>
        </w:rPr>
        <w:t>询比响应人</w:t>
      </w:r>
      <w:r>
        <w:rPr>
          <w:rFonts w:hint="eastAsia" w:ascii="宋体" w:hAnsi="宋体" w:eastAsia="宋体" w:cs="宋体"/>
          <w:color w:val="auto"/>
          <w:spacing w:val="-6"/>
        </w:rPr>
        <w:t>应当在成交通知书规定的期限内，根据采购文件和成交</w:t>
      </w:r>
      <w:r>
        <w:rPr>
          <w:rFonts w:hint="eastAsia" w:ascii="宋体" w:hAnsi="宋体" w:eastAsia="宋体" w:cs="宋体"/>
          <w:color w:val="auto"/>
          <w:spacing w:val="-6"/>
          <w:lang w:eastAsia="zh-CN"/>
        </w:rPr>
        <w:t>询比响应人</w:t>
      </w:r>
      <w:r>
        <w:rPr>
          <w:rFonts w:hint="eastAsia" w:ascii="宋体" w:hAnsi="宋体" w:eastAsia="宋体" w:cs="宋体"/>
          <w:color w:val="auto"/>
          <w:spacing w:val="-6"/>
        </w:rPr>
        <w:t>的响应文件订立书面合同。成交</w:t>
      </w:r>
      <w:r>
        <w:rPr>
          <w:rFonts w:hint="eastAsia" w:ascii="宋体" w:hAnsi="宋体" w:eastAsia="宋体" w:cs="宋体"/>
          <w:color w:val="auto"/>
          <w:spacing w:val="-6"/>
          <w:lang w:eastAsia="zh-CN"/>
        </w:rPr>
        <w:t>询比响应人</w:t>
      </w:r>
      <w:r>
        <w:rPr>
          <w:rFonts w:hint="eastAsia" w:ascii="宋体" w:hAnsi="宋体" w:eastAsia="宋体" w:cs="宋体"/>
          <w:color w:val="auto"/>
          <w:spacing w:val="-6"/>
        </w:rPr>
        <w:t>无正当理由拒绝签订合同，在签订合同时向</w:t>
      </w:r>
      <w:r>
        <w:rPr>
          <w:rFonts w:hint="eastAsia" w:ascii="宋体" w:hAnsi="宋体" w:eastAsia="宋体" w:cs="宋体"/>
          <w:color w:val="auto"/>
          <w:spacing w:val="-6"/>
          <w:lang w:eastAsia="zh-CN"/>
        </w:rPr>
        <w:t>采购人</w:t>
      </w:r>
      <w:r>
        <w:rPr>
          <w:rFonts w:hint="eastAsia" w:ascii="宋体" w:hAnsi="宋体" w:eastAsia="宋体" w:cs="宋体"/>
          <w:color w:val="auto"/>
          <w:spacing w:val="-6"/>
        </w:rPr>
        <w:t>提出附加条件，或者不按照采购文件要求递交履约保证金的，</w:t>
      </w:r>
      <w:r>
        <w:rPr>
          <w:rFonts w:hint="eastAsia" w:ascii="宋体" w:hAnsi="宋体" w:eastAsia="宋体" w:cs="宋体"/>
          <w:color w:val="auto"/>
          <w:spacing w:val="-6"/>
          <w:lang w:eastAsia="zh-CN"/>
        </w:rPr>
        <w:t>采购人</w:t>
      </w:r>
      <w:r>
        <w:rPr>
          <w:rFonts w:hint="eastAsia" w:ascii="宋体" w:hAnsi="宋体" w:eastAsia="宋体" w:cs="宋体"/>
          <w:color w:val="auto"/>
          <w:spacing w:val="-6"/>
        </w:rPr>
        <w:t>取</w:t>
      </w:r>
      <w:r>
        <w:rPr>
          <w:rFonts w:hint="eastAsia" w:ascii="宋体" w:hAnsi="宋体" w:eastAsia="宋体" w:cs="宋体"/>
          <w:color w:val="auto"/>
          <w:spacing w:val="-11"/>
        </w:rPr>
        <w:t>消其成交资格，其响应保证金不予退还;给</w:t>
      </w:r>
      <w:r>
        <w:rPr>
          <w:rFonts w:hint="eastAsia" w:ascii="宋体" w:hAnsi="宋体" w:eastAsia="宋体" w:cs="宋体"/>
          <w:color w:val="auto"/>
          <w:spacing w:val="-11"/>
          <w:lang w:eastAsia="zh-CN"/>
        </w:rPr>
        <w:t>采购人</w:t>
      </w:r>
      <w:r>
        <w:rPr>
          <w:rFonts w:hint="eastAsia" w:ascii="宋体" w:hAnsi="宋体" w:eastAsia="宋体" w:cs="宋体"/>
          <w:color w:val="auto"/>
          <w:spacing w:val="-11"/>
        </w:rPr>
        <w:t>造成的损失超过响应保证金数额的，成</w:t>
      </w:r>
      <w:r>
        <w:rPr>
          <w:rFonts w:hint="eastAsia" w:ascii="宋体" w:hAnsi="宋体" w:eastAsia="宋体" w:cs="宋体"/>
          <w:color w:val="auto"/>
        </w:rPr>
        <w:t>交</w:t>
      </w:r>
      <w:r>
        <w:rPr>
          <w:rFonts w:hint="eastAsia" w:ascii="宋体" w:hAnsi="宋体" w:eastAsia="宋体" w:cs="宋体"/>
          <w:color w:val="auto"/>
          <w:lang w:eastAsia="zh-CN"/>
        </w:rPr>
        <w:t>询比响应人</w:t>
      </w:r>
      <w:r>
        <w:rPr>
          <w:rFonts w:hint="eastAsia" w:ascii="宋体" w:hAnsi="宋体" w:eastAsia="宋体" w:cs="宋体"/>
          <w:color w:val="auto"/>
        </w:rPr>
        <w:t>还应当对超过部分予以赔偿。</w:t>
      </w:r>
    </w:p>
    <w:p w14:paraId="6AD99200">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7.7.2 发出成交通知书后，</w:t>
      </w:r>
      <w:r>
        <w:rPr>
          <w:rFonts w:hint="eastAsia" w:ascii="宋体" w:hAnsi="宋体" w:eastAsia="宋体" w:cs="宋体"/>
          <w:color w:val="auto"/>
          <w:lang w:eastAsia="zh-CN"/>
        </w:rPr>
        <w:t>采购人</w:t>
      </w:r>
      <w:r>
        <w:rPr>
          <w:rFonts w:hint="eastAsia" w:ascii="宋体" w:hAnsi="宋体" w:eastAsia="宋体" w:cs="宋体"/>
          <w:color w:val="auto"/>
        </w:rPr>
        <w:t>无正当理由拒绝签订合同，或者在签订合同时向成交</w:t>
      </w:r>
      <w:r>
        <w:rPr>
          <w:rFonts w:hint="eastAsia" w:ascii="宋体" w:hAnsi="宋体" w:eastAsia="宋体" w:cs="宋体"/>
          <w:color w:val="auto"/>
          <w:lang w:eastAsia="zh-CN"/>
        </w:rPr>
        <w:t>询比响应人</w:t>
      </w:r>
      <w:r>
        <w:rPr>
          <w:rFonts w:hint="eastAsia" w:ascii="宋体" w:hAnsi="宋体" w:eastAsia="宋体" w:cs="宋体"/>
          <w:color w:val="auto"/>
        </w:rPr>
        <w:t>提出附加条件的，</w:t>
      </w:r>
      <w:r>
        <w:rPr>
          <w:rFonts w:hint="eastAsia" w:ascii="宋体" w:hAnsi="宋体" w:eastAsia="宋体" w:cs="宋体"/>
          <w:color w:val="auto"/>
          <w:lang w:eastAsia="zh-CN"/>
        </w:rPr>
        <w:t>采购人</w:t>
      </w:r>
      <w:r>
        <w:rPr>
          <w:rFonts w:hint="eastAsia" w:ascii="宋体" w:hAnsi="宋体" w:eastAsia="宋体" w:cs="宋体"/>
          <w:color w:val="auto"/>
        </w:rPr>
        <w:t>向成交</w:t>
      </w:r>
      <w:r>
        <w:rPr>
          <w:rFonts w:hint="eastAsia" w:ascii="宋体" w:hAnsi="宋体" w:eastAsia="宋体" w:cs="宋体"/>
          <w:color w:val="auto"/>
          <w:lang w:eastAsia="zh-CN"/>
        </w:rPr>
        <w:t>询比响应人</w:t>
      </w:r>
      <w:r>
        <w:rPr>
          <w:rFonts w:hint="eastAsia" w:ascii="宋体" w:hAnsi="宋体" w:eastAsia="宋体" w:cs="宋体"/>
          <w:color w:val="auto"/>
        </w:rPr>
        <w:t>退还响应保证金;给成交</w:t>
      </w:r>
      <w:r>
        <w:rPr>
          <w:rFonts w:hint="eastAsia" w:ascii="宋体" w:hAnsi="宋体" w:eastAsia="宋体" w:cs="宋体"/>
          <w:color w:val="auto"/>
          <w:lang w:eastAsia="zh-CN"/>
        </w:rPr>
        <w:t>询比响应人</w:t>
      </w:r>
      <w:r>
        <w:rPr>
          <w:rFonts w:hint="eastAsia" w:ascii="宋体" w:hAnsi="宋体" w:eastAsia="宋体" w:cs="宋体"/>
          <w:color w:val="auto"/>
        </w:rPr>
        <w:t>造成损失的，还应当赔偿损失。</w:t>
      </w:r>
    </w:p>
    <w:p w14:paraId="69A2E1B4">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7.7.3 联合体成交的，联合体各方应当共同与</w:t>
      </w:r>
      <w:r>
        <w:rPr>
          <w:rFonts w:hint="eastAsia" w:ascii="宋体" w:hAnsi="宋体" w:eastAsia="宋体" w:cs="宋体"/>
          <w:color w:val="auto"/>
          <w:lang w:eastAsia="zh-CN"/>
        </w:rPr>
        <w:t>采购人</w:t>
      </w:r>
      <w:r>
        <w:rPr>
          <w:rFonts w:hint="eastAsia" w:ascii="宋体" w:hAnsi="宋体" w:eastAsia="宋体" w:cs="宋体"/>
          <w:color w:val="auto"/>
        </w:rPr>
        <w:t>签订合同，就成交项目向</w:t>
      </w:r>
      <w:r>
        <w:rPr>
          <w:rFonts w:hint="eastAsia" w:ascii="宋体" w:hAnsi="宋体" w:eastAsia="宋体" w:cs="宋体"/>
          <w:color w:val="auto"/>
          <w:lang w:eastAsia="zh-CN"/>
        </w:rPr>
        <w:t>采购人</w:t>
      </w:r>
      <w:r>
        <w:rPr>
          <w:rFonts w:hint="eastAsia" w:ascii="宋体" w:hAnsi="宋体" w:eastAsia="宋体" w:cs="宋体"/>
          <w:color w:val="auto"/>
        </w:rPr>
        <w:t>承担连带责任。</w:t>
      </w:r>
    </w:p>
    <w:p w14:paraId="051CAE17">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7.7.4 除</w:t>
      </w:r>
      <w:r>
        <w:rPr>
          <w:rFonts w:hint="eastAsia" w:ascii="宋体" w:hAnsi="宋体" w:eastAsia="宋体" w:cs="宋体"/>
          <w:color w:val="auto"/>
          <w:lang w:eastAsia="zh-CN"/>
        </w:rPr>
        <w:t>询比响应人</w:t>
      </w:r>
      <w:r>
        <w:rPr>
          <w:rFonts w:hint="eastAsia" w:ascii="宋体" w:hAnsi="宋体" w:eastAsia="宋体" w:cs="宋体"/>
          <w:color w:val="auto"/>
        </w:rPr>
        <w:t>须知前附表另有规定外，按照第三章"评审办法"第2.2.3项规定对最终报价进行修正后，若修正后的最终报价小于按照第三章"评审办法"第2.2.2项规定确定的评审价格，则签订合同时以修正后的最终报价为准;若修正后的响应报价大于评审价格，则签订合同时以评审价格为准，同时按比例修正相应子目的单价或合价（采购文件不允许调整的费率和金额除外）。</w:t>
      </w:r>
    </w:p>
    <w:p w14:paraId="3DDF82E4">
      <w:pPr>
        <w:pStyle w:val="5"/>
        <w:pageBreakBefore w:val="0"/>
        <w:kinsoku/>
        <w:overflowPunct/>
        <w:topLinePunct w:val="0"/>
        <w:bidi w:val="0"/>
        <w:snapToGrid/>
        <w:spacing w:line="360" w:lineRule="auto"/>
        <w:rPr>
          <w:rFonts w:hint="eastAsia" w:ascii="宋体" w:hAnsi="宋体" w:eastAsia="宋体" w:cs="宋体"/>
          <w:color w:val="auto"/>
        </w:rPr>
      </w:pPr>
      <w:bookmarkStart w:id="122" w:name="_Toc11905"/>
      <w:bookmarkStart w:id="123" w:name="_Toc10279"/>
      <w:r>
        <w:rPr>
          <w:rFonts w:hint="eastAsia" w:ascii="宋体" w:hAnsi="宋体" w:eastAsia="宋体" w:cs="宋体"/>
          <w:color w:val="auto"/>
        </w:rPr>
        <w:t>7.8特殊情形处理</w:t>
      </w:r>
      <w:bookmarkEnd w:id="122"/>
      <w:bookmarkEnd w:id="123"/>
    </w:p>
    <w:p w14:paraId="4A37BD2C">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因</w:t>
      </w:r>
      <w:r>
        <w:rPr>
          <w:rFonts w:hint="eastAsia" w:ascii="宋体" w:hAnsi="宋体" w:eastAsia="宋体" w:cs="宋体"/>
          <w:color w:val="auto"/>
          <w:lang w:eastAsia="zh-CN"/>
        </w:rPr>
        <w:t>询比响应人</w:t>
      </w:r>
      <w:r>
        <w:rPr>
          <w:rFonts w:hint="eastAsia" w:ascii="宋体" w:hAnsi="宋体" w:eastAsia="宋体" w:cs="宋体"/>
          <w:color w:val="auto"/>
        </w:rPr>
        <w:t>对预成交结果提出异议、成交</w:t>
      </w:r>
      <w:r>
        <w:rPr>
          <w:rFonts w:hint="eastAsia" w:ascii="宋体" w:hAnsi="宋体" w:eastAsia="宋体" w:cs="宋体"/>
          <w:color w:val="auto"/>
          <w:lang w:eastAsia="zh-CN"/>
        </w:rPr>
        <w:t>询比响应人</w:t>
      </w:r>
      <w:r>
        <w:rPr>
          <w:rFonts w:hint="eastAsia" w:ascii="宋体" w:hAnsi="宋体" w:eastAsia="宋体" w:cs="宋体"/>
          <w:color w:val="auto"/>
        </w:rPr>
        <w:t>无正当理由拒绝签订合同、成交</w:t>
      </w:r>
      <w:r>
        <w:rPr>
          <w:rFonts w:hint="eastAsia" w:ascii="宋体" w:hAnsi="宋体" w:eastAsia="宋体" w:cs="宋体"/>
          <w:color w:val="auto"/>
          <w:lang w:eastAsia="zh-CN"/>
        </w:rPr>
        <w:t>询比响应人</w:t>
      </w:r>
      <w:r>
        <w:rPr>
          <w:rFonts w:hint="eastAsia" w:ascii="宋体" w:hAnsi="宋体" w:eastAsia="宋体" w:cs="宋体"/>
          <w:color w:val="auto"/>
        </w:rPr>
        <w:t>在签订合同时向</w:t>
      </w:r>
      <w:r>
        <w:rPr>
          <w:rFonts w:hint="eastAsia" w:ascii="宋体" w:hAnsi="宋体" w:eastAsia="宋体" w:cs="宋体"/>
          <w:color w:val="auto"/>
          <w:lang w:eastAsia="zh-CN"/>
        </w:rPr>
        <w:t>采购人</w:t>
      </w:r>
      <w:r>
        <w:rPr>
          <w:rFonts w:hint="eastAsia" w:ascii="宋体" w:hAnsi="宋体" w:eastAsia="宋体" w:cs="宋体"/>
          <w:color w:val="auto"/>
        </w:rPr>
        <w:t>提出附加条件或者不按照采购文件要求递交履约保证金等导致</w:t>
      </w:r>
      <w:r>
        <w:rPr>
          <w:rFonts w:hint="eastAsia" w:ascii="宋体" w:hAnsi="宋体" w:eastAsia="宋体" w:cs="宋体"/>
          <w:color w:val="auto"/>
          <w:lang w:eastAsia="zh-CN"/>
        </w:rPr>
        <w:t>采购人</w:t>
      </w:r>
      <w:r>
        <w:rPr>
          <w:rFonts w:hint="eastAsia" w:ascii="宋体" w:hAnsi="宋体" w:eastAsia="宋体" w:cs="宋体"/>
          <w:color w:val="auto"/>
        </w:rPr>
        <w:t>变更成交结果的，</w:t>
      </w:r>
      <w:r>
        <w:rPr>
          <w:rFonts w:hint="eastAsia" w:ascii="宋体" w:hAnsi="宋体" w:eastAsia="宋体" w:cs="宋体"/>
          <w:color w:val="auto"/>
          <w:lang w:eastAsia="zh-CN"/>
        </w:rPr>
        <w:t>采购人</w:t>
      </w:r>
      <w:r>
        <w:rPr>
          <w:rFonts w:hint="eastAsia" w:ascii="宋体" w:hAnsi="宋体" w:eastAsia="宋体" w:cs="宋体"/>
          <w:color w:val="auto"/>
        </w:rPr>
        <w:t>应按照本条规定的程序重新选择确定预成交</w:t>
      </w:r>
      <w:r>
        <w:rPr>
          <w:rFonts w:hint="eastAsia" w:ascii="宋体" w:hAnsi="宋体" w:eastAsia="宋体" w:cs="宋体"/>
          <w:color w:val="auto"/>
          <w:lang w:eastAsia="zh-CN"/>
        </w:rPr>
        <w:t>询比响应人</w:t>
      </w:r>
      <w:r>
        <w:rPr>
          <w:rFonts w:hint="eastAsia" w:ascii="宋体" w:hAnsi="宋体" w:eastAsia="宋体" w:cs="宋体"/>
          <w:color w:val="auto"/>
        </w:rPr>
        <w:t>、进行公示并公告。</w:t>
      </w:r>
    </w:p>
    <w:p w14:paraId="03FBA1CD">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24" w:name="_Toc29601"/>
      <w:bookmarkStart w:id="125" w:name="_Toc2906"/>
      <w:r>
        <w:rPr>
          <w:rFonts w:hint="eastAsia" w:ascii="宋体" w:hAnsi="宋体" w:eastAsia="宋体" w:cs="宋体"/>
          <w:color w:val="auto"/>
        </w:rPr>
        <w:t>8异议</w:t>
      </w:r>
      <w:bookmarkEnd w:id="124"/>
      <w:bookmarkEnd w:id="125"/>
    </w:p>
    <w:p w14:paraId="0F0DD823">
      <w:pPr>
        <w:pStyle w:val="5"/>
        <w:pageBreakBefore w:val="0"/>
        <w:kinsoku/>
        <w:overflowPunct/>
        <w:topLinePunct w:val="0"/>
        <w:bidi w:val="0"/>
        <w:snapToGrid/>
        <w:spacing w:line="360" w:lineRule="auto"/>
        <w:rPr>
          <w:rFonts w:hint="eastAsia" w:ascii="宋体" w:hAnsi="宋体" w:eastAsia="宋体" w:cs="宋体"/>
          <w:color w:val="auto"/>
        </w:rPr>
      </w:pPr>
      <w:bookmarkStart w:id="126" w:name="_Toc22761"/>
      <w:bookmarkStart w:id="127" w:name="_Toc17890"/>
      <w:r>
        <w:rPr>
          <w:rFonts w:hint="eastAsia" w:ascii="宋体" w:hAnsi="宋体" w:eastAsia="宋体" w:cs="宋体"/>
          <w:color w:val="auto"/>
        </w:rPr>
        <w:t>8.1提出异议</w:t>
      </w:r>
      <w:bookmarkEnd w:id="126"/>
      <w:bookmarkEnd w:id="127"/>
    </w:p>
    <w:p w14:paraId="631F379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询比响应人</w:t>
      </w:r>
      <w:r>
        <w:rPr>
          <w:rFonts w:hint="eastAsia" w:ascii="宋体" w:hAnsi="宋体" w:eastAsia="宋体" w:cs="宋体"/>
          <w:color w:val="auto"/>
        </w:rPr>
        <w:t>或者其他利害关系人可以对预成交结果提出异议。异议应在预成交结果公示期间通过</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须知前附表规定的异议渠道提出，并递交异议函和必要的证明材料。异议函包括但不限于下列内容∶</w:t>
      </w:r>
    </w:p>
    <w:p w14:paraId="696DD5D8">
      <w:pPr>
        <w:pStyle w:val="19"/>
        <w:pageBreakBefore w:val="0"/>
        <w:widowControl/>
        <w:numPr>
          <w:ilvl w:val="0"/>
          <w:numId w:val="7"/>
        </w:numPr>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异议人名称、地址、邮政编码、联系人及联系电话;</w:t>
      </w:r>
    </w:p>
    <w:p w14:paraId="65FB91F8">
      <w:pPr>
        <w:pStyle w:val="19"/>
        <w:pageBreakBefore w:val="0"/>
        <w:widowControl/>
        <w:kinsoku/>
        <w:overflowPunct/>
        <w:topLinePunct w:val="0"/>
        <w:bidi w:val="0"/>
        <w:snapToGrid/>
        <w:spacing w:beforeAutospacing="0" w:afterAutospacing="0" w:line="360" w:lineRule="auto"/>
        <w:ind w:left="420" w:leftChars="200"/>
        <w:rPr>
          <w:rFonts w:hint="eastAsia" w:ascii="宋体" w:hAnsi="宋体" w:eastAsia="宋体" w:cs="宋体"/>
          <w:color w:val="auto"/>
        </w:rPr>
      </w:pPr>
      <w:r>
        <w:rPr>
          <w:rFonts w:hint="eastAsia" w:ascii="宋体" w:hAnsi="宋体" w:eastAsia="宋体" w:cs="宋体"/>
          <w:color w:val="auto"/>
        </w:rPr>
        <w:t>（2）具体、明确的异议事项、事实依据及与异议事项相关的请求。</w:t>
      </w:r>
    </w:p>
    <w:p w14:paraId="4525A1F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异议函应由异议人的法定代表人（单位负责人）或其授权的代理人签字并加盖单位章。</w:t>
      </w:r>
    </w:p>
    <w:p w14:paraId="5E3C3629">
      <w:pPr>
        <w:pStyle w:val="5"/>
        <w:pageBreakBefore w:val="0"/>
        <w:kinsoku/>
        <w:overflowPunct/>
        <w:topLinePunct w:val="0"/>
        <w:bidi w:val="0"/>
        <w:snapToGrid/>
        <w:spacing w:line="360" w:lineRule="auto"/>
        <w:rPr>
          <w:rFonts w:hint="eastAsia" w:ascii="宋体" w:hAnsi="宋体" w:eastAsia="宋体" w:cs="宋体"/>
          <w:color w:val="auto"/>
        </w:rPr>
      </w:pPr>
      <w:bookmarkStart w:id="128" w:name="_Toc27780"/>
      <w:bookmarkStart w:id="129" w:name="_Toc17110"/>
      <w:r>
        <w:rPr>
          <w:rFonts w:hint="eastAsia" w:ascii="宋体" w:hAnsi="宋体" w:eastAsia="宋体" w:cs="宋体"/>
          <w:color w:val="auto"/>
        </w:rPr>
        <w:t>8.2异议处理</w:t>
      </w:r>
      <w:bookmarkEnd w:id="128"/>
      <w:bookmarkEnd w:id="129"/>
    </w:p>
    <w:p w14:paraId="0056EF8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将针对异议事项进行核查，经过核查，发现异议人对相关问题理解有误的，应作出解释;发现采购活动中确实存在错误或不当行为的，应及时予以改正或补救。</w:t>
      </w:r>
    </w:p>
    <w:p w14:paraId="099D02A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异议人与</w:t>
      </w:r>
      <w:r>
        <w:rPr>
          <w:rFonts w:hint="eastAsia" w:ascii="宋体" w:hAnsi="宋体" w:eastAsia="宋体" w:cs="宋体"/>
          <w:color w:val="auto"/>
          <w:lang w:eastAsia="zh-CN"/>
        </w:rPr>
        <w:t>采购人</w:t>
      </w:r>
      <w:r>
        <w:rPr>
          <w:rFonts w:hint="eastAsia" w:ascii="宋体" w:hAnsi="宋体" w:eastAsia="宋体" w:cs="宋体"/>
          <w:color w:val="auto"/>
        </w:rPr>
        <w:t>对异议事项无法达成一致的，异议人可向</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须知前附表规定的行业组织或专业咨询机构申请调解或进行反映。</w:t>
      </w:r>
    </w:p>
    <w:p w14:paraId="6BF5F236">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认为异议不成立或不影响采购结果的，可以继续进行采购活动。</w:t>
      </w:r>
    </w:p>
    <w:p w14:paraId="03B6D085">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30" w:name="_Toc31622"/>
      <w:bookmarkStart w:id="131" w:name="_Toc778"/>
      <w:r>
        <w:rPr>
          <w:rFonts w:hint="eastAsia" w:ascii="宋体" w:hAnsi="宋体" w:eastAsia="宋体" w:cs="宋体"/>
          <w:color w:val="auto"/>
        </w:rPr>
        <w:t>9纪律要求</w:t>
      </w:r>
      <w:bookmarkEnd w:id="130"/>
      <w:bookmarkEnd w:id="131"/>
    </w:p>
    <w:p w14:paraId="65156BE0">
      <w:pPr>
        <w:pStyle w:val="5"/>
        <w:pageBreakBefore w:val="0"/>
        <w:kinsoku/>
        <w:overflowPunct/>
        <w:topLinePunct w:val="0"/>
        <w:bidi w:val="0"/>
        <w:snapToGrid/>
        <w:spacing w:line="360" w:lineRule="auto"/>
        <w:rPr>
          <w:rFonts w:hint="eastAsia" w:ascii="宋体" w:hAnsi="宋体" w:eastAsia="宋体" w:cs="宋体"/>
          <w:color w:val="auto"/>
        </w:rPr>
      </w:pPr>
      <w:bookmarkStart w:id="132" w:name="_Toc14438"/>
      <w:bookmarkStart w:id="133" w:name="_Toc25406"/>
      <w:r>
        <w:rPr>
          <w:rFonts w:hint="eastAsia" w:ascii="宋体" w:hAnsi="宋体" w:eastAsia="宋体" w:cs="宋体"/>
          <w:color w:val="auto"/>
        </w:rPr>
        <w:t>9.1对</w:t>
      </w:r>
      <w:r>
        <w:rPr>
          <w:rFonts w:hint="eastAsia" w:ascii="宋体" w:hAnsi="宋体" w:eastAsia="宋体" w:cs="宋体"/>
          <w:color w:val="auto"/>
          <w:lang w:eastAsia="zh-CN"/>
        </w:rPr>
        <w:t>采购人</w:t>
      </w:r>
      <w:r>
        <w:rPr>
          <w:rFonts w:hint="eastAsia" w:ascii="宋体" w:hAnsi="宋体" w:eastAsia="宋体" w:cs="宋体"/>
          <w:color w:val="auto"/>
        </w:rPr>
        <w:t>的纪律要求</w:t>
      </w:r>
      <w:bookmarkEnd w:id="132"/>
      <w:bookmarkEnd w:id="133"/>
    </w:p>
    <w:p w14:paraId="6A6A6DB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不得泄露询比采购活动中应当保密的情况和资料，不得与</w:t>
      </w:r>
      <w:r>
        <w:rPr>
          <w:rFonts w:hint="eastAsia" w:ascii="宋体" w:hAnsi="宋体" w:eastAsia="宋体" w:cs="宋体"/>
          <w:color w:val="auto"/>
          <w:lang w:eastAsia="zh-CN"/>
        </w:rPr>
        <w:t>询比响应人</w:t>
      </w:r>
      <w:r>
        <w:rPr>
          <w:rFonts w:hint="eastAsia" w:ascii="宋体" w:hAnsi="宋体" w:eastAsia="宋体" w:cs="宋体"/>
          <w:color w:val="auto"/>
        </w:rPr>
        <w:t>串通损害国家利益、社会公共利益或者他人合法权益。</w:t>
      </w:r>
    </w:p>
    <w:p w14:paraId="5DBFCC80">
      <w:pPr>
        <w:pStyle w:val="5"/>
        <w:pageBreakBefore w:val="0"/>
        <w:kinsoku/>
        <w:overflowPunct/>
        <w:topLinePunct w:val="0"/>
        <w:bidi w:val="0"/>
        <w:snapToGrid/>
        <w:spacing w:line="360" w:lineRule="auto"/>
        <w:rPr>
          <w:rFonts w:hint="eastAsia" w:ascii="宋体" w:hAnsi="宋体" w:eastAsia="宋体" w:cs="宋体"/>
          <w:color w:val="auto"/>
        </w:rPr>
      </w:pPr>
      <w:bookmarkStart w:id="134" w:name="_Toc9915"/>
      <w:bookmarkStart w:id="135" w:name="_Toc21871"/>
      <w:r>
        <w:rPr>
          <w:rFonts w:hint="eastAsia" w:ascii="宋体" w:hAnsi="宋体" w:eastAsia="宋体" w:cs="宋体"/>
          <w:color w:val="auto"/>
        </w:rPr>
        <w:t>9.2对</w:t>
      </w:r>
      <w:r>
        <w:rPr>
          <w:rFonts w:hint="eastAsia" w:ascii="宋体" w:hAnsi="宋体" w:eastAsia="宋体" w:cs="宋体"/>
          <w:color w:val="auto"/>
          <w:lang w:eastAsia="zh-CN"/>
        </w:rPr>
        <w:t>询比响应人</w:t>
      </w:r>
      <w:r>
        <w:rPr>
          <w:rFonts w:hint="eastAsia" w:ascii="宋体" w:hAnsi="宋体" w:eastAsia="宋体" w:cs="宋体"/>
          <w:color w:val="auto"/>
        </w:rPr>
        <w:t>的纪律要求</w:t>
      </w:r>
      <w:bookmarkEnd w:id="134"/>
      <w:bookmarkEnd w:id="135"/>
    </w:p>
    <w:p w14:paraId="57293DC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不得泄露询比采购活动中应当保密的情况和资料，不得与</w:t>
      </w:r>
      <w:r>
        <w:rPr>
          <w:rFonts w:hint="eastAsia" w:ascii="宋体" w:hAnsi="宋体" w:eastAsia="宋体" w:cs="宋体"/>
          <w:color w:val="auto"/>
          <w:lang w:eastAsia="zh-CN"/>
        </w:rPr>
        <w:t>询比响应人</w:t>
      </w:r>
      <w:r>
        <w:rPr>
          <w:rFonts w:hint="eastAsia" w:ascii="宋体" w:hAnsi="宋体" w:eastAsia="宋体" w:cs="宋体"/>
          <w:color w:val="auto"/>
        </w:rPr>
        <w:t>串通损害国家利益、社会公共利益或者他人合法权益。</w:t>
      </w:r>
    </w:p>
    <w:p w14:paraId="0C73E4D8">
      <w:pPr>
        <w:pStyle w:val="5"/>
        <w:pageBreakBefore w:val="0"/>
        <w:kinsoku/>
        <w:overflowPunct/>
        <w:topLinePunct w:val="0"/>
        <w:bidi w:val="0"/>
        <w:snapToGrid/>
        <w:spacing w:line="360" w:lineRule="auto"/>
        <w:rPr>
          <w:rFonts w:hint="eastAsia" w:ascii="宋体" w:hAnsi="宋体" w:eastAsia="宋体" w:cs="宋体"/>
          <w:color w:val="auto"/>
        </w:rPr>
      </w:pPr>
      <w:bookmarkStart w:id="136" w:name="_Toc1261"/>
      <w:bookmarkStart w:id="137" w:name="_Toc9922"/>
      <w:r>
        <w:rPr>
          <w:rFonts w:hint="eastAsia" w:ascii="宋体" w:hAnsi="宋体" w:eastAsia="宋体" w:cs="宋体"/>
          <w:color w:val="auto"/>
        </w:rPr>
        <w:t>9.3对评审小组成员的纪律要求</w:t>
      </w:r>
      <w:bookmarkEnd w:id="136"/>
      <w:bookmarkEnd w:id="137"/>
    </w:p>
    <w:p w14:paraId="355C166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评审小组成员不得收受他人的财物或者其他好处，不得向他人透露对响应文件的评审和比较、候选成交</w:t>
      </w:r>
      <w:r>
        <w:rPr>
          <w:rFonts w:hint="eastAsia" w:ascii="宋体" w:hAnsi="宋体" w:eastAsia="宋体" w:cs="宋体"/>
          <w:color w:val="auto"/>
          <w:lang w:eastAsia="zh-CN"/>
        </w:rPr>
        <w:t>询比响应人</w:t>
      </w:r>
      <w:r>
        <w:rPr>
          <w:rFonts w:hint="eastAsia" w:ascii="宋体" w:hAnsi="宋体" w:eastAsia="宋体" w:cs="宋体"/>
          <w:color w:val="auto"/>
        </w:rPr>
        <w:t>的推荐情况以及评审有关的其他情况。在评审活动中，评审小组成员应当客观、公正地履行职责，遵守职业道德，不得擅离职守、影响评审工作正常进行，不得使用第三章"评审办法"没有规定的评审因素和标准进行评审。</w:t>
      </w:r>
    </w:p>
    <w:p w14:paraId="63BF4B90">
      <w:pPr>
        <w:pStyle w:val="5"/>
        <w:pageBreakBefore w:val="0"/>
        <w:kinsoku/>
        <w:overflowPunct/>
        <w:topLinePunct w:val="0"/>
        <w:bidi w:val="0"/>
        <w:snapToGrid/>
        <w:spacing w:line="360" w:lineRule="auto"/>
        <w:rPr>
          <w:rFonts w:hint="eastAsia" w:ascii="宋体" w:hAnsi="宋体" w:eastAsia="宋体" w:cs="宋体"/>
          <w:color w:val="auto"/>
        </w:rPr>
      </w:pPr>
      <w:bookmarkStart w:id="138" w:name="_Toc3907"/>
      <w:bookmarkStart w:id="139" w:name="_Toc12660"/>
      <w:r>
        <w:rPr>
          <w:rFonts w:hint="eastAsia" w:ascii="宋体" w:hAnsi="宋体" w:eastAsia="宋体" w:cs="宋体"/>
          <w:color w:val="auto"/>
        </w:rPr>
        <w:t>9.4对与询比活动有关的工作人员的纪律要求</w:t>
      </w:r>
      <w:bookmarkEnd w:id="138"/>
      <w:bookmarkEnd w:id="139"/>
    </w:p>
    <w:p w14:paraId="55228FE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与询比活动有关的工作人员不得收受他人的财物或者其他好处，不得向他人透露对响应文件的评审和比较、候选成交</w:t>
      </w:r>
      <w:r>
        <w:rPr>
          <w:rFonts w:hint="eastAsia" w:ascii="宋体" w:hAnsi="宋体" w:eastAsia="宋体" w:cs="宋体"/>
          <w:color w:val="auto"/>
          <w:lang w:eastAsia="zh-CN"/>
        </w:rPr>
        <w:t>询比响应人</w:t>
      </w:r>
      <w:r>
        <w:rPr>
          <w:rFonts w:hint="eastAsia" w:ascii="宋体" w:hAnsi="宋体" w:eastAsia="宋体" w:cs="宋体"/>
          <w:color w:val="auto"/>
        </w:rPr>
        <w:t>的推荐情况以及询比有关的其他情况。在询比活动中，与询比活动有关的工作人员不得擅离职守，影响评审工作正常进行。</w:t>
      </w:r>
    </w:p>
    <w:p w14:paraId="7A1A94E3">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40" w:name="_Toc20089"/>
      <w:bookmarkStart w:id="141" w:name="_Toc4588"/>
      <w:r>
        <w:rPr>
          <w:rFonts w:hint="eastAsia" w:ascii="宋体" w:hAnsi="宋体" w:eastAsia="宋体" w:cs="宋体"/>
          <w:color w:val="auto"/>
        </w:rPr>
        <w:t>10需要补充的其他内容</w:t>
      </w:r>
      <w:bookmarkEnd w:id="140"/>
      <w:bookmarkEnd w:id="141"/>
    </w:p>
    <w:p w14:paraId="41944B3B">
      <w:pPr>
        <w:pStyle w:val="5"/>
        <w:pageBreakBefore w:val="0"/>
        <w:kinsoku/>
        <w:overflowPunct/>
        <w:topLinePunct w:val="0"/>
        <w:bidi w:val="0"/>
        <w:snapToGrid/>
        <w:spacing w:line="360" w:lineRule="auto"/>
        <w:rPr>
          <w:rFonts w:hint="eastAsia" w:ascii="宋体" w:hAnsi="宋体" w:eastAsia="宋体" w:cs="宋体"/>
          <w:color w:val="auto"/>
          <w:lang w:eastAsia="zh-CN"/>
        </w:rPr>
      </w:pPr>
      <w:bookmarkStart w:id="142" w:name="_Toc26576"/>
      <w:bookmarkStart w:id="143" w:name="_Toc864"/>
      <w:r>
        <w:rPr>
          <w:rFonts w:hint="eastAsia" w:ascii="宋体" w:hAnsi="宋体" w:eastAsia="宋体" w:cs="宋体"/>
          <w:color w:val="auto"/>
        </w:rPr>
        <w:t>10.1采购代理服务费</w:t>
      </w:r>
      <w:bookmarkEnd w:id="142"/>
      <w:bookmarkEnd w:id="143"/>
      <w:r>
        <w:rPr>
          <w:rFonts w:hint="eastAsia" w:ascii="宋体" w:hAnsi="宋体" w:eastAsia="宋体" w:cs="宋体"/>
          <w:color w:val="auto"/>
          <w:lang w:eastAsia="zh-CN"/>
        </w:rPr>
        <w:t>（本项目不适用本条）</w:t>
      </w:r>
    </w:p>
    <w:p w14:paraId="483D3C3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lang w:eastAsia="zh-CN"/>
        </w:rPr>
        <w:t>询比响应人</w:t>
      </w:r>
      <w:r>
        <w:rPr>
          <w:rFonts w:hint="eastAsia" w:ascii="宋体" w:hAnsi="宋体" w:eastAsia="宋体" w:cs="宋体"/>
          <w:color w:val="auto"/>
        </w:rPr>
        <w:t>须知前附表规定由</w:t>
      </w:r>
      <w:r>
        <w:rPr>
          <w:rFonts w:hint="eastAsia" w:ascii="宋体" w:hAnsi="宋体" w:eastAsia="宋体" w:cs="宋体"/>
          <w:color w:val="auto"/>
          <w:lang w:eastAsia="zh-CN"/>
        </w:rPr>
        <w:t>询比响应人</w:t>
      </w:r>
      <w:r>
        <w:rPr>
          <w:rFonts w:hint="eastAsia" w:ascii="宋体" w:hAnsi="宋体" w:eastAsia="宋体" w:cs="宋体"/>
          <w:color w:val="auto"/>
        </w:rPr>
        <w:t>承担采购代理服务费的，</w:t>
      </w:r>
      <w:r>
        <w:rPr>
          <w:rFonts w:hint="eastAsia" w:ascii="宋体" w:hAnsi="宋体" w:eastAsia="宋体" w:cs="宋体"/>
          <w:color w:val="auto"/>
          <w:lang w:eastAsia="zh-CN"/>
        </w:rPr>
        <w:t>询比响应人</w:t>
      </w:r>
      <w:r>
        <w:rPr>
          <w:rFonts w:hint="eastAsia" w:ascii="宋体" w:hAnsi="宋体" w:eastAsia="宋体" w:cs="宋体"/>
          <w:color w:val="auto"/>
        </w:rPr>
        <w:t>应按照</w:t>
      </w:r>
      <w:r>
        <w:rPr>
          <w:rFonts w:hint="eastAsia" w:ascii="宋体" w:hAnsi="宋体" w:eastAsia="宋体" w:cs="宋体"/>
          <w:color w:val="auto"/>
          <w:lang w:eastAsia="zh-CN"/>
        </w:rPr>
        <w:t>询比响应人</w:t>
      </w:r>
      <w:r>
        <w:rPr>
          <w:rFonts w:hint="eastAsia" w:ascii="宋体" w:hAnsi="宋体" w:eastAsia="宋体" w:cs="宋体"/>
          <w:color w:val="auto"/>
        </w:rPr>
        <w:t>须知前附表规定的费用标准或金额、交费时间和方式向</w:t>
      </w:r>
      <w:r>
        <w:rPr>
          <w:rFonts w:hint="eastAsia" w:ascii="宋体" w:hAnsi="宋体" w:eastAsia="宋体" w:cs="宋体"/>
          <w:color w:val="auto"/>
          <w:lang w:eastAsia="zh-CN"/>
        </w:rPr>
        <w:t>采购代理机构</w:t>
      </w:r>
      <w:r>
        <w:rPr>
          <w:rFonts w:hint="eastAsia" w:ascii="宋体" w:hAnsi="宋体" w:eastAsia="宋体" w:cs="宋体"/>
          <w:color w:val="auto"/>
        </w:rPr>
        <w:t>支付代理服务费。</w:t>
      </w:r>
    </w:p>
    <w:p w14:paraId="5323DA02">
      <w:pPr>
        <w:pStyle w:val="5"/>
        <w:pageBreakBefore w:val="0"/>
        <w:kinsoku/>
        <w:overflowPunct/>
        <w:topLinePunct w:val="0"/>
        <w:bidi w:val="0"/>
        <w:snapToGrid/>
        <w:spacing w:line="360" w:lineRule="auto"/>
        <w:rPr>
          <w:rFonts w:hint="eastAsia" w:ascii="宋体" w:hAnsi="宋体" w:eastAsia="宋体" w:cs="宋体"/>
          <w:color w:val="auto"/>
        </w:rPr>
      </w:pPr>
      <w:bookmarkStart w:id="144" w:name="_Toc32361"/>
      <w:bookmarkStart w:id="145" w:name="_Toc518"/>
      <w:r>
        <w:rPr>
          <w:rFonts w:hint="eastAsia" w:ascii="宋体" w:hAnsi="宋体" w:eastAsia="宋体" w:cs="宋体"/>
          <w:color w:val="auto"/>
        </w:rPr>
        <w:t>10.2其他</w:t>
      </w:r>
      <w:bookmarkEnd w:id="144"/>
      <w:bookmarkEnd w:id="145"/>
    </w:p>
    <w:p w14:paraId="0921164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需要补充的其他内容∶见</w:t>
      </w:r>
      <w:r>
        <w:rPr>
          <w:rFonts w:hint="eastAsia" w:ascii="宋体" w:hAnsi="宋体" w:eastAsia="宋体" w:cs="宋体"/>
          <w:color w:val="auto"/>
          <w:lang w:eastAsia="zh-CN"/>
        </w:rPr>
        <w:t>询比响应人</w:t>
      </w:r>
      <w:r>
        <w:rPr>
          <w:rFonts w:hint="eastAsia" w:ascii="宋体" w:hAnsi="宋体" w:eastAsia="宋体" w:cs="宋体"/>
          <w:color w:val="auto"/>
        </w:rPr>
        <w:t>须知前附表。</w:t>
      </w:r>
    </w:p>
    <w:p w14:paraId="0909F971">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7F4DC4C2">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sz w:val="21"/>
          <w:szCs w:val="21"/>
        </w:rPr>
        <w:br w:type="page"/>
      </w:r>
    </w:p>
    <w:p w14:paraId="79565FB6">
      <w:pPr>
        <w:pStyle w:val="5"/>
        <w:pageBreakBefore w:val="0"/>
        <w:kinsoku/>
        <w:overflowPunct/>
        <w:topLinePunct w:val="0"/>
        <w:bidi w:val="0"/>
        <w:snapToGrid/>
        <w:spacing w:line="360" w:lineRule="auto"/>
        <w:rPr>
          <w:rFonts w:hint="eastAsia" w:ascii="宋体" w:hAnsi="宋体" w:eastAsia="宋体" w:cs="宋体"/>
          <w:color w:val="auto"/>
        </w:rPr>
      </w:pPr>
      <w:bookmarkStart w:id="146" w:name="_Toc6757"/>
      <w:bookmarkStart w:id="147" w:name="_Toc30102"/>
      <w:r>
        <w:rPr>
          <w:rFonts w:hint="eastAsia" w:ascii="宋体" w:hAnsi="宋体" w:eastAsia="宋体" w:cs="宋体"/>
          <w:color w:val="auto"/>
        </w:rPr>
        <w:t>附件1开启记录表</w:t>
      </w:r>
      <w:bookmarkEnd w:id="146"/>
      <w:bookmarkEnd w:id="147"/>
    </w:p>
    <w:p w14:paraId="0309E11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6"/>
          <w:szCs w:val="36"/>
        </w:rPr>
      </w:pPr>
      <w:r>
        <w:rPr>
          <w:rFonts w:hint="eastAsia" w:ascii="宋体" w:hAnsi="宋体" w:eastAsia="宋体" w:cs="宋体"/>
          <w:color w:val="auto"/>
          <w:sz w:val="36"/>
          <w:szCs w:val="36"/>
        </w:rPr>
        <w:t>开启记录表</w:t>
      </w:r>
    </w:p>
    <w:p w14:paraId="48AC9D4C">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开启时间∶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时</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分</w:t>
      </w:r>
    </w:p>
    <w:tbl>
      <w:tblPr>
        <w:tblStyle w:val="23"/>
        <w:tblW w:w="9750"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272"/>
        <w:gridCol w:w="1331"/>
        <w:gridCol w:w="2772"/>
        <w:gridCol w:w="1228"/>
        <w:gridCol w:w="2364"/>
      </w:tblGrid>
      <w:tr w14:paraId="080E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783" w:type="dxa"/>
            <w:vAlign w:val="center"/>
          </w:tcPr>
          <w:p w14:paraId="285D307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272" w:type="dxa"/>
            <w:vAlign w:val="center"/>
          </w:tcPr>
          <w:p w14:paraId="07C1C57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询比响应人</w:t>
            </w:r>
          </w:p>
        </w:tc>
        <w:tc>
          <w:tcPr>
            <w:tcW w:w="1331" w:type="dxa"/>
            <w:vAlign w:val="center"/>
          </w:tcPr>
          <w:p w14:paraId="6B1E259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响应报价</w:t>
            </w:r>
          </w:p>
        </w:tc>
        <w:tc>
          <w:tcPr>
            <w:tcW w:w="2772" w:type="dxa"/>
            <w:vAlign w:val="center"/>
          </w:tcPr>
          <w:p w14:paraId="45E4E9B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询比响应人</w:t>
            </w:r>
            <w:r>
              <w:rPr>
                <w:rFonts w:hint="eastAsia" w:ascii="宋体" w:hAnsi="宋体" w:eastAsia="宋体" w:cs="宋体"/>
                <w:color w:val="auto"/>
                <w:sz w:val="21"/>
                <w:szCs w:val="21"/>
              </w:rPr>
              <w:t>须知前附表规定的其他应公布的信息）</w:t>
            </w:r>
          </w:p>
        </w:tc>
        <w:tc>
          <w:tcPr>
            <w:tcW w:w="1228" w:type="dxa"/>
            <w:vAlign w:val="center"/>
          </w:tcPr>
          <w:p w14:paraId="7B36241A">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备注</w:t>
            </w:r>
          </w:p>
        </w:tc>
        <w:tc>
          <w:tcPr>
            <w:tcW w:w="2364" w:type="dxa"/>
            <w:vAlign w:val="center"/>
          </w:tcPr>
          <w:p w14:paraId="5D15D51E">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询比响应人</w:t>
            </w:r>
            <w:r>
              <w:rPr>
                <w:rFonts w:hint="eastAsia" w:ascii="宋体" w:hAnsi="宋体" w:eastAsia="宋体" w:cs="宋体"/>
                <w:color w:val="auto"/>
                <w:sz w:val="21"/>
                <w:szCs w:val="21"/>
              </w:rPr>
              <w:t>代表签名</w:t>
            </w:r>
          </w:p>
        </w:tc>
      </w:tr>
      <w:tr w14:paraId="3ADA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1C5B2B6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692B4B9E">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5A5E381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14E5A59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17D76F2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22AF14F8">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3717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68EA2B43">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6253A8E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04F0C50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71900EB5">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7975009E">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62CC557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59CD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29D789F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52FBB36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68C6E02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590FA9EC">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3D3BB9C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4741CAA1">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1140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37947755">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136E6C4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415CF213">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1574DB7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31FF201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5041FB7A">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616B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3CDB9F18">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77E3629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77EDC9F4">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1BE67AF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327DD83D">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056C173A">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1F7C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526774AA">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6C660616">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39F3B07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060832F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1CD25A2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5029EAD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4989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0E4FA58A">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79EF5A1D">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0769C8E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3DAD5D41">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55DE255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2536D42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5225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4DADCFC1">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61832A64">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757008B8">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63AA5C4E">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0733AF24">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0193A674">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7BEE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0FC60B1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56729EB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0430EC3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55253271">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5CE0FDC5">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517AF99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12BF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3" w:type="dxa"/>
            <w:vAlign w:val="center"/>
          </w:tcPr>
          <w:p w14:paraId="6AF3A91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36A71B44">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00FC1D68">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5CAB4011">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6A69D4EE">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42827BBE">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r w14:paraId="3A7F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83" w:type="dxa"/>
            <w:vAlign w:val="center"/>
          </w:tcPr>
          <w:p w14:paraId="64AD9F8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72" w:type="dxa"/>
            <w:vAlign w:val="center"/>
          </w:tcPr>
          <w:p w14:paraId="2B0172D3">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331" w:type="dxa"/>
            <w:vAlign w:val="center"/>
          </w:tcPr>
          <w:p w14:paraId="2171271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772" w:type="dxa"/>
            <w:vAlign w:val="center"/>
          </w:tcPr>
          <w:p w14:paraId="4E38DE5C">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1228" w:type="dxa"/>
            <w:vAlign w:val="center"/>
          </w:tcPr>
          <w:p w14:paraId="5480A69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c>
          <w:tcPr>
            <w:tcW w:w="2364" w:type="dxa"/>
            <w:vAlign w:val="center"/>
          </w:tcPr>
          <w:p w14:paraId="6EC6FF1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tc>
      </w:tr>
    </w:tbl>
    <w:p w14:paraId="2DE87337">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sz w:val="21"/>
          <w:szCs w:val="21"/>
        </w:rPr>
      </w:pPr>
    </w:p>
    <w:p w14:paraId="0741EA5D">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lang w:eastAsia="zh-CN"/>
        </w:rPr>
        <w:t>采购人</w:t>
      </w:r>
      <w:r>
        <w:rPr>
          <w:rFonts w:hint="eastAsia" w:ascii="宋体" w:hAnsi="宋体" w:eastAsia="宋体" w:cs="宋体"/>
          <w:color w:val="auto"/>
          <w:sz w:val="21"/>
          <w:szCs w:val="21"/>
        </w:rPr>
        <w:t>代表∶</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记录人∶</w:t>
      </w:r>
      <w:r>
        <w:rPr>
          <w:rFonts w:hint="eastAsia" w:ascii="宋体" w:hAnsi="宋体" w:eastAsia="宋体" w:cs="宋体"/>
          <w:color w:val="auto"/>
          <w:sz w:val="21"/>
          <w:szCs w:val="21"/>
          <w:u w:val="single"/>
        </w:rPr>
        <w:t xml:space="preserve">           </w:t>
      </w:r>
    </w:p>
    <w:p w14:paraId="09E18181">
      <w:pPr>
        <w:pStyle w:val="19"/>
        <w:pageBreakBefore w:val="0"/>
        <w:widowControl/>
        <w:kinsoku/>
        <w:overflowPunct/>
        <w:topLinePunct w:val="0"/>
        <w:bidi w:val="0"/>
        <w:snapToGrid/>
        <w:spacing w:beforeAutospacing="0" w:afterAutospacing="0" w:line="360" w:lineRule="auto"/>
        <w:ind w:firstLine="210" w:firstLineChars="100"/>
        <w:rPr>
          <w:rFonts w:hint="eastAsia" w:ascii="宋体" w:hAnsi="宋体" w:eastAsia="宋体" w:cs="宋体"/>
          <w:color w:val="auto"/>
          <w:sz w:val="21"/>
          <w:szCs w:val="21"/>
          <w:u w:val="single"/>
        </w:rPr>
      </w:pPr>
    </w:p>
    <w:p w14:paraId="5E725638">
      <w:pPr>
        <w:pStyle w:val="19"/>
        <w:pageBreakBefore w:val="0"/>
        <w:widowControl/>
        <w:kinsoku/>
        <w:overflowPunct/>
        <w:topLinePunct w:val="0"/>
        <w:bidi w:val="0"/>
        <w:snapToGrid/>
        <w:spacing w:beforeAutospacing="0" w:afterAutospacing="0" w:line="360" w:lineRule="auto"/>
        <w:ind w:firstLine="210" w:firstLineChars="100"/>
        <w:rPr>
          <w:rFonts w:hint="eastAsia" w:ascii="宋体" w:hAnsi="宋体" w:eastAsia="宋体" w:cs="宋体"/>
          <w:color w:val="auto"/>
          <w:sz w:val="21"/>
          <w:szCs w:val="21"/>
          <w:u w:val="single"/>
        </w:rPr>
      </w:pPr>
    </w:p>
    <w:p w14:paraId="7A78BF3E">
      <w:pPr>
        <w:pStyle w:val="19"/>
        <w:pageBreakBefore w:val="0"/>
        <w:widowControl/>
        <w:kinsoku/>
        <w:overflowPunct/>
        <w:topLinePunct w:val="0"/>
        <w:bidi w:val="0"/>
        <w:snapToGrid/>
        <w:spacing w:beforeAutospacing="0" w:afterAutospacing="0" w:line="360" w:lineRule="auto"/>
        <w:ind w:firstLine="6090" w:firstLineChars="2900"/>
        <w:rPr>
          <w:rFonts w:hint="eastAsia" w:ascii="宋体" w:hAnsi="宋体" w:eastAsia="宋体" w:cs="宋体"/>
          <w:color w:val="auto"/>
          <w:sz w:val="21"/>
          <w:szCs w:val="21"/>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p>
    <w:p w14:paraId="65D83677">
      <w:pPr>
        <w:pageBreakBefore w:val="0"/>
        <w:kinsoku/>
        <w:overflowPunct/>
        <w:topLinePunct w:val="0"/>
        <w:bidi w:val="0"/>
        <w:snapToGrid/>
        <w:spacing w:line="360" w:lineRule="auto"/>
        <w:rPr>
          <w:rFonts w:hint="eastAsia" w:ascii="宋体" w:hAnsi="宋体" w:eastAsia="宋体" w:cs="宋体"/>
          <w:color w:val="auto"/>
          <w:szCs w:val="21"/>
        </w:rPr>
      </w:pPr>
      <w:r>
        <w:rPr>
          <w:rFonts w:hint="eastAsia" w:ascii="宋体" w:hAnsi="宋体" w:eastAsia="宋体" w:cs="宋体"/>
          <w:color w:val="auto"/>
          <w:szCs w:val="21"/>
        </w:rPr>
        <w:br w:type="page"/>
      </w:r>
    </w:p>
    <w:p w14:paraId="3B5F8C73">
      <w:pPr>
        <w:pStyle w:val="5"/>
        <w:pageBreakBefore w:val="0"/>
        <w:kinsoku/>
        <w:overflowPunct/>
        <w:topLinePunct w:val="0"/>
        <w:bidi w:val="0"/>
        <w:snapToGrid/>
        <w:spacing w:line="360" w:lineRule="auto"/>
        <w:rPr>
          <w:rFonts w:hint="eastAsia" w:ascii="宋体" w:hAnsi="宋体" w:eastAsia="宋体" w:cs="宋体"/>
          <w:color w:val="auto"/>
        </w:rPr>
      </w:pPr>
      <w:bookmarkStart w:id="148" w:name="_Toc3894"/>
      <w:bookmarkStart w:id="149" w:name="_Toc5096"/>
      <w:r>
        <w:rPr>
          <w:rFonts w:hint="eastAsia" w:ascii="宋体" w:hAnsi="宋体" w:eastAsia="宋体" w:cs="宋体"/>
          <w:color w:val="auto"/>
        </w:rPr>
        <w:t>附件2  问题澄清通知</w:t>
      </w:r>
      <w:bookmarkEnd w:id="148"/>
      <w:bookmarkEnd w:id="149"/>
    </w:p>
    <w:p w14:paraId="15D8EE4A">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4367B93E">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7A808A40">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6"/>
          <w:szCs w:val="36"/>
        </w:rPr>
      </w:pPr>
      <w:r>
        <w:rPr>
          <w:rFonts w:hint="eastAsia" w:ascii="宋体" w:hAnsi="宋体" w:eastAsia="宋体" w:cs="宋体"/>
          <w:color w:val="auto"/>
          <w:sz w:val="36"/>
          <w:szCs w:val="36"/>
        </w:rPr>
        <w:t>问题澄清通知</w:t>
      </w:r>
    </w:p>
    <w:p w14:paraId="7CD0C6D8">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0"/>
          <w:szCs w:val="30"/>
        </w:rPr>
      </w:pPr>
      <w:r>
        <w:rPr>
          <w:rFonts w:hint="eastAsia" w:ascii="宋体" w:hAnsi="宋体" w:eastAsia="宋体" w:cs="宋体"/>
          <w:color w:val="auto"/>
          <w:sz w:val="30"/>
          <w:szCs w:val="30"/>
        </w:rPr>
        <w:t>（编号：</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w:t>
      </w:r>
    </w:p>
    <w:p w14:paraId="67E5446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2DA5082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3476CD69">
      <w:pPr>
        <w:pStyle w:val="19"/>
        <w:pageBreakBefore w:val="0"/>
        <w:widowControl/>
        <w:kinsoku/>
        <w:overflowPunct/>
        <w:topLinePunct w:val="0"/>
        <w:bidi w:val="0"/>
        <w:snapToGrid/>
        <w:spacing w:beforeAutospacing="0" w:afterAutospacing="0" w:line="360" w:lineRule="auto"/>
        <w:jc w:val="both"/>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u w:val="single"/>
          <w:lang w:eastAsia="zh-CN"/>
        </w:rPr>
        <w:t>询比响应人</w:t>
      </w:r>
      <w:r>
        <w:rPr>
          <w:rFonts w:hint="eastAsia" w:ascii="宋体" w:hAnsi="宋体" w:eastAsia="宋体" w:cs="宋体"/>
          <w:color w:val="auto"/>
          <w:u w:val="single"/>
        </w:rPr>
        <w:t>名称）</w:t>
      </w:r>
      <w:r>
        <w:rPr>
          <w:rFonts w:hint="eastAsia" w:ascii="宋体" w:hAnsi="宋体" w:eastAsia="宋体" w:cs="宋体"/>
          <w:color w:val="auto"/>
        </w:rPr>
        <w:t>：</w:t>
      </w:r>
    </w:p>
    <w:p w14:paraId="549A6BF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1136D8A7">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评审小组对你方的响应文件进行了仔细审查，现需你方对下列问题以书面形式予以澄清、说明和补正：</w:t>
      </w:r>
    </w:p>
    <w:p w14:paraId="1171DBD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58847C6C">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1、</w:t>
      </w:r>
    </w:p>
    <w:p w14:paraId="39B324F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2、</w:t>
      </w:r>
    </w:p>
    <w:p w14:paraId="185CC2F6">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w:t>
      </w:r>
    </w:p>
    <w:p w14:paraId="659C377D">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53DDF3F6">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u w:val="single"/>
        </w:rPr>
      </w:pPr>
      <w:r>
        <w:rPr>
          <w:rFonts w:hint="eastAsia" w:ascii="宋体" w:hAnsi="宋体" w:eastAsia="宋体" w:cs="宋体"/>
          <w:color w:val="auto"/>
        </w:rPr>
        <w:t>请将上述问题的澄清、说明和补正于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r>
        <w:rPr>
          <w:rFonts w:hint="eastAsia" w:ascii="宋体" w:hAnsi="宋体" w:eastAsia="宋体" w:cs="宋体"/>
          <w:color w:val="auto"/>
          <w:u w:val="single"/>
        </w:rPr>
        <w:t xml:space="preserve">      </w:t>
      </w:r>
      <w:r>
        <w:rPr>
          <w:rFonts w:hint="eastAsia" w:ascii="宋体" w:hAnsi="宋体" w:eastAsia="宋体" w:cs="宋体"/>
          <w:color w:val="auto"/>
        </w:rPr>
        <w:t>时前递交至</w:t>
      </w:r>
      <w:r>
        <w:rPr>
          <w:rFonts w:hint="eastAsia" w:ascii="宋体" w:hAnsi="宋体" w:eastAsia="宋体" w:cs="宋体"/>
          <w:color w:val="auto"/>
          <w:u w:val="single"/>
        </w:rPr>
        <w:t xml:space="preserve">                      （详细地址）</w:t>
      </w:r>
      <w:r>
        <w:rPr>
          <w:rFonts w:hint="eastAsia" w:ascii="宋体" w:hAnsi="宋体" w:eastAsia="宋体" w:cs="宋体"/>
          <w:color w:val="auto"/>
        </w:rPr>
        <w:t>或发电子邮件至</w:t>
      </w:r>
      <w:r>
        <w:rPr>
          <w:rFonts w:hint="eastAsia" w:ascii="宋体" w:hAnsi="宋体" w:eastAsia="宋体" w:cs="宋体"/>
          <w:color w:val="auto"/>
          <w:u w:val="single"/>
        </w:rPr>
        <w:t xml:space="preserve">             </w:t>
      </w:r>
    </w:p>
    <w:p w14:paraId="7891F4BF">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 xml:space="preserve"> （电子邮箱地址）。采用电子邮件方式的，应在</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55375B33">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时前将原件递交至</w:t>
      </w:r>
      <w:r>
        <w:rPr>
          <w:rFonts w:hint="eastAsia" w:ascii="宋体" w:hAnsi="宋体" w:eastAsia="宋体" w:cs="宋体"/>
          <w:color w:val="auto"/>
          <w:u w:val="single"/>
        </w:rPr>
        <w:t xml:space="preserve">                           （详细地址）</w:t>
      </w:r>
      <w:r>
        <w:rPr>
          <w:rFonts w:hint="eastAsia" w:ascii="宋体" w:hAnsi="宋体" w:eastAsia="宋体" w:cs="宋体"/>
          <w:color w:val="auto"/>
        </w:rPr>
        <w:t>。</w:t>
      </w:r>
    </w:p>
    <w:p w14:paraId="5D0D01FC">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3A3BFE13">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71F0737A">
      <w:pPr>
        <w:pStyle w:val="19"/>
        <w:pageBreakBefore w:val="0"/>
        <w:widowControl/>
        <w:kinsoku/>
        <w:overflowPunct/>
        <w:topLinePunct w:val="0"/>
        <w:bidi w:val="0"/>
        <w:snapToGrid/>
        <w:spacing w:beforeAutospacing="0" w:afterAutospacing="0" w:line="360" w:lineRule="auto"/>
        <w:ind w:left="1260" w:firstLine="42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（或</w:t>
      </w:r>
      <w:r>
        <w:rPr>
          <w:rFonts w:hint="eastAsia" w:ascii="宋体" w:hAnsi="宋体" w:eastAsia="宋体" w:cs="宋体"/>
          <w:color w:val="auto"/>
          <w:lang w:eastAsia="zh-CN"/>
        </w:rPr>
        <w:t>采购代理机构</w:t>
      </w:r>
      <w:r>
        <w:rPr>
          <w:rFonts w:hint="eastAsia" w:ascii="宋体" w:hAnsi="宋体" w:eastAsia="宋体" w:cs="宋体"/>
          <w:color w:val="auto"/>
        </w:rPr>
        <w:t>）：</w:t>
      </w:r>
      <w:r>
        <w:rPr>
          <w:rFonts w:hint="eastAsia" w:ascii="宋体" w:hAnsi="宋体" w:eastAsia="宋体" w:cs="宋体"/>
          <w:color w:val="auto"/>
          <w:u w:val="single"/>
        </w:rPr>
        <w:t xml:space="preserve">            （签字或盖单位章）</w:t>
      </w:r>
    </w:p>
    <w:p w14:paraId="73A2E6AC">
      <w:pPr>
        <w:pageBreakBefore w:val="0"/>
        <w:kinsoku/>
        <w:overflowPunct/>
        <w:topLinePunct w:val="0"/>
        <w:bidi w:val="0"/>
        <w:snapToGrid/>
        <w:spacing w:line="360" w:lineRule="auto"/>
        <w:rPr>
          <w:rFonts w:hint="eastAsia" w:ascii="宋体" w:hAnsi="宋体" w:eastAsia="宋体" w:cs="宋体"/>
          <w:color w:val="auto"/>
          <w:sz w:val="24"/>
        </w:rPr>
      </w:pPr>
    </w:p>
    <w:p w14:paraId="219600E2">
      <w:pPr>
        <w:pageBreakBefore w:val="0"/>
        <w:kinsoku/>
        <w:overflowPunct/>
        <w:topLinePunct w:val="0"/>
        <w:bidi w:val="0"/>
        <w:snapToGrid/>
        <w:spacing w:line="360" w:lineRule="auto"/>
        <w:ind w:left="5040" w:firstLine="420"/>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46738E23">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br w:type="page"/>
      </w:r>
    </w:p>
    <w:p w14:paraId="7AF18F60">
      <w:pPr>
        <w:pStyle w:val="5"/>
        <w:pageBreakBefore w:val="0"/>
        <w:kinsoku/>
        <w:overflowPunct/>
        <w:topLinePunct w:val="0"/>
        <w:bidi w:val="0"/>
        <w:snapToGrid/>
        <w:spacing w:line="360" w:lineRule="auto"/>
        <w:rPr>
          <w:rFonts w:hint="eastAsia" w:ascii="宋体" w:hAnsi="宋体" w:eastAsia="宋体" w:cs="宋体"/>
          <w:color w:val="auto"/>
        </w:rPr>
      </w:pPr>
      <w:bookmarkStart w:id="150" w:name="_Toc14165"/>
      <w:bookmarkStart w:id="151" w:name="_Toc24100"/>
      <w:r>
        <w:rPr>
          <w:rFonts w:hint="eastAsia" w:ascii="宋体" w:hAnsi="宋体" w:eastAsia="宋体" w:cs="宋体"/>
          <w:color w:val="auto"/>
        </w:rPr>
        <w:t>附件3  问题的澄清</w:t>
      </w:r>
      <w:bookmarkEnd w:id="150"/>
      <w:bookmarkEnd w:id="151"/>
    </w:p>
    <w:p w14:paraId="5248AD8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1701B5E5">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680A163B">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6"/>
          <w:szCs w:val="36"/>
        </w:rPr>
      </w:pPr>
      <w:r>
        <w:rPr>
          <w:rFonts w:hint="eastAsia" w:ascii="宋体" w:hAnsi="宋体" w:eastAsia="宋体" w:cs="宋体"/>
          <w:color w:val="auto"/>
          <w:sz w:val="36"/>
          <w:szCs w:val="36"/>
        </w:rPr>
        <w:t>问题的澄清</w:t>
      </w:r>
    </w:p>
    <w:p w14:paraId="520C4112">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0"/>
          <w:szCs w:val="30"/>
        </w:rPr>
      </w:pPr>
      <w:r>
        <w:rPr>
          <w:rFonts w:hint="eastAsia" w:ascii="宋体" w:hAnsi="宋体" w:eastAsia="宋体" w:cs="宋体"/>
          <w:color w:val="auto"/>
          <w:sz w:val="30"/>
          <w:szCs w:val="30"/>
        </w:rPr>
        <w:t>（编号：</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w:t>
      </w:r>
    </w:p>
    <w:p w14:paraId="106465A3">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00BEA839">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3E8F6213">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评审小组：</w:t>
      </w:r>
    </w:p>
    <w:p w14:paraId="51355F00">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57C5B7DD">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问题澄清通知（编号：</w:t>
      </w:r>
      <w:r>
        <w:rPr>
          <w:rFonts w:hint="eastAsia" w:ascii="宋体" w:hAnsi="宋体" w:eastAsia="宋体" w:cs="宋体"/>
          <w:color w:val="auto"/>
          <w:u w:val="single"/>
        </w:rPr>
        <w:t xml:space="preserve">          </w:t>
      </w:r>
      <w:r>
        <w:rPr>
          <w:rFonts w:hint="eastAsia" w:ascii="宋体" w:hAnsi="宋体" w:eastAsia="宋体" w:cs="宋体"/>
          <w:color w:val="auto"/>
        </w:rPr>
        <w:t>）已收悉，现澄清、说明和补正如下：</w:t>
      </w:r>
    </w:p>
    <w:p w14:paraId="6E0DEAC1">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5FFF192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1、</w:t>
      </w:r>
    </w:p>
    <w:p w14:paraId="0F4A5057">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2、</w:t>
      </w:r>
    </w:p>
    <w:p w14:paraId="5C69CBCB">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w:t>
      </w:r>
    </w:p>
    <w:p w14:paraId="37CBAB85">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6EBC864F">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r>
        <w:rPr>
          <w:rFonts w:hint="eastAsia" w:ascii="宋体" w:hAnsi="宋体" w:eastAsia="宋体" w:cs="宋体"/>
          <w:color w:val="auto"/>
        </w:rPr>
        <w:t xml:space="preserve">    上述问题澄清、说明和补正，构成我方响应文件的组成部分。</w:t>
      </w:r>
    </w:p>
    <w:p w14:paraId="5D86B6F0">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2ACA1461">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12A05A3C">
      <w:pPr>
        <w:pStyle w:val="19"/>
        <w:pageBreakBefore w:val="0"/>
        <w:widowControl/>
        <w:kinsoku/>
        <w:overflowPunct/>
        <w:topLinePunct w:val="0"/>
        <w:bidi w:val="0"/>
        <w:snapToGrid/>
        <w:spacing w:beforeAutospacing="0" w:afterAutospacing="0" w:line="360" w:lineRule="auto"/>
        <w:ind w:left="1260" w:firstLine="420"/>
        <w:rPr>
          <w:rFonts w:hint="eastAsia" w:ascii="宋体" w:hAnsi="宋体" w:eastAsia="宋体" w:cs="宋体"/>
          <w:color w:val="auto"/>
        </w:rPr>
      </w:pPr>
      <w:r>
        <w:rPr>
          <w:rFonts w:hint="eastAsia" w:ascii="宋体" w:hAnsi="宋体" w:eastAsia="宋体" w:cs="宋体"/>
          <w:color w:val="auto"/>
          <w:lang w:eastAsia="zh-CN"/>
        </w:rPr>
        <w:t>询比响应人</w:t>
      </w:r>
      <w:r>
        <w:rPr>
          <w:rFonts w:hint="eastAsia" w:ascii="宋体" w:hAnsi="宋体" w:eastAsia="宋体" w:cs="宋体"/>
          <w:color w:val="auto"/>
        </w:rPr>
        <w:t>∶</w:t>
      </w:r>
      <w:r>
        <w:rPr>
          <w:rFonts w:hint="eastAsia" w:ascii="宋体" w:hAnsi="宋体" w:eastAsia="宋体" w:cs="宋体"/>
          <w:color w:val="auto"/>
          <w:u w:val="single"/>
        </w:rPr>
        <w:t xml:space="preserve">                                    （盖单位盖）</w:t>
      </w:r>
    </w:p>
    <w:p w14:paraId="66BBBB11">
      <w:pPr>
        <w:pStyle w:val="19"/>
        <w:pageBreakBefore w:val="0"/>
        <w:widowControl/>
        <w:kinsoku/>
        <w:overflowPunct/>
        <w:topLinePunct w:val="0"/>
        <w:bidi w:val="0"/>
        <w:snapToGrid/>
        <w:spacing w:beforeAutospacing="0" w:afterAutospacing="0" w:line="360" w:lineRule="auto"/>
        <w:ind w:left="1260" w:firstLine="420"/>
        <w:rPr>
          <w:rFonts w:hint="eastAsia" w:ascii="宋体" w:hAnsi="宋体" w:eastAsia="宋体" w:cs="宋体"/>
          <w:color w:val="auto"/>
        </w:rPr>
      </w:pPr>
      <w:r>
        <w:rPr>
          <w:rFonts w:hint="eastAsia" w:ascii="宋体" w:hAnsi="宋体" w:eastAsia="宋体" w:cs="宋体"/>
          <w:color w:val="auto"/>
        </w:rPr>
        <w:t>或</w:t>
      </w:r>
    </w:p>
    <w:p w14:paraId="4914E550">
      <w:pPr>
        <w:pStyle w:val="19"/>
        <w:pageBreakBefore w:val="0"/>
        <w:widowControl/>
        <w:kinsoku/>
        <w:overflowPunct/>
        <w:topLinePunct w:val="0"/>
        <w:bidi w:val="0"/>
        <w:snapToGrid/>
        <w:spacing w:beforeAutospacing="0" w:afterAutospacing="0" w:line="360" w:lineRule="auto"/>
        <w:ind w:left="1260" w:firstLine="420"/>
        <w:rPr>
          <w:rFonts w:hint="eastAsia" w:ascii="宋体" w:hAnsi="宋体" w:eastAsia="宋体" w:cs="宋体"/>
          <w:color w:val="auto"/>
        </w:rPr>
      </w:pPr>
      <w:r>
        <w:rPr>
          <w:rFonts w:hint="eastAsia" w:ascii="宋体" w:hAnsi="宋体" w:eastAsia="宋体" w:cs="宋体"/>
          <w:color w:val="auto"/>
        </w:rPr>
        <w:t>法定代表人（单位负责人）或其授权的代理人：</w:t>
      </w:r>
      <w:r>
        <w:rPr>
          <w:rFonts w:hint="eastAsia" w:ascii="宋体" w:hAnsi="宋体" w:eastAsia="宋体" w:cs="宋体"/>
          <w:color w:val="auto"/>
          <w:u w:val="single"/>
        </w:rPr>
        <w:t xml:space="preserve">       （签字）</w:t>
      </w:r>
    </w:p>
    <w:p w14:paraId="2171B6D1">
      <w:pPr>
        <w:pageBreakBefore w:val="0"/>
        <w:kinsoku/>
        <w:overflowPunct/>
        <w:topLinePunct w:val="0"/>
        <w:bidi w:val="0"/>
        <w:snapToGrid/>
        <w:spacing w:line="360" w:lineRule="auto"/>
        <w:rPr>
          <w:rFonts w:hint="eastAsia" w:ascii="宋体" w:hAnsi="宋体" w:eastAsia="宋体" w:cs="宋体"/>
          <w:color w:val="auto"/>
          <w:sz w:val="24"/>
        </w:rPr>
      </w:pPr>
    </w:p>
    <w:p w14:paraId="5FAEA164">
      <w:pPr>
        <w:pageBreakBefore w:val="0"/>
        <w:kinsoku/>
        <w:overflowPunct/>
        <w:topLinePunct w:val="0"/>
        <w:bidi w:val="0"/>
        <w:snapToGrid/>
        <w:spacing w:line="360" w:lineRule="auto"/>
        <w:rPr>
          <w:rFonts w:hint="eastAsia" w:ascii="宋体" w:hAnsi="宋体" w:eastAsia="宋体" w:cs="宋体"/>
          <w:color w:val="auto"/>
          <w:sz w:val="24"/>
        </w:rPr>
      </w:pPr>
    </w:p>
    <w:p w14:paraId="08DD8A45">
      <w:pPr>
        <w:pageBreakBefore w:val="0"/>
        <w:kinsoku/>
        <w:overflowPunct/>
        <w:topLinePunct w:val="0"/>
        <w:bidi w:val="0"/>
        <w:snapToGrid/>
        <w:spacing w:line="360" w:lineRule="auto"/>
        <w:ind w:left="5040" w:firstLine="420"/>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3131A3F5">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br w:type="page"/>
      </w:r>
    </w:p>
    <w:p w14:paraId="0C3193D1">
      <w:pPr>
        <w:pStyle w:val="5"/>
        <w:pageBreakBefore w:val="0"/>
        <w:kinsoku/>
        <w:overflowPunct/>
        <w:topLinePunct w:val="0"/>
        <w:bidi w:val="0"/>
        <w:snapToGrid/>
        <w:spacing w:line="360" w:lineRule="auto"/>
        <w:rPr>
          <w:rFonts w:hint="eastAsia" w:ascii="宋体" w:hAnsi="宋体" w:eastAsia="宋体" w:cs="宋体"/>
          <w:color w:val="auto"/>
        </w:rPr>
      </w:pPr>
      <w:bookmarkStart w:id="152" w:name="_Toc29716"/>
      <w:bookmarkStart w:id="153" w:name="_Toc29611"/>
      <w:r>
        <w:rPr>
          <w:rFonts w:hint="eastAsia" w:ascii="宋体" w:hAnsi="宋体" w:eastAsia="宋体" w:cs="宋体"/>
          <w:color w:val="auto"/>
        </w:rPr>
        <w:t>附件4  成交通知书</w:t>
      </w:r>
      <w:bookmarkEnd w:id="152"/>
      <w:bookmarkEnd w:id="153"/>
    </w:p>
    <w:p w14:paraId="32A12C36">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4573AEC8">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6D8246DC">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0"/>
          <w:szCs w:val="30"/>
        </w:rPr>
      </w:pPr>
      <w:r>
        <w:rPr>
          <w:rFonts w:hint="eastAsia" w:ascii="宋体" w:hAnsi="宋体" w:eastAsia="宋体" w:cs="宋体"/>
          <w:color w:val="auto"/>
          <w:sz w:val="36"/>
          <w:szCs w:val="36"/>
        </w:rPr>
        <w:t>成交通知书</w:t>
      </w:r>
    </w:p>
    <w:p w14:paraId="445125A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71EBF057">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58819D92">
      <w:pPr>
        <w:pStyle w:val="19"/>
        <w:pageBreakBefore w:val="0"/>
        <w:widowControl/>
        <w:kinsoku/>
        <w:overflowPunct/>
        <w:topLinePunct w:val="0"/>
        <w:bidi w:val="0"/>
        <w:snapToGrid/>
        <w:spacing w:beforeAutospacing="0" w:afterAutospacing="0" w:line="360" w:lineRule="auto"/>
        <w:jc w:val="both"/>
        <w:rPr>
          <w:rFonts w:hint="eastAsia" w:ascii="宋体" w:hAnsi="宋体" w:eastAsia="宋体" w:cs="宋体"/>
          <w:color w:val="auto"/>
        </w:rPr>
      </w:pPr>
      <w:r>
        <w:rPr>
          <w:rFonts w:hint="eastAsia" w:ascii="宋体" w:hAnsi="宋体" w:eastAsia="宋体" w:cs="宋体"/>
          <w:color w:val="auto"/>
          <w:u w:val="single"/>
        </w:rPr>
        <w:t xml:space="preserve">                       （成交</w:t>
      </w:r>
      <w:r>
        <w:rPr>
          <w:rFonts w:hint="eastAsia" w:ascii="宋体" w:hAnsi="宋体" w:eastAsia="宋体" w:cs="宋体"/>
          <w:color w:val="auto"/>
          <w:u w:val="single"/>
          <w:lang w:eastAsia="zh-CN"/>
        </w:rPr>
        <w:t>询比响应人</w:t>
      </w:r>
      <w:r>
        <w:rPr>
          <w:rFonts w:hint="eastAsia" w:ascii="宋体" w:hAnsi="宋体" w:eastAsia="宋体" w:cs="宋体"/>
          <w:color w:val="auto"/>
          <w:u w:val="single"/>
        </w:rPr>
        <w:t>名称）</w:t>
      </w:r>
      <w:r>
        <w:rPr>
          <w:rFonts w:hint="eastAsia" w:ascii="宋体" w:hAnsi="宋体" w:eastAsia="宋体" w:cs="宋体"/>
          <w:color w:val="auto"/>
        </w:rPr>
        <w:t>：</w:t>
      </w:r>
    </w:p>
    <w:p w14:paraId="3424F1A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6C6E5B73">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你方所递交的</w:t>
      </w:r>
      <w:r>
        <w:rPr>
          <w:rFonts w:hint="eastAsia" w:ascii="宋体" w:hAnsi="宋体" w:eastAsia="宋体" w:cs="宋体"/>
          <w:color w:val="auto"/>
          <w:u w:val="single"/>
        </w:rPr>
        <w:t xml:space="preserve">             （项目名称）</w:t>
      </w:r>
      <w:r>
        <w:rPr>
          <w:rFonts w:hint="eastAsia" w:ascii="宋体" w:hAnsi="宋体" w:eastAsia="宋体" w:cs="宋体"/>
          <w:color w:val="auto"/>
        </w:rPr>
        <w:t>的响应文件已被我方接受，被确定为成交</w:t>
      </w:r>
      <w:r>
        <w:rPr>
          <w:rFonts w:hint="eastAsia" w:ascii="宋体" w:hAnsi="宋体" w:eastAsia="宋体" w:cs="宋体"/>
          <w:color w:val="auto"/>
          <w:lang w:eastAsia="zh-CN"/>
        </w:rPr>
        <w:t>询比响应人</w:t>
      </w:r>
      <w:r>
        <w:rPr>
          <w:rFonts w:hint="eastAsia" w:ascii="宋体" w:hAnsi="宋体" w:eastAsia="宋体" w:cs="宋体"/>
          <w:color w:val="auto"/>
        </w:rPr>
        <w:t>。</w:t>
      </w:r>
    </w:p>
    <w:p w14:paraId="14A44AB9">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成交价：</w:t>
      </w:r>
      <w:r>
        <w:rPr>
          <w:rFonts w:hint="eastAsia" w:ascii="宋体" w:hAnsi="宋体" w:eastAsia="宋体" w:cs="宋体"/>
          <w:color w:val="auto"/>
          <w:u w:val="single"/>
        </w:rPr>
        <w:t xml:space="preserve">                 </w:t>
      </w:r>
      <w:r>
        <w:rPr>
          <w:rFonts w:hint="eastAsia" w:ascii="宋体" w:hAnsi="宋体" w:eastAsia="宋体" w:cs="宋体"/>
          <w:color w:val="auto"/>
        </w:rPr>
        <w:t>。</w:t>
      </w:r>
    </w:p>
    <w:p w14:paraId="358B9B99">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成交份额：</w:t>
      </w:r>
      <w:r>
        <w:rPr>
          <w:rFonts w:hint="eastAsia" w:ascii="宋体" w:hAnsi="宋体" w:eastAsia="宋体" w:cs="宋体"/>
          <w:color w:val="auto"/>
          <w:u w:val="single"/>
        </w:rPr>
        <w:t xml:space="preserve">               </w:t>
      </w:r>
      <w:r>
        <w:rPr>
          <w:rFonts w:hint="eastAsia" w:ascii="宋体" w:hAnsi="宋体" w:eastAsia="宋体" w:cs="宋体"/>
          <w:color w:val="auto"/>
        </w:rPr>
        <w:t>。（如有）</w:t>
      </w:r>
    </w:p>
    <w:p w14:paraId="11F51584">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请你方在接到本通知书后的</w:t>
      </w:r>
      <w:r>
        <w:rPr>
          <w:rFonts w:hint="eastAsia" w:ascii="宋体" w:hAnsi="宋体" w:eastAsia="宋体" w:cs="宋体"/>
          <w:color w:val="auto"/>
          <w:u w:val="single"/>
        </w:rPr>
        <w:t xml:space="preserve">      </w:t>
      </w:r>
      <w:r>
        <w:rPr>
          <w:rFonts w:hint="eastAsia" w:ascii="宋体" w:hAnsi="宋体" w:eastAsia="宋体" w:cs="宋体"/>
          <w:color w:val="auto"/>
        </w:rPr>
        <w:t>日内到</w:t>
      </w:r>
      <w:r>
        <w:rPr>
          <w:rFonts w:hint="eastAsia" w:ascii="宋体" w:hAnsi="宋体" w:eastAsia="宋体" w:cs="宋体"/>
          <w:color w:val="auto"/>
          <w:u w:val="single"/>
        </w:rPr>
        <w:t xml:space="preserve">             （指定地点）</w:t>
      </w:r>
      <w:r>
        <w:rPr>
          <w:rFonts w:hint="eastAsia" w:ascii="宋体" w:hAnsi="宋体" w:eastAsia="宋体" w:cs="宋体"/>
          <w:color w:val="auto"/>
        </w:rPr>
        <w:t>与我方签订采购合同，并按采购文件第二章“</w:t>
      </w:r>
      <w:r>
        <w:rPr>
          <w:rFonts w:hint="eastAsia" w:ascii="宋体" w:hAnsi="宋体" w:eastAsia="宋体" w:cs="宋体"/>
          <w:color w:val="auto"/>
          <w:lang w:eastAsia="zh-CN"/>
        </w:rPr>
        <w:t>询比响应人</w:t>
      </w:r>
      <w:r>
        <w:rPr>
          <w:rFonts w:hint="eastAsia" w:ascii="宋体" w:hAnsi="宋体" w:eastAsia="宋体" w:cs="宋体"/>
          <w:color w:val="auto"/>
        </w:rPr>
        <w:t>须知”第7.6款规定向我方递交履约保证金。</w:t>
      </w:r>
    </w:p>
    <w:p w14:paraId="54BE7A1F">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特此通知。</w:t>
      </w:r>
    </w:p>
    <w:p w14:paraId="205145D9">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068A926F">
      <w:pPr>
        <w:pStyle w:val="19"/>
        <w:pageBreakBefore w:val="0"/>
        <w:widowControl/>
        <w:kinsoku/>
        <w:overflowPunct/>
        <w:topLinePunct w:val="0"/>
        <w:bidi w:val="0"/>
        <w:snapToGrid/>
        <w:spacing w:beforeAutospacing="0" w:afterAutospacing="0" w:line="360" w:lineRule="auto"/>
        <w:ind w:firstLine="720" w:firstLineChars="300"/>
        <w:rPr>
          <w:rFonts w:hint="eastAsia" w:ascii="宋体" w:hAnsi="宋体" w:eastAsia="宋体" w:cs="宋体"/>
          <w:color w:val="auto"/>
        </w:rPr>
      </w:pPr>
      <w:r>
        <w:rPr>
          <w:rFonts w:hint="eastAsia" w:ascii="宋体" w:hAnsi="宋体" w:eastAsia="宋体" w:cs="宋体"/>
          <w:color w:val="auto"/>
          <w:lang w:eastAsia="zh-CN"/>
        </w:rPr>
        <w:t>采购人</w:t>
      </w:r>
      <w:r>
        <w:rPr>
          <w:rFonts w:hint="eastAsia" w:ascii="宋体" w:hAnsi="宋体" w:eastAsia="宋体" w:cs="宋体"/>
          <w:color w:val="auto"/>
        </w:rPr>
        <w:t>（或</w:t>
      </w:r>
      <w:r>
        <w:rPr>
          <w:rFonts w:hint="eastAsia" w:ascii="宋体" w:hAnsi="宋体" w:eastAsia="宋体" w:cs="宋体"/>
          <w:color w:val="auto"/>
          <w:lang w:eastAsia="zh-CN"/>
        </w:rPr>
        <w:t>采购代理机构</w:t>
      </w:r>
      <w:r>
        <w:rPr>
          <w:rFonts w:hint="eastAsia" w:ascii="宋体" w:hAnsi="宋体" w:eastAsia="宋体" w:cs="宋体"/>
          <w:color w:val="auto"/>
        </w:rPr>
        <w:t>）∶</w:t>
      </w:r>
      <w:r>
        <w:rPr>
          <w:rFonts w:hint="eastAsia" w:ascii="宋体" w:hAnsi="宋体" w:eastAsia="宋体" w:cs="宋体"/>
          <w:color w:val="auto"/>
          <w:u w:val="single"/>
        </w:rPr>
        <w:t xml:space="preserve">                         （盖单位章）</w:t>
      </w:r>
    </w:p>
    <w:p w14:paraId="334D7B25">
      <w:pPr>
        <w:pageBreakBefore w:val="0"/>
        <w:kinsoku/>
        <w:overflowPunct/>
        <w:topLinePunct w:val="0"/>
        <w:bidi w:val="0"/>
        <w:snapToGrid/>
        <w:spacing w:line="360" w:lineRule="auto"/>
        <w:rPr>
          <w:rFonts w:hint="eastAsia" w:ascii="宋体" w:hAnsi="宋体" w:eastAsia="宋体" w:cs="宋体"/>
          <w:color w:val="auto"/>
          <w:sz w:val="24"/>
        </w:rPr>
      </w:pPr>
    </w:p>
    <w:p w14:paraId="163A4590">
      <w:pPr>
        <w:pageBreakBefore w:val="0"/>
        <w:kinsoku/>
        <w:overflowPunct/>
        <w:topLinePunct w:val="0"/>
        <w:bidi w:val="0"/>
        <w:snapToGrid/>
        <w:spacing w:line="360" w:lineRule="auto"/>
        <w:ind w:left="5040" w:firstLine="420"/>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500CFCC6">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br w:type="page"/>
      </w:r>
    </w:p>
    <w:p w14:paraId="15E42919">
      <w:pPr>
        <w:pStyle w:val="5"/>
        <w:pageBreakBefore w:val="0"/>
        <w:kinsoku/>
        <w:overflowPunct/>
        <w:topLinePunct w:val="0"/>
        <w:bidi w:val="0"/>
        <w:snapToGrid/>
        <w:spacing w:line="360" w:lineRule="auto"/>
        <w:rPr>
          <w:rFonts w:hint="eastAsia" w:ascii="宋体" w:hAnsi="宋体" w:eastAsia="宋体" w:cs="宋体"/>
          <w:color w:val="auto"/>
        </w:rPr>
      </w:pPr>
      <w:bookmarkStart w:id="154" w:name="_Toc19667"/>
      <w:bookmarkStart w:id="155" w:name="_Toc8752"/>
      <w:bookmarkStart w:id="156" w:name="bookmark461"/>
      <w:bookmarkStart w:id="157" w:name="bookmark460"/>
      <w:bookmarkStart w:id="158" w:name="bookmark462"/>
      <w:bookmarkStart w:id="159" w:name="_Toc14126"/>
      <w:bookmarkStart w:id="160" w:name="_Toc1158"/>
      <w:r>
        <w:rPr>
          <w:rFonts w:hint="eastAsia" w:ascii="宋体" w:hAnsi="宋体" w:eastAsia="宋体" w:cs="宋体"/>
          <w:color w:val="auto"/>
        </w:rPr>
        <w:t>附件5  确认通知</w:t>
      </w:r>
      <w:bookmarkEnd w:id="154"/>
      <w:bookmarkEnd w:id="155"/>
    </w:p>
    <w:p w14:paraId="4FD8576F">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282D2CC0">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13AE80C5">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6"/>
          <w:szCs w:val="36"/>
        </w:rPr>
      </w:pPr>
      <w:r>
        <w:rPr>
          <w:rFonts w:hint="eastAsia" w:ascii="宋体" w:hAnsi="宋体" w:eastAsia="宋体" w:cs="宋体"/>
          <w:color w:val="auto"/>
          <w:sz w:val="36"/>
          <w:szCs w:val="36"/>
        </w:rPr>
        <w:t>确 认 通 知</w:t>
      </w:r>
    </w:p>
    <w:p w14:paraId="4484B8B6">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450FDB11">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21"/>
          <w:szCs w:val="21"/>
        </w:rPr>
      </w:pPr>
    </w:p>
    <w:p w14:paraId="6EE7DBD7">
      <w:pPr>
        <w:pStyle w:val="19"/>
        <w:pageBreakBefore w:val="0"/>
        <w:widowControl/>
        <w:kinsoku/>
        <w:overflowPunct/>
        <w:topLinePunct w:val="0"/>
        <w:bidi w:val="0"/>
        <w:snapToGrid/>
        <w:spacing w:beforeAutospacing="0" w:afterAutospacing="0" w:line="360" w:lineRule="auto"/>
        <w:jc w:val="both"/>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u w:val="single"/>
          <w:lang w:eastAsia="zh-CN"/>
        </w:rPr>
        <w:t>采购人</w:t>
      </w:r>
      <w:r>
        <w:rPr>
          <w:rFonts w:hint="eastAsia" w:ascii="宋体" w:hAnsi="宋体" w:eastAsia="宋体" w:cs="宋体"/>
          <w:color w:val="auto"/>
          <w:u w:val="single"/>
        </w:rPr>
        <w:t>或</w:t>
      </w:r>
      <w:r>
        <w:rPr>
          <w:rFonts w:hint="eastAsia" w:ascii="宋体" w:hAnsi="宋体" w:eastAsia="宋体" w:cs="宋体"/>
          <w:color w:val="auto"/>
          <w:u w:val="single"/>
          <w:lang w:eastAsia="zh-CN"/>
        </w:rPr>
        <w:t>采购代理机构</w:t>
      </w:r>
      <w:r>
        <w:rPr>
          <w:rFonts w:hint="eastAsia" w:ascii="宋体" w:hAnsi="宋体" w:eastAsia="宋体" w:cs="宋体"/>
          <w:color w:val="auto"/>
          <w:u w:val="single"/>
        </w:rPr>
        <w:t>名称）</w:t>
      </w:r>
      <w:r>
        <w:rPr>
          <w:rFonts w:hint="eastAsia" w:ascii="宋体" w:hAnsi="宋体" w:eastAsia="宋体" w:cs="宋体"/>
          <w:color w:val="auto"/>
        </w:rPr>
        <w:t>：</w:t>
      </w:r>
    </w:p>
    <w:p w14:paraId="2B591AD2">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72C7383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你方于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日发出的</w:t>
      </w:r>
      <w:r>
        <w:rPr>
          <w:rFonts w:hint="eastAsia" w:ascii="宋体" w:hAnsi="宋体" w:eastAsia="宋体" w:cs="宋体"/>
          <w:color w:val="auto"/>
          <w:u w:val="single"/>
        </w:rPr>
        <w:t xml:space="preserve">            （项目名称）</w:t>
      </w:r>
      <w:r>
        <w:rPr>
          <w:rFonts w:hint="eastAsia" w:ascii="宋体" w:hAnsi="宋体" w:eastAsia="宋体" w:cs="宋体"/>
          <w:color w:val="auto"/>
        </w:rPr>
        <w:t>采购文件的澄清/修改的通知，我方已于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日收到。</w:t>
      </w:r>
    </w:p>
    <w:p w14:paraId="1F0A13BE">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r>
        <w:rPr>
          <w:rFonts w:hint="eastAsia" w:ascii="宋体" w:hAnsi="宋体" w:eastAsia="宋体" w:cs="宋体"/>
          <w:color w:val="auto"/>
        </w:rPr>
        <w:t>特此确认。</w:t>
      </w:r>
    </w:p>
    <w:p w14:paraId="65185480">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55774025">
      <w:pPr>
        <w:pStyle w:val="19"/>
        <w:pageBreakBefore w:val="0"/>
        <w:widowControl/>
        <w:kinsoku/>
        <w:overflowPunct/>
        <w:topLinePunct w:val="0"/>
        <w:bidi w:val="0"/>
        <w:snapToGrid/>
        <w:spacing w:beforeAutospacing="0" w:afterAutospacing="0" w:line="360" w:lineRule="auto"/>
        <w:ind w:firstLine="480" w:firstLineChars="200"/>
        <w:rPr>
          <w:rFonts w:hint="eastAsia" w:ascii="宋体" w:hAnsi="宋体" w:eastAsia="宋体" w:cs="宋体"/>
          <w:color w:val="auto"/>
        </w:rPr>
      </w:pPr>
    </w:p>
    <w:p w14:paraId="4E9079F7">
      <w:pPr>
        <w:pStyle w:val="19"/>
        <w:pageBreakBefore w:val="0"/>
        <w:widowControl/>
        <w:kinsoku/>
        <w:overflowPunct/>
        <w:topLinePunct w:val="0"/>
        <w:bidi w:val="0"/>
        <w:snapToGrid/>
        <w:spacing w:beforeAutospacing="0" w:afterAutospacing="0" w:line="360" w:lineRule="auto"/>
        <w:ind w:left="2520" w:firstLine="720" w:firstLineChars="300"/>
        <w:rPr>
          <w:rFonts w:hint="eastAsia" w:ascii="宋体" w:hAnsi="宋体" w:eastAsia="宋体" w:cs="宋体"/>
          <w:color w:val="auto"/>
        </w:rPr>
      </w:pPr>
      <w:r>
        <w:rPr>
          <w:rFonts w:hint="eastAsia" w:ascii="宋体" w:hAnsi="宋体" w:eastAsia="宋体" w:cs="宋体"/>
          <w:color w:val="auto"/>
          <w:lang w:eastAsia="zh-CN"/>
        </w:rPr>
        <w:t>询比响应人</w:t>
      </w:r>
      <w:r>
        <w:rPr>
          <w:rFonts w:hint="eastAsia" w:ascii="宋体" w:hAnsi="宋体" w:eastAsia="宋体" w:cs="宋体"/>
          <w:color w:val="auto"/>
        </w:rPr>
        <w:t>∶</w:t>
      </w:r>
      <w:r>
        <w:rPr>
          <w:rFonts w:hint="eastAsia" w:ascii="宋体" w:hAnsi="宋体" w:eastAsia="宋体" w:cs="宋体"/>
          <w:color w:val="auto"/>
          <w:u w:val="single"/>
        </w:rPr>
        <w:t xml:space="preserve">                     （盖单位章）</w:t>
      </w:r>
    </w:p>
    <w:p w14:paraId="1CFF0E9F">
      <w:pPr>
        <w:pageBreakBefore w:val="0"/>
        <w:kinsoku/>
        <w:overflowPunct/>
        <w:topLinePunct w:val="0"/>
        <w:bidi w:val="0"/>
        <w:snapToGrid/>
        <w:spacing w:line="360" w:lineRule="auto"/>
        <w:rPr>
          <w:rFonts w:hint="eastAsia" w:ascii="宋体" w:hAnsi="宋体" w:eastAsia="宋体" w:cs="宋体"/>
          <w:color w:val="auto"/>
          <w:sz w:val="24"/>
        </w:rPr>
      </w:pPr>
    </w:p>
    <w:p w14:paraId="57E4EDE3">
      <w:pPr>
        <w:pageBreakBefore w:val="0"/>
        <w:kinsoku/>
        <w:overflowPunct/>
        <w:topLinePunct w:val="0"/>
        <w:bidi w:val="0"/>
        <w:snapToGrid/>
        <w:spacing w:line="360" w:lineRule="auto"/>
        <w:ind w:left="5040" w:firstLine="420"/>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0F9A95A9">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br w:type="page"/>
      </w:r>
    </w:p>
    <w:p w14:paraId="5D8EACE0">
      <w:pPr>
        <w:spacing w:line="360" w:lineRule="auto"/>
        <w:jc w:val="center"/>
        <w:outlineLvl w:val="0"/>
        <w:rPr>
          <w:rFonts w:ascii="宋体" w:cs="Times New Roman"/>
          <w:b/>
          <w:bCs/>
          <w:color w:val="auto"/>
          <w:spacing w:val="20"/>
          <w:sz w:val="44"/>
          <w:szCs w:val="44"/>
        </w:rPr>
      </w:pPr>
      <w:r>
        <w:rPr>
          <w:rFonts w:hint="eastAsia" w:ascii="宋体" w:hAnsi="宋体" w:cs="宋体"/>
          <w:b/>
          <w:bCs/>
          <w:color w:val="auto"/>
          <w:spacing w:val="20"/>
          <w:sz w:val="44"/>
          <w:szCs w:val="44"/>
        </w:rPr>
        <w:t>第三章</w:t>
      </w:r>
      <w:r>
        <w:rPr>
          <w:rFonts w:ascii="宋体" w:hAnsi="宋体" w:cs="宋体"/>
          <w:b/>
          <w:bCs/>
          <w:color w:val="auto"/>
          <w:spacing w:val="20"/>
          <w:sz w:val="44"/>
          <w:szCs w:val="44"/>
        </w:rPr>
        <w:t xml:space="preserve">  </w:t>
      </w:r>
      <w:r>
        <w:rPr>
          <w:rFonts w:hint="eastAsia" w:ascii="宋体" w:hAnsi="宋体" w:cs="宋体"/>
          <w:b/>
          <w:bCs/>
          <w:color w:val="auto"/>
          <w:spacing w:val="20"/>
          <w:sz w:val="44"/>
          <w:szCs w:val="44"/>
        </w:rPr>
        <w:t>评</w:t>
      </w:r>
      <w:r>
        <w:rPr>
          <w:rFonts w:ascii="宋体" w:hAnsi="宋体" w:cs="宋体"/>
          <w:b/>
          <w:bCs/>
          <w:color w:val="auto"/>
          <w:spacing w:val="20"/>
          <w:sz w:val="44"/>
          <w:szCs w:val="44"/>
        </w:rPr>
        <w:t xml:space="preserve"> </w:t>
      </w:r>
      <w:r>
        <w:rPr>
          <w:rFonts w:hint="eastAsia" w:ascii="宋体" w:hAnsi="宋体" w:cs="宋体"/>
          <w:b/>
          <w:bCs/>
          <w:color w:val="auto"/>
          <w:spacing w:val="20"/>
          <w:sz w:val="44"/>
          <w:szCs w:val="44"/>
        </w:rPr>
        <w:t>审</w:t>
      </w:r>
      <w:r>
        <w:rPr>
          <w:rFonts w:ascii="宋体" w:hAnsi="宋体" w:cs="宋体"/>
          <w:b/>
          <w:bCs/>
          <w:color w:val="auto"/>
          <w:spacing w:val="20"/>
          <w:sz w:val="44"/>
          <w:szCs w:val="44"/>
        </w:rPr>
        <w:t xml:space="preserve"> </w:t>
      </w:r>
      <w:r>
        <w:rPr>
          <w:rFonts w:hint="eastAsia" w:ascii="宋体" w:hAnsi="宋体" w:cs="宋体"/>
          <w:b/>
          <w:bCs/>
          <w:color w:val="auto"/>
          <w:spacing w:val="20"/>
          <w:sz w:val="44"/>
          <w:szCs w:val="44"/>
        </w:rPr>
        <w:t>办</w:t>
      </w:r>
      <w:r>
        <w:rPr>
          <w:rFonts w:ascii="宋体" w:hAnsi="宋体" w:cs="宋体"/>
          <w:b/>
          <w:bCs/>
          <w:color w:val="auto"/>
          <w:spacing w:val="20"/>
          <w:sz w:val="44"/>
          <w:szCs w:val="44"/>
        </w:rPr>
        <w:t xml:space="preserve"> </w:t>
      </w:r>
      <w:r>
        <w:rPr>
          <w:rFonts w:hint="eastAsia" w:ascii="宋体" w:hAnsi="宋体" w:cs="宋体"/>
          <w:b/>
          <w:bCs/>
          <w:color w:val="auto"/>
          <w:spacing w:val="20"/>
          <w:sz w:val="44"/>
          <w:szCs w:val="44"/>
        </w:rPr>
        <w:t>法</w:t>
      </w:r>
    </w:p>
    <w:tbl>
      <w:tblPr>
        <w:tblStyle w:val="22"/>
        <w:tblpPr w:leftFromText="180" w:rightFromText="180" w:vertAnchor="text" w:horzAnchor="page" w:tblpX="782" w:tblpY="518"/>
        <w:tblOverlap w:val="never"/>
        <w:tblW w:w="10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913"/>
        <w:gridCol w:w="995"/>
        <w:gridCol w:w="2348"/>
        <w:gridCol w:w="6090"/>
      </w:tblGrid>
      <w:tr w14:paraId="56AC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695" w:hRule="exact"/>
        </w:trPr>
        <w:tc>
          <w:tcPr>
            <w:tcW w:w="1908" w:type="dxa"/>
            <w:gridSpan w:val="2"/>
            <w:shd w:val="clear" w:color="auto" w:fill="auto"/>
            <w:vAlign w:val="center"/>
          </w:tcPr>
          <w:p w14:paraId="038E7E5E">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bookmarkStart w:id="161" w:name="bookmark459"/>
            <w:bookmarkStart w:id="162" w:name="bookmark458"/>
            <w:bookmarkStart w:id="163" w:name="bookmark457"/>
            <w:bookmarkStart w:id="164" w:name="_Toc27926"/>
            <w:r>
              <w:rPr>
                <w:rFonts w:hint="eastAsia" w:ascii="宋体" w:hAnsi="宋体" w:eastAsia="宋体" w:cs="宋体"/>
                <w:color w:val="auto"/>
                <w:sz w:val="24"/>
                <w:szCs w:val="24"/>
              </w:rPr>
              <w:t>条款号及名称</w:t>
            </w:r>
          </w:p>
        </w:tc>
        <w:tc>
          <w:tcPr>
            <w:tcW w:w="2348" w:type="dxa"/>
            <w:shd w:val="clear" w:color="auto" w:fill="auto"/>
            <w:vAlign w:val="center"/>
          </w:tcPr>
          <w:p w14:paraId="4B5AEED8">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评审因素</w:t>
            </w:r>
          </w:p>
        </w:tc>
        <w:tc>
          <w:tcPr>
            <w:tcW w:w="6090" w:type="dxa"/>
            <w:shd w:val="clear" w:color="auto" w:fill="auto"/>
            <w:vAlign w:val="center"/>
          </w:tcPr>
          <w:p w14:paraId="2E3719D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评审标准</w:t>
            </w:r>
          </w:p>
        </w:tc>
      </w:tr>
      <w:tr w14:paraId="5099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75" w:hRule="exact"/>
        </w:trPr>
        <w:tc>
          <w:tcPr>
            <w:tcW w:w="913" w:type="dxa"/>
            <w:shd w:val="clear" w:color="auto" w:fill="auto"/>
            <w:vAlign w:val="center"/>
          </w:tcPr>
          <w:p w14:paraId="281D05ED">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995" w:type="dxa"/>
            <w:shd w:val="clear" w:color="auto" w:fill="auto"/>
            <w:vAlign w:val="center"/>
          </w:tcPr>
          <w:p w14:paraId="3C63A198">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评审方法</w:t>
            </w:r>
          </w:p>
        </w:tc>
        <w:tc>
          <w:tcPr>
            <w:tcW w:w="2348" w:type="dxa"/>
            <w:shd w:val="clear" w:color="auto" w:fill="auto"/>
            <w:vAlign w:val="center"/>
          </w:tcPr>
          <w:p w14:paraId="37FF28CD">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评审方法</w:t>
            </w:r>
          </w:p>
        </w:tc>
        <w:tc>
          <w:tcPr>
            <w:tcW w:w="6090" w:type="dxa"/>
            <w:shd w:val="clear" w:color="auto" w:fill="auto"/>
            <w:vAlign w:val="center"/>
          </w:tcPr>
          <w:p w14:paraId="71DCA421">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口最低价法</w:t>
            </w:r>
          </w:p>
          <w:p w14:paraId="5B50CD9A">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sym w:font="Wingdings 2" w:char="0052"/>
            </w:r>
            <w:r>
              <w:rPr>
                <w:rFonts w:hint="eastAsia" w:ascii="宋体" w:hAnsi="宋体" w:eastAsia="宋体" w:cs="宋体"/>
                <w:color w:val="auto"/>
                <w:sz w:val="24"/>
                <w:szCs w:val="24"/>
              </w:rPr>
              <w:t>综合评分法</w:t>
            </w:r>
          </w:p>
        </w:tc>
      </w:tr>
      <w:tr w14:paraId="5BA9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0" w:hRule="exact"/>
        </w:trPr>
        <w:tc>
          <w:tcPr>
            <w:tcW w:w="913" w:type="dxa"/>
            <w:vMerge w:val="restart"/>
            <w:shd w:val="clear" w:color="auto" w:fill="auto"/>
            <w:vAlign w:val="center"/>
          </w:tcPr>
          <w:p w14:paraId="058B7E4A">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2.1.</w:t>
            </w:r>
            <w:r>
              <w:rPr>
                <w:rFonts w:hint="eastAsia" w:ascii="宋体" w:hAnsi="宋体" w:eastAsia="宋体" w:cs="宋体"/>
                <w:color w:val="auto"/>
                <w:sz w:val="24"/>
                <w:szCs w:val="24"/>
              </w:rPr>
              <w:t>1</w:t>
            </w:r>
          </w:p>
        </w:tc>
        <w:tc>
          <w:tcPr>
            <w:tcW w:w="995" w:type="dxa"/>
            <w:vMerge w:val="restart"/>
            <w:shd w:val="clear" w:color="auto" w:fill="auto"/>
            <w:vAlign w:val="center"/>
          </w:tcPr>
          <w:p w14:paraId="2EDD574B">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形式评审标准</w:t>
            </w:r>
          </w:p>
        </w:tc>
        <w:tc>
          <w:tcPr>
            <w:tcW w:w="2348" w:type="dxa"/>
            <w:shd w:val="clear" w:color="auto" w:fill="auto"/>
            <w:vAlign w:val="center"/>
          </w:tcPr>
          <w:p w14:paraId="5A43B703">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名称</w:t>
            </w:r>
          </w:p>
        </w:tc>
        <w:tc>
          <w:tcPr>
            <w:tcW w:w="6090" w:type="dxa"/>
            <w:shd w:val="clear" w:color="auto" w:fill="auto"/>
            <w:vAlign w:val="center"/>
          </w:tcPr>
          <w:p w14:paraId="532573EB">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与市场监管部门或其他行政机关颁发的可以合法开展业务的执照或证书一致</w:t>
            </w:r>
          </w:p>
        </w:tc>
      </w:tr>
      <w:tr w14:paraId="680F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5" w:hRule="exact"/>
        </w:trPr>
        <w:tc>
          <w:tcPr>
            <w:tcW w:w="913" w:type="dxa"/>
            <w:vMerge w:val="continue"/>
            <w:shd w:val="clear" w:color="auto" w:fill="auto"/>
            <w:vAlign w:val="center"/>
          </w:tcPr>
          <w:p w14:paraId="6CD1D23E">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00252A0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06B0F649">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响应文件签字盖章</w:t>
            </w:r>
          </w:p>
        </w:tc>
        <w:tc>
          <w:tcPr>
            <w:tcW w:w="6090" w:type="dxa"/>
            <w:shd w:val="clear" w:color="auto" w:fill="auto"/>
            <w:vAlign w:val="center"/>
          </w:tcPr>
          <w:p w14:paraId="324427CD">
            <w:pPr>
              <w:pageBreakBefore w:val="0"/>
              <w:shd w:val="clear"/>
              <w:kinsoku/>
              <w:overflowPunct/>
              <w:topLinePunct w:val="0"/>
              <w:bidi w:val="0"/>
              <w:snapToGrid/>
              <w:spacing w:line="360" w:lineRule="auto"/>
              <w:jc w:val="left"/>
              <w:rPr>
                <w:rFonts w:hint="eastAsia" w:ascii="宋体" w:hAnsi="宋体" w:eastAsia="宋体" w:cs="宋体"/>
                <w:color w:val="auto"/>
                <w:sz w:val="24"/>
                <w:szCs w:val="24"/>
                <w:lang w:eastAsia="zh-CN"/>
              </w:rPr>
            </w:pPr>
            <w:r>
              <w:rPr>
                <w:rFonts w:hint="eastAsia" w:ascii="宋体" w:hAnsi="宋体" w:eastAsia="宋体" w:cs="宋体"/>
                <w:color w:val="auto"/>
                <w:sz w:val="24"/>
                <w:lang w:eastAsia="zh-CN"/>
              </w:rPr>
              <w:t>按照询比采购文件要求签字或盖章</w:t>
            </w:r>
          </w:p>
        </w:tc>
      </w:tr>
      <w:tr w14:paraId="313C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25" w:hRule="exact"/>
        </w:trPr>
        <w:tc>
          <w:tcPr>
            <w:tcW w:w="913" w:type="dxa"/>
            <w:vMerge w:val="continue"/>
            <w:shd w:val="clear" w:color="auto" w:fill="auto"/>
            <w:vAlign w:val="center"/>
          </w:tcPr>
          <w:p w14:paraId="66DAE4FD">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357A4E72">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33FBF4BD">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联合体协议书</w:t>
            </w:r>
          </w:p>
        </w:tc>
        <w:tc>
          <w:tcPr>
            <w:tcW w:w="6090" w:type="dxa"/>
            <w:shd w:val="clear" w:color="auto" w:fill="auto"/>
            <w:vAlign w:val="center"/>
          </w:tcPr>
          <w:p w14:paraId="009F94D5">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递交联合体协议书，并明确联合体牵头人</w:t>
            </w:r>
          </w:p>
        </w:tc>
      </w:tr>
      <w:tr w14:paraId="63E0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900" w:hRule="exact"/>
        </w:trPr>
        <w:tc>
          <w:tcPr>
            <w:tcW w:w="913" w:type="dxa"/>
            <w:vMerge w:val="continue"/>
            <w:shd w:val="clear" w:color="auto" w:fill="auto"/>
            <w:vAlign w:val="center"/>
          </w:tcPr>
          <w:p w14:paraId="4BEF7259">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4EDD43C3">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2DFB48DB">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响应函中实质性内容</w:t>
            </w:r>
          </w:p>
        </w:tc>
        <w:tc>
          <w:tcPr>
            <w:tcW w:w="6090" w:type="dxa"/>
            <w:shd w:val="clear" w:color="auto" w:fill="auto"/>
            <w:vAlign w:val="center"/>
          </w:tcPr>
          <w:p w14:paraId="703902ED">
            <w:pPr>
              <w:pageBreakBefore w:val="0"/>
              <w:shd w:val="clear"/>
              <w:kinsoku/>
              <w:overflowPunct/>
              <w:topLinePunct w:val="0"/>
              <w:bidi w:val="0"/>
              <w:snapToGrid/>
              <w:spacing w:line="360" w:lineRule="auto"/>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响应函</w:t>
            </w:r>
            <w:r>
              <w:rPr>
                <w:rFonts w:hint="eastAsia" w:ascii="宋体" w:hAnsi="宋体" w:eastAsia="宋体" w:cs="宋体"/>
                <w:color w:val="auto"/>
                <w:sz w:val="24"/>
                <w:szCs w:val="24"/>
                <w:lang w:eastAsia="zh-CN"/>
              </w:rPr>
              <w:t>具体要求</w:t>
            </w:r>
          </w:p>
        </w:tc>
      </w:tr>
      <w:tr w14:paraId="37C0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5" w:hRule="exact"/>
        </w:trPr>
        <w:tc>
          <w:tcPr>
            <w:tcW w:w="913" w:type="dxa"/>
            <w:vMerge w:val="restart"/>
            <w:shd w:val="clear" w:color="auto" w:fill="auto"/>
            <w:vAlign w:val="center"/>
          </w:tcPr>
          <w:p w14:paraId="5C284106">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2.1.2</w:t>
            </w:r>
          </w:p>
        </w:tc>
        <w:tc>
          <w:tcPr>
            <w:tcW w:w="995" w:type="dxa"/>
            <w:vMerge w:val="restart"/>
            <w:shd w:val="clear" w:color="auto" w:fill="auto"/>
            <w:vAlign w:val="center"/>
          </w:tcPr>
          <w:p w14:paraId="6C9C52F7">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资格评审标准</w:t>
            </w:r>
          </w:p>
        </w:tc>
        <w:tc>
          <w:tcPr>
            <w:tcW w:w="2348" w:type="dxa"/>
            <w:shd w:val="clear" w:color="auto" w:fill="auto"/>
            <w:vAlign w:val="center"/>
          </w:tcPr>
          <w:p w14:paraId="66E2E05A">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依法设立</w:t>
            </w:r>
          </w:p>
        </w:tc>
        <w:tc>
          <w:tcPr>
            <w:tcW w:w="6090" w:type="dxa"/>
            <w:shd w:val="clear" w:color="auto" w:fill="auto"/>
            <w:vAlign w:val="center"/>
          </w:tcPr>
          <w:p w14:paraId="7710BE93">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(1) 款规定</w:t>
            </w:r>
          </w:p>
        </w:tc>
      </w:tr>
      <w:tr w14:paraId="270C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75" w:hRule="exact"/>
        </w:trPr>
        <w:tc>
          <w:tcPr>
            <w:tcW w:w="913" w:type="dxa"/>
            <w:vMerge w:val="continue"/>
            <w:shd w:val="clear" w:color="auto" w:fill="auto"/>
            <w:vAlign w:val="center"/>
          </w:tcPr>
          <w:p w14:paraId="787C960E">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334280F4">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4DF40F2F">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资质要求</w:t>
            </w:r>
          </w:p>
        </w:tc>
        <w:tc>
          <w:tcPr>
            <w:tcW w:w="6090" w:type="dxa"/>
            <w:shd w:val="clear" w:color="auto" w:fill="auto"/>
            <w:vAlign w:val="center"/>
          </w:tcPr>
          <w:p w14:paraId="58285DD8">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(2) 款规定</w:t>
            </w:r>
          </w:p>
        </w:tc>
      </w:tr>
      <w:tr w14:paraId="1C4C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05" w:hRule="exact"/>
        </w:trPr>
        <w:tc>
          <w:tcPr>
            <w:tcW w:w="913" w:type="dxa"/>
            <w:vMerge w:val="continue"/>
            <w:shd w:val="clear" w:color="auto" w:fill="auto"/>
            <w:vAlign w:val="center"/>
          </w:tcPr>
          <w:p w14:paraId="2E9DD0C8">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528E3B3F">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5BB5D8D9">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财务要求</w:t>
            </w:r>
          </w:p>
        </w:tc>
        <w:tc>
          <w:tcPr>
            <w:tcW w:w="6090" w:type="dxa"/>
            <w:shd w:val="clear" w:color="auto" w:fill="auto"/>
            <w:vAlign w:val="center"/>
          </w:tcPr>
          <w:p w14:paraId="64460BBA">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(3) 款规定</w:t>
            </w:r>
          </w:p>
        </w:tc>
      </w:tr>
      <w:tr w14:paraId="213F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5" w:hRule="exact"/>
        </w:trPr>
        <w:tc>
          <w:tcPr>
            <w:tcW w:w="913" w:type="dxa"/>
            <w:vMerge w:val="continue"/>
            <w:shd w:val="clear" w:color="auto" w:fill="auto"/>
            <w:vAlign w:val="center"/>
          </w:tcPr>
          <w:p w14:paraId="3A20DA8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7D2171D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2EA8E99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业绩要求</w:t>
            </w:r>
          </w:p>
        </w:tc>
        <w:tc>
          <w:tcPr>
            <w:tcW w:w="6090" w:type="dxa"/>
            <w:shd w:val="clear" w:color="auto" w:fill="auto"/>
            <w:vAlign w:val="center"/>
          </w:tcPr>
          <w:p w14:paraId="0C908752">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1款及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(4) 款规定</w:t>
            </w:r>
          </w:p>
        </w:tc>
      </w:tr>
      <w:tr w14:paraId="35AF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5" w:hRule="exact"/>
        </w:trPr>
        <w:tc>
          <w:tcPr>
            <w:tcW w:w="913" w:type="dxa"/>
            <w:vMerge w:val="continue"/>
            <w:shd w:val="clear" w:color="auto" w:fill="auto"/>
            <w:vAlign w:val="center"/>
          </w:tcPr>
          <w:p w14:paraId="3F8C1FDF">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06CE9EF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3D46739A">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信誉要求</w:t>
            </w:r>
          </w:p>
        </w:tc>
        <w:tc>
          <w:tcPr>
            <w:tcW w:w="6090" w:type="dxa"/>
            <w:shd w:val="clear" w:color="auto" w:fill="auto"/>
            <w:vAlign w:val="center"/>
          </w:tcPr>
          <w:p w14:paraId="41BC124A">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(5) 款规定</w:t>
            </w:r>
          </w:p>
        </w:tc>
      </w:tr>
      <w:tr w14:paraId="2799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5" w:hRule="exact"/>
        </w:trPr>
        <w:tc>
          <w:tcPr>
            <w:tcW w:w="913" w:type="dxa"/>
            <w:vMerge w:val="continue"/>
            <w:shd w:val="clear" w:color="auto" w:fill="auto"/>
            <w:vAlign w:val="center"/>
          </w:tcPr>
          <w:p w14:paraId="079ED56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0D622A59">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1F4353BF">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人员要求</w:t>
            </w:r>
          </w:p>
        </w:tc>
        <w:tc>
          <w:tcPr>
            <w:tcW w:w="6090" w:type="dxa"/>
            <w:shd w:val="clear" w:color="auto" w:fill="auto"/>
            <w:vAlign w:val="center"/>
          </w:tcPr>
          <w:p w14:paraId="17F6D732">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3.1</w:t>
            </w:r>
            <w:r>
              <w:rPr>
                <w:rFonts w:hint="eastAsia" w:ascii="宋体" w:hAnsi="宋体" w:eastAsia="宋体" w:cs="宋体"/>
                <w:color w:val="auto"/>
                <w:sz w:val="24"/>
                <w:szCs w:val="24"/>
              </w:rPr>
              <w:t>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(6) 款规定</w:t>
            </w:r>
          </w:p>
        </w:tc>
      </w:tr>
      <w:tr w14:paraId="5293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17" w:hRule="exact"/>
        </w:trPr>
        <w:tc>
          <w:tcPr>
            <w:tcW w:w="913" w:type="dxa"/>
            <w:vMerge w:val="continue"/>
            <w:shd w:val="clear" w:color="auto" w:fill="auto"/>
            <w:vAlign w:val="center"/>
          </w:tcPr>
          <w:p w14:paraId="622B6832">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995" w:type="dxa"/>
            <w:vMerge w:val="continue"/>
            <w:shd w:val="clear" w:color="auto" w:fill="auto"/>
            <w:vAlign w:val="center"/>
          </w:tcPr>
          <w:p w14:paraId="01D63C03">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p>
        </w:tc>
        <w:tc>
          <w:tcPr>
            <w:tcW w:w="2348" w:type="dxa"/>
            <w:shd w:val="clear" w:color="auto" w:fill="auto"/>
            <w:vAlign w:val="center"/>
          </w:tcPr>
          <w:p w14:paraId="586EE921">
            <w:pPr>
              <w:pageBreakBefore w:val="0"/>
              <w:shd w:val="clear"/>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其他要求</w:t>
            </w:r>
          </w:p>
        </w:tc>
        <w:tc>
          <w:tcPr>
            <w:tcW w:w="6090" w:type="dxa"/>
            <w:shd w:val="clear" w:color="auto" w:fill="auto"/>
            <w:vAlign w:val="center"/>
          </w:tcPr>
          <w:p w14:paraId="3859262B">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1款及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3.5 </w:t>
            </w:r>
            <w:r>
              <w:rPr>
                <w:rFonts w:hint="eastAsia" w:ascii="宋体" w:hAnsi="宋体" w:eastAsia="宋体" w:cs="宋体"/>
                <w:color w:val="auto"/>
                <w:sz w:val="24"/>
                <w:szCs w:val="24"/>
              </w:rPr>
              <w:t>(7) 款规定</w:t>
            </w:r>
          </w:p>
        </w:tc>
      </w:tr>
      <w:tr w14:paraId="339F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65" w:hRule="exact"/>
        </w:trPr>
        <w:tc>
          <w:tcPr>
            <w:tcW w:w="913" w:type="dxa"/>
            <w:vMerge w:val="continue"/>
            <w:shd w:val="clear" w:color="auto" w:fill="auto"/>
            <w:vAlign w:val="center"/>
          </w:tcPr>
          <w:p w14:paraId="55AEE985">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c>
          <w:tcPr>
            <w:tcW w:w="995" w:type="dxa"/>
            <w:vMerge w:val="continue"/>
            <w:shd w:val="clear" w:color="auto" w:fill="auto"/>
            <w:vAlign w:val="center"/>
          </w:tcPr>
          <w:p w14:paraId="3FF2BEC2">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c>
          <w:tcPr>
            <w:tcW w:w="2348" w:type="dxa"/>
            <w:shd w:val="clear" w:color="auto" w:fill="auto"/>
            <w:vAlign w:val="center"/>
          </w:tcPr>
          <w:p w14:paraId="4AB6653C">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不存在第一</w:t>
            </w:r>
            <w:r>
              <w:rPr>
                <w:rFonts w:hint="eastAsia" w:ascii="宋体" w:hAnsi="宋体" w:eastAsia="宋体" w:cs="宋体"/>
                <w:color w:val="auto"/>
                <w:sz w:val="24"/>
                <w:szCs w:val="24"/>
                <w:lang w:eastAsia="zh-CN"/>
              </w:rPr>
              <w:t>章</w:t>
            </w: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en-US"/>
              </w:rPr>
              <w:t xml:space="preserve">3. </w:t>
            </w:r>
            <w:r>
              <w:rPr>
                <w:rFonts w:hint="eastAsia" w:ascii="宋体" w:hAnsi="宋体" w:eastAsia="宋体" w:cs="宋体"/>
                <w:color w:val="auto"/>
                <w:sz w:val="24"/>
                <w:szCs w:val="24"/>
              </w:rPr>
              <w:t>2款情形</w:t>
            </w:r>
          </w:p>
        </w:tc>
        <w:tc>
          <w:tcPr>
            <w:tcW w:w="6090" w:type="dxa"/>
            <w:shd w:val="clear" w:color="auto" w:fill="auto"/>
            <w:vAlign w:val="center"/>
          </w:tcPr>
          <w:p w14:paraId="74D1F1EA">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2款及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(8) 款规定</w:t>
            </w:r>
          </w:p>
        </w:tc>
      </w:tr>
      <w:tr w14:paraId="2A71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35" w:hRule="exact"/>
        </w:trPr>
        <w:tc>
          <w:tcPr>
            <w:tcW w:w="913" w:type="dxa"/>
            <w:vMerge w:val="continue"/>
            <w:shd w:val="clear" w:color="auto" w:fill="auto"/>
            <w:vAlign w:val="center"/>
          </w:tcPr>
          <w:p w14:paraId="52007681">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c>
          <w:tcPr>
            <w:tcW w:w="995" w:type="dxa"/>
            <w:vMerge w:val="continue"/>
            <w:shd w:val="clear" w:color="auto" w:fill="auto"/>
            <w:vAlign w:val="center"/>
          </w:tcPr>
          <w:p w14:paraId="14C655EF">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c>
          <w:tcPr>
            <w:tcW w:w="2348" w:type="dxa"/>
            <w:shd w:val="clear" w:color="auto" w:fill="auto"/>
            <w:vAlign w:val="center"/>
          </w:tcPr>
          <w:p w14:paraId="1F20C427">
            <w:pPr>
              <w:pageBreakBefore w:val="0"/>
              <w:shd w:val="clear"/>
              <w:kinsoku/>
              <w:overflowPunct/>
              <w:topLinePunct w:val="0"/>
              <w:bidi w:val="0"/>
              <w:snapToGrid/>
              <w:spacing w:line="360" w:lineRule="auto"/>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联合体</w:t>
            </w:r>
            <w:r>
              <w:rPr>
                <w:rFonts w:hint="eastAsia" w:ascii="宋体" w:hAnsi="宋体" w:eastAsia="宋体" w:cs="宋体"/>
                <w:color w:val="auto"/>
                <w:sz w:val="24"/>
                <w:szCs w:val="24"/>
                <w:lang w:eastAsia="zh-CN"/>
              </w:rPr>
              <w:t>询比响应人</w:t>
            </w:r>
          </w:p>
        </w:tc>
        <w:tc>
          <w:tcPr>
            <w:tcW w:w="6090" w:type="dxa"/>
            <w:shd w:val="clear" w:color="auto" w:fill="auto"/>
            <w:vAlign w:val="center"/>
          </w:tcPr>
          <w:p w14:paraId="1D90D743">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符合第一章第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3款及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须知前附表第</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5 (9) 款规定</w:t>
            </w:r>
          </w:p>
        </w:tc>
      </w:tr>
      <w:tr w14:paraId="0AA4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exact"/>
        </w:trPr>
        <w:tc>
          <w:tcPr>
            <w:tcW w:w="913" w:type="dxa"/>
            <w:vMerge w:val="continue"/>
            <w:shd w:val="clear" w:color="auto" w:fill="auto"/>
            <w:vAlign w:val="center"/>
          </w:tcPr>
          <w:p w14:paraId="25FFEB56">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c>
          <w:tcPr>
            <w:tcW w:w="995" w:type="dxa"/>
            <w:vMerge w:val="continue"/>
            <w:shd w:val="clear" w:color="auto" w:fill="auto"/>
            <w:vAlign w:val="center"/>
          </w:tcPr>
          <w:p w14:paraId="660F2C42">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c>
          <w:tcPr>
            <w:tcW w:w="2348" w:type="dxa"/>
            <w:shd w:val="clear" w:color="auto" w:fill="auto"/>
            <w:vAlign w:val="center"/>
          </w:tcPr>
          <w:p w14:paraId="09AF3C07">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6090" w:type="dxa"/>
            <w:shd w:val="clear" w:color="auto" w:fill="auto"/>
            <w:vAlign w:val="center"/>
          </w:tcPr>
          <w:p w14:paraId="3EFDC506">
            <w:pPr>
              <w:pageBreakBefore w:val="0"/>
              <w:shd w:val="clear"/>
              <w:kinsoku/>
              <w:overflowPunct/>
              <w:topLinePunct w:val="0"/>
              <w:bidi w:val="0"/>
              <w:snapToGrid/>
              <w:spacing w:line="360" w:lineRule="auto"/>
              <w:jc w:val="left"/>
              <w:rPr>
                <w:rFonts w:hint="eastAsia" w:ascii="宋体" w:hAnsi="宋体" w:eastAsia="宋体" w:cs="宋体"/>
                <w:color w:val="auto"/>
                <w:sz w:val="24"/>
                <w:szCs w:val="24"/>
              </w:rPr>
            </w:pPr>
          </w:p>
        </w:tc>
      </w:tr>
    </w:tbl>
    <w:p w14:paraId="134FB38A">
      <w:pPr>
        <w:pStyle w:val="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评审办法前附表</w:t>
      </w:r>
      <w:bookmarkEnd w:id="161"/>
      <w:bookmarkEnd w:id="162"/>
      <w:bookmarkEnd w:id="163"/>
      <w:bookmarkEnd w:id="164"/>
    </w:p>
    <w:tbl>
      <w:tblPr>
        <w:tblStyle w:val="22"/>
        <w:tblpPr w:leftFromText="180" w:rightFromText="180" w:vertAnchor="text" w:horzAnchor="page" w:tblpXSpec="center" w:tblpY="155"/>
        <w:tblOverlap w:val="never"/>
        <w:tblW w:w="10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673"/>
        <w:gridCol w:w="200"/>
        <w:gridCol w:w="1004"/>
        <w:gridCol w:w="2223"/>
        <w:gridCol w:w="6219"/>
      </w:tblGrid>
      <w:tr w14:paraId="2427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16E5A41F">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条款号及名称</w:t>
            </w:r>
          </w:p>
        </w:tc>
        <w:tc>
          <w:tcPr>
            <w:tcW w:w="2223" w:type="dxa"/>
            <w:shd w:val="clear" w:color="auto" w:fill="auto"/>
            <w:vAlign w:val="center"/>
          </w:tcPr>
          <w:p w14:paraId="151C7563">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评审因素</w:t>
            </w:r>
          </w:p>
        </w:tc>
        <w:tc>
          <w:tcPr>
            <w:tcW w:w="6219" w:type="dxa"/>
            <w:shd w:val="clear" w:color="auto" w:fill="auto"/>
            <w:vAlign w:val="center"/>
          </w:tcPr>
          <w:p w14:paraId="1C9AB808">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评审标准</w:t>
            </w:r>
          </w:p>
        </w:tc>
      </w:tr>
      <w:tr w14:paraId="7F3F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873" w:type="dxa"/>
            <w:gridSpan w:val="2"/>
            <w:vMerge w:val="restart"/>
            <w:shd w:val="clear" w:color="auto" w:fill="auto"/>
            <w:vAlign w:val="center"/>
          </w:tcPr>
          <w:p w14:paraId="6FFDE311">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2.1.3</w:t>
            </w:r>
          </w:p>
        </w:tc>
        <w:tc>
          <w:tcPr>
            <w:tcW w:w="1004" w:type="dxa"/>
            <w:vMerge w:val="restart"/>
            <w:shd w:val="clear" w:color="auto" w:fill="auto"/>
            <w:vAlign w:val="center"/>
          </w:tcPr>
          <w:p w14:paraId="694CD366">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响应性评审标准</w:t>
            </w:r>
          </w:p>
        </w:tc>
        <w:tc>
          <w:tcPr>
            <w:tcW w:w="2223" w:type="dxa"/>
            <w:shd w:val="clear" w:color="auto" w:fill="auto"/>
            <w:vAlign w:val="center"/>
          </w:tcPr>
          <w:p w14:paraId="31B89A60">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w:t>
            </w:r>
          </w:p>
        </w:tc>
        <w:tc>
          <w:tcPr>
            <w:tcW w:w="6219" w:type="dxa"/>
            <w:shd w:val="clear" w:color="auto" w:fill="auto"/>
            <w:vAlign w:val="center"/>
          </w:tcPr>
          <w:p w14:paraId="4211C29E">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符合第二章第</w:t>
            </w:r>
            <w:r>
              <w:rPr>
                <w:rFonts w:hint="eastAsia" w:ascii="宋体" w:hAnsi="宋体" w:eastAsia="宋体" w:cs="宋体"/>
                <w:color w:val="auto"/>
                <w:sz w:val="24"/>
                <w:szCs w:val="24"/>
                <w:lang w:val="en-US" w:eastAsia="en-US"/>
              </w:rPr>
              <w:t xml:space="preserve">3. </w:t>
            </w:r>
            <w:r>
              <w:rPr>
                <w:rFonts w:hint="eastAsia" w:ascii="宋体" w:hAnsi="宋体" w:eastAsia="宋体" w:cs="宋体"/>
                <w:color w:val="auto"/>
                <w:sz w:val="24"/>
                <w:szCs w:val="24"/>
              </w:rPr>
              <w:t>2款规定</w:t>
            </w:r>
          </w:p>
        </w:tc>
      </w:tr>
      <w:tr w14:paraId="5A40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048DF00E">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0E778E72">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2223" w:type="dxa"/>
            <w:shd w:val="clear" w:color="auto" w:fill="auto"/>
            <w:vAlign w:val="center"/>
          </w:tcPr>
          <w:p w14:paraId="34A0714A">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响应文件有效期</w:t>
            </w:r>
          </w:p>
        </w:tc>
        <w:tc>
          <w:tcPr>
            <w:tcW w:w="6219" w:type="dxa"/>
            <w:shd w:val="clear" w:color="auto" w:fill="auto"/>
            <w:vAlign w:val="center"/>
          </w:tcPr>
          <w:p w14:paraId="7E0263DB">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符合第二章第</w:t>
            </w:r>
            <w:r>
              <w:rPr>
                <w:rFonts w:hint="eastAsia" w:ascii="宋体" w:hAnsi="宋体" w:eastAsia="宋体" w:cs="宋体"/>
                <w:color w:val="auto"/>
                <w:sz w:val="24"/>
                <w:szCs w:val="24"/>
                <w:lang w:val="en-US" w:eastAsia="en-US"/>
              </w:rPr>
              <w:t xml:space="preserve">3. 3. </w:t>
            </w:r>
            <w:r>
              <w:rPr>
                <w:rFonts w:hint="eastAsia" w:ascii="宋体" w:hAnsi="宋体" w:eastAsia="宋体" w:cs="宋体"/>
                <w:color w:val="auto"/>
                <w:sz w:val="24"/>
                <w:szCs w:val="24"/>
              </w:rPr>
              <w:t>1项规定</w:t>
            </w:r>
          </w:p>
        </w:tc>
      </w:tr>
      <w:tr w14:paraId="1766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6D140309">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25AE6891">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2223" w:type="dxa"/>
            <w:shd w:val="clear" w:color="auto" w:fill="auto"/>
            <w:vAlign w:val="center"/>
          </w:tcPr>
          <w:p w14:paraId="69E43F5A">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响应保证金</w:t>
            </w:r>
          </w:p>
        </w:tc>
        <w:tc>
          <w:tcPr>
            <w:tcW w:w="6219" w:type="dxa"/>
            <w:shd w:val="clear" w:color="auto" w:fill="auto"/>
            <w:vAlign w:val="center"/>
          </w:tcPr>
          <w:p w14:paraId="1F4D6C6D">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符合第二章第</w:t>
            </w:r>
            <w:r>
              <w:rPr>
                <w:rFonts w:hint="eastAsia" w:ascii="宋体" w:hAnsi="宋体" w:eastAsia="宋体" w:cs="宋体"/>
                <w:color w:val="auto"/>
                <w:sz w:val="24"/>
                <w:szCs w:val="24"/>
                <w:lang w:val="en-US" w:eastAsia="en-US"/>
              </w:rPr>
              <w:t xml:space="preserve">3.4. </w:t>
            </w:r>
            <w:r>
              <w:rPr>
                <w:rFonts w:hint="eastAsia" w:ascii="宋体" w:hAnsi="宋体" w:eastAsia="宋体" w:cs="宋体"/>
                <w:color w:val="auto"/>
                <w:sz w:val="24"/>
                <w:szCs w:val="24"/>
              </w:rPr>
              <w:t>1项规定</w:t>
            </w:r>
          </w:p>
        </w:tc>
      </w:tr>
      <w:tr w14:paraId="231C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0984E999">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79078F90">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2223" w:type="dxa"/>
            <w:shd w:val="clear" w:color="auto" w:fill="auto"/>
            <w:vAlign w:val="center"/>
          </w:tcPr>
          <w:p w14:paraId="63C8CCFA">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响应方案</w:t>
            </w:r>
          </w:p>
        </w:tc>
        <w:tc>
          <w:tcPr>
            <w:tcW w:w="6219" w:type="dxa"/>
            <w:shd w:val="clear" w:color="auto" w:fill="auto"/>
            <w:vAlign w:val="center"/>
          </w:tcPr>
          <w:p w14:paraId="2068165E">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符合第二章第</w:t>
            </w:r>
            <w:r>
              <w:rPr>
                <w:rFonts w:hint="eastAsia" w:ascii="宋体" w:hAnsi="宋体" w:eastAsia="宋体" w:cs="宋体"/>
                <w:color w:val="auto"/>
                <w:sz w:val="24"/>
                <w:szCs w:val="24"/>
                <w:lang w:val="en-US" w:eastAsia="en-US"/>
              </w:rPr>
              <w:t>3.6</w:t>
            </w:r>
            <w:r>
              <w:rPr>
                <w:rFonts w:hint="eastAsia" w:ascii="宋体" w:hAnsi="宋体" w:eastAsia="宋体" w:cs="宋体"/>
                <w:color w:val="auto"/>
                <w:sz w:val="24"/>
                <w:szCs w:val="24"/>
              </w:rPr>
              <w:t>款规定</w:t>
            </w:r>
          </w:p>
        </w:tc>
      </w:tr>
      <w:tr w14:paraId="278E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0B95949D">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33F377A4">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2223" w:type="dxa"/>
            <w:shd w:val="clear" w:color="auto" w:fill="auto"/>
            <w:vAlign w:val="center"/>
          </w:tcPr>
          <w:p w14:paraId="4DDFA4B4">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质量标准</w:t>
            </w:r>
          </w:p>
        </w:tc>
        <w:tc>
          <w:tcPr>
            <w:tcW w:w="6219" w:type="dxa"/>
            <w:shd w:val="clear" w:color="auto" w:fill="auto"/>
            <w:vAlign w:val="center"/>
          </w:tcPr>
          <w:p w14:paraId="114CEE7A">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符合第一章第2条规定</w:t>
            </w:r>
          </w:p>
        </w:tc>
      </w:tr>
      <w:tr w14:paraId="2057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4EBF2923">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7D5F5DA5">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2223" w:type="dxa"/>
            <w:shd w:val="clear" w:color="auto" w:fill="auto"/>
            <w:vAlign w:val="center"/>
          </w:tcPr>
          <w:p w14:paraId="78B47FBD">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完成期限</w:t>
            </w:r>
          </w:p>
        </w:tc>
        <w:tc>
          <w:tcPr>
            <w:tcW w:w="6219" w:type="dxa"/>
            <w:shd w:val="clear" w:color="auto" w:fill="auto"/>
            <w:vAlign w:val="center"/>
          </w:tcPr>
          <w:p w14:paraId="079FACE3">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符合第一章第2条规定</w:t>
            </w:r>
          </w:p>
        </w:tc>
      </w:tr>
      <w:tr w14:paraId="4105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3D40C89A">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3A7407AA">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p>
        </w:tc>
        <w:tc>
          <w:tcPr>
            <w:tcW w:w="2223" w:type="dxa"/>
            <w:shd w:val="clear" w:color="auto" w:fill="auto"/>
            <w:vAlign w:val="center"/>
          </w:tcPr>
          <w:p w14:paraId="344CDFF5">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合同条款</w:t>
            </w:r>
          </w:p>
        </w:tc>
        <w:tc>
          <w:tcPr>
            <w:tcW w:w="6219" w:type="dxa"/>
            <w:shd w:val="clear" w:color="auto" w:fill="auto"/>
            <w:vAlign w:val="center"/>
          </w:tcPr>
          <w:p w14:paraId="21F14DE8">
            <w:pPr>
              <w:pStyle w:val="35"/>
              <w:keepNext w:val="0"/>
              <w:keepLines w:val="0"/>
              <w:pageBreakBefore w:val="0"/>
              <w:widowControl w:val="0"/>
              <w:shd w:val="clear"/>
              <w:kinsoku/>
              <w:wordWrap/>
              <w:overflowPunct/>
              <w:topLinePunct w:val="0"/>
              <w:autoSpaceDE/>
              <w:autoSpaceDN/>
              <w:bidi w:val="0"/>
              <w:adjustRightInd w:val="0"/>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符合第二章第</w:t>
            </w:r>
            <w:r>
              <w:rPr>
                <w:rFonts w:hint="eastAsia" w:ascii="宋体" w:hAnsi="宋体" w:eastAsia="宋体" w:cs="宋体"/>
                <w:color w:val="auto"/>
                <w:sz w:val="24"/>
                <w:szCs w:val="24"/>
                <w:lang w:val="en-US" w:eastAsia="en-US"/>
              </w:rPr>
              <w:t>1.10.</w:t>
            </w:r>
            <w:r>
              <w:rPr>
                <w:rFonts w:hint="eastAsia" w:ascii="宋体" w:hAnsi="宋体" w:eastAsia="宋体" w:cs="宋体"/>
                <w:color w:val="auto"/>
                <w:sz w:val="24"/>
                <w:szCs w:val="24"/>
              </w:rPr>
              <w:t>1项规定</w:t>
            </w:r>
          </w:p>
        </w:tc>
      </w:tr>
      <w:tr w14:paraId="42B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873" w:type="dxa"/>
            <w:gridSpan w:val="2"/>
            <w:vMerge w:val="continue"/>
            <w:shd w:val="clear" w:color="auto" w:fill="auto"/>
            <w:vAlign w:val="center"/>
          </w:tcPr>
          <w:p w14:paraId="5C668A53">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p>
        </w:tc>
        <w:tc>
          <w:tcPr>
            <w:tcW w:w="1004" w:type="dxa"/>
            <w:vMerge w:val="continue"/>
            <w:shd w:val="clear" w:color="auto" w:fill="auto"/>
            <w:vAlign w:val="center"/>
          </w:tcPr>
          <w:p w14:paraId="7767FAF2">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p>
        </w:tc>
        <w:tc>
          <w:tcPr>
            <w:tcW w:w="2223" w:type="dxa"/>
            <w:shd w:val="clear" w:color="auto" w:fill="auto"/>
            <w:vAlign w:val="center"/>
          </w:tcPr>
          <w:p w14:paraId="0E98E7BF">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对非关键条款的偏差</w:t>
            </w:r>
          </w:p>
        </w:tc>
        <w:tc>
          <w:tcPr>
            <w:tcW w:w="6219" w:type="dxa"/>
            <w:shd w:val="clear" w:color="auto" w:fill="auto"/>
            <w:vAlign w:val="center"/>
          </w:tcPr>
          <w:p w14:paraId="192E1314">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偏差范围和偏差项数符合第二章第</w:t>
            </w:r>
            <w:r>
              <w:rPr>
                <w:rFonts w:hint="eastAsia" w:ascii="宋体" w:hAnsi="宋体" w:eastAsia="宋体" w:cs="宋体"/>
                <w:color w:val="auto"/>
                <w:sz w:val="24"/>
                <w:szCs w:val="24"/>
                <w:lang w:val="en-US" w:eastAsia="zh-CN"/>
              </w:rPr>
              <w:t>1.10.2</w:t>
            </w:r>
            <w:r>
              <w:rPr>
                <w:rFonts w:hint="eastAsia" w:ascii="宋体" w:hAnsi="宋体" w:eastAsia="宋体" w:cs="宋体"/>
                <w:color w:val="auto"/>
                <w:sz w:val="24"/>
                <w:szCs w:val="24"/>
              </w:rPr>
              <w:t>项的规定</w:t>
            </w:r>
          </w:p>
        </w:tc>
      </w:tr>
      <w:tr w14:paraId="6A3B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27E0AF27">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 xml:space="preserve">3. 1. </w:t>
            </w:r>
            <w:r>
              <w:rPr>
                <w:rFonts w:hint="eastAsia" w:ascii="宋体" w:hAnsi="宋体" w:eastAsia="宋体" w:cs="宋体"/>
                <w:color w:val="auto"/>
                <w:sz w:val="24"/>
                <w:szCs w:val="24"/>
              </w:rPr>
              <w:t>1</w:t>
            </w:r>
          </w:p>
        </w:tc>
        <w:tc>
          <w:tcPr>
            <w:tcW w:w="2223" w:type="dxa"/>
            <w:shd w:val="clear" w:color="auto" w:fill="auto"/>
            <w:vAlign w:val="center"/>
          </w:tcPr>
          <w:p w14:paraId="12E798E5">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评审价格</w:t>
            </w:r>
          </w:p>
        </w:tc>
        <w:tc>
          <w:tcPr>
            <w:tcW w:w="6219" w:type="dxa"/>
            <w:shd w:val="clear" w:color="auto" w:fill="auto"/>
            <w:vAlign w:val="center"/>
          </w:tcPr>
          <w:p w14:paraId="130791F7">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p>
        </w:tc>
      </w:tr>
      <w:tr w14:paraId="4379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3A606E1C">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条款号</w:t>
            </w:r>
          </w:p>
        </w:tc>
        <w:tc>
          <w:tcPr>
            <w:tcW w:w="2223" w:type="dxa"/>
            <w:shd w:val="clear" w:color="auto" w:fill="auto"/>
            <w:vAlign w:val="center"/>
          </w:tcPr>
          <w:p w14:paraId="264079B8">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条款内容</w:t>
            </w:r>
          </w:p>
        </w:tc>
        <w:tc>
          <w:tcPr>
            <w:tcW w:w="6219" w:type="dxa"/>
            <w:shd w:val="clear" w:color="auto" w:fill="auto"/>
            <w:vAlign w:val="center"/>
          </w:tcPr>
          <w:p w14:paraId="61065D63">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列</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内</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容</w:t>
            </w:r>
          </w:p>
        </w:tc>
      </w:tr>
      <w:tr w14:paraId="3814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19" w:type="dxa"/>
            <w:gridSpan w:val="5"/>
            <w:shd w:val="clear" w:color="auto" w:fill="auto"/>
            <w:vAlign w:val="center"/>
          </w:tcPr>
          <w:p w14:paraId="7D8C9D54">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 详细评审标准和程序</w:t>
            </w:r>
            <w:r>
              <w:rPr>
                <w:rFonts w:hint="eastAsia" w:ascii="宋体" w:hAnsi="宋体" w:eastAsia="宋体" w:cs="宋体"/>
                <w:color w:val="auto"/>
                <w:sz w:val="24"/>
                <w:szCs w:val="24"/>
              </w:rPr>
              <w:t>(最低价法)</w:t>
            </w:r>
          </w:p>
        </w:tc>
      </w:tr>
      <w:tr w14:paraId="3B29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4D95D959">
            <w:pPr>
              <w:pStyle w:val="35"/>
              <w:keepNext w:val="0"/>
              <w:keepLines w:val="0"/>
              <w:pageBreakBefore w:val="0"/>
              <w:widowControl w:val="0"/>
              <w:shd w:val="clear"/>
              <w:kinsoku/>
              <w:wordWrap/>
              <w:overflowPunct/>
              <w:topLinePunct w:val="0"/>
              <w:autoSpaceDE/>
              <w:autoSpaceDN/>
              <w:bidi w:val="0"/>
              <w:adjustRightInd w:val="0"/>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3</w:t>
            </w:r>
          </w:p>
        </w:tc>
        <w:tc>
          <w:tcPr>
            <w:tcW w:w="2223" w:type="dxa"/>
            <w:shd w:val="clear" w:color="auto" w:fill="auto"/>
            <w:vAlign w:val="center"/>
          </w:tcPr>
          <w:p w14:paraId="390D367E">
            <w:pPr>
              <w:pStyle w:val="35"/>
              <w:keepNext w:val="0"/>
              <w:keepLines w:val="0"/>
              <w:pageBreakBefore w:val="0"/>
              <w:widowControl w:val="0"/>
              <w:shd w:val="clear"/>
              <w:kinsoku/>
              <w:wordWrap/>
              <w:overflowPunct/>
              <w:topLinePunct w:val="0"/>
              <w:autoSpaceDE/>
              <w:autoSpaceDN/>
              <w:bidi w:val="0"/>
              <w:adjustRightInd w:val="0"/>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并列时确定</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优先顺序的规则</w:t>
            </w:r>
          </w:p>
        </w:tc>
        <w:tc>
          <w:tcPr>
            <w:tcW w:w="6219" w:type="dxa"/>
            <w:shd w:val="clear" w:color="auto" w:fill="auto"/>
            <w:vAlign w:val="center"/>
          </w:tcPr>
          <w:p w14:paraId="626025B8">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小组投票决定</w:t>
            </w:r>
          </w:p>
          <w:p w14:paraId="14C7EB2D">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小组抽签决定</w:t>
            </w:r>
          </w:p>
          <w:p w14:paraId="329A1DB2">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sym w:font="Wingdings 2" w:char="0052"/>
            </w:r>
            <w:r>
              <w:rPr>
                <w:rFonts w:hint="eastAsia" w:ascii="宋体" w:hAnsi="宋体" w:eastAsia="宋体" w:cs="宋体"/>
                <w:color w:val="auto"/>
                <w:sz w:val="24"/>
                <w:szCs w:val="24"/>
              </w:rPr>
              <w:t>其他方法：评审小组对询比响应人进行排序时,如果出现询比响应人最终得分相同地情况,以评分因素中针对企业类似项目业绩的得分高低排定名次，企业业绩的得分也相同时</w:t>
            </w:r>
            <w:r>
              <w:rPr>
                <w:rFonts w:hint="eastAsia" w:cs="宋体"/>
                <w:color w:val="auto"/>
                <w:sz w:val="24"/>
                <w:szCs w:val="24"/>
                <w:lang w:eastAsia="zh-CN"/>
              </w:rPr>
              <w:t>，</w:t>
            </w:r>
            <w:r>
              <w:rPr>
                <w:rFonts w:hint="eastAsia" w:ascii="宋体" w:hAnsi="宋体" w:eastAsia="宋体" w:cs="宋体"/>
                <w:color w:val="auto"/>
                <w:sz w:val="24"/>
                <w:szCs w:val="24"/>
              </w:rPr>
              <w:t>采取抽签决定。</w:t>
            </w:r>
          </w:p>
        </w:tc>
      </w:tr>
      <w:tr w14:paraId="120C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19" w:type="dxa"/>
            <w:gridSpan w:val="5"/>
            <w:shd w:val="clear" w:color="auto" w:fill="auto"/>
            <w:vAlign w:val="center"/>
          </w:tcPr>
          <w:p w14:paraId="551E4F53">
            <w:pPr>
              <w:pStyle w:val="35"/>
              <w:keepNext w:val="0"/>
              <w:keepLines w:val="0"/>
              <w:pageBreakBefore w:val="0"/>
              <w:widowControl w:val="0"/>
              <w:shd w:val="clear"/>
              <w:kinsoku/>
              <w:wordWrap/>
              <w:overflowPunct/>
              <w:topLinePunct w:val="0"/>
              <w:autoSpaceDE/>
              <w:autoSpaceDN/>
              <w:bidi w:val="0"/>
              <w:adjustRightInd w:val="0"/>
              <w:snapToGrid/>
              <w:spacing w:line="360" w:lineRule="auto"/>
              <w:ind w:firstLine="241" w:firstLineChars="1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3 详细评审标准和程序</w:t>
            </w:r>
            <w:r>
              <w:rPr>
                <w:rFonts w:hint="eastAsia" w:ascii="宋体" w:hAnsi="宋体" w:eastAsia="宋体" w:cs="宋体"/>
                <w:b/>
                <w:bCs/>
                <w:color w:val="auto"/>
                <w:sz w:val="24"/>
                <w:szCs w:val="24"/>
              </w:rPr>
              <w:t>(综合评分法)</w:t>
            </w:r>
          </w:p>
        </w:tc>
      </w:tr>
      <w:tr w14:paraId="2636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081FB297">
            <w:pPr>
              <w:pStyle w:val="35"/>
              <w:keepNext w:val="0"/>
              <w:keepLines w:val="0"/>
              <w:pageBreakBefore w:val="0"/>
              <w:widowControl w:val="0"/>
              <w:shd w:val="clear"/>
              <w:kinsoku/>
              <w:wordWrap/>
              <w:overflowPunct/>
              <w:topLinePunct w:val="0"/>
              <w:autoSpaceDE/>
              <w:autoSpaceDN/>
              <w:bidi w:val="0"/>
              <w:adjustRightInd w:val="0"/>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3.</w:t>
            </w:r>
            <w:r>
              <w:rPr>
                <w:rFonts w:hint="eastAsia" w:ascii="宋体" w:hAnsi="宋体" w:eastAsia="宋体" w:cs="宋体"/>
                <w:color w:val="auto"/>
                <w:sz w:val="24"/>
                <w:szCs w:val="24"/>
              </w:rPr>
              <w:t>1</w:t>
            </w:r>
          </w:p>
        </w:tc>
        <w:tc>
          <w:tcPr>
            <w:tcW w:w="2223" w:type="dxa"/>
            <w:shd w:val="clear" w:color="auto" w:fill="auto"/>
            <w:vAlign w:val="center"/>
          </w:tcPr>
          <w:p w14:paraId="70C97646">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分值构成 </w:t>
            </w:r>
          </w:p>
          <w:p w14:paraId="310AA4F1">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(总分100分)</w:t>
            </w:r>
          </w:p>
        </w:tc>
        <w:tc>
          <w:tcPr>
            <w:tcW w:w="6219" w:type="dxa"/>
            <w:shd w:val="clear" w:color="auto" w:fill="auto"/>
            <w:vAlign w:val="center"/>
          </w:tcPr>
          <w:p w14:paraId="12C0BD16">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技术</w:t>
            </w:r>
            <w:r>
              <w:rPr>
                <w:rFonts w:hint="eastAsia" w:ascii="宋体" w:hAnsi="宋体" w:eastAsia="宋体" w:cs="宋体"/>
                <w:color w:val="auto"/>
                <w:sz w:val="24"/>
                <w:szCs w:val="24"/>
              </w:rPr>
              <w:t>评分标准：</w:t>
            </w:r>
            <w:r>
              <w:rPr>
                <w:rFonts w:hint="eastAsia" w:cs="宋体"/>
                <w:color w:val="auto"/>
                <w:sz w:val="24"/>
                <w:szCs w:val="24"/>
                <w:lang w:val="en-US" w:eastAsia="zh-CN"/>
              </w:rPr>
              <w:t>55</w:t>
            </w:r>
            <w:r>
              <w:rPr>
                <w:rFonts w:hint="eastAsia" w:ascii="宋体" w:hAnsi="宋体" w:eastAsia="宋体" w:cs="宋体"/>
                <w:color w:val="auto"/>
                <w:sz w:val="24"/>
                <w:szCs w:val="24"/>
              </w:rPr>
              <w:t>分</w:t>
            </w:r>
          </w:p>
          <w:p w14:paraId="2B8E3FC3">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w:t>
            </w:r>
            <w:r>
              <w:rPr>
                <w:rFonts w:hint="eastAsia" w:ascii="宋体" w:hAnsi="宋体" w:eastAsia="宋体" w:cs="宋体"/>
                <w:color w:val="auto"/>
                <w:sz w:val="24"/>
                <w:szCs w:val="24"/>
                <w:lang w:eastAsia="zh-CN"/>
              </w:rPr>
              <w:t>实力</w:t>
            </w:r>
            <w:r>
              <w:rPr>
                <w:rFonts w:hint="eastAsia" w:ascii="宋体" w:hAnsi="宋体" w:eastAsia="宋体" w:cs="宋体"/>
                <w:color w:val="auto"/>
                <w:sz w:val="24"/>
                <w:szCs w:val="24"/>
              </w:rPr>
              <w:t>标准：</w:t>
            </w:r>
            <w:r>
              <w:rPr>
                <w:rFonts w:hint="eastAsia" w:cs="宋体"/>
                <w:color w:val="auto"/>
                <w:sz w:val="24"/>
                <w:szCs w:val="24"/>
                <w:lang w:val="en-US" w:eastAsia="zh-CN"/>
              </w:rPr>
              <w:t>15</w:t>
            </w:r>
            <w:r>
              <w:rPr>
                <w:rFonts w:hint="eastAsia" w:ascii="宋体" w:hAnsi="宋体" w:eastAsia="宋体" w:cs="宋体"/>
                <w:color w:val="auto"/>
                <w:sz w:val="24"/>
                <w:szCs w:val="24"/>
              </w:rPr>
              <w:t>分</w:t>
            </w:r>
          </w:p>
          <w:p w14:paraId="39912527">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cs="宋体"/>
                <w:color w:val="auto"/>
                <w:sz w:val="24"/>
                <w:szCs w:val="24"/>
                <w:lang w:val="en-US" w:eastAsia="zh-CN"/>
              </w:rPr>
              <w:t>投标</w:t>
            </w:r>
            <w:r>
              <w:rPr>
                <w:rFonts w:hint="eastAsia" w:ascii="宋体" w:hAnsi="宋体" w:eastAsia="宋体" w:cs="宋体"/>
                <w:color w:val="auto"/>
                <w:sz w:val="24"/>
                <w:szCs w:val="24"/>
              </w:rPr>
              <w:t>报价：</w:t>
            </w: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分</w:t>
            </w:r>
          </w:p>
        </w:tc>
      </w:tr>
      <w:tr w14:paraId="510B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174BEF13">
            <w:pPr>
              <w:pStyle w:val="35"/>
              <w:keepNext w:val="0"/>
              <w:keepLines w:val="0"/>
              <w:pageBreakBefore w:val="0"/>
              <w:widowControl w:val="0"/>
              <w:shd w:val="clear"/>
              <w:kinsoku/>
              <w:wordWrap/>
              <w:overflowPunct/>
              <w:topLinePunct w:val="0"/>
              <w:autoSpaceDE/>
              <w:autoSpaceDN/>
              <w:bidi w:val="0"/>
              <w:adjustRightInd w:val="0"/>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3.2</w:t>
            </w:r>
            <w:r>
              <w:rPr>
                <w:rFonts w:hint="eastAsia" w:ascii="宋体" w:hAnsi="宋体" w:eastAsia="宋体" w:cs="宋体"/>
                <w:color w:val="auto"/>
                <w:sz w:val="24"/>
                <w:szCs w:val="24"/>
              </w:rPr>
              <w:t>(2)</w:t>
            </w:r>
          </w:p>
        </w:tc>
        <w:tc>
          <w:tcPr>
            <w:tcW w:w="2223" w:type="dxa"/>
            <w:shd w:val="clear" w:color="auto" w:fill="auto"/>
            <w:vAlign w:val="center"/>
          </w:tcPr>
          <w:p w14:paraId="00AC280D">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评审基准价计算方法</w:t>
            </w:r>
          </w:p>
        </w:tc>
        <w:tc>
          <w:tcPr>
            <w:tcW w:w="6219" w:type="dxa"/>
            <w:shd w:val="clear" w:color="auto" w:fill="auto"/>
            <w:vAlign w:val="center"/>
          </w:tcPr>
          <w:p w14:paraId="5D2F2DA8">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sym w:font="Wingdings 2" w:char="0052"/>
            </w:r>
            <w:r>
              <w:rPr>
                <w:rFonts w:hint="eastAsia" w:ascii="宋体" w:hAnsi="宋体" w:eastAsia="宋体" w:cs="宋体"/>
                <w:color w:val="auto"/>
                <w:sz w:val="24"/>
                <w:szCs w:val="24"/>
              </w:rPr>
              <w:t>方法一</w:t>
            </w:r>
            <w:r>
              <w:rPr>
                <w:rFonts w:hint="eastAsia" w:ascii="宋体" w:hAnsi="宋体" w:eastAsia="宋体" w:cs="宋体"/>
                <w:color w:val="auto"/>
                <w:sz w:val="24"/>
                <w:szCs w:val="24"/>
                <w:lang w:eastAsia="zh-CN"/>
              </w:rPr>
              <w:t>：</w:t>
            </w:r>
          </w:p>
          <w:p w14:paraId="5C3A205C">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当有效投标报价多于5个（含5个）时，从所有有效报价中的同一报价内容中去掉一个最高和最低报价后，剩余报价的算术平均值为评标基准价。有效投标报价少于5个时，所有有效报价均参加算术平均值的计算。有效报价是指，投标报价低于（或等于）</w:t>
            </w:r>
            <w:r>
              <w:rPr>
                <w:rFonts w:hint="eastAsia" w:cs="宋体"/>
                <w:color w:val="auto"/>
                <w:sz w:val="24"/>
                <w:szCs w:val="24"/>
                <w:lang w:eastAsia="zh-CN"/>
              </w:rPr>
              <w:t>采购人</w:t>
            </w:r>
            <w:r>
              <w:rPr>
                <w:rFonts w:hint="eastAsia" w:ascii="宋体" w:hAnsi="宋体" w:eastAsia="宋体" w:cs="宋体"/>
                <w:color w:val="auto"/>
                <w:sz w:val="24"/>
                <w:szCs w:val="24"/>
              </w:rPr>
              <w:t>确定的招标控制价的所有</w:t>
            </w:r>
            <w:r>
              <w:rPr>
                <w:rFonts w:hint="eastAsia" w:cs="宋体"/>
                <w:color w:val="auto"/>
                <w:sz w:val="24"/>
                <w:szCs w:val="24"/>
                <w:lang w:eastAsia="zh-CN"/>
              </w:rPr>
              <w:t>询比响应人</w:t>
            </w:r>
            <w:r>
              <w:rPr>
                <w:rFonts w:hint="eastAsia" w:ascii="宋体" w:hAnsi="宋体" w:eastAsia="宋体" w:cs="宋体"/>
                <w:color w:val="auto"/>
                <w:sz w:val="24"/>
                <w:szCs w:val="24"/>
              </w:rPr>
              <w:t>的投标总价。</w:t>
            </w:r>
          </w:p>
          <w:p w14:paraId="4CADD123">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□方法二：评审基准价系数=</w:t>
            </w:r>
          </w:p>
          <w:p w14:paraId="4398E163">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sym w:font="Wingdings 2" w:char="00A3"/>
            </w:r>
            <w:r>
              <w:rPr>
                <w:rFonts w:hint="eastAsia" w:ascii="宋体" w:hAnsi="宋体" w:eastAsia="宋体" w:cs="宋体"/>
                <w:color w:val="auto"/>
                <w:sz w:val="24"/>
                <w:szCs w:val="24"/>
              </w:rPr>
              <w:t>方法三</w:t>
            </w:r>
          </w:p>
          <w:p w14:paraId="5914B00F">
            <w:pPr>
              <w:pStyle w:val="35"/>
              <w:keepNext w:val="0"/>
              <w:keepLines w:val="0"/>
              <w:pageBreakBefore w:val="0"/>
              <w:widowControl w:val="0"/>
              <w:shd w:val="clear"/>
              <w:kinsoku/>
              <w:wordWrap/>
              <w:overflowPunct/>
              <w:topLinePunct w:val="0"/>
              <w:autoSpaceDE/>
              <w:autoSpaceDN/>
              <w:bidi w:val="0"/>
              <w:adjustRightInd w:val="0"/>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口方法四：具体方法为</w:t>
            </w:r>
            <w:r>
              <w:rPr>
                <w:rFonts w:hint="eastAsia" w:ascii="宋体" w:hAnsi="宋体" w:eastAsia="宋体" w:cs="宋体"/>
                <w:color w:val="auto"/>
                <w:sz w:val="24"/>
                <w:szCs w:val="24"/>
                <w:lang w:val="en-US" w:eastAsia="zh-CN"/>
              </w:rPr>
              <w:t xml:space="preserve">                           </w:t>
            </w:r>
          </w:p>
        </w:tc>
      </w:tr>
      <w:tr w14:paraId="30EF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70951D08">
            <w:pPr>
              <w:pStyle w:val="35"/>
              <w:keepNext w:val="0"/>
              <w:keepLines w:val="0"/>
              <w:pageBreakBefore w:val="0"/>
              <w:widowControl w:val="0"/>
              <w:shd w:val="clear"/>
              <w:kinsoku/>
              <w:wordWrap/>
              <w:overflowPunct/>
              <w:topLinePunct w:val="0"/>
              <w:autoSpaceDE/>
              <w:autoSpaceDN/>
              <w:bidi w:val="0"/>
              <w:adjustRightInd w:val="0"/>
              <w:snapToGrid/>
              <w:spacing w:line="36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3.2（3）</w:t>
            </w:r>
          </w:p>
        </w:tc>
        <w:tc>
          <w:tcPr>
            <w:tcW w:w="2223" w:type="dxa"/>
            <w:shd w:val="clear" w:color="auto" w:fill="auto"/>
            <w:vAlign w:val="center"/>
          </w:tcPr>
          <w:p w14:paraId="30B1CA31">
            <w:pPr>
              <w:keepNext w:val="0"/>
              <w:keepLines w:val="0"/>
              <w:pageBreakBefore w:val="0"/>
              <w:widowControl w:val="0"/>
              <w:shd w:val="clear"/>
              <w:kinsoku/>
              <w:wordWrap/>
              <w:overflowPunct/>
              <w:topLinePunct w:val="0"/>
              <w:autoSpaceDE/>
              <w:autoSpaceDN/>
              <w:bidi w:val="0"/>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投标报价的偏差率计算公式</w:t>
            </w:r>
          </w:p>
        </w:tc>
        <w:tc>
          <w:tcPr>
            <w:tcW w:w="6219" w:type="dxa"/>
            <w:shd w:val="clear" w:color="auto" w:fill="auto"/>
            <w:vAlign w:val="center"/>
          </w:tcPr>
          <w:p w14:paraId="703CC092">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偏差率=100%×（投标报价-评标基准价）/评标基准价（计算结果保留小数点后两位数）；</w:t>
            </w:r>
          </w:p>
          <w:p w14:paraId="176E5143">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偏差率每高于一个百分点扣</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分，每低于一个百分点扣0.</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分，直至扣完为止。</w:t>
            </w:r>
          </w:p>
        </w:tc>
      </w:tr>
      <w:tr w14:paraId="63D8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877" w:type="dxa"/>
            <w:gridSpan w:val="3"/>
            <w:shd w:val="clear" w:color="auto" w:fill="auto"/>
            <w:vAlign w:val="center"/>
          </w:tcPr>
          <w:p w14:paraId="022F5DD2">
            <w:pPr>
              <w:pStyle w:val="35"/>
              <w:keepNext w:val="0"/>
              <w:keepLines w:val="0"/>
              <w:pageBreakBefore w:val="0"/>
              <w:widowControl w:val="0"/>
              <w:shd w:val="clear"/>
              <w:kinsoku/>
              <w:wordWrap/>
              <w:overflowPunct/>
              <w:topLinePunct w:val="0"/>
              <w:autoSpaceDE/>
              <w:autoSpaceDN/>
              <w:bidi w:val="0"/>
              <w:adjustRightInd w:val="0"/>
              <w:snapToGrid/>
              <w:spacing w:line="36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3.2（4）</w:t>
            </w:r>
          </w:p>
        </w:tc>
        <w:tc>
          <w:tcPr>
            <w:tcW w:w="2223" w:type="dxa"/>
            <w:shd w:val="clear" w:color="auto" w:fill="auto"/>
            <w:vAlign w:val="center"/>
          </w:tcPr>
          <w:p w14:paraId="303B52DD">
            <w:pPr>
              <w:keepNext w:val="0"/>
              <w:keepLines w:val="0"/>
              <w:pageBreakBefore w:val="0"/>
              <w:widowControl w:val="0"/>
              <w:shd w:val="clear"/>
              <w:kinsoku/>
              <w:wordWrap/>
              <w:overflowPunct/>
              <w:topLinePunct w:val="0"/>
              <w:autoSpaceDE/>
              <w:autoSpaceDN/>
              <w:bidi w:val="0"/>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投标报价</w:t>
            </w:r>
          </w:p>
        </w:tc>
        <w:tc>
          <w:tcPr>
            <w:tcW w:w="6219" w:type="dxa"/>
            <w:shd w:val="clear" w:color="auto" w:fill="auto"/>
            <w:vAlign w:val="center"/>
          </w:tcPr>
          <w:p w14:paraId="308D96B2">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总分30分，投标总价按方法一和偏差率计算公式计算得分。</w:t>
            </w:r>
          </w:p>
        </w:tc>
      </w:tr>
      <w:tr w14:paraId="73B723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187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5CC4A8">
            <w:pPr>
              <w:pStyle w:val="35"/>
              <w:keepNext w:val="0"/>
              <w:keepLines w:val="0"/>
              <w:pageBreakBefore w:val="0"/>
              <w:widowControl w:val="0"/>
              <w:shd w:val="clear"/>
              <w:kinsoku/>
              <w:wordWrap/>
              <w:overflowPunct/>
              <w:topLinePunct w:val="0"/>
              <w:autoSpaceDE/>
              <w:autoSpaceDN/>
              <w:bidi w:val="0"/>
              <w:adjustRightInd w:val="0"/>
              <w:snapToGrid/>
              <w:spacing w:line="360" w:lineRule="auto"/>
              <w:ind w:firstLine="241" w:firstLineChars="1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条款号及名称</w:t>
            </w: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68AED471">
            <w:pPr>
              <w:pStyle w:val="35"/>
              <w:keepNext w:val="0"/>
              <w:keepLines w:val="0"/>
              <w:pageBreakBefore w:val="0"/>
              <w:widowControl w:val="0"/>
              <w:shd w:val="clear"/>
              <w:kinsoku/>
              <w:wordWrap/>
              <w:overflowPunct/>
              <w:topLinePunct w:val="0"/>
              <w:autoSpaceDE/>
              <w:autoSpaceDN/>
              <w:bidi w:val="0"/>
              <w:adjustRightInd w:val="0"/>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评分因素</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290370CB">
            <w:pPr>
              <w:pStyle w:val="35"/>
              <w:keepNext w:val="0"/>
              <w:keepLines w:val="0"/>
              <w:pageBreakBefore w:val="0"/>
              <w:widowControl w:val="0"/>
              <w:shd w:val="clear"/>
              <w:kinsoku/>
              <w:wordWrap/>
              <w:overflowPunct/>
              <w:topLinePunct w:val="0"/>
              <w:autoSpaceDE/>
              <w:autoSpaceDN/>
              <w:bidi w:val="0"/>
              <w:adjustRightInd w:val="0"/>
              <w:snapToGrid/>
              <w:spacing w:line="360" w:lineRule="auto"/>
              <w:ind w:firstLine="2891" w:firstLineChars="1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评分标准</w:t>
            </w:r>
          </w:p>
        </w:tc>
      </w:tr>
      <w:tr w14:paraId="2D8A21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6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745749">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3.2.3</w:t>
            </w:r>
          </w:p>
          <w:p w14:paraId="7677EF88">
            <w:pPr>
              <w:keepNext w:val="0"/>
              <w:keepLines w:val="0"/>
              <w:pageBreakBefore w:val="0"/>
              <w:widowControl w:val="0"/>
              <w:shd w:val="clear"/>
              <w:kinsoku/>
              <w:wordWrap/>
              <w:overflowPunct/>
              <w:topLinePunct w:val="0"/>
              <w:autoSpaceDE/>
              <w:autoSpaceDN/>
              <w:bidi w:val="0"/>
              <w:snapToGrid/>
              <w:spacing w:line="360" w:lineRule="auto"/>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20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6DA9E4">
            <w:pPr>
              <w:keepNext w:val="0"/>
              <w:keepLines w:val="0"/>
              <w:pageBreakBefore w:val="0"/>
              <w:widowControl w:val="0"/>
              <w:shd w:val="clear"/>
              <w:kinsoku/>
              <w:wordWrap/>
              <w:overflowPunct/>
              <w:topLinePunct w:val="0"/>
              <w:autoSpaceDE/>
              <w:autoSpaceDN/>
              <w:bidi w:val="0"/>
              <w:snapToGrid/>
              <w:spacing w:line="360" w:lineRule="auto"/>
              <w:ind w:left="240" w:hanging="240" w:hanging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技术</w:t>
            </w:r>
            <w:r>
              <w:rPr>
                <w:rFonts w:hint="eastAsia" w:ascii="宋体" w:hAnsi="宋体" w:eastAsia="宋体" w:cs="宋体"/>
                <w:color w:val="auto"/>
                <w:sz w:val="24"/>
                <w:szCs w:val="24"/>
              </w:rPr>
              <w:t>评分 标准</w:t>
            </w:r>
          </w:p>
          <w:p w14:paraId="15E7BF8D">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55分</w:t>
            </w:r>
            <w:r>
              <w:rPr>
                <w:rFonts w:hint="eastAsia" w:ascii="宋体" w:hAnsi="宋体" w:eastAsia="宋体" w:cs="宋体"/>
                <w:color w:val="auto"/>
                <w:sz w:val="24"/>
                <w:szCs w:val="24"/>
                <w:lang w:eastAsia="zh-CN"/>
              </w:rPr>
              <w:t>）</w:t>
            </w: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1D4F002C">
            <w:pPr>
              <w:keepNext w:val="0"/>
              <w:keepLines w:val="0"/>
              <w:pageBreakBefore w:val="0"/>
              <w:widowControl/>
              <w:suppressLineNumbers w:val="0"/>
              <w:kinsoku/>
              <w:wordWrap/>
              <w:overflowPunct/>
              <w:topLinePunct w:val="0"/>
              <w:bidi w:val="0"/>
              <w:adjustRightInd w:val="0"/>
              <w:snapToGrid w:val="0"/>
              <w:spacing w:before="0" w:beforeAutospacing="0" w:after="0" w:afterAutospacing="0"/>
              <w:ind w:left="0" w:right="0"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施工方案与技术措施</w:t>
            </w:r>
          </w:p>
          <w:p w14:paraId="4B5E62FB">
            <w:pPr>
              <w:keepNext w:val="0"/>
              <w:keepLines w:val="0"/>
              <w:pageBreakBefore w:val="0"/>
              <w:widowControl w:val="0"/>
              <w:shd w:val="clear"/>
              <w:kinsoku/>
              <w:wordWrap/>
              <w:overflowPunct/>
              <w:topLinePunct w:val="0"/>
              <w:autoSpaceDE/>
              <w:autoSpaceDN/>
              <w:bidi w:val="0"/>
              <w:snapToGrid/>
              <w:spacing w:line="360" w:lineRule="auto"/>
              <w:jc w:val="center"/>
              <w:textAlignment w:val="auto"/>
              <w:rPr>
                <w:rFonts w:hint="eastAsia" w:ascii="宋体" w:hAnsi="宋体" w:eastAsia="宋体" w:cs="宋体"/>
                <w:color w:val="auto"/>
                <w:sz w:val="24"/>
                <w:szCs w:val="24"/>
                <w:lang w:val="zh-TW" w:eastAsia="zh-TW"/>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lang w:val="en-US" w:eastAsia="zh-CN"/>
              </w:rPr>
              <w:t>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696D14FC">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lang w:val="zh-TW" w:eastAsia="zh-TW"/>
              </w:rPr>
            </w:pPr>
            <w:r>
              <w:rPr>
                <w:rFonts w:hint="eastAsia" w:asciiTheme="minorEastAsia" w:hAnsiTheme="minorEastAsia" w:eastAsiaTheme="minorEastAsia" w:cstheme="minorEastAsia"/>
                <w:b w:val="0"/>
                <w:bCs w:val="0"/>
                <w:color w:val="auto"/>
                <w:sz w:val="24"/>
                <w:szCs w:val="24"/>
                <w:highlight w:val="none"/>
              </w:rPr>
              <w:t>施工方案与技术措施</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12分）：</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根据针对本项目的难点、重点、特点作出认真仔细的分析，提出的施工组织与技术保障措施方案适合本工程实际情况</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内容</w:t>
            </w:r>
            <w:r>
              <w:rPr>
                <w:rFonts w:hint="eastAsia" w:asciiTheme="minorEastAsia" w:hAnsiTheme="minorEastAsia" w:eastAsiaTheme="minorEastAsia" w:cstheme="minorEastAsia"/>
                <w:color w:val="auto"/>
                <w:sz w:val="24"/>
                <w:szCs w:val="24"/>
                <w:highlight w:val="none"/>
              </w:rPr>
              <w:t>包括但不限于：①施工组织设计方案②职责职能分工③工程进度和管理措施④技术措施保证</w:t>
            </w:r>
            <w:r>
              <w:rPr>
                <w:rFonts w:hint="eastAsia" w:asciiTheme="minorEastAsia" w:hAnsiTheme="minorEastAsia" w:eastAsiaTheme="minorEastAsia" w:cstheme="minorEastAsia"/>
                <w:color w:val="auto"/>
                <w:sz w:val="24"/>
                <w:szCs w:val="24"/>
                <w:highlight w:val="none"/>
                <w:lang w:val="en-US" w:eastAsia="zh-CN"/>
              </w:rPr>
              <w:t>等；</w:t>
            </w:r>
            <w:r>
              <w:rPr>
                <w:rFonts w:hint="eastAsia" w:asciiTheme="minorEastAsia" w:hAnsiTheme="minorEastAsia" w:eastAsiaTheme="minorEastAsia" w:cstheme="minorEastAsia"/>
                <w:color w:val="auto"/>
                <w:sz w:val="24"/>
                <w:szCs w:val="24"/>
                <w:highlight w:val="none"/>
                <w:lang w:val="zh-CN" w:eastAsia="zh-CN"/>
              </w:rPr>
              <w:t>以上因素每实质性响应一项得</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eastAsia="zh-CN"/>
              </w:rPr>
              <w:t>分，每有一项存在缺陷或不足的</w:t>
            </w:r>
            <w:r>
              <w:rPr>
                <w:rFonts w:hint="eastAsia" w:asciiTheme="minorEastAsia" w:hAnsiTheme="minorEastAsia" w:eastAsiaTheme="minorEastAsia" w:cstheme="minorEastAsia"/>
                <w:color w:val="auto"/>
                <w:kern w:val="2"/>
                <w:sz w:val="24"/>
                <w:szCs w:val="24"/>
                <w:highlight w:val="none"/>
                <w:lang w:val="zh-CN" w:eastAsia="zh-CN" w:bidi="ar-SA"/>
              </w:rPr>
              <w:t>扣</w:t>
            </w: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kern w:val="2"/>
                <w:sz w:val="24"/>
                <w:szCs w:val="24"/>
                <w:highlight w:val="none"/>
                <w:lang w:val="zh-CN" w:eastAsia="zh-CN" w:bidi="ar-SA"/>
              </w:rPr>
              <w:t>分，满分</w:t>
            </w:r>
            <w:r>
              <w:rPr>
                <w:rFonts w:hint="eastAsia" w:asciiTheme="minorEastAsia" w:hAnsiTheme="minorEastAsia" w:cstheme="minorEastAsia"/>
                <w:color w:val="auto"/>
                <w:kern w:val="2"/>
                <w:sz w:val="24"/>
                <w:szCs w:val="24"/>
                <w:highlight w:val="none"/>
                <w:lang w:val="en-US" w:eastAsia="zh-CN" w:bidi="ar-SA"/>
              </w:rPr>
              <w:t>8</w:t>
            </w:r>
            <w:r>
              <w:rPr>
                <w:rFonts w:hint="eastAsia" w:asciiTheme="minorEastAsia" w:hAnsiTheme="minorEastAsia" w:eastAsiaTheme="minorEastAsia" w:cstheme="minorEastAsia"/>
                <w:color w:val="auto"/>
                <w:kern w:val="2"/>
                <w:sz w:val="24"/>
                <w:szCs w:val="24"/>
                <w:highlight w:val="none"/>
                <w:lang w:val="zh-CN" w:eastAsia="zh-CN" w:bidi="ar-SA"/>
              </w:rPr>
              <w:t>分，未实质性响应或未提供不得分。</w:t>
            </w:r>
          </w:p>
        </w:tc>
      </w:tr>
      <w:tr w14:paraId="047104E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8EA86F">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781D1B">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707D8796">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TW" w:eastAsia="zh-TW"/>
              </w:rPr>
            </w:pPr>
            <w:r>
              <w:rPr>
                <w:rFonts w:hint="eastAsia" w:ascii="宋体" w:hAnsi="宋体" w:eastAsia="宋体" w:cs="宋体"/>
                <w:color w:val="auto"/>
                <w:sz w:val="24"/>
                <w:szCs w:val="24"/>
                <w:lang w:val="zh-TW" w:eastAsia="zh-TW"/>
              </w:rPr>
              <w:t>质量管理体系与措施</w:t>
            </w:r>
          </w:p>
          <w:p w14:paraId="19972485">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TW" w:eastAsia="zh-TW"/>
              </w:rPr>
            </w:pPr>
            <w:r>
              <w:rPr>
                <w:rFonts w:hint="eastAsia" w:ascii="宋体" w:hAnsi="宋体" w:eastAsia="宋体" w:cs="宋体"/>
                <w:color w:val="auto"/>
                <w:sz w:val="24"/>
                <w:szCs w:val="24"/>
                <w:lang w:val="zh-TW" w:eastAsia="zh-TW"/>
              </w:rPr>
              <w:t>（8分）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5704F2FD">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zh-TW" w:eastAsia="zh-TW"/>
              </w:rPr>
            </w:pPr>
            <w:r>
              <w:rPr>
                <w:rFonts w:hint="eastAsia" w:ascii="宋体" w:hAnsi="宋体" w:eastAsia="宋体" w:cs="宋体"/>
                <w:color w:val="auto"/>
                <w:sz w:val="24"/>
                <w:szCs w:val="24"/>
                <w:lang w:val="zh-TW" w:eastAsia="zh-TW"/>
              </w:rPr>
              <w:t>质量保证措施（8分）：投标人根据针对本项目特点编制质量保证措施，工程进度、工程质量控制等。包括但不限于：①质量控制目标；②质量保证体系；③质量管理具体措施、工程；④质量保修措施；以上因素每实质性响应一项得2分，每有一项存在缺陷或不足的扣1分，满分8分，未实质性响应或未提供不得分。</w:t>
            </w:r>
          </w:p>
        </w:tc>
      </w:tr>
      <w:tr w14:paraId="28F055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40C529">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B48EA1">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4A74E59F">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TW"/>
              </w:rPr>
            </w:pPr>
            <w:r>
              <w:rPr>
                <w:rFonts w:hint="eastAsia" w:ascii="宋体" w:hAnsi="宋体" w:eastAsia="宋体" w:cs="宋体"/>
                <w:color w:val="auto"/>
                <w:sz w:val="24"/>
                <w:szCs w:val="24"/>
                <w:lang w:val="zh-TW"/>
              </w:rPr>
              <w:t>安全管理体系及治安管理与措施</w:t>
            </w:r>
          </w:p>
          <w:p w14:paraId="682D0B69">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TW"/>
              </w:rPr>
            </w:pPr>
            <w:r>
              <w:rPr>
                <w:rFonts w:hint="eastAsia" w:ascii="宋体" w:hAnsi="宋体" w:eastAsia="宋体" w:cs="宋体"/>
                <w:color w:val="auto"/>
                <w:sz w:val="24"/>
                <w:szCs w:val="24"/>
                <w:lang w:val="zh-TW" w:eastAsia="zh-CN"/>
              </w:rPr>
              <w:t>（8分）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4231F037">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lang w:val="zh-TW"/>
              </w:rPr>
            </w:pPr>
            <w:r>
              <w:rPr>
                <w:rFonts w:hint="eastAsia" w:ascii="宋体" w:hAnsi="宋体" w:eastAsia="宋体" w:cs="宋体"/>
                <w:color w:val="auto"/>
                <w:sz w:val="24"/>
                <w:szCs w:val="24"/>
                <w:lang w:val="zh-TW"/>
              </w:rPr>
              <w:t>安全管理体系及治安管理与措施</w:t>
            </w:r>
            <w:r>
              <w:rPr>
                <w:rFonts w:hint="eastAsia" w:ascii="宋体" w:hAnsi="宋体" w:eastAsia="宋体" w:cs="宋体"/>
                <w:color w:val="auto"/>
                <w:sz w:val="24"/>
                <w:szCs w:val="24"/>
                <w:lang w:val="zh-TW" w:eastAsia="zh-CN"/>
              </w:rPr>
              <w:t>（8分）：投标人</w:t>
            </w:r>
            <w:r>
              <w:rPr>
                <w:rFonts w:hint="eastAsia" w:ascii="宋体" w:hAnsi="宋体" w:eastAsia="宋体" w:cs="宋体"/>
                <w:color w:val="auto"/>
                <w:sz w:val="24"/>
                <w:szCs w:val="24"/>
                <w:lang w:val="zh-TW"/>
              </w:rPr>
              <w:t>根据针对本项目编制安全文明管理体系与措施及安全应急预案，如遇夏季施工、</w:t>
            </w:r>
            <w:r>
              <w:rPr>
                <w:rFonts w:hint="eastAsia" w:ascii="宋体" w:hAnsi="宋体" w:eastAsia="宋体" w:cs="宋体"/>
                <w:color w:val="auto"/>
                <w:sz w:val="24"/>
                <w:szCs w:val="24"/>
                <w:lang w:val="zh-TW" w:eastAsia="zh-CN"/>
              </w:rPr>
              <w:t>冬季</w:t>
            </w:r>
            <w:r>
              <w:rPr>
                <w:rFonts w:hint="eastAsia" w:ascii="宋体" w:hAnsi="宋体" w:eastAsia="宋体" w:cs="宋体"/>
                <w:color w:val="auto"/>
                <w:sz w:val="24"/>
                <w:szCs w:val="24"/>
                <w:lang w:val="zh-TW"/>
              </w:rPr>
              <w:t>施工、应急等措施等</w:t>
            </w:r>
            <w:r>
              <w:rPr>
                <w:rFonts w:hint="eastAsia" w:ascii="宋体" w:hAnsi="宋体" w:eastAsia="宋体" w:cs="宋体"/>
                <w:color w:val="auto"/>
                <w:sz w:val="24"/>
                <w:szCs w:val="24"/>
                <w:lang w:val="zh-TW" w:eastAsia="zh-CN"/>
              </w:rPr>
              <w:t>，内容</w:t>
            </w:r>
            <w:r>
              <w:rPr>
                <w:rFonts w:hint="eastAsia" w:ascii="宋体" w:hAnsi="宋体" w:eastAsia="宋体" w:cs="宋体"/>
                <w:color w:val="auto"/>
                <w:sz w:val="24"/>
                <w:szCs w:val="24"/>
                <w:lang w:val="zh-TW"/>
              </w:rPr>
              <w:t>包括但不限于：①安全文明管理体系②安全保证措施③文明施工措施④安全应急预案</w:t>
            </w:r>
            <w:r>
              <w:rPr>
                <w:rFonts w:hint="eastAsia" w:ascii="宋体" w:hAnsi="宋体" w:eastAsia="宋体" w:cs="宋体"/>
                <w:color w:val="auto"/>
                <w:sz w:val="24"/>
                <w:szCs w:val="24"/>
                <w:lang w:val="zh-TW" w:eastAsia="zh-CN"/>
              </w:rPr>
              <w:t>等；以上因素每实质性响应一项得2分，每有一项存在缺陷或不足的扣1分，满分8分，未实质性响应或未提供不得分。</w:t>
            </w:r>
          </w:p>
        </w:tc>
      </w:tr>
      <w:tr w14:paraId="43F1EB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07FAB6">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2BDB37">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03EB17CA">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TW" w:eastAsia="zh-TW"/>
              </w:rPr>
            </w:pPr>
            <w:r>
              <w:rPr>
                <w:rFonts w:hint="eastAsia" w:ascii="宋体" w:hAnsi="宋体" w:eastAsia="宋体" w:cs="宋体"/>
                <w:color w:val="auto"/>
                <w:sz w:val="24"/>
                <w:szCs w:val="24"/>
                <w:lang w:val="zh-TW" w:eastAsia="zh-TW"/>
              </w:rPr>
              <w:t>环境保护管理体系与措施  （8分）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5753DC7A">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lang w:val="zh-TW" w:eastAsia="zh-TW"/>
              </w:rPr>
            </w:pPr>
            <w:r>
              <w:rPr>
                <w:rFonts w:hint="eastAsia" w:ascii="宋体" w:hAnsi="宋体" w:eastAsia="宋体" w:cs="宋体"/>
                <w:color w:val="auto"/>
                <w:sz w:val="24"/>
                <w:szCs w:val="24"/>
                <w:lang w:val="zh-TW" w:eastAsia="zh-TW"/>
              </w:rPr>
              <w:t>环境保护管理体系与措施（8分）：投标人根据对本项目环保和文明施工措施，如设立围挡、防尘、降噪、规避行人以及设置警示标志等。包括但不限于：①环境保护措施②现场文明施工措施③对处理噪音、污物等技术措施④技术及管理措施等；以上因素每实质性响应一项得2分，每有一项存在缺陷或不足的扣1分，满分8分，未实质性响应或未提供不得分。</w:t>
            </w:r>
          </w:p>
        </w:tc>
      </w:tr>
      <w:tr w14:paraId="3B4F90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22ADC7">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336DCF">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04DF3F02">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lang w:val="zh-TW" w:eastAsia="zh-TW"/>
              </w:rPr>
            </w:pPr>
            <w:r>
              <w:rPr>
                <w:rFonts w:hint="eastAsia" w:ascii="宋体" w:hAnsi="宋体" w:eastAsia="宋体" w:cs="宋体"/>
                <w:color w:val="auto"/>
                <w:sz w:val="24"/>
                <w:lang w:val="zh-TW" w:eastAsia="zh-TW"/>
              </w:rPr>
              <w:t>工程进度计划与措施（8分）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338131C9">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lang w:eastAsia="zh-CN"/>
              </w:rPr>
            </w:pPr>
            <w:r>
              <w:rPr>
                <w:rFonts w:hint="eastAsia" w:ascii="宋体" w:hAnsi="宋体" w:eastAsia="宋体" w:cs="宋体"/>
                <w:color w:val="auto"/>
                <w:sz w:val="24"/>
                <w:lang w:eastAsia="zh-CN"/>
              </w:rPr>
              <w:t>工程进度计划与措施（</w:t>
            </w:r>
            <w:r>
              <w:rPr>
                <w:rFonts w:hint="eastAsia" w:ascii="宋体" w:hAnsi="宋体" w:eastAsia="宋体" w:cs="宋体"/>
                <w:color w:val="auto"/>
                <w:sz w:val="24"/>
                <w:lang w:val="en-US" w:eastAsia="zh-CN"/>
              </w:rPr>
              <w:t>8分）：投标人</w:t>
            </w:r>
            <w:r>
              <w:rPr>
                <w:rFonts w:hint="eastAsia" w:ascii="宋体" w:hAnsi="宋体" w:eastAsia="宋体" w:cs="宋体"/>
                <w:color w:val="auto"/>
                <w:sz w:val="24"/>
                <w:lang w:eastAsia="zh-CN"/>
              </w:rPr>
              <w:t>根据针对本项目的工期保证提供工期保证措施，如何对工期的保障进行详细描述，如遇夜间、冬季、夏季如何施工等。包括但不限于：①计划开竣工日期与措施；②施工进度网络图；③劳动力配备；④机械设备及材料配备计划</w:t>
            </w:r>
            <w:r>
              <w:rPr>
                <w:rFonts w:hint="eastAsia" w:ascii="宋体" w:hAnsi="宋体" w:eastAsia="宋体" w:cs="宋体"/>
                <w:color w:val="auto"/>
                <w:sz w:val="24"/>
                <w:lang w:val="en-US" w:eastAsia="zh-CN"/>
              </w:rPr>
              <w:t>等；</w:t>
            </w:r>
            <w:r>
              <w:rPr>
                <w:rFonts w:hint="eastAsia" w:ascii="宋体" w:hAnsi="宋体" w:eastAsia="宋体" w:cs="宋体"/>
                <w:color w:val="auto"/>
                <w:sz w:val="24"/>
                <w:lang w:val="zh-CN" w:eastAsia="zh-CN"/>
              </w:rPr>
              <w:t>以上因素每实质性响应一项得</w:t>
            </w:r>
            <w:r>
              <w:rPr>
                <w:rFonts w:hint="eastAsia" w:ascii="宋体" w:hAnsi="宋体" w:eastAsia="宋体" w:cs="宋体"/>
                <w:color w:val="auto"/>
                <w:sz w:val="24"/>
                <w:lang w:val="en-US" w:eastAsia="zh-CN"/>
              </w:rPr>
              <w:t>2</w:t>
            </w:r>
            <w:r>
              <w:rPr>
                <w:rFonts w:hint="eastAsia" w:ascii="宋体" w:hAnsi="宋体" w:eastAsia="宋体" w:cs="宋体"/>
                <w:color w:val="auto"/>
                <w:sz w:val="24"/>
                <w:lang w:val="zh-CN" w:eastAsia="zh-CN"/>
              </w:rPr>
              <w:t>分，每有一项存在缺陷或不足的扣</w:t>
            </w:r>
            <w:r>
              <w:rPr>
                <w:rFonts w:hint="eastAsia" w:ascii="宋体" w:hAnsi="宋体" w:eastAsia="宋体" w:cs="宋体"/>
                <w:color w:val="auto"/>
                <w:sz w:val="24"/>
                <w:lang w:val="en-US" w:eastAsia="zh-CN"/>
              </w:rPr>
              <w:t>1</w:t>
            </w:r>
            <w:r>
              <w:rPr>
                <w:rFonts w:hint="eastAsia" w:ascii="宋体" w:hAnsi="宋体" w:eastAsia="宋体" w:cs="宋体"/>
                <w:color w:val="auto"/>
                <w:sz w:val="24"/>
                <w:lang w:val="zh-CN" w:eastAsia="zh-CN"/>
              </w:rPr>
              <w:t>分，满分</w:t>
            </w:r>
            <w:r>
              <w:rPr>
                <w:rFonts w:hint="eastAsia" w:ascii="宋体" w:hAnsi="宋体" w:eastAsia="宋体" w:cs="宋体"/>
                <w:color w:val="auto"/>
                <w:sz w:val="24"/>
                <w:lang w:val="en-US" w:eastAsia="zh-CN"/>
              </w:rPr>
              <w:t>8</w:t>
            </w:r>
            <w:r>
              <w:rPr>
                <w:rFonts w:hint="eastAsia" w:ascii="宋体" w:hAnsi="宋体" w:eastAsia="宋体" w:cs="宋体"/>
                <w:color w:val="auto"/>
                <w:sz w:val="24"/>
                <w:lang w:val="zh-CN" w:eastAsia="zh-CN"/>
              </w:rPr>
              <w:t>分，未实质性响应或未提供不得分。</w:t>
            </w:r>
          </w:p>
        </w:tc>
      </w:tr>
      <w:tr w14:paraId="5B9DB4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46DC27">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CCDD2F">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69DF6E70">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lang w:val="zh-TW" w:eastAsia="zh-TW"/>
              </w:rPr>
            </w:pPr>
            <w:r>
              <w:rPr>
                <w:rFonts w:hint="eastAsia" w:asciiTheme="minorEastAsia" w:hAnsiTheme="minorEastAsia" w:eastAsiaTheme="minorEastAsia" w:cstheme="minorEastAsia"/>
                <w:color w:val="auto"/>
                <w:sz w:val="24"/>
                <w:szCs w:val="24"/>
                <w:highlight w:val="none"/>
                <w:lang w:val="en-US" w:eastAsia="zh-CN"/>
              </w:rPr>
              <w:t>施工总平面设计（6分）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2923B003">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val="0"/>
                <w:bCs w:val="0"/>
                <w:color w:val="auto"/>
                <w:sz w:val="24"/>
                <w:szCs w:val="24"/>
                <w:highlight w:val="none"/>
                <w:lang w:val="en-US" w:eastAsia="zh-CN"/>
              </w:rPr>
              <w:t>施工总平面设计（6分）：</w:t>
            </w:r>
            <w:r>
              <w:rPr>
                <w:rFonts w:hint="eastAsia" w:asciiTheme="minorEastAsia" w:hAnsiTheme="minorEastAsia" w:eastAsiaTheme="minorEastAsia" w:cstheme="minorEastAsia"/>
                <w:color w:val="auto"/>
                <w:sz w:val="24"/>
                <w:szCs w:val="24"/>
                <w:highlight w:val="none"/>
                <w:lang w:val="en-US" w:eastAsia="zh-CN"/>
              </w:rPr>
              <w:t>施工场利用符合现场实际内容</w:t>
            </w:r>
            <w:r>
              <w:rPr>
                <w:rFonts w:hint="eastAsia" w:asciiTheme="minorEastAsia" w:hAnsiTheme="minorEastAsia" w:eastAsiaTheme="minorEastAsia" w:cstheme="minorEastAsia"/>
                <w:color w:val="auto"/>
                <w:sz w:val="24"/>
                <w:szCs w:val="24"/>
                <w:highlight w:val="none"/>
              </w:rPr>
              <w:t>包括但不限于：①</w:t>
            </w:r>
            <w:r>
              <w:rPr>
                <w:rFonts w:hint="eastAsia" w:asciiTheme="minorEastAsia" w:hAnsiTheme="minorEastAsia" w:eastAsiaTheme="minorEastAsia" w:cstheme="minorEastAsia"/>
                <w:color w:val="auto"/>
                <w:sz w:val="24"/>
                <w:szCs w:val="24"/>
                <w:highlight w:val="none"/>
                <w:lang w:val="en-US" w:eastAsia="zh-CN"/>
              </w:rPr>
              <w:t>生产、生活用临时设施布置</w:t>
            </w:r>
            <w:r>
              <w:rPr>
                <w:rFonts w:hint="eastAsia" w:asciiTheme="minorEastAsia" w:hAnsiTheme="minorEastAsia" w:eastAsiaTheme="minorEastAsia" w:cstheme="minorEastAsia"/>
                <w:color w:val="auto"/>
                <w:sz w:val="24"/>
                <w:szCs w:val="24"/>
                <w:highlight w:val="none"/>
              </w:rPr>
              <w:t>②</w:t>
            </w:r>
            <w:r>
              <w:rPr>
                <w:rFonts w:hint="eastAsia" w:asciiTheme="minorEastAsia" w:hAnsiTheme="minorEastAsia" w:eastAsiaTheme="minorEastAsia" w:cstheme="minorEastAsia"/>
                <w:color w:val="auto"/>
                <w:sz w:val="24"/>
                <w:szCs w:val="24"/>
                <w:highlight w:val="none"/>
                <w:lang w:val="en-US" w:eastAsia="zh-CN"/>
              </w:rPr>
              <w:t>短运输、少搬运特征</w:t>
            </w:r>
            <w:r>
              <w:rPr>
                <w:rFonts w:hint="eastAsia" w:asciiTheme="minorEastAsia" w:hAnsiTheme="minorEastAsia" w:eastAsiaTheme="minorEastAsia" w:cstheme="minorEastAsia"/>
                <w:color w:val="auto"/>
                <w:sz w:val="24"/>
                <w:szCs w:val="24"/>
                <w:highlight w:val="none"/>
              </w:rPr>
              <w:t>③</w:t>
            </w:r>
            <w:r>
              <w:rPr>
                <w:rFonts w:hint="eastAsia" w:asciiTheme="minorEastAsia" w:hAnsiTheme="minorEastAsia" w:eastAsiaTheme="minorEastAsia" w:cstheme="minorEastAsia"/>
                <w:color w:val="auto"/>
                <w:sz w:val="24"/>
                <w:szCs w:val="24"/>
                <w:highlight w:val="none"/>
                <w:lang w:val="en-US" w:eastAsia="zh-CN"/>
              </w:rPr>
              <w:t>利于生产、生活、安全、消防、环保、市容、卫生劳动保护等；</w:t>
            </w:r>
            <w:r>
              <w:rPr>
                <w:rFonts w:hint="eastAsia" w:asciiTheme="minorEastAsia" w:hAnsiTheme="minorEastAsia" w:eastAsiaTheme="minorEastAsia" w:cstheme="minorEastAsia"/>
                <w:color w:val="auto"/>
                <w:sz w:val="24"/>
                <w:szCs w:val="24"/>
                <w:highlight w:val="none"/>
                <w:lang w:val="zh-CN" w:eastAsia="zh-CN"/>
              </w:rPr>
              <w:t>以上因素每实质性响应一项得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eastAsia="zh-CN"/>
              </w:rPr>
              <w:t>分，每有一项存在缺陷或不足的</w:t>
            </w:r>
            <w:r>
              <w:rPr>
                <w:rFonts w:hint="eastAsia" w:asciiTheme="minorEastAsia" w:hAnsiTheme="minorEastAsia" w:eastAsiaTheme="minorEastAsia" w:cstheme="minorEastAsia"/>
                <w:color w:val="auto"/>
                <w:kern w:val="2"/>
                <w:sz w:val="24"/>
                <w:szCs w:val="24"/>
                <w:highlight w:val="none"/>
                <w:lang w:val="zh-CN" w:eastAsia="zh-CN" w:bidi="ar-SA"/>
              </w:rPr>
              <w:t>扣</w:t>
            </w: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kern w:val="2"/>
                <w:sz w:val="24"/>
                <w:szCs w:val="24"/>
                <w:highlight w:val="none"/>
                <w:lang w:val="zh-CN" w:eastAsia="zh-CN" w:bidi="ar-SA"/>
              </w:rPr>
              <w:t>分，满分</w:t>
            </w: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kern w:val="2"/>
                <w:sz w:val="24"/>
                <w:szCs w:val="24"/>
                <w:highlight w:val="none"/>
                <w:lang w:val="zh-CN" w:eastAsia="zh-CN" w:bidi="ar-SA"/>
              </w:rPr>
              <w:t>分，未实质性响应或未提供不得分。</w:t>
            </w:r>
          </w:p>
        </w:tc>
      </w:tr>
      <w:tr w14:paraId="2562EC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D51354">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3EDDF3">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2AC3592D">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资源配备计划（6分）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120A1EC6">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资源配备计划（6分）：投标人根据①施工机械设备②其他设备③机械设备的实用性等；以上因素每实质性响应一项得2分，每有一项存在缺陷或不足的扣1分，满分6分，未实质性响应或未提供不得分。</w:t>
            </w:r>
          </w:p>
        </w:tc>
      </w:tr>
      <w:tr w14:paraId="3CE60E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6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006F70">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12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F25364">
            <w:pPr>
              <w:keepNext w:val="0"/>
              <w:keepLines w:val="0"/>
              <w:pageBreakBefore w:val="0"/>
              <w:widowControl w:val="0"/>
              <w:shd w:val="clear"/>
              <w:kinsoku/>
              <w:wordWrap/>
              <w:overflowPunct/>
              <w:topLinePunct w:val="0"/>
              <w:autoSpaceDE/>
              <w:autoSpaceDN/>
              <w:bidi w:val="0"/>
              <w:snapToGrid/>
              <w:spacing w:line="360" w:lineRule="auto"/>
              <w:textAlignment w:val="auto"/>
              <w:rPr>
                <w:rFonts w:hint="eastAsia" w:ascii="宋体" w:hAnsi="宋体" w:eastAsia="宋体" w:cs="宋体"/>
                <w:color w:val="auto"/>
                <w:sz w:val="24"/>
                <w:szCs w:val="24"/>
              </w:rPr>
            </w:pPr>
          </w:p>
        </w:tc>
        <w:tc>
          <w:tcPr>
            <w:tcW w:w="2223" w:type="dxa"/>
            <w:tcBorders>
              <w:top w:val="single" w:color="auto" w:sz="4" w:space="0"/>
              <w:left w:val="single" w:color="auto" w:sz="4" w:space="0"/>
              <w:bottom w:val="single" w:color="auto" w:sz="4" w:space="0"/>
              <w:right w:val="single" w:color="auto" w:sz="4" w:space="0"/>
            </w:tcBorders>
            <w:shd w:val="clear" w:color="auto" w:fill="auto"/>
            <w:vAlign w:val="center"/>
          </w:tcPr>
          <w:p w14:paraId="2FC71F73">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Arial" w:hAnsi="Arial" w:eastAsia="宋体" w:cs="Arial"/>
                <w:color w:val="auto"/>
                <w:sz w:val="24"/>
                <w:szCs w:val="24"/>
                <w:highlight w:val="none"/>
              </w:rPr>
              <w:t>危险性较大的分部分项工程安全专项施工方案(</w:t>
            </w:r>
            <w:r>
              <w:rPr>
                <w:rFonts w:hint="eastAsia" w:cs="Arial"/>
                <w:color w:val="auto"/>
                <w:sz w:val="24"/>
                <w:szCs w:val="24"/>
                <w:highlight w:val="none"/>
                <w:lang w:val="en-US" w:eastAsia="zh-CN"/>
              </w:rPr>
              <w:t>3</w:t>
            </w:r>
            <w:r>
              <w:rPr>
                <w:rFonts w:hint="eastAsia" w:ascii="Arial" w:hAnsi="Arial" w:eastAsia="宋体" w:cs="Arial"/>
                <w:color w:val="auto"/>
                <w:sz w:val="24"/>
                <w:szCs w:val="24"/>
                <w:highlight w:val="none"/>
              </w:rPr>
              <w:t>分)</w:t>
            </w:r>
          </w:p>
        </w:tc>
        <w:tc>
          <w:tcPr>
            <w:tcW w:w="6219" w:type="dxa"/>
            <w:tcBorders>
              <w:top w:val="single" w:color="auto" w:sz="4" w:space="0"/>
              <w:left w:val="single" w:color="auto" w:sz="4" w:space="0"/>
              <w:bottom w:val="single" w:color="auto" w:sz="4" w:space="0"/>
              <w:right w:val="single" w:color="auto" w:sz="4" w:space="0"/>
            </w:tcBorders>
            <w:shd w:val="clear" w:color="auto" w:fill="auto"/>
            <w:vAlign w:val="center"/>
          </w:tcPr>
          <w:p w14:paraId="70E41E2A">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Arial" w:hAnsi="Arial" w:eastAsia="宋体" w:cs="Arial"/>
                <w:b w:val="0"/>
                <w:bCs w:val="0"/>
                <w:color w:val="auto"/>
                <w:sz w:val="24"/>
                <w:szCs w:val="24"/>
                <w:highlight w:val="none"/>
              </w:rPr>
              <w:t>危险性较大的分部分项工程安全专项施工方案(</w:t>
            </w:r>
            <w:r>
              <w:rPr>
                <w:rFonts w:hint="eastAsia" w:eastAsia="宋体" w:cs="Arial"/>
                <w:b w:val="0"/>
                <w:bCs w:val="0"/>
                <w:color w:val="auto"/>
                <w:sz w:val="24"/>
                <w:szCs w:val="24"/>
                <w:highlight w:val="none"/>
                <w:lang w:val="en-US" w:eastAsia="zh-CN"/>
              </w:rPr>
              <w:t>3</w:t>
            </w:r>
            <w:r>
              <w:rPr>
                <w:rFonts w:hint="eastAsia" w:ascii="Arial" w:hAnsi="Arial" w:eastAsia="宋体" w:cs="Arial"/>
                <w:b w:val="0"/>
                <w:bCs w:val="0"/>
                <w:color w:val="auto"/>
                <w:sz w:val="24"/>
                <w:szCs w:val="24"/>
                <w:highlight w:val="none"/>
              </w:rPr>
              <w:t>分)</w:t>
            </w:r>
            <w:r>
              <w:rPr>
                <w:rFonts w:hint="eastAsia" w:eastAsia="宋体" w:cs="Arial"/>
                <w:b w:val="0"/>
                <w:bCs w:val="0"/>
                <w:color w:val="auto"/>
                <w:sz w:val="24"/>
                <w:szCs w:val="24"/>
                <w:highlight w:val="none"/>
                <w:lang w:eastAsia="zh-CN"/>
              </w:rPr>
              <w:t>：</w:t>
            </w:r>
            <w:r>
              <w:rPr>
                <w:rFonts w:hint="eastAsia" w:eastAsia="宋体" w:cs="Arial"/>
                <w:color w:val="auto"/>
                <w:sz w:val="24"/>
                <w:szCs w:val="24"/>
                <w:highlight w:val="none"/>
                <w:lang w:val="en-US" w:eastAsia="zh-CN"/>
              </w:rPr>
              <w:t>投标人根据项目实施情况编制</w:t>
            </w:r>
            <w:r>
              <w:rPr>
                <w:rFonts w:hint="eastAsia" w:ascii="Arial" w:hAnsi="Arial" w:eastAsia="宋体" w:cs="Arial"/>
                <w:color w:val="auto"/>
                <w:sz w:val="24"/>
                <w:szCs w:val="24"/>
                <w:highlight w:val="none"/>
              </w:rPr>
              <w:t>危险性较大的分部分项工程安全专项施工方案</w:t>
            </w:r>
            <w:r>
              <w:rPr>
                <w:rFonts w:hint="eastAsia" w:eastAsia="宋体" w:cs="Arial"/>
                <w:color w:val="auto"/>
                <w:sz w:val="24"/>
                <w:szCs w:val="24"/>
                <w:highlight w:val="none"/>
                <w:lang w:val="en-US" w:eastAsia="zh-CN"/>
              </w:rPr>
              <w:t>内容包括但不限于</w:t>
            </w:r>
            <w:r>
              <w:rPr>
                <w:rFonts w:hint="eastAsia"/>
                <w:color w:val="auto"/>
                <w:highlight w:val="none"/>
              </w:rPr>
              <w:t>①</w:t>
            </w:r>
            <w:r>
              <w:rPr>
                <w:rFonts w:hint="eastAsia" w:ascii="宋体" w:hAnsi="宋体" w:eastAsia="宋体" w:cs="宋体"/>
                <w:color w:val="auto"/>
                <w:kern w:val="0"/>
                <w:sz w:val="24"/>
                <w:highlight w:val="none"/>
              </w:rPr>
              <w:t>专项方案内容</w:t>
            </w:r>
            <w:r>
              <w:rPr>
                <w:rFonts w:hint="eastAsia"/>
                <w:color w:val="auto"/>
                <w:highlight w:val="none"/>
              </w:rPr>
              <w:t>②</w:t>
            </w:r>
            <w:r>
              <w:rPr>
                <w:rFonts w:hint="eastAsia" w:ascii="宋体" w:hAnsi="宋体" w:eastAsia="宋体" w:cs="宋体"/>
                <w:color w:val="auto"/>
                <w:kern w:val="0"/>
                <w:sz w:val="24"/>
                <w:highlight w:val="none"/>
              </w:rPr>
              <w:t>专项方案符合有关标准规范</w:t>
            </w:r>
            <w:r>
              <w:rPr>
                <w:rFonts w:hint="eastAsia"/>
                <w:color w:val="auto"/>
                <w:highlight w:val="none"/>
              </w:rPr>
              <w:t>③</w:t>
            </w:r>
            <w:r>
              <w:rPr>
                <w:rFonts w:hint="eastAsia" w:ascii="宋体" w:hAnsi="宋体" w:eastAsia="宋体" w:cs="宋体"/>
                <w:color w:val="auto"/>
                <w:kern w:val="0"/>
                <w:sz w:val="24"/>
                <w:highlight w:val="none"/>
              </w:rPr>
              <w:t>安全施工的措施</w:t>
            </w:r>
            <w:r>
              <w:rPr>
                <w:rFonts w:hint="eastAsia"/>
                <w:color w:val="auto"/>
                <w:highlight w:val="none"/>
                <w:lang w:val="en-US" w:eastAsia="zh-CN"/>
              </w:rPr>
              <w:t>等；</w:t>
            </w:r>
            <w:r>
              <w:rPr>
                <w:rFonts w:hint="eastAsia" w:asciiTheme="minorEastAsia" w:hAnsiTheme="minorEastAsia" w:eastAsiaTheme="minorEastAsia" w:cstheme="minorEastAsia"/>
                <w:color w:val="auto"/>
                <w:sz w:val="24"/>
                <w:szCs w:val="24"/>
                <w:highlight w:val="none"/>
                <w:lang w:val="zh-CN" w:eastAsia="zh-CN"/>
              </w:rPr>
              <w:t>以上因素每实质性响应一项得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zh-CN" w:eastAsia="zh-CN"/>
              </w:rPr>
              <w:t>分，每有一项存在缺陷或不足的</w:t>
            </w:r>
            <w:r>
              <w:rPr>
                <w:rFonts w:hint="eastAsia" w:asciiTheme="minorEastAsia" w:hAnsiTheme="minorEastAsia" w:eastAsiaTheme="minorEastAsia" w:cstheme="minorEastAsia"/>
                <w:color w:val="auto"/>
                <w:kern w:val="2"/>
                <w:sz w:val="24"/>
                <w:szCs w:val="24"/>
                <w:highlight w:val="none"/>
                <w:lang w:val="zh-CN" w:eastAsia="zh-CN" w:bidi="ar-SA"/>
              </w:rPr>
              <w:t>扣</w:t>
            </w:r>
            <w:r>
              <w:rPr>
                <w:rFonts w:hint="eastAsia" w:asciiTheme="minorEastAsia" w:hAnsiTheme="minorEastAsia" w:eastAsiaTheme="minorEastAsia" w:cstheme="minorEastAsia"/>
                <w:color w:val="auto"/>
                <w:kern w:val="2"/>
                <w:sz w:val="24"/>
                <w:szCs w:val="24"/>
                <w:highlight w:val="none"/>
                <w:lang w:val="en-US" w:eastAsia="zh-CN" w:bidi="ar-SA"/>
              </w:rPr>
              <w:t>0.5</w:t>
            </w:r>
            <w:r>
              <w:rPr>
                <w:rFonts w:hint="eastAsia" w:asciiTheme="minorEastAsia" w:hAnsiTheme="minorEastAsia" w:eastAsiaTheme="minorEastAsia" w:cstheme="minorEastAsia"/>
                <w:color w:val="auto"/>
                <w:kern w:val="2"/>
                <w:sz w:val="24"/>
                <w:szCs w:val="24"/>
                <w:highlight w:val="none"/>
                <w:lang w:val="zh-CN" w:eastAsia="zh-CN" w:bidi="ar-SA"/>
              </w:rPr>
              <w:t>分，满分</w:t>
            </w:r>
            <w:r>
              <w:rPr>
                <w:rFonts w:hint="eastAsia" w:asciiTheme="minorEastAsia" w:hAnsiTheme="minorEastAsia" w:eastAsiaTheme="minorEastAsia" w:cstheme="minorEastAsia"/>
                <w:color w:val="auto"/>
                <w:kern w:val="2"/>
                <w:sz w:val="24"/>
                <w:szCs w:val="24"/>
                <w:highlight w:val="none"/>
                <w:lang w:val="en-US" w:eastAsia="zh-CN" w:bidi="ar-SA"/>
              </w:rPr>
              <w:t>3</w:t>
            </w:r>
            <w:r>
              <w:rPr>
                <w:rFonts w:hint="eastAsia" w:asciiTheme="minorEastAsia" w:hAnsiTheme="minorEastAsia" w:eastAsiaTheme="minorEastAsia" w:cstheme="minorEastAsia"/>
                <w:color w:val="auto"/>
                <w:kern w:val="2"/>
                <w:sz w:val="24"/>
                <w:szCs w:val="24"/>
                <w:highlight w:val="none"/>
                <w:lang w:val="zh-CN" w:eastAsia="zh-CN" w:bidi="ar-SA"/>
              </w:rPr>
              <w:t>分，未实质性响应或未提供不得分。</w:t>
            </w:r>
          </w:p>
        </w:tc>
      </w:tr>
      <w:tr w14:paraId="38500A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3" w:hRule="atLeast"/>
          <w:jc w:val="center"/>
        </w:trPr>
        <w:tc>
          <w:tcPr>
            <w:tcW w:w="103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B4C9A71">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Arial" w:hAnsi="Arial" w:eastAsia="宋体" w:cs="Arial"/>
                <w:b w:val="0"/>
                <w:bCs w:val="0"/>
                <w:color w:val="auto"/>
                <w:sz w:val="24"/>
                <w:szCs w:val="24"/>
                <w:highlight w:val="none"/>
              </w:rPr>
            </w:pPr>
            <w:r>
              <w:rPr>
                <w:rFonts w:hint="eastAsia" w:ascii="宋体" w:hAnsi="宋体" w:eastAsia="宋体" w:cs="宋体"/>
                <w:color w:val="auto"/>
                <w:sz w:val="24"/>
                <w:szCs w:val="24"/>
                <w:shd w:val="clear" w:color="auto" w:fill="FFFFFF"/>
                <w:lang w:val="zh-CN" w:eastAsia="zh-CN"/>
              </w:rPr>
              <w:t>内容存在缺陷或不足是指:方案内容不切合行业实际、不符合行业政策，或存在项目名称错误、地点区域错误、内容与本项目需求无关、方案内容矛盾或表述前后不一致、仅有框架或标题、适用的标准(方法)错误、明显复制其他项目内容或内容不适用项目实际情况;或内容逻辑漏洞或原理错误。</w:t>
            </w:r>
          </w:p>
        </w:tc>
      </w:tr>
    </w:tbl>
    <w:p w14:paraId="6ADC30F0">
      <w:pPr>
        <w:pStyle w:val="37"/>
        <w:pageBreakBefore w:val="0"/>
        <w:shd w:val="clear"/>
        <w:kinsoku/>
        <w:overflowPunct/>
        <w:topLinePunct w:val="0"/>
        <w:bidi w:val="0"/>
        <w:snapToGrid/>
        <w:spacing w:line="360" w:lineRule="auto"/>
        <w:ind w:firstLine="3840" w:firstLineChars="1600"/>
        <w:jc w:val="both"/>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续</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表</w:t>
      </w:r>
    </w:p>
    <w:tbl>
      <w:tblPr>
        <w:tblStyle w:val="22"/>
        <w:tblW w:w="10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685"/>
        <w:gridCol w:w="1243"/>
        <w:gridCol w:w="1397"/>
        <w:gridCol w:w="6788"/>
      </w:tblGrid>
      <w:tr w14:paraId="2727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84" w:hRule="exact"/>
          <w:jc w:val="center"/>
        </w:trPr>
        <w:tc>
          <w:tcPr>
            <w:tcW w:w="1928" w:type="dxa"/>
            <w:gridSpan w:val="2"/>
            <w:shd w:val="clear" w:color="auto" w:fill="auto"/>
            <w:vAlign w:val="center"/>
          </w:tcPr>
          <w:p w14:paraId="43006087">
            <w:pPr>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条款号及名称</w:t>
            </w:r>
          </w:p>
        </w:tc>
        <w:tc>
          <w:tcPr>
            <w:tcW w:w="1397" w:type="dxa"/>
            <w:shd w:val="clear" w:color="auto" w:fill="auto"/>
            <w:vAlign w:val="center"/>
          </w:tcPr>
          <w:p w14:paraId="6017E1AB">
            <w:pPr>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评分因素</w:t>
            </w:r>
          </w:p>
        </w:tc>
        <w:tc>
          <w:tcPr>
            <w:tcW w:w="6788" w:type="dxa"/>
            <w:shd w:val="clear" w:color="auto" w:fill="auto"/>
            <w:vAlign w:val="center"/>
          </w:tcPr>
          <w:p w14:paraId="416EE5C3">
            <w:pPr>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r>
      <w:tr w14:paraId="6652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653" w:hRule="exact"/>
          <w:jc w:val="center"/>
        </w:trPr>
        <w:tc>
          <w:tcPr>
            <w:tcW w:w="685" w:type="dxa"/>
            <w:vMerge w:val="restart"/>
            <w:shd w:val="clear" w:color="auto" w:fill="auto"/>
            <w:vAlign w:val="center"/>
          </w:tcPr>
          <w:p w14:paraId="68F1A483">
            <w:pPr>
              <w:pageBreakBefore w:val="0"/>
              <w:widowControl w:val="0"/>
              <w:shd w:val="clear"/>
              <w:kinsoku/>
              <w:wordWrap/>
              <w:overflowPunct/>
              <w:topLinePunct w:val="0"/>
              <w:autoSpaceDE/>
              <w:autoSpaceDN/>
              <w:bidi w:val="0"/>
              <w:adjustRightInd/>
              <w:snapToGrid/>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lang w:val="en-US" w:eastAsia="en-US"/>
              </w:rPr>
              <w:t>3.3</w:t>
            </w:r>
          </w:p>
          <w:p w14:paraId="3B711655">
            <w:pPr>
              <w:pageBreakBefore w:val="0"/>
              <w:widowControl w:val="0"/>
              <w:shd w:val="clear"/>
              <w:kinsoku/>
              <w:wordWrap/>
              <w:overflowPunct/>
              <w:topLinePunct w:val="0"/>
              <w:autoSpaceDE/>
              <w:autoSpaceDN/>
              <w:bidi w:val="0"/>
              <w:adjustRightInd/>
              <w:snapToGrid/>
              <w:spacing w:line="360" w:lineRule="auto"/>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243" w:type="dxa"/>
            <w:vMerge w:val="restart"/>
            <w:shd w:val="clear" w:color="auto" w:fill="auto"/>
            <w:vAlign w:val="center"/>
          </w:tcPr>
          <w:p w14:paraId="73FC0A76">
            <w:pPr>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技术</w:t>
            </w:r>
            <w:r>
              <w:rPr>
                <w:rFonts w:hint="eastAsia" w:ascii="宋体" w:hAnsi="宋体" w:eastAsia="宋体" w:cs="宋体"/>
                <w:color w:val="auto"/>
                <w:sz w:val="24"/>
                <w:szCs w:val="24"/>
                <w:lang w:eastAsia="zh-CN"/>
              </w:rPr>
              <w:t>实力</w:t>
            </w:r>
            <w:r>
              <w:rPr>
                <w:rFonts w:hint="eastAsia" w:ascii="宋体" w:hAnsi="宋体" w:eastAsia="宋体" w:cs="宋体"/>
                <w:color w:val="auto"/>
                <w:sz w:val="24"/>
                <w:szCs w:val="24"/>
              </w:rPr>
              <w:t>标准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15分</w:t>
            </w:r>
            <w:r>
              <w:rPr>
                <w:rFonts w:hint="eastAsia" w:ascii="宋体" w:hAnsi="宋体" w:eastAsia="宋体" w:cs="宋体"/>
                <w:color w:val="auto"/>
                <w:sz w:val="24"/>
                <w:szCs w:val="24"/>
                <w:lang w:eastAsia="zh-CN"/>
              </w:rPr>
              <w:t>）</w:t>
            </w:r>
          </w:p>
        </w:tc>
        <w:tc>
          <w:tcPr>
            <w:tcW w:w="1397" w:type="dxa"/>
            <w:shd w:val="clear" w:color="auto" w:fill="auto"/>
            <w:vAlign w:val="center"/>
          </w:tcPr>
          <w:p w14:paraId="5FEECA56">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询比响应人类似业绩</w:t>
            </w:r>
          </w:p>
          <w:p w14:paraId="0C6B436C">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TW" w:eastAsia="zh-TW"/>
              </w:rPr>
            </w:pPr>
            <w:r>
              <w:rPr>
                <w:rFonts w:hint="eastAsia" w:ascii="宋体" w:hAnsi="宋体" w:eastAsia="宋体" w:cs="宋体"/>
                <w:color w:val="auto"/>
                <w:sz w:val="24"/>
                <w:lang w:val="en-US" w:eastAsia="zh-CN"/>
              </w:rPr>
              <w:t>（5分）</w:t>
            </w:r>
          </w:p>
        </w:tc>
        <w:tc>
          <w:tcPr>
            <w:tcW w:w="6788" w:type="dxa"/>
            <w:shd w:val="clear" w:color="auto" w:fill="auto"/>
            <w:vAlign w:val="center"/>
          </w:tcPr>
          <w:p w14:paraId="5147C281">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zh-TW"/>
              </w:rPr>
            </w:pPr>
            <w:r>
              <w:rPr>
                <w:rFonts w:hint="eastAsia" w:ascii="宋体" w:hAnsi="宋体" w:eastAsia="宋体" w:cs="宋体"/>
                <w:color w:val="auto"/>
                <w:sz w:val="24"/>
                <w:lang w:val="en-US" w:eastAsia="zh-CN"/>
              </w:rPr>
              <w:t>询比响应人近三年（2023年1月1日-今）每提供一个类似项目业绩得1分，最高得5 分；业绩以（中标（成交）通知书和双方签订的合同协议书为准）。</w:t>
            </w:r>
          </w:p>
        </w:tc>
      </w:tr>
      <w:tr w14:paraId="6F2D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63" w:hRule="exact"/>
          <w:jc w:val="center"/>
        </w:trPr>
        <w:tc>
          <w:tcPr>
            <w:tcW w:w="685" w:type="dxa"/>
            <w:vMerge w:val="continue"/>
            <w:shd w:val="clear" w:color="auto" w:fill="auto"/>
            <w:vAlign w:val="center"/>
          </w:tcPr>
          <w:p w14:paraId="18D8E6D5">
            <w:pPr>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rPr>
            </w:pPr>
          </w:p>
        </w:tc>
        <w:tc>
          <w:tcPr>
            <w:tcW w:w="1243" w:type="dxa"/>
            <w:vMerge w:val="continue"/>
            <w:shd w:val="clear" w:color="auto" w:fill="auto"/>
            <w:vAlign w:val="center"/>
          </w:tcPr>
          <w:p w14:paraId="1B993D24">
            <w:pPr>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rPr>
            </w:pPr>
          </w:p>
        </w:tc>
        <w:tc>
          <w:tcPr>
            <w:tcW w:w="1397" w:type="dxa"/>
            <w:shd w:val="clear" w:color="auto" w:fill="auto"/>
            <w:vAlign w:val="center"/>
          </w:tcPr>
          <w:p w14:paraId="2706EDC1">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项目班子组成</w:t>
            </w:r>
          </w:p>
          <w:p w14:paraId="06D76E90">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（10分）</w:t>
            </w:r>
          </w:p>
        </w:tc>
        <w:tc>
          <w:tcPr>
            <w:tcW w:w="6788" w:type="dxa"/>
            <w:shd w:val="clear" w:color="auto" w:fill="auto"/>
            <w:vAlign w:val="center"/>
          </w:tcPr>
          <w:p w14:paraId="13D14543">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项目管理班子成员依据《青海省建筑工程施工现场主要管理人员配备办法》要求，配备施工项目部主要管理人员（附施工项目部主要管理人员配备标准）项目管理班子管理人员配备齐全的得10分，本项目每缺少一人扣2分，扣完为止；（项目管理班子成员需提供岗位资格证书和社保缴纳证明）。</w:t>
            </w:r>
          </w:p>
        </w:tc>
      </w:tr>
      <w:tr w14:paraId="5952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490" w:hRule="exact"/>
          <w:jc w:val="center"/>
        </w:trPr>
        <w:tc>
          <w:tcPr>
            <w:tcW w:w="685" w:type="dxa"/>
            <w:shd w:val="clear" w:color="auto" w:fill="auto"/>
            <w:vAlign w:val="center"/>
          </w:tcPr>
          <w:p w14:paraId="2686762B">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lang w:val="en-US" w:eastAsia="en-US" w:bidi="en-US"/>
              </w:rPr>
              <w:t>3.3</w:t>
            </w:r>
          </w:p>
          <w:p w14:paraId="0B5025DD">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w:t>
            </w:r>
            <w:r>
              <w:rPr>
                <w:rFonts w:hint="eastAsia" w:cs="宋体"/>
                <w:color w:val="auto"/>
                <w:sz w:val="24"/>
                <w:lang w:val="en-US" w:eastAsia="zh-CN"/>
              </w:rPr>
              <w:t>3</w:t>
            </w:r>
            <w:r>
              <w:rPr>
                <w:rFonts w:hint="eastAsia" w:ascii="宋体" w:hAnsi="宋体" w:eastAsia="宋体" w:cs="宋体"/>
                <w:color w:val="auto"/>
                <w:sz w:val="24"/>
              </w:rPr>
              <w:t>)</w:t>
            </w:r>
          </w:p>
        </w:tc>
        <w:tc>
          <w:tcPr>
            <w:tcW w:w="1243" w:type="dxa"/>
            <w:shd w:val="clear" w:color="auto" w:fill="auto"/>
            <w:vAlign w:val="center"/>
          </w:tcPr>
          <w:p w14:paraId="1AA967B4">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报价评分 标准</w:t>
            </w:r>
          </w:p>
        </w:tc>
        <w:tc>
          <w:tcPr>
            <w:tcW w:w="8185" w:type="dxa"/>
            <w:gridSpan w:val="2"/>
            <w:shd w:val="clear" w:color="auto" w:fill="auto"/>
            <w:vAlign w:val="center"/>
          </w:tcPr>
          <w:p w14:paraId="04529740">
            <w:pPr>
              <w:pStyle w:val="35"/>
              <w:pageBreakBefore w:val="0"/>
              <w:widowControl w:val="0"/>
              <w:shd w:val="clear"/>
              <w:kinsoku/>
              <w:wordWrap/>
              <w:overflowPunct/>
              <w:topLinePunct w:val="0"/>
              <w:autoSpaceDE/>
              <w:autoSpaceDN/>
              <w:bidi w:val="0"/>
              <w:adjustRightInd/>
              <w:snapToGrid/>
              <w:spacing w:line="360" w:lineRule="auto"/>
              <w:jc w:val="left"/>
              <w:rPr>
                <w:rFonts w:hint="eastAsia" w:ascii="宋体" w:hAnsi="宋体" w:eastAsia="宋体" w:cs="宋体"/>
                <w:color w:val="auto"/>
                <w:sz w:val="24"/>
                <w:lang w:val="en-US" w:eastAsia="zh-CN"/>
              </w:rPr>
            </w:pPr>
            <w:r>
              <w:rPr>
                <w:rFonts w:hint="eastAsia" w:ascii="宋体" w:hAnsi="宋体" w:eastAsia="宋体" w:cs="宋体"/>
                <w:color w:val="auto"/>
                <w:sz w:val="24"/>
              </w:rPr>
              <w:sym w:font="Wingdings 2" w:char="0052"/>
            </w:r>
            <w:r>
              <w:rPr>
                <w:rFonts w:hint="eastAsia" w:ascii="宋体" w:hAnsi="宋体" w:eastAsia="宋体" w:cs="宋体"/>
                <w:color w:val="auto"/>
                <w:sz w:val="24"/>
              </w:rPr>
              <w:t>方法一：</w:t>
            </w:r>
            <w:r>
              <w:rPr>
                <w:rFonts w:hint="eastAsia" w:ascii="宋体" w:hAnsi="宋体" w:eastAsia="宋体" w:cs="宋体"/>
                <w:color w:val="auto"/>
                <w:sz w:val="24"/>
                <w:lang w:val="en-US" w:eastAsia="en-US" w:bidi="en-US"/>
              </w:rPr>
              <w:t xml:space="preserve">Ei </w:t>
            </w:r>
            <w:r>
              <w:rPr>
                <w:rFonts w:hint="eastAsia" w:ascii="宋体" w:hAnsi="宋体" w:eastAsia="宋体" w:cs="宋体"/>
                <w:color w:val="auto"/>
                <w:sz w:val="24"/>
                <w:lang w:val="en-US" w:eastAsia="zh-CN"/>
              </w:rPr>
              <w:t>=</w:t>
            </w:r>
            <w:r>
              <w:rPr>
                <w:rFonts w:hint="eastAsia" w:ascii="宋体" w:hAnsi="宋体" w:eastAsia="宋体" w:cs="宋体"/>
                <w:color w:val="auto"/>
                <w:sz w:val="24"/>
                <w:u w:val="single"/>
                <w:lang w:val="en-US" w:eastAsia="zh-CN"/>
              </w:rPr>
              <w:t xml:space="preserve">  </w:t>
            </w:r>
            <w:r>
              <w:rPr>
                <w:rFonts w:hint="eastAsia" w:cs="宋体"/>
                <w:color w:val="auto"/>
                <w:sz w:val="24"/>
                <w:u w:val="single"/>
                <w:lang w:val="en-US" w:eastAsia="zh-CN"/>
              </w:rPr>
              <w:t>0.5</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lang w:val="en-US" w:eastAsia="zh-CN"/>
              </w:rPr>
              <w:t>,</w:t>
            </w:r>
            <w:r>
              <w:rPr>
                <w:rFonts w:hint="eastAsia" w:ascii="宋体" w:hAnsi="宋体" w:eastAsia="宋体" w:cs="宋体"/>
                <w:color w:val="auto"/>
                <w:sz w:val="24"/>
                <w:lang w:val="en-US" w:eastAsia="en-US" w:bidi="en-US"/>
              </w:rPr>
              <w:t>E</w:t>
            </w:r>
            <w:r>
              <w:rPr>
                <w:rFonts w:hint="eastAsia" w:ascii="宋体" w:hAnsi="宋体" w:eastAsia="宋体" w:cs="宋体"/>
                <w:color w:val="auto"/>
                <w:sz w:val="24"/>
                <w:vertAlign w:val="subscript"/>
                <w:lang w:val="en-US" w:eastAsia="en-US" w:bidi="en-US"/>
              </w:rPr>
              <w:t>2</w:t>
            </w:r>
            <w:r>
              <w:rPr>
                <w:rFonts w:hint="eastAsia" w:ascii="宋体" w:hAnsi="宋体" w:eastAsia="宋体" w:cs="宋体"/>
                <w:color w:val="auto"/>
                <w:sz w:val="24"/>
                <w:lang w:val="en-US" w:eastAsia="en-US" w:bidi="en-US"/>
              </w:rPr>
              <w:t>=</w:t>
            </w:r>
            <w:r>
              <w:rPr>
                <w:rFonts w:hint="eastAsia" w:ascii="宋体" w:hAnsi="宋体" w:eastAsia="宋体" w:cs="宋体"/>
                <w:color w:val="auto"/>
                <w:sz w:val="24"/>
                <w:u w:val="single"/>
                <w:lang w:val="en-US" w:eastAsia="zh-CN" w:bidi="en-US"/>
              </w:rPr>
              <w:t xml:space="preserve">   0.</w:t>
            </w:r>
            <w:r>
              <w:rPr>
                <w:rFonts w:hint="eastAsia" w:cs="宋体"/>
                <w:color w:val="auto"/>
                <w:sz w:val="24"/>
                <w:u w:val="single"/>
                <w:lang w:val="en-US" w:eastAsia="zh-CN" w:bidi="en-US"/>
              </w:rPr>
              <w:t>3</w:t>
            </w:r>
            <w:r>
              <w:rPr>
                <w:rFonts w:hint="eastAsia" w:ascii="宋体" w:hAnsi="宋体" w:eastAsia="宋体" w:cs="宋体"/>
                <w:color w:val="auto"/>
                <w:sz w:val="24"/>
                <w:u w:val="single"/>
                <w:lang w:val="en-US" w:eastAsia="zh-CN" w:bidi="en-US"/>
              </w:rPr>
              <w:t xml:space="preserve">   </w:t>
            </w:r>
          </w:p>
          <w:p w14:paraId="42904C59">
            <w:pPr>
              <w:pStyle w:val="35"/>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rPr>
            </w:pPr>
            <w:r>
              <w:rPr>
                <w:rFonts w:hint="eastAsia" w:ascii="宋体" w:hAnsi="宋体" w:eastAsia="宋体" w:cs="宋体"/>
                <w:color w:val="auto"/>
                <w:sz w:val="24"/>
              </w:rPr>
              <w:sym w:font="Wingdings 2" w:char="00A3"/>
            </w:r>
            <w:r>
              <w:rPr>
                <w:rFonts w:hint="eastAsia" w:ascii="宋体" w:hAnsi="宋体" w:eastAsia="宋体" w:cs="宋体"/>
                <w:color w:val="auto"/>
                <w:sz w:val="24"/>
              </w:rPr>
              <w:t>方法二</w:t>
            </w:r>
          </w:p>
          <w:p w14:paraId="4ACCCC76">
            <w:pPr>
              <w:pStyle w:val="35"/>
              <w:pageBreakBefore w:val="0"/>
              <w:widowControl w:val="0"/>
              <w:shd w:val="clear"/>
              <w:kinsoku/>
              <w:wordWrap/>
              <w:overflowPunct/>
              <w:topLinePunct w:val="0"/>
              <w:autoSpaceDE/>
              <w:autoSpaceDN/>
              <w:bidi w:val="0"/>
              <w:adjustRightInd/>
              <w:snapToGrid/>
              <w:spacing w:line="360" w:lineRule="auto"/>
              <w:rPr>
                <w:rFonts w:hint="eastAsia" w:ascii="宋体" w:hAnsi="宋体" w:eastAsia="宋体" w:cs="宋体"/>
                <w:color w:val="auto"/>
                <w:sz w:val="24"/>
              </w:rPr>
            </w:pPr>
            <w:r>
              <w:rPr>
                <w:rFonts w:hint="eastAsia" w:ascii="宋体" w:hAnsi="宋体" w:eastAsia="宋体" w:cs="宋体"/>
                <w:color w:val="auto"/>
                <w:sz w:val="24"/>
              </w:rPr>
              <w:t>口方法三：具体方</w:t>
            </w:r>
            <w:r>
              <w:rPr>
                <w:rFonts w:hint="eastAsia" w:ascii="宋体" w:hAnsi="宋体" w:eastAsia="宋体" w:cs="宋体"/>
                <w:color w:val="auto"/>
                <w:sz w:val="24"/>
                <w:lang w:val="en-US" w:eastAsia="zh-CN"/>
              </w:rPr>
              <w:t>法为</w:t>
            </w:r>
            <w:r>
              <w:rPr>
                <w:rFonts w:hint="eastAsia" w:ascii="宋体" w:hAnsi="宋体" w:eastAsia="宋体" w:cs="宋体"/>
                <w:color w:val="auto"/>
                <w:sz w:val="24"/>
                <w:u w:val="single"/>
                <w:lang w:val="en-US" w:eastAsia="zh-CN"/>
              </w:rPr>
              <w:t xml:space="preserve">                                                    </w:t>
            </w:r>
          </w:p>
        </w:tc>
      </w:tr>
      <w:tr w14:paraId="20C0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08" w:hRule="exact"/>
          <w:jc w:val="center"/>
        </w:trPr>
        <w:tc>
          <w:tcPr>
            <w:tcW w:w="685" w:type="dxa"/>
            <w:shd w:val="clear" w:color="auto" w:fill="auto"/>
            <w:vAlign w:val="center"/>
          </w:tcPr>
          <w:p w14:paraId="3D4635F9">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lang w:val="en-US" w:eastAsia="en-US" w:bidi="en-US"/>
              </w:rPr>
              <w:t>3. 3</w:t>
            </w:r>
          </w:p>
          <w:p w14:paraId="3E645AA7">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w:t>
            </w:r>
            <w:r>
              <w:rPr>
                <w:rFonts w:hint="eastAsia" w:cs="宋体"/>
                <w:color w:val="auto"/>
                <w:sz w:val="24"/>
                <w:lang w:val="en-US" w:eastAsia="zh-CN"/>
              </w:rPr>
              <w:t>4</w:t>
            </w:r>
            <w:r>
              <w:rPr>
                <w:rFonts w:hint="eastAsia" w:ascii="宋体" w:hAnsi="宋体" w:eastAsia="宋体" w:cs="宋体"/>
                <w:color w:val="auto"/>
                <w:sz w:val="24"/>
              </w:rPr>
              <w:t>)</w:t>
            </w:r>
          </w:p>
        </w:tc>
        <w:tc>
          <w:tcPr>
            <w:tcW w:w="1243" w:type="dxa"/>
            <w:shd w:val="clear" w:color="auto" w:fill="auto"/>
            <w:vAlign w:val="center"/>
          </w:tcPr>
          <w:p w14:paraId="0512A737">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其他因素 评分标准</w:t>
            </w:r>
          </w:p>
        </w:tc>
        <w:tc>
          <w:tcPr>
            <w:tcW w:w="1397" w:type="dxa"/>
            <w:shd w:val="clear" w:color="auto" w:fill="auto"/>
            <w:vAlign w:val="center"/>
          </w:tcPr>
          <w:p w14:paraId="785CEA7C">
            <w:pPr>
              <w:pStyle w:val="35"/>
              <w:pageBreakBefore w:val="0"/>
              <w:widowControl w:val="0"/>
              <w:shd w:val="clear"/>
              <w:tabs>
                <w:tab w:val="left" w:leader="dot" w:pos="384"/>
              </w:tabs>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lang w:val="en-US" w:eastAsia="en-US" w:bidi="en-US"/>
              </w:rPr>
              <w:tab/>
            </w:r>
          </w:p>
        </w:tc>
        <w:tc>
          <w:tcPr>
            <w:tcW w:w="6788" w:type="dxa"/>
            <w:shd w:val="clear" w:color="auto" w:fill="auto"/>
            <w:vAlign w:val="center"/>
          </w:tcPr>
          <w:p w14:paraId="223572F7">
            <w:pPr>
              <w:pStyle w:val="35"/>
              <w:pageBreakBefore w:val="0"/>
              <w:widowControl w:val="0"/>
              <w:shd w:val="clear"/>
              <w:tabs>
                <w:tab w:val="left" w:leader="dot" w:pos="679"/>
              </w:tabs>
              <w:kinsoku/>
              <w:wordWrap/>
              <w:overflowPunct/>
              <w:topLinePunct w:val="0"/>
              <w:autoSpaceDE/>
              <w:autoSpaceDN/>
              <w:bidi w:val="0"/>
              <w:adjustRightInd/>
              <w:snapToGrid/>
              <w:spacing w:line="360" w:lineRule="auto"/>
              <w:jc w:val="left"/>
              <w:rPr>
                <w:rFonts w:hint="eastAsia" w:ascii="宋体" w:hAnsi="宋体" w:eastAsia="宋体" w:cs="宋体"/>
                <w:color w:val="auto"/>
                <w:sz w:val="24"/>
              </w:rPr>
            </w:pPr>
            <w:r>
              <w:rPr>
                <w:rFonts w:hint="eastAsia" w:ascii="宋体" w:hAnsi="宋体" w:eastAsia="宋体" w:cs="宋体"/>
                <w:color w:val="auto"/>
                <w:sz w:val="24"/>
                <w:lang w:val="en-US" w:eastAsia="en-US" w:bidi="en-US"/>
              </w:rPr>
              <w:tab/>
            </w:r>
          </w:p>
        </w:tc>
      </w:tr>
      <w:tr w14:paraId="4C04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383" w:hRule="exact"/>
          <w:jc w:val="center"/>
        </w:trPr>
        <w:tc>
          <w:tcPr>
            <w:tcW w:w="1928" w:type="dxa"/>
            <w:gridSpan w:val="2"/>
            <w:shd w:val="clear" w:color="auto" w:fill="auto"/>
          </w:tcPr>
          <w:p w14:paraId="6C0A9447">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条款号</w:t>
            </w:r>
          </w:p>
        </w:tc>
        <w:tc>
          <w:tcPr>
            <w:tcW w:w="1397" w:type="dxa"/>
            <w:shd w:val="clear" w:color="auto" w:fill="auto"/>
          </w:tcPr>
          <w:p w14:paraId="20BEA9E8">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条款内容</w:t>
            </w:r>
          </w:p>
        </w:tc>
        <w:tc>
          <w:tcPr>
            <w:tcW w:w="6788" w:type="dxa"/>
            <w:shd w:val="clear" w:color="auto" w:fill="auto"/>
          </w:tcPr>
          <w:p w14:paraId="5F0AA8D3">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编列内容</w:t>
            </w:r>
          </w:p>
        </w:tc>
      </w:tr>
      <w:tr w14:paraId="7045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43" w:hRule="exact"/>
          <w:jc w:val="center"/>
        </w:trPr>
        <w:tc>
          <w:tcPr>
            <w:tcW w:w="1928" w:type="dxa"/>
            <w:gridSpan w:val="2"/>
            <w:shd w:val="clear" w:color="auto" w:fill="auto"/>
            <w:vAlign w:val="center"/>
          </w:tcPr>
          <w:p w14:paraId="2CB91462">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lang w:val="en-US" w:eastAsia="en-US" w:bidi="en-US"/>
              </w:rPr>
              <w:t>3.6</w:t>
            </w:r>
          </w:p>
        </w:tc>
        <w:tc>
          <w:tcPr>
            <w:tcW w:w="1397" w:type="dxa"/>
            <w:shd w:val="clear" w:color="auto" w:fill="auto"/>
            <w:vAlign w:val="center"/>
          </w:tcPr>
          <w:p w14:paraId="0555715E">
            <w:pPr>
              <w:pStyle w:val="35"/>
              <w:pageBreakBefore w:val="0"/>
              <w:widowControl w:val="0"/>
              <w:shd w:val="clear"/>
              <w:kinsoku/>
              <w:wordWrap/>
              <w:overflowPunct/>
              <w:topLinePunct w:val="0"/>
              <w:autoSpaceDE/>
              <w:autoSpaceDN/>
              <w:bidi w:val="0"/>
              <w:adjustRightInd/>
              <w:snapToGrid/>
              <w:spacing w:line="360" w:lineRule="auto"/>
              <w:jc w:val="center"/>
              <w:rPr>
                <w:rFonts w:hint="eastAsia" w:ascii="宋体" w:hAnsi="宋体" w:eastAsia="宋体" w:cs="宋体"/>
                <w:color w:val="auto"/>
                <w:sz w:val="24"/>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并列时确定</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优先顺序的规则</w:t>
            </w:r>
          </w:p>
        </w:tc>
        <w:tc>
          <w:tcPr>
            <w:tcW w:w="6788" w:type="dxa"/>
            <w:shd w:val="clear" w:color="auto" w:fill="auto"/>
            <w:vAlign w:val="center"/>
          </w:tcPr>
          <w:p w14:paraId="03279BF5">
            <w:pPr>
              <w:pStyle w:val="35"/>
              <w:pageBreakBefore w:val="0"/>
              <w:widowControl w:val="0"/>
              <w:shd w:val="clear"/>
              <w:kinsoku/>
              <w:wordWrap/>
              <w:overflowPunct/>
              <w:topLinePunct w:val="0"/>
              <w:autoSpaceDE/>
              <w:autoSpaceDN/>
              <w:bidi w:val="0"/>
              <w:adjustRightInd/>
              <w:snapToGrid/>
              <w:spacing w:line="360" w:lineRule="auto"/>
              <w:jc w:val="left"/>
              <w:rPr>
                <w:rFonts w:hint="eastAsia" w:ascii="宋体" w:hAnsi="宋体" w:eastAsia="宋体" w:cs="宋体"/>
                <w:color w:val="auto"/>
                <w:sz w:val="24"/>
              </w:rPr>
            </w:pPr>
            <w:r>
              <w:rPr>
                <w:rFonts w:hint="eastAsia" w:ascii="宋体" w:hAnsi="宋体" w:eastAsia="宋体" w:cs="宋体"/>
                <w:color w:val="auto"/>
                <w:sz w:val="24"/>
              </w:rPr>
              <w:sym w:font="Wingdings 2" w:char="00A3"/>
            </w:r>
            <w:r>
              <w:rPr>
                <w:rFonts w:hint="eastAsia" w:ascii="宋体" w:hAnsi="宋体" w:eastAsia="宋体" w:cs="宋体"/>
                <w:color w:val="auto"/>
                <w:sz w:val="24"/>
              </w:rPr>
              <w:t>由</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小组投票决定</w:t>
            </w:r>
          </w:p>
          <w:p w14:paraId="448A3978">
            <w:pPr>
              <w:pStyle w:val="35"/>
              <w:pageBreakBefore w:val="0"/>
              <w:widowControl w:val="0"/>
              <w:shd w:val="clear"/>
              <w:kinsoku/>
              <w:wordWrap/>
              <w:overflowPunct/>
              <w:topLinePunct w:val="0"/>
              <w:autoSpaceDE/>
              <w:autoSpaceDN/>
              <w:bidi w:val="0"/>
              <w:adjustRightInd/>
              <w:snapToGrid/>
              <w:spacing w:line="360" w:lineRule="auto"/>
              <w:jc w:val="left"/>
              <w:rPr>
                <w:rFonts w:hint="eastAsia" w:ascii="宋体" w:hAnsi="宋体" w:eastAsia="宋体" w:cs="宋体"/>
                <w:color w:val="auto"/>
                <w:sz w:val="24"/>
              </w:rPr>
            </w:pPr>
            <w:r>
              <w:rPr>
                <w:rFonts w:hint="eastAsia" w:ascii="宋体" w:hAnsi="宋体" w:eastAsia="宋体" w:cs="宋体"/>
                <w:color w:val="auto"/>
                <w:sz w:val="24"/>
              </w:rPr>
              <w:sym w:font="Wingdings 2" w:char="00A3"/>
            </w:r>
            <w:r>
              <w:rPr>
                <w:rFonts w:hint="eastAsia" w:ascii="宋体" w:hAnsi="宋体" w:eastAsia="宋体" w:cs="宋体"/>
                <w:color w:val="auto"/>
                <w:sz w:val="24"/>
              </w:rPr>
              <w:t>由</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小组抽签决定</w:t>
            </w:r>
          </w:p>
          <w:p w14:paraId="055DC9B4">
            <w:pPr>
              <w:pStyle w:val="35"/>
              <w:pageBreakBefore w:val="0"/>
              <w:widowControl w:val="0"/>
              <w:shd w:val="clear"/>
              <w:kinsoku/>
              <w:wordWrap/>
              <w:overflowPunct/>
              <w:topLinePunct w:val="0"/>
              <w:autoSpaceDE/>
              <w:autoSpaceDN/>
              <w:bidi w:val="0"/>
              <w:adjustRightInd/>
              <w:snapToGrid/>
              <w:spacing w:line="360" w:lineRule="auto"/>
              <w:jc w:val="left"/>
              <w:rPr>
                <w:rFonts w:hint="eastAsia" w:ascii="宋体" w:hAnsi="宋体" w:eastAsia="宋体" w:cs="宋体"/>
                <w:color w:val="auto"/>
                <w:sz w:val="24"/>
                <w:lang w:eastAsia="zh-CN"/>
              </w:rPr>
            </w:pPr>
            <w:r>
              <w:rPr>
                <w:rFonts w:hint="eastAsia" w:ascii="宋体" w:hAnsi="宋体" w:eastAsia="宋体" w:cs="宋体"/>
                <w:color w:val="auto"/>
                <w:sz w:val="24"/>
              </w:rPr>
              <w:sym w:font="Wingdings 2" w:char="0052"/>
            </w:r>
            <w:r>
              <w:rPr>
                <w:rFonts w:hint="eastAsia" w:ascii="宋体" w:hAnsi="宋体" w:eastAsia="宋体" w:cs="宋体"/>
                <w:color w:val="auto"/>
                <w:sz w:val="24"/>
              </w:rPr>
              <w:t>其他方法：</w:t>
            </w:r>
            <w:r>
              <w:rPr>
                <w:rFonts w:hint="eastAsia" w:ascii="宋体" w:hAnsi="宋体" w:eastAsia="宋体" w:cs="宋体"/>
                <w:color w:val="auto"/>
                <w:sz w:val="24"/>
                <w:szCs w:val="24"/>
              </w:rPr>
              <w:t>评审小组对询比响应人进行排序时,如果出现询比响应人最终得分相同地情况,以评分因素中针对企业类似项目业绩的得分高低排定名次，企业业绩的得分也相同时</w:t>
            </w:r>
            <w:r>
              <w:rPr>
                <w:rFonts w:hint="eastAsia" w:cs="宋体"/>
                <w:color w:val="auto"/>
                <w:sz w:val="24"/>
                <w:szCs w:val="24"/>
                <w:lang w:eastAsia="zh-CN"/>
              </w:rPr>
              <w:t>，</w:t>
            </w:r>
            <w:r>
              <w:rPr>
                <w:rFonts w:hint="eastAsia" w:ascii="宋体" w:hAnsi="宋体" w:eastAsia="宋体" w:cs="宋体"/>
                <w:color w:val="auto"/>
                <w:sz w:val="24"/>
                <w:szCs w:val="24"/>
              </w:rPr>
              <w:t>采取抽签决定。</w:t>
            </w:r>
          </w:p>
        </w:tc>
      </w:tr>
    </w:tbl>
    <w:p w14:paraId="0C923197">
      <w:pPr>
        <w:pStyle w:val="4"/>
        <w:pageBreakBefore w:val="0"/>
        <w:kinsoku/>
        <w:overflowPunct/>
        <w:topLinePunct w:val="0"/>
        <w:bidi w:val="0"/>
        <w:snapToGrid/>
        <w:spacing w:line="360" w:lineRule="auto"/>
        <w:jc w:val="both"/>
        <w:rPr>
          <w:rFonts w:hint="eastAsia" w:ascii="宋体" w:hAnsi="宋体" w:eastAsia="宋体" w:cs="宋体"/>
          <w:color w:val="auto"/>
        </w:rPr>
      </w:pPr>
      <w:r>
        <w:rPr>
          <w:rFonts w:hint="eastAsia" w:ascii="宋体" w:hAnsi="宋体" w:eastAsia="宋体" w:cs="宋体"/>
          <w:color w:val="auto"/>
        </w:rPr>
        <w:t>评审方法（最低价法）</w:t>
      </w:r>
      <w:bookmarkEnd w:id="156"/>
      <w:bookmarkEnd w:id="157"/>
      <w:bookmarkEnd w:id="158"/>
      <w:bookmarkEnd w:id="159"/>
      <w:bookmarkEnd w:id="160"/>
    </w:p>
    <w:p w14:paraId="586878CF">
      <w:pPr>
        <w:pStyle w:val="39"/>
        <w:pageBreakBefore w:val="0"/>
        <w:kinsoku/>
        <w:overflowPunct/>
        <w:topLinePunct w:val="0"/>
        <w:bidi w:val="0"/>
        <w:snapToGrid/>
        <w:spacing w:after="260" w:line="360" w:lineRule="auto"/>
        <w:ind w:firstLine="460"/>
        <w:rPr>
          <w:rFonts w:hint="eastAsia" w:ascii="宋体" w:hAnsi="宋体" w:eastAsia="宋体" w:cs="宋体"/>
          <w:color w:val="auto"/>
        </w:rPr>
      </w:pPr>
      <w:r>
        <w:rPr>
          <w:rFonts w:hint="eastAsia" w:ascii="宋体" w:hAnsi="宋体" w:eastAsia="宋体" w:cs="宋体"/>
          <w:color w:val="auto"/>
          <w:sz w:val="24"/>
        </w:rPr>
        <w:t>本次评审釆用最低价法。</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小组对满足采购文件实质性要求的响应文件，按照本章第</w:t>
      </w:r>
      <w:r>
        <w:rPr>
          <w:rFonts w:hint="eastAsia" w:ascii="宋体" w:hAnsi="宋体" w:eastAsia="宋体" w:cs="宋体"/>
          <w:color w:val="auto"/>
          <w:sz w:val="24"/>
          <w:lang w:val="en-US" w:eastAsia="zh-CN" w:bidi="en-US"/>
        </w:rPr>
        <w:t>2.2.2</w:t>
      </w:r>
      <w:r>
        <w:rPr>
          <w:rFonts w:hint="eastAsia" w:ascii="宋体" w:hAnsi="宋体" w:eastAsia="宋体" w:cs="宋体"/>
          <w:color w:val="auto"/>
          <w:sz w:val="24"/>
        </w:rPr>
        <w:t>款规定的方法确定</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最终报价的评审价格，并按照评审价格由低到高的顺序推荐候选成交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p>
    <w:p w14:paraId="674DF1E8">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65" w:name="bookmark465"/>
      <w:bookmarkStart w:id="166" w:name="bookmark463"/>
      <w:bookmarkStart w:id="167" w:name="_Toc14408"/>
      <w:bookmarkStart w:id="168" w:name="bookmark464"/>
      <w:bookmarkStart w:id="169" w:name="_Toc6304"/>
      <w:r>
        <w:rPr>
          <w:rFonts w:hint="eastAsia" w:ascii="宋体" w:hAnsi="宋体" w:cs="宋体"/>
          <w:color w:val="auto"/>
          <w:lang w:val="en-US" w:eastAsia="zh-CN"/>
        </w:rPr>
        <w:t>2</w:t>
      </w:r>
      <w:r>
        <w:rPr>
          <w:rFonts w:hint="eastAsia" w:ascii="宋体" w:hAnsi="宋体" w:eastAsia="宋体" w:cs="宋体"/>
          <w:color w:val="auto"/>
        </w:rPr>
        <w:t>评审方法（本项目采用综合评分法）</w:t>
      </w:r>
      <w:bookmarkEnd w:id="165"/>
      <w:bookmarkEnd w:id="166"/>
      <w:bookmarkEnd w:id="167"/>
      <w:bookmarkEnd w:id="168"/>
      <w:bookmarkEnd w:id="169"/>
    </w:p>
    <w:p w14:paraId="01D4A09E">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本次评审釆用综合评分法。评审小组对满足采购文件实质性要求的响应文件，按照本章第</w:t>
      </w:r>
      <w:r>
        <w:rPr>
          <w:rFonts w:hint="eastAsia" w:ascii="宋体" w:hAnsi="宋体" w:eastAsia="宋体" w:cs="宋体"/>
          <w:color w:val="auto"/>
          <w:sz w:val="24"/>
          <w:lang w:bidi="en-US"/>
        </w:rPr>
        <w:t>3条</w:t>
      </w:r>
      <w:r>
        <w:rPr>
          <w:rFonts w:hint="eastAsia" w:ascii="宋体" w:hAnsi="宋体" w:eastAsia="宋体" w:cs="宋体"/>
          <w:color w:val="auto"/>
          <w:sz w:val="24"/>
        </w:rPr>
        <w:t>规定的评分标准进行打分，并按得分由高到低的顺序推荐候选成交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p>
    <w:p w14:paraId="4AF87B72">
      <w:pPr>
        <w:pStyle w:val="40"/>
        <w:pageBreakBefore w:val="0"/>
        <w:kinsoku/>
        <w:overflowPunct/>
        <w:topLinePunct w:val="0"/>
        <w:bidi w:val="0"/>
        <w:snapToGrid/>
        <w:spacing w:after="200" w:line="360" w:lineRule="auto"/>
        <w:ind w:firstLine="380"/>
        <w:rPr>
          <w:rFonts w:hint="eastAsia" w:ascii="宋体" w:hAnsi="宋体" w:eastAsia="宋体" w:cs="宋体"/>
          <w:color w:val="auto"/>
        </w:rPr>
      </w:pPr>
      <w:r>
        <w:rPr>
          <w:rFonts w:hint="eastAsia" w:ascii="宋体" w:hAnsi="宋体" w:eastAsia="宋体" w:cs="宋体"/>
          <w:color w:val="auto"/>
        </w:rPr>
        <w:t>（注：上述</w:t>
      </w:r>
      <w:r>
        <w:rPr>
          <w:rFonts w:hint="eastAsia" w:ascii="宋体" w:hAnsi="宋体" w:eastAsia="宋体" w:cs="宋体"/>
          <w:color w:val="auto"/>
          <w:lang w:val="en-US" w:eastAsia="zh-CN"/>
        </w:rPr>
        <w:t>两</w:t>
      </w:r>
      <w:r>
        <w:rPr>
          <w:rFonts w:hint="eastAsia" w:ascii="宋体" w:hAnsi="宋体" w:eastAsia="宋体" w:cs="宋体"/>
          <w:color w:val="auto"/>
        </w:rPr>
        <w:t>种评审方法，釆购人应选择其中一种评审方法作为本项目的评审方法，并在评审办法前附表中载明。）</w:t>
      </w:r>
    </w:p>
    <w:p w14:paraId="766B6BB6">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70" w:name="bookmark469"/>
      <w:bookmarkStart w:id="171" w:name="_Toc24862"/>
      <w:bookmarkStart w:id="172" w:name="bookmark471"/>
      <w:bookmarkStart w:id="173" w:name="bookmark470"/>
      <w:bookmarkStart w:id="174" w:name="_Toc1945"/>
      <w:r>
        <w:rPr>
          <w:rFonts w:hint="eastAsia" w:ascii="宋体" w:hAnsi="宋体" w:cs="宋体"/>
          <w:color w:val="auto"/>
          <w:lang w:val="en-US" w:eastAsia="zh-CN"/>
        </w:rPr>
        <w:t>3</w:t>
      </w:r>
      <w:r>
        <w:rPr>
          <w:rFonts w:hint="eastAsia" w:ascii="宋体" w:hAnsi="宋体" w:eastAsia="宋体" w:cs="宋体"/>
          <w:color w:val="auto"/>
        </w:rPr>
        <w:t>初步评审标准和程序</w:t>
      </w:r>
      <w:bookmarkEnd w:id="170"/>
      <w:bookmarkEnd w:id="171"/>
      <w:bookmarkEnd w:id="172"/>
      <w:bookmarkEnd w:id="173"/>
      <w:bookmarkEnd w:id="174"/>
    </w:p>
    <w:p w14:paraId="7CD8FEF7">
      <w:pPr>
        <w:pStyle w:val="5"/>
        <w:pageBreakBefore w:val="0"/>
        <w:kinsoku/>
        <w:overflowPunct/>
        <w:topLinePunct w:val="0"/>
        <w:bidi w:val="0"/>
        <w:snapToGrid/>
        <w:spacing w:line="360" w:lineRule="auto"/>
        <w:rPr>
          <w:rFonts w:hint="eastAsia" w:ascii="宋体" w:hAnsi="宋体" w:eastAsia="宋体" w:cs="宋体"/>
          <w:color w:val="auto"/>
        </w:rPr>
      </w:pPr>
      <w:bookmarkStart w:id="175" w:name="_Toc10547"/>
      <w:bookmarkStart w:id="176" w:name="bookmark473"/>
      <w:bookmarkStart w:id="177" w:name="bookmark472"/>
      <w:bookmarkStart w:id="178" w:name="_Toc24695"/>
      <w:bookmarkStart w:id="179" w:name="bookmark474"/>
      <w:r>
        <w:rPr>
          <w:rFonts w:hint="eastAsia" w:ascii="宋体" w:hAnsi="宋体" w:eastAsia="宋体" w:cs="宋体"/>
          <w:color w:val="auto"/>
          <w:lang w:val="en-US" w:eastAsia="zh-CN"/>
        </w:rPr>
        <w:t>3</w:t>
      </w:r>
      <w:r>
        <w:rPr>
          <w:rFonts w:hint="eastAsia" w:ascii="宋体" w:hAnsi="宋体" w:eastAsia="宋体" w:cs="宋体"/>
          <w:color w:val="auto"/>
        </w:rPr>
        <w:t>.1初步评审标准</w:t>
      </w:r>
      <w:bookmarkEnd w:id="175"/>
      <w:bookmarkEnd w:id="176"/>
      <w:bookmarkEnd w:id="177"/>
      <w:bookmarkEnd w:id="178"/>
      <w:bookmarkEnd w:id="179"/>
    </w:p>
    <w:p w14:paraId="0C192E93">
      <w:pPr>
        <w:pStyle w:val="39"/>
        <w:pageBreakBefore w:val="0"/>
        <w:kinsoku/>
        <w:overflowPunct/>
        <w:topLinePunct w:val="0"/>
        <w:bidi w:val="0"/>
        <w:snapToGrid/>
        <w:spacing w:line="360" w:lineRule="auto"/>
        <w:jc w:val="left"/>
        <w:rPr>
          <w:rFonts w:hint="eastAsia" w:ascii="宋体" w:hAnsi="宋体" w:eastAsia="宋体" w:cs="宋体"/>
          <w:color w:val="auto"/>
        </w:rPr>
      </w:pPr>
      <w:r>
        <w:rPr>
          <w:rFonts w:hint="eastAsia" w:cs="宋体"/>
          <w:color w:val="auto"/>
          <w:sz w:val="24"/>
          <w:lang w:val="en-US" w:eastAsia="zh-CN" w:bidi="en-US"/>
        </w:rPr>
        <w:t>3</w:t>
      </w:r>
      <w:r>
        <w:rPr>
          <w:rFonts w:hint="eastAsia" w:ascii="宋体" w:hAnsi="宋体" w:eastAsia="宋体" w:cs="宋体"/>
          <w:color w:val="auto"/>
          <w:sz w:val="24"/>
          <w:lang w:val="en-US" w:eastAsia="zh-CN" w:bidi="en-US"/>
        </w:rPr>
        <w:t>.1.1</w:t>
      </w:r>
      <w:r>
        <w:rPr>
          <w:rFonts w:hint="eastAsia" w:ascii="宋体" w:hAnsi="宋体" w:eastAsia="宋体" w:cs="宋体"/>
          <w:color w:val="auto"/>
          <w:sz w:val="24"/>
        </w:rPr>
        <w:t>形式评审标准：见评审办法前附表。</w:t>
      </w:r>
    </w:p>
    <w:p w14:paraId="0B6783CF">
      <w:pPr>
        <w:pStyle w:val="39"/>
        <w:pageBreakBefore w:val="0"/>
        <w:kinsoku/>
        <w:overflowPunct/>
        <w:topLinePunct w:val="0"/>
        <w:bidi w:val="0"/>
        <w:snapToGrid/>
        <w:spacing w:line="360" w:lineRule="auto"/>
        <w:jc w:val="left"/>
        <w:rPr>
          <w:rFonts w:hint="eastAsia" w:ascii="宋体" w:hAnsi="宋体" w:eastAsia="宋体" w:cs="宋体"/>
          <w:color w:val="auto"/>
        </w:rPr>
      </w:pPr>
      <w:r>
        <w:rPr>
          <w:rFonts w:hint="eastAsia" w:cs="宋体"/>
          <w:color w:val="auto"/>
          <w:sz w:val="24"/>
          <w:lang w:val="en-US" w:eastAsia="zh-CN" w:bidi="en-US"/>
        </w:rPr>
        <w:t>3</w:t>
      </w:r>
      <w:r>
        <w:rPr>
          <w:rFonts w:hint="eastAsia" w:ascii="宋体" w:hAnsi="宋体" w:eastAsia="宋体" w:cs="宋体"/>
          <w:color w:val="auto"/>
          <w:sz w:val="24"/>
          <w:lang w:val="en-US" w:eastAsia="zh-CN" w:bidi="en-US"/>
        </w:rPr>
        <w:t>.1.2</w:t>
      </w:r>
      <w:r>
        <w:rPr>
          <w:rFonts w:hint="eastAsia" w:ascii="宋体" w:hAnsi="宋体" w:eastAsia="宋体" w:cs="宋体"/>
          <w:color w:val="auto"/>
          <w:sz w:val="24"/>
        </w:rPr>
        <w:t>资格评审标准：见评审办法前附表。</w:t>
      </w:r>
    </w:p>
    <w:p w14:paraId="4AF7E0C5">
      <w:pPr>
        <w:pStyle w:val="39"/>
        <w:pageBreakBefore w:val="0"/>
        <w:kinsoku/>
        <w:overflowPunct/>
        <w:topLinePunct w:val="0"/>
        <w:bidi w:val="0"/>
        <w:snapToGrid/>
        <w:spacing w:line="360" w:lineRule="auto"/>
        <w:jc w:val="left"/>
        <w:rPr>
          <w:rFonts w:hint="eastAsia" w:ascii="宋体" w:hAnsi="宋体" w:eastAsia="宋体" w:cs="宋体"/>
          <w:color w:val="auto"/>
        </w:rPr>
      </w:pPr>
      <w:r>
        <w:rPr>
          <w:rFonts w:hint="eastAsia" w:cs="宋体"/>
          <w:color w:val="auto"/>
          <w:sz w:val="24"/>
          <w:lang w:val="en-US" w:eastAsia="zh-CN" w:bidi="en-US"/>
        </w:rPr>
        <w:t>3</w:t>
      </w:r>
      <w:r>
        <w:rPr>
          <w:rFonts w:hint="eastAsia" w:ascii="宋体" w:hAnsi="宋体" w:eastAsia="宋体" w:cs="宋体"/>
          <w:color w:val="auto"/>
          <w:sz w:val="24"/>
          <w:lang w:val="en-US" w:eastAsia="zh-CN" w:bidi="en-US"/>
        </w:rPr>
        <w:t>.1.3</w:t>
      </w:r>
      <w:r>
        <w:rPr>
          <w:rFonts w:hint="eastAsia" w:ascii="宋体" w:hAnsi="宋体" w:eastAsia="宋体" w:cs="宋体"/>
          <w:color w:val="auto"/>
          <w:sz w:val="24"/>
        </w:rPr>
        <w:t>响应性评审标准：见评审办法前附表。</w:t>
      </w:r>
    </w:p>
    <w:p w14:paraId="7B0A5F4D">
      <w:pPr>
        <w:pStyle w:val="5"/>
        <w:pageBreakBefore w:val="0"/>
        <w:kinsoku/>
        <w:overflowPunct/>
        <w:topLinePunct w:val="0"/>
        <w:bidi w:val="0"/>
        <w:snapToGrid/>
        <w:spacing w:line="360" w:lineRule="auto"/>
        <w:rPr>
          <w:rFonts w:hint="eastAsia" w:ascii="宋体" w:hAnsi="宋体" w:eastAsia="宋体" w:cs="宋体"/>
          <w:color w:val="auto"/>
        </w:rPr>
      </w:pPr>
      <w:bookmarkStart w:id="180" w:name="bookmark475"/>
      <w:bookmarkStart w:id="181" w:name="_Toc1371"/>
      <w:bookmarkStart w:id="182" w:name="_Toc7288"/>
      <w:bookmarkStart w:id="183" w:name="bookmark476"/>
      <w:bookmarkStart w:id="184" w:name="bookmark477"/>
      <w:r>
        <w:rPr>
          <w:rFonts w:hint="eastAsia" w:ascii="宋体" w:hAnsi="宋体" w:eastAsia="宋体" w:cs="宋体"/>
          <w:color w:val="auto"/>
          <w:lang w:val="en-US" w:eastAsia="zh-CN"/>
        </w:rPr>
        <w:t>3</w:t>
      </w:r>
      <w:r>
        <w:rPr>
          <w:rFonts w:hint="eastAsia" w:ascii="宋体" w:hAnsi="宋体" w:eastAsia="宋体" w:cs="宋体"/>
          <w:color w:val="auto"/>
        </w:rPr>
        <w:t>.2初步评审程序</w:t>
      </w:r>
      <w:bookmarkEnd w:id="180"/>
      <w:bookmarkEnd w:id="181"/>
      <w:bookmarkEnd w:id="182"/>
      <w:bookmarkEnd w:id="183"/>
      <w:bookmarkEnd w:id="184"/>
    </w:p>
    <w:p w14:paraId="591D5A74">
      <w:pPr>
        <w:pStyle w:val="39"/>
        <w:pageBreakBefore w:val="0"/>
        <w:tabs>
          <w:tab w:val="left" w:pos="354"/>
        </w:tabs>
        <w:kinsoku/>
        <w:overflowPunct/>
        <w:topLinePunct w:val="0"/>
        <w:bidi w:val="0"/>
        <w:snapToGrid/>
        <w:spacing w:line="360" w:lineRule="auto"/>
        <w:rPr>
          <w:rFonts w:hint="eastAsia" w:ascii="宋体" w:hAnsi="宋体" w:eastAsia="宋体" w:cs="宋体"/>
          <w:color w:val="auto"/>
          <w:sz w:val="24"/>
        </w:rPr>
      </w:pPr>
      <w:bookmarkStart w:id="185" w:name="bookmark478"/>
      <w:bookmarkEnd w:id="185"/>
      <w:r>
        <w:rPr>
          <w:rFonts w:hint="eastAsia" w:cs="宋体"/>
          <w:color w:val="auto"/>
          <w:sz w:val="24"/>
          <w:lang w:val="en-US" w:eastAsia="zh-CN" w:bidi="en-US"/>
        </w:rPr>
        <w:t>3</w:t>
      </w:r>
      <w:r>
        <w:rPr>
          <w:rFonts w:hint="eastAsia" w:ascii="宋体" w:hAnsi="宋体" w:eastAsia="宋体" w:cs="宋体"/>
          <w:color w:val="auto"/>
          <w:sz w:val="24"/>
          <w:lang w:val="en-US" w:eastAsia="zh-CN" w:bidi="en-US"/>
        </w:rPr>
        <w:t xml:space="preserve">.2. </w:t>
      </w:r>
      <w:r>
        <w:rPr>
          <w:rFonts w:hint="eastAsia" w:ascii="宋体" w:hAnsi="宋体" w:eastAsia="宋体" w:cs="宋体"/>
          <w:color w:val="auto"/>
          <w:sz w:val="24"/>
        </w:rPr>
        <w:t>1</w:t>
      </w:r>
      <w:r>
        <w:rPr>
          <w:rFonts w:hint="eastAsia" w:ascii="宋体" w:hAnsi="宋体" w:eastAsia="宋体" w:cs="宋体"/>
          <w:color w:val="auto"/>
          <w:sz w:val="24"/>
          <w:lang w:val="en-US" w:eastAsia="zh-CN"/>
        </w:rPr>
        <w:t>评审</w:t>
      </w:r>
      <w:r>
        <w:rPr>
          <w:rFonts w:hint="eastAsia" w:ascii="宋体" w:hAnsi="宋体" w:eastAsia="宋体" w:cs="宋体"/>
          <w:color w:val="auto"/>
          <w:sz w:val="24"/>
        </w:rPr>
        <w:t>小组依据本章第</w:t>
      </w:r>
      <w:r>
        <w:rPr>
          <w:rFonts w:hint="eastAsia" w:ascii="宋体" w:hAnsi="宋体" w:eastAsia="宋体" w:cs="宋体"/>
          <w:color w:val="auto"/>
          <w:sz w:val="24"/>
          <w:lang w:val="en-US" w:eastAsia="zh-CN" w:bidi="en-US"/>
        </w:rPr>
        <w:t xml:space="preserve">2. </w:t>
      </w:r>
      <w:r>
        <w:rPr>
          <w:rFonts w:hint="eastAsia" w:ascii="宋体" w:hAnsi="宋体" w:eastAsia="宋体" w:cs="宋体"/>
          <w:color w:val="auto"/>
          <w:sz w:val="24"/>
        </w:rPr>
        <w:t>1款规定的标准对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递交的响应文件进行初步评审，判断响应文件的形式是否符合要求、</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是否符合资格条件、响应文件是否实质性响应采购文件的要求。只有以上评审合格的响应文件才可通过初步评审。</w:t>
      </w:r>
    </w:p>
    <w:p w14:paraId="330E2289">
      <w:pPr>
        <w:pStyle w:val="39"/>
        <w:pageBreakBefore w:val="0"/>
        <w:kinsoku/>
        <w:overflowPunct/>
        <w:topLinePunct w:val="0"/>
        <w:bidi w:val="0"/>
        <w:snapToGrid/>
        <w:spacing w:line="360" w:lineRule="auto"/>
        <w:rPr>
          <w:rFonts w:hint="eastAsia" w:ascii="宋体" w:hAnsi="宋体" w:eastAsia="宋体" w:cs="宋体"/>
          <w:color w:val="auto"/>
          <w:sz w:val="24"/>
        </w:rPr>
      </w:pPr>
      <w:bookmarkStart w:id="186" w:name="bookmark479"/>
      <w:bookmarkEnd w:id="186"/>
      <w:r>
        <w:rPr>
          <w:rFonts w:hint="eastAsia" w:cs="宋体"/>
          <w:color w:val="auto"/>
          <w:sz w:val="24"/>
          <w:lang w:val="en-US" w:eastAsia="zh-CN" w:bidi="en-US"/>
        </w:rPr>
        <w:t>3</w:t>
      </w:r>
      <w:r>
        <w:rPr>
          <w:rFonts w:hint="eastAsia" w:ascii="宋体" w:hAnsi="宋体" w:eastAsia="宋体" w:cs="宋体"/>
          <w:color w:val="auto"/>
          <w:sz w:val="24"/>
          <w:lang w:val="en-US" w:eastAsia="zh-CN" w:bidi="en-US"/>
        </w:rPr>
        <w:t>.2.2</w:t>
      </w:r>
      <w:r>
        <w:rPr>
          <w:rFonts w:hint="eastAsia" w:ascii="宋体" w:hAnsi="宋体" w:eastAsia="宋体" w:cs="宋体"/>
          <w:color w:val="auto"/>
          <w:sz w:val="24"/>
        </w:rPr>
        <w:t>除评审办法前附表另有规定外，评审价格为</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在响应函中填报的大写含税价格。</w:t>
      </w:r>
    </w:p>
    <w:p w14:paraId="58A64715">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评审价格若超过最高限价(如有)，其响应文件将被视为无效。</w:t>
      </w:r>
    </w:p>
    <w:p w14:paraId="3B7C6D74">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评审小组经过对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的报价进行比较或基于专业经验认为某一</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的报价异常过低，可能对其履约造成影响时，应当要求该</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作出书面说明并提供相应的证明材料。</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不能合理说明或者不能提供相应证明材料的，其响应文件将被视为无效。</w:t>
      </w:r>
    </w:p>
    <w:p w14:paraId="5EB45706">
      <w:pPr>
        <w:pStyle w:val="39"/>
        <w:pageBreakBefore w:val="0"/>
        <w:kinsoku/>
        <w:overflowPunct/>
        <w:topLinePunct w:val="0"/>
        <w:bidi w:val="0"/>
        <w:snapToGrid/>
        <w:spacing w:line="360" w:lineRule="auto"/>
        <w:rPr>
          <w:rFonts w:hint="eastAsia" w:ascii="宋体" w:hAnsi="宋体" w:eastAsia="宋体" w:cs="宋体"/>
          <w:color w:val="auto"/>
          <w:sz w:val="24"/>
        </w:rPr>
      </w:pPr>
      <w:r>
        <w:rPr>
          <w:rFonts w:hint="eastAsia" w:cs="宋体"/>
          <w:color w:val="auto"/>
          <w:sz w:val="24"/>
          <w:lang w:val="en-US" w:eastAsia="zh-CN" w:bidi="en-US"/>
        </w:rPr>
        <w:t>3</w:t>
      </w:r>
      <w:r>
        <w:rPr>
          <w:rFonts w:hint="eastAsia" w:ascii="宋体" w:hAnsi="宋体" w:eastAsia="宋体" w:cs="宋体"/>
          <w:color w:val="auto"/>
          <w:sz w:val="24"/>
          <w:lang w:val="en-US" w:eastAsia="zh-CN" w:bidi="en-US"/>
        </w:rPr>
        <w:t>.2.3</w:t>
      </w:r>
      <w:r>
        <w:rPr>
          <w:rFonts w:hint="eastAsia" w:ascii="宋体" w:hAnsi="宋体" w:eastAsia="宋体" w:cs="宋体"/>
          <w:color w:val="auto"/>
          <w:sz w:val="24"/>
        </w:rPr>
        <w:t>响应文件中有含义不明确、同类问题表述不一致或有明显文字和计算错误的内容，评审小组可要求</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在规定时间内进行澄清、说明和补正。</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澄清、说明和补正的内容应由法定代表人(单位负责人)或其授权的代理人签字或加盖单位章。澄清、说明和补正不得超出响应文件的范围且不得改变响应文件的实质性内容，并构成响应文件的组成部分。</w:t>
      </w:r>
    </w:p>
    <w:p w14:paraId="7E77264E">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响应报价有算术错误及其他错误的，评审小组按以下原则要求</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对响应报价 进行修正，并要求</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书面澄清确认。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拒不澄清确认的，其响应文件将被视为无效：</w:t>
      </w:r>
    </w:p>
    <w:p w14:paraId="44790968">
      <w:pPr>
        <w:pStyle w:val="39"/>
        <w:pageBreakBefore w:val="0"/>
        <w:tabs>
          <w:tab w:val="left" w:pos="122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187" w:name="bookmark1094"/>
      <w:bookmarkEnd w:id="187"/>
      <w:r>
        <w:rPr>
          <w:rFonts w:hint="eastAsia" w:ascii="宋体" w:hAnsi="宋体" w:eastAsia="宋体" w:cs="宋体"/>
          <w:color w:val="auto"/>
          <w:sz w:val="24"/>
          <w:lang w:val="en-US" w:eastAsia="zh-CN"/>
        </w:rPr>
        <w:t>(1)</w:t>
      </w:r>
      <w:r>
        <w:rPr>
          <w:rFonts w:hint="eastAsia" w:ascii="宋体" w:hAnsi="宋体" w:eastAsia="宋体" w:cs="宋体"/>
          <w:color w:val="auto"/>
          <w:sz w:val="24"/>
        </w:rPr>
        <w:t>大写金额与小写金额不一致的，以大写金额为准；</w:t>
      </w:r>
    </w:p>
    <w:p w14:paraId="1C947A26">
      <w:pPr>
        <w:pStyle w:val="39"/>
        <w:pageBreakBefore w:val="0"/>
        <w:tabs>
          <w:tab w:val="left" w:pos="1250"/>
        </w:tabs>
        <w:kinsoku/>
        <w:overflowPunct/>
        <w:topLinePunct w:val="0"/>
        <w:bidi w:val="0"/>
        <w:snapToGrid/>
        <w:spacing w:line="360" w:lineRule="auto"/>
        <w:ind w:firstLine="480" w:firstLineChars="200"/>
        <w:rPr>
          <w:rFonts w:hint="eastAsia" w:ascii="宋体" w:hAnsi="宋体" w:eastAsia="宋体" w:cs="宋体"/>
          <w:color w:val="auto"/>
          <w:sz w:val="24"/>
        </w:rPr>
      </w:pPr>
      <w:bookmarkStart w:id="188" w:name="bookmark1095"/>
      <w:bookmarkEnd w:id="188"/>
      <w:r>
        <w:rPr>
          <w:rFonts w:hint="eastAsia" w:ascii="宋体" w:hAnsi="宋体" w:eastAsia="宋体" w:cs="宋体"/>
          <w:color w:val="auto"/>
          <w:sz w:val="24"/>
          <w:lang w:val="en-US" w:eastAsia="zh-CN"/>
        </w:rPr>
        <w:t>(2)</w:t>
      </w:r>
      <w:r>
        <w:rPr>
          <w:rFonts w:hint="eastAsia" w:ascii="宋体" w:hAnsi="宋体" w:eastAsia="宋体" w:cs="宋体"/>
          <w:color w:val="auto"/>
          <w:sz w:val="24"/>
        </w:rPr>
        <w:t>总价金额与单价金额不一致的，以单价金额为准，但单价金额小数点有明显错误的除外；</w:t>
      </w:r>
    </w:p>
    <w:p w14:paraId="054356C5">
      <w:pPr>
        <w:pStyle w:val="39"/>
        <w:pageBreakBefore w:val="0"/>
        <w:tabs>
          <w:tab w:val="left" w:pos="1226"/>
        </w:tabs>
        <w:kinsoku/>
        <w:overflowPunct/>
        <w:topLinePunct w:val="0"/>
        <w:bidi w:val="0"/>
        <w:snapToGrid/>
        <w:spacing w:line="360" w:lineRule="auto"/>
        <w:ind w:firstLine="480" w:firstLineChars="200"/>
        <w:jc w:val="left"/>
        <w:rPr>
          <w:rFonts w:hint="eastAsia" w:ascii="宋体" w:hAnsi="宋体" w:eastAsia="宋体" w:cs="宋体"/>
          <w:color w:val="auto"/>
          <w:sz w:val="24"/>
        </w:rPr>
      </w:pPr>
      <w:bookmarkStart w:id="189" w:name="bookmark1096"/>
      <w:bookmarkEnd w:id="189"/>
      <w:r>
        <w:rPr>
          <w:rFonts w:hint="eastAsia" w:ascii="宋体" w:hAnsi="宋体" w:eastAsia="宋体" w:cs="宋体"/>
          <w:color w:val="auto"/>
          <w:sz w:val="24"/>
          <w:lang w:val="en-US" w:eastAsia="zh-CN"/>
        </w:rPr>
        <w:t>(3)</w:t>
      </w:r>
      <w:r>
        <w:rPr>
          <w:rFonts w:hint="eastAsia" w:ascii="宋体" w:hAnsi="宋体" w:eastAsia="宋体" w:cs="宋体"/>
          <w:color w:val="auto"/>
          <w:sz w:val="24"/>
        </w:rPr>
        <w:t>报价表合计报价与分项报价的合计不一致的，以各分项报价的合价累计数为准；</w:t>
      </w:r>
    </w:p>
    <w:p w14:paraId="70566122">
      <w:pPr>
        <w:pStyle w:val="39"/>
        <w:pageBreakBefore w:val="0"/>
        <w:tabs>
          <w:tab w:val="left" w:pos="12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190" w:name="bookmark1097"/>
      <w:bookmarkEnd w:id="190"/>
      <w:r>
        <w:rPr>
          <w:rFonts w:hint="eastAsia" w:ascii="宋体" w:hAnsi="宋体" w:eastAsia="宋体" w:cs="宋体"/>
          <w:color w:val="auto"/>
          <w:sz w:val="24"/>
          <w:lang w:val="en-US" w:eastAsia="zh-CN"/>
        </w:rPr>
        <w:t>(4)</w:t>
      </w:r>
      <w:r>
        <w:rPr>
          <w:rFonts w:hint="eastAsia" w:ascii="宋体" w:hAnsi="宋体" w:eastAsia="宋体" w:cs="宋体"/>
          <w:color w:val="auto"/>
          <w:sz w:val="24"/>
        </w:rPr>
        <w:t>如果分项报价中存在缺漏项，且缺漏项内容不属于实质性偏差的，则视为缺漏项内容的价格已包含在其他分项报价之中。</w:t>
      </w:r>
    </w:p>
    <w:p w14:paraId="3E64CFD1">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响应报价的算术错误修正不改变评审依据的响应总报价。当修正后的总报价高于原响应报价时，视同</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响应报价错误产生少漏计费用，签订合同时由</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承担,如评审小组认为</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无法承受少漏计费用，可以将响应报价作为异常低价处理；当修正后的总报价低于原响应报价时，签订合同时以修正后的报价为准。</w:t>
      </w:r>
    </w:p>
    <w:p w14:paraId="04662537">
      <w:pPr>
        <w:pStyle w:val="39"/>
        <w:pageBreakBefore w:val="0"/>
        <w:kinsoku/>
        <w:overflowPunct/>
        <w:topLinePunct w:val="0"/>
        <w:bidi w:val="0"/>
        <w:snapToGrid/>
        <w:spacing w:line="360" w:lineRule="auto"/>
        <w:jc w:val="left"/>
        <w:rPr>
          <w:rFonts w:hint="eastAsia" w:ascii="宋体" w:hAnsi="宋体" w:eastAsia="宋体" w:cs="宋体"/>
          <w:color w:val="auto"/>
          <w:sz w:val="24"/>
        </w:rPr>
      </w:pPr>
      <w:r>
        <w:rPr>
          <w:rFonts w:hint="eastAsia" w:cs="宋体"/>
          <w:color w:val="auto"/>
          <w:sz w:val="24"/>
          <w:lang w:val="en-US" w:eastAsia="zh-CN" w:bidi="en-US"/>
        </w:rPr>
        <w:t>3</w:t>
      </w:r>
      <w:r>
        <w:rPr>
          <w:rFonts w:hint="eastAsia" w:ascii="宋体" w:hAnsi="宋体" w:eastAsia="宋体" w:cs="宋体"/>
          <w:color w:val="auto"/>
          <w:sz w:val="24"/>
          <w:lang w:val="en-US" w:eastAsia="zh-CN" w:bidi="en-US"/>
        </w:rPr>
        <w:t>.2.4</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有串通、弄虚作假、行贿等违法行为的，其响应文件将被视为无效。</w:t>
      </w:r>
    </w:p>
    <w:p w14:paraId="571C2BCB">
      <w:pPr>
        <w:pStyle w:val="39"/>
        <w:pageBreakBefore w:val="0"/>
        <w:kinsoku/>
        <w:overflowPunct/>
        <w:topLinePunct w:val="0"/>
        <w:bidi w:val="0"/>
        <w:snapToGrid/>
        <w:spacing w:line="360" w:lineRule="auto"/>
        <w:jc w:val="left"/>
        <w:rPr>
          <w:rFonts w:hint="eastAsia" w:ascii="宋体" w:hAnsi="宋体" w:eastAsia="宋体" w:cs="宋体"/>
          <w:color w:val="auto"/>
          <w:sz w:val="24"/>
        </w:rPr>
      </w:pPr>
      <w:r>
        <w:rPr>
          <w:rFonts w:hint="eastAsia" w:cs="宋体"/>
          <w:color w:val="auto"/>
          <w:sz w:val="24"/>
          <w:lang w:val="en-US" w:eastAsia="zh-CN" w:bidi="en-US"/>
        </w:rPr>
        <w:t>3</w:t>
      </w:r>
      <w:r>
        <w:rPr>
          <w:rFonts w:hint="eastAsia" w:ascii="宋体" w:hAnsi="宋体" w:eastAsia="宋体" w:cs="宋体"/>
          <w:color w:val="auto"/>
          <w:sz w:val="24"/>
          <w:lang w:val="en-US" w:eastAsia="zh-CN" w:bidi="en-US"/>
        </w:rPr>
        <w:t>.2.5</w:t>
      </w:r>
      <w:r>
        <w:rPr>
          <w:rFonts w:hint="eastAsia" w:ascii="宋体" w:hAnsi="宋体" w:eastAsia="宋体" w:cs="宋体"/>
          <w:color w:val="auto"/>
          <w:sz w:val="24"/>
        </w:rPr>
        <w:t>特殊情形处理</w:t>
      </w:r>
    </w:p>
    <w:p w14:paraId="269789E1">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初步评审后，如评审小组认为所有响应文件均无效，或者所有响应报价竞争性不足，高于市场预期价格，评审小组应当终止评审，或经</w:t>
      </w:r>
      <w:r>
        <w:rPr>
          <w:rFonts w:hint="eastAsia" w:cs="宋体"/>
          <w:color w:val="auto"/>
          <w:sz w:val="24"/>
          <w:lang w:eastAsia="zh-CN"/>
        </w:rPr>
        <w:t>采购人</w:t>
      </w:r>
      <w:r>
        <w:rPr>
          <w:rFonts w:hint="eastAsia" w:ascii="宋体" w:hAnsi="宋体" w:eastAsia="宋体" w:cs="宋体"/>
          <w:color w:val="auto"/>
          <w:sz w:val="24"/>
        </w:rPr>
        <w:t>同意，直接转换选择其他采购方式，与原</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共同完成后续采购程序。</w:t>
      </w:r>
    </w:p>
    <w:p w14:paraId="6D6D52A3">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选择直接转换釆购方式采购的，评审小组按照本章第5条</w:t>
      </w:r>
      <w:r>
        <w:rPr>
          <w:rFonts w:hint="eastAsia" w:ascii="宋体" w:hAnsi="宋体" w:eastAsia="宋体" w:cs="宋体"/>
          <w:color w:val="auto"/>
          <w:sz w:val="24"/>
          <w:lang w:val="zh-CN" w:eastAsia="zh-CN" w:bidi="zh-CN"/>
        </w:rPr>
        <w:t>“直</w:t>
      </w:r>
      <w:r>
        <w:rPr>
          <w:rFonts w:hint="eastAsia" w:ascii="宋体" w:hAnsi="宋体" w:eastAsia="宋体" w:cs="宋体"/>
          <w:color w:val="auto"/>
          <w:sz w:val="24"/>
        </w:rPr>
        <w:t>接转换采购方式评审程序”重新评审。除了</w:t>
      </w:r>
      <w:r>
        <w:rPr>
          <w:rFonts w:hint="eastAsia" w:cs="宋体"/>
          <w:color w:val="auto"/>
          <w:sz w:val="24"/>
          <w:lang w:eastAsia="zh-CN"/>
        </w:rPr>
        <w:t>采购人</w:t>
      </w:r>
      <w:r>
        <w:rPr>
          <w:rFonts w:hint="eastAsia" w:ascii="宋体" w:hAnsi="宋体" w:eastAsia="宋体" w:cs="宋体"/>
          <w:color w:val="auto"/>
          <w:sz w:val="24"/>
        </w:rPr>
        <w:t>与</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双方提出修改补充并接受新的条件和要求外, 原采购文件与原响应文件对</w:t>
      </w:r>
      <w:r>
        <w:rPr>
          <w:rFonts w:hint="eastAsia" w:cs="宋体"/>
          <w:color w:val="auto"/>
          <w:sz w:val="24"/>
          <w:lang w:eastAsia="zh-CN"/>
        </w:rPr>
        <w:t>采购人</w:t>
      </w:r>
      <w:r>
        <w:rPr>
          <w:rFonts w:hint="eastAsia" w:ascii="宋体" w:hAnsi="宋体" w:eastAsia="宋体" w:cs="宋体"/>
          <w:color w:val="auto"/>
          <w:sz w:val="24"/>
        </w:rPr>
        <w:t>和</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仍然具有相应约束力。</w:t>
      </w:r>
    </w:p>
    <w:p w14:paraId="14C05ECC">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91" w:name="bookmark1100"/>
      <w:bookmarkStart w:id="192" w:name="bookmark1099"/>
      <w:bookmarkStart w:id="193" w:name="bookmark1098"/>
      <w:bookmarkStart w:id="194" w:name="_Toc15457"/>
      <w:bookmarkStart w:id="195" w:name="_Toc3979"/>
      <w:r>
        <w:rPr>
          <w:rFonts w:hint="eastAsia" w:ascii="宋体" w:hAnsi="宋体" w:cs="宋体"/>
          <w:color w:val="auto"/>
          <w:lang w:val="en-US" w:eastAsia="zh-CN"/>
        </w:rPr>
        <w:t>4</w:t>
      </w:r>
      <w:r>
        <w:rPr>
          <w:rFonts w:hint="eastAsia" w:ascii="宋体" w:hAnsi="宋体" w:eastAsia="宋体" w:cs="宋体"/>
          <w:color w:val="auto"/>
        </w:rPr>
        <w:t>详细评审标准和程序(最低价法)</w:t>
      </w:r>
      <w:bookmarkEnd w:id="191"/>
      <w:bookmarkEnd w:id="192"/>
      <w:bookmarkEnd w:id="193"/>
      <w:bookmarkEnd w:id="194"/>
      <w:bookmarkEnd w:id="195"/>
    </w:p>
    <w:p w14:paraId="261E4876">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评审小组对评审价格进行比较后，按照评审价格由低到高的顺序对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排序。</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评审价格相等时，按照评审办法前附表的规定确定</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优先顺序。</w:t>
      </w:r>
    </w:p>
    <w:p w14:paraId="159EBC64">
      <w:pPr>
        <w:pStyle w:val="4"/>
        <w:pageBreakBefore w:val="0"/>
        <w:kinsoku/>
        <w:overflowPunct/>
        <w:topLinePunct w:val="0"/>
        <w:bidi w:val="0"/>
        <w:snapToGrid/>
        <w:spacing w:line="360" w:lineRule="auto"/>
        <w:jc w:val="both"/>
        <w:rPr>
          <w:rFonts w:hint="eastAsia" w:ascii="宋体" w:hAnsi="宋体" w:eastAsia="宋体" w:cs="宋体"/>
          <w:color w:val="auto"/>
        </w:rPr>
      </w:pPr>
      <w:bookmarkStart w:id="196" w:name="_Toc352"/>
      <w:bookmarkStart w:id="197" w:name="bookmark1102"/>
      <w:bookmarkStart w:id="198" w:name="bookmark1103"/>
      <w:bookmarkStart w:id="199" w:name="_Toc18858"/>
      <w:bookmarkStart w:id="200" w:name="bookmark1101"/>
      <w:r>
        <w:rPr>
          <w:rFonts w:hint="eastAsia" w:ascii="宋体" w:hAnsi="宋体" w:cs="宋体"/>
          <w:color w:val="auto"/>
          <w:lang w:val="en-US" w:eastAsia="zh-CN"/>
        </w:rPr>
        <w:t>5</w:t>
      </w:r>
      <w:r>
        <w:rPr>
          <w:rFonts w:hint="eastAsia" w:ascii="宋体" w:hAnsi="宋体" w:eastAsia="宋体" w:cs="宋体"/>
          <w:color w:val="auto"/>
        </w:rPr>
        <w:t>详细评审标准和程序(综合评分法)</w:t>
      </w:r>
      <w:bookmarkEnd w:id="196"/>
      <w:bookmarkEnd w:id="197"/>
      <w:bookmarkEnd w:id="198"/>
      <w:bookmarkEnd w:id="199"/>
      <w:bookmarkEnd w:id="200"/>
    </w:p>
    <w:p w14:paraId="5DADB33D">
      <w:pPr>
        <w:pStyle w:val="5"/>
        <w:pageBreakBefore w:val="0"/>
        <w:kinsoku/>
        <w:overflowPunct/>
        <w:topLinePunct w:val="0"/>
        <w:bidi w:val="0"/>
        <w:snapToGrid/>
        <w:spacing w:line="360" w:lineRule="auto"/>
        <w:rPr>
          <w:rFonts w:hint="eastAsia" w:ascii="宋体" w:hAnsi="宋体" w:eastAsia="宋体" w:cs="宋体"/>
          <w:color w:val="auto"/>
        </w:rPr>
      </w:pPr>
      <w:bookmarkStart w:id="201" w:name="_Toc30119"/>
      <w:bookmarkStart w:id="202" w:name="_Toc24690"/>
      <w:bookmarkStart w:id="203" w:name="bookmark1106"/>
      <w:bookmarkStart w:id="204" w:name="bookmark1105"/>
      <w:bookmarkStart w:id="205" w:name="bookmark1104"/>
      <w:r>
        <w:rPr>
          <w:rFonts w:hint="eastAsia" w:ascii="宋体" w:hAnsi="宋体" w:eastAsia="宋体" w:cs="宋体"/>
          <w:color w:val="auto"/>
          <w:lang w:val="en-US" w:eastAsia="zh-CN"/>
        </w:rPr>
        <w:t>5</w:t>
      </w:r>
      <w:r>
        <w:rPr>
          <w:rFonts w:hint="eastAsia" w:ascii="宋体" w:hAnsi="宋体" w:eastAsia="宋体" w:cs="宋体"/>
          <w:color w:val="auto"/>
        </w:rPr>
        <w:t>.1分值构成</w:t>
      </w:r>
      <w:bookmarkEnd w:id="201"/>
      <w:bookmarkEnd w:id="202"/>
      <w:bookmarkEnd w:id="203"/>
      <w:bookmarkEnd w:id="204"/>
      <w:bookmarkEnd w:id="205"/>
    </w:p>
    <w:p w14:paraId="241A4AE9">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06" w:name="bookmark1107"/>
      <w:bookmarkEnd w:id="206"/>
      <w:r>
        <w:rPr>
          <w:rFonts w:hint="eastAsia" w:ascii="宋体" w:hAnsi="宋体" w:eastAsia="宋体" w:cs="宋体"/>
          <w:color w:val="auto"/>
          <w:sz w:val="24"/>
          <w:lang w:val="en-US" w:eastAsia="zh-CN"/>
        </w:rPr>
        <w:t>(1)</w:t>
      </w:r>
      <w:r>
        <w:rPr>
          <w:rFonts w:hint="eastAsia" w:ascii="宋体" w:hAnsi="宋体" w:eastAsia="宋体" w:cs="宋体"/>
          <w:color w:val="auto"/>
          <w:sz w:val="24"/>
        </w:rPr>
        <w:t>商务部分：见评审办法前附表；</w:t>
      </w:r>
    </w:p>
    <w:p w14:paraId="0DB15E97">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07" w:name="bookmark1108"/>
      <w:bookmarkEnd w:id="207"/>
      <w:r>
        <w:rPr>
          <w:rFonts w:hint="eastAsia" w:ascii="宋体" w:hAnsi="宋体" w:eastAsia="宋体" w:cs="宋体"/>
          <w:color w:val="auto"/>
          <w:sz w:val="24"/>
          <w:lang w:val="en-US" w:eastAsia="zh-CN"/>
        </w:rPr>
        <w:t>(2)</w:t>
      </w:r>
      <w:r>
        <w:rPr>
          <w:rFonts w:hint="eastAsia" w:ascii="宋体" w:hAnsi="宋体" w:eastAsia="宋体" w:cs="宋体"/>
          <w:color w:val="auto"/>
          <w:sz w:val="24"/>
        </w:rPr>
        <w:t>技术部分：见评审办法前附表；</w:t>
      </w:r>
    </w:p>
    <w:p w14:paraId="26BB1DA9">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08" w:name="bookmark1109"/>
      <w:bookmarkEnd w:id="208"/>
      <w:r>
        <w:rPr>
          <w:rFonts w:hint="eastAsia" w:ascii="宋体" w:hAnsi="宋体" w:eastAsia="宋体" w:cs="宋体"/>
          <w:color w:val="auto"/>
          <w:sz w:val="24"/>
          <w:lang w:val="en-US" w:eastAsia="zh-CN"/>
        </w:rPr>
        <w:t>(3)</w:t>
      </w:r>
      <w:r>
        <w:rPr>
          <w:rFonts w:hint="eastAsia" w:ascii="宋体" w:hAnsi="宋体" w:eastAsia="宋体" w:cs="宋体"/>
          <w:color w:val="auto"/>
          <w:sz w:val="24"/>
        </w:rPr>
        <w:t>报价：见评审办法前附表；</w:t>
      </w:r>
    </w:p>
    <w:p w14:paraId="5FA70FBE">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09" w:name="bookmark1110"/>
      <w:bookmarkEnd w:id="209"/>
      <w:r>
        <w:rPr>
          <w:rFonts w:hint="eastAsia" w:ascii="宋体" w:hAnsi="宋体" w:eastAsia="宋体" w:cs="宋体"/>
          <w:color w:val="auto"/>
          <w:sz w:val="24"/>
          <w:lang w:val="en-US" w:eastAsia="zh-CN"/>
        </w:rPr>
        <w:t>(4)</w:t>
      </w:r>
      <w:r>
        <w:rPr>
          <w:rFonts w:hint="eastAsia" w:ascii="宋体" w:hAnsi="宋体" w:eastAsia="宋体" w:cs="宋体"/>
          <w:color w:val="auto"/>
          <w:sz w:val="24"/>
        </w:rPr>
        <w:t>其他评分因素：见评审办法前附表。</w:t>
      </w:r>
    </w:p>
    <w:p w14:paraId="611F4970">
      <w:pPr>
        <w:pStyle w:val="5"/>
        <w:pageBreakBefore w:val="0"/>
        <w:kinsoku/>
        <w:overflowPunct/>
        <w:topLinePunct w:val="0"/>
        <w:bidi w:val="0"/>
        <w:snapToGrid/>
        <w:spacing w:line="360" w:lineRule="auto"/>
        <w:rPr>
          <w:rFonts w:hint="eastAsia" w:ascii="宋体" w:hAnsi="宋体" w:eastAsia="宋体" w:cs="宋体"/>
          <w:color w:val="auto"/>
        </w:rPr>
      </w:pPr>
      <w:bookmarkStart w:id="210" w:name="bookmark1113"/>
      <w:bookmarkStart w:id="211" w:name="bookmark1112"/>
      <w:bookmarkStart w:id="212" w:name="_Toc7969"/>
      <w:bookmarkStart w:id="213" w:name="_Toc31406"/>
      <w:bookmarkStart w:id="214" w:name="bookmark1111"/>
      <w:r>
        <w:rPr>
          <w:rFonts w:hint="eastAsia" w:ascii="宋体" w:hAnsi="宋体" w:eastAsia="宋体" w:cs="宋体"/>
          <w:color w:val="auto"/>
          <w:lang w:val="en-US" w:eastAsia="zh-CN"/>
        </w:rPr>
        <w:t>5</w:t>
      </w:r>
      <w:r>
        <w:rPr>
          <w:rFonts w:hint="eastAsia" w:ascii="宋体" w:hAnsi="宋体" w:eastAsia="宋体" w:cs="宋体"/>
          <w:color w:val="auto"/>
        </w:rPr>
        <w:t>.2评审基准价计算</w:t>
      </w:r>
      <w:bookmarkEnd w:id="210"/>
      <w:bookmarkEnd w:id="211"/>
      <w:bookmarkEnd w:id="212"/>
      <w:bookmarkEnd w:id="213"/>
      <w:bookmarkEnd w:id="214"/>
    </w:p>
    <w:p w14:paraId="5ED83567">
      <w:pPr>
        <w:pStyle w:val="39"/>
        <w:pageBreakBefore w:val="0"/>
        <w:tabs>
          <w:tab w:val="left" w:pos="1451"/>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15" w:name="bookmark1114"/>
      <w:bookmarkEnd w:id="215"/>
      <w:r>
        <w:rPr>
          <w:rFonts w:hint="eastAsia" w:ascii="宋体" w:hAnsi="宋体" w:eastAsia="宋体" w:cs="宋体"/>
          <w:color w:val="auto"/>
          <w:sz w:val="24"/>
          <w:lang w:val="en-US" w:eastAsia="zh-CN"/>
        </w:rPr>
        <w:t>(1)</w:t>
      </w:r>
      <w:r>
        <w:rPr>
          <w:rFonts w:hint="eastAsia" w:ascii="宋体" w:hAnsi="宋体" w:eastAsia="宋体" w:cs="宋体"/>
          <w:color w:val="auto"/>
          <w:sz w:val="24"/>
        </w:rPr>
        <w:t>评审价格：评审价格为按照本章第</w:t>
      </w:r>
      <w:r>
        <w:rPr>
          <w:rFonts w:hint="eastAsia" w:ascii="宋体" w:hAnsi="宋体" w:eastAsia="宋体" w:cs="宋体"/>
          <w:color w:val="auto"/>
          <w:sz w:val="24"/>
          <w:lang w:val="en-US" w:eastAsia="zh-CN" w:bidi="en-US"/>
        </w:rPr>
        <w:t xml:space="preserve">2. </w:t>
      </w:r>
      <w:r>
        <w:rPr>
          <w:rFonts w:hint="eastAsia" w:ascii="宋体" w:hAnsi="宋体" w:eastAsia="宋体" w:cs="宋体"/>
          <w:color w:val="auto"/>
          <w:sz w:val="24"/>
          <w:lang w:val="en-US" w:eastAsia="en-US" w:bidi="en-US"/>
        </w:rPr>
        <w:t>2.2</w:t>
      </w:r>
      <w:r>
        <w:rPr>
          <w:rFonts w:hint="eastAsia" w:ascii="宋体" w:hAnsi="宋体" w:eastAsia="宋体" w:cs="宋体"/>
          <w:color w:val="auto"/>
          <w:sz w:val="24"/>
        </w:rPr>
        <w:t>项规定确定的价格；</w:t>
      </w:r>
    </w:p>
    <w:p w14:paraId="1E535C8B">
      <w:pPr>
        <w:pStyle w:val="39"/>
        <w:pageBreakBefore w:val="0"/>
        <w:tabs>
          <w:tab w:val="left" w:pos="1451"/>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16" w:name="bookmark1115"/>
      <w:bookmarkEnd w:id="216"/>
      <w:r>
        <w:rPr>
          <w:rFonts w:hint="eastAsia" w:ascii="宋体" w:hAnsi="宋体" w:eastAsia="宋体" w:cs="宋体"/>
          <w:color w:val="auto"/>
          <w:sz w:val="24"/>
          <w:lang w:val="en-US" w:eastAsia="zh-CN"/>
        </w:rPr>
        <w:t>(2)</w:t>
      </w:r>
      <w:r>
        <w:rPr>
          <w:rFonts w:hint="eastAsia" w:ascii="宋体" w:hAnsi="宋体" w:eastAsia="宋体" w:cs="宋体"/>
          <w:color w:val="auto"/>
          <w:sz w:val="24"/>
        </w:rPr>
        <w:t>评审基准价计算方法：</w:t>
      </w:r>
    </w:p>
    <w:p w14:paraId="3678135B">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方法一：评审基准价=评审价格平均值(即通过初步评审的所有</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评审价格的算术平均值)。</w:t>
      </w:r>
    </w:p>
    <w:p w14:paraId="605E601A">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方法二：评审基准价=评审价格平均值(即通过初步评审的所有</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评审价格的算术平均值)</w:t>
      </w:r>
      <w:r>
        <w:rPr>
          <w:rFonts w:hint="eastAsia" w:ascii="宋体" w:hAnsi="宋体" w:eastAsia="宋体" w:cs="宋体"/>
          <w:color w:val="auto"/>
          <w:sz w:val="24"/>
          <w:lang w:val="en-US" w:eastAsia="zh-CN" w:bidi="en-US"/>
        </w:rPr>
        <w:t>x</w:t>
      </w:r>
      <w:r>
        <w:rPr>
          <w:rFonts w:hint="eastAsia" w:ascii="宋体" w:hAnsi="宋体" w:eastAsia="宋体" w:cs="宋体"/>
          <w:color w:val="auto"/>
          <w:sz w:val="24"/>
        </w:rPr>
        <w:t>评审基准价系数，评审基准价系数的取值见评审办法前附表。</w:t>
      </w:r>
    </w:p>
    <w:p w14:paraId="050B76DD">
      <w:pPr>
        <w:pStyle w:val="39"/>
        <w:pageBreakBefore w:val="0"/>
        <w:kinsoku/>
        <w:overflowPunct/>
        <w:topLinePunct w:val="0"/>
        <w:bidi w:val="0"/>
        <w:snapToGrid/>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方法三：评审基准价=通过初步评审的所有</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的最低评审价格。</w:t>
      </w:r>
    </w:p>
    <w:p w14:paraId="35103062">
      <w:pPr>
        <w:pStyle w:val="39"/>
        <w:pageBreakBefore w:val="0"/>
        <w:kinsoku/>
        <w:overflowPunct/>
        <w:topLinePunct w:val="0"/>
        <w:bidi w:val="0"/>
        <w:snapToGrid/>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方法四：</w:t>
      </w:r>
      <w:r>
        <w:rPr>
          <w:rFonts w:hint="eastAsia" w:cs="宋体"/>
          <w:color w:val="auto"/>
          <w:sz w:val="24"/>
          <w:lang w:eastAsia="zh-CN"/>
        </w:rPr>
        <w:t>采购人</w:t>
      </w:r>
      <w:r>
        <w:rPr>
          <w:rFonts w:hint="eastAsia" w:ascii="宋体" w:hAnsi="宋体" w:eastAsia="宋体" w:cs="宋体"/>
          <w:color w:val="auto"/>
          <w:sz w:val="24"/>
        </w:rPr>
        <w:t>确定的其他方法。</w:t>
      </w:r>
    </w:p>
    <w:p w14:paraId="02435018">
      <w:pPr>
        <w:pStyle w:val="39"/>
        <w:pageBreakBefore w:val="0"/>
        <w:kinsoku/>
        <w:overflowPunct/>
        <w:topLinePunct w:val="0"/>
        <w:bidi w:val="0"/>
        <w:snapToGrid/>
        <w:spacing w:line="360" w:lineRule="auto"/>
        <w:jc w:val="left"/>
        <w:rPr>
          <w:rFonts w:hint="eastAsia" w:ascii="宋体" w:hAnsi="宋体" w:eastAsia="宋体" w:cs="宋体"/>
          <w:color w:val="auto"/>
          <w:sz w:val="24"/>
        </w:rPr>
      </w:pPr>
      <w:r>
        <w:rPr>
          <w:rFonts w:hint="eastAsia" w:ascii="宋体" w:hAnsi="宋体" w:eastAsia="宋体" w:cs="宋体"/>
          <w:color w:val="auto"/>
          <w:sz w:val="24"/>
        </w:rPr>
        <w:t>评审基准价计算方法的选择见评审办法前附表。</w:t>
      </w:r>
    </w:p>
    <w:p w14:paraId="469E6663">
      <w:pPr>
        <w:pStyle w:val="5"/>
        <w:pageBreakBefore w:val="0"/>
        <w:kinsoku/>
        <w:overflowPunct/>
        <w:topLinePunct w:val="0"/>
        <w:bidi w:val="0"/>
        <w:snapToGrid/>
        <w:spacing w:line="360" w:lineRule="auto"/>
        <w:rPr>
          <w:rFonts w:hint="eastAsia" w:ascii="宋体" w:hAnsi="宋体" w:eastAsia="宋体" w:cs="宋体"/>
          <w:color w:val="auto"/>
        </w:rPr>
      </w:pPr>
      <w:bookmarkStart w:id="217" w:name="_Toc18545"/>
      <w:bookmarkStart w:id="218" w:name="bookmark1116"/>
      <w:bookmarkStart w:id="219" w:name="bookmark1117"/>
      <w:bookmarkStart w:id="220" w:name="_Toc23856"/>
      <w:bookmarkStart w:id="221" w:name="bookmark1118"/>
      <w:r>
        <w:rPr>
          <w:rFonts w:hint="eastAsia" w:ascii="宋体" w:hAnsi="宋体" w:eastAsia="宋体" w:cs="宋体"/>
          <w:color w:val="auto"/>
          <w:lang w:val="en-US" w:eastAsia="zh-CN"/>
        </w:rPr>
        <w:t>5</w:t>
      </w:r>
      <w:r>
        <w:rPr>
          <w:rFonts w:hint="eastAsia" w:ascii="宋体" w:hAnsi="宋体" w:eastAsia="宋体" w:cs="宋体"/>
          <w:color w:val="auto"/>
        </w:rPr>
        <w:t>.3 评分标准</w:t>
      </w:r>
      <w:bookmarkEnd w:id="217"/>
      <w:bookmarkEnd w:id="218"/>
      <w:bookmarkEnd w:id="219"/>
      <w:bookmarkEnd w:id="220"/>
      <w:bookmarkEnd w:id="221"/>
    </w:p>
    <w:p w14:paraId="7CE89C3E">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22" w:name="bookmark1119"/>
      <w:bookmarkEnd w:id="222"/>
      <w:r>
        <w:rPr>
          <w:rFonts w:hint="eastAsia" w:ascii="宋体" w:hAnsi="宋体" w:eastAsia="宋体" w:cs="宋体"/>
          <w:color w:val="auto"/>
          <w:sz w:val="24"/>
          <w:lang w:val="en-US" w:eastAsia="zh-CN"/>
        </w:rPr>
        <w:t>(1)</w:t>
      </w:r>
      <w:r>
        <w:rPr>
          <w:rFonts w:hint="eastAsia" w:ascii="宋体" w:hAnsi="宋体" w:eastAsia="宋体" w:cs="宋体"/>
          <w:color w:val="auto"/>
          <w:sz w:val="24"/>
        </w:rPr>
        <w:t>商务评分标准：见评审办法前附表；</w:t>
      </w:r>
    </w:p>
    <w:p w14:paraId="333D928A">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23" w:name="bookmark1120"/>
      <w:bookmarkEnd w:id="223"/>
      <w:r>
        <w:rPr>
          <w:rFonts w:hint="eastAsia" w:ascii="宋体" w:hAnsi="宋体" w:eastAsia="宋体" w:cs="宋体"/>
          <w:color w:val="auto"/>
          <w:sz w:val="24"/>
          <w:lang w:val="en-US" w:eastAsia="zh-CN"/>
        </w:rPr>
        <w:t>(2)</w:t>
      </w:r>
      <w:r>
        <w:rPr>
          <w:rFonts w:hint="eastAsia" w:ascii="宋体" w:hAnsi="宋体" w:eastAsia="宋体" w:cs="宋体"/>
          <w:color w:val="auto"/>
          <w:sz w:val="24"/>
        </w:rPr>
        <w:t>技术评分标准：见评审办法前附表；</w:t>
      </w:r>
    </w:p>
    <w:p w14:paraId="4618395D">
      <w:pPr>
        <w:pStyle w:val="39"/>
        <w:pageBreakBefore w:val="0"/>
        <w:tabs>
          <w:tab w:val="left" w:pos="144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24" w:name="bookmark1121"/>
      <w:bookmarkEnd w:id="224"/>
      <w:r>
        <w:rPr>
          <w:rFonts w:hint="eastAsia" w:ascii="宋体" w:hAnsi="宋体" w:eastAsia="宋体" w:cs="宋体"/>
          <w:color w:val="auto"/>
          <w:sz w:val="24"/>
          <w:lang w:val="en-US" w:eastAsia="zh-CN"/>
        </w:rPr>
        <w:t>(3)</w:t>
      </w:r>
      <w:r>
        <w:rPr>
          <w:rFonts w:hint="eastAsia" w:ascii="宋体" w:hAnsi="宋体" w:eastAsia="宋体" w:cs="宋体"/>
          <w:color w:val="auto"/>
          <w:sz w:val="24"/>
        </w:rPr>
        <w:t>报价评分标准：</w:t>
      </w:r>
    </w:p>
    <w:p w14:paraId="397752DE">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报价得分可采用如下方法计算：</w:t>
      </w:r>
    </w:p>
    <w:p w14:paraId="37EC02EC">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方法一：偏差率=(</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评审价格-评审基准价)/评审基准价</w:t>
      </w:r>
      <w:r>
        <w:rPr>
          <w:rFonts w:hint="eastAsia" w:ascii="宋体" w:hAnsi="宋体" w:eastAsia="宋体" w:cs="宋体"/>
          <w:color w:val="auto"/>
          <w:sz w:val="24"/>
          <w:lang w:val="en-US" w:eastAsia="zh-CN" w:bidi="en-US"/>
        </w:rPr>
        <w:t>×100%</w:t>
      </w:r>
    </w:p>
    <w:p w14:paraId="035AAB0A">
      <w:pPr>
        <w:pStyle w:val="39"/>
        <w:pageBreakBefore w:val="0"/>
        <w:tabs>
          <w:tab w:val="left" w:pos="139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25" w:name="bookmark1122"/>
      <w:bookmarkEnd w:id="225"/>
      <w:r>
        <w:rPr>
          <w:rFonts w:hint="eastAsia" w:ascii="宋体" w:hAnsi="宋体" w:eastAsia="宋体" w:cs="宋体"/>
          <w:color w:val="auto"/>
          <w:sz w:val="24"/>
          <w:lang w:eastAsia="zh-CN"/>
        </w:rPr>
        <w:t>①</w:t>
      </w:r>
      <w:r>
        <w:rPr>
          <w:rFonts w:hint="eastAsia" w:ascii="宋体" w:hAnsi="宋体" w:eastAsia="宋体" w:cs="宋体"/>
          <w:color w:val="auto"/>
          <w:sz w:val="24"/>
        </w:rPr>
        <w:t>如果</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的评审</w:t>
      </w:r>
      <w:r>
        <w:rPr>
          <w:rFonts w:hint="eastAsia" w:ascii="宋体" w:hAnsi="宋体" w:eastAsia="宋体" w:cs="宋体"/>
          <w:color w:val="auto"/>
          <w:sz w:val="24"/>
          <w:lang w:val="zh-CN" w:eastAsia="zh-CN" w:bidi="zh-CN"/>
        </w:rPr>
        <w:t>价格〉</w:t>
      </w:r>
      <w:r>
        <w:rPr>
          <w:rFonts w:hint="eastAsia" w:ascii="宋体" w:hAnsi="宋体" w:eastAsia="宋体" w:cs="宋体"/>
          <w:color w:val="auto"/>
          <w:sz w:val="24"/>
        </w:rPr>
        <w:t>评审基准价，则报价得分</w:t>
      </w:r>
      <w:r>
        <w:rPr>
          <w:rFonts w:hint="eastAsia" w:ascii="宋体" w:hAnsi="宋体" w:eastAsia="宋体" w:cs="宋体"/>
          <w:color w:val="auto"/>
          <w:sz w:val="24"/>
          <w:lang w:val="en-US" w:eastAsia="zh-CN" w:bidi="en-US"/>
        </w:rPr>
        <w:t>=F-</w:t>
      </w:r>
      <w:r>
        <w:rPr>
          <w:rFonts w:hint="eastAsia" w:ascii="宋体" w:hAnsi="宋体" w:eastAsia="宋体" w:cs="宋体"/>
          <w:color w:val="auto"/>
          <w:sz w:val="24"/>
        </w:rPr>
        <w:t>偏差率</w:t>
      </w:r>
      <w:r>
        <w:rPr>
          <w:rFonts w:hint="eastAsia" w:ascii="宋体" w:hAnsi="宋体" w:eastAsia="宋体" w:cs="宋体"/>
          <w:color w:val="auto"/>
          <w:sz w:val="24"/>
          <w:lang w:val="en-US" w:eastAsia="zh-CN" w:bidi="en-US"/>
        </w:rPr>
        <w:t>xlOOx Ei；</w:t>
      </w:r>
    </w:p>
    <w:p w14:paraId="10E8D957">
      <w:pPr>
        <w:pStyle w:val="39"/>
        <w:pageBreakBefore w:val="0"/>
        <w:tabs>
          <w:tab w:val="left" w:pos="1396"/>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26" w:name="bookmark1123"/>
      <w:bookmarkEnd w:id="226"/>
      <w:r>
        <w:rPr>
          <w:rFonts w:hint="eastAsia" w:ascii="宋体" w:hAnsi="宋体" w:eastAsia="宋体" w:cs="宋体"/>
          <w:color w:val="auto"/>
          <w:sz w:val="24"/>
          <w:lang w:eastAsia="zh-CN"/>
        </w:rPr>
        <w:t>②</w:t>
      </w:r>
      <w:r>
        <w:rPr>
          <w:rFonts w:hint="eastAsia" w:ascii="宋体" w:hAnsi="宋体" w:eastAsia="宋体" w:cs="宋体"/>
          <w:color w:val="auto"/>
          <w:sz w:val="24"/>
        </w:rPr>
        <w:t>如果</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的评审</w:t>
      </w:r>
      <w:r>
        <w:rPr>
          <w:rFonts w:hint="eastAsia" w:ascii="宋体" w:hAnsi="宋体" w:eastAsia="宋体" w:cs="宋体"/>
          <w:color w:val="auto"/>
          <w:sz w:val="24"/>
          <w:lang w:val="zh-CN" w:eastAsia="zh-CN" w:bidi="zh-CN"/>
        </w:rPr>
        <w:t>价格耳</w:t>
      </w:r>
      <w:r>
        <w:rPr>
          <w:rFonts w:hint="eastAsia" w:ascii="宋体" w:hAnsi="宋体" w:eastAsia="宋体" w:cs="宋体"/>
          <w:color w:val="auto"/>
          <w:sz w:val="24"/>
        </w:rPr>
        <w:t>评审基准价，则报价得分</w:t>
      </w:r>
      <w:r>
        <w:rPr>
          <w:rFonts w:hint="eastAsia" w:ascii="宋体" w:hAnsi="宋体" w:eastAsia="宋体" w:cs="宋体"/>
          <w:color w:val="auto"/>
          <w:sz w:val="24"/>
          <w:lang w:val="en-US" w:eastAsia="zh-CN" w:bidi="en-US"/>
        </w:rPr>
        <w:t>=F+</w:t>
      </w:r>
      <w:r>
        <w:rPr>
          <w:rFonts w:hint="eastAsia" w:ascii="宋体" w:hAnsi="宋体" w:eastAsia="宋体" w:cs="宋体"/>
          <w:color w:val="auto"/>
          <w:sz w:val="24"/>
        </w:rPr>
        <w:t>偏差率</w:t>
      </w:r>
      <w:r>
        <w:rPr>
          <w:rFonts w:hint="eastAsia" w:ascii="宋体" w:hAnsi="宋体" w:eastAsia="宋体" w:cs="宋体"/>
          <w:color w:val="auto"/>
          <w:sz w:val="24"/>
          <w:lang w:val="en-US" w:eastAsia="zh-CN" w:bidi="en-US"/>
        </w:rPr>
        <w:t>x 100x E</w:t>
      </w:r>
      <w:r>
        <w:rPr>
          <w:rFonts w:hint="eastAsia" w:ascii="宋体" w:hAnsi="宋体" w:eastAsia="宋体" w:cs="宋体"/>
          <w:color w:val="auto"/>
          <w:sz w:val="24"/>
          <w:vertAlign w:val="subscript"/>
          <w:lang w:val="en-US" w:eastAsia="zh-CN" w:bidi="en-US"/>
        </w:rPr>
        <w:t>2O</w:t>
      </w:r>
    </w:p>
    <w:p w14:paraId="3A5C3848">
      <w:pPr>
        <w:pStyle w:val="39"/>
        <w:pageBreakBefore w:val="0"/>
        <w:tabs>
          <w:tab w:val="left" w:pos="358"/>
        </w:tabs>
        <w:kinsoku/>
        <w:overflowPunct/>
        <w:topLinePunct w:val="0"/>
        <w:bidi w:val="0"/>
        <w:snapToGrid/>
        <w:spacing w:line="360" w:lineRule="auto"/>
        <w:rPr>
          <w:rFonts w:hint="eastAsia" w:ascii="宋体" w:hAnsi="宋体" w:eastAsia="宋体" w:cs="宋体"/>
          <w:color w:val="auto"/>
          <w:sz w:val="24"/>
          <w:lang w:val="en-US" w:eastAsia="zh-CN" w:bidi="en-US"/>
        </w:rPr>
      </w:pPr>
      <w:r>
        <w:rPr>
          <w:rFonts w:hint="eastAsia" w:ascii="宋体" w:hAnsi="宋体" w:eastAsia="宋体" w:cs="宋体"/>
          <w:color w:val="auto"/>
          <w:sz w:val="24"/>
        </w:rPr>
        <w:t>其中</w:t>
      </w:r>
      <w:r>
        <w:rPr>
          <w:rFonts w:hint="eastAsia" w:ascii="宋体" w:hAnsi="宋体" w:eastAsia="宋体" w:cs="宋体"/>
          <w:color w:val="auto"/>
          <w:sz w:val="24"/>
          <w:lang w:val="en-US" w:eastAsia="zh-CN" w:bidi="en-US"/>
        </w:rPr>
        <w:t>F</w:t>
      </w:r>
      <w:r>
        <w:rPr>
          <w:rFonts w:hint="eastAsia" w:ascii="宋体" w:hAnsi="宋体" w:eastAsia="宋体" w:cs="宋体"/>
          <w:color w:val="auto"/>
          <w:sz w:val="24"/>
        </w:rPr>
        <w:t>为本章前附表第</w:t>
      </w:r>
      <w:r>
        <w:rPr>
          <w:rFonts w:hint="eastAsia" w:ascii="宋体" w:hAnsi="宋体" w:eastAsia="宋体" w:cs="宋体"/>
          <w:color w:val="auto"/>
          <w:sz w:val="24"/>
          <w:lang w:val="en-US" w:eastAsia="zh-CN" w:bidi="en-US"/>
        </w:rPr>
        <w:t xml:space="preserve">3.1 </w:t>
      </w:r>
      <w:r>
        <w:rPr>
          <w:rFonts w:hint="eastAsia" w:ascii="宋体" w:hAnsi="宋体" w:eastAsia="宋体" w:cs="宋体"/>
          <w:color w:val="auto"/>
          <w:sz w:val="24"/>
        </w:rPr>
        <w:t>(3)项规定的报价所占的分值；</w:t>
      </w:r>
      <w:r>
        <w:rPr>
          <w:rFonts w:hint="eastAsia" w:ascii="宋体" w:hAnsi="宋体" w:eastAsia="宋体" w:cs="宋体"/>
          <w:color w:val="auto"/>
          <w:sz w:val="24"/>
          <w:lang w:val="en-US" w:eastAsia="zh-CN" w:bidi="en-US"/>
        </w:rPr>
        <w:t>E］</w:t>
      </w:r>
      <w:r>
        <w:rPr>
          <w:rFonts w:hint="eastAsia" w:ascii="宋体" w:hAnsi="宋体" w:eastAsia="宋体" w:cs="宋体"/>
          <w:color w:val="auto"/>
          <w:sz w:val="24"/>
        </w:rPr>
        <w:t>是评审价格每高于</w:t>
      </w:r>
    </w:p>
    <w:p w14:paraId="7ED8B63C">
      <w:pPr>
        <w:pStyle w:val="39"/>
        <w:pageBreakBefore w:val="0"/>
        <w:kinsoku/>
        <w:overflowPunct/>
        <w:topLinePunct w:val="0"/>
        <w:bidi w:val="0"/>
        <w:snapToGrid/>
        <w:spacing w:line="360" w:lineRule="auto"/>
        <w:rPr>
          <w:rFonts w:hint="eastAsia" w:ascii="宋体" w:hAnsi="宋体" w:eastAsia="宋体" w:cs="宋体"/>
          <w:color w:val="auto"/>
          <w:sz w:val="24"/>
        </w:rPr>
      </w:pPr>
      <w:r>
        <w:rPr>
          <w:rFonts w:hint="eastAsia" w:ascii="宋体" w:hAnsi="宋体" w:eastAsia="宋体" w:cs="宋体"/>
          <w:color w:val="auto"/>
          <w:sz w:val="24"/>
        </w:rPr>
        <w:t>评审基准价一个百分点的扣分值、</w:t>
      </w:r>
      <w:r>
        <w:rPr>
          <w:rFonts w:hint="eastAsia" w:ascii="宋体" w:hAnsi="宋体" w:eastAsia="宋体" w:cs="宋体"/>
          <w:color w:val="auto"/>
          <w:sz w:val="24"/>
          <w:lang w:val="en-US" w:eastAsia="zh-CN" w:bidi="en-US"/>
        </w:rPr>
        <w:t>E2</w:t>
      </w:r>
      <w:r>
        <w:rPr>
          <w:rFonts w:hint="eastAsia" w:ascii="宋体" w:hAnsi="宋体" w:eastAsia="宋体" w:cs="宋体"/>
          <w:color w:val="auto"/>
          <w:sz w:val="24"/>
        </w:rPr>
        <w:t>是评审价格每低于评审基准价一个百分点的扣分值，</w:t>
      </w:r>
      <w:r>
        <w:rPr>
          <w:rFonts w:hint="eastAsia" w:ascii="宋体" w:hAnsi="宋体" w:eastAsia="宋体" w:cs="宋体"/>
          <w:color w:val="auto"/>
          <w:sz w:val="24"/>
          <w:lang w:val="en-US" w:eastAsia="zh-CN" w:bidi="en-US"/>
        </w:rPr>
        <w:t>E1</w:t>
      </w:r>
      <w:r>
        <w:rPr>
          <w:rFonts w:hint="eastAsia" w:ascii="宋体" w:hAnsi="宋体" w:eastAsia="宋体" w:cs="宋体"/>
          <w:color w:val="auto"/>
          <w:sz w:val="24"/>
        </w:rPr>
        <w:t>可大于或等于</w:t>
      </w:r>
      <w:r>
        <w:rPr>
          <w:rFonts w:hint="eastAsia" w:ascii="宋体" w:hAnsi="宋体" w:eastAsia="宋体" w:cs="宋体"/>
          <w:color w:val="auto"/>
          <w:sz w:val="24"/>
          <w:lang w:val="en-US" w:eastAsia="zh-CN" w:bidi="en-US"/>
        </w:rPr>
        <w:t>E2。E1、E2</w:t>
      </w:r>
      <w:r>
        <w:rPr>
          <w:rFonts w:hint="eastAsia" w:ascii="宋体" w:hAnsi="宋体" w:eastAsia="宋体" w:cs="宋体"/>
          <w:color w:val="auto"/>
          <w:sz w:val="24"/>
        </w:rPr>
        <w:t>的取值见评审办法前附表。</w:t>
      </w:r>
    </w:p>
    <w:p w14:paraId="0443D2DD">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方法二：报价得分=(通过初步评审的所有</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的最低评审价格/</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评审价格)</w:t>
      </w:r>
      <w:r>
        <w:rPr>
          <w:rFonts w:hint="eastAsia" w:ascii="宋体" w:hAnsi="宋体" w:eastAsia="宋体" w:cs="宋体"/>
          <w:color w:val="auto"/>
          <w:sz w:val="24"/>
          <w:lang w:val="en-US" w:eastAsia="zh-CN" w:bidi="en-US"/>
        </w:rPr>
        <w:t>xF, F</w:t>
      </w:r>
      <w:r>
        <w:rPr>
          <w:rFonts w:hint="eastAsia" w:ascii="宋体" w:hAnsi="宋体" w:eastAsia="宋体" w:cs="宋体"/>
          <w:color w:val="auto"/>
          <w:sz w:val="24"/>
        </w:rPr>
        <w:t>为本章前附表第</w:t>
      </w:r>
      <w:r>
        <w:rPr>
          <w:rFonts w:hint="eastAsia" w:ascii="宋体" w:hAnsi="宋体" w:eastAsia="宋体" w:cs="宋体"/>
          <w:color w:val="auto"/>
          <w:sz w:val="24"/>
          <w:lang w:val="en-US" w:eastAsia="zh-CN" w:bidi="en-US"/>
        </w:rPr>
        <w:t xml:space="preserve">3.1 </w:t>
      </w:r>
      <w:r>
        <w:rPr>
          <w:rFonts w:hint="eastAsia" w:ascii="宋体" w:hAnsi="宋体" w:eastAsia="宋体" w:cs="宋体"/>
          <w:color w:val="auto"/>
          <w:sz w:val="24"/>
        </w:rPr>
        <w:t>(3)项规定的报价所占的分值。</w:t>
      </w:r>
    </w:p>
    <w:p w14:paraId="4AF17051">
      <w:pPr>
        <w:pStyle w:val="39"/>
        <w:pageBreakBefore w:val="0"/>
        <w:kinsoku/>
        <w:overflowPunct/>
        <w:topLinePunct w:val="0"/>
        <w:bidi w:val="0"/>
        <w:snapToGrid/>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方法三：</w:t>
      </w:r>
      <w:r>
        <w:rPr>
          <w:rFonts w:hint="eastAsia" w:cs="宋体"/>
          <w:color w:val="auto"/>
          <w:sz w:val="24"/>
          <w:lang w:eastAsia="zh-CN"/>
        </w:rPr>
        <w:t>采购人</w:t>
      </w:r>
      <w:r>
        <w:rPr>
          <w:rFonts w:hint="eastAsia" w:ascii="宋体" w:hAnsi="宋体" w:eastAsia="宋体" w:cs="宋体"/>
          <w:color w:val="auto"/>
          <w:sz w:val="24"/>
        </w:rPr>
        <w:t>确定的其他方法。</w:t>
      </w:r>
    </w:p>
    <w:p w14:paraId="46E60AD1">
      <w:pPr>
        <w:pStyle w:val="39"/>
        <w:pageBreakBefore w:val="0"/>
        <w:kinsoku/>
        <w:overflowPunct/>
        <w:topLinePunct w:val="0"/>
        <w:bidi w:val="0"/>
        <w:snapToGrid/>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报价得分计算方法见评审办法前附表。</w:t>
      </w:r>
    </w:p>
    <w:p w14:paraId="51D5FABB">
      <w:pPr>
        <w:pStyle w:val="39"/>
        <w:pageBreakBefore w:val="0"/>
        <w:kinsoku/>
        <w:overflowPunct/>
        <w:topLinePunct w:val="0"/>
        <w:bidi w:val="0"/>
        <w:snapToGrid/>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(4)其他因素评分标准：见评审办法前附表。</w:t>
      </w:r>
    </w:p>
    <w:p w14:paraId="5717AC77">
      <w:pPr>
        <w:pStyle w:val="5"/>
        <w:pageBreakBefore w:val="0"/>
        <w:kinsoku/>
        <w:overflowPunct/>
        <w:topLinePunct w:val="0"/>
        <w:bidi w:val="0"/>
        <w:snapToGrid/>
        <w:spacing w:line="360" w:lineRule="auto"/>
        <w:rPr>
          <w:rFonts w:hint="eastAsia" w:ascii="宋体" w:hAnsi="宋体" w:eastAsia="宋体" w:cs="宋体"/>
          <w:color w:val="auto"/>
        </w:rPr>
      </w:pPr>
      <w:bookmarkStart w:id="227" w:name="_Toc341"/>
      <w:bookmarkStart w:id="228" w:name="_Toc27427"/>
      <w:r>
        <w:rPr>
          <w:rFonts w:hint="eastAsia" w:ascii="宋体" w:hAnsi="宋体" w:eastAsia="宋体" w:cs="宋体"/>
          <w:color w:val="auto"/>
          <w:lang w:val="en-US" w:eastAsia="zh-CN"/>
        </w:rPr>
        <w:t>5</w:t>
      </w:r>
      <w:r>
        <w:rPr>
          <w:rFonts w:hint="eastAsia" w:ascii="宋体" w:hAnsi="宋体" w:eastAsia="宋体" w:cs="宋体"/>
          <w:color w:val="auto"/>
        </w:rPr>
        <w:t>.4 评分</w:t>
      </w:r>
      <w:bookmarkEnd w:id="227"/>
      <w:bookmarkEnd w:id="228"/>
    </w:p>
    <w:p w14:paraId="20346C40">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评审小组成员按照评分标准独立对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的商务、技术和其他因素进行评分。报价评分由评审小组统一计算。各项得分汇总后为该成员给</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的评分总分。评分分值计算保留小数点后两位，小数点后第三位</w:t>
      </w:r>
      <w:r>
        <w:rPr>
          <w:rFonts w:hint="eastAsia" w:ascii="宋体" w:hAnsi="宋体" w:eastAsia="宋体" w:cs="宋体"/>
          <w:color w:val="auto"/>
          <w:sz w:val="24"/>
          <w:lang w:val="zh-CN" w:eastAsia="zh-CN" w:bidi="zh-CN"/>
        </w:rPr>
        <w:t>“四</w:t>
      </w:r>
      <w:r>
        <w:rPr>
          <w:rFonts w:hint="eastAsia" w:ascii="宋体" w:hAnsi="宋体" w:eastAsia="宋体" w:cs="宋体"/>
          <w:color w:val="auto"/>
          <w:sz w:val="24"/>
        </w:rPr>
        <w:t>舍五入”。</w:t>
      </w:r>
    </w:p>
    <w:p w14:paraId="3586087F">
      <w:pPr>
        <w:pStyle w:val="5"/>
        <w:pageBreakBefore w:val="0"/>
        <w:kinsoku/>
        <w:overflowPunct/>
        <w:topLinePunct w:val="0"/>
        <w:bidi w:val="0"/>
        <w:snapToGrid/>
        <w:spacing w:line="360" w:lineRule="auto"/>
        <w:rPr>
          <w:rFonts w:hint="eastAsia" w:ascii="宋体" w:hAnsi="宋体" w:eastAsia="宋体" w:cs="宋体"/>
          <w:color w:val="auto"/>
        </w:rPr>
      </w:pPr>
      <w:bookmarkStart w:id="229" w:name="_Toc1435"/>
      <w:bookmarkStart w:id="230" w:name="_Toc1554"/>
      <w:r>
        <w:rPr>
          <w:rFonts w:hint="eastAsia" w:ascii="宋体" w:hAnsi="宋体" w:eastAsia="宋体" w:cs="宋体"/>
          <w:color w:val="auto"/>
          <w:lang w:val="en-US" w:eastAsia="zh-CN"/>
        </w:rPr>
        <w:t>5</w:t>
      </w:r>
      <w:r>
        <w:rPr>
          <w:rFonts w:hint="eastAsia" w:ascii="宋体" w:hAnsi="宋体" w:eastAsia="宋体" w:cs="宋体"/>
          <w:color w:val="auto"/>
        </w:rPr>
        <w:t>.5 汇总</w:t>
      </w:r>
      <w:bookmarkEnd w:id="229"/>
      <w:bookmarkEnd w:id="230"/>
    </w:p>
    <w:p w14:paraId="2C37EA15">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评审小组汇总每个成员对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的评分总分，每个</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的评分总分的算术平均 值为</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最终得分。</w:t>
      </w:r>
    </w:p>
    <w:p w14:paraId="00BBCE1A">
      <w:pPr>
        <w:pStyle w:val="5"/>
        <w:pageBreakBefore w:val="0"/>
        <w:kinsoku/>
        <w:overflowPunct/>
        <w:topLinePunct w:val="0"/>
        <w:bidi w:val="0"/>
        <w:snapToGrid/>
        <w:spacing w:line="360" w:lineRule="auto"/>
        <w:rPr>
          <w:rFonts w:hint="eastAsia" w:ascii="宋体" w:hAnsi="宋体" w:eastAsia="宋体" w:cs="宋体"/>
          <w:color w:val="auto"/>
        </w:rPr>
      </w:pPr>
      <w:bookmarkStart w:id="231" w:name="_Toc21292"/>
      <w:bookmarkStart w:id="232" w:name="_Toc26574"/>
      <w:r>
        <w:rPr>
          <w:rFonts w:hint="eastAsia" w:ascii="宋体" w:hAnsi="宋体" w:eastAsia="宋体" w:cs="宋体"/>
          <w:color w:val="auto"/>
          <w:lang w:val="en-US" w:eastAsia="zh-CN"/>
        </w:rPr>
        <w:t>5</w:t>
      </w:r>
      <w:r>
        <w:rPr>
          <w:rFonts w:hint="eastAsia" w:ascii="宋体" w:hAnsi="宋体" w:eastAsia="宋体" w:cs="宋体"/>
          <w:color w:val="auto"/>
        </w:rPr>
        <w:t>.6 排序</w:t>
      </w:r>
      <w:bookmarkEnd w:id="231"/>
      <w:bookmarkEnd w:id="232"/>
    </w:p>
    <w:p w14:paraId="3A55D62E">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评审小组对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最终得分进行比较后，可以按照</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最终得分由高到低的顺 序对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排序。最终得分相等时，以评审价格低的优先；评审价格也相等的，以技术得分高的优先；如果技术得分也相等，按照评审办法前附表的规定确定</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优先顺序。</w:t>
      </w:r>
    </w:p>
    <w:p w14:paraId="6850FE53">
      <w:pPr>
        <w:pStyle w:val="5"/>
        <w:pageBreakBefore w:val="0"/>
        <w:kinsoku/>
        <w:overflowPunct/>
        <w:topLinePunct w:val="0"/>
        <w:bidi w:val="0"/>
        <w:snapToGrid/>
        <w:spacing w:line="360" w:lineRule="auto"/>
        <w:rPr>
          <w:rFonts w:hint="eastAsia" w:ascii="宋体" w:hAnsi="宋体" w:eastAsia="宋体" w:cs="宋体"/>
          <w:color w:val="auto"/>
        </w:rPr>
      </w:pPr>
      <w:bookmarkStart w:id="233" w:name="bookmark1125"/>
      <w:bookmarkStart w:id="234" w:name="bookmark1126"/>
      <w:bookmarkStart w:id="235" w:name="_Toc5560"/>
      <w:bookmarkStart w:id="236" w:name="_Toc14385"/>
      <w:bookmarkStart w:id="237" w:name="bookmark1124"/>
      <w:r>
        <w:rPr>
          <w:rFonts w:hint="eastAsia" w:ascii="宋体" w:hAnsi="宋体" w:eastAsia="宋体" w:cs="宋体"/>
          <w:color w:val="auto"/>
          <w:lang w:val="en-US" w:eastAsia="zh-CN"/>
        </w:rPr>
        <w:t>5</w:t>
      </w:r>
      <w:r>
        <w:rPr>
          <w:rFonts w:hint="eastAsia" w:ascii="宋体" w:hAnsi="宋体" w:eastAsia="宋体" w:cs="宋体"/>
          <w:color w:val="auto"/>
        </w:rPr>
        <w:t>.7 特殊情形处理</w:t>
      </w:r>
      <w:bookmarkEnd w:id="233"/>
      <w:bookmarkEnd w:id="234"/>
      <w:bookmarkEnd w:id="235"/>
      <w:bookmarkEnd w:id="236"/>
      <w:bookmarkEnd w:id="237"/>
    </w:p>
    <w:p w14:paraId="22F9A807">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当通过初步评审的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数量未超过询比采购公告/询比采购邀请书第</w:t>
      </w:r>
      <w:r>
        <w:rPr>
          <w:rFonts w:hint="eastAsia" w:ascii="宋体" w:hAnsi="宋体" w:eastAsia="宋体" w:cs="宋体"/>
          <w:color w:val="auto"/>
          <w:sz w:val="24"/>
          <w:lang w:val="en-US" w:eastAsia="zh-CN" w:bidi="en-US"/>
        </w:rPr>
        <w:t>1.</w:t>
      </w:r>
      <w:r>
        <w:rPr>
          <w:rFonts w:hint="eastAsia" w:ascii="宋体" w:hAnsi="宋体" w:eastAsia="宋体" w:cs="宋体"/>
          <w:color w:val="auto"/>
          <w:sz w:val="24"/>
        </w:rPr>
        <w:t>6款规定 的成交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数量、评审小组认为</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的响应报价合理且物有所值时，不再进行详 细评审，直接推荐上述</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为候选成交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p>
    <w:p w14:paraId="7ECDD256">
      <w:pPr>
        <w:pStyle w:val="4"/>
        <w:pageBreakBefore w:val="0"/>
        <w:kinsoku/>
        <w:overflowPunct/>
        <w:topLinePunct w:val="0"/>
        <w:bidi w:val="0"/>
        <w:snapToGrid/>
        <w:spacing w:line="360" w:lineRule="auto"/>
        <w:jc w:val="both"/>
        <w:rPr>
          <w:rFonts w:hint="eastAsia" w:ascii="宋体" w:hAnsi="宋体" w:eastAsia="宋体" w:cs="宋体"/>
          <w:color w:val="auto"/>
        </w:rPr>
      </w:pPr>
      <w:bookmarkStart w:id="238" w:name="bookmark1129"/>
      <w:bookmarkStart w:id="239" w:name="bookmark1127"/>
      <w:bookmarkStart w:id="240" w:name="_Toc21999"/>
      <w:bookmarkStart w:id="241" w:name="_Toc1478"/>
      <w:bookmarkStart w:id="242" w:name="bookmark1128"/>
      <w:r>
        <w:rPr>
          <w:rFonts w:hint="eastAsia" w:ascii="宋体" w:hAnsi="宋体" w:cs="宋体"/>
          <w:color w:val="auto"/>
          <w:lang w:val="en-US" w:eastAsia="zh-CN"/>
        </w:rPr>
        <w:t>6</w:t>
      </w:r>
      <w:r>
        <w:rPr>
          <w:rFonts w:hint="eastAsia" w:ascii="宋体" w:hAnsi="宋体" w:eastAsia="宋体" w:cs="宋体"/>
          <w:color w:val="auto"/>
        </w:rPr>
        <w:t>评审结果</w:t>
      </w:r>
      <w:bookmarkEnd w:id="238"/>
      <w:bookmarkEnd w:id="239"/>
      <w:bookmarkEnd w:id="240"/>
      <w:bookmarkEnd w:id="241"/>
      <w:bookmarkEnd w:id="242"/>
    </w:p>
    <w:p w14:paraId="3D58F882">
      <w:pPr>
        <w:pStyle w:val="43"/>
        <w:kinsoku/>
        <w:wordWrap/>
        <w:overflowPunct/>
        <w:topLinePunct w:val="0"/>
        <w:autoSpaceDE/>
        <w:autoSpaceDN/>
        <w:bidi w:val="0"/>
        <w:spacing w:line="360" w:lineRule="auto"/>
        <w:ind w:left="0" w:leftChars="0" w:firstLine="0" w:firstLineChars="0"/>
        <w:rPr>
          <w:rFonts w:hint="eastAsia" w:ascii="宋体" w:hAnsi="宋体" w:eastAsia="宋体" w:cs="宋体"/>
          <w:b/>
          <w:bCs w:val="0"/>
          <w:color w:val="auto"/>
          <w:kern w:val="2"/>
          <w:sz w:val="28"/>
          <w:szCs w:val="24"/>
          <w:lang w:val="en-US" w:eastAsia="zh-CN" w:bidi="ar-SA"/>
        </w:rPr>
      </w:pPr>
      <w:bookmarkStart w:id="243" w:name="bookmark1132"/>
      <w:bookmarkStart w:id="244" w:name="bookmark1131"/>
      <w:bookmarkStart w:id="245" w:name="bookmark1130"/>
      <w:r>
        <w:rPr>
          <w:rFonts w:hint="eastAsia" w:cs="宋体"/>
          <w:b/>
          <w:bCs w:val="0"/>
          <w:color w:val="auto"/>
          <w:kern w:val="2"/>
          <w:sz w:val="28"/>
          <w:szCs w:val="24"/>
          <w:lang w:val="en-US" w:eastAsia="zh-CN" w:bidi="ar-SA"/>
        </w:rPr>
        <w:t>6</w:t>
      </w:r>
      <w:r>
        <w:rPr>
          <w:rFonts w:hint="eastAsia" w:ascii="宋体" w:hAnsi="宋体" w:eastAsia="宋体" w:cs="宋体"/>
          <w:b/>
          <w:bCs w:val="0"/>
          <w:color w:val="auto"/>
          <w:kern w:val="2"/>
          <w:sz w:val="28"/>
          <w:szCs w:val="24"/>
          <w:lang w:val="en-US" w:eastAsia="en-US" w:bidi="ar-SA"/>
        </w:rPr>
        <w:t>.1</w:t>
      </w:r>
      <w:r>
        <w:rPr>
          <w:rFonts w:hint="eastAsia" w:ascii="宋体" w:hAnsi="宋体" w:eastAsia="宋体" w:cs="宋体"/>
          <w:b/>
          <w:bCs w:val="0"/>
          <w:color w:val="auto"/>
          <w:kern w:val="2"/>
          <w:sz w:val="28"/>
          <w:szCs w:val="24"/>
          <w:lang w:val="en-US" w:eastAsia="zh-CN" w:bidi="ar-SA"/>
        </w:rPr>
        <w:t>提交书面评审报告</w:t>
      </w:r>
      <w:bookmarkEnd w:id="243"/>
      <w:bookmarkEnd w:id="244"/>
      <w:bookmarkEnd w:id="245"/>
    </w:p>
    <w:p w14:paraId="47F4EFC6">
      <w:pPr>
        <w:pStyle w:val="39"/>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right="0" w:firstLine="500"/>
        <w:jc w:val="both"/>
        <w:textAlignment w:val="auto"/>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评审小组完成评审后，应当向</w:t>
      </w:r>
      <w:r>
        <w:rPr>
          <w:rFonts w:hint="eastAsia" w:cs="宋体"/>
          <w:color w:val="auto"/>
          <w:spacing w:val="0"/>
          <w:w w:val="100"/>
          <w:position w:val="0"/>
          <w:sz w:val="24"/>
          <w:szCs w:val="24"/>
          <w:lang w:eastAsia="zh-CN"/>
        </w:rPr>
        <w:t>采购人</w:t>
      </w:r>
      <w:r>
        <w:rPr>
          <w:rFonts w:hint="eastAsia" w:ascii="宋体" w:hAnsi="宋体" w:eastAsia="宋体" w:cs="宋体"/>
          <w:color w:val="auto"/>
          <w:spacing w:val="0"/>
          <w:w w:val="100"/>
          <w:position w:val="0"/>
          <w:sz w:val="24"/>
          <w:szCs w:val="24"/>
        </w:rPr>
        <w:t>提交书面评审报告。</w:t>
      </w:r>
    </w:p>
    <w:p w14:paraId="63F76C16">
      <w:pPr>
        <w:pStyle w:val="43"/>
        <w:kinsoku/>
        <w:wordWrap/>
        <w:overflowPunct/>
        <w:topLinePunct w:val="0"/>
        <w:autoSpaceDE/>
        <w:autoSpaceDN/>
        <w:bidi w:val="0"/>
        <w:spacing w:line="360" w:lineRule="auto"/>
        <w:ind w:left="0" w:leftChars="0" w:firstLine="0" w:firstLineChars="0"/>
        <w:rPr>
          <w:rFonts w:hint="eastAsia" w:ascii="宋体" w:hAnsi="宋体" w:eastAsia="宋体" w:cs="宋体"/>
          <w:b/>
          <w:bCs/>
          <w:color w:val="auto"/>
          <w:sz w:val="24"/>
          <w:szCs w:val="24"/>
        </w:rPr>
      </w:pPr>
      <w:bookmarkStart w:id="246" w:name="bookmark1135"/>
      <w:bookmarkEnd w:id="246"/>
      <w:bookmarkStart w:id="247" w:name="bookmark1136"/>
      <w:bookmarkStart w:id="248" w:name="bookmark1133"/>
      <w:bookmarkStart w:id="249" w:name="bookmark1134"/>
      <w:r>
        <w:rPr>
          <w:rFonts w:hint="eastAsia" w:cs="宋体"/>
          <w:b/>
          <w:bCs/>
          <w:color w:val="auto"/>
          <w:spacing w:val="0"/>
          <w:w w:val="100"/>
          <w:position w:val="0"/>
          <w:sz w:val="24"/>
          <w:szCs w:val="24"/>
          <w:lang w:val="en-US" w:eastAsia="zh-CN"/>
        </w:rPr>
        <w:t>6</w:t>
      </w:r>
      <w:r>
        <w:rPr>
          <w:rFonts w:hint="eastAsia" w:ascii="宋体" w:hAnsi="宋体" w:eastAsia="宋体" w:cs="宋体"/>
          <w:b/>
          <w:bCs/>
          <w:color w:val="auto"/>
          <w:spacing w:val="0"/>
          <w:w w:val="100"/>
          <w:position w:val="0"/>
          <w:sz w:val="24"/>
          <w:szCs w:val="24"/>
          <w:lang w:val="en-US" w:eastAsia="zh-CN"/>
        </w:rPr>
        <w:t>.</w:t>
      </w:r>
      <w:r>
        <w:rPr>
          <w:rFonts w:hint="eastAsia" w:ascii="宋体" w:hAnsi="宋体" w:eastAsia="宋体" w:cs="宋体"/>
          <w:b/>
          <w:bCs/>
          <w:color w:val="auto"/>
          <w:spacing w:val="0"/>
          <w:w w:val="100"/>
          <w:position w:val="0"/>
          <w:sz w:val="24"/>
          <w:szCs w:val="24"/>
        </w:rPr>
        <w:t>2推荐候选成交</w:t>
      </w:r>
      <w:r>
        <w:rPr>
          <w:rFonts w:hint="eastAsia" w:ascii="宋体" w:hAnsi="宋体" w:eastAsia="宋体" w:cs="宋体"/>
          <w:b/>
          <w:bCs/>
          <w:color w:val="auto"/>
          <w:spacing w:val="0"/>
          <w:w w:val="100"/>
          <w:position w:val="0"/>
          <w:sz w:val="24"/>
          <w:szCs w:val="24"/>
          <w:lang w:eastAsia="zh-CN"/>
        </w:rPr>
        <w:t>询比响应人</w:t>
      </w:r>
      <w:r>
        <w:rPr>
          <w:rFonts w:hint="eastAsia" w:ascii="宋体" w:hAnsi="宋体" w:eastAsia="宋体" w:cs="宋体"/>
          <w:b/>
          <w:bCs/>
          <w:color w:val="auto"/>
          <w:spacing w:val="0"/>
          <w:w w:val="100"/>
          <w:position w:val="0"/>
          <w:sz w:val="24"/>
          <w:szCs w:val="24"/>
        </w:rPr>
        <w:t>排序要求及数量</w:t>
      </w:r>
      <w:bookmarkEnd w:id="247"/>
      <w:bookmarkEnd w:id="248"/>
      <w:bookmarkEnd w:id="249"/>
    </w:p>
    <w:p w14:paraId="1A72C885">
      <w:pPr>
        <w:pStyle w:val="39"/>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left="0" w:right="0" w:firstLine="500"/>
        <w:jc w:val="both"/>
        <w:textAlignment w:val="auto"/>
        <w:rPr>
          <w:rFonts w:hint="eastAsia" w:ascii="宋体" w:hAnsi="宋体" w:eastAsia="宋体" w:cs="宋体"/>
          <w:color w:val="auto"/>
          <w:spacing w:val="0"/>
          <w:w w:val="100"/>
          <w:position w:val="0"/>
          <w:sz w:val="24"/>
          <w:szCs w:val="24"/>
        </w:rPr>
      </w:pPr>
      <w:r>
        <w:rPr>
          <w:rFonts w:hint="eastAsia" w:ascii="宋体" w:hAnsi="宋体" w:eastAsia="宋体" w:cs="宋体"/>
          <w:color w:val="auto"/>
          <w:spacing w:val="0"/>
          <w:w w:val="100"/>
          <w:position w:val="0"/>
          <w:sz w:val="24"/>
          <w:szCs w:val="24"/>
        </w:rPr>
        <w:t>评审小组应在书面评审报告中按照</w:t>
      </w:r>
      <w:r>
        <w:rPr>
          <w:rFonts w:hint="eastAsia" w:ascii="宋体" w:hAnsi="宋体" w:eastAsia="宋体" w:cs="宋体"/>
          <w:color w:val="auto"/>
          <w:spacing w:val="0"/>
          <w:w w:val="100"/>
          <w:position w:val="0"/>
          <w:sz w:val="24"/>
          <w:szCs w:val="24"/>
          <w:lang w:eastAsia="zh-CN"/>
        </w:rPr>
        <w:t>询比响应人</w:t>
      </w:r>
      <w:r>
        <w:rPr>
          <w:rFonts w:hint="eastAsia" w:ascii="宋体" w:hAnsi="宋体" w:eastAsia="宋体" w:cs="宋体"/>
          <w:color w:val="auto"/>
          <w:spacing w:val="0"/>
          <w:w w:val="100"/>
          <w:position w:val="0"/>
          <w:sz w:val="24"/>
          <w:szCs w:val="24"/>
        </w:rPr>
        <w:t>排列的优先顺序向</w:t>
      </w:r>
      <w:r>
        <w:rPr>
          <w:rFonts w:hint="eastAsia" w:cs="宋体"/>
          <w:color w:val="auto"/>
          <w:spacing w:val="0"/>
          <w:w w:val="100"/>
          <w:position w:val="0"/>
          <w:sz w:val="24"/>
          <w:szCs w:val="24"/>
          <w:lang w:eastAsia="zh-CN"/>
        </w:rPr>
        <w:t>采购人</w:t>
      </w:r>
      <w:r>
        <w:rPr>
          <w:rFonts w:hint="eastAsia" w:ascii="宋体" w:hAnsi="宋体" w:eastAsia="宋体" w:cs="宋体"/>
          <w:color w:val="auto"/>
          <w:spacing w:val="0"/>
          <w:w w:val="100"/>
          <w:position w:val="0"/>
          <w:sz w:val="24"/>
          <w:szCs w:val="24"/>
        </w:rPr>
        <w:t>推荐候选成交</w:t>
      </w:r>
      <w:r>
        <w:rPr>
          <w:rFonts w:hint="eastAsia" w:cs="宋体"/>
          <w:color w:val="auto"/>
          <w:spacing w:val="0"/>
          <w:w w:val="100"/>
          <w:position w:val="0"/>
          <w:sz w:val="24"/>
          <w:szCs w:val="24"/>
          <w:lang w:eastAsia="zh-CN"/>
        </w:rPr>
        <w:t>投标人</w:t>
      </w:r>
      <w:r>
        <w:rPr>
          <w:rFonts w:hint="eastAsia" w:cs="宋体"/>
          <w:color w:val="auto"/>
          <w:spacing w:val="0"/>
          <w:w w:val="100"/>
          <w:position w:val="0"/>
          <w:sz w:val="24"/>
          <w:szCs w:val="24"/>
          <w:lang w:val="en-US" w:eastAsia="zh-CN"/>
        </w:rPr>
        <w:t>,且</w:t>
      </w:r>
      <w:r>
        <w:rPr>
          <w:rFonts w:hint="eastAsia" w:ascii="宋体" w:hAnsi="宋体" w:eastAsia="宋体" w:cs="宋体"/>
          <w:color w:val="auto"/>
          <w:spacing w:val="0"/>
          <w:w w:val="100"/>
          <w:position w:val="0"/>
          <w:sz w:val="24"/>
          <w:szCs w:val="24"/>
        </w:rPr>
        <w:t>成交</w:t>
      </w:r>
      <w:r>
        <w:rPr>
          <w:rFonts w:hint="eastAsia" w:cs="宋体"/>
          <w:color w:val="auto"/>
          <w:spacing w:val="0"/>
          <w:w w:val="100"/>
          <w:position w:val="0"/>
          <w:sz w:val="24"/>
          <w:szCs w:val="24"/>
          <w:lang w:eastAsia="zh-CN"/>
        </w:rPr>
        <w:t>投标人</w:t>
      </w:r>
      <w:r>
        <w:rPr>
          <w:rFonts w:hint="eastAsia" w:cs="宋体"/>
          <w:color w:val="auto"/>
          <w:spacing w:val="0"/>
          <w:w w:val="100"/>
          <w:position w:val="0"/>
          <w:sz w:val="24"/>
          <w:szCs w:val="24"/>
          <w:lang w:val="en-US" w:eastAsia="zh-CN"/>
        </w:rPr>
        <w:t>由</w:t>
      </w:r>
      <w:r>
        <w:rPr>
          <w:rFonts w:hint="eastAsia" w:ascii="宋体" w:hAnsi="宋体" w:eastAsia="宋体" w:cs="宋体"/>
          <w:color w:val="auto"/>
          <w:spacing w:val="0"/>
          <w:w w:val="100"/>
          <w:position w:val="0"/>
          <w:sz w:val="24"/>
          <w:szCs w:val="24"/>
        </w:rPr>
        <w:t>评审小组</w:t>
      </w:r>
      <w:r>
        <w:rPr>
          <w:rFonts w:hint="eastAsia" w:cs="宋体"/>
          <w:color w:val="auto"/>
          <w:spacing w:val="0"/>
          <w:w w:val="100"/>
          <w:position w:val="0"/>
          <w:sz w:val="24"/>
          <w:szCs w:val="24"/>
          <w:lang w:eastAsia="zh-CN"/>
        </w:rPr>
        <w:t>直接确认</w:t>
      </w:r>
      <w:r>
        <w:rPr>
          <w:rFonts w:hint="eastAsia" w:ascii="宋体" w:hAnsi="宋体" w:eastAsia="宋体" w:cs="宋体"/>
          <w:color w:val="auto"/>
          <w:spacing w:val="0"/>
          <w:w w:val="100"/>
          <w:position w:val="0"/>
          <w:sz w:val="24"/>
          <w:szCs w:val="24"/>
        </w:rPr>
        <w:t>。</w:t>
      </w:r>
    </w:p>
    <w:p w14:paraId="1DB2E610">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候选成交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的排序要求及数量见第二章</w:t>
      </w:r>
      <w:r>
        <w:rPr>
          <w:rFonts w:hint="eastAsia" w:ascii="宋体" w:hAnsi="宋体" w:eastAsia="宋体" w:cs="宋体"/>
          <w:color w:val="auto"/>
          <w:sz w:val="24"/>
          <w:lang w:val="zh-CN" w:eastAsia="zh-CN" w:bidi="zh-CN"/>
        </w:rPr>
        <w:t>“询比响应人</w:t>
      </w:r>
      <w:r>
        <w:rPr>
          <w:rFonts w:hint="eastAsia" w:ascii="宋体" w:hAnsi="宋体" w:eastAsia="宋体" w:cs="宋体"/>
          <w:color w:val="auto"/>
          <w:sz w:val="24"/>
        </w:rPr>
        <w:t>须知”。</w:t>
      </w:r>
    </w:p>
    <w:p w14:paraId="13A6076E">
      <w:pPr>
        <w:pStyle w:val="4"/>
        <w:pageBreakBefore w:val="0"/>
        <w:kinsoku/>
        <w:overflowPunct/>
        <w:topLinePunct w:val="0"/>
        <w:bidi w:val="0"/>
        <w:snapToGrid/>
        <w:spacing w:line="360" w:lineRule="auto"/>
        <w:jc w:val="both"/>
        <w:rPr>
          <w:rFonts w:hint="eastAsia" w:ascii="宋体" w:hAnsi="宋体" w:eastAsia="宋体" w:cs="宋体"/>
          <w:color w:val="auto"/>
        </w:rPr>
      </w:pPr>
      <w:bookmarkStart w:id="250" w:name="_Toc6352"/>
      <w:bookmarkStart w:id="251" w:name="bookmark1137"/>
      <w:bookmarkStart w:id="252" w:name="_Toc17060"/>
      <w:bookmarkStart w:id="253" w:name="bookmark1138"/>
      <w:bookmarkStart w:id="254" w:name="bookmark1139"/>
      <w:r>
        <w:rPr>
          <w:rFonts w:hint="eastAsia" w:ascii="宋体" w:hAnsi="宋体" w:cs="宋体"/>
          <w:color w:val="auto"/>
          <w:lang w:val="en-US" w:eastAsia="zh-CN"/>
        </w:rPr>
        <w:t>7</w:t>
      </w:r>
      <w:r>
        <w:rPr>
          <w:rFonts w:hint="eastAsia" w:ascii="宋体" w:hAnsi="宋体" w:eastAsia="宋体" w:cs="宋体"/>
          <w:color w:val="auto"/>
        </w:rPr>
        <w:t>直接转换采购方式评审程序</w:t>
      </w:r>
      <w:bookmarkEnd w:id="250"/>
      <w:bookmarkEnd w:id="251"/>
      <w:bookmarkEnd w:id="252"/>
      <w:bookmarkEnd w:id="253"/>
      <w:bookmarkEnd w:id="254"/>
    </w:p>
    <w:p w14:paraId="66415609">
      <w:pPr>
        <w:pStyle w:val="5"/>
        <w:pageBreakBefore w:val="0"/>
        <w:kinsoku/>
        <w:overflowPunct/>
        <w:topLinePunct w:val="0"/>
        <w:bidi w:val="0"/>
        <w:snapToGrid/>
        <w:spacing w:line="360" w:lineRule="auto"/>
        <w:rPr>
          <w:rFonts w:hint="eastAsia" w:ascii="宋体" w:hAnsi="宋体" w:eastAsia="宋体" w:cs="宋体"/>
          <w:color w:val="auto"/>
        </w:rPr>
      </w:pPr>
      <w:bookmarkStart w:id="255" w:name="bookmark1141"/>
      <w:bookmarkStart w:id="256" w:name="_Toc16821"/>
      <w:bookmarkStart w:id="257" w:name="bookmark1140"/>
      <w:bookmarkStart w:id="258" w:name="bookmark1142"/>
      <w:bookmarkStart w:id="259" w:name="_Toc28521"/>
      <w:r>
        <w:rPr>
          <w:rFonts w:hint="eastAsia" w:ascii="宋体" w:hAnsi="宋体" w:eastAsia="宋体" w:cs="宋体"/>
          <w:color w:val="auto"/>
          <w:lang w:val="en-US" w:eastAsia="zh-CN"/>
        </w:rPr>
        <w:t>7</w:t>
      </w:r>
      <w:r>
        <w:rPr>
          <w:rFonts w:hint="eastAsia" w:ascii="宋体" w:hAnsi="宋体" w:eastAsia="宋体" w:cs="宋体"/>
          <w:color w:val="auto"/>
        </w:rPr>
        <w:t>.1初步评审</w:t>
      </w:r>
      <w:bookmarkEnd w:id="255"/>
      <w:bookmarkEnd w:id="256"/>
      <w:bookmarkEnd w:id="257"/>
      <w:bookmarkEnd w:id="258"/>
      <w:bookmarkEnd w:id="259"/>
    </w:p>
    <w:p w14:paraId="141C17AB">
      <w:pPr>
        <w:pStyle w:val="39"/>
        <w:pageBreakBefore w:val="0"/>
        <w:tabs>
          <w:tab w:val="left" w:pos="368"/>
        </w:tabs>
        <w:kinsoku/>
        <w:overflowPunct/>
        <w:topLinePunct w:val="0"/>
        <w:bidi w:val="0"/>
        <w:snapToGrid/>
        <w:spacing w:line="360" w:lineRule="auto"/>
        <w:rPr>
          <w:rFonts w:hint="eastAsia" w:ascii="宋体" w:hAnsi="宋体" w:eastAsia="宋体" w:cs="宋体"/>
          <w:color w:val="auto"/>
          <w:sz w:val="24"/>
        </w:rPr>
      </w:pPr>
      <w:bookmarkStart w:id="260" w:name="bookmark1143"/>
      <w:bookmarkEnd w:id="260"/>
      <w:r>
        <w:rPr>
          <w:rFonts w:hint="eastAsia" w:cs="宋体"/>
          <w:color w:val="auto"/>
          <w:sz w:val="24"/>
          <w:lang w:val="en-US" w:eastAsia="zh-CN" w:bidi="en-US"/>
        </w:rPr>
        <w:t>7</w:t>
      </w:r>
      <w:r>
        <w:rPr>
          <w:rFonts w:hint="eastAsia" w:ascii="宋体" w:hAnsi="宋体" w:eastAsia="宋体" w:cs="宋体"/>
          <w:color w:val="auto"/>
          <w:sz w:val="24"/>
          <w:lang w:val="en-US" w:eastAsia="zh-CN" w:bidi="en-US"/>
        </w:rPr>
        <w:t>.1.</w:t>
      </w:r>
      <w:r>
        <w:rPr>
          <w:rFonts w:hint="eastAsia" w:ascii="宋体" w:hAnsi="宋体" w:eastAsia="宋体" w:cs="宋体"/>
          <w:color w:val="auto"/>
          <w:sz w:val="24"/>
        </w:rPr>
        <w:t>1评审小组依据本章第</w:t>
      </w:r>
      <w:r>
        <w:rPr>
          <w:rFonts w:hint="eastAsia" w:ascii="宋体" w:hAnsi="宋体" w:eastAsia="宋体" w:cs="宋体"/>
          <w:color w:val="auto"/>
          <w:sz w:val="24"/>
          <w:lang w:val="en-US" w:eastAsia="zh-CN" w:bidi="en-US"/>
        </w:rPr>
        <w:t>2.</w:t>
      </w:r>
      <w:r>
        <w:rPr>
          <w:rFonts w:hint="eastAsia" w:ascii="宋体" w:hAnsi="宋体" w:eastAsia="宋体" w:cs="宋体"/>
          <w:color w:val="auto"/>
          <w:sz w:val="24"/>
        </w:rPr>
        <w:t>1款规定的标准对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递交的响应文件进行初步评审，判断响应文件的形式是否符合要求，</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是否符合资格条件，响应文件是否实质性响应采购文件的要求。只有以上评审合格的响应文件才可通过初步评审。</w:t>
      </w:r>
    </w:p>
    <w:p w14:paraId="7A3DCD12">
      <w:pPr>
        <w:pStyle w:val="39"/>
        <w:pageBreakBefore w:val="0"/>
        <w:kinsoku/>
        <w:overflowPunct/>
        <w:topLinePunct w:val="0"/>
        <w:bidi w:val="0"/>
        <w:snapToGrid/>
        <w:spacing w:line="360" w:lineRule="auto"/>
        <w:rPr>
          <w:rFonts w:hint="eastAsia" w:ascii="宋体" w:hAnsi="宋体" w:eastAsia="宋体" w:cs="宋体"/>
          <w:color w:val="auto"/>
          <w:sz w:val="24"/>
        </w:rPr>
      </w:pPr>
      <w:r>
        <w:rPr>
          <w:rFonts w:hint="eastAsia" w:cs="宋体"/>
          <w:color w:val="auto"/>
          <w:sz w:val="24"/>
          <w:lang w:val="en-US" w:eastAsia="zh-CN" w:bidi="en-US"/>
        </w:rPr>
        <w:t>7</w:t>
      </w:r>
      <w:r>
        <w:rPr>
          <w:rFonts w:hint="eastAsia" w:ascii="宋体" w:hAnsi="宋体" w:eastAsia="宋体" w:cs="宋体"/>
          <w:color w:val="auto"/>
          <w:sz w:val="24"/>
          <w:lang w:val="en-US" w:eastAsia="zh-CN" w:bidi="en-US"/>
        </w:rPr>
        <w:t>.1.2</w:t>
      </w:r>
      <w:r>
        <w:rPr>
          <w:rFonts w:hint="eastAsia" w:ascii="宋体" w:hAnsi="宋体" w:eastAsia="宋体" w:cs="宋体"/>
          <w:color w:val="auto"/>
          <w:sz w:val="24"/>
        </w:rPr>
        <w:t>响应文件的形式或</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资格不符合采购文件的要求、响应文件未实质性响应采购文件的要求，或响应文件中有含义不明确、同类问题表述不一致或有明显文字和计算错误的内容，评审小组应要求</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在规定时间内进行澄清、说明和补正。供应商澄清、说明和补正的内容应由法定代表人（单位负责人）或其授权的代理人签字或加盖单位章。澄清、说明和补正的内容作为响应文件的组成部分。</w:t>
      </w:r>
    </w:p>
    <w:p w14:paraId="50D016EF">
      <w:pPr>
        <w:pStyle w:val="39"/>
        <w:pageBreakBefore w:val="0"/>
        <w:kinsoku/>
        <w:overflowPunct/>
        <w:topLinePunct w:val="0"/>
        <w:bidi w:val="0"/>
        <w:snapToGrid/>
        <w:spacing w:line="360" w:lineRule="auto"/>
        <w:rPr>
          <w:rFonts w:hint="eastAsia" w:ascii="宋体" w:hAnsi="宋体" w:eastAsia="宋体" w:cs="宋体"/>
          <w:color w:val="auto"/>
          <w:sz w:val="24"/>
        </w:rPr>
      </w:pPr>
      <w:r>
        <w:rPr>
          <w:rFonts w:hint="eastAsia" w:cs="宋体"/>
          <w:color w:val="auto"/>
          <w:sz w:val="24"/>
          <w:lang w:val="en-US" w:eastAsia="zh-CN" w:bidi="en-US"/>
        </w:rPr>
        <w:t>7</w:t>
      </w:r>
      <w:r>
        <w:rPr>
          <w:rFonts w:hint="eastAsia" w:ascii="宋体" w:hAnsi="宋体" w:eastAsia="宋体" w:cs="宋体"/>
          <w:color w:val="auto"/>
          <w:sz w:val="24"/>
          <w:lang w:val="en-US" w:eastAsia="zh-CN" w:bidi="en-US"/>
        </w:rPr>
        <w:t>.1.</w:t>
      </w:r>
      <w:r>
        <w:rPr>
          <w:rFonts w:hint="eastAsia" w:ascii="宋体" w:hAnsi="宋体" w:eastAsia="宋体" w:cs="宋体"/>
          <w:color w:val="auto"/>
          <w:sz w:val="24"/>
        </w:rPr>
        <w:t>3只有形式评审和资格评审合格且实质性响应采购文件要求的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才可通过初 步评审。经</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澄清、说明和补正后仍未通过初步评审的响应文件将被视为无效,评审小组应告知有关</w:t>
      </w: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p>
    <w:p w14:paraId="709F6828">
      <w:pPr>
        <w:pStyle w:val="39"/>
        <w:pageBreakBefore w:val="0"/>
        <w:kinsoku/>
        <w:overflowPunct/>
        <w:topLinePunct w:val="0"/>
        <w:bidi w:val="0"/>
        <w:snapToGrid/>
        <w:spacing w:line="360" w:lineRule="auto"/>
        <w:rPr>
          <w:rFonts w:hint="eastAsia" w:ascii="宋体" w:hAnsi="宋体" w:eastAsia="宋体" w:cs="宋体"/>
          <w:color w:val="auto"/>
          <w:sz w:val="24"/>
        </w:rPr>
      </w:pPr>
      <w:r>
        <w:rPr>
          <w:rFonts w:hint="eastAsia" w:cs="宋体"/>
          <w:color w:val="auto"/>
          <w:sz w:val="24"/>
          <w:lang w:val="en-US" w:eastAsia="zh-CN" w:bidi="en-US"/>
        </w:rPr>
        <w:t>7</w:t>
      </w:r>
      <w:r>
        <w:rPr>
          <w:rFonts w:hint="eastAsia" w:ascii="宋体" w:hAnsi="宋体" w:eastAsia="宋体" w:cs="宋体"/>
          <w:color w:val="auto"/>
          <w:sz w:val="24"/>
          <w:lang w:val="en-US" w:eastAsia="zh-CN" w:bidi="en-US"/>
        </w:rPr>
        <w:t>.1.4</w:t>
      </w:r>
      <w:r>
        <w:rPr>
          <w:rFonts w:hint="eastAsia" w:ascii="宋体" w:hAnsi="宋体" w:eastAsia="宋体" w:cs="宋体"/>
          <w:color w:val="auto"/>
          <w:sz w:val="24"/>
        </w:rPr>
        <w:t>当通过初步评审的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数量大于询比采购公告/询比釆购邀请书第</w:t>
      </w:r>
      <w:r>
        <w:rPr>
          <w:rFonts w:hint="eastAsia" w:ascii="宋体" w:hAnsi="宋体" w:eastAsia="宋体" w:cs="宋体"/>
          <w:color w:val="auto"/>
          <w:sz w:val="24"/>
          <w:lang w:val="en-US" w:eastAsia="zh-CN" w:bidi="en-US"/>
        </w:rPr>
        <w:t>1.6</w:t>
      </w:r>
      <w:r>
        <w:rPr>
          <w:rFonts w:hint="eastAsia" w:ascii="宋体" w:hAnsi="宋体" w:eastAsia="宋体" w:cs="宋体"/>
          <w:color w:val="auto"/>
          <w:sz w:val="24"/>
        </w:rPr>
        <w:t>款规定的成交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数量时，可以改为参照谈判方式继续评审选择成交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p>
    <w:p w14:paraId="3C04719D">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当通过初步评审的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数量等于询比采购公告/询比采购邀请书第</w:t>
      </w:r>
      <w:r>
        <w:rPr>
          <w:rFonts w:hint="eastAsia" w:ascii="宋体" w:hAnsi="宋体" w:eastAsia="宋体" w:cs="宋体"/>
          <w:color w:val="auto"/>
          <w:sz w:val="24"/>
          <w:lang w:val="en-US" w:eastAsia="zh-CN" w:bidi="en-US"/>
        </w:rPr>
        <w:t xml:space="preserve">1- </w:t>
      </w:r>
      <w:r>
        <w:rPr>
          <w:rFonts w:hint="eastAsia" w:ascii="宋体" w:hAnsi="宋体" w:eastAsia="宋体" w:cs="宋体"/>
          <w:color w:val="auto"/>
          <w:sz w:val="24"/>
        </w:rPr>
        <w:t>6款规定的 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数量时，可以改为参照直接采购方式继续评审选择成交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p>
    <w:p w14:paraId="0BCCECAE">
      <w:pPr>
        <w:pStyle w:val="39"/>
        <w:pageBreakBefore w:val="0"/>
        <w:kinsoku/>
        <w:overflowPunct/>
        <w:topLinePunct w:val="0"/>
        <w:bidi w:val="0"/>
        <w:snapToGrid/>
        <w:spacing w:line="360" w:lineRule="auto"/>
        <w:ind w:firstLine="500"/>
        <w:rPr>
          <w:rFonts w:hint="eastAsia" w:ascii="宋体" w:hAnsi="宋体" w:eastAsia="宋体" w:cs="宋体"/>
          <w:color w:val="auto"/>
          <w:sz w:val="24"/>
        </w:rPr>
      </w:pPr>
      <w:r>
        <w:rPr>
          <w:rFonts w:hint="eastAsia" w:ascii="宋体" w:hAnsi="宋体" w:eastAsia="宋体" w:cs="宋体"/>
          <w:color w:val="auto"/>
          <w:sz w:val="24"/>
        </w:rPr>
        <w:t>当询比釆购公告/询比采购邀请书第</w:t>
      </w:r>
      <w:r>
        <w:rPr>
          <w:rFonts w:hint="eastAsia" w:ascii="宋体" w:hAnsi="宋体" w:eastAsia="宋体" w:cs="宋体"/>
          <w:color w:val="auto"/>
          <w:sz w:val="24"/>
          <w:lang w:val="en-US" w:eastAsia="zh-CN" w:bidi="en-US"/>
        </w:rPr>
        <w:t xml:space="preserve">1. </w:t>
      </w:r>
      <w:r>
        <w:rPr>
          <w:rFonts w:hint="eastAsia" w:ascii="宋体" w:hAnsi="宋体" w:eastAsia="宋体" w:cs="宋体"/>
          <w:color w:val="auto"/>
          <w:sz w:val="24"/>
        </w:rPr>
        <w:t>6款选择多家成交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，通过初步评审的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数量小于约定成交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数量且大于等于一家的，可以改为参照直接采购方式 继续评审选择一部分成交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，或者终止全部采购，重新组织采购选择全部成交供应商。</w:t>
      </w:r>
    </w:p>
    <w:p w14:paraId="717E2424">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初步评审后，当所有响应文件均无效时，应重新组织采购。</w:t>
      </w:r>
    </w:p>
    <w:p w14:paraId="24313654">
      <w:pPr>
        <w:pStyle w:val="5"/>
        <w:pageBreakBefore w:val="0"/>
        <w:kinsoku/>
        <w:overflowPunct/>
        <w:topLinePunct w:val="0"/>
        <w:bidi w:val="0"/>
        <w:snapToGrid/>
        <w:spacing w:line="360" w:lineRule="auto"/>
        <w:rPr>
          <w:rFonts w:hint="eastAsia" w:ascii="宋体" w:hAnsi="宋体" w:eastAsia="宋体" w:cs="宋体"/>
          <w:color w:val="auto"/>
        </w:rPr>
      </w:pPr>
      <w:bookmarkStart w:id="261" w:name="bookmark1145"/>
      <w:bookmarkStart w:id="262" w:name="_Toc19706"/>
      <w:bookmarkStart w:id="263" w:name="bookmark1144"/>
      <w:bookmarkStart w:id="264" w:name="_Toc12639"/>
      <w:bookmarkStart w:id="265" w:name="bookmark1146"/>
      <w:r>
        <w:rPr>
          <w:rFonts w:hint="eastAsia" w:ascii="宋体" w:hAnsi="宋体" w:eastAsia="宋体" w:cs="宋体"/>
          <w:color w:val="auto"/>
          <w:lang w:val="en-US" w:eastAsia="zh-CN"/>
        </w:rPr>
        <w:t>7</w:t>
      </w:r>
      <w:r>
        <w:rPr>
          <w:rFonts w:hint="eastAsia" w:ascii="宋体" w:hAnsi="宋体" w:eastAsia="宋体" w:cs="宋体"/>
          <w:color w:val="auto"/>
        </w:rPr>
        <w:t>.2 转换采购方式</w:t>
      </w:r>
      <w:bookmarkEnd w:id="261"/>
      <w:bookmarkEnd w:id="262"/>
      <w:bookmarkEnd w:id="263"/>
      <w:bookmarkEnd w:id="264"/>
      <w:bookmarkEnd w:id="265"/>
    </w:p>
    <w:p w14:paraId="7BED88A4">
      <w:pPr>
        <w:pStyle w:val="39"/>
        <w:pageBreakBefore w:val="0"/>
        <w:kinsoku/>
        <w:overflowPunct/>
        <w:topLinePunct w:val="0"/>
        <w:bidi w:val="0"/>
        <w:snapToGrid/>
        <w:spacing w:line="360" w:lineRule="auto"/>
        <w:ind w:firstLine="420"/>
        <w:rPr>
          <w:rFonts w:hint="eastAsia" w:ascii="宋体" w:hAnsi="宋体" w:eastAsia="宋体" w:cs="宋体"/>
          <w:color w:val="auto"/>
          <w:sz w:val="24"/>
        </w:rPr>
      </w:pPr>
      <w:r>
        <w:rPr>
          <w:rFonts w:hint="eastAsia" w:cs="宋体"/>
          <w:color w:val="auto"/>
          <w:sz w:val="24"/>
          <w:lang w:val="en-US" w:eastAsia="zh-CN" w:bidi="en-US"/>
        </w:rPr>
        <w:t>7</w:t>
      </w:r>
      <w:r>
        <w:rPr>
          <w:rFonts w:hint="eastAsia" w:ascii="宋体" w:hAnsi="宋体" w:eastAsia="宋体" w:cs="宋体"/>
          <w:color w:val="auto"/>
          <w:sz w:val="24"/>
          <w:lang w:val="en-US" w:eastAsia="zh-CN" w:bidi="en-US"/>
        </w:rPr>
        <w:t>.2.1</w:t>
      </w:r>
      <w:r>
        <w:rPr>
          <w:rFonts w:hint="eastAsia" w:ascii="宋体" w:hAnsi="宋体" w:eastAsia="宋体" w:cs="宋体"/>
          <w:color w:val="auto"/>
          <w:sz w:val="24"/>
        </w:rPr>
        <w:t>参照谈判釆购方式评审</w:t>
      </w:r>
    </w:p>
    <w:p w14:paraId="16362E6A">
      <w:pPr>
        <w:pStyle w:val="39"/>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w:t>
      </w:r>
      <w:r>
        <w:rPr>
          <w:rFonts w:hint="eastAsia" w:ascii="宋体" w:hAnsi="宋体" w:eastAsia="宋体" w:cs="宋体"/>
          <w:color w:val="auto"/>
          <w:sz w:val="24"/>
        </w:rPr>
        <w:t>谈判。</w:t>
      </w:r>
    </w:p>
    <w:p w14:paraId="7602DEC4">
      <w:pPr>
        <w:pStyle w:val="39"/>
        <w:pageBreakBefore w:val="0"/>
        <w:tabs>
          <w:tab w:val="left" w:pos="1281"/>
        </w:tabs>
        <w:kinsoku/>
        <w:overflowPunct/>
        <w:topLinePunct w:val="0"/>
        <w:bidi w:val="0"/>
        <w:snapToGrid/>
        <w:spacing w:line="360" w:lineRule="auto"/>
        <w:ind w:firstLine="500"/>
        <w:rPr>
          <w:rFonts w:hint="eastAsia" w:ascii="宋体" w:hAnsi="宋体" w:eastAsia="宋体" w:cs="宋体"/>
          <w:color w:val="auto"/>
          <w:sz w:val="24"/>
        </w:rPr>
      </w:pPr>
      <w:bookmarkStart w:id="266" w:name="bookmark1148"/>
      <w:r>
        <w:rPr>
          <w:rFonts w:hint="eastAsia" w:ascii="宋体" w:hAnsi="宋体" w:eastAsia="宋体" w:cs="宋体"/>
          <w:color w:val="auto"/>
          <w:sz w:val="24"/>
        </w:rPr>
        <w:t>1</w:t>
      </w:r>
      <w:bookmarkEnd w:id="266"/>
      <w:r>
        <w:rPr>
          <w:rFonts w:hint="eastAsia" w:ascii="宋体" w:hAnsi="宋体" w:eastAsia="宋体" w:cs="宋体"/>
          <w:color w:val="auto"/>
          <w:sz w:val="24"/>
        </w:rPr>
        <w:t>）评审小组应按照</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递交响应文件的顺序或评审小组抽签确定的顺序与通过初步评审的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逐一进行谈判。评审小组可以根据谈判情况决定谈判轮次，并给予所有参加谈判的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平等的谈判机会。在谈判过程中，评审小组可根据谈判情况修改和补充采购文件中的非实质性内容，但不得改变评审标准或可能影响初步评审结果的内容。</w:t>
      </w:r>
    </w:p>
    <w:p w14:paraId="4CEC6257">
      <w:pPr>
        <w:pStyle w:val="39"/>
        <w:pageBreakBefore w:val="0"/>
        <w:tabs>
          <w:tab w:val="left" w:pos="1281"/>
        </w:tabs>
        <w:kinsoku/>
        <w:overflowPunct/>
        <w:topLinePunct w:val="0"/>
        <w:bidi w:val="0"/>
        <w:snapToGrid/>
        <w:spacing w:line="360" w:lineRule="auto"/>
        <w:ind w:firstLine="500"/>
        <w:rPr>
          <w:rFonts w:hint="eastAsia" w:ascii="宋体" w:hAnsi="宋体" w:eastAsia="宋体" w:cs="宋体"/>
          <w:color w:val="auto"/>
          <w:sz w:val="24"/>
        </w:rPr>
      </w:pPr>
      <w:bookmarkStart w:id="267" w:name="bookmark1149"/>
      <w:r>
        <w:rPr>
          <w:rFonts w:hint="eastAsia" w:ascii="宋体" w:hAnsi="宋体" w:eastAsia="宋体" w:cs="宋体"/>
          <w:color w:val="auto"/>
          <w:sz w:val="24"/>
        </w:rPr>
        <w:t>2</w:t>
      </w:r>
      <w:bookmarkEnd w:id="267"/>
      <w:r>
        <w:rPr>
          <w:rFonts w:hint="eastAsia" w:ascii="宋体" w:hAnsi="宋体" w:eastAsia="宋体" w:cs="宋体"/>
          <w:color w:val="auto"/>
          <w:sz w:val="24"/>
        </w:rPr>
        <w:t>）</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的法定代表人（单位负责人）或其授权的代理人应参加谈判。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的法定代表人（单位负责人）或其授权的代理人在谈判中作岀的承诺构成响应文件的组成部分。</w:t>
      </w:r>
    </w:p>
    <w:p w14:paraId="4FFD8BAF">
      <w:pPr>
        <w:pStyle w:val="39"/>
        <w:pageBreakBefore w:val="0"/>
        <w:tabs>
          <w:tab w:val="left" w:pos="358"/>
        </w:tabs>
        <w:kinsoku/>
        <w:overflowPunct/>
        <w:topLinePunct w:val="0"/>
        <w:bidi w:val="0"/>
        <w:snapToGrid/>
        <w:spacing w:line="360" w:lineRule="auto"/>
        <w:ind w:firstLine="480" w:firstLineChars="200"/>
        <w:rPr>
          <w:rFonts w:hint="eastAsia" w:ascii="宋体" w:hAnsi="宋体" w:eastAsia="宋体" w:cs="宋体"/>
          <w:color w:val="auto"/>
          <w:sz w:val="24"/>
        </w:rPr>
      </w:pPr>
      <w:bookmarkStart w:id="268" w:name="bookmark1150"/>
      <w:r>
        <w:rPr>
          <w:rFonts w:hint="eastAsia" w:ascii="宋体" w:hAnsi="宋体" w:eastAsia="宋体" w:cs="宋体"/>
          <w:color w:val="auto"/>
          <w:sz w:val="24"/>
        </w:rPr>
        <w:t>3</w:t>
      </w:r>
      <w:bookmarkEnd w:id="268"/>
      <w:r>
        <w:rPr>
          <w:rFonts w:hint="eastAsia" w:ascii="宋体" w:hAnsi="宋体" w:eastAsia="宋体" w:cs="宋体"/>
          <w:color w:val="auto"/>
          <w:sz w:val="24"/>
        </w:rPr>
        <w:t>）谈判结束后，评审小组将要求所有参加谈判的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在规定时间内递交最终报价。最终报价应由</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的法定代表人（单位负责人）或其授权的代理人签字或加盖单位章。最终报价是</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响应文件的组成部分。</w:t>
      </w:r>
    </w:p>
    <w:p w14:paraId="028D66BB">
      <w:pPr>
        <w:pStyle w:val="39"/>
        <w:pageBreakBefore w:val="0"/>
        <w:tabs>
          <w:tab w:val="left" w:pos="1266"/>
        </w:tabs>
        <w:kinsoku/>
        <w:overflowPunct/>
        <w:topLinePunct w:val="0"/>
        <w:bidi w:val="0"/>
        <w:snapToGrid/>
        <w:spacing w:line="360" w:lineRule="auto"/>
        <w:ind w:firstLine="480" w:firstLineChars="200"/>
        <w:rPr>
          <w:rFonts w:hint="eastAsia" w:ascii="宋体" w:hAnsi="宋体" w:eastAsia="宋体" w:cs="宋体"/>
          <w:color w:val="auto"/>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公开开启最终报价。</w:t>
      </w:r>
    </w:p>
    <w:p w14:paraId="2E159830">
      <w:pPr>
        <w:pStyle w:val="39"/>
        <w:pageBreakBefore w:val="0"/>
        <w:kinsoku/>
        <w:overflowPunct/>
        <w:topLinePunct w:val="0"/>
        <w:bidi w:val="0"/>
        <w:snapToGrid/>
        <w:spacing w:line="360" w:lineRule="auto"/>
        <w:ind w:firstLine="500"/>
        <w:rPr>
          <w:rFonts w:hint="eastAsia" w:ascii="宋体" w:hAnsi="宋体" w:eastAsia="宋体" w:cs="宋体"/>
          <w:color w:val="auto"/>
        </w:rPr>
      </w:pPr>
      <w:r>
        <w:rPr>
          <w:rFonts w:hint="eastAsia" w:ascii="宋体" w:hAnsi="宋体" w:eastAsia="宋体" w:cs="宋体"/>
          <w:color w:val="auto"/>
          <w:sz w:val="24"/>
        </w:rPr>
        <w:t>评审小组将在递交最终报价的截止时间公开开启最终报价，</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未派代表参加开启会议的，视为默认开启结果。</w:t>
      </w:r>
    </w:p>
    <w:p w14:paraId="3A761F7A">
      <w:pPr>
        <w:pStyle w:val="39"/>
        <w:pageBreakBefore w:val="0"/>
        <w:tabs>
          <w:tab w:val="left" w:pos="1266"/>
        </w:tabs>
        <w:kinsoku/>
        <w:overflowPunct/>
        <w:topLinePunct w:val="0"/>
        <w:bidi w:val="0"/>
        <w:snapToGrid/>
        <w:spacing w:line="360" w:lineRule="auto"/>
        <w:ind w:firstLine="480" w:firstLineChars="200"/>
        <w:rPr>
          <w:rFonts w:hint="eastAsia" w:ascii="宋体" w:hAnsi="宋体" w:eastAsia="宋体" w:cs="宋体"/>
          <w:color w:val="auto"/>
        </w:rPr>
      </w:pPr>
      <w:bookmarkStart w:id="269" w:name="bookmark1152"/>
      <w:bookmarkEnd w:id="269"/>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详细评审。</w:t>
      </w:r>
    </w:p>
    <w:p w14:paraId="32033E73">
      <w:pPr>
        <w:pStyle w:val="39"/>
        <w:pageBreakBefore w:val="0"/>
        <w:kinsoku/>
        <w:overflowPunct/>
        <w:topLinePunct w:val="0"/>
        <w:bidi w:val="0"/>
        <w:snapToGrid/>
        <w:spacing w:line="360" w:lineRule="auto"/>
        <w:ind w:firstLine="500"/>
        <w:rPr>
          <w:rFonts w:hint="eastAsia" w:ascii="宋体" w:hAnsi="宋体" w:eastAsia="宋体" w:cs="宋体"/>
          <w:color w:val="auto"/>
        </w:rPr>
      </w:pPr>
      <w:r>
        <w:rPr>
          <w:rFonts w:hint="eastAsia" w:ascii="宋体" w:hAnsi="宋体" w:eastAsia="宋体" w:cs="宋体"/>
          <w:color w:val="auto"/>
          <w:sz w:val="24"/>
        </w:rPr>
        <w:t>评审小组将按本章第3条规定对响应文件及其最终报价进行详细评审。采用综合评分法的，评审小组有权对本章第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2项规定的评审基准价和第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3 (3)目规定的报价评分标准进行调整，但评审小组应在谈判开始前向</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公布，未公布的，视为评审基准价和报价评分标准不作调整；详细评审标准中除报价评审标准外的其他评审标准不作调整。</w:t>
      </w:r>
    </w:p>
    <w:p w14:paraId="17CC8D9B">
      <w:pPr>
        <w:pStyle w:val="39"/>
        <w:pageBreakBefore w:val="0"/>
        <w:kinsoku/>
        <w:overflowPunct/>
        <w:topLinePunct w:val="0"/>
        <w:bidi w:val="0"/>
        <w:snapToGrid/>
        <w:spacing w:line="360" w:lineRule="auto"/>
        <w:ind w:firstLine="500"/>
        <w:rPr>
          <w:rFonts w:hint="eastAsia" w:ascii="宋体" w:hAnsi="宋体" w:eastAsia="宋体" w:cs="宋体"/>
          <w:color w:val="auto"/>
        </w:rPr>
      </w:pPr>
      <w:r>
        <w:rPr>
          <w:rFonts w:hint="eastAsia" w:ascii="宋体" w:hAnsi="宋体" w:eastAsia="宋体" w:cs="宋体"/>
          <w:color w:val="auto"/>
          <w:sz w:val="24"/>
        </w:rPr>
        <w:t>通过谈判后，评审小组认为所有</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的最终报价仍然不合理的，应向釆购人提出终止采购建议。</w:t>
      </w:r>
    </w:p>
    <w:p w14:paraId="31F227FA">
      <w:pPr>
        <w:pStyle w:val="39"/>
        <w:pageBreakBefore w:val="0"/>
        <w:tabs>
          <w:tab w:val="left" w:pos="1266"/>
        </w:tabs>
        <w:kinsoku/>
        <w:overflowPunct/>
        <w:topLinePunct w:val="0"/>
        <w:bidi w:val="0"/>
        <w:snapToGrid/>
        <w:spacing w:line="360" w:lineRule="auto"/>
        <w:ind w:firstLine="480" w:firstLineChars="200"/>
        <w:rPr>
          <w:rFonts w:hint="eastAsia" w:ascii="宋体" w:hAnsi="宋体" w:eastAsia="宋体" w:cs="宋体"/>
          <w:color w:val="auto"/>
        </w:rPr>
      </w:pPr>
      <w:bookmarkStart w:id="270" w:name="bookmark1153"/>
      <w:bookmarkEnd w:id="270"/>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4</w:t>
      </w:r>
      <w:r>
        <w:rPr>
          <w:rFonts w:hint="eastAsia" w:ascii="宋体" w:hAnsi="宋体" w:eastAsia="宋体" w:cs="宋体"/>
          <w:color w:val="auto"/>
          <w:sz w:val="24"/>
          <w:lang w:eastAsia="zh-CN"/>
        </w:rPr>
        <w:t>）</w:t>
      </w:r>
      <w:r>
        <w:rPr>
          <w:rFonts w:hint="eastAsia" w:ascii="宋体" w:hAnsi="宋体" w:eastAsia="宋体" w:cs="宋体"/>
          <w:color w:val="auto"/>
          <w:sz w:val="24"/>
        </w:rPr>
        <w:t>编写评审报告。</w:t>
      </w:r>
    </w:p>
    <w:p w14:paraId="2CAC4124">
      <w:pPr>
        <w:pStyle w:val="39"/>
        <w:pageBreakBefore w:val="0"/>
        <w:kinsoku/>
        <w:overflowPunct/>
        <w:topLinePunct w:val="0"/>
        <w:bidi w:val="0"/>
        <w:snapToGrid/>
        <w:spacing w:line="360" w:lineRule="auto"/>
        <w:ind w:firstLine="500"/>
        <w:rPr>
          <w:rFonts w:hint="eastAsia" w:ascii="宋体" w:hAnsi="宋体" w:eastAsia="宋体" w:cs="宋体"/>
          <w:color w:val="auto"/>
        </w:rPr>
      </w:pPr>
      <w:r>
        <w:rPr>
          <w:rFonts w:hint="eastAsia" w:ascii="宋体" w:hAnsi="宋体" w:eastAsia="宋体" w:cs="宋体"/>
          <w:color w:val="auto"/>
          <w:sz w:val="24"/>
        </w:rPr>
        <w:t>评审小组按本章第</w:t>
      </w:r>
      <w:r>
        <w:rPr>
          <w:rFonts w:hint="eastAsia" w:ascii="宋体" w:hAnsi="宋体" w:eastAsia="宋体" w:cs="宋体"/>
          <w:color w:val="auto"/>
          <w:sz w:val="24"/>
          <w:lang w:val="en-US" w:eastAsia="zh-CN" w:bidi="en-US"/>
        </w:rPr>
        <w:t>4.2</w:t>
      </w:r>
      <w:r>
        <w:rPr>
          <w:rFonts w:hint="eastAsia" w:ascii="宋体" w:hAnsi="宋体" w:eastAsia="宋体" w:cs="宋体"/>
          <w:color w:val="auto"/>
          <w:sz w:val="24"/>
        </w:rPr>
        <w:t>款规定推荐候选成交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或按本章第</w:t>
      </w:r>
      <w:r>
        <w:rPr>
          <w:rFonts w:hint="eastAsia" w:ascii="宋体" w:hAnsi="宋体" w:eastAsia="宋体" w:cs="宋体"/>
          <w:color w:val="auto"/>
          <w:sz w:val="24"/>
          <w:lang w:val="en-US" w:eastAsia="zh-CN" w:bidi="en-US"/>
        </w:rPr>
        <w:t xml:space="preserve">5.2. </w:t>
      </w:r>
      <w:r>
        <w:rPr>
          <w:rFonts w:hint="eastAsia" w:ascii="宋体" w:hAnsi="宋体" w:eastAsia="宋体" w:cs="宋体"/>
          <w:color w:val="auto"/>
          <w:sz w:val="24"/>
        </w:rPr>
        <w:t>1 (3)规定提出终止采购建议，并向</w:t>
      </w:r>
      <w:r>
        <w:rPr>
          <w:rFonts w:hint="eastAsia" w:cs="宋体"/>
          <w:color w:val="auto"/>
          <w:sz w:val="24"/>
          <w:lang w:eastAsia="zh-CN"/>
        </w:rPr>
        <w:t>采购人</w:t>
      </w:r>
      <w:r>
        <w:rPr>
          <w:rFonts w:hint="eastAsia" w:ascii="宋体" w:hAnsi="宋体" w:eastAsia="宋体" w:cs="宋体"/>
          <w:color w:val="auto"/>
          <w:sz w:val="24"/>
        </w:rPr>
        <w:t>提交书面评审报告。</w:t>
      </w:r>
    </w:p>
    <w:p w14:paraId="0B84CDBE">
      <w:pPr>
        <w:pStyle w:val="39"/>
        <w:pageBreakBefore w:val="0"/>
        <w:kinsoku/>
        <w:overflowPunct/>
        <w:topLinePunct w:val="0"/>
        <w:bidi w:val="0"/>
        <w:snapToGrid/>
        <w:spacing w:line="360" w:lineRule="auto"/>
        <w:jc w:val="left"/>
        <w:rPr>
          <w:rFonts w:hint="eastAsia" w:ascii="宋体" w:hAnsi="宋体" w:eastAsia="宋体" w:cs="宋体"/>
          <w:color w:val="auto"/>
        </w:rPr>
      </w:pPr>
      <w:r>
        <w:rPr>
          <w:rFonts w:hint="eastAsia" w:cs="宋体"/>
          <w:color w:val="auto"/>
          <w:sz w:val="24"/>
          <w:lang w:val="en-US" w:eastAsia="zh-CN" w:bidi="en-US"/>
        </w:rPr>
        <w:t>7</w:t>
      </w:r>
      <w:r>
        <w:rPr>
          <w:rFonts w:hint="eastAsia" w:ascii="宋体" w:hAnsi="宋体" w:eastAsia="宋体" w:cs="宋体"/>
          <w:color w:val="auto"/>
          <w:sz w:val="24"/>
          <w:lang w:val="en-US" w:eastAsia="en-US" w:bidi="en-US"/>
        </w:rPr>
        <w:t>.2.</w:t>
      </w:r>
      <w:r>
        <w:rPr>
          <w:rFonts w:hint="eastAsia" w:ascii="宋体" w:hAnsi="宋体" w:eastAsia="宋体" w:cs="宋体"/>
          <w:color w:val="auto"/>
          <w:sz w:val="24"/>
        </w:rPr>
        <w:t>2参照直接釆购方式评审</w:t>
      </w:r>
    </w:p>
    <w:p w14:paraId="45A65607">
      <w:pPr>
        <w:pStyle w:val="39"/>
        <w:pageBreakBefore w:val="0"/>
        <w:tabs>
          <w:tab w:val="left" w:pos="1271"/>
        </w:tabs>
        <w:kinsoku/>
        <w:overflowPunct/>
        <w:topLinePunct w:val="0"/>
        <w:bidi w:val="0"/>
        <w:snapToGrid/>
        <w:spacing w:line="360" w:lineRule="auto"/>
        <w:ind w:firstLine="480" w:firstLineChars="200"/>
        <w:rPr>
          <w:rFonts w:hint="eastAsia" w:ascii="宋体" w:hAnsi="宋体" w:eastAsia="宋体" w:cs="宋体"/>
          <w:color w:val="auto"/>
        </w:rPr>
      </w:pPr>
      <w:bookmarkStart w:id="271" w:name="bookmark1154"/>
      <w:bookmarkEnd w:id="271"/>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w:t>
      </w:r>
      <w:r>
        <w:rPr>
          <w:rFonts w:hint="eastAsia" w:ascii="宋体" w:hAnsi="宋体" w:eastAsia="宋体" w:cs="宋体"/>
          <w:color w:val="auto"/>
          <w:sz w:val="24"/>
        </w:rPr>
        <w:t>谈判。</w:t>
      </w:r>
    </w:p>
    <w:p w14:paraId="3CB01F80">
      <w:pPr>
        <w:pStyle w:val="39"/>
        <w:pageBreakBefore w:val="0"/>
        <w:kinsoku/>
        <w:overflowPunct/>
        <w:topLinePunct w:val="0"/>
        <w:bidi w:val="0"/>
        <w:snapToGrid/>
        <w:spacing w:line="360" w:lineRule="auto"/>
        <w:ind w:firstLine="500"/>
        <w:rPr>
          <w:rFonts w:hint="eastAsia" w:ascii="宋体" w:hAnsi="宋体" w:eastAsia="宋体" w:cs="宋体"/>
          <w:color w:val="auto"/>
        </w:rPr>
      </w:pPr>
      <w:r>
        <w:rPr>
          <w:rFonts w:hint="eastAsia" w:ascii="宋体" w:hAnsi="宋体" w:eastAsia="宋体" w:cs="宋体"/>
          <w:color w:val="auto"/>
          <w:sz w:val="24"/>
        </w:rPr>
        <w:t>评审小组所有成员集中与</w:t>
      </w:r>
      <w:r>
        <w:rPr>
          <w:rFonts w:hint="eastAsia" w:ascii="宋体" w:hAnsi="宋体" w:eastAsia="宋体" w:cs="宋体"/>
          <w:color w:val="auto"/>
          <w:sz w:val="24"/>
          <w:lang w:eastAsia="zh-CN"/>
        </w:rPr>
        <w:t>询比响应人</w:t>
      </w:r>
      <w:r>
        <w:rPr>
          <w:rFonts w:hint="eastAsia" w:ascii="宋体" w:hAnsi="宋体" w:eastAsia="宋体" w:cs="宋体"/>
          <w:color w:val="auto"/>
          <w:sz w:val="24"/>
        </w:rPr>
        <w:t>进行谈判，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的法定代表人(单位负责人) 或其授权的代理人应参加谈判。在谈判过程中，评审小组可根据谈判情况修改和补充采购文件中的非实质性内容，但不得改变可能影响初步评审结果的内容。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的法定代表人(单位负责人或其授权的代理人)在谈判中作出的承诺构成响应文件的组成部分。评审小组可根据需要，安排多轮谈判。</w:t>
      </w:r>
    </w:p>
    <w:p w14:paraId="288FEEE5">
      <w:pPr>
        <w:pStyle w:val="39"/>
        <w:pageBreakBefore w:val="0"/>
        <w:tabs>
          <w:tab w:val="left" w:pos="1271"/>
        </w:tabs>
        <w:kinsoku/>
        <w:overflowPunct/>
        <w:topLinePunct w:val="0"/>
        <w:bidi w:val="0"/>
        <w:snapToGrid/>
        <w:spacing w:line="360" w:lineRule="auto"/>
        <w:ind w:firstLine="480" w:firstLineChars="200"/>
        <w:rPr>
          <w:rFonts w:hint="eastAsia" w:ascii="宋体" w:hAnsi="宋体" w:eastAsia="宋体" w:cs="宋体"/>
          <w:color w:val="auto"/>
        </w:rPr>
      </w:pPr>
      <w:bookmarkStart w:id="272" w:name="bookmark1155"/>
      <w:bookmarkEnd w:id="272"/>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详细评审。</w:t>
      </w:r>
    </w:p>
    <w:p w14:paraId="39BAA218">
      <w:pPr>
        <w:pStyle w:val="39"/>
        <w:pageBreakBefore w:val="0"/>
        <w:kinsoku/>
        <w:overflowPunct/>
        <w:topLinePunct w:val="0"/>
        <w:bidi w:val="0"/>
        <w:snapToGrid/>
        <w:spacing w:line="360" w:lineRule="auto"/>
        <w:ind w:firstLine="500"/>
        <w:rPr>
          <w:rFonts w:hint="eastAsia" w:ascii="宋体" w:hAnsi="宋体" w:eastAsia="宋体" w:cs="宋体"/>
          <w:color w:val="auto"/>
        </w:rPr>
      </w:pPr>
      <w:r>
        <w:rPr>
          <w:rFonts w:hint="eastAsia" w:ascii="宋体" w:hAnsi="宋体" w:eastAsia="宋体" w:cs="宋体"/>
          <w:color w:val="auto"/>
          <w:sz w:val="24"/>
        </w:rPr>
        <w:t>评审小组通过对采购成本、供应能力、风险管控、采购目标等的分析，对</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拟提供标的的技术、商务进行物有所值综合评价。</w:t>
      </w:r>
    </w:p>
    <w:p w14:paraId="45CD6FC9">
      <w:pPr>
        <w:pStyle w:val="39"/>
        <w:pageBreakBefore w:val="0"/>
        <w:tabs>
          <w:tab w:val="left" w:pos="1271"/>
        </w:tabs>
        <w:kinsoku/>
        <w:overflowPunct/>
        <w:topLinePunct w:val="0"/>
        <w:bidi w:val="0"/>
        <w:snapToGrid/>
        <w:spacing w:line="360" w:lineRule="auto"/>
        <w:ind w:firstLine="480" w:firstLineChars="200"/>
        <w:rPr>
          <w:rFonts w:hint="eastAsia" w:ascii="宋体" w:hAnsi="宋体" w:eastAsia="宋体" w:cs="宋体"/>
          <w:color w:val="auto"/>
        </w:rPr>
      </w:pPr>
      <w:bookmarkStart w:id="273" w:name="bookmark1156"/>
      <w:bookmarkEnd w:id="273"/>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编写评审报告。</w:t>
      </w:r>
    </w:p>
    <w:p w14:paraId="1104A50E">
      <w:pPr>
        <w:pStyle w:val="39"/>
        <w:pageBreakBefore w:val="0"/>
        <w:tabs>
          <w:tab w:val="left" w:pos="358"/>
        </w:tabs>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评审小组根据预期的谈判目标综合谈判纪要编写评审报告，推荐候选成交</w:t>
      </w:r>
      <w:r>
        <w:rPr>
          <w:rFonts w:hint="eastAsia" w:ascii="宋体" w:hAnsi="宋体" w:eastAsia="宋体" w:cs="宋体"/>
          <w:color w:val="auto"/>
          <w:sz w:val="24"/>
          <w:lang w:eastAsia="zh-CN"/>
        </w:rPr>
        <w:t>询比响应人</w:t>
      </w:r>
      <w:r>
        <w:rPr>
          <w:rFonts w:hint="eastAsia" w:ascii="宋体" w:hAnsi="宋体" w:eastAsia="宋体" w:cs="宋体"/>
          <w:color w:val="auto"/>
          <w:sz w:val="24"/>
        </w:rPr>
        <w:t>或提出谈判终止建议。</w:t>
      </w:r>
    </w:p>
    <w:p w14:paraId="71EBF68D">
      <w:pPr>
        <w:pStyle w:val="39"/>
        <w:pageBreakBefore w:val="0"/>
        <w:tabs>
          <w:tab w:val="left" w:pos="358"/>
        </w:tabs>
        <w:kinsoku/>
        <w:overflowPunct/>
        <w:topLinePunct w:val="0"/>
        <w:bidi w:val="0"/>
        <w:snapToGrid/>
        <w:spacing w:line="360" w:lineRule="auto"/>
        <w:rPr>
          <w:rFonts w:hint="eastAsia" w:ascii="宋体" w:hAnsi="宋体" w:eastAsia="宋体" w:cs="宋体"/>
          <w:color w:val="auto"/>
          <w:sz w:val="24"/>
        </w:rPr>
      </w:pPr>
    </w:p>
    <w:p w14:paraId="3E781988">
      <w:pPr>
        <w:pStyle w:val="39"/>
        <w:pageBreakBefore w:val="0"/>
        <w:tabs>
          <w:tab w:val="left" w:pos="358"/>
        </w:tabs>
        <w:kinsoku/>
        <w:overflowPunct/>
        <w:topLinePunct w:val="0"/>
        <w:bidi w:val="0"/>
        <w:snapToGrid/>
        <w:spacing w:line="360" w:lineRule="auto"/>
        <w:rPr>
          <w:rFonts w:hint="eastAsia" w:ascii="宋体" w:hAnsi="宋体" w:eastAsia="宋体" w:cs="宋体"/>
          <w:color w:val="auto"/>
          <w:sz w:val="24"/>
        </w:rPr>
      </w:pPr>
    </w:p>
    <w:p w14:paraId="41955DAF">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p>
    <w:p w14:paraId="588C2121">
      <w:pPr>
        <w:pageBreakBefore w:val="0"/>
        <w:kinsoku/>
        <w:overflowPunct/>
        <w:topLinePunct w:val="0"/>
        <w:bidi w:val="0"/>
        <w:snapToGrid/>
        <w:spacing w:line="360" w:lineRule="auto"/>
        <w:rPr>
          <w:rFonts w:hint="eastAsia" w:ascii="宋体" w:hAnsi="宋体" w:eastAsia="宋体" w:cs="宋体"/>
          <w:color w:val="auto"/>
          <w:sz w:val="24"/>
        </w:rPr>
      </w:pPr>
    </w:p>
    <w:p w14:paraId="4A3BFB3A">
      <w:pPr>
        <w:pStyle w:val="3"/>
        <w:pageBreakBefore w:val="0"/>
        <w:kinsoku/>
        <w:overflowPunct/>
        <w:topLinePunct w:val="0"/>
        <w:bidi w:val="0"/>
        <w:snapToGrid/>
        <w:spacing w:line="360" w:lineRule="auto"/>
        <w:ind w:firstLine="1767" w:firstLineChars="400"/>
        <w:rPr>
          <w:rFonts w:hint="eastAsia" w:ascii="宋体" w:hAnsi="宋体" w:eastAsia="宋体" w:cs="宋体"/>
          <w:color w:val="auto"/>
        </w:rPr>
      </w:pPr>
      <w:bookmarkStart w:id="274" w:name="_Toc8867"/>
      <w:bookmarkStart w:id="275" w:name="_Toc9596"/>
      <w:bookmarkStart w:id="276" w:name="EB50562e3acd594beb854c3a298a7ed8bd"/>
      <w:bookmarkStart w:id="277" w:name="_Toc23270"/>
      <w:r>
        <w:rPr>
          <w:rFonts w:hint="eastAsia" w:ascii="宋体" w:hAnsi="宋体" w:eastAsia="宋体" w:cs="宋体"/>
          <w:color w:val="auto"/>
        </w:rPr>
        <w:t>第四章  合同条款及格式</w:t>
      </w:r>
      <w:bookmarkEnd w:id="274"/>
      <w:bookmarkEnd w:id="275"/>
    </w:p>
    <w:p w14:paraId="0A690B11">
      <w:pPr>
        <w:pageBreakBefore w:val="0"/>
        <w:kinsoku/>
        <w:overflowPunct/>
        <w:topLinePunct w:val="0"/>
        <w:bidi w:val="0"/>
        <w:snapToGrid/>
        <w:spacing w:line="360" w:lineRule="auto"/>
        <w:jc w:val="center"/>
        <w:rPr>
          <w:rFonts w:hint="eastAsia" w:ascii="宋体" w:hAnsi="宋体" w:eastAsia="宋体" w:cs="宋体"/>
          <w:b/>
          <w:color w:val="auto"/>
        </w:rPr>
      </w:pPr>
    </w:p>
    <w:p w14:paraId="6732CDFF">
      <w:pPr>
        <w:pageBreakBefore w:val="0"/>
        <w:kinsoku/>
        <w:overflowPunct/>
        <w:topLinePunct w:val="0"/>
        <w:bidi w:val="0"/>
        <w:snapToGrid/>
        <w:spacing w:line="360" w:lineRule="auto"/>
        <w:jc w:val="center"/>
        <w:rPr>
          <w:rFonts w:hint="eastAsia" w:ascii="宋体" w:hAnsi="宋体" w:eastAsia="宋体" w:cs="宋体"/>
          <w:b/>
          <w:color w:val="auto"/>
        </w:rPr>
      </w:pPr>
    </w:p>
    <w:p w14:paraId="67CF69A2">
      <w:pPr>
        <w:pageBreakBefore w:val="0"/>
        <w:kinsoku/>
        <w:overflowPunct/>
        <w:topLinePunct w:val="0"/>
        <w:bidi w:val="0"/>
        <w:snapToGrid/>
        <w:spacing w:line="360" w:lineRule="auto"/>
        <w:jc w:val="center"/>
        <w:rPr>
          <w:rFonts w:hint="eastAsia" w:ascii="宋体" w:hAnsi="宋体" w:eastAsia="宋体" w:cs="宋体"/>
          <w:b/>
          <w:color w:val="auto"/>
        </w:rPr>
      </w:pPr>
    </w:p>
    <w:p w14:paraId="0FF47506">
      <w:pPr>
        <w:pStyle w:val="10"/>
        <w:pageBreakBefore w:val="0"/>
        <w:kinsoku/>
        <w:overflowPunct/>
        <w:topLinePunct w:val="0"/>
        <w:bidi w:val="0"/>
        <w:snapToGrid/>
        <w:spacing w:line="360" w:lineRule="auto"/>
        <w:rPr>
          <w:rFonts w:hint="eastAsia" w:ascii="宋体" w:hAnsi="宋体" w:eastAsia="宋体" w:cs="宋体"/>
          <w:b/>
          <w:color w:val="auto"/>
        </w:rPr>
      </w:pPr>
    </w:p>
    <w:p w14:paraId="2F12C873">
      <w:pPr>
        <w:pStyle w:val="10"/>
        <w:pageBreakBefore w:val="0"/>
        <w:kinsoku/>
        <w:overflowPunct/>
        <w:topLinePunct w:val="0"/>
        <w:bidi w:val="0"/>
        <w:snapToGrid/>
        <w:spacing w:line="360" w:lineRule="auto"/>
        <w:rPr>
          <w:rFonts w:hint="eastAsia" w:ascii="宋体" w:hAnsi="宋体" w:eastAsia="宋体" w:cs="宋体"/>
          <w:b/>
          <w:color w:val="auto"/>
        </w:rPr>
      </w:pPr>
    </w:p>
    <w:p w14:paraId="5942387A">
      <w:pPr>
        <w:snapToGrid w:val="0"/>
        <w:spacing w:before="0" w:beforeAutospacing="0" w:after="0" w:afterAutospacing="0" w:line="360" w:lineRule="auto"/>
        <w:jc w:val="center"/>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（GF—2017—0201）</w:t>
      </w:r>
    </w:p>
    <w:p w14:paraId="5C1326AB">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44F04ED3">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7740450D">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039BA716">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lang w:eastAsia="zh-CN"/>
        </w:rPr>
      </w:pPr>
    </w:p>
    <w:p w14:paraId="4D9D829D">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lang w:eastAsia="zh-CN"/>
        </w:rPr>
      </w:pPr>
    </w:p>
    <w:p w14:paraId="0B6DDBBB">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lang w:eastAsia="zh-CN"/>
        </w:rPr>
      </w:pPr>
    </w:p>
    <w:p w14:paraId="1EBB2FBF">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7ABE774D">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52"/>
          <w:szCs w:val="52"/>
          <w:highlight w:val="none"/>
          <w:lang w:eastAsia="zh-CN"/>
        </w:rPr>
      </w:pPr>
      <w:r>
        <w:rPr>
          <w:rFonts w:hint="eastAsia" w:ascii="宋体" w:hAnsi="宋体" w:eastAsia="宋体" w:cs="宋体"/>
          <w:b/>
          <w:i w:val="0"/>
          <w:caps w:val="0"/>
          <w:color w:val="auto"/>
          <w:spacing w:val="0"/>
          <w:w w:val="100"/>
          <w:sz w:val="52"/>
          <w:szCs w:val="52"/>
          <w:highlight w:val="none"/>
        </w:rPr>
        <w:t>建设工程施工合同</w:t>
      </w:r>
    </w:p>
    <w:p w14:paraId="1836D4A2">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52"/>
          <w:szCs w:val="52"/>
          <w:highlight w:val="none"/>
        </w:rPr>
      </w:pPr>
      <w:r>
        <w:rPr>
          <w:rFonts w:hint="eastAsia" w:ascii="宋体" w:hAnsi="宋体" w:eastAsia="宋体" w:cs="宋体"/>
          <w:b/>
          <w:i w:val="0"/>
          <w:caps w:val="0"/>
          <w:color w:val="auto"/>
          <w:spacing w:val="0"/>
          <w:w w:val="100"/>
          <w:sz w:val="52"/>
          <w:szCs w:val="52"/>
          <w:highlight w:val="none"/>
        </w:rPr>
        <w:t>（示范文本）</w:t>
      </w:r>
    </w:p>
    <w:p w14:paraId="7B0B4DD5">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53225095">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391DC13F">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518DD3AA">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05BACD5E">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20"/>
          <w:highlight w:val="none"/>
        </w:rPr>
      </w:pPr>
    </w:p>
    <w:p w14:paraId="2C26B32A">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rPr>
      </w:pPr>
    </w:p>
    <w:p w14:paraId="35092CE5">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rPr>
      </w:pPr>
    </w:p>
    <w:p w14:paraId="20AC3BD7">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rPr>
      </w:pPr>
    </w:p>
    <w:p w14:paraId="577CE173">
      <w:pPr>
        <w:pStyle w:val="10"/>
        <w:snapToGrid w:val="0"/>
        <w:spacing w:before="0" w:beforeAutospacing="0" w:after="120" w:afterAutospacing="0" w:line="360" w:lineRule="auto"/>
        <w:jc w:val="both"/>
        <w:textAlignment w:val="baseline"/>
        <w:rPr>
          <w:rFonts w:hint="eastAsia" w:ascii="宋体" w:hAnsi="宋体" w:eastAsia="宋体" w:cs="宋体"/>
          <w:b/>
          <w:i w:val="0"/>
          <w:caps w:val="0"/>
          <w:color w:val="auto"/>
          <w:spacing w:val="0"/>
          <w:w w:val="100"/>
          <w:sz w:val="21"/>
          <w:highlight w:val="none"/>
        </w:rPr>
      </w:pPr>
    </w:p>
    <w:p w14:paraId="6FF58A64">
      <w:pPr>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32"/>
          <w:szCs w:val="32"/>
          <w:highlight w:val="none"/>
        </w:rPr>
      </w:pPr>
    </w:p>
    <w:p w14:paraId="4E637CD6">
      <w:pPr>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32"/>
          <w:szCs w:val="32"/>
          <w:highlight w:val="none"/>
        </w:rPr>
      </w:pPr>
    </w:p>
    <w:p w14:paraId="0710109D">
      <w:pPr>
        <w:snapToGrid w:val="0"/>
        <w:spacing w:before="0" w:beforeAutospacing="0" w:after="0" w:afterAutospacing="0" w:line="360" w:lineRule="auto"/>
        <w:jc w:val="center"/>
        <w:textAlignment w:val="baseline"/>
        <w:rPr>
          <w:rFonts w:hint="eastAsia" w:ascii="宋体" w:hAnsi="宋体" w:eastAsia="宋体" w:cs="宋体"/>
          <w:b/>
          <w:i w:val="0"/>
          <w:caps w:val="0"/>
          <w:color w:val="auto"/>
          <w:spacing w:val="0"/>
          <w:w w:val="100"/>
          <w:sz w:val="32"/>
          <w:szCs w:val="32"/>
          <w:highlight w:val="none"/>
        </w:rPr>
      </w:pPr>
      <w:r>
        <w:rPr>
          <w:rFonts w:hint="eastAsia" w:ascii="宋体" w:hAnsi="宋体" w:eastAsia="宋体" w:cs="宋体"/>
          <w:b w:val="0"/>
          <w:i w:val="0"/>
          <w:caps w:val="0"/>
          <w:color w:val="auto"/>
          <w:spacing w:val="0"/>
          <w:w w:val="100"/>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4124960</wp:posOffset>
                </wp:positionH>
                <wp:positionV relativeFrom="paragraph">
                  <wp:posOffset>279400</wp:posOffset>
                </wp:positionV>
                <wp:extent cx="713105" cy="386715"/>
                <wp:effectExtent l="4445" t="4445" r="6350" b="889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a:solidFill>
                            <a:srgbClr val="FFFFFF"/>
                          </a:solidFill>
                          <a:miter lim="800000"/>
                        </a:ln>
                        <a:effectLst/>
                      </wps:spPr>
                      <wps:txbx>
                        <w:txbxContent>
                          <w:p w14:paraId="1CCF1580">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24.8pt;margin-top:22pt;height:30.45pt;width:56.15pt;z-index:251659264;mso-width-relative:page;mso-height-relative:page;" filled="f" stroked="t" coordsize="21600,21600" o:gfxdata="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bkmNgAAAAKAQAADwAAAAAAAAABACAAAAAi&#10;AAAAZHJzL2Rvd25yZXYueG1sUEsBAhQAFAAAAAgAh07iQICXVh5DAgAAawQAAA4AAAAAAAAAAQAg&#10;AAAAJwEAAGRycy9lMm9Eb2MueG1sUEsFBgAAAAAGAAYAWQEAANwFAAAAAA==&#10;">
                <v:fill on="f" focussize="0,0"/>
                <v:stroke color="#FFFFFF" miterlimit="8" joinstyle="miter"/>
                <v:imagedata o:title=""/>
                <o:lock v:ext="edit" aspectratio="f"/>
                <v:textbox>
                  <w:txbxContent>
                    <w:p w14:paraId="1CCF1580">
                      <w:pPr>
                        <w:rPr>
                          <w:b/>
                          <w:bCs/>
                          <w:sz w:val="32"/>
                        </w:rPr>
                      </w:pPr>
                      <w:r>
                        <w:rPr>
                          <w:rFonts w:hint="eastAsia"/>
                          <w:b/>
                          <w:bCs/>
                          <w:sz w:val="32"/>
                        </w:rPr>
                        <w:t>制定</w:t>
                      </w:r>
                    </w:p>
                  </w:txbxContent>
                </v:textbox>
              </v:shape>
            </w:pict>
          </mc:Fallback>
        </mc:AlternateContent>
      </w:r>
      <w:r>
        <w:rPr>
          <w:rFonts w:hint="eastAsia" w:ascii="宋体" w:hAnsi="宋体" w:eastAsia="宋体" w:cs="宋体"/>
          <w:b/>
          <w:i w:val="0"/>
          <w:caps w:val="0"/>
          <w:color w:val="auto"/>
          <w:spacing w:val="0"/>
          <w:w w:val="100"/>
          <w:sz w:val="32"/>
          <w:szCs w:val="32"/>
          <w:highlight w:val="none"/>
          <w:lang w:val="en-US" w:eastAsia="zh-CN"/>
        </w:rPr>
        <w:t xml:space="preserve">   </w:t>
      </w:r>
      <w:r>
        <w:rPr>
          <w:rFonts w:hint="eastAsia" w:ascii="宋体" w:hAnsi="宋体" w:eastAsia="宋体" w:cs="宋体"/>
          <w:b/>
          <w:i w:val="0"/>
          <w:caps w:val="0"/>
          <w:color w:val="auto"/>
          <w:spacing w:val="0"/>
          <w:w w:val="100"/>
          <w:sz w:val="32"/>
          <w:szCs w:val="32"/>
          <w:highlight w:val="none"/>
        </w:rPr>
        <w:t>住房和城乡建设部</w:t>
      </w:r>
    </w:p>
    <w:p w14:paraId="7661B572">
      <w:pPr>
        <w:snapToGrid w:val="0"/>
        <w:spacing w:before="0" w:beforeAutospacing="0" w:after="0" w:afterAutospacing="0" w:line="360" w:lineRule="auto"/>
        <w:jc w:val="center"/>
        <w:textAlignment w:val="baseline"/>
        <w:rPr>
          <w:rFonts w:hint="eastAsia" w:ascii="宋体" w:hAnsi="宋体" w:eastAsia="宋体" w:cs="宋体"/>
          <w:b/>
          <w:bCs/>
          <w:i w:val="0"/>
          <w:caps w:val="0"/>
          <w:color w:val="auto"/>
          <w:spacing w:val="0"/>
          <w:w w:val="100"/>
          <w:sz w:val="32"/>
          <w:szCs w:val="32"/>
          <w:highlight w:val="none"/>
          <w:lang w:val="zh-CN"/>
        </w:rPr>
      </w:pPr>
      <w:r>
        <w:rPr>
          <w:rFonts w:hint="eastAsia" w:ascii="宋体" w:hAnsi="宋体" w:eastAsia="宋体" w:cs="宋体"/>
          <w:b/>
          <w:i w:val="0"/>
          <w:caps w:val="0"/>
          <w:color w:val="auto"/>
          <w:spacing w:val="0"/>
          <w:w w:val="100"/>
          <w:sz w:val="32"/>
          <w:szCs w:val="32"/>
          <w:highlight w:val="none"/>
        </w:rPr>
        <w:t>国家工商行政管理总局</w:t>
      </w:r>
      <w:bookmarkStart w:id="278" w:name="_Toc505871360"/>
      <w:bookmarkStart w:id="279" w:name="_Toc256000076"/>
    </w:p>
    <w:p w14:paraId="4DCDCDB9">
      <w:pPr>
        <w:snapToGrid w:val="0"/>
        <w:spacing w:before="0" w:beforeAutospacing="0" w:after="0" w:afterAutospacing="0" w:line="360" w:lineRule="auto"/>
        <w:jc w:val="center"/>
        <w:textAlignment w:val="baseline"/>
        <w:rPr>
          <w:rFonts w:hint="eastAsia" w:ascii="宋体" w:hAnsi="宋体" w:eastAsia="宋体" w:cs="宋体"/>
          <w:b/>
          <w:bCs/>
          <w:i w:val="0"/>
          <w:caps w:val="0"/>
          <w:color w:val="auto"/>
          <w:spacing w:val="0"/>
          <w:w w:val="100"/>
          <w:sz w:val="32"/>
          <w:szCs w:val="32"/>
          <w:highlight w:val="none"/>
          <w:lang w:val="zh-CN"/>
        </w:rPr>
      </w:pPr>
    </w:p>
    <w:p w14:paraId="51863704">
      <w:pPr>
        <w:snapToGrid w:val="0"/>
        <w:spacing w:before="0" w:beforeAutospacing="0" w:after="0" w:afterAutospacing="0" w:line="360" w:lineRule="auto"/>
        <w:jc w:val="center"/>
        <w:textAlignment w:val="baseline"/>
        <w:rPr>
          <w:rFonts w:hint="eastAsia" w:ascii="宋体" w:hAnsi="宋体" w:eastAsia="宋体" w:cs="宋体"/>
          <w:b/>
          <w:bCs/>
          <w:i w:val="0"/>
          <w:caps w:val="0"/>
          <w:color w:val="auto"/>
          <w:spacing w:val="0"/>
          <w:w w:val="100"/>
          <w:sz w:val="32"/>
          <w:szCs w:val="32"/>
          <w:highlight w:val="none"/>
          <w:lang w:val="zh-CN"/>
        </w:rPr>
      </w:pPr>
      <w:r>
        <w:rPr>
          <w:rFonts w:hint="eastAsia" w:ascii="宋体" w:hAnsi="宋体" w:eastAsia="宋体" w:cs="宋体"/>
          <w:b/>
          <w:bCs/>
          <w:i w:val="0"/>
          <w:caps w:val="0"/>
          <w:color w:val="auto"/>
          <w:spacing w:val="0"/>
          <w:w w:val="100"/>
          <w:sz w:val="32"/>
          <w:szCs w:val="32"/>
          <w:highlight w:val="none"/>
          <w:lang w:val="zh-CN"/>
        </w:rPr>
        <w:t>说  明</w:t>
      </w:r>
      <w:bookmarkEnd w:id="278"/>
      <w:bookmarkEnd w:id="279"/>
    </w:p>
    <w:p w14:paraId="44FA6D7E">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为了指导建设工程施工合同当事人的签约行为，维护合同当事人的合法权益，依据《中华人民共和国合同法》、《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1164F40B">
      <w:pPr>
        <w:snapToGrid w:val="0"/>
        <w:spacing w:before="0" w:beforeAutospacing="0" w:after="0" w:afterAutospacing="0" w:line="360" w:lineRule="auto"/>
        <w:jc w:val="left"/>
        <w:textAlignment w:val="baseline"/>
        <w:rPr>
          <w:rFonts w:hint="eastAsia" w:ascii="宋体" w:hAnsi="宋体" w:eastAsia="宋体" w:cs="宋体"/>
          <w:b/>
          <w:bCs/>
          <w:i w:val="0"/>
          <w:caps w:val="0"/>
          <w:color w:val="auto"/>
          <w:spacing w:val="0"/>
          <w:w w:val="100"/>
          <w:sz w:val="32"/>
          <w:szCs w:val="32"/>
          <w:highlight w:val="none"/>
          <w:lang w:val="zh-CN"/>
        </w:rPr>
      </w:pPr>
      <w:bookmarkStart w:id="280" w:name="_Toc256000077"/>
      <w:bookmarkStart w:id="281" w:name="_Toc505871361"/>
      <w:r>
        <w:rPr>
          <w:rFonts w:hint="eastAsia" w:ascii="宋体" w:hAnsi="宋体" w:eastAsia="宋体" w:cs="宋体"/>
          <w:b/>
          <w:bCs/>
          <w:i w:val="0"/>
          <w:caps w:val="0"/>
          <w:color w:val="auto"/>
          <w:spacing w:val="0"/>
          <w:w w:val="100"/>
          <w:sz w:val="32"/>
          <w:szCs w:val="32"/>
          <w:highlight w:val="none"/>
          <w:lang w:val="zh-CN"/>
        </w:rPr>
        <w:t>一、《示范文本》的组成</w:t>
      </w:r>
      <w:bookmarkEnd w:id="280"/>
      <w:bookmarkEnd w:id="281"/>
    </w:p>
    <w:p w14:paraId="6A5F1FE4">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《示范文本》由合同协议书、通用合同条款和专用合同条款三部分组成。</w:t>
      </w:r>
    </w:p>
    <w:p w14:paraId="2A0A15B7">
      <w:pPr>
        <w:snapToGrid w:val="0"/>
        <w:spacing w:before="0" w:beforeAutospacing="0" w:after="0" w:afterAutospacing="0" w:line="360" w:lineRule="auto"/>
        <w:jc w:val="left"/>
        <w:textAlignment w:val="baseline"/>
        <w:rPr>
          <w:rFonts w:hint="eastAsia" w:ascii="宋体" w:hAnsi="宋体" w:eastAsia="宋体" w:cs="宋体"/>
          <w:b/>
          <w:bCs/>
          <w:i w:val="0"/>
          <w:caps w:val="0"/>
          <w:color w:val="auto"/>
          <w:spacing w:val="0"/>
          <w:w w:val="100"/>
          <w:sz w:val="32"/>
          <w:szCs w:val="32"/>
          <w:highlight w:val="none"/>
          <w:lang w:val="zh-CN"/>
        </w:rPr>
      </w:pPr>
      <w:bookmarkStart w:id="282" w:name="_Toc256000078"/>
      <w:bookmarkStart w:id="283" w:name="_Toc505871362"/>
      <w:r>
        <w:rPr>
          <w:rFonts w:hint="eastAsia" w:ascii="宋体" w:hAnsi="宋体" w:eastAsia="宋体" w:cs="宋体"/>
          <w:b/>
          <w:bCs/>
          <w:i w:val="0"/>
          <w:caps w:val="0"/>
          <w:color w:val="auto"/>
          <w:spacing w:val="0"/>
          <w:w w:val="100"/>
          <w:sz w:val="32"/>
          <w:szCs w:val="32"/>
          <w:highlight w:val="none"/>
          <w:lang w:val="zh-CN"/>
        </w:rPr>
        <w:t>（一）合同协议书</w:t>
      </w:r>
      <w:bookmarkEnd w:id="282"/>
      <w:bookmarkEnd w:id="283"/>
    </w:p>
    <w:p w14:paraId="1F906E6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1838612C">
      <w:pPr>
        <w:snapToGrid w:val="0"/>
        <w:spacing w:before="0" w:beforeAutospacing="0" w:after="0" w:afterAutospacing="0" w:line="360" w:lineRule="auto"/>
        <w:jc w:val="left"/>
        <w:textAlignment w:val="baseline"/>
        <w:rPr>
          <w:rFonts w:hint="eastAsia" w:ascii="宋体" w:hAnsi="宋体" w:eastAsia="宋体" w:cs="宋体"/>
          <w:b/>
          <w:bCs/>
          <w:i w:val="0"/>
          <w:caps w:val="0"/>
          <w:color w:val="auto"/>
          <w:spacing w:val="0"/>
          <w:w w:val="100"/>
          <w:sz w:val="32"/>
          <w:szCs w:val="32"/>
          <w:highlight w:val="none"/>
          <w:lang w:val="zh-CN"/>
        </w:rPr>
      </w:pPr>
      <w:bookmarkStart w:id="284" w:name="_Toc505871363"/>
      <w:bookmarkStart w:id="285" w:name="_Toc256000079"/>
      <w:r>
        <w:rPr>
          <w:rFonts w:hint="eastAsia" w:ascii="宋体" w:hAnsi="宋体" w:eastAsia="宋体" w:cs="宋体"/>
          <w:b/>
          <w:bCs/>
          <w:i w:val="0"/>
          <w:caps w:val="0"/>
          <w:color w:val="auto"/>
          <w:spacing w:val="0"/>
          <w:w w:val="100"/>
          <w:sz w:val="32"/>
          <w:szCs w:val="32"/>
          <w:highlight w:val="none"/>
          <w:lang w:val="zh-CN"/>
        </w:rPr>
        <w:t>（二）通用合同条款</w:t>
      </w:r>
      <w:bookmarkEnd w:id="284"/>
      <w:bookmarkEnd w:id="285"/>
    </w:p>
    <w:p w14:paraId="2FD0E58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通用合同条款是合同当事人根据《中华人民共和国建筑法》、《中华人民共和国合同法》等法律法规的规定，就工程建设的实施及相关事项，对合同当事人的权利义务作出的原则性约定。</w:t>
      </w:r>
    </w:p>
    <w:p w14:paraId="50ACA3CB">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1EA7BC1E">
      <w:pPr>
        <w:snapToGrid w:val="0"/>
        <w:spacing w:before="0" w:beforeAutospacing="0" w:after="0" w:afterAutospacing="0" w:line="360" w:lineRule="auto"/>
        <w:jc w:val="left"/>
        <w:textAlignment w:val="baseline"/>
        <w:rPr>
          <w:rFonts w:hint="eastAsia" w:ascii="宋体" w:hAnsi="宋体" w:eastAsia="宋体" w:cs="宋体"/>
          <w:b/>
          <w:bCs/>
          <w:i w:val="0"/>
          <w:caps w:val="0"/>
          <w:color w:val="auto"/>
          <w:spacing w:val="0"/>
          <w:w w:val="100"/>
          <w:sz w:val="32"/>
          <w:szCs w:val="32"/>
          <w:highlight w:val="none"/>
          <w:lang w:val="zh-CN"/>
        </w:rPr>
      </w:pPr>
      <w:bookmarkStart w:id="286" w:name="_Toc505871364"/>
      <w:bookmarkStart w:id="287" w:name="_Toc256000080"/>
      <w:r>
        <w:rPr>
          <w:rFonts w:hint="eastAsia" w:ascii="宋体" w:hAnsi="宋体" w:eastAsia="宋体" w:cs="宋体"/>
          <w:b/>
          <w:bCs/>
          <w:i w:val="0"/>
          <w:caps w:val="0"/>
          <w:color w:val="auto"/>
          <w:spacing w:val="0"/>
          <w:w w:val="100"/>
          <w:sz w:val="32"/>
          <w:szCs w:val="32"/>
          <w:highlight w:val="none"/>
          <w:lang w:val="zh-CN"/>
        </w:rPr>
        <w:t>（三）专用合同条款</w:t>
      </w:r>
      <w:bookmarkEnd w:id="286"/>
      <w:bookmarkEnd w:id="287"/>
    </w:p>
    <w:p w14:paraId="762C0CF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51E72A3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1.专用合同条款的编号应与相应的通用合同条款的编号一致；</w:t>
      </w:r>
    </w:p>
    <w:p w14:paraId="01CCDC89">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2.合同当事人可以通过对专用合同条款的修改，满足具体建设工程的特殊要求，避免直接修改通用合同条款；</w:t>
      </w:r>
    </w:p>
    <w:p w14:paraId="5B4BC9F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3.在专用合同条款中有横道线的地方，合同当事人可针对相应的通用合同条款进行细化、完善、补充、修改或另行约定；如无细化、完善、补充、修改或另行约定，则填写“无”或划“/”。</w:t>
      </w:r>
    </w:p>
    <w:p w14:paraId="6C72E860">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034366DC">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61125B71">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38D1EA99">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550D6351">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47E233C1">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490B40AB">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1EA2E3A2">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33203711">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443B5CBA">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55936D9A">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61480DBC">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3CC28FA1">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1418C725">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0DF8E871">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3DA694D3">
      <w:pPr>
        <w:pStyle w:val="30"/>
        <w:rPr>
          <w:rFonts w:hint="eastAsia" w:ascii="宋体" w:hAnsi="宋体" w:eastAsia="宋体" w:cs="宋体"/>
          <w:b w:val="0"/>
          <w:i w:val="0"/>
          <w:caps w:val="0"/>
          <w:color w:val="auto"/>
          <w:spacing w:val="0"/>
          <w:w w:val="100"/>
          <w:sz w:val="21"/>
          <w:szCs w:val="21"/>
          <w:highlight w:val="none"/>
          <w:lang w:val="zh-CN"/>
        </w:rPr>
      </w:pPr>
    </w:p>
    <w:p w14:paraId="4A3EE90A">
      <w:pPr>
        <w:pStyle w:val="10"/>
        <w:snapToGrid w:val="0"/>
        <w:spacing w:before="0" w:beforeAutospacing="0" w:after="12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lang w:val="zh-CN"/>
        </w:rPr>
      </w:pPr>
    </w:p>
    <w:p w14:paraId="179EF2F0">
      <w:pPr>
        <w:rPr>
          <w:rFonts w:hint="eastAsia" w:ascii="宋体" w:hAnsi="宋体" w:eastAsia="宋体" w:cs="宋体"/>
          <w:b/>
          <w:i w:val="0"/>
          <w:caps w:val="0"/>
          <w:color w:val="auto"/>
          <w:spacing w:val="0"/>
          <w:w w:val="100"/>
          <w:sz w:val="32"/>
          <w:highlight w:val="none"/>
        </w:rPr>
      </w:pPr>
      <w:bookmarkStart w:id="288" w:name="_Toc17594"/>
      <w:bookmarkStart w:id="289" w:name="_Toc6512"/>
      <w:bookmarkStart w:id="290" w:name="_Toc7654"/>
      <w:bookmarkStart w:id="291" w:name="_Toc351203480"/>
      <w:bookmarkStart w:id="292" w:name="_Toc18488"/>
      <w:bookmarkStart w:id="293" w:name="_Toc8782"/>
      <w:bookmarkStart w:id="294" w:name="_Toc296503025"/>
      <w:bookmarkStart w:id="295" w:name="_Toc296890982"/>
      <w:r>
        <w:rPr>
          <w:rFonts w:hint="eastAsia" w:ascii="宋体" w:hAnsi="宋体" w:eastAsia="宋体" w:cs="宋体"/>
          <w:b/>
          <w:i w:val="0"/>
          <w:caps w:val="0"/>
          <w:color w:val="auto"/>
          <w:spacing w:val="0"/>
          <w:w w:val="100"/>
          <w:sz w:val="32"/>
          <w:highlight w:val="none"/>
        </w:rPr>
        <w:br w:type="page"/>
      </w:r>
    </w:p>
    <w:p w14:paraId="58A33E28">
      <w:pPr>
        <w:pStyle w:val="5"/>
        <w:snapToGrid w:val="0"/>
        <w:spacing w:before="260" w:beforeAutospacing="0" w:after="260" w:afterAutospacing="0" w:line="360" w:lineRule="auto"/>
        <w:jc w:val="center"/>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（一）合同协议书</w:t>
      </w:r>
      <w:bookmarkEnd w:id="288"/>
      <w:bookmarkEnd w:id="289"/>
      <w:bookmarkEnd w:id="290"/>
      <w:bookmarkEnd w:id="291"/>
      <w:bookmarkEnd w:id="292"/>
      <w:bookmarkEnd w:id="293"/>
      <w:bookmarkEnd w:id="294"/>
      <w:bookmarkEnd w:id="295"/>
    </w:p>
    <w:p w14:paraId="2A251431">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u w:val="single"/>
        </w:rPr>
      </w:pPr>
      <w:r>
        <w:rPr>
          <w:rFonts w:hint="eastAsia" w:ascii="宋体" w:hAnsi="宋体" w:eastAsia="宋体" w:cs="宋体"/>
          <w:b/>
          <w:i w:val="0"/>
          <w:caps w:val="0"/>
          <w:color w:val="auto"/>
          <w:spacing w:val="0"/>
          <w:w w:val="100"/>
          <w:sz w:val="24"/>
          <w:highlight w:val="none"/>
        </w:rPr>
        <w:t>发包人（全称）：</w:t>
      </w:r>
      <w:r>
        <w:rPr>
          <w:rFonts w:hint="eastAsia" w:ascii="宋体" w:hAnsi="宋体" w:eastAsia="宋体" w:cs="宋体"/>
          <w:b/>
          <w:i w:val="0"/>
          <w:caps w:val="0"/>
          <w:color w:val="auto"/>
          <w:spacing w:val="0"/>
          <w:w w:val="100"/>
          <w:sz w:val="24"/>
          <w:highlight w:val="none"/>
          <w:u w:val="single" w:color="000000"/>
        </w:rPr>
        <w:t>                       </w:t>
      </w:r>
    </w:p>
    <w:p w14:paraId="050CB596">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u w:val="single"/>
        </w:rPr>
      </w:pPr>
      <w:r>
        <w:rPr>
          <w:rFonts w:hint="eastAsia" w:ascii="宋体" w:hAnsi="宋体" w:eastAsia="宋体" w:cs="宋体"/>
          <w:b/>
          <w:i w:val="0"/>
          <w:caps w:val="0"/>
          <w:color w:val="auto"/>
          <w:spacing w:val="0"/>
          <w:w w:val="100"/>
          <w:sz w:val="24"/>
          <w:highlight w:val="none"/>
        </w:rPr>
        <w:t>承包人（全称）：</w:t>
      </w:r>
      <w:r>
        <w:rPr>
          <w:rFonts w:hint="eastAsia" w:ascii="宋体" w:hAnsi="宋体" w:eastAsia="宋体" w:cs="宋体"/>
          <w:b/>
          <w:i w:val="0"/>
          <w:caps w:val="0"/>
          <w:color w:val="auto"/>
          <w:spacing w:val="0"/>
          <w:w w:val="100"/>
          <w:sz w:val="24"/>
          <w:highlight w:val="none"/>
          <w:u w:val="single" w:color="000000"/>
        </w:rPr>
        <w:t>                      </w:t>
      </w:r>
    </w:p>
    <w:p w14:paraId="3332203A">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根据《中华人民共和国合同法》、《中华人民共和国建筑法》及有关法律规定，遵循平等、自愿、公平和诚实信用的原则，双方就</w:t>
      </w:r>
    </w:p>
    <w:p w14:paraId="77CDE1D4">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工程施工及有关事项协商一致，共同达成如下协议：</w:t>
      </w:r>
    </w:p>
    <w:p w14:paraId="01142957">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296" w:name="_Toc351203481"/>
      <w:r>
        <w:rPr>
          <w:rFonts w:hint="eastAsia" w:ascii="宋体" w:hAnsi="宋体" w:eastAsia="宋体" w:cs="宋体"/>
          <w:b w:val="0"/>
          <w:bCs/>
          <w:i w:val="0"/>
          <w:caps w:val="0"/>
          <w:color w:val="auto"/>
          <w:spacing w:val="0"/>
          <w:w w:val="100"/>
          <w:sz w:val="24"/>
          <w:highlight w:val="none"/>
        </w:rPr>
        <w:t>一、工程概况</w:t>
      </w:r>
      <w:bookmarkEnd w:id="296"/>
    </w:p>
    <w:p w14:paraId="1D88DC8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u w:val="single"/>
        </w:rPr>
      </w:pPr>
      <w:r>
        <w:rPr>
          <w:rFonts w:hint="eastAsia" w:ascii="宋体" w:hAnsi="宋体" w:eastAsia="宋体" w:cs="宋体"/>
          <w:b w:val="0"/>
          <w:bCs/>
          <w:i w:val="0"/>
          <w:caps w:val="0"/>
          <w:color w:val="auto"/>
          <w:spacing w:val="0"/>
          <w:w w:val="100"/>
          <w:sz w:val="24"/>
          <w:highlight w:val="none"/>
        </w:rPr>
        <w:t>1.工程名称</w:t>
      </w:r>
      <w:r>
        <w:rPr>
          <w:rFonts w:hint="eastAsia" w:ascii="宋体" w:hAnsi="宋体" w:eastAsia="宋体" w:cs="宋体"/>
          <w:b w:val="0"/>
          <w:i w:val="0"/>
          <w:caps w:val="0"/>
          <w:color w:val="auto"/>
          <w:spacing w:val="0"/>
          <w:w w:val="100"/>
          <w:sz w:val="24"/>
          <w:highlight w:val="none"/>
        </w:rPr>
        <w:t>：</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w:t>
      </w:r>
    </w:p>
    <w:p w14:paraId="723C1385">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2.工程地点：</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w:t>
      </w:r>
    </w:p>
    <w:p w14:paraId="0470F3F5">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3.工程立项批准文号：</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bCs/>
          <w:i w:val="0"/>
          <w:caps w:val="0"/>
          <w:color w:val="auto"/>
          <w:spacing w:val="0"/>
          <w:w w:val="100"/>
          <w:sz w:val="24"/>
          <w:highlight w:val="none"/>
        </w:rPr>
        <w:t>。</w:t>
      </w:r>
    </w:p>
    <w:p w14:paraId="543A8DD8">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4.资金来源：</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bCs/>
          <w:i w:val="0"/>
          <w:caps w:val="0"/>
          <w:color w:val="auto"/>
          <w:spacing w:val="0"/>
          <w:w w:val="100"/>
          <w:sz w:val="24"/>
          <w:highlight w:val="none"/>
        </w:rPr>
        <w:t>。</w:t>
      </w:r>
    </w:p>
    <w:p w14:paraId="0C0B16E5">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5.工程内容：</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bCs/>
          <w:i w:val="0"/>
          <w:caps w:val="0"/>
          <w:color w:val="auto"/>
          <w:spacing w:val="0"/>
          <w:w w:val="100"/>
          <w:sz w:val="24"/>
          <w:highlight w:val="none"/>
        </w:rPr>
        <w:t>。</w:t>
      </w:r>
    </w:p>
    <w:p w14:paraId="7D4AD9C9">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群体工程应附《承包人承揽工程项目一览表》（附件1）。</w:t>
      </w:r>
    </w:p>
    <w:p w14:paraId="59CBB452">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6.工程承包范围：</w:t>
      </w:r>
    </w:p>
    <w:p w14:paraId="79265FCC">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u w:val="single" w:color="000000"/>
        </w:rPr>
        <w:t>                        </w:t>
      </w:r>
      <w:r>
        <w:rPr>
          <w:rFonts w:hint="eastAsia" w:ascii="宋体" w:hAnsi="宋体" w:eastAsia="宋体" w:cs="宋体"/>
          <w:b w:val="0"/>
          <w:i w:val="0"/>
          <w:caps w:val="0"/>
          <w:color w:val="auto"/>
          <w:spacing w:val="0"/>
          <w:w w:val="100"/>
          <w:sz w:val="24"/>
          <w:highlight w:val="none"/>
        </w:rPr>
        <w:t>。</w:t>
      </w:r>
    </w:p>
    <w:p w14:paraId="5080EDE8">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bookmarkStart w:id="297" w:name="_Toc351203482"/>
      <w:r>
        <w:rPr>
          <w:rFonts w:hint="eastAsia" w:ascii="宋体" w:hAnsi="宋体" w:eastAsia="宋体" w:cs="宋体"/>
          <w:b w:val="0"/>
          <w:bCs/>
          <w:i w:val="0"/>
          <w:caps w:val="0"/>
          <w:color w:val="auto"/>
          <w:spacing w:val="0"/>
          <w:w w:val="100"/>
          <w:sz w:val="24"/>
          <w:highlight w:val="none"/>
        </w:rPr>
        <w:t>二、合同工期</w:t>
      </w:r>
      <w:bookmarkEnd w:id="297"/>
    </w:p>
    <w:p w14:paraId="2B99A3F7">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计划开工日期：</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年</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月</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日。</w:t>
      </w:r>
    </w:p>
    <w:p w14:paraId="59F850C1">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计划完工日期：</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年</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月</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日。</w:t>
      </w:r>
    </w:p>
    <w:p w14:paraId="01077FD4">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工期总日历天数：</w:t>
      </w:r>
      <w:r>
        <w:rPr>
          <w:rFonts w:hint="eastAsia" w:ascii="宋体" w:hAnsi="宋体" w:eastAsia="宋体" w:cs="宋体"/>
          <w:b w:val="0"/>
          <w:i w:val="0"/>
          <w:caps w:val="0"/>
          <w:color w:val="auto"/>
          <w:spacing w:val="0"/>
          <w:w w:val="100"/>
          <w:sz w:val="24"/>
          <w:highlight w:val="none"/>
          <w:u w:val="single" w:color="000000"/>
        </w:rPr>
        <w:t></w:t>
      </w:r>
      <w:r>
        <w:rPr>
          <w:rFonts w:hint="eastAsia" w:ascii="宋体" w:hAnsi="宋体" w:eastAsia="宋体" w:cs="宋体"/>
          <w:b w:val="0"/>
          <w:i w:val="0"/>
          <w:caps w:val="0"/>
          <w:color w:val="auto"/>
          <w:spacing w:val="0"/>
          <w:w w:val="100"/>
          <w:sz w:val="24"/>
          <w:highlight w:val="none"/>
        </w:rPr>
        <w:t>天。工期总日历天数与根据前述计划开完工日期计算的工期天数不一致的，以工期总日历天数为准。</w:t>
      </w:r>
    </w:p>
    <w:p w14:paraId="626F10B0">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298" w:name="_Toc351203483"/>
      <w:r>
        <w:rPr>
          <w:rFonts w:hint="eastAsia" w:ascii="宋体" w:hAnsi="宋体" w:eastAsia="宋体" w:cs="宋体"/>
          <w:b w:val="0"/>
          <w:bCs/>
          <w:i w:val="0"/>
          <w:caps w:val="0"/>
          <w:color w:val="auto"/>
          <w:spacing w:val="0"/>
          <w:w w:val="100"/>
          <w:sz w:val="24"/>
          <w:highlight w:val="none"/>
        </w:rPr>
        <w:t>三、质量标准</w:t>
      </w:r>
      <w:bookmarkEnd w:id="298"/>
    </w:p>
    <w:p w14:paraId="19DFB35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工程质量符合</w:t>
      </w:r>
      <w:r>
        <w:rPr>
          <w:rFonts w:hint="eastAsia" w:ascii="宋体" w:hAnsi="宋体" w:eastAsia="宋体" w:cs="宋体"/>
          <w:b w:val="0"/>
          <w:i w:val="0"/>
          <w:caps w:val="0"/>
          <w:color w:val="auto"/>
          <w:spacing w:val="0"/>
          <w:w w:val="100"/>
          <w:sz w:val="24"/>
          <w:highlight w:val="none"/>
          <w:u w:val="single" w:color="000000"/>
        </w:rPr>
        <w:t> </w:t>
      </w:r>
      <w:r>
        <w:rPr>
          <w:rFonts w:hint="eastAsia" w:ascii="宋体" w:hAnsi="宋体" w:eastAsia="宋体" w:cs="宋体"/>
          <w:b w:val="0"/>
          <w:i w:val="0"/>
          <w:caps w:val="0"/>
          <w:color w:val="auto"/>
          <w:spacing w:val="0"/>
          <w:w w:val="100"/>
          <w:sz w:val="24"/>
          <w:highlight w:val="none"/>
        </w:rPr>
        <w:t>标准。</w:t>
      </w:r>
    </w:p>
    <w:p w14:paraId="0C98CC50">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299" w:name="_Toc351203484"/>
      <w:bookmarkStart w:id="300" w:name="_Toc351203486"/>
      <w:r>
        <w:rPr>
          <w:rFonts w:hint="eastAsia" w:ascii="宋体" w:hAnsi="宋体" w:eastAsia="宋体" w:cs="宋体"/>
          <w:b w:val="0"/>
          <w:bCs/>
          <w:i w:val="0"/>
          <w:caps w:val="0"/>
          <w:color w:val="auto"/>
          <w:spacing w:val="0"/>
          <w:w w:val="100"/>
          <w:sz w:val="24"/>
          <w:highlight w:val="none"/>
        </w:rPr>
        <w:t>四、签约合同价与合同价格形式</w:t>
      </w:r>
      <w:bookmarkEnd w:id="299"/>
      <w:r>
        <w:rPr>
          <w:rFonts w:hint="eastAsia" w:ascii="宋体" w:hAnsi="宋体" w:eastAsia="宋体" w:cs="宋体"/>
          <w:b w:val="0"/>
          <w:bCs/>
          <w:i w:val="0"/>
          <w:caps w:val="0"/>
          <w:color w:val="auto"/>
          <w:spacing w:val="0"/>
          <w:w w:val="100"/>
          <w:sz w:val="24"/>
          <w:highlight w:val="none"/>
        </w:rPr>
        <w:tab/>
      </w:r>
    </w:p>
    <w:p w14:paraId="65A15490">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1.签约合同价为：</w:t>
      </w:r>
    </w:p>
    <w:p w14:paraId="5EE78B82">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人民币（大写）</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元）</w:t>
      </w:r>
    </w:p>
    <w:p w14:paraId="16F83CAD">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 xml:space="preserve">其中： </w:t>
      </w:r>
    </w:p>
    <w:p w14:paraId="2730AA5D">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（1）安全文明施工费：</w:t>
      </w:r>
    </w:p>
    <w:p w14:paraId="27D68FBF">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人民币（大写）</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元）</w:t>
      </w:r>
    </w:p>
    <w:p w14:paraId="6A07DA40">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（2）材料和工程设备暂估价金额：</w:t>
      </w:r>
    </w:p>
    <w:p w14:paraId="6243DB57">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人民币（大写）</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元）</w:t>
      </w:r>
    </w:p>
    <w:p w14:paraId="16F95880">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（3）专业工程暂估价金额：</w:t>
      </w:r>
    </w:p>
    <w:p w14:paraId="194C97AE">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人民币（大写）</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元）</w:t>
      </w:r>
    </w:p>
    <w:p w14:paraId="0783B3EE">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（4）暂列金额：</w:t>
      </w:r>
    </w:p>
    <w:p w14:paraId="6508C8E5">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人民币（大写）</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元）</w:t>
      </w:r>
    </w:p>
    <w:p w14:paraId="3F94F260">
      <w:pPr>
        <w:numPr>
          <w:ilvl w:val="0"/>
          <w:numId w:val="8"/>
        </w:num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4"/>
          <w:highlight w:val="none"/>
          <w:lang w:eastAsia="zh-CN"/>
        </w:rPr>
      </w:pPr>
      <w:r>
        <w:rPr>
          <w:rFonts w:hint="eastAsia" w:ascii="宋体" w:hAnsi="宋体" w:eastAsia="宋体" w:cs="宋体"/>
          <w:b w:val="0"/>
          <w:i w:val="0"/>
          <w:caps w:val="0"/>
          <w:color w:val="auto"/>
          <w:spacing w:val="0"/>
          <w:w w:val="100"/>
          <w:sz w:val="24"/>
          <w:highlight w:val="none"/>
          <w:lang w:eastAsia="zh-CN"/>
        </w:rPr>
        <w:t>付款方式：</w:t>
      </w:r>
      <w:r>
        <w:rPr>
          <w:rFonts w:hint="eastAsia" w:ascii="宋体" w:hAnsi="宋体" w:cs="宋体"/>
          <w:b w:val="0"/>
          <w:i w:val="0"/>
          <w:caps w:val="0"/>
          <w:color w:val="auto"/>
          <w:spacing w:val="0"/>
          <w:w w:val="100"/>
          <w:sz w:val="24"/>
          <w:highlight w:val="none"/>
          <w:lang w:val="en-US" w:eastAsia="zh-CN"/>
        </w:rPr>
        <w:t>/</w:t>
      </w:r>
    </w:p>
    <w:p w14:paraId="10BEAF89">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2.合同价格形式：</w:t>
      </w:r>
      <w:r>
        <w:rPr>
          <w:rFonts w:hint="eastAsia" w:ascii="宋体" w:hAnsi="宋体" w:eastAsia="宋体" w:cs="宋体"/>
          <w:b w:val="0"/>
          <w:i w:val="0"/>
          <w:caps w:val="0"/>
          <w:color w:val="auto"/>
          <w:spacing w:val="0"/>
          <w:w w:val="100"/>
          <w:sz w:val="24"/>
          <w:highlight w:val="none"/>
          <w:u w:val="single" w:color="000000"/>
        </w:rPr>
        <w:t>                      </w:t>
      </w:r>
      <w:r>
        <w:rPr>
          <w:rFonts w:hint="eastAsia" w:ascii="宋体" w:hAnsi="宋体" w:eastAsia="宋体" w:cs="宋体"/>
          <w:b w:val="0"/>
          <w:i w:val="0"/>
          <w:caps w:val="0"/>
          <w:color w:val="auto"/>
          <w:spacing w:val="0"/>
          <w:w w:val="100"/>
          <w:sz w:val="24"/>
          <w:highlight w:val="none"/>
        </w:rPr>
        <w:t>。</w:t>
      </w:r>
    </w:p>
    <w:p w14:paraId="2AC09F94">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bookmarkStart w:id="301" w:name="_Toc351203485"/>
      <w:r>
        <w:rPr>
          <w:rFonts w:hint="eastAsia" w:ascii="宋体" w:hAnsi="宋体" w:eastAsia="宋体" w:cs="宋体"/>
          <w:b w:val="0"/>
          <w:bCs/>
          <w:i w:val="0"/>
          <w:caps w:val="0"/>
          <w:color w:val="auto"/>
          <w:spacing w:val="0"/>
          <w:w w:val="100"/>
          <w:sz w:val="24"/>
          <w:highlight w:val="none"/>
        </w:rPr>
        <w:t>五、</w:t>
      </w:r>
      <w:bookmarkEnd w:id="301"/>
      <w:r>
        <w:rPr>
          <w:rFonts w:hint="eastAsia" w:ascii="宋体" w:hAnsi="宋体" w:eastAsia="宋体" w:cs="宋体"/>
          <w:b w:val="0"/>
          <w:bCs/>
          <w:i w:val="0"/>
          <w:caps w:val="0"/>
          <w:color w:val="auto"/>
          <w:spacing w:val="0"/>
          <w:w w:val="100"/>
          <w:sz w:val="24"/>
          <w:highlight w:val="none"/>
        </w:rPr>
        <w:t>项目经理</w:t>
      </w:r>
    </w:p>
    <w:p w14:paraId="5FCB337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承包人项目经理：</w:t>
      </w:r>
      <w:r>
        <w:rPr>
          <w:rFonts w:hint="eastAsia" w:ascii="宋体" w:hAnsi="宋体" w:eastAsia="宋体" w:cs="宋体"/>
          <w:b w:val="0"/>
          <w:i w:val="0"/>
          <w:caps w:val="0"/>
          <w:color w:val="auto"/>
          <w:spacing w:val="0"/>
          <w:w w:val="100"/>
          <w:sz w:val="24"/>
          <w:highlight w:val="none"/>
          <w:u w:val="single" w:color="000000"/>
        </w:rPr>
        <w:t>                     </w:t>
      </w:r>
      <w:r>
        <w:rPr>
          <w:rFonts w:hint="eastAsia" w:ascii="宋体" w:hAnsi="宋体" w:eastAsia="宋体" w:cs="宋体"/>
          <w:b w:val="0"/>
          <w:i w:val="0"/>
          <w:caps w:val="0"/>
          <w:color w:val="auto"/>
          <w:spacing w:val="0"/>
          <w:w w:val="100"/>
          <w:sz w:val="24"/>
          <w:highlight w:val="none"/>
        </w:rPr>
        <w:t>。</w:t>
      </w:r>
    </w:p>
    <w:p w14:paraId="6DC83A14">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六、合同文件构成</w:t>
      </w:r>
      <w:bookmarkEnd w:id="300"/>
    </w:p>
    <w:p w14:paraId="1529C03F">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本协议书与下列文件一起构成合同文件：</w:t>
      </w:r>
    </w:p>
    <w:p w14:paraId="706227E7">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（1）中标通知书（如果有）；</w:t>
      </w:r>
    </w:p>
    <w:p w14:paraId="3738240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（2）响应函及其附录（如果有）；</w:t>
      </w:r>
    </w:p>
    <w:p w14:paraId="3FF8FE51">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（3）专用合同条款及其附件；</w:t>
      </w:r>
    </w:p>
    <w:p w14:paraId="17271686">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（4）通用合同条款；</w:t>
      </w:r>
    </w:p>
    <w:p w14:paraId="067ED71B">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（5）技术标准和要求；</w:t>
      </w:r>
    </w:p>
    <w:p w14:paraId="5D45347A">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（6）图纸（如有）；</w:t>
      </w:r>
    </w:p>
    <w:p w14:paraId="21D009D4">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（7）已标价工程量清单或预算书；</w:t>
      </w:r>
    </w:p>
    <w:p w14:paraId="69D75109">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（8）其他合同文件。</w:t>
      </w:r>
    </w:p>
    <w:p w14:paraId="45F07E08">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在合同订立及履行过程中形成的与合同有关的文件均构成合同文件组成部分。</w:t>
      </w:r>
    </w:p>
    <w:p w14:paraId="591DFA82">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上述各项合同文件包括合同当事人就该项合同文件所作出的补充和修改，属于同一类内容的文件，应以最新签署的为准。专用合同条款及其附件须经合同当事人签字或盖章。</w:t>
      </w:r>
    </w:p>
    <w:p w14:paraId="77C6F545">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bookmarkStart w:id="302" w:name="_Toc351203487"/>
      <w:r>
        <w:rPr>
          <w:rFonts w:hint="eastAsia" w:ascii="宋体" w:hAnsi="宋体" w:eastAsia="宋体" w:cs="宋体"/>
          <w:b w:val="0"/>
          <w:bCs/>
          <w:i w:val="0"/>
          <w:caps w:val="0"/>
          <w:color w:val="auto"/>
          <w:spacing w:val="0"/>
          <w:w w:val="100"/>
          <w:sz w:val="24"/>
          <w:highlight w:val="none"/>
        </w:rPr>
        <w:t>七、承诺</w:t>
      </w:r>
      <w:bookmarkEnd w:id="302"/>
    </w:p>
    <w:p w14:paraId="27D41FF2">
      <w:pPr>
        <w:snapToGrid w:val="0"/>
        <w:spacing w:before="0" w:beforeAutospacing="0" w:after="0" w:afterAutospacing="0" w:line="360" w:lineRule="auto"/>
        <w:ind w:firstLine="480" w:firstLineChars="200"/>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1.发包人承诺按照法律规定履行项目审批手续、筹集工程建设资金并按照合同约定的期限和方式支付合同价款。</w:t>
      </w:r>
    </w:p>
    <w:p w14:paraId="711FF73D">
      <w:pPr>
        <w:snapToGrid w:val="0"/>
        <w:spacing w:before="0" w:beforeAutospacing="0" w:after="0" w:afterAutospacing="0" w:line="360" w:lineRule="auto"/>
        <w:ind w:firstLine="480" w:firstLineChars="200"/>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2.承包人承诺按照法律规定及合同约定组织完成工程施工，确保工程质量和安全，不进行转包及违法分包，并在缺陷责任期及保修期内承担相应的工程维修责任。</w:t>
      </w:r>
    </w:p>
    <w:p w14:paraId="60920F79">
      <w:pPr>
        <w:snapToGrid w:val="0"/>
        <w:spacing w:before="0" w:beforeAutospacing="0" w:after="0" w:afterAutospacing="0" w:line="360" w:lineRule="auto"/>
        <w:ind w:firstLine="424" w:firstLineChars="177"/>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3.发包人和承包人通过招谈判形式签订合同的，双方理解并承诺不再就同一工程另行签订与合同实质性内容相背离的协议。</w:t>
      </w:r>
    </w:p>
    <w:p w14:paraId="01286F47">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bookmarkStart w:id="303" w:name="_Toc351203488"/>
      <w:r>
        <w:rPr>
          <w:rFonts w:hint="eastAsia" w:ascii="宋体" w:hAnsi="宋体" w:eastAsia="宋体" w:cs="宋体"/>
          <w:b/>
          <w:i w:val="0"/>
          <w:caps w:val="0"/>
          <w:color w:val="auto"/>
          <w:spacing w:val="0"/>
          <w:w w:val="100"/>
          <w:sz w:val="24"/>
          <w:highlight w:val="none"/>
        </w:rPr>
        <w:t>八、词语含义</w:t>
      </w:r>
      <w:bookmarkEnd w:id="303"/>
    </w:p>
    <w:p w14:paraId="7B38B943">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本协议书中词语含义与第二部分通用合同条款中赋予的含义相同。</w:t>
      </w:r>
    </w:p>
    <w:p w14:paraId="2A5FF9DD">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304" w:name="_Toc351203489"/>
      <w:r>
        <w:rPr>
          <w:rFonts w:hint="eastAsia" w:ascii="宋体" w:hAnsi="宋体" w:eastAsia="宋体" w:cs="宋体"/>
          <w:b w:val="0"/>
          <w:bCs/>
          <w:i w:val="0"/>
          <w:caps w:val="0"/>
          <w:color w:val="auto"/>
          <w:spacing w:val="0"/>
          <w:w w:val="100"/>
          <w:sz w:val="24"/>
          <w:highlight w:val="none"/>
        </w:rPr>
        <w:t>九、签订时间</w:t>
      </w:r>
      <w:bookmarkEnd w:id="304"/>
    </w:p>
    <w:p w14:paraId="3D37B454">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本合同于</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年</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月</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日签订。</w:t>
      </w:r>
    </w:p>
    <w:p w14:paraId="52ED5929">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305" w:name="_Toc351203490"/>
      <w:r>
        <w:rPr>
          <w:rFonts w:hint="eastAsia" w:ascii="宋体" w:hAnsi="宋体" w:eastAsia="宋体" w:cs="宋体"/>
          <w:b w:val="0"/>
          <w:bCs/>
          <w:i w:val="0"/>
          <w:caps w:val="0"/>
          <w:color w:val="auto"/>
          <w:spacing w:val="0"/>
          <w:w w:val="100"/>
          <w:sz w:val="24"/>
          <w:highlight w:val="none"/>
        </w:rPr>
        <w:t>十、签订地点</w:t>
      </w:r>
      <w:bookmarkEnd w:id="305"/>
    </w:p>
    <w:p w14:paraId="602F8262">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本合同在</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签订。</w:t>
      </w:r>
    </w:p>
    <w:p w14:paraId="5713A8C4">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306" w:name="_Toc351203491"/>
      <w:r>
        <w:rPr>
          <w:rFonts w:hint="eastAsia" w:ascii="宋体" w:hAnsi="宋体" w:eastAsia="宋体" w:cs="宋体"/>
          <w:b w:val="0"/>
          <w:bCs/>
          <w:i w:val="0"/>
          <w:caps w:val="0"/>
          <w:color w:val="auto"/>
          <w:spacing w:val="0"/>
          <w:w w:val="100"/>
          <w:sz w:val="24"/>
          <w:highlight w:val="none"/>
        </w:rPr>
        <w:t>十一、补充协议</w:t>
      </w:r>
      <w:bookmarkEnd w:id="306"/>
    </w:p>
    <w:p w14:paraId="3E65BE32">
      <w:pPr>
        <w:snapToGrid w:val="0"/>
        <w:spacing w:before="0" w:beforeAutospacing="0" w:after="0" w:afterAutospacing="0" w:line="360" w:lineRule="auto"/>
        <w:textAlignment w:val="baseline"/>
        <w:rPr>
          <w:rFonts w:hint="eastAsia" w:ascii="宋体" w:hAnsi="宋体" w:eastAsia="宋体" w:cs="宋体"/>
          <w:b/>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合同未尽事宜，合同当事人另行签订补充协议，补充协议是合同的组成部分。</w:t>
      </w:r>
    </w:p>
    <w:p w14:paraId="77426445">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307" w:name="_Toc351203492"/>
      <w:r>
        <w:rPr>
          <w:rFonts w:hint="eastAsia" w:ascii="宋体" w:hAnsi="宋体" w:eastAsia="宋体" w:cs="宋体"/>
          <w:b w:val="0"/>
          <w:bCs/>
          <w:i w:val="0"/>
          <w:caps w:val="0"/>
          <w:color w:val="auto"/>
          <w:spacing w:val="0"/>
          <w:w w:val="100"/>
          <w:sz w:val="24"/>
          <w:highlight w:val="none"/>
        </w:rPr>
        <w:t>十二、合同生效</w:t>
      </w:r>
      <w:bookmarkEnd w:id="307"/>
    </w:p>
    <w:p w14:paraId="3AB61500">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本合同自</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生效。</w:t>
      </w:r>
    </w:p>
    <w:p w14:paraId="6FB0402E">
      <w:pPr>
        <w:snapToGrid w:val="0"/>
        <w:spacing w:before="0" w:beforeAutospacing="0" w:after="0" w:afterAutospacing="0" w:line="360" w:lineRule="auto"/>
        <w:textAlignment w:val="baseline"/>
        <w:rPr>
          <w:rFonts w:hint="eastAsia" w:ascii="宋体" w:hAnsi="宋体" w:eastAsia="宋体" w:cs="宋体"/>
          <w:b/>
          <w:i w:val="0"/>
          <w:caps w:val="0"/>
          <w:color w:val="auto"/>
          <w:spacing w:val="0"/>
          <w:w w:val="100"/>
          <w:sz w:val="20"/>
          <w:highlight w:val="none"/>
        </w:rPr>
      </w:pPr>
      <w:bookmarkStart w:id="308" w:name="_Toc351203493"/>
      <w:r>
        <w:rPr>
          <w:rFonts w:hint="eastAsia" w:ascii="宋体" w:hAnsi="宋体" w:eastAsia="宋体" w:cs="宋体"/>
          <w:b w:val="0"/>
          <w:bCs/>
          <w:i w:val="0"/>
          <w:caps w:val="0"/>
          <w:color w:val="auto"/>
          <w:spacing w:val="0"/>
          <w:w w:val="100"/>
          <w:sz w:val="24"/>
          <w:highlight w:val="none"/>
        </w:rPr>
        <w:t>十三、合同份数</w:t>
      </w:r>
      <w:bookmarkEnd w:id="308"/>
    </w:p>
    <w:p w14:paraId="506987E3">
      <w:pPr>
        <w:snapToGrid w:val="0"/>
        <w:spacing w:before="0" w:beforeAutospacing="0" w:after="0" w:afterAutospacing="0" w:line="360" w:lineRule="auto"/>
        <w:textAlignment w:val="baseline"/>
        <w:rPr>
          <w:rFonts w:hint="eastAsia" w:ascii="宋体" w:hAnsi="宋体" w:eastAsia="宋体" w:cs="宋体"/>
          <w:b w:val="0"/>
          <w:bCs/>
          <w:i w:val="0"/>
          <w:caps w:val="0"/>
          <w:color w:val="auto"/>
          <w:spacing w:val="0"/>
          <w:w w:val="100"/>
          <w:sz w:val="20"/>
          <w:highlight w:val="none"/>
        </w:rPr>
      </w:pPr>
      <w:r>
        <w:rPr>
          <w:rFonts w:hint="eastAsia" w:ascii="宋体" w:hAnsi="宋体" w:eastAsia="宋体" w:cs="宋体"/>
          <w:b w:val="0"/>
          <w:bCs/>
          <w:i w:val="0"/>
          <w:caps w:val="0"/>
          <w:color w:val="auto"/>
          <w:spacing w:val="0"/>
          <w:w w:val="100"/>
          <w:sz w:val="24"/>
          <w:highlight w:val="none"/>
        </w:rPr>
        <w:t>本合同一式</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份，均具有同等法律效力，发包人执</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份，承包人执</w:t>
      </w:r>
      <w:r>
        <w:rPr>
          <w:rFonts w:hint="eastAsia" w:ascii="宋体" w:hAnsi="宋体" w:eastAsia="宋体" w:cs="宋体"/>
          <w:b w:val="0"/>
          <w:bCs/>
          <w:i w:val="0"/>
          <w:caps w:val="0"/>
          <w:color w:val="auto"/>
          <w:spacing w:val="0"/>
          <w:w w:val="100"/>
          <w:sz w:val="24"/>
          <w:highlight w:val="none"/>
          <w:u w:val="single" w:color="000000"/>
        </w:rPr>
        <w:t xml:space="preserve">     </w:t>
      </w:r>
      <w:r>
        <w:rPr>
          <w:rFonts w:hint="eastAsia" w:ascii="宋体" w:hAnsi="宋体" w:eastAsia="宋体" w:cs="宋体"/>
          <w:b w:val="0"/>
          <w:bCs/>
          <w:i w:val="0"/>
          <w:caps w:val="0"/>
          <w:color w:val="auto"/>
          <w:spacing w:val="0"/>
          <w:w w:val="100"/>
          <w:sz w:val="24"/>
          <w:highlight w:val="none"/>
        </w:rPr>
        <w:t>份。</w:t>
      </w:r>
    </w:p>
    <w:p w14:paraId="7F109CA4">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rPr>
      </w:pPr>
    </w:p>
    <w:p w14:paraId="571DE5E6">
      <w:pPr>
        <w:pStyle w:val="10"/>
        <w:snapToGrid w:val="0"/>
        <w:spacing w:before="0" w:beforeAutospacing="0" w:after="120" w:afterAutospacing="0" w:line="240" w:lineRule="auto"/>
        <w:jc w:val="both"/>
        <w:textAlignment w:val="baseline"/>
        <w:rPr>
          <w:rFonts w:hint="eastAsia" w:ascii="宋体" w:hAnsi="宋体" w:eastAsia="宋体" w:cs="宋体"/>
          <w:b w:val="0"/>
          <w:i w:val="0"/>
          <w:caps w:val="0"/>
          <w:color w:val="auto"/>
          <w:spacing w:val="0"/>
          <w:w w:val="100"/>
          <w:sz w:val="21"/>
          <w:highlight w:val="none"/>
        </w:rPr>
      </w:pPr>
    </w:p>
    <w:p w14:paraId="5317866B">
      <w:pPr>
        <w:pStyle w:val="33"/>
        <w:tabs>
          <w:tab w:val="center" w:pos="4201"/>
          <w:tab w:val="right" w:leader="dot" w:pos="9298"/>
        </w:tabs>
        <w:rPr>
          <w:rFonts w:hint="eastAsia" w:ascii="宋体" w:hAnsi="宋体" w:eastAsia="宋体" w:cs="宋体"/>
          <w:b w:val="0"/>
          <w:i w:val="0"/>
          <w:caps w:val="0"/>
          <w:color w:val="auto"/>
          <w:spacing w:val="0"/>
          <w:w w:val="100"/>
          <w:sz w:val="21"/>
          <w:highlight w:val="none"/>
        </w:rPr>
      </w:pPr>
    </w:p>
    <w:p w14:paraId="24FF26F0">
      <w:pPr>
        <w:rPr>
          <w:rFonts w:hint="eastAsia"/>
          <w:color w:val="auto"/>
        </w:rPr>
      </w:pPr>
    </w:p>
    <w:p w14:paraId="347C689F">
      <w:pPr>
        <w:rPr>
          <w:rFonts w:hint="eastAsia"/>
          <w:color w:val="auto"/>
        </w:rPr>
      </w:pPr>
    </w:p>
    <w:p w14:paraId="0E857256">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发包人：  (公章)                         承包人：  (公章)</w:t>
      </w:r>
    </w:p>
    <w:p w14:paraId="5D7A4CE0">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u w:val="single"/>
        </w:rPr>
      </w:pPr>
    </w:p>
    <w:p w14:paraId="21908216">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法定代表人或其委托代理人：（签字）       法定代表人或其委托代理人：（签字）</w:t>
      </w:r>
    </w:p>
    <w:p w14:paraId="5E6723FB">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u w:val="single"/>
        </w:rPr>
      </w:pPr>
    </w:p>
    <w:p w14:paraId="774533C1">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组织机构代码：</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 xml:space="preserve">       组织机构代码：</w:t>
      </w:r>
      <w:r>
        <w:rPr>
          <w:rFonts w:hint="eastAsia" w:ascii="宋体" w:hAnsi="宋体" w:eastAsia="宋体" w:cs="宋体"/>
          <w:b w:val="0"/>
          <w:i w:val="0"/>
          <w:caps w:val="0"/>
          <w:color w:val="auto"/>
          <w:spacing w:val="0"/>
          <w:w w:val="100"/>
          <w:sz w:val="24"/>
          <w:highlight w:val="none"/>
          <w:u w:val="single" w:color="000000"/>
        </w:rPr>
        <w:t xml:space="preserve">                    </w:t>
      </w:r>
    </w:p>
    <w:p w14:paraId="5F35C8BD">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7BC7A72D">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地址：</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 xml:space="preserve">       地址：</w:t>
      </w:r>
      <w:r>
        <w:rPr>
          <w:rFonts w:hint="eastAsia" w:ascii="宋体" w:hAnsi="宋体" w:eastAsia="宋体" w:cs="宋体"/>
          <w:b w:val="0"/>
          <w:i w:val="0"/>
          <w:caps w:val="0"/>
          <w:color w:val="auto"/>
          <w:spacing w:val="0"/>
          <w:w w:val="100"/>
          <w:sz w:val="24"/>
          <w:highlight w:val="none"/>
          <w:u w:val="single" w:color="000000"/>
        </w:rPr>
        <w:t xml:space="preserve">                  </w:t>
      </w:r>
    </w:p>
    <w:p w14:paraId="39DEF94E">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31367F77">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邮政编码：</w:t>
      </w:r>
      <w:r>
        <w:rPr>
          <w:rFonts w:hint="eastAsia" w:ascii="宋体" w:hAnsi="宋体" w:eastAsia="宋体" w:cs="宋体"/>
          <w:b w:val="0"/>
          <w:i w:val="0"/>
          <w:caps w:val="0"/>
          <w:color w:val="auto"/>
          <w:spacing w:val="0"/>
          <w:w w:val="100"/>
          <w:sz w:val="24"/>
          <w:highlight w:val="none"/>
          <w:u w:val="single" w:color="000000"/>
        </w:rPr>
        <w:t xml:space="preserve">           </w:t>
      </w:r>
      <w:r>
        <w:rPr>
          <w:rFonts w:hint="eastAsia" w:ascii="宋体" w:hAnsi="宋体" w:eastAsia="宋体" w:cs="宋体"/>
          <w:b w:val="0"/>
          <w:i w:val="0"/>
          <w:caps w:val="0"/>
          <w:color w:val="auto"/>
          <w:spacing w:val="0"/>
          <w:w w:val="100"/>
          <w:sz w:val="24"/>
          <w:highlight w:val="none"/>
        </w:rPr>
        <w:t xml:space="preserve">       邮政编码：</w:t>
      </w:r>
      <w:r>
        <w:rPr>
          <w:rFonts w:hint="eastAsia" w:ascii="宋体" w:hAnsi="宋体" w:eastAsia="宋体" w:cs="宋体"/>
          <w:b w:val="0"/>
          <w:i w:val="0"/>
          <w:caps w:val="0"/>
          <w:color w:val="auto"/>
          <w:spacing w:val="0"/>
          <w:w w:val="100"/>
          <w:sz w:val="24"/>
          <w:highlight w:val="none"/>
          <w:u w:val="single" w:color="000000"/>
        </w:rPr>
        <w:t xml:space="preserve">          </w:t>
      </w:r>
    </w:p>
    <w:p w14:paraId="45F917C9">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6D5B136D">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法定代表人：</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 xml:space="preserve">        法定代表人：</w:t>
      </w:r>
      <w:r>
        <w:rPr>
          <w:rFonts w:hint="eastAsia" w:ascii="宋体" w:hAnsi="宋体" w:eastAsia="宋体" w:cs="宋体"/>
          <w:b w:val="0"/>
          <w:i w:val="0"/>
          <w:caps w:val="0"/>
          <w:color w:val="auto"/>
          <w:spacing w:val="0"/>
          <w:w w:val="100"/>
          <w:sz w:val="24"/>
          <w:highlight w:val="none"/>
          <w:u w:val="single" w:color="000000"/>
        </w:rPr>
        <w:t xml:space="preserve">                      </w:t>
      </w:r>
    </w:p>
    <w:p w14:paraId="4BEBC3E0">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1D02C9FB">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委托代理人：</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 xml:space="preserve">        委托代理人：</w:t>
      </w:r>
      <w:r>
        <w:rPr>
          <w:rFonts w:hint="eastAsia" w:ascii="宋体" w:hAnsi="宋体" w:eastAsia="宋体" w:cs="宋体"/>
          <w:b w:val="0"/>
          <w:i w:val="0"/>
          <w:caps w:val="0"/>
          <w:color w:val="auto"/>
          <w:spacing w:val="0"/>
          <w:w w:val="100"/>
          <w:sz w:val="24"/>
          <w:highlight w:val="none"/>
          <w:u w:val="single" w:color="000000"/>
        </w:rPr>
        <w:t xml:space="preserve">                             </w:t>
      </w:r>
    </w:p>
    <w:p w14:paraId="0B7DE060">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53D7705B">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电话：</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 xml:space="preserve">        电话：</w:t>
      </w:r>
      <w:r>
        <w:rPr>
          <w:rFonts w:hint="eastAsia" w:ascii="宋体" w:hAnsi="宋体" w:eastAsia="宋体" w:cs="宋体"/>
          <w:b w:val="0"/>
          <w:i w:val="0"/>
          <w:caps w:val="0"/>
          <w:color w:val="auto"/>
          <w:spacing w:val="0"/>
          <w:w w:val="100"/>
          <w:sz w:val="24"/>
          <w:highlight w:val="none"/>
          <w:u w:val="single" w:color="000000"/>
        </w:rPr>
        <w:t xml:space="preserve">               </w:t>
      </w:r>
    </w:p>
    <w:p w14:paraId="7EE1BACF">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09DB3F7E">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传真：</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 xml:space="preserve">         传真：</w:t>
      </w:r>
      <w:r>
        <w:rPr>
          <w:rFonts w:hint="eastAsia" w:ascii="宋体" w:hAnsi="宋体" w:eastAsia="宋体" w:cs="宋体"/>
          <w:b w:val="0"/>
          <w:i w:val="0"/>
          <w:caps w:val="0"/>
          <w:color w:val="auto"/>
          <w:spacing w:val="0"/>
          <w:w w:val="100"/>
          <w:sz w:val="24"/>
          <w:highlight w:val="none"/>
          <w:u w:val="single" w:color="000000"/>
        </w:rPr>
        <w:t xml:space="preserve">             </w:t>
      </w:r>
    </w:p>
    <w:p w14:paraId="5043411A">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585D04A3">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电子信箱：</w:t>
      </w:r>
      <w:r>
        <w:rPr>
          <w:rFonts w:hint="eastAsia" w:ascii="宋体" w:hAnsi="宋体" w:eastAsia="宋体" w:cs="宋体"/>
          <w:b w:val="0"/>
          <w:i w:val="0"/>
          <w:caps w:val="0"/>
          <w:color w:val="auto"/>
          <w:spacing w:val="0"/>
          <w:w w:val="100"/>
          <w:sz w:val="24"/>
          <w:highlight w:val="none"/>
          <w:u w:val="single" w:color="000000"/>
        </w:rPr>
        <w:t xml:space="preserve">                     </w:t>
      </w:r>
      <w:r>
        <w:rPr>
          <w:rFonts w:hint="eastAsia" w:ascii="宋体" w:hAnsi="宋体" w:eastAsia="宋体" w:cs="宋体"/>
          <w:b w:val="0"/>
          <w:i w:val="0"/>
          <w:caps w:val="0"/>
          <w:color w:val="auto"/>
          <w:spacing w:val="0"/>
          <w:w w:val="100"/>
          <w:sz w:val="24"/>
          <w:highlight w:val="none"/>
        </w:rPr>
        <w:t xml:space="preserve">         电子信箱：</w:t>
      </w:r>
      <w:r>
        <w:rPr>
          <w:rFonts w:hint="eastAsia" w:ascii="宋体" w:hAnsi="宋体" w:eastAsia="宋体" w:cs="宋体"/>
          <w:b w:val="0"/>
          <w:i w:val="0"/>
          <w:caps w:val="0"/>
          <w:color w:val="auto"/>
          <w:spacing w:val="0"/>
          <w:w w:val="100"/>
          <w:sz w:val="24"/>
          <w:highlight w:val="none"/>
          <w:u w:val="single" w:color="000000"/>
        </w:rPr>
        <w:t xml:space="preserve">        </w:t>
      </w:r>
    </w:p>
    <w:p w14:paraId="5E8D74C2">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176E78C3">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r>
        <w:rPr>
          <w:rFonts w:hint="eastAsia" w:ascii="宋体" w:hAnsi="宋体" w:eastAsia="宋体" w:cs="宋体"/>
          <w:b w:val="0"/>
          <w:i w:val="0"/>
          <w:caps w:val="0"/>
          <w:color w:val="auto"/>
          <w:spacing w:val="0"/>
          <w:w w:val="100"/>
          <w:sz w:val="24"/>
          <w:highlight w:val="none"/>
        </w:rPr>
        <w:t>开户银行：</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 xml:space="preserve">         开户银行：</w:t>
      </w:r>
      <w:r>
        <w:rPr>
          <w:rFonts w:hint="eastAsia" w:ascii="宋体" w:hAnsi="宋体" w:eastAsia="宋体" w:cs="宋体"/>
          <w:b w:val="0"/>
          <w:i w:val="0"/>
          <w:caps w:val="0"/>
          <w:color w:val="auto"/>
          <w:spacing w:val="0"/>
          <w:w w:val="100"/>
          <w:sz w:val="24"/>
          <w:highlight w:val="none"/>
          <w:u w:val="single" w:color="000000"/>
        </w:rPr>
        <w:t xml:space="preserve">       </w:t>
      </w:r>
    </w:p>
    <w:p w14:paraId="3A5C269A">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rPr>
      </w:pPr>
    </w:p>
    <w:p w14:paraId="606B747F">
      <w:pPr>
        <w:snapToGrid w:val="0"/>
        <w:spacing w:before="0" w:beforeAutospacing="0" w:after="0" w:afterAutospacing="0" w:line="240" w:lineRule="auto"/>
        <w:textAlignment w:val="baseline"/>
        <w:rPr>
          <w:rFonts w:hint="eastAsia" w:ascii="宋体" w:hAnsi="宋体" w:eastAsia="宋体" w:cs="宋体"/>
          <w:b w:val="0"/>
          <w:i w:val="0"/>
          <w:caps w:val="0"/>
          <w:color w:val="auto"/>
          <w:spacing w:val="0"/>
          <w:w w:val="100"/>
          <w:sz w:val="20"/>
          <w:highlight w:val="none"/>
          <w:u w:val="single"/>
        </w:rPr>
      </w:pPr>
      <w:r>
        <w:rPr>
          <w:rFonts w:hint="eastAsia" w:ascii="宋体" w:hAnsi="宋体" w:eastAsia="宋体" w:cs="宋体"/>
          <w:b w:val="0"/>
          <w:i w:val="0"/>
          <w:caps w:val="0"/>
          <w:color w:val="auto"/>
          <w:spacing w:val="0"/>
          <w:w w:val="100"/>
          <w:sz w:val="24"/>
          <w:highlight w:val="none"/>
        </w:rPr>
        <w:t>账号：</w:t>
      </w:r>
      <w:r>
        <w:rPr>
          <w:rFonts w:hint="eastAsia" w:ascii="宋体" w:hAnsi="宋体" w:eastAsia="宋体" w:cs="宋体"/>
          <w:b w:val="0"/>
          <w:i w:val="0"/>
          <w:caps w:val="0"/>
          <w:color w:val="auto"/>
          <w:spacing w:val="0"/>
          <w:w w:val="100"/>
          <w:sz w:val="24"/>
          <w:highlight w:val="none"/>
          <w:u w:val="single" w:color="000000"/>
        </w:rPr>
        <w:t xml:space="preserve">              </w:t>
      </w:r>
      <w:r>
        <w:rPr>
          <w:rFonts w:hint="eastAsia" w:ascii="宋体" w:hAnsi="宋体" w:eastAsia="宋体" w:cs="宋体"/>
          <w:b w:val="0"/>
          <w:i w:val="0"/>
          <w:caps w:val="0"/>
          <w:color w:val="auto"/>
          <w:spacing w:val="0"/>
          <w:w w:val="100"/>
          <w:sz w:val="24"/>
          <w:highlight w:val="none"/>
        </w:rPr>
        <w:t xml:space="preserve">         账号：</w:t>
      </w:r>
      <w:r>
        <w:rPr>
          <w:rFonts w:hint="eastAsia" w:ascii="宋体" w:hAnsi="宋体" w:eastAsia="宋体" w:cs="宋体"/>
          <w:b w:val="0"/>
          <w:i w:val="0"/>
          <w:caps w:val="0"/>
          <w:color w:val="auto"/>
          <w:spacing w:val="0"/>
          <w:w w:val="100"/>
          <w:sz w:val="24"/>
          <w:highlight w:val="none"/>
          <w:u w:val="single" w:color="000000"/>
        </w:rPr>
        <w:t xml:space="preserve">             </w:t>
      </w:r>
    </w:p>
    <w:p w14:paraId="169C3D98">
      <w:pPr>
        <w:pStyle w:val="10"/>
        <w:snapToGrid w:val="0"/>
        <w:spacing w:before="0" w:beforeAutospacing="0" w:after="120" w:afterAutospacing="0" w:line="240" w:lineRule="auto"/>
        <w:jc w:val="both"/>
        <w:textAlignment w:val="baseline"/>
        <w:rPr>
          <w:rFonts w:hint="eastAsia" w:ascii="宋体" w:hAnsi="宋体" w:eastAsia="宋体" w:cs="宋体"/>
          <w:b w:val="0"/>
          <w:i w:val="0"/>
          <w:caps w:val="0"/>
          <w:color w:val="auto"/>
          <w:spacing w:val="0"/>
          <w:w w:val="100"/>
          <w:sz w:val="21"/>
          <w:highlight w:val="none"/>
          <w:u w:val="single"/>
        </w:rPr>
      </w:pPr>
    </w:p>
    <w:p w14:paraId="730F4850">
      <w:pPr>
        <w:pStyle w:val="5"/>
        <w:snapToGrid w:val="0"/>
        <w:spacing w:before="260" w:beforeAutospacing="0" w:after="260" w:afterAutospacing="0" w:line="416" w:lineRule="auto"/>
        <w:jc w:val="center"/>
        <w:textAlignment w:val="baseline"/>
        <w:rPr>
          <w:rFonts w:hint="eastAsia" w:ascii="宋体" w:hAnsi="宋体" w:eastAsia="宋体" w:cs="宋体"/>
          <w:b/>
          <w:i w:val="0"/>
          <w:caps w:val="0"/>
          <w:color w:val="auto"/>
          <w:spacing w:val="0"/>
          <w:w w:val="100"/>
          <w:sz w:val="44"/>
          <w:szCs w:val="44"/>
          <w:highlight w:val="none"/>
        </w:rPr>
      </w:pPr>
      <w:bookmarkStart w:id="309" w:name="_Toc351203494"/>
      <w:bookmarkStart w:id="310" w:name="_Toc26002"/>
      <w:r>
        <w:rPr>
          <w:rFonts w:hint="eastAsia" w:ascii="宋体" w:hAnsi="宋体" w:eastAsia="宋体" w:cs="宋体"/>
          <w:b/>
          <w:i w:val="0"/>
          <w:caps w:val="0"/>
          <w:color w:val="auto"/>
          <w:spacing w:val="0"/>
          <w:w w:val="100"/>
          <w:sz w:val="44"/>
          <w:szCs w:val="44"/>
          <w:highlight w:val="none"/>
        </w:rPr>
        <w:t>第二部分 通用合同条款</w:t>
      </w:r>
      <w:bookmarkEnd w:id="309"/>
      <w:bookmarkEnd w:id="310"/>
      <w:bookmarkStart w:id="311" w:name="_Toc337558727"/>
    </w:p>
    <w:p w14:paraId="306CFF73">
      <w:pPr>
        <w:pStyle w:val="6"/>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12" w:name="_Toc351203495"/>
      <w:r>
        <w:rPr>
          <w:rFonts w:hint="eastAsia" w:ascii="宋体" w:hAnsi="宋体" w:eastAsia="宋体" w:cs="宋体"/>
          <w:b w:val="0"/>
          <w:i w:val="0"/>
          <w:caps w:val="0"/>
          <w:color w:val="auto"/>
          <w:spacing w:val="0"/>
          <w:w w:val="100"/>
          <w:sz w:val="24"/>
          <w:szCs w:val="24"/>
          <w:highlight w:val="none"/>
        </w:rPr>
        <w:t>1.</w:t>
      </w:r>
      <w:bookmarkStart w:id="313" w:name="_Toc303538975"/>
      <w:bookmarkEnd w:id="313"/>
      <w:bookmarkStart w:id="314" w:name="_Toc303538976"/>
      <w:bookmarkEnd w:id="314"/>
      <w:bookmarkStart w:id="315" w:name="_Toc303538972"/>
      <w:bookmarkEnd w:id="315"/>
      <w:bookmarkStart w:id="316" w:name="_Toc303538974"/>
      <w:bookmarkEnd w:id="316"/>
      <w:bookmarkStart w:id="317" w:name="_Toc303538973"/>
      <w:bookmarkEnd w:id="317"/>
      <w:bookmarkStart w:id="318" w:name="_Toc296503027"/>
      <w:bookmarkStart w:id="319" w:name="_Toc296346528"/>
      <w:r>
        <w:rPr>
          <w:rFonts w:hint="eastAsia" w:ascii="宋体" w:hAnsi="宋体" w:eastAsia="宋体" w:cs="宋体"/>
          <w:b w:val="0"/>
          <w:i w:val="0"/>
          <w:caps w:val="0"/>
          <w:color w:val="auto"/>
          <w:spacing w:val="0"/>
          <w:w w:val="100"/>
          <w:sz w:val="24"/>
          <w:szCs w:val="24"/>
          <w:highlight w:val="none"/>
        </w:rPr>
        <w:t xml:space="preserve"> 一般约定</w:t>
      </w:r>
      <w:bookmarkEnd w:id="311"/>
      <w:bookmarkEnd w:id="312"/>
      <w:bookmarkEnd w:id="318"/>
      <w:bookmarkEnd w:id="319"/>
    </w:p>
    <w:p w14:paraId="4D2D231C">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20" w:name="_Toc337558728"/>
      <w:bookmarkStart w:id="321" w:name="_Toc296503028"/>
      <w:bookmarkStart w:id="322" w:name="_Toc296346529"/>
      <w:bookmarkStart w:id="323" w:name="_Toc351203496"/>
      <w:r>
        <w:rPr>
          <w:rFonts w:hint="eastAsia" w:ascii="宋体" w:hAnsi="宋体" w:eastAsia="宋体" w:cs="宋体"/>
          <w:b w:val="0"/>
          <w:i w:val="0"/>
          <w:caps w:val="0"/>
          <w:color w:val="auto"/>
          <w:spacing w:val="0"/>
          <w:w w:val="100"/>
          <w:sz w:val="24"/>
          <w:szCs w:val="24"/>
          <w:highlight w:val="none"/>
        </w:rPr>
        <w:t>1.1词语定义</w:t>
      </w:r>
      <w:bookmarkEnd w:id="320"/>
      <w:bookmarkEnd w:id="321"/>
      <w:bookmarkEnd w:id="322"/>
      <w:r>
        <w:rPr>
          <w:rFonts w:hint="eastAsia" w:ascii="宋体" w:hAnsi="宋体" w:eastAsia="宋体" w:cs="宋体"/>
          <w:b w:val="0"/>
          <w:i w:val="0"/>
          <w:caps w:val="0"/>
          <w:color w:val="auto"/>
          <w:spacing w:val="0"/>
          <w:w w:val="100"/>
          <w:sz w:val="24"/>
          <w:szCs w:val="24"/>
          <w:highlight w:val="none"/>
        </w:rPr>
        <w:t>与解释</w:t>
      </w:r>
      <w:bookmarkEnd w:id="323"/>
    </w:p>
    <w:p w14:paraId="1E65879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合同协议书、通用合同条款、专用合同条款中的下列词语具有本款所赋予的含义：</w:t>
      </w:r>
    </w:p>
    <w:p w14:paraId="4D6DFB13">
      <w:pPr>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1.1.1 合同</w:t>
      </w:r>
    </w:p>
    <w:p w14:paraId="0180B91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1.1.1.1 合同：是指根据法律规定和合同当事人约定具有约束力的文件，构成合同的文件包括合同协议书、中标通知书（如果有）、投标函及其附录（如果有）、专用合同条款</w:t>
      </w:r>
      <w:r>
        <w:rPr>
          <w:rFonts w:hint="eastAsia" w:ascii="宋体" w:hAnsi="宋体" w:eastAsia="宋体" w:cs="宋体"/>
          <w:b w:val="0"/>
          <w:i w:val="0"/>
          <w:caps w:val="0"/>
          <w:color w:val="auto"/>
          <w:spacing w:val="0"/>
          <w:w w:val="100"/>
          <w:sz w:val="24"/>
          <w:szCs w:val="24"/>
          <w:highlight w:val="none"/>
        </w:rPr>
        <w:t>及其附件</w:t>
      </w:r>
      <w:r>
        <w:rPr>
          <w:rFonts w:hint="eastAsia" w:ascii="宋体" w:hAnsi="宋体" w:eastAsia="宋体" w:cs="宋体"/>
          <w:b w:val="0"/>
          <w:i w:val="0"/>
          <w:caps w:val="0"/>
          <w:color w:val="auto"/>
          <w:spacing w:val="0"/>
          <w:w w:val="100"/>
          <w:kern w:val="0"/>
          <w:sz w:val="24"/>
          <w:szCs w:val="24"/>
          <w:highlight w:val="none"/>
        </w:rPr>
        <w:t>、通用合同条款、技术标准和要求、图纸、已标价工程量清单或预算书以及其他合同文件。</w:t>
      </w:r>
    </w:p>
    <w:p w14:paraId="0A3DC89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1.1.1.2 合同协议书：是指构成合同的由发包人和承包人共同签署的称为“合同协议书”的书面文件。</w:t>
      </w:r>
    </w:p>
    <w:p w14:paraId="0CACF17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1.1.1.3 中标通知书：是指构成合同的由发包人通知承包人中标的书面文件。</w:t>
      </w:r>
    </w:p>
    <w:p w14:paraId="465C226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1.1.1.4 投标函：是指构成合同的由承包人填写并签署的用于投标的称为“投标函”的文件。</w:t>
      </w:r>
    </w:p>
    <w:p w14:paraId="5C0A188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1.1.1.5 投标函附录：是指构成合同的附在投标函后的称为“投标函附录”的文件。</w:t>
      </w:r>
    </w:p>
    <w:p w14:paraId="09DCDE1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1.1.1.6 技术标准和要求：是指构成合同的施工应当遵守的或指导施工的国家、行业或地方的技术标准和要求，以及合同约定的技术标准和要求。</w:t>
      </w:r>
    </w:p>
    <w:p w14:paraId="4132516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76B9F8A5">
      <w:pPr>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1.1.1.8 已标价工程量清单：是指构成合同的由承包人按照规定的格式和要求填写并标明价格的工程量清单，包括说明和表格。</w:t>
      </w:r>
    </w:p>
    <w:p w14:paraId="37805A1C">
      <w:pPr>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1.1.1.9 预算书：是指构成合同的由承包人按照发包人规定的格式和要求编制的工程预算文件。</w:t>
      </w:r>
    </w:p>
    <w:p w14:paraId="712D79F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1.1.1.10 其他合同文件：是指经合同当事人约定的与工程施工有关的具有合同约束力的文件或书面协议。合同当事人可以在专用合同条款中进行约定。</w:t>
      </w:r>
    </w:p>
    <w:p w14:paraId="7120EB85">
      <w:pPr>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1.1.2 合同当事人及其他相关方</w:t>
      </w:r>
    </w:p>
    <w:p w14:paraId="7E05CE3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1.1.2.1 合同当事人：是指发包人和（或）承包人。</w:t>
      </w:r>
    </w:p>
    <w:p w14:paraId="0FB801B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1.1.2.2 发包人：是指与承包人签订合同协议书的当事人及取得该当事人资格的合法继承人。</w:t>
      </w:r>
    </w:p>
    <w:p w14:paraId="52CCF4B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1.1.2.3 承包人：是指与发包人签订合同协议书的，具有相应工程施工承包资质的当事人及取得该当事人资格的合法继承人。</w:t>
      </w:r>
    </w:p>
    <w:p w14:paraId="276E9E4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1.1.2.4 监理人：是指在专用合同条款中指明的，受发包人委托按照法律规定进行工程监督管理的法人或其他组织。</w:t>
      </w:r>
    </w:p>
    <w:p w14:paraId="1D5EB1D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1.1.2.5 设计人：是指在专用合同条款中指明的，受发包人委托负责工程设计并具备相应工程设计资质的法人或其他组织。</w:t>
      </w:r>
    </w:p>
    <w:p w14:paraId="65F52343">
      <w:pPr>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1.1.2.6 分包人：</w:t>
      </w:r>
      <w:bookmarkStart w:id="324" w:name="#go5"/>
      <w:bookmarkEnd w:id="324"/>
      <w:r>
        <w:rPr>
          <w:rFonts w:hint="eastAsia" w:ascii="宋体" w:hAnsi="宋体" w:eastAsia="宋体" w:cs="宋体"/>
          <w:b w:val="0"/>
          <w:i w:val="0"/>
          <w:caps w:val="0"/>
          <w:color w:val="auto"/>
          <w:spacing w:val="0"/>
          <w:w w:val="100"/>
          <w:kern w:val="0"/>
          <w:sz w:val="24"/>
          <w:szCs w:val="24"/>
          <w:highlight w:val="none"/>
        </w:rPr>
        <w:t>是指按照法律规定和合同约定，分包部分工程或工作，并与承包人签订分包合同的具有相应资质的法人。</w:t>
      </w:r>
    </w:p>
    <w:p w14:paraId="46F2021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1.1.2.7 发包人代表：是指由发包人任命并派驻施工现场在发包人授权范围内行使发包人权利的人。</w:t>
      </w:r>
    </w:p>
    <w:p w14:paraId="45F0D1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1.1.2.8 项目经理：是指由承包人任命并派驻施工现场，在承包人授权范围内负责合同履行，且按照法律规定具有相应资格的项目负责人。</w:t>
      </w:r>
    </w:p>
    <w:p w14:paraId="1D22636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1.1.2.9 总监理工程师：是指由监理人任命并派驻施工现场进行工程监理的总负责人。</w:t>
      </w:r>
    </w:p>
    <w:p w14:paraId="4DF7CA7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 工程和设备</w:t>
      </w:r>
    </w:p>
    <w:p w14:paraId="1F60F64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1.1.3.1 工程：是指与合同协议书中工程承包范围对应的永久工程和（或）临时工程。</w:t>
      </w:r>
    </w:p>
    <w:p w14:paraId="41BF2DF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1.1.3.2 永久工程：是指按合同约定建造并移交给发包人的工程，包括工程设备。</w:t>
      </w:r>
    </w:p>
    <w:p w14:paraId="45552EB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1.1.3.3 临时工程：是指为完成合同约定的永久工程所修建的各类临时性工程，不包括施工设备。</w:t>
      </w:r>
    </w:p>
    <w:p w14:paraId="79B8FA4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1.1.3.4 单位工程：是指在合同协议书中指明的，具备独立施工条件并能形成独立使用功能的永久工程。</w:t>
      </w:r>
    </w:p>
    <w:p w14:paraId="2ABB2DA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1.1.3.5 工程设备：是指构成永久工程的机电设备、金属结构设备、仪器及其他类似的设备和装置。</w:t>
      </w:r>
    </w:p>
    <w:p w14:paraId="193470D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1.1.3.6 施工设备：是指为完成合同约定的各项工作所需的设备、器具和其他物品，但不包括工程设备、临时工程和材料。</w:t>
      </w:r>
    </w:p>
    <w:p w14:paraId="7C7DBE1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1.1.3.7 施工现场：是指用于工程施工的场所，以及在专用合同条款中指明作为施工场所组成部分的其他场所，包括永久占地和临时占地。</w:t>
      </w:r>
    </w:p>
    <w:p w14:paraId="5CDACD0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1.1.3.8临时设施：是指为完成合同约定的各项工作所服务的临时性生产和生活设施。</w:t>
      </w:r>
    </w:p>
    <w:p w14:paraId="2176049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1.1.3.9 永久占地：是指专用合同条款中指明为实施工程需永久占用的土地。</w:t>
      </w:r>
    </w:p>
    <w:p w14:paraId="4AF7B04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1.1.3.10 临时占地：是指专用合同条款中指明为实施工程需要临时占用的土地。</w:t>
      </w:r>
    </w:p>
    <w:p w14:paraId="1BFE40C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1.1.4 日期和期限</w:t>
      </w:r>
    </w:p>
    <w:p w14:paraId="0AEA0CE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57952A2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1.1.4.2 竣工日期：包括计划竣工日期和实际竣工日期。计划竣工日期是指合同协议书约定的竣工日期；实际竣工日期按照第13.2.3项〔竣工日期〕的约定确定。 </w:t>
      </w:r>
    </w:p>
    <w:p w14:paraId="53886515">
      <w:pPr>
        <w:snapToGrid w:val="0"/>
        <w:spacing w:before="0" w:beforeAutospacing="0" w:after="0" w:afterAutospacing="0" w:line="360" w:lineRule="auto"/>
        <w:ind w:firstLine="487" w:firstLineChars="203"/>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1.1.4.3 工期：是指在合同协议书约定的承包人完成工程所需的期限，包括按照合同约定所作的期限变更。</w:t>
      </w:r>
    </w:p>
    <w:p w14:paraId="5B04A9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1.1.4.4 缺陷责任期：是指承包人按照合同约定承担缺陷修复义务，且发包人预留质量保证金</w:t>
      </w:r>
      <w:r>
        <w:rPr>
          <w:rFonts w:hint="eastAsia" w:ascii="宋体" w:hAnsi="宋体" w:eastAsia="宋体" w:cs="宋体"/>
          <w:b w:val="0"/>
          <w:i w:val="0"/>
          <w:caps w:val="0"/>
          <w:color w:val="auto"/>
          <w:spacing w:val="0"/>
          <w:w w:val="100"/>
          <w:kern w:val="0"/>
          <w:sz w:val="24"/>
          <w:szCs w:val="24"/>
          <w:highlight w:val="none"/>
          <w:lang w:eastAsia="zh-CN"/>
        </w:rPr>
        <w:t>（</w:t>
      </w:r>
      <w:r>
        <w:rPr>
          <w:rFonts w:hint="eastAsia" w:ascii="宋体" w:hAnsi="宋体" w:eastAsia="宋体" w:cs="宋体"/>
          <w:b w:val="0"/>
          <w:i w:val="0"/>
          <w:caps w:val="0"/>
          <w:color w:val="auto"/>
          <w:spacing w:val="0"/>
          <w:w w:val="100"/>
          <w:kern w:val="0"/>
          <w:sz w:val="24"/>
          <w:szCs w:val="24"/>
          <w:highlight w:val="none"/>
        </w:rPr>
        <w:t>已缴纳履约保证金的除外</w:t>
      </w:r>
      <w:r>
        <w:rPr>
          <w:rFonts w:hint="eastAsia" w:ascii="宋体" w:hAnsi="宋体" w:eastAsia="宋体" w:cs="宋体"/>
          <w:b w:val="0"/>
          <w:i w:val="0"/>
          <w:caps w:val="0"/>
          <w:color w:val="auto"/>
          <w:spacing w:val="0"/>
          <w:w w:val="100"/>
          <w:kern w:val="0"/>
          <w:sz w:val="24"/>
          <w:szCs w:val="24"/>
          <w:highlight w:val="none"/>
          <w:lang w:eastAsia="zh-CN"/>
        </w:rPr>
        <w:t>）</w:t>
      </w:r>
      <w:r>
        <w:rPr>
          <w:rFonts w:hint="eastAsia" w:ascii="宋体" w:hAnsi="宋体" w:eastAsia="宋体" w:cs="宋体"/>
          <w:b w:val="0"/>
          <w:i w:val="0"/>
          <w:caps w:val="0"/>
          <w:color w:val="auto"/>
          <w:spacing w:val="0"/>
          <w:w w:val="100"/>
          <w:kern w:val="0"/>
          <w:sz w:val="24"/>
          <w:szCs w:val="24"/>
          <w:highlight w:val="none"/>
        </w:rPr>
        <w:t>的期限，自工程实际竣工日期起计算。</w:t>
      </w:r>
    </w:p>
    <w:p w14:paraId="0BB9037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1.1.4.5 保修期：是指承包人按照合同约定对工程承担保修责任的期限，从工程竣工验收合格之日起计算。</w:t>
      </w:r>
    </w:p>
    <w:p w14:paraId="09DE01B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1.1.4.6 基准日期：招标发包的工程以投标截止日前28天的日期为基准日期，直接发包的工程以合同签订日前28天的日期为基准日期。</w:t>
      </w:r>
    </w:p>
    <w:p w14:paraId="136E17F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1.1.4.7 天：除特别指明外，均指日历天。合同中按天计算时间的，开始当天不计入，从次日开始计算，期限最后一天的截止时间为当天24:00时。</w:t>
      </w:r>
    </w:p>
    <w:p w14:paraId="0A1BDA8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 合同价格和费用</w:t>
      </w:r>
    </w:p>
    <w:p w14:paraId="06B1473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1.1.5.1 签约合同价：是指</w:t>
      </w:r>
      <w:r>
        <w:rPr>
          <w:rFonts w:hint="eastAsia" w:ascii="宋体" w:hAnsi="宋体" w:eastAsia="宋体" w:cs="宋体"/>
          <w:b w:val="0"/>
          <w:i w:val="0"/>
          <w:caps w:val="0"/>
          <w:color w:val="auto"/>
          <w:spacing w:val="0"/>
          <w:w w:val="100"/>
          <w:sz w:val="24"/>
          <w:szCs w:val="24"/>
          <w:highlight w:val="none"/>
        </w:rPr>
        <w:t>发包人和承包人在合同协议书中确定的总金额，包括安全文明施工费、暂估价及暂列金额等。</w:t>
      </w:r>
    </w:p>
    <w:p w14:paraId="0638B3A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1.1.5.2 合同价格：是指发包人用于支付承包人按照合同约定完成承包范围内全部工作的金额，包括合同履行过程中按合同约定发生的价格变化。</w:t>
      </w:r>
    </w:p>
    <w:p w14:paraId="5B74E7A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1.1.5.3 费用：是指为履行合同所发生的或将要发生的所有必需的开支，包括管理费和应分摊的其他费用，但不包括利润。</w:t>
      </w:r>
    </w:p>
    <w:p w14:paraId="122B9ED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1.1.5.4 暂估价：是指发包人在工程量清单或预算书中提供的用于支付必然发生但暂时不能确定价格的材料、工程设备的单价、专业工程以及服务工作的金额。</w:t>
      </w:r>
    </w:p>
    <w:p w14:paraId="5A5DC65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2837A97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1.1.5.6 计日工：是指合同履行过程中，承包人完成发包人提出的零星工作或需要采用计日工计价的变更工作时，按合同中约定的单价计价的一种方式。</w:t>
      </w:r>
    </w:p>
    <w:p w14:paraId="6ACCCE6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1.1.5.7 质量保证金</w:t>
      </w:r>
      <w:bookmarkStart w:id="325" w:name="#go2"/>
      <w:bookmarkEnd w:id="325"/>
      <w:r>
        <w:rPr>
          <w:rFonts w:hint="eastAsia" w:ascii="宋体" w:hAnsi="宋体" w:eastAsia="宋体" w:cs="宋体"/>
          <w:b w:val="0"/>
          <w:i w:val="0"/>
          <w:caps w:val="0"/>
          <w:color w:val="auto"/>
          <w:spacing w:val="0"/>
          <w:w w:val="100"/>
          <w:kern w:val="0"/>
          <w:sz w:val="24"/>
          <w:szCs w:val="24"/>
          <w:highlight w:val="none"/>
        </w:rPr>
        <w:t>：是指按照第15.3款〔质量保证金〕约定承包人用于保证其在缺陷责任期内履行缺陷修补义务的担保</w:t>
      </w:r>
      <w:r>
        <w:rPr>
          <w:rFonts w:hint="eastAsia" w:ascii="宋体" w:hAnsi="宋体" w:eastAsia="宋体" w:cs="宋体"/>
          <w:b w:val="0"/>
          <w:i w:val="0"/>
          <w:caps w:val="0"/>
          <w:color w:val="auto"/>
          <w:spacing w:val="0"/>
          <w:w w:val="100"/>
          <w:sz w:val="24"/>
          <w:szCs w:val="24"/>
          <w:highlight w:val="none"/>
        </w:rPr>
        <w:t>。</w:t>
      </w:r>
    </w:p>
    <w:p w14:paraId="065BB8E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1.1.5.8 总价项目：是指在现行国家、行业以及地方的计量规则中无工程量计算规则，在已标价工程量清单或预算书中以总价或以费率形式计算的项目。</w:t>
      </w:r>
    </w:p>
    <w:p w14:paraId="62F63AF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1.1.6 其他</w:t>
      </w:r>
    </w:p>
    <w:p w14:paraId="1A6163D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1.1.6.1 书面形式：是指合同文件、信函、电报、传真等可以有形地表现所载内容的形式。</w:t>
      </w:r>
    </w:p>
    <w:p w14:paraId="22F9C0D8">
      <w:pPr>
        <w:pStyle w:val="7"/>
        <w:snapToGrid w:val="0"/>
        <w:spacing w:before="120" w:beforeAutospacing="0" w:after="120" w:afterAutospacing="0" w:line="360" w:lineRule="auto"/>
        <w:textAlignment w:val="baseline"/>
        <w:outlineLvl w:val="4"/>
        <w:rPr>
          <w:rFonts w:hint="eastAsia" w:ascii="宋体" w:hAnsi="宋体" w:eastAsia="宋体" w:cs="宋体"/>
          <w:b w:val="0"/>
          <w:i w:val="0"/>
          <w:caps w:val="0"/>
          <w:color w:val="auto"/>
          <w:spacing w:val="0"/>
          <w:w w:val="100"/>
          <w:sz w:val="24"/>
          <w:szCs w:val="24"/>
          <w:highlight w:val="none"/>
        </w:rPr>
      </w:pPr>
      <w:bookmarkStart w:id="326" w:name="_Toc296503029"/>
      <w:bookmarkStart w:id="327" w:name="_Toc351203497"/>
      <w:bookmarkStart w:id="328" w:name="_Toc337558729"/>
      <w:bookmarkStart w:id="329" w:name="_Toc296346530"/>
      <w:r>
        <w:rPr>
          <w:rFonts w:hint="eastAsia" w:ascii="宋体" w:hAnsi="宋体" w:eastAsia="宋体" w:cs="宋体"/>
          <w:b w:val="0"/>
          <w:i w:val="0"/>
          <w:caps w:val="0"/>
          <w:color w:val="auto"/>
          <w:spacing w:val="0"/>
          <w:w w:val="100"/>
          <w:sz w:val="24"/>
          <w:szCs w:val="24"/>
          <w:highlight w:val="none"/>
        </w:rPr>
        <w:t>1.2语言文字</w:t>
      </w:r>
      <w:bookmarkEnd w:id="326"/>
      <w:bookmarkEnd w:id="327"/>
      <w:bookmarkEnd w:id="328"/>
      <w:bookmarkEnd w:id="329"/>
    </w:p>
    <w:p w14:paraId="0A61D24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合同以中国的汉语简体文字编写、解释和说明。合同当事人在专用合同条款中约定使用两种以上语言时，汉语为优先解释和说明合同的语言。</w:t>
      </w:r>
    </w:p>
    <w:p w14:paraId="5894ABC9">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0" w:name="_Toc351203498"/>
      <w:bookmarkStart w:id="331" w:name="_Toc296503030"/>
      <w:bookmarkStart w:id="332" w:name="_Toc337558730"/>
      <w:bookmarkStart w:id="333" w:name="_Toc296346531"/>
      <w:r>
        <w:rPr>
          <w:rFonts w:hint="eastAsia" w:ascii="宋体" w:hAnsi="宋体" w:eastAsia="宋体" w:cs="宋体"/>
          <w:b w:val="0"/>
          <w:i w:val="0"/>
          <w:caps w:val="0"/>
          <w:color w:val="auto"/>
          <w:spacing w:val="0"/>
          <w:w w:val="100"/>
          <w:sz w:val="24"/>
          <w:szCs w:val="24"/>
          <w:highlight w:val="none"/>
        </w:rPr>
        <w:t>1.3法律</w:t>
      </w:r>
      <w:bookmarkEnd w:id="330"/>
      <w:bookmarkEnd w:id="331"/>
      <w:bookmarkEnd w:id="332"/>
      <w:bookmarkEnd w:id="333"/>
    </w:p>
    <w:p w14:paraId="3470AAA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合同所称法律是指中华人民共和国法律、行政法规、部门规章，以及工程所在地的地方性法规、自治条例、单行条例和地方政府规章等。</w:t>
      </w:r>
    </w:p>
    <w:p w14:paraId="6F0A0E0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合同当事人可以在专用合同条款中约定合同适用的其他规范性文件。</w:t>
      </w:r>
    </w:p>
    <w:p w14:paraId="614A36DD">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4" w:name="_Toc351203499"/>
      <w:r>
        <w:rPr>
          <w:rFonts w:hint="eastAsia" w:ascii="宋体" w:hAnsi="宋体" w:eastAsia="宋体" w:cs="宋体"/>
          <w:b w:val="0"/>
          <w:i w:val="0"/>
          <w:caps w:val="0"/>
          <w:color w:val="auto"/>
          <w:spacing w:val="0"/>
          <w:w w:val="100"/>
          <w:sz w:val="24"/>
          <w:szCs w:val="24"/>
          <w:highlight w:val="none"/>
        </w:rPr>
        <w:t>1.4 标准和规范</w:t>
      </w:r>
      <w:bookmarkEnd w:id="334"/>
    </w:p>
    <w:p w14:paraId="5FE73785">
      <w:pPr>
        <w:snapToGrid w:val="0"/>
        <w:spacing w:before="0" w:beforeAutospacing="0" w:after="0" w:afterAutospacing="0" w:line="360" w:lineRule="auto"/>
        <w:ind w:firstLine="64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1.4.1 适用于工程的国家标准、行业标准、工程所在地的地方性标准，以及相应的规范、规程等，合同当事人有特别要求的，应在专用合同条款中约定。</w:t>
      </w:r>
    </w:p>
    <w:p w14:paraId="516818FD">
      <w:pPr>
        <w:snapToGrid w:val="0"/>
        <w:spacing w:before="0" w:beforeAutospacing="0" w:after="0" w:afterAutospacing="0" w:line="360" w:lineRule="auto"/>
        <w:ind w:firstLine="64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1.4.2 发包人要求使用国外标准、规范的，发包人负责提供原文版本和中文译本，并在专用合同条款中约定提供标准规范的名称、份数和时间。</w:t>
      </w:r>
    </w:p>
    <w:p w14:paraId="3978F356">
      <w:pPr>
        <w:snapToGrid w:val="0"/>
        <w:spacing w:before="0" w:beforeAutospacing="0" w:after="0" w:afterAutospacing="0" w:line="360" w:lineRule="auto"/>
        <w:ind w:firstLine="64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23112940">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5" w:name="_Toc351203500"/>
      <w:r>
        <w:rPr>
          <w:rFonts w:hint="eastAsia" w:ascii="宋体" w:hAnsi="宋体" w:eastAsia="宋体" w:cs="宋体"/>
          <w:b w:val="0"/>
          <w:i w:val="0"/>
          <w:caps w:val="0"/>
          <w:color w:val="auto"/>
          <w:spacing w:val="0"/>
          <w:w w:val="100"/>
          <w:sz w:val="24"/>
          <w:szCs w:val="24"/>
          <w:highlight w:val="none"/>
        </w:rPr>
        <w:t>1.5 合同文件的优先顺序</w:t>
      </w:r>
      <w:bookmarkEnd w:id="335"/>
    </w:p>
    <w:p w14:paraId="1A9102C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组成合同的各项文件应互相解释，互为说明。除专用合同条款另有约定外，解释合同文件的优先顺序如下：</w:t>
      </w:r>
    </w:p>
    <w:p w14:paraId="61FF7CA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（1）合同协议书；</w:t>
      </w:r>
    </w:p>
    <w:p w14:paraId="265DCD7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（2）中标通知书（如果有）；</w:t>
      </w:r>
    </w:p>
    <w:p w14:paraId="1B35619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（3）投标函及其附录（如果有）；</w:t>
      </w:r>
    </w:p>
    <w:p w14:paraId="32113A0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（4）专用合同条款</w:t>
      </w:r>
      <w:r>
        <w:rPr>
          <w:rFonts w:hint="eastAsia" w:ascii="宋体" w:hAnsi="宋体" w:eastAsia="宋体" w:cs="宋体"/>
          <w:b w:val="0"/>
          <w:i w:val="0"/>
          <w:caps w:val="0"/>
          <w:color w:val="auto"/>
          <w:spacing w:val="0"/>
          <w:w w:val="100"/>
          <w:sz w:val="24"/>
          <w:szCs w:val="24"/>
          <w:highlight w:val="none"/>
        </w:rPr>
        <w:t>及其附件</w:t>
      </w:r>
      <w:r>
        <w:rPr>
          <w:rFonts w:hint="eastAsia" w:ascii="宋体" w:hAnsi="宋体" w:eastAsia="宋体" w:cs="宋体"/>
          <w:b w:val="0"/>
          <w:i w:val="0"/>
          <w:caps w:val="0"/>
          <w:color w:val="auto"/>
          <w:spacing w:val="0"/>
          <w:w w:val="100"/>
          <w:kern w:val="0"/>
          <w:sz w:val="24"/>
          <w:szCs w:val="24"/>
          <w:highlight w:val="none"/>
        </w:rPr>
        <w:t>；</w:t>
      </w:r>
    </w:p>
    <w:p w14:paraId="111B742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（5）通用合同条款；</w:t>
      </w:r>
    </w:p>
    <w:p w14:paraId="2CF600B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（6）技术标准和要求；</w:t>
      </w:r>
    </w:p>
    <w:p w14:paraId="7514CDB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（7）图纸；</w:t>
      </w:r>
    </w:p>
    <w:p w14:paraId="713E362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（8）已标价工程量清单或预算书；</w:t>
      </w:r>
    </w:p>
    <w:p w14:paraId="1C6F760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（9）其他合同文件。</w:t>
      </w:r>
    </w:p>
    <w:p w14:paraId="407B4589">
      <w:pPr>
        <w:snapToGrid w:val="0"/>
        <w:spacing w:before="0" w:beforeAutospacing="0" w:after="0" w:afterAutospacing="0" w:line="360" w:lineRule="auto"/>
        <w:ind w:firstLine="511" w:firstLineChars="213"/>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上述各项合同文件包括合同当事人就该项合同文件所作出的补充和修改，属于同一类内容的文件，应以最新签署的为准。</w:t>
      </w:r>
    </w:p>
    <w:p w14:paraId="14F5C0A4">
      <w:pPr>
        <w:snapToGrid w:val="0"/>
        <w:spacing w:before="0" w:beforeAutospacing="0" w:after="0" w:afterAutospacing="0" w:line="360" w:lineRule="auto"/>
        <w:ind w:firstLine="511" w:firstLineChars="213"/>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在合同订立及履行过程中形成的与合同有关的文件均构成合同文件组成部分，并根据其性质确定优先解释顺序。</w:t>
      </w:r>
    </w:p>
    <w:p w14:paraId="72819D2C">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6" w:name="_Toc351203501"/>
      <w:r>
        <w:rPr>
          <w:rFonts w:hint="eastAsia" w:ascii="宋体" w:hAnsi="宋体" w:eastAsia="宋体" w:cs="宋体"/>
          <w:b w:val="0"/>
          <w:i w:val="0"/>
          <w:caps w:val="0"/>
          <w:color w:val="auto"/>
          <w:spacing w:val="0"/>
          <w:w w:val="100"/>
          <w:sz w:val="24"/>
          <w:szCs w:val="24"/>
          <w:highlight w:val="none"/>
        </w:rPr>
        <w:t>1.6图纸和承包人文件</w:t>
      </w:r>
      <w:bookmarkEnd w:id="336"/>
    </w:p>
    <w:p w14:paraId="4986E19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1.6.1 图纸的提供和交底</w:t>
      </w:r>
    </w:p>
    <w:p w14:paraId="1952850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2BEBB21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因发包人未按合同约定提供图纸导致承包人费用增加和（或）工期延误的，按照第7.5.1项〔因发包人原因导致工期延误〕约定办理。</w:t>
      </w:r>
    </w:p>
    <w:p w14:paraId="16A2FE4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 图纸的错误</w:t>
      </w:r>
    </w:p>
    <w:p w14:paraId="4F028AB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5CD77BE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1.6.3 图纸的修改和补充</w:t>
      </w:r>
    </w:p>
    <w:p w14:paraId="18C6AE4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12250E3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1.6.4 承包人文件</w:t>
      </w:r>
    </w:p>
    <w:p w14:paraId="3170CF1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承包人应按照专用合同条款的约定提供应当由其编制的与工程施工有关的文件，并按照专用合同条款约定的期限、数量和形式提交监理人，并由监理人报送发包人。</w:t>
      </w:r>
    </w:p>
    <w:p w14:paraId="50E400A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77257DE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1.6.5 图纸和承包人文件的保管</w:t>
      </w:r>
    </w:p>
    <w:p w14:paraId="4DD0336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除专用合同条款另有约定外，承包人应在施工现场另外保存一套完整的图纸和承包人文件，供发包人、监理人及有关人员进行工程检查时使用。</w:t>
      </w:r>
    </w:p>
    <w:p w14:paraId="16E6015D">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7" w:name="_Toc351203502"/>
      <w:r>
        <w:rPr>
          <w:rFonts w:hint="eastAsia" w:ascii="宋体" w:hAnsi="宋体" w:eastAsia="宋体" w:cs="宋体"/>
          <w:b w:val="0"/>
          <w:i w:val="0"/>
          <w:caps w:val="0"/>
          <w:color w:val="auto"/>
          <w:spacing w:val="0"/>
          <w:w w:val="100"/>
          <w:sz w:val="24"/>
          <w:szCs w:val="24"/>
          <w:highlight w:val="none"/>
        </w:rPr>
        <w:t>1.7联络</w:t>
      </w:r>
      <w:bookmarkEnd w:id="337"/>
    </w:p>
    <w:p w14:paraId="5EC7B8B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1.7.1 与合同有关的通知、批准、证明、证书、指示、指令、要求、请求、同意、意见、确定和决定等，均应采用书面形式，并应在合同约定的期限内送达接收人和送达地点。</w:t>
      </w:r>
    </w:p>
    <w:p w14:paraId="6996012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1.7.2 发包人和承包人应在专用合同条款中约定各自的送达接收人和送达地点。任何一方合同当事人指定的接收人或送达地点发生变动的，应提前3天以书面形式通知对方。</w:t>
      </w:r>
    </w:p>
    <w:p w14:paraId="278D392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1.7.3 发包人和承包人应当及时签收另一方送达至送达地点和指定接收人的来往信函。拒不签收的，由此增加的费用和（或）延误的工期由拒绝接收一方承担。</w:t>
      </w:r>
    </w:p>
    <w:p w14:paraId="6FCA0B18">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8" w:name="_Toc351203503"/>
      <w:r>
        <w:rPr>
          <w:rFonts w:hint="eastAsia" w:ascii="宋体" w:hAnsi="宋体" w:eastAsia="宋体" w:cs="宋体"/>
          <w:b w:val="0"/>
          <w:i w:val="0"/>
          <w:caps w:val="0"/>
          <w:color w:val="auto"/>
          <w:spacing w:val="0"/>
          <w:w w:val="100"/>
          <w:sz w:val="24"/>
          <w:szCs w:val="24"/>
          <w:highlight w:val="none"/>
        </w:rPr>
        <w:t>1.8严禁贿赂</w:t>
      </w:r>
      <w:bookmarkEnd w:id="338"/>
    </w:p>
    <w:p w14:paraId="1F6D876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合同当事人不得以贿赂或变相贿赂的方式，谋取非法利益或损害对方权益。因一方合同当事人的贿赂造成对方损失的，应赔偿损失，并承担相应的法律责任。</w:t>
      </w:r>
    </w:p>
    <w:p w14:paraId="015DEE5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095CA9BB">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39" w:name="_Toc351203504"/>
      <w:r>
        <w:rPr>
          <w:rFonts w:hint="eastAsia" w:ascii="宋体" w:hAnsi="宋体" w:eastAsia="宋体" w:cs="宋体"/>
          <w:b w:val="0"/>
          <w:i w:val="0"/>
          <w:caps w:val="0"/>
          <w:color w:val="auto"/>
          <w:spacing w:val="0"/>
          <w:w w:val="100"/>
          <w:sz w:val="24"/>
          <w:szCs w:val="24"/>
          <w:highlight w:val="none"/>
        </w:rPr>
        <w:t>1.9化石、文物</w:t>
      </w:r>
      <w:bookmarkEnd w:id="339"/>
    </w:p>
    <w:p w14:paraId="26E6683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5067B7A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发包人、监理人和承包人应按有关政府行政管理部门要求采取妥善的保护措施，由此增加的费用和（或）延误的工期由发包人承担。</w:t>
      </w:r>
    </w:p>
    <w:p w14:paraId="3A671CF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承包人发现文物后不及时报告或隐瞒不报，致使文物丢失或损坏的，应赔偿损失，并承担相应的法律责任。</w:t>
      </w:r>
    </w:p>
    <w:p w14:paraId="42445FD4">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40" w:name="_Toc351203505"/>
      <w:r>
        <w:rPr>
          <w:rFonts w:hint="eastAsia" w:ascii="宋体" w:hAnsi="宋体" w:eastAsia="宋体" w:cs="宋体"/>
          <w:b w:val="0"/>
          <w:i w:val="0"/>
          <w:caps w:val="0"/>
          <w:color w:val="auto"/>
          <w:spacing w:val="0"/>
          <w:w w:val="100"/>
          <w:sz w:val="24"/>
          <w:szCs w:val="24"/>
          <w:highlight w:val="none"/>
        </w:rPr>
        <w:t>1.10交通运输</w:t>
      </w:r>
      <w:bookmarkEnd w:id="340"/>
    </w:p>
    <w:p w14:paraId="43170F2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1.10.1 出入现场的权利</w:t>
      </w:r>
    </w:p>
    <w:p w14:paraId="65DFEBD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1E32F8E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0825F9F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1.10.2 场外交通</w:t>
      </w:r>
    </w:p>
    <w:p w14:paraId="51BACC0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EB9273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1.10.3场内交通</w:t>
      </w:r>
    </w:p>
    <w:p w14:paraId="0CA50AA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541EB46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370A77E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场外交通和场内交通的边界由合同当事人在专用合同条款中约定。</w:t>
      </w:r>
    </w:p>
    <w:p w14:paraId="4580C89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1.10.4 超大件和超重件的运输</w:t>
      </w:r>
    </w:p>
    <w:p w14:paraId="0A79BDD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01C1FF2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1.10.5 道路和桥梁的损坏责任</w:t>
      </w:r>
    </w:p>
    <w:p w14:paraId="102ACD3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因承包人运输造成施工场地内外公共道路和桥梁损坏的，由承包人承担修复损坏的全部费用和可能引起的赔偿。</w:t>
      </w:r>
    </w:p>
    <w:p w14:paraId="033391E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1.10.6 水路和航空运输</w:t>
      </w:r>
    </w:p>
    <w:p w14:paraId="28B21D3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本款前述各项的内容适用于水路运输和航空运输，其中“道路”一词的涵义包括河道、航线、船闸、机场、码头、堤防以及水路或航空运输中其他相似结构物；“车辆”一词的涵义包括船舶和飞机等。</w:t>
      </w:r>
    </w:p>
    <w:p w14:paraId="2B2E38FC">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41" w:name="_Toc351203506"/>
      <w:r>
        <w:rPr>
          <w:rFonts w:hint="eastAsia" w:ascii="宋体" w:hAnsi="宋体" w:eastAsia="宋体" w:cs="宋体"/>
          <w:b w:val="0"/>
          <w:i w:val="0"/>
          <w:caps w:val="0"/>
          <w:color w:val="auto"/>
          <w:spacing w:val="0"/>
          <w:w w:val="100"/>
          <w:sz w:val="24"/>
          <w:szCs w:val="24"/>
          <w:highlight w:val="none"/>
        </w:rPr>
        <w:t>1</w:t>
      </w:r>
      <w:bookmarkStart w:id="342" w:name="_Toc337558737"/>
      <w:r>
        <w:rPr>
          <w:rFonts w:hint="eastAsia" w:ascii="宋体" w:hAnsi="宋体" w:eastAsia="宋体" w:cs="宋体"/>
          <w:b w:val="0"/>
          <w:i w:val="0"/>
          <w:caps w:val="0"/>
          <w:color w:val="auto"/>
          <w:spacing w:val="0"/>
          <w:w w:val="100"/>
          <w:sz w:val="24"/>
          <w:szCs w:val="24"/>
          <w:highlight w:val="none"/>
        </w:rPr>
        <w:t>.11知识产权</w:t>
      </w:r>
      <w:bookmarkEnd w:id="341"/>
      <w:r>
        <w:rPr>
          <w:rFonts w:hint="eastAsia" w:ascii="宋体" w:hAnsi="宋体" w:eastAsia="宋体" w:cs="宋体"/>
          <w:b w:val="0"/>
          <w:i w:val="0"/>
          <w:caps w:val="0"/>
          <w:color w:val="auto"/>
          <w:spacing w:val="0"/>
          <w:w w:val="100"/>
          <w:sz w:val="24"/>
          <w:szCs w:val="24"/>
          <w:highlight w:val="none"/>
        </w:rPr>
        <w:t xml:space="preserve"> </w:t>
      </w:r>
      <w:bookmarkEnd w:id="342"/>
    </w:p>
    <w:p w14:paraId="64EFC4A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0875C1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43814C1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2C842E5">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w:t>
      </w:r>
      <w:r>
        <w:rPr>
          <w:rFonts w:hint="eastAsia" w:ascii="宋体" w:hAnsi="宋体" w:eastAsia="宋体" w:cs="宋体"/>
          <w:b w:val="0"/>
          <w:i w:val="0"/>
          <w:caps w:val="0"/>
          <w:color w:val="auto"/>
          <w:spacing w:val="0"/>
          <w:w w:val="100"/>
          <w:sz w:val="24"/>
          <w:szCs w:val="24"/>
          <w:highlight w:val="none"/>
        </w:rPr>
        <w:t>1.11.4 除专用合同条款另有约定外，承包人在合同签订前和签订时已确定采用的专利、专有技术、技术秘密的使用费已包含在签约合同价中。</w:t>
      </w:r>
    </w:p>
    <w:p w14:paraId="54E2DE47">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43" w:name="_Toc351203507"/>
      <w:r>
        <w:rPr>
          <w:rFonts w:hint="eastAsia" w:ascii="宋体" w:hAnsi="宋体" w:eastAsia="宋体" w:cs="宋体"/>
          <w:b w:val="0"/>
          <w:i w:val="0"/>
          <w:caps w:val="0"/>
          <w:color w:val="auto"/>
          <w:spacing w:val="0"/>
          <w:w w:val="100"/>
          <w:sz w:val="24"/>
          <w:szCs w:val="24"/>
          <w:highlight w:val="none"/>
        </w:rPr>
        <w:t>1.12保密</w:t>
      </w:r>
      <w:bookmarkEnd w:id="343"/>
    </w:p>
    <w:p w14:paraId="5DF7689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除法律规定或合同另有约定外，未经发包人同意，承包人不得将发包人提供的图纸、文件以及声明需要保密的资料信息等商业秘密泄露给第三方。</w:t>
      </w:r>
    </w:p>
    <w:p w14:paraId="1714971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除法律规定或合同另有约定外，未经承包人同意，发包人不得将承包人提供的技术秘密及声明需要保密的资料信息等商业秘密泄露给第三方。</w:t>
      </w:r>
    </w:p>
    <w:p w14:paraId="4E9E6479">
      <w:pPr>
        <w:pStyle w:val="7"/>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44" w:name="_Toc351203508"/>
      <w:r>
        <w:rPr>
          <w:rFonts w:hint="eastAsia" w:ascii="宋体" w:hAnsi="宋体" w:eastAsia="宋体" w:cs="宋体"/>
          <w:b w:val="0"/>
          <w:i w:val="0"/>
          <w:caps w:val="0"/>
          <w:color w:val="auto"/>
          <w:spacing w:val="0"/>
          <w:w w:val="100"/>
          <w:sz w:val="24"/>
          <w:szCs w:val="24"/>
          <w:highlight w:val="none"/>
        </w:rPr>
        <w:t>1.13工程量清单错误的修正</w:t>
      </w:r>
      <w:bookmarkEnd w:id="344"/>
    </w:p>
    <w:p w14:paraId="0A5437D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除专用合同条款另有约定外，发包人提供的工程量清单，应被认为是准确的和完整的。出现下列情形之一时，发包人应予以修正，并相应调整合同价格：</w:t>
      </w:r>
    </w:p>
    <w:p w14:paraId="464E947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（1）工程量清单存在缺项、漏项的；</w:t>
      </w:r>
    </w:p>
    <w:p w14:paraId="0926D56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（2）工程量清单偏差超出专用合同条款约定的工程量偏差范围的；</w:t>
      </w:r>
    </w:p>
    <w:p w14:paraId="62BD468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（3）未按照国家现行计量规范强制性规定计量的。</w:t>
      </w:r>
    </w:p>
    <w:p w14:paraId="113366A3">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45" w:name="_Toc351203509"/>
      <w:r>
        <w:rPr>
          <w:rFonts w:hint="eastAsia" w:ascii="宋体" w:hAnsi="宋体" w:eastAsia="宋体" w:cs="宋体"/>
          <w:b w:val="0"/>
          <w:i w:val="0"/>
          <w:caps w:val="0"/>
          <w:color w:val="auto"/>
          <w:spacing w:val="0"/>
          <w:w w:val="100"/>
          <w:sz w:val="24"/>
          <w:szCs w:val="24"/>
          <w:highlight w:val="none"/>
        </w:rPr>
        <w:t>2</w:t>
      </w:r>
      <w:bookmarkStart w:id="346" w:name="OLE_LINK1"/>
      <w:bookmarkStart w:id="347" w:name="OLE_LINK2"/>
      <w:r>
        <w:rPr>
          <w:rFonts w:hint="eastAsia" w:ascii="宋体" w:hAnsi="宋体" w:eastAsia="宋体" w:cs="宋体"/>
          <w:b w:val="0"/>
          <w:i w:val="0"/>
          <w:caps w:val="0"/>
          <w:color w:val="auto"/>
          <w:spacing w:val="0"/>
          <w:w w:val="100"/>
          <w:sz w:val="24"/>
          <w:szCs w:val="24"/>
          <w:highlight w:val="none"/>
        </w:rPr>
        <w:t>. 发包人</w:t>
      </w:r>
      <w:bookmarkEnd w:id="345"/>
    </w:p>
    <w:p w14:paraId="2E46D37D">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48" w:name="_Toc351203510"/>
      <w:r>
        <w:rPr>
          <w:rFonts w:hint="eastAsia" w:ascii="宋体" w:hAnsi="宋体" w:eastAsia="宋体" w:cs="宋体"/>
          <w:b w:val="0"/>
          <w:i w:val="0"/>
          <w:caps w:val="0"/>
          <w:color w:val="auto"/>
          <w:spacing w:val="0"/>
          <w:w w:val="100"/>
          <w:sz w:val="24"/>
          <w:szCs w:val="24"/>
          <w:highlight w:val="none"/>
        </w:rPr>
        <w:t>2</w:t>
      </w:r>
      <w:bookmarkStart w:id="349" w:name="_Toc337558740"/>
      <w:bookmarkStart w:id="350" w:name="_Toc296503039"/>
      <w:bookmarkStart w:id="351" w:name="_Toc296346540"/>
      <w:r>
        <w:rPr>
          <w:rFonts w:hint="eastAsia" w:ascii="宋体" w:hAnsi="宋体" w:eastAsia="宋体" w:cs="宋体"/>
          <w:b w:val="0"/>
          <w:i w:val="0"/>
          <w:caps w:val="0"/>
          <w:color w:val="auto"/>
          <w:spacing w:val="0"/>
          <w:w w:val="100"/>
          <w:sz w:val="24"/>
          <w:szCs w:val="24"/>
          <w:highlight w:val="none"/>
        </w:rPr>
        <w:t>.1 许可或批准</w:t>
      </w:r>
      <w:bookmarkEnd w:id="348"/>
    </w:p>
    <w:p w14:paraId="61925FD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400E5E7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因发包人原因未能及时办理完毕前述许可、批准或备案，由发包人承担由此增加的费用和（或）延误的工期，并支付承包人合理的利润。</w:t>
      </w:r>
    </w:p>
    <w:p w14:paraId="78CB955A">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52" w:name="_Toc351203511"/>
      <w:r>
        <w:rPr>
          <w:rFonts w:hint="eastAsia" w:ascii="宋体" w:hAnsi="宋体" w:eastAsia="宋体" w:cs="宋体"/>
          <w:b w:val="0"/>
          <w:i w:val="0"/>
          <w:caps w:val="0"/>
          <w:color w:val="auto"/>
          <w:spacing w:val="0"/>
          <w:w w:val="100"/>
          <w:sz w:val="24"/>
          <w:szCs w:val="24"/>
          <w:highlight w:val="none"/>
        </w:rPr>
        <w:t>2.2 发包人代表</w:t>
      </w:r>
      <w:bookmarkEnd w:id="352"/>
    </w:p>
    <w:p w14:paraId="656CBD8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620FF69A">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发包人代表不能按照合同约定履行其职责及义务，并导致合同无法继续正常履行的，承包人可以要求发包人撤换发包人代表。</w:t>
      </w:r>
    </w:p>
    <w:p w14:paraId="52CE06C3">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不属于法定必须监理的工程，监理人的职权可以由发包人代表或发包人指定的其他人员行使。</w:t>
      </w:r>
    </w:p>
    <w:p w14:paraId="1A24093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53" w:name="_Toc351203512"/>
      <w:r>
        <w:rPr>
          <w:rFonts w:hint="eastAsia" w:ascii="宋体" w:hAnsi="宋体" w:eastAsia="宋体" w:cs="宋体"/>
          <w:b w:val="0"/>
          <w:i w:val="0"/>
          <w:caps w:val="0"/>
          <w:color w:val="auto"/>
          <w:spacing w:val="0"/>
          <w:w w:val="100"/>
          <w:sz w:val="24"/>
          <w:szCs w:val="24"/>
          <w:highlight w:val="none"/>
        </w:rPr>
        <w:t>2.3 发包人人员</w:t>
      </w:r>
      <w:bookmarkEnd w:id="353"/>
    </w:p>
    <w:p w14:paraId="70BE629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发包人应要求在施工现场的发包人人员遵守法律及有关安全、质量、环境保护、文明施工等规定，并保障承包人免于承受因发包人人员未遵守上述要求给承包人造成的损失和责任。</w:t>
      </w:r>
    </w:p>
    <w:p w14:paraId="01D6F917">
      <w:pPr>
        <w:snapToGrid w:val="0"/>
        <w:spacing w:before="0" w:beforeAutospacing="0" w:after="0" w:afterAutospacing="0" w:line="360" w:lineRule="auto"/>
        <w:ind w:firstLine="64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发包人人员包括发包人代表及其他由发包人派驻施工现场的人员。</w:t>
      </w:r>
      <w:bookmarkEnd w:id="349"/>
      <w:bookmarkEnd w:id="350"/>
      <w:bookmarkEnd w:id="351"/>
    </w:p>
    <w:p w14:paraId="34E266E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54" w:name="_Toc351203513"/>
      <w:r>
        <w:rPr>
          <w:rFonts w:hint="eastAsia" w:ascii="宋体" w:hAnsi="宋体" w:eastAsia="宋体" w:cs="宋体"/>
          <w:b w:val="0"/>
          <w:i w:val="0"/>
          <w:caps w:val="0"/>
          <w:color w:val="auto"/>
          <w:spacing w:val="0"/>
          <w:w w:val="100"/>
          <w:sz w:val="24"/>
          <w:szCs w:val="24"/>
          <w:highlight w:val="none"/>
        </w:rPr>
        <w:t>2</w:t>
      </w:r>
      <w:bookmarkStart w:id="355" w:name="_Toc337558741"/>
      <w:bookmarkStart w:id="356" w:name="_Toc296346541"/>
      <w:bookmarkStart w:id="357" w:name="_Toc296503040"/>
      <w:r>
        <w:rPr>
          <w:rFonts w:hint="eastAsia" w:ascii="宋体" w:hAnsi="宋体" w:eastAsia="宋体" w:cs="宋体"/>
          <w:b w:val="0"/>
          <w:i w:val="0"/>
          <w:caps w:val="0"/>
          <w:color w:val="auto"/>
          <w:spacing w:val="0"/>
          <w:w w:val="100"/>
          <w:sz w:val="24"/>
          <w:szCs w:val="24"/>
          <w:highlight w:val="none"/>
        </w:rPr>
        <w:t>.4 施工现场、施工条件和基础资料的提供</w:t>
      </w:r>
      <w:bookmarkEnd w:id="354"/>
      <w:r>
        <w:rPr>
          <w:rFonts w:hint="eastAsia" w:ascii="宋体" w:hAnsi="宋体" w:eastAsia="宋体" w:cs="宋体"/>
          <w:b w:val="0"/>
          <w:i w:val="0"/>
          <w:caps w:val="0"/>
          <w:color w:val="auto"/>
          <w:spacing w:val="0"/>
          <w:w w:val="100"/>
          <w:sz w:val="24"/>
          <w:szCs w:val="24"/>
          <w:highlight w:val="none"/>
        </w:rPr>
        <w:t xml:space="preserve"> </w:t>
      </w:r>
      <w:bookmarkEnd w:id="355"/>
      <w:bookmarkEnd w:id="356"/>
      <w:bookmarkEnd w:id="357"/>
      <w:r>
        <w:rPr>
          <w:rFonts w:hint="eastAsia" w:ascii="宋体" w:hAnsi="宋体" w:eastAsia="宋体" w:cs="宋体"/>
          <w:b w:val="0"/>
          <w:i w:val="0"/>
          <w:caps w:val="0"/>
          <w:color w:val="auto"/>
          <w:spacing w:val="0"/>
          <w:w w:val="100"/>
          <w:sz w:val="24"/>
          <w:szCs w:val="24"/>
          <w:highlight w:val="none"/>
        </w:rPr>
        <w:t xml:space="preserve"> </w:t>
      </w:r>
    </w:p>
    <w:p w14:paraId="58D6B0E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2.4.1 提供施工现场</w:t>
      </w:r>
    </w:p>
    <w:p w14:paraId="54740E7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w:t>
      </w:r>
      <w:bookmarkEnd w:id="346"/>
      <w:bookmarkEnd w:id="347"/>
      <w:r>
        <w:rPr>
          <w:rFonts w:hint="eastAsia" w:ascii="宋体" w:hAnsi="宋体" w:eastAsia="宋体" w:cs="宋体"/>
          <w:b w:val="0"/>
          <w:i w:val="0"/>
          <w:caps w:val="0"/>
          <w:color w:val="auto"/>
          <w:spacing w:val="0"/>
          <w:w w:val="100"/>
          <w:kern w:val="0"/>
          <w:sz w:val="24"/>
          <w:szCs w:val="24"/>
          <w:highlight w:val="none"/>
        </w:rPr>
        <w:t>专用合同条款另有约定外，发包人应最迟于开工日期7天前向承包人移交施工现场。</w:t>
      </w:r>
    </w:p>
    <w:p w14:paraId="60498D3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2.4.2 提供施工条件</w:t>
      </w:r>
    </w:p>
    <w:p w14:paraId="3B10EDF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除专用合同条款另有约定外，发包人应负责提供施工所需要的条件，包括：</w:t>
      </w:r>
    </w:p>
    <w:p w14:paraId="7AD82C7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（1）将施工用水、电力、通讯线路等施工所必需的条件接至施工现场内；</w:t>
      </w:r>
    </w:p>
    <w:p w14:paraId="3965769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（2）保证向承包人提供正常施工所需要的进入施工现场的交通条件；</w:t>
      </w:r>
    </w:p>
    <w:p w14:paraId="5C9C444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（3）协调处理施工现场周围地下管线和邻近建筑物、构筑物、古树名木的保护工作，并承担相关费用；</w:t>
      </w:r>
    </w:p>
    <w:p w14:paraId="40AB283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（4）按照专用合同条款约定应提供的其他设施和条件。</w:t>
      </w:r>
    </w:p>
    <w:p w14:paraId="5493774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2.4.3 提供基础资料</w:t>
      </w:r>
    </w:p>
    <w:p w14:paraId="182CDE0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186FF8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按照法律规定确需在开工后方能提供的基础资料，发包人应尽其努力及时地在相应工程施工前的合理期限内提供，合理期限应以不影响承包人的正常施工为限。</w:t>
      </w:r>
    </w:p>
    <w:p w14:paraId="5D05D5D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2.4.4 逾期提供的责任</w:t>
      </w:r>
    </w:p>
    <w:p w14:paraId="48AF0E8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因发包人原因未能按合同约定及时向承包人提供施工现场、施工条件、基础资料的，由发包人承担由此增加的费用和（或）延误的工期。</w:t>
      </w:r>
    </w:p>
    <w:p w14:paraId="78FBC628">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58" w:name="_Toc351203514"/>
      <w:r>
        <w:rPr>
          <w:rFonts w:hint="eastAsia" w:ascii="宋体" w:hAnsi="宋体" w:eastAsia="宋体" w:cs="宋体"/>
          <w:b w:val="0"/>
          <w:i w:val="0"/>
          <w:caps w:val="0"/>
          <w:color w:val="auto"/>
          <w:spacing w:val="0"/>
          <w:w w:val="100"/>
          <w:sz w:val="24"/>
          <w:szCs w:val="24"/>
          <w:highlight w:val="none"/>
        </w:rPr>
        <w:t>2</w:t>
      </w:r>
      <w:bookmarkStart w:id="359" w:name="_Toc337558745"/>
      <w:bookmarkStart w:id="360" w:name="_Toc296503042"/>
      <w:bookmarkStart w:id="361" w:name="_Toc296346543"/>
      <w:r>
        <w:rPr>
          <w:rFonts w:hint="eastAsia" w:ascii="宋体" w:hAnsi="宋体" w:eastAsia="宋体" w:cs="宋体"/>
          <w:b w:val="0"/>
          <w:i w:val="0"/>
          <w:caps w:val="0"/>
          <w:color w:val="auto"/>
          <w:spacing w:val="0"/>
          <w:w w:val="100"/>
          <w:sz w:val="24"/>
          <w:szCs w:val="24"/>
          <w:highlight w:val="none"/>
        </w:rPr>
        <w:t>.5 资</w:t>
      </w:r>
      <w:bookmarkEnd w:id="359"/>
      <w:bookmarkEnd w:id="360"/>
      <w:bookmarkEnd w:id="361"/>
      <w:r>
        <w:rPr>
          <w:rFonts w:hint="eastAsia" w:ascii="宋体" w:hAnsi="宋体" w:eastAsia="宋体" w:cs="宋体"/>
          <w:b w:val="0"/>
          <w:i w:val="0"/>
          <w:caps w:val="0"/>
          <w:color w:val="auto"/>
          <w:spacing w:val="0"/>
          <w:w w:val="100"/>
          <w:sz w:val="24"/>
          <w:szCs w:val="24"/>
          <w:highlight w:val="none"/>
        </w:rPr>
        <w:t>金来源证明及支付担保</w:t>
      </w:r>
      <w:bookmarkEnd w:id="358"/>
    </w:p>
    <w:p w14:paraId="3704477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除专用合同条款另有约定外，发包人应在收到承包人要求提供资金来源证明的书面通知后28天内，向承包人提供能够按照合同约定支付合同价款的相应资金来源证明。</w:t>
      </w:r>
    </w:p>
    <w:p w14:paraId="7FAF5FE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796CD8F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62" w:name="_Toc351203515"/>
      <w:r>
        <w:rPr>
          <w:rFonts w:hint="eastAsia" w:ascii="宋体" w:hAnsi="宋体" w:eastAsia="宋体" w:cs="宋体"/>
          <w:b w:val="0"/>
          <w:i w:val="0"/>
          <w:caps w:val="0"/>
          <w:color w:val="auto"/>
          <w:spacing w:val="0"/>
          <w:w w:val="100"/>
          <w:sz w:val="24"/>
          <w:szCs w:val="24"/>
          <w:highlight w:val="none"/>
        </w:rPr>
        <w:t>2.6 支付合同价款</w:t>
      </w:r>
      <w:bookmarkEnd w:id="362"/>
    </w:p>
    <w:p w14:paraId="1C0085E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发包人应按合同约定向承包人及时支付合同价款。</w:t>
      </w:r>
    </w:p>
    <w:p w14:paraId="0CB5ACBD">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63" w:name="_Toc351203516"/>
      <w:r>
        <w:rPr>
          <w:rFonts w:hint="eastAsia" w:ascii="宋体" w:hAnsi="宋体" w:eastAsia="宋体" w:cs="宋体"/>
          <w:b w:val="0"/>
          <w:i w:val="0"/>
          <w:caps w:val="0"/>
          <w:color w:val="auto"/>
          <w:spacing w:val="0"/>
          <w:w w:val="100"/>
          <w:sz w:val="24"/>
          <w:szCs w:val="24"/>
          <w:highlight w:val="none"/>
        </w:rPr>
        <w:t>2.7 组织竣工验收</w:t>
      </w:r>
      <w:bookmarkEnd w:id="363"/>
    </w:p>
    <w:p w14:paraId="6B5FCFD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发包人应按合同约定及时组织竣工验收。</w:t>
      </w:r>
    </w:p>
    <w:p w14:paraId="59420D1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64" w:name="_Toc351203517"/>
      <w:r>
        <w:rPr>
          <w:rFonts w:hint="eastAsia" w:ascii="宋体" w:hAnsi="宋体" w:eastAsia="宋体" w:cs="宋体"/>
          <w:b w:val="0"/>
          <w:i w:val="0"/>
          <w:caps w:val="0"/>
          <w:color w:val="auto"/>
          <w:spacing w:val="0"/>
          <w:w w:val="100"/>
          <w:sz w:val="24"/>
          <w:szCs w:val="24"/>
          <w:highlight w:val="none"/>
        </w:rPr>
        <w:t>2.8 现场统一管理协议</w:t>
      </w:r>
      <w:bookmarkEnd w:id="364"/>
    </w:p>
    <w:p w14:paraId="5E9A893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发包人应与承包人、由发包人直接发包的专业工程的承包人签订施工现场统一管理协议，明确各方的权利义务。施工现场统一管理协议作为专用合同条款的附件。</w:t>
      </w:r>
    </w:p>
    <w:p w14:paraId="63CB17BC">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65" w:name="_Toc351203518"/>
      <w:r>
        <w:rPr>
          <w:rFonts w:hint="eastAsia" w:ascii="宋体" w:hAnsi="宋体" w:eastAsia="宋体" w:cs="宋体"/>
          <w:b w:val="0"/>
          <w:i w:val="0"/>
          <w:caps w:val="0"/>
          <w:color w:val="auto"/>
          <w:spacing w:val="0"/>
          <w:w w:val="100"/>
          <w:sz w:val="24"/>
          <w:szCs w:val="24"/>
          <w:highlight w:val="none"/>
        </w:rPr>
        <w:t>3. 承包人</w:t>
      </w:r>
      <w:bookmarkEnd w:id="365"/>
    </w:p>
    <w:p w14:paraId="271AF6C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66" w:name="_Toc351203519"/>
      <w:r>
        <w:rPr>
          <w:rFonts w:hint="eastAsia" w:ascii="宋体" w:hAnsi="宋体" w:eastAsia="宋体" w:cs="宋体"/>
          <w:b w:val="0"/>
          <w:i w:val="0"/>
          <w:caps w:val="0"/>
          <w:color w:val="auto"/>
          <w:spacing w:val="0"/>
          <w:w w:val="100"/>
          <w:sz w:val="24"/>
          <w:szCs w:val="24"/>
          <w:highlight w:val="none"/>
        </w:rPr>
        <w:t>3.1 承包人的一般义务</w:t>
      </w:r>
      <w:bookmarkEnd w:id="366"/>
    </w:p>
    <w:p w14:paraId="143F02F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承包人在履行合同过程中应遵守法律和工程建设标准规范，并履行以下义务：</w:t>
      </w:r>
    </w:p>
    <w:p w14:paraId="674A8653">
      <w:pPr>
        <w:numPr>
          <w:ilvl w:val="0"/>
          <w:numId w:val="9"/>
        </w:num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办理法律规定应由承包人办理的许可和批准，并将办理结果书面报送发包人留存；</w:t>
      </w:r>
    </w:p>
    <w:p w14:paraId="0DAAF31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（2）按法律规定和合同约定完成工程，并在保修期内承担保修义务；</w:t>
      </w:r>
    </w:p>
    <w:p w14:paraId="5BBD17F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（3）按法律规定和合同约定采取施工安全和环境保护措施，办理工伤保险，确保工程及人员、材料、设备和设施的安全；</w:t>
      </w:r>
    </w:p>
    <w:p w14:paraId="5D4C906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（4）按合同约定的工作内容和施工进度要求，编制施工组织设计和施工措施计划，并对所有施工作业和施工方法的完备性和安全可靠性负责；</w:t>
      </w:r>
    </w:p>
    <w:p w14:paraId="220C0BD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A0E174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（6）按照第6.3款〔环境保护〕约定负责施工场地及其周边环境与生态的保护工作；</w:t>
      </w:r>
    </w:p>
    <w:p w14:paraId="657F5EA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（7）按第6.1款〔安全文明施工〕约定采取施工安全措施，确保工程及其人员、材料、设备和设施的安全，防止因工程施工造成的人身伤害和财产损失；</w:t>
      </w:r>
    </w:p>
    <w:p w14:paraId="600BF9F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（8）将发包人按合同约定支付的各项价款专用于合同工程，且应及时支付其雇用人员工资，并及时向分包人支付合同价款；</w:t>
      </w:r>
    </w:p>
    <w:p w14:paraId="21D456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（9）按照法律规定和合同约定编制竣工资料，完成竣工资料立卷及归档，并按专用合同条款约定的竣工资料的套数、内容、时间等要求移交发包人；</w:t>
      </w:r>
    </w:p>
    <w:p w14:paraId="5539999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（10）应履行的其他义务。</w:t>
      </w:r>
    </w:p>
    <w:p w14:paraId="1F2BC3BC">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67" w:name="_Toc351203520"/>
      <w:r>
        <w:rPr>
          <w:rFonts w:hint="eastAsia" w:ascii="宋体" w:hAnsi="宋体" w:eastAsia="宋体" w:cs="宋体"/>
          <w:b w:val="0"/>
          <w:i w:val="0"/>
          <w:caps w:val="0"/>
          <w:color w:val="auto"/>
          <w:spacing w:val="0"/>
          <w:w w:val="100"/>
          <w:sz w:val="24"/>
          <w:szCs w:val="24"/>
          <w:highlight w:val="none"/>
        </w:rPr>
        <w:t xml:space="preserve">3.2 </w:t>
      </w:r>
      <w:bookmarkEnd w:id="367"/>
      <w:r>
        <w:rPr>
          <w:rFonts w:hint="eastAsia" w:ascii="宋体" w:hAnsi="宋体" w:eastAsia="宋体" w:cs="宋体"/>
          <w:b w:val="0"/>
          <w:i w:val="0"/>
          <w:caps w:val="0"/>
          <w:color w:val="auto"/>
          <w:spacing w:val="0"/>
          <w:w w:val="100"/>
          <w:sz w:val="24"/>
          <w:szCs w:val="24"/>
          <w:highlight w:val="none"/>
        </w:rPr>
        <w:t>项目经理</w:t>
      </w:r>
    </w:p>
    <w:p w14:paraId="33295F6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468F7BF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678E273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承包人违反上述约定的，应按照专用合同条款的约定，承担违约责任。</w:t>
      </w:r>
    </w:p>
    <w:p w14:paraId="6A5AE1B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4EC0EDA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522DAD7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7A1269E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239B38B5">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68" w:name="_Toc351203521"/>
      <w:r>
        <w:rPr>
          <w:rFonts w:hint="eastAsia" w:ascii="宋体" w:hAnsi="宋体" w:eastAsia="宋体" w:cs="宋体"/>
          <w:b w:val="0"/>
          <w:i w:val="0"/>
          <w:caps w:val="0"/>
          <w:color w:val="auto"/>
          <w:spacing w:val="0"/>
          <w:w w:val="100"/>
          <w:sz w:val="24"/>
          <w:szCs w:val="24"/>
          <w:highlight w:val="none"/>
        </w:rPr>
        <w:t>3</w:t>
      </w:r>
      <w:bookmarkStart w:id="369" w:name="_Toc296503048"/>
      <w:bookmarkStart w:id="370" w:name="_Toc296346549"/>
      <w:r>
        <w:rPr>
          <w:rFonts w:hint="eastAsia" w:ascii="宋体" w:hAnsi="宋体" w:eastAsia="宋体" w:cs="宋体"/>
          <w:b w:val="0"/>
          <w:i w:val="0"/>
          <w:caps w:val="0"/>
          <w:color w:val="auto"/>
          <w:spacing w:val="0"/>
          <w:w w:val="100"/>
          <w:sz w:val="24"/>
          <w:szCs w:val="24"/>
          <w:highlight w:val="none"/>
        </w:rPr>
        <w:t xml:space="preserve">.3 </w:t>
      </w:r>
      <w:bookmarkEnd w:id="369"/>
      <w:bookmarkEnd w:id="370"/>
      <w:r>
        <w:rPr>
          <w:rFonts w:hint="eastAsia" w:ascii="宋体" w:hAnsi="宋体" w:eastAsia="宋体" w:cs="宋体"/>
          <w:b w:val="0"/>
          <w:i w:val="0"/>
          <w:caps w:val="0"/>
          <w:color w:val="auto"/>
          <w:spacing w:val="0"/>
          <w:w w:val="100"/>
          <w:sz w:val="24"/>
          <w:szCs w:val="24"/>
          <w:highlight w:val="none"/>
        </w:rPr>
        <w:t>承包人人员</w:t>
      </w:r>
      <w:bookmarkEnd w:id="368"/>
    </w:p>
    <w:p w14:paraId="70B1563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4152A1C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363E6B6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特殊工种作业人员均应持有相应的资格证明，监理人可以随时检查。</w:t>
      </w:r>
    </w:p>
    <w:p w14:paraId="6948599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5A43D06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6734F74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3.3.5 承包人擅自更换主要施工管理人员，或前述人员未经监理人或发包人同意擅自离开施工现场的，应按照专用合同条款约定承担违约责任。</w:t>
      </w:r>
    </w:p>
    <w:p w14:paraId="6DAC3A1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71" w:name="_Toc351203522"/>
      <w:r>
        <w:rPr>
          <w:rFonts w:hint="eastAsia" w:ascii="宋体" w:hAnsi="宋体" w:eastAsia="宋体" w:cs="宋体"/>
          <w:b w:val="0"/>
          <w:i w:val="0"/>
          <w:caps w:val="0"/>
          <w:color w:val="auto"/>
          <w:spacing w:val="0"/>
          <w:w w:val="100"/>
          <w:sz w:val="24"/>
          <w:szCs w:val="24"/>
          <w:highlight w:val="none"/>
        </w:rPr>
        <w:t>3.4 承包人现场查勘</w:t>
      </w:r>
      <w:bookmarkEnd w:id="371"/>
    </w:p>
    <w:p w14:paraId="4DE87B9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承包人应对基于发包人按照第2.4.3项〔提供基础资料〕提交的基础资料所做出的解释和推断负责，但因基础资料存在错误、遗漏导致承包人解释或推断失实的，由发包人承担责任。</w:t>
      </w:r>
    </w:p>
    <w:p w14:paraId="6FFDF64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6F26002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72" w:name="_Toc351203523"/>
      <w:r>
        <w:rPr>
          <w:rFonts w:hint="eastAsia" w:ascii="宋体" w:hAnsi="宋体" w:eastAsia="宋体" w:cs="宋体"/>
          <w:b w:val="0"/>
          <w:i w:val="0"/>
          <w:caps w:val="0"/>
          <w:color w:val="auto"/>
          <w:spacing w:val="0"/>
          <w:w w:val="100"/>
          <w:sz w:val="24"/>
          <w:szCs w:val="24"/>
          <w:highlight w:val="none"/>
        </w:rPr>
        <w:t>3.5 分包</w:t>
      </w:r>
      <w:bookmarkEnd w:id="372"/>
    </w:p>
    <w:p w14:paraId="2829F19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3.5.1 分包的一般约定</w:t>
      </w:r>
    </w:p>
    <w:p w14:paraId="1635833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59FC13B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承包人不得以劳务分包的名义转包或违法分包工程。</w:t>
      </w:r>
    </w:p>
    <w:p w14:paraId="1B51C35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3.5.2 分包的确定</w:t>
      </w:r>
    </w:p>
    <w:p w14:paraId="627A2FF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6059804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3.5.3 分包管理</w:t>
      </w:r>
    </w:p>
    <w:p w14:paraId="1FE966F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承包人应向监理人提交分包人的主要施工管理人员表，并对分包人的施工人员进行实名制管理，包括但不限于进出场管理、登记造册以及各种证照的办理。</w:t>
      </w:r>
    </w:p>
    <w:p w14:paraId="2EF8ED2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3.5.4 分包合同价款</w:t>
      </w:r>
    </w:p>
    <w:p w14:paraId="0C72370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（1）除本项第（2）目约定的情况或专用合同条款另有约定外，分包合同价款由承包人与分包人结算，未经承包人同意，发包人不得向分包人支付分包工程价款；</w:t>
      </w:r>
    </w:p>
    <w:p w14:paraId="3754D80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（2）生效法律文书要求发包人向分包人支付分包合同价款的，发包人有权从应付承包人工程款中扣除该部分款项。</w:t>
      </w:r>
    </w:p>
    <w:p w14:paraId="0487723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3.5.5 分包合同权益的转让</w:t>
      </w:r>
    </w:p>
    <w:p w14:paraId="2FC7465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373" w:name="_Toc351203524"/>
    </w:p>
    <w:p w14:paraId="75C8311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3.6 工程照管与成品、半成品保护</w:t>
      </w:r>
      <w:bookmarkEnd w:id="373"/>
    </w:p>
    <w:p w14:paraId="74D016A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（1）除专用合同条款另有约定外，自发包人向承包人移交施工现场之日起，承包人应负责照管工程及工程相关的材料、工程设备，直到颁发工程接收证书之日止。</w:t>
      </w:r>
    </w:p>
    <w:p w14:paraId="38A883C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（2）在承包人负责照管期间，因承包人原因造成工程、材料、工程设备损坏的，由承包人负责修复或更换，并承担由此增加的费用和（或）延误的工期。</w:t>
      </w:r>
    </w:p>
    <w:p w14:paraId="67B8A93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（3）对合同内分期完成的成品和半成品，在工程接收证书颁发前，由承包人承担保护责任。因承包人原因造成成品或半成品损坏的，由承包人负责修复或更换，并承担由此增加的费用和（或）延误的工期。</w:t>
      </w:r>
    </w:p>
    <w:p w14:paraId="5447736A">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74" w:name="_Toc351203525"/>
      <w:r>
        <w:rPr>
          <w:rFonts w:hint="eastAsia" w:ascii="宋体" w:hAnsi="宋体" w:eastAsia="宋体" w:cs="宋体"/>
          <w:b w:val="0"/>
          <w:i w:val="0"/>
          <w:caps w:val="0"/>
          <w:color w:val="auto"/>
          <w:spacing w:val="0"/>
          <w:w w:val="100"/>
          <w:sz w:val="24"/>
          <w:szCs w:val="24"/>
          <w:highlight w:val="none"/>
        </w:rPr>
        <w:t>3.7 履约担保</w:t>
      </w:r>
      <w:bookmarkEnd w:id="374"/>
    </w:p>
    <w:p w14:paraId="01BEB43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4DF2A39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因承包人原因导致工期延长的，继续提供履约担保所增加的费用由承包人承担；非因承包人原因导致工期延长的，继续提供履约担保所增加的费用由发包人承担。</w:t>
      </w:r>
    </w:p>
    <w:p w14:paraId="5FDF7855">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75" w:name="_Toc351203526"/>
      <w:r>
        <w:rPr>
          <w:rFonts w:hint="eastAsia" w:ascii="宋体" w:hAnsi="宋体" w:eastAsia="宋体" w:cs="宋体"/>
          <w:b w:val="0"/>
          <w:i w:val="0"/>
          <w:caps w:val="0"/>
          <w:color w:val="auto"/>
          <w:spacing w:val="0"/>
          <w:w w:val="100"/>
          <w:sz w:val="24"/>
          <w:szCs w:val="24"/>
          <w:highlight w:val="none"/>
        </w:rPr>
        <w:t>3.8 联合体</w:t>
      </w:r>
      <w:bookmarkEnd w:id="375"/>
    </w:p>
    <w:p w14:paraId="32E44D3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3.8.1 联合体各方应共同与发包人签订合同协议书。联合体各方应为履行合同向发包人承担连带责任。</w:t>
      </w:r>
    </w:p>
    <w:p w14:paraId="33C7AE2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3.8.2 联合体协议经发包人确认后作为合同附件。在履行合同过程中，未经发包人同意，不得修改联合体协议。</w:t>
      </w:r>
    </w:p>
    <w:p w14:paraId="3DA08D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3.8.3 联合体牵头人负责与发包人和监理人联系，并接受指示，负责组织联合体各成员全面履行合同。</w:t>
      </w:r>
    </w:p>
    <w:p w14:paraId="3B594ECD">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76" w:name="_Toc351203527"/>
      <w:r>
        <w:rPr>
          <w:rFonts w:hint="eastAsia" w:ascii="宋体" w:hAnsi="宋体" w:eastAsia="宋体" w:cs="宋体"/>
          <w:b w:val="0"/>
          <w:i w:val="0"/>
          <w:caps w:val="0"/>
          <w:color w:val="auto"/>
          <w:spacing w:val="0"/>
          <w:w w:val="100"/>
          <w:sz w:val="24"/>
          <w:szCs w:val="24"/>
          <w:highlight w:val="none"/>
        </w:rPr>
        <w:t>4</w:t>
      </w:r>
      <w:bookmarkStart w:id="377" w:name="_Toc296503053"/>
      <w:bookmarkStart w:id="378" w:name="_Toc296346554"/>
      <w:r>
        <w:rPr>
          <w:rFonts w:hint="eastAsia" w:ascii="宋体" w:hAnsi="宋体" w:eastAsia="宋体" w:cs="宋体"/>
          <w:b w:val="0"/>
          <w:i w:val="0"/>
          <w:caps w:val="0"/>
          <w:color w:val="auto"/>
          <w:spacing w:val="0"/>
          <w:w w:val="100"/>
          <w:sz w:val="24"/>
          <w:szCs w:val="24"/>
          <w:highlight w:val="none"/>
        </w:rPr>
        <w:t>. 监</w:t>
      </w:r>
      <w:bookmarkEnd w:id="377"/>
      <w:bookmarkEnd w:id="378"/>
      <w:r>
        <w:rPr>
          <w:rFonts w:hint="eastAsia" w:ascii="宋体" w:hAnsi="宋体" w:eastAsia="宋体" w:cs="宋体"/>
          <w:b w:val="0"/>
          <w:i w:val="0"/>
          <w:caps w:val="0"/>
          <w:color w:val="auto"/>
          <w:spacing w:val="0"/>
          <w:w w:val="100"/>
          <w:sz w:val="24"/>
          <w:szCs w:val="24"/>
          <w:highlight w:val="none"/>
        </w:rPr>
        <w:t>理人</w:t>
      </w:r>
      <w:bookmarkEnd w:id="376"/>
    </w:p>
    <w:p w14:paraId="593D39EB">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79" w:name="_Toc351203528"/>
      <w:r>
        <w:rPr>
          <w:rFonts w:hint="eastAsia" w:ascii="宋体" w:hAnsi="宋体" w:eastAsia="宋体" w:cs="宋体"/>
          <w:b w:val="0"/>
          <w:i w:val="0"/>
          <w:caps w:val="0"/>
          <w:color w:val="auto"/>
          <w:spacing w:val="0"/>
          <w:w w:val="100"/>
          <w:sz w:val="24"/>
          <w:szCs w:val="24"/>
          <w:highlight w:val="none"/>
        </w:rPr>
        <w:t>4.1监理人的一般规定</w:t>
      </w:r>
      <w:bookmarkEnd w:id="379"/>
    </w:p>
    <w:p w14:paraId="60B7F5E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230FECE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除专用合同条款另有约定外，监理人在施工现场的办公场所、生活场所由承包人提供，所发生的费用由发包人承担。</w:t>
      </w:r>
    </w:p>
    <w:p w14:paraId="7BB1787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80" w:name="_Toc351203529"/>
      <w:r>
        <w:rPr>
          <w:rFonts w:hint="eastAsia" w:ascii="宋体" w:hAnsi="宋体" w:eastAsia="宋体" w:cs="宋体"/>
          <w:b w:val="0"/>
          <w:i w:val="0"/>
          <w:caps w:val="0"/>
          <w:color w:val="auto"/>
          <w:spacing w:val="0"/>
          <w:w w:val="100"/>
          <w:sz w:val="24"/>
          <w:szCs w:val="24"/>
          <w:highlight w:val="none"/>
        </w:rPr>
        <w:t>4.2监理人员</w:t>
      </w:r>
      <w:bookmarkEnd w:id="380"/>
    </w:p>
    <w:p w14:paraId="7E31C79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3826486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81" w:name="_Toc351203530"/>
      <w:r>
        <w:rPr>
          <w:rFonts w:hint="eastAsia" w:ascii="宋体" w:hAnsi="宋体" w:eastAsia="宋体" w:cs="宋体"/>
          <w:b w:val="0"/>
          <w:i w:val="0"/>
          <w:caps w:val="0"/>
          <w:color w:val="auto"/>
          <w:spacing w:val="0"/>
          <w:w w:val="100"/>
          <w:sz w:val="24"/>
          <w:szCs w:val="24"/>
          <w:highlight w:val="none"/>
        </w:rPr>
        <w:t>4</w:t>
      </w:r>
      <w:bookmarkStart w:id="382" w:name="_Toc296346556"/>
      <w:bookmarkStart w:id="383" w:name="_Toc296503055"/>
      <w:bookmarkStart w:id="384" w:name="_Toc337558756"/>
      <w:r>
        <w:rPr>
          <w:rFonts w:hint="eastAsia" w:ascii="宋体" w:hAnsi="宋体" w:eastAsia="宋体" w:cs="宋体"/>
          <w:b w:val="0"/>
          <w:i w:val="0"/>
          <w:caps w:val="0"/>
          <w:color w:val="auto"/>
          <w:spacing w:val="0"/>
          <w:w w:val="100"/>
          <w:sz w:val="24"/>
          <w:szCs w:val="24"/>
          <w:highlight w:val="none"/>
        </w:rPr>
        <w:t>.3</w:t>
      </w:r>
      <w:bookmarkEnd w:id="382"/>
      <w:bookmarkEnd w:id="383"/>
      <w:r>
        <w:rPr>
          <w:rFonts w:hint="eastAsia" w:ascii="宋体" w:hAnsi="宋体" w:eastAsia="宋体" w:cs="宋体"/>
          <w:b w:val="0"/>
          <w:i w:val="0"/>
          <w:caps w:val="0"/>
          <w:color w:val="auto"/>
          <w:spacing w:val="0"/>
          <w:w w:val="100"/>
          <w:sz w:val="24"/>
          <w:szCs w:val="24"/>
          <w:highlight w:val="none"/>
        </w:rPr>
        <w:t>监理人的指</w:t>
      </w:r>
      <w:bookmarkEnd w:id="384"/>
      <w:r>
        <w:rPr>
          <w:rFonts w:hint="eastAsia" w:ascii="宋体" w:hAnsi="宋体" w:eastAsia="宋体" w:cs="宋体"/>
          <w:b w:val="0"/>
          <w:i w:val="0"/>
          <w:caps w:val="0"/>
          <w:color w:val="auto"/>
          <w:spacing w:val="0"/>
          <w:w w:val="100"/>
          <w:sz w:val="24"/>
          <w:szCs w:val="24"/>
          <w:highlight w:val="none"/>
        </w:rPr>
        <w:t>示</w:t>
      </w:r>
      <w:bookmarkEnd w:id="381"/>
    </w:p>
    <w:p w14:paraId="6382C6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147A096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451ADAE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承包人对监理人发出的指示有疑问的，应向监理人提出书面异议，监理人应在48小时内对该指示予以确认、更改或撤销，监理人逾期未回复的，承包人有权拒绝执行上述指示。</w:t>
      </w:r>
    </w:p>
    <w:p w14:paraId="1483B99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60F63C7B">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85" w:name="_Toc351203531"/>
      <w:r>
        <w:rPr>
          <w:rFonts w:hint="eastAsia" w:ascii="宋体" w:hAnsi="宋体" w:eastAsia="宋体" w:cs="宋体"/>
          <w:b w:val="0"/>
          <w:i w:val="0"/>
          <w:caps w:val="0"/>
          <w:color w:val="auto"/>
          <w:spacing w:val="0"/>
          <w:w w:val="100"/>
          <w:sz w:val="24"/>
          <w:szCs w:val="24"/>
          <w:highlight w:val="none"/>
        </w:rPr>
        <w:t>4.4 商定或确定</w:t>
      </w:r>
      <w:bookmarkEnd w:id="385"/>
    </w:p>
    <w:p w14:paraId="1E45E38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合同当事人进行商定或确定时，总监理工程师应当会同合同当事人尽量通过协商达成一致，不能达成一致的，由总监理工程师按照合同约定审慎做出公正的确定。</w:t>
      </w:r>
    </w:p>
    <w:p w14:paraId="55ACBB4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523D345F">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86" w:name="_Toc351203532"/>
      <w:r>
        <w:rPr>
          <w:rFonts w:hint="eastAsia" w:ascii="宋体" w:hAnsi="宋体" w:eastAsia="宋体" w:cs="宋体"/>
          <w:b w:val="0"/>
          <w:i w:val="0"/>
          <w:caps w:val="0"/>
          <w:color w:val="auto"/>
          <w:spacing w:val="0"/>
          <w:w w:val="100"/>
          <w:sz w:val="24"/>
          <w:szCs w:val="24"/>
          <w:highlight w:val="none"/>
        </w:rPr>
        <w:t>5. 工程质量</w:t>
      </w:r>
      <w:bookmarkEnd w:id="386"/>
    </w:p>
    <w:p w14:paraId="02BA64C6">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87" w:name="_Toc351203533"/>
      <w:r>
        <w:rPr>
          <w:rFonts w:hint="eastAsia" w:ascii="宋体" w:hAnsi="宋体" w:eastAsia="宋体" w:cs="宋体"/>
          <w:b w:val="0"/>
          <w:i w:val="0"/>
          <w:caps w:val="0"/>
          <w:color w:val="auto"/>
          <w:spacing w:val="0"/>
          <w:w w:val="100"/>
          <w:sz w:val="24"/>
          <w:szCs w:val="24"/>
          <w:highlight w:val="none"/>
        </w:rPr>
        <w:t>5.1质量要求</w:t>
      </w:r>
      <w:bookmarkEnd w:id="387"/>
    </w:p>
    <w:p w14:paraId="3CC2A04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5.1.1 工程质量标准必须符合现行国家有关工程施工质量验收规范和标准的要求。有关工程质量的特殊标准或要求由合同当事人在专用合同条款中约定。</w:t>
      </w:r>
    </w:p>
    <w:p w14:paraId="69993F1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5.1.2 因发包人原因造成工程质量未达到合同约定标准的，由发包人承担由此增加的费用和（或）延误的工期，并支付承包人合理的利润。</w:t>
      </w:r>
    </w:p>
    <w:p w14:paraId="025D4A3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5.1.3因承包人原因造成工程质量未达到合同约定标准的，发包人有权要求承包人返工直至工程质量达到合同约定的标准为止，并由承包人承担由此增加的费用和（或）延误的工期。</w:t>
      </w:r>
    </w:p>
    <w:p w14:paraId="4B907E9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88" w:name="_Toc351203534"/>
      <w:r>
        <w:rPr>
          <w:rFonts w:hint="eastAsia" w:ascii="宋体" w:hAnsi="宋体" w:eastAsia="宋体" w:cs="宋体"/>
          <w:b w:val="0"/>
          <w:i w:val="0"/>
          <w:caps w:val="0"/>
          <w:color w:val="auto"/>
          <w:spacing w:val="0"/>
          <w:w w:val="100"/>
          <w:sz w:val="24"/>
          <w:szCs w:val="24"/>
          <w:highlight w:val="none"/>
        </w:rPr>
        <w:t>5.2质量保证措施</w:t>
      </w:r>
      <w:bookmarkEnd w:id="388"/>
    </w:p>
    <w:p w14:paraId="6ABA06B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5.2.1 发包人的质量管理</w:t>
      </w:r>
    </w:p>
    <w:p w14:paraId="6466520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发包人应按照法律规定及合同约定完成与工程质量有关的各项工作。</w:t>
      </w:r>
    </w:p>
    <w:p w14:paraId="48CB768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5.2.2 承包人的质量管理</w:t>
      </w:r>
    </w:p>
    <w:p w14:paraId="278D069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622DCCE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承包人应对施工人员进行质量教育和技术培训，定期考核施工人员的劳动技能，严格执行施工规范和操作规程。</w:t>
      </w:r>
    </w:p>
    <w:p w14:paraId="110C4A2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0E06C1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5.2.3 监理人的质量检查和检验</w:t>
      </w:r>
    </w:p>
    <w:p w14:paraId="0A24864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30DE2D4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4579F7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89" w:name="_Toc351203535"/>
      <w:r>
        <w:rPr>
          <w:rFonts w:hint="eastAsia" w:ascii="宋体" w:hAnsi="宋体" w:eastAsia="宋体" w:cs="宋体"/>
          <w:b w:val="0"/>
          <w:i w:val="0"/>
          <w:caps w:val="0"/>
          <w:color w:val="auto"/>
          <w:spacing w:val="0"/>
          <w:w w:val="100"/>
          <w:sz w:val="24"/>
          <w:szCs w:val="24"/>
          <w:highlight w:val="none"/>
        </w:rPr>
        <w:t>5.3 隐蔽工程检查</w:t>
      </w:r>
      <w:bookmarkEnd w:id="389"/>
    </w:p>
    <w:p w14:paraId="23D09AB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5.3.1承包人自检</w:t>
      </w:r>
    </w:p>
    <w:p w14:paraId="7006C7F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承包人应当对工程隐蔽部位进行自检，并经自检确认是否具备覆盖条件。</w:t>
      </w:r>
    </w:p>
    <w:p w14:paraId="6E304DE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5.3.2检查程序</w:t>
      </w:r>
    </w:p>
    <w:p w14:paraId="09058C2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53F8FE0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4B6C18E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19FE68D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5.3.3 重新检查</w:t>
      </w:r>
    </w:p>
    <w:p w14:paraId="7943583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5D5A67F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5.3.4 承包人私自覆盖</w:t>
      </w:r>
    </w:p>
    <w:p w14:paraId="6D913B7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517A9467">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90" w:name="_Toc351203536"/>
      <w:r>
        <w:rPr>
          <w:rFonts w:hint="eastAsia" w:ascii="宋体" w:hAnsi="宋体" w:eastAsia="宋体" w:cs="宋体"/>
          <w:b w:val="0"/>
          <w:i w:val="0"/>
          <w:caps w:val="0"/>
          <w:color w:val="auto"/>
          <w:spacing w:val="0"/>
          <w:w w:val="100"/>
          <w:sz w:val="24"/>
          <w:szCs w:val="24"/>
          <w:highlight w:val="none"/>
        </w:rPr>
        <w:t>5.4不合格工程的处理</w:t>
      </w:r>
      <w:bookmarkEnd w:id="390"/>
    </w:p>
    <w:p w14:paraId="6185B94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71BC840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5.4.2 因发包人原因造成工程不合格的，由此增加的费用和（或）延误的工期由发包人承担，并支付承包人合理的利润。</w:t>
      </w:r>
    </w:p>
    <w:p w14:paraId="0544723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91" w:name="_Toc351203537"/>
      <w:r>
        <w:rPr>
          <w:rFonts w:hint="eastAsia" w:ascii="宋体" w:hAnsi="宋体" w:eastAsia="宋体" w:cs="宋体"/>
          <w:b w:val="0"/>
          <w:i w:val="0"/>
          <w:caps w:val="0"/>
          <w:color w:val="auto"/>
          <w:spacing w:val="0"/>
          <w:w w:val="100"/>
          <w:sz w:val="24"/>
          <w:szCs w:val="24"/>
          <w:highlight w:val="none"/>
        </w:rPr>
        <w:t>5.5 质量争议检测</w:t>
      </w:r>
      <w:bookmarkEnd w:id="391"/>
    </w:p>
    <w:p w14:paraId="364AB1A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合同当事人对工程质量有争议的，由双方协商确定的工程质量检测机构鉴定，由此产生的费用及因此造成的损失，由责任方承担。</w:t>
      </w:r>
    </w:p>
    <w:p w14:paraId="5B7AE05C">
      <w:pPr>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合同当事人均有责任的，由双方根据其责任分别承担。合同当事人无法达成一致的，按照第4.4款〔商定或确定〕执行。</w:t>
      </w:r>
    </w:p>
    <w:p w14:paraId="2B64B922">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92" w:name="_Toc351203538"/>
      <w:r>
        <w:rPr>
          <w:rFonts w:hint="eastAsia" w:ascii="宋体" w:hAnsi="宋体" w:eastAsia="宋体" w:cs="宋体"/>
          <w:b w:val="0"/>
          <w:i w:val="0"/>
          <w:caps w:val="0"/>
          <w:color w:val="auto"/>
          <w:spacing w:val="0"/>
          <w:w w:val="100"/>
          <w:sz w:val="24"/>
          <w:szCs w:val="24"/>
          <w:highlight w:val="none"/>
        </w:rPr>
        <w:t>6. 安全文明施工与环境保护</w:t>
      </w:r>
      <w:bookmarkEnd w:id="392"/>
    </w:p>
    <w:p w14:paraId="0CB0008F">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93" w:name="_Toc351203539"/>
      <w:r>
        <w:rPr>
          <w:rFonts w:hint="eastAsia" w:ascii="宋体" w:hAnsi="宋体" w:eastAsia="宋体" w:cs="宋体"/>
          <w:b w:val="0"/>
          <w:i w:val="0"/>
          <w:caps w:val="0"/>
          <w:color w:val="auto"/>
          <w:spacing w:val="0"/>
          <w:w w:val="100"/>
          <w:sz w:val="24"/>
          <w:szCs w:val="24"/>
          <w:highlight w:val="none"/>
        </w:rPr>
        <w:t>6.1安全文明施工</w:t>
      </w:r>
      <w:bookmarkEnd w:id="393"/>
    </w:p>
    <w:p w14:paraId="7C56B7C0">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6.1.1安全生产要求</w:t>
      </w:r>
    </w:p>
    <w:p w14:paraId="02F100CF">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8960B91">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在施工过程中，如遇到突发的地质变动、事先未知的地下施工障碍等影响施工安全的紧急情况，承包人应及时报告监理人和发包人，发包人应当及时下令停工并报</w:t>
      </w:r>
      <w:r>
        <w:rPr>
          <w:rFonts w:hint="eastAsia" w:ascii="宋体" w:hAnsi="宋体" w:eastAsia="宋体" w:cs="宋体"/>
          <w:b w:val="0"/>
          <w:i w:val="0"/>
          <w:caps w:val="0"/>
          <w:color w:val="auto"/>
          <w:spacing w:val="0"/>
          <w:w w:val="100"/>
          <w:kern w:val="0"/>
          <w:sz w:val="24"/>
          <w:szCs w:val="24"/>
          <w:highlight w:val="none"/>
        </w:rPr>
        <w:t>政府有关行政管理部门</w:t>
      </w:r>
      <w:r>
        <w:rPr>
          <w:rFonts w:hint="eastAsia" w:ascii="宋体" w:hAnsi="宋体" w:eastAsia="宋体" w:cs="宋体"/>
          <w:b w:val="0"/>
          <w:i w:val="0"/>
          <w:caps w:val="0"/>
          <w:color w:val="auto"/>
          <w:spacing w:val="0"/>
          <w:w w:val="100"/>
          <w:sz w:val="24"/>
          <w:szCs w:val="24"/>
          <w:highlight w:val="none"/>
        </w:rPr>
        <w:t>采取应急措施。</w:t>
      </w:r>
    </w:p>
    <w:p w14:paraId="4025C876">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因安全生产需要暂停施工的，按照第7.8款〔暂停施工〕的约定执行。</w:t>
      </w:r>
    </w:p>
    <w:p w14:paraId="2A0C88E6">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6.1.2 安全生产保证措施</w:t>
      </w:r>
    </w:p>
    <w:p w14:paraId="2DAD662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承包人应当按照有关</w:t>
      </w:r>
      <w:r>
        <w:rPr>
          <w:rFonts w:hint="eastAsia" w:ascii="宋体" w:hAnsi="宋体" w:eastAsia="宋体" w:cs="宋体"/>
          <w:b w:val="0"/>
          <w:i w:val="0"/>
          <w:caps w:val="0"/>
          <w:color w:val="auto"/>
          <w:spacing w:val="0"/>
          <w:w w:val="100"/>
          <w:kern w:val="0"/>
          <w:sz w:val="24"/>
          <w:szCs w:val="24"/>
          <w:highlight w:val="none"/>
        </w:rPr>
        <w:t>规定编制安全技术措施或者专项施工方案，</w:t>
      </w:r>
      <w:r>
        <w:rPr>
          <w:rFonts w:hint="eastAsia" w:ascii="宋体" w:hAnsi="宋体" w:eastAsia="宋体" w:cs="宋体"/>
          <w:b w:val="0"/>
          <w:i w:val="0"/>
          <w:caps w:val="0"/>
          <w:color w:val="auto"/>
          <w:spacing w:val="0"/>
          <w:w w:val="100"/>
          <w:sz w:val="24"/>
          <w:szCs w:val="24"/>
          <w:highlight w:val="none"/>
        </w:rPr>
        <w:t>建立安全生产责任制度、治安保卫制度及安全生产教育培训制度，并</w:t>
      </w:r>
      <w:r>
        <w:rPr>
          <w:rFonts w:hint="eastAsia" w:ascii="宋体" w:hAnsi="宋体" w:eastAsia="宋体" w:cs="宋体"/>
          <w:b w:val="0"/>
          <w:i w:val="0"/>
          <w:caps w:val="0"/>
          <w:color w:val="auto"/>
          <w:spacing w:val="0"/>
          <w:w w:val="100"/>
          <w:kern w:val="0"/>
          <w:sz w:val="24"/>
          <w:szCs w:val="24"/>
          <w:highlight w:val="none"/>
        </w:rPr>
        <w:t>按安全生产法律规定及合同约定履行安全职责，如实</w:t>
      </w:r>
      <w:r>
        <w:rPr>
          <w:rFonts w:hint="eastAsia" w:ascii="宋体" w:hAnsi="宋体" w:eastAsia="宋体" w:cs="宋体"/>
          <w:b w:val="0"/>
          <w:i w:val="0"/>
          <w:caps w:val="0"/>
          <w:color w:val="auto"/>
          <w:spacing w:val="0"/>
          <w:w w:val="100"/>
          <w:sz w:val="24"/>
          <w:szCs w:val="24"/>
          <w:highlight w:val="none"/>
        </w:rPr>
        <w:t>编制工程安全生产的有关记录，</w:t>
      </w:r>
      <w:r>
        <w:rPr>
          <w:rFonts w:hint="eastAsia" w:ascii="宋体" w:hAnsi="宋体" w:eastAsia="宋体" w:cs="宋体"/>
          <w:b w:val="0"/>
          <w:i w:val="0"/>
          <w:caps w:val="0"/>
          <w:color w:val="auto"/>
          <w:spacing w:val="0"/>
          <w:w w:val="100"/>
          <w:kern w:val="0"/>
          <w:sz w:val="24"/>
          <w:szCs w:val="24"/>
          <w:highlight w:val="none"/>
        </w:rPr>
        <w:t>接受发包人、监理人及政府安全监督部门的检查与监督。</w:t>
      </w:r>
    </w:p>
    <w:p w14:paraId="04ABD61C">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6.1.3特别安全生产事项</w:t>
      </w:r>
    </w:p>
    <w:p w14:paraId="5AA8F31D">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169F2FB">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0C82FF33">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044702F1">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需单独编制危险性较大分部分项专项工程施工方案的，及要求进行专家论证的超过一定规模的危险性较大的分部分项工程，承包人应及时编制和组织论证。</w:t>
      </w:r>
    </w:p>
    <w:p w14:paraId="17EFFCA8">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6.1.4 治安保卫</w:t>
      </w:r>
    </w:p>
    <w:p w14:paraId="5664C508">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除专用合同条款另有约定外，发包人应与当地公安部门协商，在现场建立治安管理机构或联防组织，统一管理施工场地的治安保卫事项，履行合同工程的治安保卫职责。</w:t>
      </w:r>
    </w:p>
    <w:p w14:paraId="6462D258">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发包人和承包人除应协助现场治安管理机构或联防组织维护施工场地的社会治安外，还应做好包括生活区在内的各自管辖区的治安保卫工作。</w:t>
      </w:r>
    </w:p>
    <w:p w14:paraId="17660730">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611E6ACF">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6.1.5 文明施工</w:t>
      </w:r>
    </w:p>
    <w:p w14:paraId="265B3B2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3A27437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464CC6B0">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6.1.6 安全文明施工费</w:t>
      </w:r>
    </w:p>
    <w:p w14:paraId="3F6F255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安全文明施工费由发包人承担，发包人不得以任何形式扣减该部分费用。因基准日期后合同所适用的法律或政府有关规定发生变化，增加的安全文明施工费由发包人承担。</w:t>
      </w:r>
    </w:p>
    <w:p w14:paraId="1D26F87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13E058C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6FC4F00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0AC6CA6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6.1.7 紧急情况处理</w:t>
      </w:r>
    </w:p>
    <w:p w14:paraId="6D43964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3BC083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6.1.8 事故处理</w:t>
      </w:r>
    </w:p>
    <w:p w14:paraId="0F358A4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78AA4F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6.1.9 安全生产责任</w:t>
      </w:r>
    </w:p>
    <w:p w14:paraId="3D7008D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6.1.9.1 发包人的安全责任</w:t>
      </w:r>
    </w:p>
    <w:p w14:paraId="1B6BE468">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发包人应负责赔偿以下各种情况造成的损失：</w:t>
      </w:r>
    </w:p>
    <w:p w14:paraId="3969B7C0">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（1）工程或工程的任何部分对土地的占用所造成的第三者财产损失；</w:t>
      </w:r>
    </w:p>
    <w:p w14:paraId="4B1AE195">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（2）由于发包人原因在施工场地及其毗邻地带造成的第三者人身伤亡和财产损失；</w:t>
      </w:r>
    </w:p>
    <w:p w14:paraId="6ECB5CF2">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（3）由于发包人原因对承包人、监理人造成的人员人身伤亡和财产损失；</w:t>
      </w:r>
    </w:p>
    <w:p w14:paraId="4F2D51A9">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（4）由于发包人原因造成的发包人自身人员的人身伤害以及财产损失。</w:t>
      </w:r>
    </w:p>
    <w:p w14:paraId="518D9D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6.1.9.2 承包人的安全责任</w:t>
      </w:r>
    </w:p>
    <w:p w14:paraId="269DF87F">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由于承包人原因在施工场地内及其毗邻地带造成的发包人、监理人以及第三者人员伤亡和财产损失，由承包人负责赔偿。</w:t>
      </w:r>
    </w:p>
    <w:p w14:paraId="5710F668">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94" w:name="_Toc351203540"/>
      <w:r>
        <w:rPr>
          <w:rFonts w:hint="eastAsia" w:ascii="宋体" w:hAnsi="宋体" w:eastAsia="宋体" w:cs="宋体"/>
          <w:b w:val="0"/>
          <w:i w:val="0"/>
          <w:caps w:val="0"/>
          <w:color w:val="auto"/>
          <w:spacing w:val="0"/>
          <w:w w:val="100"/>
          <w:sz w:val="24"/>
          <w:szCs w:val="24"/>
          <w:highlight w:val="none"/>
        </w:rPr>
        <w:t>6.2 职业健康</w:t>
      </w:r>
      <w:bookmarkEnd w:id="394"/>
    </w:p>
    <w:p w14:paraId="7CFD63A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6.2.1 劳动保护</w:t>
      </w:r>
    </w:p>
    <w:p w14:paraId="3B85B5D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42A41D8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5B5D5D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48AC0E0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6.2.2 生活条件</w:t>
      </w:r>
    </w:p>
    <w:p w14:paraId="7556680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5B11FE8D">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95" w:name="_Toc351203541"/>
      <w:r>
        <w:rPr>
          <w:rFonts w:hint="eastAsia" w:ascii="宋体" w:hAnsi="宋体" w:eastAsia="宋体" w:cs="宋体"/>
          <w:b w:val="0"/>
          <w:i w:val="0"/>
          <w:caps w:val="0"/>
          <w:color w:val="auto"/>
          <w:spacing w:val="0"/>
          <w:w w:val="100"/>
          <w:sz w:val="24"/>
          <w:szCs w:val="24"/>
          <w:highlight w:val="none"/>
        </w:rPr>
        <w:t>6.3 环境保护</w:t>
      </w:r>
      <w:bookmarkEnd w:id="395"/>
    </w:p>
    <w:p w14:paraId="2B76C42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7E2D7DE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承包人应当承担因其原因引起的环境污染侵权损害赔偿责任，因上述环境污染引起纠纷而导致暂停施工的，由此增加的费用和（或）延误的工期由承包人承担。</w:t>
      </w:r>
    </w:p>
    <w:p w14:paraId="0E5EE26C">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396" w:name="_Toc351203542"/>
      <w:r>
        <w:rPr>
          <w:rFonts w:hint="eastAsia" w:ascii="宋体" w:hAnsi="宋体" w:eastAsia="宋体" w:cs="宋体"/>
          <w:b w:val="0"/>
          <w:i w:val="0"/>
          <w:caps w:val="0"/>
          <w:color w:val="auto"/>
          <w:spacing w:val="0"/>
          <w:w w:val="100"/>
          <w:sz w:val="24"/>
          <w:szCs w:val="24"/>
          <w:highlight w:val="none"/>
        </w:rPr>
        <w:t>7. 工期和进度</w:t>
      </w:r>
      <w:bookmarkEnd w:id="396"/>
    </w:p>
    <w:p w14:paraId="38A631A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397" w:name="_Toc351203543"/>
      <w:r>
        <w:rPr>
          <w:rFonts w:hint="eastAsia" w:ascii="宋体" w:hAnsi="宋体" w:eastAsia="宋体" w:cs="宋体"/>
          <w:b w:val="0"/>
          <w:i w:val="0"/>
          <w:caps w:val="0"/>
          <w:color w:val="auto"/>
          <w:spacing w:val="0"/>
          <w:w w:val="100"/>
          <w:sz w:val="24"/>
          <w:szCs w:val="24"/>
          <w:highlight w:val="none"/>
        </w:rPr>
        <w:t>7</w:t>
      </w:r>
      <w:bookmarkStart w:id="398" w:name="_Toc296346567"/>
      <w:bookmarkStart w:id="399" w:name="_Toc296503066"/>
      <w:r>
        <w:rPr>
          <w:rFonts w:hint="eastAsia" w:ascii="宋体" w:hAnsi="宋体" w:eastAsia="宋体" w:cs="宋体"/>
          <w:b w:val="0"/>
          <w:i w:val="0"/>
          <w:caps w:val="0"/>
          <w:color w:val="auto"/>
          <w:spacing w:val="0"/>
          <w:w w:val="100"/>
          <w:sz w:val="24"/>
          <w:szCs w:val="24"/>
          <w:highlight w:val="none"/>
        </w:rPr>
        <w:t>.1施工组织设计</w:t>
      </w:r>
      <w:bookmarkEnd w:id="397"/>
    </w:p>
    <w:p w14:paraId="0E793F4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 xml:space="preserve">7.1.1 </w:t>
      </w:r>
      <w:r>
        <w:rPr>
          <w:rFonts w:hint="eastAsia" w:ascii="宋体" w:hAnsi="宋体" w:eastAsia="宋体" w:cs="宋体"/>
          <w:b w:val="0"/>
          <w:i w:val="0"/>
          <w:caps w:val="0"/>
          <w:color w:val="auto"/>
          <w:spacing w:val="0"/>
          <w:w w:val="100"/>
          <w:kern w:val="0"/>
          <w:sz w:val="24"/>
          <w:szCs w:val="24"/>
          <w:highlight w:val="none"/>
        </w:rPr>
        <w:t>施工组织设计的内容</w:t>
      </w:r>
    </w:p>
    <w:p w14:paraId="6127500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施工组织设计应包含以下内容：</w:t>
      </w:r>
    </w:p>
    <w:p w14:paraId="4D771F6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（1）施工方案； </w:t>
      </w:r>
    </w:p>
    <w:p w14:paraId="45C9145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（2）施工现场平面布置图；</w:t>
      </w:r>
    </w:p>
    <w:p w14:paraId="6C2E1DA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（3）施工进度计划和保证措施； </w:t>
      </w:r>
    </w:p>
    <w:p w14:paraId="1D4085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（4）劳动力及材料供应计划；</w:t>
      </w:r>
    </w:p>
    <w:p w14:paraId="69CC1BD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（5）施工机械设备的选用；</w:t>
      </w:r>
    </w:p>
    <w:p w14:paraId="5A1C4CB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（6）质量保证体系及措施；</w:t>
      </w:r>
    </w:p>
    <w:p w14:paraId="4065FC7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（7）安全生产、文明施工措施；</w:t>
      </w:r>
    </w:p>
    <w:p w14:paraId="2BB4B10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（8）环境保护、成本控制措施；</w:t>
      </w:r>
    </w:p>
    <w:p w14:paraId="27ACBB4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（9）合同当事人约定的其他内容。</w:t>
      </w:r>
    </w:p>
    <w:p w14:paraId="1FD637F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 xml:space="preserve">7.1.2 </w:t>
      </w:r>
      <w:r>
        <w:rPr>
          <w:rFonts w:hint="eastAsia" w:ascii="宋体" w:hAnsi="宋体" w:eastAsia="宋体" w:cs="宋体"/>
          <w:b w:val="0"/>
          <w:i w:val="0"/>
          <w:caps w:val="0"/>
          <w:color w:val="auto"/>
          <w:spacing w:val="0"/>
          <w:w w:val="100"/>
          <w:kern w:val="0"/>
          <w:sz w:val="24"/>
          <w:szCs w:val="24"/>
          <w:highlight w:val="none"/>
        </w:rPr>
        <w:t>施工组织设计的提交和修改</w:t>
      </w:r>
    </w:p>
    <w:p w14:paraId="1315D03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149DA68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施工进度计划的编制和修改按照第7.2款〔施工进度计划〕执行。</w:t>
      </w:r>
    </w:p>
    <w:p w14:paraId="1FBB6A6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00" w:name="_Toc351203544"/>
      <w:r>
        <w:rPr>
          <w:rFonts w:hint="eastAsia" w:ascii="宋体" w:hAnsi="宋体" w:eastAsia="宋体" w:cs="宋体"/>
          <w:b w:val="0"/>
          <w:i w:val="0"/>
          <w:caps w:val="0"/>
          <w:color w:val="auto"/>
          <w:spacing w:val="0"/>
          <w:w w:val="100"/>
          <w:sz w:val="24"/>
          <w:szCs w:val="24"/>
          <w:highlight w:val="none"/>
        </w:rPr>
        <w:t>7.2 施工进度计划</w:t>
      </w:r>
      <w:bookmarkEnd w:id="400"/>
    </w:p>
    <w:p w14:paraId="1FC30AE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7.2.1 施工进度计划的编制</w:t>
      </w:r>
    </w:p>
    <w:p w14:paraId="6C53CDA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4E7D20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7.2.2 施工进度计划的修订</w:t>
      </w:r>
    </w:p>
    <w:p w14:paraId="195C60E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19C9473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01" w:name="_Toc351203545"/>
      <w:r>
        <w:rPr>
          <w:rFonts w:hint="eastAsia" w:ascii="宋体" w:hAnsi="宋体" w:eastAsia="宋体" w:cs="宋体"/>
          <w:b w:val="0"/>
          <w:i w:val="0"/>
          <w:caps w:val="0"/>
          <w:color w:val="auto"/>
          <w:spacing w:val="0"/>
          <w:w w:val="100"/>
          <w:sz w:val="24"/>
          <w:szCs w:val="24"/>
          <w:highlight w:val="none"/>
        </w:rPr>
        <w:t>7.3 开工</w:t>
      </w:r>
      <w:bookmarkEnd w:id="401"/>
    </w:p>
    <w:p w14:paraId="1E7249E6">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7.3.1 开工准备</w:t>
      </w:r>
    </w:p>
    <w:p w14:paraId="37686D9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03728EA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除专用合同条款另有约定外，合同当事人应按约定完成开工准备工作。</w:t>
      </w:r>
    </w:p>
    <w:p w14:paraId="6FA6CA4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7.3.2 开工通知</w:t>
      </w:r>
    </w:p>
    <w:p w14:paraId="378D2CD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7681B8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3C5C052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02" w:name="_Toc351203546"/>
      <w:r>
        <w:rPr>
          <w:rFonts w:hint="eastAsia" w:ascii="宋体" w:hAnsi="宋体" w:eastAsia="宋体" w:cs="宋体"/>
          <w:b w:val="0"/>
          <w:i w:val="0"/>
          <w:caps w:val="0"/>
          <w:color w:val="auto"/>
          <w:spacing w:val="0"/>
          <w:w w:val="100"/>
          <w:sz w:val="24"/>
          <w:szCs w:val="24"/>
          <w:highlight w:val="none"/>
        </w:rPr>
        <w:t>7.4测量放线</w:t>
      </w:r>
      <w:bookmarkEnd w:id="402"/>
    </w:p>
    <w:p w14:paraId="746CD6A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24ED77D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084EAF4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12A7396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施工过程中对施工现场内水准点等测量标志物的保护工作由承包人负责。</w:t>
      </w:r>
      <w:bookmarkStart w:id="403" w:name="_Toc351203547"/>
    </w:p>
    <w:p w14:paraId="1334943C">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7</w:t>
      </w:r>
      <w:bookmarkEnd w:id="398"/>
      <w:bookmarkEnd w:id="399"/>
      <w:r>
        <w:rPr>
          <w:rFonts w:hint="eastAsia" w:ascii="宋体" w:hAnsi="宋体" w:eastAsia="宋体" w:cs="宋体"/>
          <w:b w:val="0"/>
          <w:i w:val="0"/>
          <w:caps w:val="0"/>
          <w:color w:val="auto"/>
          <w:spacing w:val="0"/>
          <w:w w:val="100"/>
          <w:sz w:val="24"/>
          <w:szCs w:val="24"/>
          <w:highlight w:val="none"/>
        </w:rPr>
        <w:t>.5 工期延误</w:t>
      </w:r>
      <w:bookmarkEnd w:id="403"/>
    </w:p>
    <w:p w14:paraId="043A202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7.5.1 因发包人原因导致工期延误</w:t>
      </w:r>
    </w:p>
    <w:p w14:paraId="30F6CD9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在合同履行过程中，因下列情况导致工期延误和（或）费用增加的，由发包人承担由此延误的工期和（或）增加的费用，且发包人应支付承包人合理的利润： </w:t>
      </w:r>
    </w:p>
    <w:p w14:paraId="0AA88D7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（1）发包人未能按合同约定提供图纸或所提供图纸不符合合同约定的；</w:t>
      </w:r>
    </w:p>
    <w:p w14:paraId="1E4824A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（2）发包人未能按合同约定提供施工现场、施工条件、基础资料、许可、批准等开工条件的；</w:t>
      </w:r>
    </w:p>
    <w:p w14:paraId="6EFEE82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（3）发包人提供的测量基准点、基准线和水准点及其书面资料存在错误或疏漏的；</w:t>
      </w:r>
    </w:p>
    <w:p w14:paraId="54054FA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（4）发包人未能在计划开工日期之日起7天内同意下达开工通知的；</w:t>
      </w:r>
    </w:p>
    <w:p w14:paraId="7EEE0B5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（5）发包人未能按合同约定日期支付工程预付款、进度款或竣工结算款的；</w:t>
      </w:r>
    </w:p>
    <w:p w14:paraId="141F54F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（6）监理人未按合同约定发出指示、批准等文件的；</w:t>
      </w:r>
    </w:p>
    <w:p w14:paraId="40ED723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（7）专用合同条款中约定的其他情形。</w:t>
      </w:r>
    </w:p>
    <w:p w14:paraId="57E11A7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62748A2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7.5.2 因承包人原因导致工期延误</w:t>
      </w:r>
    </w:p>
    <w:p w14:paraId="08725DE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bookmarkStart w:id="404" w:name="_Toc296503076"/>
      <w:bookmarkStart w:id="405" w:name="_Toc296346577"/>
      <w:r>
        <w:rPr>
          <w:rFonts w:hint="eastAsia" w:ascii="宋体" w:hAnsi="宋体" w:eastAsia="宋体" w:cs="宋体"/>
          <w:b w:val="0"/>
          <w:i w:val="0"/>
          <w:caps w:val="0"/>
          <w:color w:val="auto"/>
          <w:spacing w:val="0"/>
          <w:w w:val="100"/>
          <w:kern w:val="0"/>
          <w:sz w:val="24"/>
          <w:szCs w:val="24"/>
          <w:highlight w:val="none"/>
        </w:rPr>
        <w:t>因</w:t>
      </w:r>
      <w:bookmarkEnd w:id="404"/>
      <w:bookmarkEnd w:id="405"/>
      <w:r>
        <w:rPr>
          <w:rFonts w:hint="eastAsia" w:ascii="宋体" w:hAnsi="宋体" w:eastAsia="宋体" w:cs="宋体"/>
          <w:b w:val="0"/>
          <w:i w:val="0"/>
          <w:caps w:val="0"/>
          <w:color w:val="auto"/>
          <w:spacing w:val="0"/>
          <w:w w:val="100"/>
          <w:kern w:val="0"/>
          <w:sz w:val="24"/>
          <w:szCs w:val="24"/>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5F927616">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06" w:name="_Toc351203548"/>
      <w:r>
        <w:rPr>
          <w:rFonts w:hint="eastAsia" w:ascii="宋体" w:hAnsi="宋体" w:eastAsia="宋体" w:cs="宋体"/>
          <w:b w:val="0"/>
          <w:i w:val="0"/>
          <w:caps w:val="0"/>
          <w:color w:val="auto"/>
          <w:spacing w:val="0"/>
          <w:w w:val="100"/>
          <w:sz w:val="24"/>
          <w:szCs w:val="24"/>
          <w:highlight w:val="none"/>
        </w:rPr>
        <w:t>7.6 不利物质条件</w:t>
      </w:r>
      <w:bookmarkEnd w:id="406"/>
    </w:p>
    <w:p w14:paraId="3B96E45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360C3A1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3A83519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07" w:name="_Toc351203549"/>
      <w:r>
        <w:rPr>
          <w:rFonts w:hint="eastAsia" w:ascii="宋体" w:hAnsi="宋体" w:eastAsia="宋体" w:cs="宋体"/>
          <w:b w:val="0"/>
          <w:i w:val="0"/>
          <w:caps w:val="0"/>
          <w:color w:val="auto"/>
          <w:spacing w:val="0"/>
          <w:w w:val="100"/>
          <w:sz w:val="24"/>
          <w:szCs w:val="24"/>
          <w:highlight w:val="none"/>
        </w:rPr>
        <w:t>7.7 异常恶劣的气候条件</w:t>
      </w:r>
      <w:bookmarkEnd w:id="407"/>
    </w:p>
    <w:p w14:paraId="0959C10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1B3D9CA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408" w:name="_Toc351203550"/>
    </w:p>
    <w:p w14:paraId="6D21290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7.8 暂停施工</w:t>
      </w:r>
      <w:bookmarkEnd w:id="408"/>
    </w:p>
    <w:p w14:paraId="097D04F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7.8.1发包人原因引起的暂停施工</w:t>
      </w:r>
    </w:p>
    <w:p w14:paraId="5E21002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因发包人原因引起暂停施工的，监理人经发包人同意后，应及时下达暂停施工指示。情况紧急且监理人未及时下达暂停施工指示的，按照第7.8.4项〔紧急情况下的暂停施工〕执行。</w:t>
      </w:r>
    </w:p>
    <w:p w14:paraId="364ED4A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因发包人原因引起的暂停施工，发包人应承担由此增加的费用和（或）延误的工期，并支付承包人合理的利润。</w:t>
      </w:r>
    </w:p>
    <w:p w14:paraId="6D46534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7.8.2 承包人原因引起的暂停施工</w:t>
      </w:r>
    </w:p>
    <w:p w14:paraId="6523379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473B3BE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7.8.3 指示暂停施工</w:t>
      </w:r>
    </w:p>
    <w:p w14:paraId="7489C3F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监理人认为有必要时，并经发包人批准后，可向承包人作出暂停施工的指示，承包人应按监理人指示暂停施工。</w:t>
      </w:r>
    </w:p>
    <w:p w14:paraId="48E0077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7.8.4 紧急情况下的暂停施工</w:t>
      </w:r>
    </w:p>
    <w:p w14:paraId="72FB91E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00F6D98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7.8.5 暂停施工后的复工</w:t>
      </w:r>
    </w:p>
    <w:p w14:paraId="4E377B9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31326D9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承包人无故拖延和拒绝复工的，承包人承担由此增加的费用和（或）延误的工期；因发包人原因无法按时复工的，按照第7.5.1项〔因发包人原因导致工期延误〕约定办理。</w:t>
      </w:r>
    </w:p>
    <w:p w14:paraId="03D76FA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7.8.6 暂停施工持续56天以上</w:t>
      </w:r>
    </w:p>
    <w:p w14:paraId="437CECA0">
      <w:pPr>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11FA4E52">
      <w:pPr>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5C2F318B">
      <w:pPr>
        <w:snapToGrid w:val="0"/>
        <w:spacing w:before="0" w:beforeAutospacing="0" w:after="0" w:afterAutospacing="0" w:line="360" w:lineRule="auto"/>
        <w:ind w:left="16" w:firstLine="468" w:firstLineChars="195"/>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7.8.7 暂停施工期间的工程照管</w:t>
      </w:r>
    </w:p>
    <w:p w14:paraId="73A1B6A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暂停施工期间，承包人应负责妥善照管工程并提供安全保障，由此增加的费用由责任方承担。</w:t>
      </w:r>
    </w:p>
    <w:p w14:paraId="235CA16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7.8.8 暂停施工的措施</w:t>
      </w:r>
    </w:p>
    <w:p w14:paraId="5E38190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暂停施工期间，发包人和承包人均应采取必要的措施确保工程质量及安全，防止因暂停施工扩大损失。</w:t>
      </w:r>
    </w:p>
    <w:p w14:paraId="28918AC6">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09" w:name="_Toc351203551"/>
      <w:r>
        <w:rPr>
          <w:rFonts w:hint="eastAsia" w:ascii="宋体" w:hAnsi="宋体" w:eastAsia="宋体" w:cs="宋体"/>
          <w:b w:val="0"/>
          <w:i w:val="0"/>
          <w:caps w:val="0"/>
          <w:color w:val="auto"/>
          <w:spacing w:val="0"/>
          <w:w w:val="100"/>
          <w:sz w:val="24"/>
          <w:szCs w:val="24"/>
          <w:highlight w:val="none"/>
        </w:rPr>
        <w:t>7.9提前竣工</w:t>
      </w:r>
      <w:bookmarkEnd w:id="409"/>
    </w:p>
    <w:p w14:paraId="04E5467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1283ACB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7.9.2 发包人要求承包人提前竣工，或承包人提出提前竣工的建议能够给发包人带来效益的，合同当事人可以在专用合同条款中约定提前竣工的奖励。</w:t>
      </w:r>
    </w:p>
    <w:p w14:paraId="628FA5D8">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10" w:name="_Toc351203552"/>
      <w:r>
        <w:rPr>
          <w:rFonts w:hint="eastAsia" w:ascii="宋体" w:hAnsi="宋体" w:eastAsia="宋体" w:cs="宋体"/>
          <w:b w:val="0"/>
          <w:i w:val="0"/>
          <w:caps w:val="0"/>
          <w:color w:val="auto"/>
          <w:spacing w:val="0"/>
          <w:w w:val="100"/>
          <w:sz w:val="24"/>
          <w:szCs w:val="24"/>
          <w:highlight w:val="none"/>
        </w:rPr>
        <w:t>8. 材料与设备</w:t>
      </w:r>
      <w:bookmarkEnd w:id="410"/>
    </w:p>
    <w:p w14:paraId="2B2DEE0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1" w:name="_Toc351203553"/>
      <w:r>
        <w:rPr>
          <w:rFonts w:hint="eastAsia" w:ascii="宋体" w:hAnsi="宋体" w:eastAsia="宋体" w:cs="宋体"/>
          <w:b w:val="0"/>
          <w:i w:val="0"/>
          <w:caps w:val="0"/>
          <w:color w:val="auto"/>
          <w:spacing w:val="0"/>
          <w:w w:val="100"/>
          <w:sz w:val="24"/>
          <w:szCs w:val="24"/>
          <w:highlight w:val="none"/>
        </w:rPr>
        <w:t>8</w:t>
      </w:r>
      <w:bookmarkStart w:id="412" w:name="_Toc468936960"/>
      <w:r>
        <w:rPr>
          <w:rFonts w:hint="eastAsia" w:ascii="宋体" w:hAnsi="宋体" w:eastAsia="宋体" w:cs="宋体"/>
          <w:b w:val="0"/>
          <w:i w:val="0"/>
          <w:caps w:val="0"/>
          <w:color w:val="auto"/>
          <w:spacing w:val="0"/>
          <w:w w:val="100"/>
          <w:sz w:val="24"/>
          <w:szCs w:val="24"/>
          <w:highlight w:val="none"/>
        </w:rPr>
        <w:t>.1发包人供应材料与工程设备</w:t>
      </w:r>
      <w:bookmarkEnd w:id="411"/>
    </w:p>
    <w:p w14:paraId="4FAE855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发包人自行供应材料、工程设备的，应在签订合同时在专用合同条款的附件《发包人供应材料设备一览表》中明确材料、工程设备的品种、规格、型号、数量、单价、质量等级和送达地点。</w:t>
      </w:r>
    </w:p>
    <w:p w14:paraId="20E9194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54E396F3">
      <w:pPr>
        <w:pStyle w:val="8"/>
        <w:snapToGrid w:val="0"/>
        <w:spacing w:before="120" w:beforeAutospacing="0" w:after="120" w:afterAutospacing="0" w:line="360" w:lineRule="auto"/>
        <w:ind w:firstLine="480" w:firstLineChars="200"/>
        <w:textAlignment w:val="baseline"/>
        <w:rPr>
          <w:rFonts w:hint="eastAsia" w:ascii="宋体" w:hAnsi="宋体" w:eastAsia="宋体" w:cs="宋体"/>
          <w:b/>
          <w:i w:val="0"/>
          <w:caps w:val="0"/>
          <w:color w:val="auto"/>
          <w:spacing w:val="0"/>
          <w:w w:val="100"/>
          <w:sz w:val="24"/>
          <w:szCs w:val="24"/>
          <w:highlight w:val="none"/>
        </w:rPr>
      </w:pPr>
      <w:bookmarkStart w:id="413" w:name="_Toc351203554"/>
      <w:r>
        <w:rPr>
          <w:rFonts w:hint="eastAsia" w:ascii="宋体" w:hAnsi="宋体" w:eastAsia="宋体" w:cs="宋体"/>
          <w:b w:val="0"/>
          <w:i w:val="0"/>
          <w:caps w:val="0"/>
          <w:color w:val="auto"/>
          <w:spacing w:val="0"/>
          <w:w w:val="100"/>
          <w:sz w:val="24"/>
          <w:szCs w:val="24"/>
          <w:highlight w:val="none"/>
        </w:rPr>
        <w:t>8.2承包人采购材料与工程设备</w:t>
      </w:r>
      <w:bookmarkEnd w:id="413"/>
    </w:p>
    <w:p w14:paraId="46C4BCD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7A6DC50A">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4" w:name="_Toc351203555"/>
      <w:r>
        <w:rPr>
          <w:rFonts w:hint="eastAsia" w:ascii="宋体" w:hAnsi="宋体" w:eastAsia="宋体" w:cs="宋体"/>
          <w:b w:val="0"/>
          <w:i w:val="0"/>
          <w:caps w:val="0"/>
          <w:color w:val="auto"/>
          <w:spacing w:val="0"/>
          <w:w w:val="100"/>
          <w:sz w:val="24"/>
          <w:szCs w:val="24"/>
          <w:highlight w:val="none"/>
        </w:rPr>
        <w:t>8.3材料与工程设备的接收与拒收</w:t>
      </w:r>
      <w:bookmarkEnd w:id="414"/>
    </w:p>
    <w:p w14:paraId="20B8A3C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63B55DC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发包人提供的材料和工程设备的规格、数量或质量不符合合同约定的，或因发包人原因导致交货日期延误或交货地点变更等情况的，按照第16.1款〔发包人违约〕约定办理。</w:t>
      </w:r>
    </w:p>
    <w:p w14:paraId="43919C9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8.3.2 承包人采购的材料和工程设备，应保证产品质量合格，承包人应在材料和工程设备到货前24小时通知监理人检验。承包人进行永久设备、材料的制造和生产的，应符合相关质量标准，并向监理人提交材料的样本以及有关资料，并应在使用该材料或工程设备之前获得监理人同意。</w:t>
      </w:r>
    </w:p>
    <w:p w14:paraId="0FE3813A">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5EAB0C3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5" w:name="_Toc351203556"/>
      <w:r>
        <w:rPr>
          <w:rFonts w:hint="eastAsia" w:ascii="宋体" w:hAnsi="宋体" w:eastAsia="宋体" w:cs="宋体"/>
          <w:b w:val="0"/>
          <w:i w:val="0"/>
          <w:caps w:val="0"/>
          <w:color w:val="auto"/>
          <w:spacing w:val="0"/>
          <w:w w:val="100"/>
          <w:sz w:val="24"/>
          <w:szCs w:val="24"/>
          <w:highlight w:val="none"/>
        </w:rPr>
        <w:t>8.4材料与工程设备的保管与使用</w:t>
      </w:r>
      <w:bookmarkEnd w:id="415"/>
    </w:p>
    <w:p w14:paraId="3610C67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8.4.1 发包人供应</w:t>
      </w:r>
      <w:r>
        <w:rPr>
          <w:rFonts w:hint="eastAsia" w:ascii="宋体" w:hAnsi="宋体" w:eastAsia="宋体" w:cs="宋体"/>
          <w:b w:val="0"/>
          <w:i w:val="0"/>
          <w:caps w:val="0"/>
          <w:color w:val="auto"/>
          <w:spacing w:val="0"/>
          <w:w w:val="100"/>
          <w:sz w:val="24"/>
          <w:szCs w:val="24"/>
          <w:highlight w:val="none"/>
        </w:rPr>
        <w:t>材料与</w:t>
      </w:r>
      <w:r>
        <w:rPr>
          <w:rFonts w:hint="eastAsia" w:ascii="宋体" w:hAnsi="宋体" w:eastAsia="宋体" w:cs="宋体"/>
          <w:b w:val="0"/>
          <w:i w:val="0"/>
          <w:caps w:val="0"/>
          <w:color w:val="auto"/>
          <w:spacing w:val="0"/>
          <w:w w:val="100"/>
          <w:kern w:val="0"/>
          <w:sz w:val="24"/>
          <w:szCs w:val="24"/>
          <w:highlight w:val="none"/>
        </w:rPr>
        <w:t>工程</w:t>
      </w:r>
      <w:r>
        <w:rPr>
          <w:rFonts w:hint="eastAsia" w:ascii="宋体" w:hAnsi="宋体" w:eastAsia="宋体" w:cs="宋体"/>
          <w:b w:val="0"/>
          <w:i w:val="0"/>
          <w:caps w:val="0"/>
          <w:color w:val="auto"/>
          <w:spacing w:val="0"/>
          <w:w w:val="100"/>
          <w:sz w:val="24"/>
          <w:szCs w:val="24"/>
          <w:highlight w:val="none"/>
        </w:rPr>
        <w:t>设备的保管与使用</w:t>
      </w:r>
    </w:p>
    <w:p w14:paraId="4EC9D5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EB2AE9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发包人供应的材料和工程设备使用前，由承包人负责检验，检验费用由发包人承担，不合格的不得使用。</w:t>
      </w:r>
    </w:p>
    <w:p w14:paraId="768E027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8.4.2 承包人采购</w:t>
      </w:r>
      <w:r>
        <w:rPr>
          <w:rFonts w:hint="eastAsia" w:ascii="宋体" w:hAnsi="宋体" w:eastAsia="宋体" w:cs="宋体"/>
          <w:b w:val="0"/>
          <w:i w:val="0"/>
          <w:caps w:val="0"/>
          <w:color w:val="auto"/>
          <w:spacing w:val="0"/>
          <w:w w:val="100"/>
          <w:sz w:val="24"/>
          <w:szCs w:val="24"/>
          <w:highlight w:val="none"/>
        </w:rPr>
        <w:t>材料与</w:t>
      </w:r>
      <w:r>
        <w:rPr>
          <w:rFonts w:hint="eastAsia" w:ascii="宋体" w:hAnsi="宋体" w:eastAsia="宋体" w:cs="宋体"/>
          <w:b w:val="0"/>
          <w:i w:val="0"/>
          <w:caps w:val="0"/>
          <w:color w:val="auto"/>
          <w:spacing w:val="0"/>
          <w:w w:val="100"/>
          <w:kern w:val="0"/>
          <w:sz w:val="24"/>
          <w:szCs w:val="24"/>
          <w:highlight w:val="none"/>
        </w:rPr>
        <w:t>工程</w:t>
      </w:r>
      <w:r>
        <w:rPr>
          <w:rFonts w:hint="eastAsia" w:ascii="宋体" w:hAnsi="宋体" w:eastAsia="宋体" w:cs="宋体"/>
          <w:b w:val="0"/>
          <w:i w:val="0"/>
          <w:caps w:val="0"/>
          <w:color w:val="auto"/>
          <w:spacing w:val="0"/>
          <w:w w:val="100"/>
          <w:sz w:val="24"/>
          <w:szCs w:val="24"/>
          <w:highlight w:val="none"/>
        </w:rPr>
        <w:t>设备的保管与使用</w:t>
      </w:r>
    </w:p>
    <w:p w14:paraId="48D2ED3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3BB4070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发包人或监理人发现承包人使用不符合设计或有关标准要求的材料和工程设备时，有权要求承包人进行修复、拆除或重新采购，由此增加的费用和（或）延误的工期，由承包人承担。</w:t>
      </w:r>
    </w:p>
    <w:p w14:paraId="433636C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6" w:name="_Toc351203557"/>
      <w:r>
        <w:rPr>
          <w:rFonts w:hint="eastAsia" w:ascii="宋体" w:hAnsi="宋体" w:eastAsia="宋体" w:cs="宋体"/>
          <w:b w:val="0"/>
          <w:i w:val="0"/>
          <w:caps w:val="0"/>
          <w:color w:val="auto"/>
          <w:spacing w:val="0"/>
          <w:w w:val="100"/>
          <w:sz w:val="24"/>
          <w:szCs w:val="24"/>
          <w:highlight w:val="none"/>
        </w:rPr>
        <w:t>8.5禁止使用不合格的材料和工程设备</w:t>
      </w:r>
      <w:bookmarkEnd w:id="416"/>
    </w:p>
    <w:p w14:paraId="129D0CE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8.5.1 监理人有权拒绝承包人提供的不合格材料或工程设备，并要求承包人立即进行更换。监理人应在更换后再次进行检查和检验，由此增加的费用和（或）延误的工期由承包人承担。</w:t>
      </w:r>
    </w:p>
    <w:p w14:paraId="4ABBB06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8.5.2 监理人发现承包人使用了不合格的材料和工程设备，承包人应按照监理人的指示立即改正，并禁止在工程中继续使用不合格的材料和工程设备。</w:t>
      </w:r>
    </w:p>
    <w:p w14:paraId="469F038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8.5.3 发包人提供的材料或工程设备不符合合同要求的，承包人有权拒绝，并可要求发包人更换，由此增加的费用和（或）延误的工期由发包人承担，并支付承包人合理的利润。</w:t>
      </w:r>
    </w:p>
    <w:p w14:paraId="5559454B">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7" w:name="_Toc351203558"/>
      <w:r>
        <w:rPr>
          <w:rFonts w:hint="eastAsia" w:ascii="宋体" w:hAnsi="宋体" w:eastAsia="宋体" w:cs="宋体"/>
          <w:b w:val="0"/>
          <w:i w:val="0"/>
          <w:caps w:val="0"/>
          <w:color w:val="auto"/>
          <w:spacing w:val="0"/>
          <w:w w:val="100"/>
          <w:sz w:val="24"/>
          <w:szCs w:val="24"/>
          <w:highlight w:val="none"/>
        </w:rPr>
        <w:t>8.6 样品</w:t>
      </w:r>
      <w:bookmarkEnd w:id="417"/>
    </w:p>
    <w:p w14:paraId="1672ED6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8.6.1</w:t>
      </w:r>
      <w:r>
        <w:rPr>
          <w:rFonts w:hint="eastAsia" w:ascii="宋体" w:hAnsi="宋体" w:eastAsia="宋体" w:cs="宋体"/>
          <w:b w:val="0"/>
          <w:i w:val="0"/>
          <w:caps w:val="0"/>
          <w:color w:val="auto"/>
          <w:spacing w:val="0"/>
          <w:w w:val="100"/>
          <w:kern w:val="0"/>
          <w:sz w:val="24"/>
          <w:szCs w:val="24"/>
          <w:highlight w:val="none"/>
        </w:rPr>
        <w:tab/>
      </w:r>
      <w:r>
        <w:rPr>
          <w:rFonts w:hint="eastAsia" w:ascii="宋体" w:hAnsi="宋体" w:eastAsia="宋体" w:cs="宋体"/>
          <w:b w:val="0"/>
          <w:i w:val="0"/>
          <w:caps w:val="0"/>
          <w:color w:val="auto"/>
          <w:spacing w:val="0"/>
          <w:w w:val="100"/>
          <w:kern w:val="0"/>
          <w:sz w:val="24"/>
          <w:szCs w:val="24"/>
          <w:highlight w:val="none"/>
        </w:rPr>
        <w:t>样品的报送与封存</w:t>
      </w:r>
    </w:p>
    <w:p w14:paraId="3A19A73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需要承包人报送样品的材料或工程设备，样品的种类、名称、规格、数量等要求均应在专用合同条款中约定。样品的报送程序如下：</w:t>
      </w:r>
    </w:p>
    <w:p w14:paraId="00DBD71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5E9FAE9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7DAB90D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（3）经发包人和监理人审批确认的样品应按约定的方法封样，封存的样品作为检验工程相关部分的标准之一。承包人在施工过程中不得使用与样品不符的材料或工程设备。</w:t>
      </w:r>
    </w:p>
    <w:p w14:paraId="6792D1C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01A5B89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8.6.2 样品的保管</w:t>
      </w:r>
    </w:p>
    <w:p w14:paraId="440312A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经批准的样品应由监理人负责封存于现场，承包人应在现场为保存样品提供适当和固定的场所并保持适当和良好的存储环境条件。</w:t>
      </w:r>
    </w:p>
    <w:p w14:paraId="7BFD56B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8" w:name="_Toc351203559"/>
      <w:r>
        <w:rPr>
          <w:rFonts w:hint="eastAsia" w:ascii="宋体" w:hAnsi="宋体" w:eastAsia="宋体" w:cs="宋体"/>
          <w:b w:val="0"/>
          <w:i w:val="0"/>
          <w:caps w:val="0"/>
          <w:color w:val="auto"/>
          <w:spacing w:val="0"/>
          <w:w w:val="100"/>
          <w:sz w:val="24"/>
          <w:szCs w:val="24"/>
          <w:highlight w:val="none"/>
        </w:rPr>
        <w:t>8.7材料与工程设备的替代</w:t>
      </w:r>
      <w:bookmarkEnd w:id="418"/>
    </w:p>
    <w:p w14:paraId="7A69EFD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8.7.1 出现下列情况需要使用替代材料和工程设备的，承包人应按照第8.7.2项约定的程序执行：</w:t>
      </w:r>
    </w:p>
    <w:p w14:paraId="70E378B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（1）基准日期后生效的法律规定禁止使用的；</w:t>
      </w:r>
    </w:p>
    <w:p w14:paraId="75FCCAD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（2）发包人要求使用替代品的；</w:t>
      </w:r>
    </w:p>
    <w:p w14:paraId="6C3F77E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（3）因其他原因必须使用替代品的。</w:t>
      </w:r>
    </w:p>
    <w:p w14:paraId="2E61F67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8.7.2 承包人应在使用替代材料和工程设备28天前书面通知监理人，并附下列文件：</w:t>
      </w:r>
    </w:p>
    <w:p w14:paraId="4D08800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（1）被替代的材料和工程设备的名称、数量、规格、型号、品牌、性能、价格及其他相关资料；</w:t>
      </w:r>
    </w:p>
    <w:p w14:paraId="5B6DA90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（2）替代品的名称、数量、规格、型号、品牌、性能、价格及其他相关资料；</w:t>
      </w:r>
    </w:p>
    <w:p w14:paraId="1FFD3D6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（3）替代品与被替代产品之间的差异以及使用替代品可能对工程产生的影响；</w:t>
      </w:r>
    </w:p>
    <w:p w14:paraId="1B696AF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（4）替代品与被替代产品的价格差异；</w:t>
      </w:r>
    </w:p>
    <w:p w14:paraId="32A230A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（5）使用替代品的理由和原因说明；</w:t>
      </w:r>
    </w:p>
    <w:p w14:paraId="6908FB7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（6）监理人要求的其他文件。</w:t>
      </w:r>
    </w:p>
    <w:p w14:paraId="11D6D16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监理人应在收到通知后14天内向承包人发出经发包人签认的书面指示；监理人逾期发出书面指示的，视为发包人和监理人同意使用替代品。</w:t>
      </w:r>
    </w:p>
    <w:p w14:paraId="444F93F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3EB0BFA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19" w:name="_Toc351203560"/>
      <w:r>
        <w:rPr>
          <w:rFonts w:hint="eastAsia" w:ascii="宋体" w:hAnsi="宋体" w:eastAsia="宋体" w:cs="宋体"/>
          <w:b w:val="0"/>
          <w:i w:val="0"/>
          <w:caps w:val="0"/>
          <w:color w:val="auto"/>
          <w:spacing w:val="0"/>
          <w:w w:val="100"/>
          <w:sz w:val="24"/>
          <w:szCs w:val="24"/>
          <w:highlight w:val="none"/>
        </w:rPr>
        <w:t>8.8施工设备和临时设施</w:t>
      </w:r>
      <w:bookmarkEnd w:id="419"/>
    </w:p>
    <w:p w14:paraId="6D850DF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8.8.1 承包人提供的施工设备和临时设施</w:t>
      </w:r>
    </w:p>
    <w:p w14:paraId="6F683BD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4A8BE6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除专用合同条款另有约定外，承包人应自行承担修建临时设施的费用，需要临时占地的，应由发包人办理申请手续并承担相应费用。</w:t>
      </w:r>
    </w:p>
    <w:p w14:paraId="34DC9CF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8.8.2发包人提供的施工设备和临时设施</w:t>
      </w:r>
    </w:p>
    <w:p w14:paraId="5879497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发包人提供的施工设备或临时设施在专用合同条款中约定。</w:t>
      </w:r>
    </w:p>
    <w:p w14:paraId="4162EF2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8.8.3要求承包人增加或更换施工设备</w:t>
      </w:r>
    </w:p>
    <w:p w14:paraId="70CFE93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41EB6ED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20" w:name="_Toc351203561"/>
      <w:r>
        <w:rPr>
          <w:rFonts w:hint="eastAsia" w:ascii="宋体" w:hAnsi="宋体" w:eastAsia="宋体" w:cs="宋体"/>
          <w:b w:val="0"/>
          <w:i w:val="0"/>
          <w:caps w:val="0"/>
          <w:color w:val="auto"/>
          <w:spacing w:val="0"/>
          <w:w w:val="100"/>
          <w:sz w:val="24"/>
          <w:szCs w:val="24"/>
          <w:highlight w:val="none"/>
        </w:rPr>
        <w:t>8.9材料与设备专用</w:t>
      </w:r>
      <w:bookmarkEnd w:id="420"/>
      <w:r>
        <w:rPr>
          <w:rFonts w:hint="eastAsia" w:ascii="宋体" w:hAnsi="宋体" w:eastAsia="宋体" w:cs="宋体"/>
          <w:b w:val="0"/>
          <w:i w:val="0"/>
          <w:caps w:val="0"/>
          <w:color w:val="auto"/>
          <w:spacing w:val="0"/>
          <w:w w:val="100"/>
          <w:sz w:val="24"/>
          <w:szCs w:val="24"/>
          <w:highlight w:val="none"/>
        </w:rPr>
        <w:t>要求</w:t>
      </w:r>
    </w:p>
    <w:p w14:paraId="5790B82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412"/>
      <w:r>
        <w:rPr>
          <w:rFonts w:hint="eastAsia" w:ascii="宋体" w:hAnsi="宋体" w:eastAsia="宋体" w:cs="宋体"/>
          <w:b w:val="0"/>
          <w:i w:val="0"/>
          <w:caps w:val="0"/>
          <w:color w:val="auto"/>
          <w:spacing w:val="0"/>
          <w:w w:val="100"/>
          <w:kern w:val="0"/>
          <w:sz w:val="24"/>
          <w:szCs w:val="24"/>
          <w:highlight w:val="none"/>
        </w:rPr>
        <w:t>经发包人批准，承包人可以根据施工进度计划撤走闲置的施工设备和其他物品。</w:t>
      </w:r>
    </w:p>
    <w:p w14:paraId="6B2FADD4">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21" w:name="_Toc351203562"/>
      <w:r>
        <w:rPr>
          <w:rFonts w:hint="eastAsia" w:ascii="宋体" w:hAnsi="宋体" w:eastAsia="宋体" w:cs="宋体"/>
          <w:b w:val="0"/>
          <w:i w:val="0"/>
          <w:caps w:val="0"/>
          <w:color w:val="auto"/>
          <w:spacing w:val="0"/>
          <w:w w:val="100"/>
          <w:sz w:val="24"/>
          <w:szCs w:val="24"/>
          <w:highlight w:val="none"/>
        </w:rPr>
        <w:t>9</w:t>
      </w:r>
      <w:bookmarkStart w:id="422" w:name="_Toc296503083"/>
      <w:bookmarkStart w:id="423" w:name="_Toc296346584"/>
      <w:r>
        <w:rPr>
          <w:rFonts w:hint="eastAsia" w:ascii="宋体" w:hAnsi="宋体" w:eastAsia="宋体" w:cs="宋体"/>
          <w:b w:val="0"/>
          <w:i w:val="0"/>
          <w:caps w:val="0"/>
          <w:color w:val="auto"/>
          <w:spacing w:val="0"/>
          <w:w w:val="100"/>
          <w:sz w:val="24"/>
          <w:szCs w:val="24"/>
          <w:highlight w:val="none"/>
        </w:rPr>
        <w:t>. 试验与检验</w:t>
      </w:r>
      <w:bookmarkEnd w:id="421"/>
    </w:p>
    <w:p w14:paraId="1C67706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24" w:name="_Toc351203563"/>
      <w:r>
        <w:rPr>
          <w:rFonts w:hint="eastAsia" w:ascii="宋体" w:hAnsi="宋体" w:eastAsia="宋体" w:cs="宋体"/>
          <w:b w:val="0"/>
          <w:i w:val="0"/>
          <w:caps w:val="0"/>
          <w:color w:val="auto"/>
          <w:spacing w:val="0"/>
          <w:w w:val="100"/>
          <w:sz w:val="24"/>
          <w:szCs w:val="24"/>
          <w:highlight w:val="none"/>
        </w:rPr>
        <w:t>9.1试验设备与试验人员</w:t>
      </w:r>
      <w:bookmarkEnd w:id="424"/>
    </w:p>
    <w:p w14:paraId="0DE00E6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6BB8895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9.1.2 承包人应按专用合同条款的约定提供试验设备、取样装置、试验场所和试验条件，并向监理人提交相应进场计划表。</w:t>
      </w:r>
    </w:p>
    <w:p w14:paraId="373B320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承包人配置的试验设备要符合相应试验规程的要求并经过具有资质的检测单位检测，且在正式使用该试验设备前，需要经过监理人与承包人共同校定。</w:t>
      </w:r>
    </w:p>
    <w:p w14:paraId="16E1186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9.1.3 承包人应向监理人提交试验人员的名单及其岗位、资格等证明资料，试验人员必须能够熟练进行相应的检测试验，承包人对试验人员的试验程序和试验结果的正确性负责。</w:t>
      </w:r>
    </w:p>
    <w:p w14:paraId="55564CE6">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25" w:name="_Toc351203564"/>
      <w:r>
        <w:rPr>
          <w:rFonts w:hint="eastAsia" w:ascii="宋体" w:hAnsi="宋体" w:eastAsia="宋体" w:cs="宋体"/>
          <w:b w:val="0"/>
          <w:i w:val="0"/>
          <w:caps w:val="0"/>
          <w:color w:val="auto"/>
          <w:spacing w:val="0"/>
          <w:w w:val="100"/>
          <w:sz w:val="24"/>
          <w:szCs w:val="24"/>
          <w:highlight w:val="none"/>
        </w:rPr>
        <w:t>9.2取样</w:t>
      </w:r>
      <w:bookmarkEnd w:id="425"/>
    </w:p>
    <w:p w14:paraId="6A64875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试验属于自检性质的，承包人可以单独取样。试验属于监理人抽检性质的，可由监理人取样，也可由承包人的试验人员在监理人的监督下取样。</w:t>
      </w:r>
    </w:p>
    <w:p w14:paraId="0DB7224B">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26" w:name="_Toc351203565"/>
      <w:r>
        <w:rPr>
          <w:rFonts w:hint="eastAsia" w:ascii="宋体" w:hAnsi="宋体" w:eastAsia="宋体" w:cs="宋体"/>
          <w:b w:val="0"/>
          <w:i w:val="0"/>
          <w:caps w:val="0"/>
          <w:color w:val="auto"/>
          <w:spacing w:val="0"/>
          <w:w w:val="100"/>
          <w:sz w:val="24"/>
          <w:szCs w:val="24"/>
          <w:highlight w:val="none"/>
        </w:rPr>
        <w:t>9.3材料、工程设备和工程的试验和检验</w:t>
      </w:r>
      <w:bookmarkEnd w:id="426"/>
    </w:p>
    <w:p w14:paraId="15FD8FD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2047A8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F86FEE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0E6E007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27" w:name="_Toc351203566"/>
      <w:r>
        <w:rPr>
          <w:rFonts w:hint="eastAsia" w:ascii="宋体" w:hAnsi="宋体" w:eastAsia="宋体" w:cs="宋体"/>
          <w:b w:val="0"/>
          <w:i w:val="0"/>
          <w:caps w:val="0"/>
          <w:color w:val="auto"/>
          <w:spacing w:val="0"/>
          <w:w w:val="100"/>
          <w:sz w:val="24"/>
          <w:szCs w:val="24"/>
          <w:highlight w:val="none"/>
        </w:rPr>
        <w:t>9.4现场工艺试验</w:t>
      </w:r>
      <w:bookmarkEnd w:id="427"/>
    </w:p>
    <w:p w14:paraId="4C41EB1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承包人应按合同约定或监理人指示进行现场工艺试验。对大型的现场工艺试验，监理人认为必要时，承包人应根据监理人提出的工艺试验要求，编制工艺试验措施计划，报送监理人审查。</w:t>
      </w:r>
    </w:p>
    <w:p w14:paraId="64ABF525">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28" w:name="_Toc351203567"/>
      <w:r>
        <w:rPr>
          <w:rFonts w:hint="eastAsia" w:ascii="宋体" w:hAnsi="宋体" w:eastAsia="宋体" w:cs="宋体"/>
          <w:b w:val="0"/>
          <w:i w:val="0"/>
          <w:caps w:val="0"/>
          <w:color w:val="auto"/>
          <w:spacing w:val="0"/>
          <w:w w:val="100"/>
          <w:sz w:val="24"/>
          <w:szCs w:val="24"/>
          <w:highlight w:val="none"/>
        </w:rPr>
        <w:t>10. 变更</w:t>
      </w:r>
      <w:bookmarkEnd w:id="422"/>
      <w:bookmarkEnd w:id="423"/>
      <w:bookmarkEnd w:id="428"/>
    </w:p>
    <w:p w14:paraId="163A04EF">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29" w:name="_Toc351203568"/>
      <w:r>
        <w:rPr>
          <w:rFonts w:hint="eastAsia" w:ascii="宋体" w:hAnsi="宋体" w:eastAsia="宋体" w:cs="宋体"/>
          <w:b w:val="0"/>
          <w:i w:val="0"/>
          <w:caps w:val="0"/>
          <w:color w:val="auto"/>
          <w:spacing w:val="0"/>
          <w:w w:val="100"/>
          <w:sz w:val="24"/>
          <w:szCs w:val="24"/>
          <w:highlight w:val="none"/>
        </w:rPr>
        <w:t>10.1变更的范围</w:t>
      </w:r>
      <w:bookmarkEnd w:id="429"/>
    </w:p>
    <w:p w14:paraId="4A7C4AF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除专用合同条款另有约定外，合同履行过程中发生以下情形的，应按照本条约定进行变更：</w:t>
      </w:r>
    </w:p>
    <w:p w14:paraId="1343B19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（1）增加或减少合同中任何工作，或追加额外的工作；</w:t>
      </w:r>
    </w:p>
    <w:p w14:paraId="36A46BC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（2）取消合同中任何工作，但转由他人实施的工作除外；</w:t>
      </w:r>
    </w:p>
    <w:p w14:paraId="281882E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（3）改变合同中任何工作的质量标准或其他特性；</w:t>
      </w:r>
    </w:p>
    <w:p w14:paraId="4BFDE05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（4）改变工程的基线、标高、位置和尺寸；</w:t>
      </w:r>
    </w:p>
    <w:p w14:paraId="3D24CBD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（5）改变工程的时间安排或实施顺序。</w:t>
      </w:r>
    </w:p>
    <w:p w14:paraId="01E63CF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0" w:name="_Toc351203569"/>
      <w:r>
        <w:rPr>
          <w:rFonts w:hint="eastAsia" w:ascii="宋体" w:hAnsi="宋体" w:eastAsia="宋体" w:cs="宋体"/>
          <w:b w:val="0"/>
          <w:i w:val="0"/>
          <w:caps w:val="0"/>
          <w:color w:val="auto"/>
          <w:spacing w:val="0"/>
          <w:w w:val="100"/>
          <w:sz w:val="24"/>
          <w:szCs w:val="24"/>
          <w:highlight w:val="none"/>
        </w:rPr>
        <w:t>10.2变更权</w:t>
      </w:r>
      <w:bookmarkEnd w:id="430"/>
    </w:p>
    <w:p w14:paraId="4429AF1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0A12475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涉及设计变更的，应由设计人提供变更后的图纸和说明。如变更超过原设计标准或批准的建设规模时，发包人应及时办理规划、设计变更等审批手续。</w:t>
      </w:r>
    </w:p>
    <w:p w14:paraId="521C17F3">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1" w:name="_Toc351203570"/>
      <w:r>
        <w:rPr>
          <w:rFonts w:hint="eastAsia" w:ascii="宋体" w:hAnsi="宋体" w:eastAsia="宋体" w:cs="宋体"/>
          <w:b w:val="0"/>
          <w:i w:val="0"/>
          <w:caps w:val="0"/>
          <w:color w:val="auto"/>
          <w:spacing w:val="0"/>
          <w:w w:val="100"/>
          <w:sz w:val="24"/>
          <w:szCs w:val="24"/>
          <w:highlight w:val="none"/>
        </w:rPr>
        <w:t>10.3变更程序</w:t>
      </w:r>
      <w:bookmarkEnd w:id="431"/>
    </w:p>
    <w:p w14:paraId="57B9E49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10</w:t>
      </w:r>
      <w:r>
        <w:rPr>
          <w:rFonts w:hint="eastAsia" w:ascii="宋体" w:hAnsi="宋体" w:eastAsia="宋体" w:cs="宋体"/>
          <w:b w:val="0"/>
          <w:i w:val="0"/>
          <w:caps w:val="0"/>
          <w:color w:val="auto"/>
          <w:spacing w:val="0"/>
          <w:w w:val="100"/>
          <w:kern w:val="0"/>
          <w:sz w:val="24"/>
          <w:szCs w:val="24"/>
          <w:highlight w:val="none"/>
        </w:rPr>
        <w:t>.3.1 发包人提出变更</w:t>
      </w:r>
    </w:p>
    <w:p w14:paraId="773B44C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发包人提出变更的，应通过监理人向承包人发出变更指示，变更指示应说明计划变更的工程范围和变更的内容。</w:t>
      </w:r>
    </w:p>
    <w:p w14:paraId="09D1C28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10</w:t>
      </w:r>
      <w:r>
        <w:rPr>
          <w:rFonts w:hint="eastAsia" w:ascii="宋体" w:hAnsi="宋体" w:eastAsia="宋体" w:cs="宋体"/>
          <w:b w:val="0"/>
          <w:i w:val="0"/>
          <w:caps w:val="0"/>
          <w:color w:val="auto"/>
          <w:spacing w:val="0"/>
          <w:w w:val="100"/>
          <w:kern w:val="0"/>
          <w:sz w:val="24"/>
          <w:szCs w:val="24"/>
          <w:highlight w:val="none"/>
        </w:rPr>
        <w:t>.3.2 监理人提出变更建议</w:t>
      </w:r>
    </w:p>
    <w:p w14:paraId="567E3FF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64A8036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10.3.3 变更执行</w:t>
      </w:r>
    </w:p>
    <w:p w14:paraId="49535D1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56099243">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2" w:name="_Toc351203571"/>
      <w:r>
        <w:rPr>
          <w:rFonts w:hint="eastAsia" w:ascii="宋体" w:hAnsi="宋体" w:eastAsia="宋体" w:cs="宋体"/>
          <w:b w:val="0"/>
          <w:i w:val="0"/>
          <w:caps w:val="0"/>
          <w:color w:val="auto"/>
          <w:spacing w:val="0"/>
          <w:w w:val="100"/>
          <w:sz w:val="24"/>
          <w:szCs w:val="24"/>
          <w:highlight w:val="none"/>
        </w:rPr>
        <w:t>10.4变更估价</w:t>
      </w:r>
      <w:bookmarkEnd w:id="432"/>
    </w:p>
    <w:p w14:paraId="722856D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10.4.1 变更估价原则</w:t>
      </w:r>
    </w:p>
    <w:p w14:paraId="7B60B23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除专用合同条款另有约定外，变更估价按照本款约定处理：</w:t>
      </w:r>
    </w:p>
    <w:p w14:paraId="07A3762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（1）已标价工程量清单或预算书有相同项目的，按照相同项目单价认定；</w:t>
      </w:r>
    </w:p>
    <w:p w14:paraId="360EC2D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（2）已标价工程量清单或预算书中无相同项目，但有类似项目的，参照类似项目的单价认定；</w:t>
      </w:r>
    </w:p>
    <w:p w14:paraId="16D484B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359D775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10.4.2 变更估价程序</w:t>
      </w:r>
    </w:p>
    <w:p w14:paraId="77EB811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478B366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因变更引起的价格调整应计入最近一期的进度款中支付。</w:t>
      </w:r>
    </w:p>
    <w:p w14:paraId="547A3CA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3" w:name="_Toc351203572"/>
      <w:r>
        <w:rPr>
          <w:rFonts w:hint="eastAsia" w:ascii="宋体" w:hAnsi="宋体" w:eastAsia="宋体" w:cs="宋体"/>
          <w:b w:val="0"/>
          <w:i w:val="0"/>
          <w:caps w:val="0"/>
          <w:color w:val="auto"/>
          <w:spacing w:val="0"/>
          <w:w w:val="100"/>
          <w:sz w:val="24"/>
          <w:szCs w:val="24"/>
          <w:highlight w:val="none"/>
        </w:rPr>
        <w:t>10.5承包人的合理化建议</w:t>
      </w:r>
      <w:bookmarkEnd w:id="433"/>
    </w:p>
    <w:p w14:paraId="25453DA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承包人提出合理化建议的，应向监理人提交合理化建议说明，说明建议的内容和理由，以及实施该建议对合同价格和工期的影响。</w:t>
      </w:r>
    </w:p>
    <w:p w14:paraId="46EABF8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0C6912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合理化建议降低了合同价格或者提高了工程经济效益的，发包人可对承包人给予奖励，奖励的方法和金额在专用合同条款中约定。</w:t>
      </w:r>
    </w:p>
    <w:p w14:paraId="326323C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i w:val="0"/>
          <w:caps w:val="0"/>
          <w:color w:val="auto"/>
          <w:spacing w:val="0"/>
          <w:w w:val="100"/>
          <w:sz w:val="24"/>
          <w:szCs w:val="24"/>
          <w:highlight w:val="none"/>
        </w:rPr>
      </w:pPr>
      <w:bookmarkStart w:id="434" w:name="_Toc351203573"/>
      <w:r>
        <w:rPr>
          <w:rFonts w:hint="eastAsia" w:ascii="宋体" w:hAnsi="宋体" w:eastAsia="宋体" w:cs="宋体"/>
          <w:b w:val="0"/>
          <w:i w:val="0"/>
          <w:caps w:val="0"/>
          <w:color w:val="auto"/>
          <w:spacing w:val="0"/>
          <w:w w:val="100"/>
          <w:sz w:val="24"/>
          <w:szCs w:val="24"/>
          <w:highlight w:val="none"/>
        </w:rPr>
        <w:t>1</w:t>
      </w:r>
      <w:bookmarkStart w:id="435" w:name="_Toc337558793"/>
      <w:r>
        <w:rPr>
          <w:rFonts w:hint="eastAsia" w:ascii="宋体" w:hAnsi="宋体" w:eastAsia="宋体" w:cs="宋体"/>
          <w:b w:val="0"/>
          <w:i w:val="0"/>
          <w:caps w:val="0"/>
          <w:color w:val="auto"/>
          <w:spacing w:val="0"/>
          <w:w w:val="100"/>
          <w:sz w:val="24"/>
          <w:szCs w:val="24"/>
          <w:highlight w:val="none"/>
        </w:rPr>
        <w:t>0.6变更引起的工期调整</w:t>
      </w:r>
      <w:bookmarkEnd w:id="434"/>
      <w:r>
        <w:rPr>
          <w:rFonts w:hint="eastAsia" w:ascii="宋体" w:hAnsi="宋体" w:eastAsia="宋体" w:cs="宋体"/>
          <w:b w:val="0"/>
          <w:i w:val="0"/>
          <w:caps w:val="0"/>
          <w:color w:val="auto"/>
          <w:spacing w:val="0"/>
          <w:w w:val="100"/>
          <w:sz w:val="24"/>
          <w:szCs w:val="24"/>
          <w:highlight w:val="none"/>
        </w:rPr>
        <w:t xml:space="preserve"> </w:t>
      </w:r>
      <w:bookmarkEnd w:id="435"/>
      <w:r>
        <w:rPr>
          <w:rFonts w:hint="eastAsia" w:ascii="宋体" w:hAnsi="宋体" w:eastAsia="宋体" w:cs="宋体"/>
          <w:b w:val="0"/>
          <w:i w:val="0"/>
          <w:caps w:val="0"/>
          <w:color w:val="auto"/>
          <w:spacing w:val="0"/>
          <w:w w:val="100"/>
          <w:sz w:val="24"/>
          <w:szCs w:val="24"/>
          <w:highlight w:val="none"/>
        </w:rPr>
        <w:t xml:space="preserve"> </w:t>
      </w:r>
      <w:r>
        <w:rPr>
          <w:rFonts w:hint="eastAsia" w:ascii="宋体" w:hAnsi="宋体" w:eastAsia="宋体" w:cs="宋体"/>
          <w:b/>
          <w:i w:val="0"/>
          <w:caps w:val="0"/>
          <w:color w:val="auto"/>
          <w:spacing w:val="0"/>
          <w:w w:val="100"/>
          <w:sz w:val="24"/>
          <w:szCs w:val="24"/>
          <w:highlight w:val="none"/>
        </w:rPr>
        <w:t xml:space="preserve"> </w:t>
      </w:r>
    </w:p>
    <w:p w14:paraId="1D39BA4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因变更引起工期变化的，合同当事人均可要求调整合同工期，由合同当事人按照第4.4款〔商定或确定〕并参考工程所在地的工期定额标准确定增减工期天数。</w:t>
      </w:r>
    </w:p>
    <w:p w14:paraId="52B8F057">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6" w:name="_Toc351203574"/>
      <w:r>
        <w:rPr>
          <w:rFonts w:hint="eastAsia" w:ascii="宋体" w:hAnsi="宋体" w:eastAsia="宋体" w:cs="宋体"/>
          <w:b w:val="0"/>
          <w:i w:val="0"/>
          <w:caps w:val="0"/>
          <w:color w:val="auto"/>
          <w:spacing w:val="0"/>
          <w:w w:val="100"/>
          <w:sz w:val="24"/>
          <w:szCs w:val="24"/>
          <w:highlight w:val="none"/>
        </w:rPr>
        <w:t>10.7暂估价</w:t>
      </w:r>
      <w:bookmarkEnd w:id="436"/>
    </w:p>
    <w:p w14:paraId="5B4D80E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暂估价专业分包工程、服务、材料和工程设备的明细由合同当事人在专用合同条款中约定。</w:t>
      </w:r>
    </w:p>
    <w:p w14:paraId="5E7E8CD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10.7.1</w:t>
      </w:r>
      <w:r>
        <w:rPr>
          <w:rFonts w:hint="eastAsia" w:ascii="宋体" w:hAnsi="宋体" w:eastAsia="宋体" w:cs="宋体"/>
          <w:b w:val="0"/>
          <w:i w:val="0"/>
          <w:caps w:val="0"/>
          <w:color w:val="auto"/>
          <w:spacing w:val="0"/>
          <w:w w:val="100"/>
          <w:kern w:val="0"/>
          <w:sz w:val="24"/>
          <w:szCs w:val="24"/>
          <w:highlight w:val="none"/>
        </w:rPr>
        <w:t xml:space="preserve"> 依法必须招标的暂估价项目</w:t>
      </w:r>
    </w:p>
    <w:p w14:paraId="4AEEC7D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对于依法必须招标的暂估价项目，采取以下第1种方式确定。合同当事人也可以在专用合同条款中选择其他招标方式。</w:t>
      </w:r>
    </w:p>
    <w:p w14:paraId="76114A4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第1种方式：对于依法必须招标的暂估价项目，由承包人招标，对该暂估价项目的确认和批准按照以下约定执行：</w:t>
      </w:r>
    </w:p>
    <w:p w14:paraId="50A554A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C5EB10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6E710C96">
      <w:pPr>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1D8A79C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D88745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10.7.2</w:t>
      </w:r>
      <w:r>
        <w:rPr>
          <w:rFonts w:hint="eastAsia" w:ascii="宋体" w:hAnsi="宋体" w:eastAsia="宋体" w:cs="宋体"/>
          <w:b w:val="0"/>
          <w:i w:val="0"/>
          <w:caps w:val="0"/>
          <w:color w:val="auto"/>
          <w:spacing w:val="0"/>
          <w:w w:val="100"/>
          <w:kern w:val="0"/>
          <w:sz w:val="24"/>
          <w:szCs w:val="24"/>
          <w:highlight w:val="none"/>
        </w:rPr>
        <w:t>不属于依法必须招标的暂估价项目</w:t>
      </w:r>
    </w:p>
    <w:p w14:paraId="01B161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除专用合同条款另有约定外，对于不属于依法必须招标的暂估价项目，采取以下第1种方式确定： </w:t>
      </w:r>
    </w:p>
    <w:p w14:paraId="4D35D12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第1种方式：对于不属于依法必须招标的暂估价项目，按本项约定确认和批准：</w:t>
      </w:r>
    </w:p>
    <w:p w14:paraId="20F3AB3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089AD71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（2）发包人认为承包人确定的供应商、分包人无法满足工程质量或合同要求的，发包人可以要求承包人重新确定暂估价项目的供应商、分包人;</w:t>
      </w:r>
    </w:p>
    <w:p w14:paraId="4CB845A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（3）承包人应当在签订暂估价合同后7天内，将暂估价合同副本报送发包人留存。</w:t>
      </w:r>
    </w:p>
    <w:p w14:paraId="04F1BB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第2种方式：承包人按照第10.7.1项〔依法必须招标的暂估价项目〕约定的第1种方式确定暂估价项目。</w:t>
      </w:r>
    </w:p>
    <w:p w14:paraId="6A688F7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第3种方式：</w:t>
      </w:r>
      <w:r>
        <w:rPr>
          <w:rFonts w:hint="eastAsia" w:ascii="宋体" w:hAnsi="宋体" w:eastAsia="宋体" w:cs="宋体"/>
          <w:b w:val="0"/>
          <w:i w:val="0"/>
          <w:caps w:val="0"/>
          <w:color w:val="auto"/>
          <w:spacing w:val="0"/>
          <w:w w:val="100"/>
          <w:kern w:val="0"/>
          <w:sz w:val="24"/>
          <w:szCs w:val="24"/>
          <w:highlight w:val="none"/>
        </w:rPr>
        <w:t>承包人直接实施的暂估价项目</w:t>
      </w:r>
    </w:p>
    <w:p w14:paraId="2166E9D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承包人具备实施暂估价项目的资格和条件的，经发包人和承包人协商一致后，可由承包人自行实施暂估价项目，合同当事人可以在专用合同条款约定具体事项。</w:t>
      </w:r>
    </w:p>
    <w:p w14:paraId="54C786A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02116A9A">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7" w:name="_Toc351203575"/>
      <w:r>
        <w:rPr>
          <w:rFonts w:hint="eastAsia" w:ascii="宋体" w:hAnsi="宋体" w:eastAsia="宋体" w:cs="宋体"/>
          <w:b w:val="0"/>
          <w:i w:val="0"/>
          <w:caps w:val="0"/>
          <w:color w:val="auto"/>
          <w:spacing w:val="0"/>
          <w:w w:val="100"/>
          <w:sz w:val="24"/>
          <w:szCs w:val="24"/>
          <w:highlight w:val="none"/>
        </w:rPr>
        <w:t>10.8暂列金额</w:t>
      </w:r>
      <w:bookmarkEnd w:id="437"/>
    </w:p>
    <w:p w14:paraId="6BF3316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暂列金额应按照发包人的要求使用，发包人的要求应通过监理人发出。合同当事人可以在专用合同条款中协商确定有关事项。</w:t>
      </w:r>
    </w:p>
    <w:p w14:paraId="12196FB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38" w:name="_Toc351203576"/>
      <w:r>
        <w:rPr>
          <w:rFonts w:hint="eastAsia" w:ascii="宋体" w:hAnsi="宋体" w:eastAsia="宋体" w:cs="宋体"/>
          <w:b w:val="0"/>
          <w:i w:val="0"/>
          <w:caps w:val="0"/>
          <w:color w:val="auto"/>
          <w:spacing w:val="0"/>
          <w:w w:val="100"/>
          <w:sz w:val="24"/>
          <w:szCs w:val="24"/>
          <w:highlight w:val="none"/>
        </w:rPr>
        <w:t>1</w:t>
      </w:r>
      <w:bookmarkStart w:id="439" w:name="_Toc337558796"/>
      <w:bookmarkStart w:id="440" w:name="_Toc296503091"/>
      <w:bookmarkStart w:id="441" w:name="_Toc296346592"/>
      <w:r>
        <w:rPr>
          <w:rFonts w:hint="eastAsia" w:ascii="宋体" w:hAnsi="宋体" w:eastAsia="宋体" w:cs="宋体"/>
          <w:b w:val="0"/>
          <w:i w:val="0"/>
          <w:caps w:val="0"/>
          <w:color w:val="auto"/>
          <w:spacing w:val="0"/>
          <w:w w:val="100"/>
          <w:sz w:val="24"/>
          <w:szCs w:val="24"/>
          <w:highlight w:val="none"/>
        </w:rPr>
        <w:t>0.9计日工</w:t>
      </w:r>
      <w:bookmarkEnd w:id="438"/>
      <w:r>
        <w:rPr>
          <w:rFonts w:hint="eastAsia" w:ascii="宋体" w:hAnsi="宋体" w:eastAsia="宋体" w:cs="宋体"/>
          <w:b w:val="0"/>
          <w:i w:val="0"/>
          <w:caps w:val="0"/>
          <w:color w:val="auto"/>
          <w:spacing w:val="0"/>
          <w:w w:val="100"/>
          <w:sz w:val="24"/>
          <w:szCs w:val="24"/>
          <w:highlight w:val="none"/>
        </w:rPr>
        <w:t xml:space="preserve"> </w:t>
      </w:r>
      <w:bookmarkEnd w:id="439"/>
      <w:bookmarkEnd w:id="440"/>
      <w:bookmarkEnd w:id="441"/>
    </w:p>
    <w:p w14:paraId="7C34A08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2925F80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采用计日工计价的任何一项工作，承包人应在该项工作实施过程中，每天提交以下报表和有关凭证报送监理人审查：</w:t>
      </w:r>
    </w:p>
    <w:p w14:paraId="394FAB62">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（1）工作名称、内容和数量；</w:t>
      </w:r>
    </w:p>
    <w:p w14:paraId="29266133">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（2）投入该工作的所有人员的姓名、专业、工种、级别和耗用工时；</w:t>
      </w:r>
    </w:p>
    <w:p w14:paraId="3D8F2B44">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（3）投入该工作的材料类别和数量；</w:t>
      </w:r>
    </w:p>
    <w:p w14:paraId="07E82258">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（4）投入该工作的施工设备型号、台数和耗用台时；</w:t>
      </w:r>
    </w:p>
    <w:p w14:paraId="2A105861">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（5）其他有关资料和凭证。</w:t>
      </w:r>
    </w:p>
    <w:p w14:paraId="1D771A3C">
      <w:pPr>
        <w:snapToGrid w:val="0"/>
        <w:spacing w:before="0" w:beforeAutospacing="0" w:after="0" w:afterAutospacing="0" w:line="360" w:lineRule="auto"/>
        <w:ind w:firstLine="360" w:firstLineChars="15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计日工由承包人汇总后，列入最近一期进度付款申请单，由监理人审查并经发包人批准后列入进度付款。</w:t>
      </w:r>
    </w:p>
    <w:p w14:paraId="2602EA83">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42" w:name="_Toc351203577"/>
      <w:r>
        <w:rPr>
          <w:rFonts w:hint="eastAsia" w:ascii="宋体" w:hAnsi="宋体" w:eastAsia="宋体" w:cs="宋体"/>
          <w:b w:val="0"/>
          <w:i w:val="0"/>
          <w:caps w:val="0"/>
          <w:color w:val="auto"/>
          <w:spacing w:val="0"/>
          <w:w w:val="100"/>
          <w:sz w:val="24"/>
          <w:szCs w:val="24"/>
          <w:highlight w:val="none"/>
        </w:rPr>
        <w:t>11. 价格调整</w:t>
      </w:r>
      <w:bookmarkEnd w:id="442"/>
    </w:p>
    <w:p w14:paraId="15B5D6E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43" w:name="_Toc351203578"/>
      <w:r>
        <w:rPr>
          <w:rFonts w:hint="eastAsia" w:ascii="宋体" w:hAnsi="宋体" w:eastAsia="宋体" w:cs="宋体"/>
          <w:b w:val="0"/>
          <w:i w:val="0"/>
          <w:caps w:val="0"/>
          <w:color w:val="auto"/>
          <w:spacing w:val="0"/>
          <w:w w:val="100"/>
          <w:sz w:val="24"/>
          <w:szCs w:val="24"/>
          <w:highlight w:val="none"/>
        </w:rPr>
        <w:t>11.1市场价格波动引起的调整</w:t>
      </w:r>
      <w:bookmarkEnd w:id="443"/>
    </w:p>
    <w:p w14:paraId="771E164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除专用合同条款另有约定外，市场价格波动超过合同当事人约定的范围，合同价格应当调整。合同当事人可以在专用合同条款中约定选择以下一种方式对合同价格进行调整：</w:t>
      </w:r>
    </w:p>
    <w:p w14:paraId="21D02C84">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第1种方式：采用价格指数进行价格调整。</w:t>
      </w:r>
    </w:p>
    <w:p w14:paraId="68D474BA">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（1）价格调整公式</w:t>
      </w:r>
    </w:p>
    <w:p w14:paraId="47281BA3">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因人工、材料和设备等价格波动影响合同价格时，根据专用合同条款中约定的数据，按以下公式计算差额并调整合同价格：</w:t>
      </w:r>
    </w:p>
    <w:p w14:paraId="6AE23283">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position w:val="-30"/>
          <w:sz w:val="24"/>
          <w:szCs w:val="24"/>
          <w:highlight w:val="none"/>
        </w:rPr>
        <w:object>
          <v:shape id="_x0000_i1025" o:spt="75" type="#_x0000_t75" style="height:43.9pt;width:359.85pt;" o:ole="t" filled="f" stroked="f" coordsize="21600,21600">
            <v:path/>
            <v:fill on="f" focussize="0,0"/>
            <v:stroke on="f"/>
            <v:imagedata r:id="rId10" o:title=""/>
            <o:lock v:ext="edit" aspectratio="t"/>
            <w10:wrap type="none"/>
            <w10:anchorlock/>
          </v:shape>
          <o:OLEObject Type="Embed" ProgID="Equation.KSEE3" ShapeID="_x0000_i1025" DrawAspect="Content" ObjectID="_1468075725" r:id="rId9">
            <o:LockedField>false</o:LockedField>
          </o:OLEObject>
        </w:object>
      </w:r>
    </w:p>
    <w:p w14:paraId="6C62C9AF">
      <w:pPr>
        <w:tabs>
          <w:tab w:val="left" w:pos="0"/>
          <w:tab w:val="left" w:pos="360"/>
          <w:tab w:val="left" w:pos="540"/>
        </w:tabs>
        <w:snapToGrid w:val="0"/>
        <w:spacing w:before="0" w:beforeAutospacing="0" w:after="0" w:afterAutospacing="0" w:line="360" w:lineRule="auto"/>
        <w:ind w:firstLine="64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公式中：ΔP——需调整的价格差额；</w:t>
      </w:r>
    </w:p>
    <w:p w14:paraId="319C85FE">
      <w:pPr>
        <w:tabs>
          <w:tab w:val="left" w:pos="0"/>
          <w:tab w:val="left" w:pos="360"/>
          <w:tab w:val="left" w:pos="540"/>
        </w:tabs>
        <w:snapToGrid w:val="0"/>
        <w:spacing w:before="0" w:beforeAutospacing="0" w:after="0" w:afterAutospacing="0" w:line="360" w:lineRule="auto"/>
        <w:ind w:firstLine="1440" w:firstLineChars="6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position w:val="-6"/>
          <w:sz w:val="24"/>
          <w:szCs w:val="24"/>
          <w:highlight w:val="none"/>
        </w:rPr>
        <w:object>
          <v:shape id="_x0000_i1026" o:spt="75" type="#_x0000_t75" style="height:17.95pt;width:17.95pt;" o:ole="t" filled="f" stroked="f" coordsize="21600,21600">
            <v:path/>
            <v:fill on="f" focussize="0,0"/>
            <v:stroke on="f"/>
            <v:imagedata r:id="rId12" o:title=""/>
            <o:lock v:ext="edit" aspectratio="t"/>
            <w10:wrap type="none"/>
            <w10:anchorlock/>
          </v:shape>
          <o:OLEObject Type="Embed" ProgID="Equation.KSEE3" ShapeID="_x0000_i1026" DrawAspect="Content" ObjectID="_1468075726" r:id="rId11">
            <o:LockedField>false</o:LockedField>
          </o:OLEObject>
        </w:object>
      </w:r>
      <w:r>
        <w:rPr>
          <w:rFonts w:hint="eastAsia" w:ascii="宋体" w:hAnsi="宋体" w:eastAsia="宋体" w:cs="宋体"/>
          <w:b w:val="0"/>
          <w:i w:val="0"/>
          <w:caps w:val="0"/>
          <w:color w:val="auto"/>
          <w:spacing w:val="0"/>
          <w:w w:val="100"/>
          <w:sz w:val="24"/>
          <w:szCs w:val="24"/>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12631FDD">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A——定值权重（即不调部分的权重）；</w:t>
      </w:r>
    </w:p>
    <w:p w14:paraId="38131BC8">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position w:val="-10"/>
          <w:sz w:val="24"/>
          <w:szCs w:val="24"/>
          <w:highlight w:val="none"/>
        </w:rPr>
        <w:object>
          <v:shape id="_x0000_i1027" o:spt="75" type="#_x0000_t75" style="height:21.05pt;width:101pt;" o:ole="t" filled="f" stroked="f" coordsize="21600,21600">
            <v:path/>
            <v:fill on="f" focussize="0,0"/>
            <v:stroke on="f"/>
            <v:imagedata r:id="rId14" o:title=""/>
            <o:lock v:ext="edit" aspectratio="t"/>
            <w10:wrap type="none"/>
            <w10:anchorlock/>
          </v:shape>
          <o:OLEObject Type="Embed" ProgID="Equation.KSEE3" ShapeID="_x0000_i1027" DrawAspect="Content" ObjectID="_1468075727" r:id="rId13">
            <o:LockedField>false</o:LockedField>
          </o:OLEObject>
        </w:object>
      </w:r>
      <w:r>
        <w:rPr>
          <w:rFonts w:hint="eastAsia" w:ascii="宋体" w:hAnsi="宋体" w:eastAsia="宋体" w:cs="宋体"/>
          <w:b w:val="0"/>
          <w:i w:val="0"/>
          <w:caps w:val="0"/>
          <w:color w:val="auto"/>
          <w:spacing w:val="0"/>
          <w:w w:val="100"/>
          <w:sz w:val="24"/>
          <w:szCs w:val="24"/>
          <w:highlight w:val="none"/>
        </w:rPr>
        <w:t>——各可调因子的变值权重（即可调部分的权重），为各可调因子在签约合同价中所占的比例；</w:t>
      </w:r>
    </w:p>
    <w:p w14:paraId="680EBD97">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position w:val="-10"/>
          <w:sz w:val="24"/>
          <w:szCs w:val="24"/>
          <w:highlight w:val="none"/>
        </w:rPr>
        <w:object>
          <v:shape id="_x0000_i1028" o:spt="75" type="#_x0000_t75" style="height:20.6pt;width:102.05pt;" o:ole="t" filled="f" stroked="f" coordsize="21600,21600">
            <v:path/>
            <v:fill on="f" focussize="0,0"/>
            <v:stroke on="f"/>
            <v:imagedata r:id="rId16" o:title=""/>
            <o:lock v:ext="edit" aspectratio="t"/>
            <w10:wrap type="none"/>
            <w10:anchorlock/>
          </v:shape>
          <o:OLEObject Type="Embed" ProgID="Equation.KSEE3" ShapeID="_x0000_i1028" DrawAspect="Content" ObjectID="_1468075728" r:id="rId15">
            <o:LockedField>false</o:LockedField>
          </o:OLEObject>
        </w:object>
      </w:r>
      <w:r>
        <w:rPr>
          <w:rFonts w:hint="eastAsia" w:ascii="宋体" w:hAnsi="宋体" w:eastAsia="宋体" w:cs="宋体"/>
          <w:b w:val="0"/>
          <w:i w:val="0"/>
          <w:caps w:val="0"/>
          <w:color w:val="auto"/>
          <w:spacing w:val="0"/>
          <w:w w:val="100"/>
          <w:sz w:val="24"/>
          <w:szCs w:val="24"/>
          <w:highlight w:val="none"/>
        </w:rPr>
        <w:t>——各可调因子的现行价格指数，指约定的付款证书相关周期最后一天的前42天的各可调因子的价格指数；</w:t>
      </w:r>
    </w:p>
    <w:p w14:paraId="5A10A44F">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position w:val="-10"/>
          <w:sz w:val="24"/>
          <w:szCs w:val="24"/>
          <w:highlight w:val="none"/>
        </w:rPr>
        <w:object>
          <v:shape id="_x0000_i1029" o:spt="75" type="#_x0000_t75" style="height:20.2pt;width:108pt;" o:ole="t" filled="f" stroked="f" coordsize="21600,21600">
            <v:path/>
            <v:fill on="f" focussize="0,0"/>
            <v:stroke on="f"/>
            <v:imagedata r:id="rId18" o:title=""/>
            <o:lock v:ext="edit" aspectratio="t"/>
            <w10:wrap type="none"/>
            <w10:anchorlock/>
          </v:shape>
          <o:OLEObject Type="Embed" ProgID="Equation.KSEE3" ShapeID="_x0000_i1029" DrawAspect="Content" ObjectID="_1468075729" r:id="rId17">
            <o:LockedField>false</o:LockedField>
          </o:OLEObject>
        </w:object>
      </w:r>
      <w:r>
        <w:rPr>
          <w:rFonts w:hint="eastAsia" w:ascii="宋体" w:hAnsi="宋体" w:eastAsia="宋体" w:cs="宋体"/>
          <w:b w:val="0"/>
          <w:i w:val="0"/>
          <w:caps w:val="0"/>
          <w:color w:val="auto"/>
          <w:spacing w:val="0"/>
          <w:w w:val="100"/>
          <w:sz w:val="24"/>
          <w:szCs w:val="24"/>
          <w:highlight w:val="none"/>
        </w:rPr>
        <w:t>——各可调因子的基本价格指数，指基准日期的各可调因子的价格指数。</w:t>
      </w:r>
    </w:p>
    <w:p w14:paraId="70A90785">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30A85A6C">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（2）暂时确定调整差额</w:t>
      </w:r>
    </w:p>
    <w:p w14:paraId="3816DF63">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在计算调整差额时无现行价格指数的，合同当事人同意暂用前次价格指数计算。实际价格指数有调整的，合同当事人进行相应调整。</w:t>
      </w:r>
    </w:p>
    <w:p w14:paraId="585B279B">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（3）权重的调整</w:t>
      </w:r>
    </w:p>
    <w:p w14:paraId="329853AD">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因变更导致合同约定的权重不合理时，按照第4.4款〔商定或确定〕执行。</w:t>
      </w:r>
    </w:p>
    <w:p w14:paraId="5397094B">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（4）因承包人原因工期延误后的价格调整</w:t>
      </w:r>
    </w:p>
    <w:p w14:paraId="3257C3E8">
      <w:pPr>
        <w:tabs>
          <w:tab w:val="left" w:pos="0"/>
          <w:tab w:val="left" w:pos="360"/>
          <w:tab w:val="left" w:pos="540"/>
        </w:tabs>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042DB54C">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第2种方式：采用造价信息进行价格调整。</w:t>
      </w:r>
    </w:p>
    <w:p w14:paraId="4DCE74C1">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0564EAA1">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598A8411">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（2）材料、工程设备价格变化的价款调整按照发包人提供的基准价格，按以下风险范围规定执行:</w:t>
      </w:r>
    </w:p>
    <w:p w14:paraId="505DEF69">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583ACCDA">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5764C94B">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③承包人在已标价工程量清单或预算书中载明材料单价等于基准价格的：除专用合同条款另有约定外，合同履行期间材料单价涨跌幅以基准价格为基础超过±5%时，其超过部分据实调整。</w:t>
      </w:r>
    </w:p>
    <w:p w14:paraId="1AB8F10C">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40772DE2">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44" w:name="OLE_LINK3"/>
      <w:r>
        <w:rPr>
          <w:rFonts w:hint="eastAsia" w:ascii="宋体" w:hAnsi="宋体" w:eastAsia="宋体" w:cs="宋体"/>
          <w:b w:val="0"/>
          <w:i w:val="0"/>
          <w:caps w:val="0"/>
          <w:color w:val="auto"/>
          <w:spacing w:val="0"/>
          <w:w w:val="100"/>
          <w:sz w:val="24"/>
          <w:szCs w:val="24"/>
          <w:highlight w:val="none"/>
        </w:rPr>
        <w:t>前述基准价格是指由发包人在</w:t>
      </w:r>
      <w:r>
        <w:rPr>
          <w:rFonts w:hint="eastAsia" w:ascii="宋体" w:hAnsi="宋体" w:eastAsia="宋体" w:cs="宋体"/>
          <w:b w:val="0"/>
          <w:i w:val="0"/>
          <w:caps w:val="0"/>
          <w:color w:val="auto"/>
          <w:spacing w:val="0"/>
          <w:w w:val="100"/>
          <w:sz w:val="24"/>
          <w:szCs w:val="24"/>
          <w:highlight w:val="none"/>
          <w:lang w:val="en-US" w:eastAsia="zh-CN"/>
        </w:rPr>
        <w:t>询比采购</w:t>
      </w:r>
      <w:r>
        <w:rPr>
          <w:rFonts w:hint="eastAsia" w:ascii="宋体" w:hAnsi="宋体" w:eastAsia="宋体" w:cs="宋体"/>
          <w:b w:val="0"/>
          <w:i w:val="0"/>
          <w:caps w:val="0"/>
          <w:color w:val="auto"/>
          <w:spacing w:val="0"/>
          <w:w w:val="100"/>
          <w:sz w:val="24"/>
          <w:szCs w:val="24"/>
          <w:highlight w:val="none"/>
        </w:rPr>
        <w:t>文件或专用合同条款中给定的材料、工程设备的价格，该价格原则上应当按照省级或行业建设主管部门或其授权的工程造价管理机构发布的信息价编制。</w:t>
      </w:r>
    </w:p>
    <w:p w14:paraId="4772526A">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（3）施工机械台班单价或施工机械使用费发生变化超过省级或行业建设主管部门或其授权的工程造价管理机构规定的范围时，按规定调整合同价格。</w:t>
      </w:r>
    </w:p>
    <w:p w14:paraId="23DD76F2">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第3种方式：专用合同条款约定的其他方式。</w:t>
      </w:r>
    </w:p>
    <w:p w14:paraId="51DF565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45" w:name="_Toc351203579"/>
      <w:r>
        <w:rPr>
          <w:rFonts w:hint="eastAsia" w:ascii="宋体" w:hAnsi="宋体" w:eastAsia="宋体" w:cs="宋体"/>
          <w:b w:val="0"/>
          <w:i w:val="0"/>
          <w:caps w:val="0"/>
          <w:color w:val="auto"/>
          <w:spacing w:val="0"/>
          <w:w w:val="100"/>
          <w:sz w:val="24"/>
          <w:szCs w:val="24"/>
          <w:highlight w:val="none"/>
        </w:rPr>
        <w:t>11.2法律变化引起的调整</w:t>
      </w:r>
      <w:bookmarkEnd w:id="445"/>
    </w:p>
    <w:p w14:paraId="26B930F9">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5CCDBC42">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因法律变化引起的合同价格和工期调整，合同当事人无法达成一致的，由总监理工程师按第4.4款〔商定或确定〕的约定处理。</w:t>
      </w:r>
    </w:p>
    <w:p w14:paraId="6913A430">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因承包人原因造成工期延误，在工期延误期间出现法律变化的，由此增加的费用和（或）延误的工期由承包人承担。</w:t>
      </w:r>
    </w:p>
    <w:p w14:paraId="66296BF3">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46" w:name="_Toc351203580"/>
      <w:bookmarkStart w:id="447" w:name="_Toc296346597"/>
      <w:bookmarkStart w:id="448" w:name="_Toc296503096"/>
      <w:r>
        <w:rPr>
          <w:rFonts w:hint="eastAsia" w:ascii="宋体" w:hAnsi="宋体" w:eastAsia="宋体" w:cs="宋体"/>
          <w:b w:val="0"/>
          <w:i w:val="0"/>
          <w:caps w:val="0"/>
          <w:color w:val="auto"/>
          <w:spacing w:val="0"/>
          <w:w w:val="100"/>
          <w:sz w:val="24"/>
          <w:szCs w:val="24"/>
          <w:highlight w:val="none"/>
        </w:rPr>
        <w:t>12. 合同价格、计量与支付</w:t>
      </w:r>
      <w:bookmarkEnd w:id="446"/>
    </w:p>
    <w:p w14:paraId="47FB6CE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49" w:name="_Toc351203581"/>
      <w:r>
        <w:rPr>
          <w:rFonts w:hint="eastAsia" w:ascii="宋体" w:hAnsi="宋体" w:eastAsia="宋体" w:cs="宋体"/>
          <w:b w:val="0"/>
          <w:i w:val="0"/>
          <w:caps w:val="0"/>
          <w:color w:val="auto"/>
          <w:spacing w:val="0"/>
          <w:w w:val="100"/>
          <w:sz w:val="24"/>
          <w:szCs w:val="24"/>
          <w:highlight w:val="none"/>
        </w:rPr>
        <w:t>12.1 合同价</w:t>
      </w:r>
      <w:bookmarkEnd w:id="447"/>
      <w:bookmarkEnd w:id="448"/>
      <w:r>
        <w:rPr>
          <w:rFonts w:hint="eastAsia" w:ascii="宋体" w:hAnsi="宋体" w:eastAsia="宋体" w:cs="宋体"/>
          <w:b w:val="0"/>
          <w:i w:val="0"/>
          <w:caps w:val="0"/>
          <w:color w:val="auto"/>
          <w:spacing w:val="0"/>
          <w:w w:val="100"/>
          <w:sz w:val="24"/>
          <w:szCs w:val="24"/>
          <w:highlight w:val="none"/>
        </w:rPr>
        <w:t>格形式</w:t>
      </w:r>
      <w:bookmarkEnd w:id="449"/>
    </w:p>
    <w:p w14:paraId="5C84836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发包人和承包人应在合同协议书中选择下列一种合同价格形式： </w:t>
      </w:r>
    </w:p>
    <w:p w14:paraId="26E6E95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w:t>
      </w:r>
      <w:r>
        <w:rPr>
          <w:rFonts w:hint="eastAsia" w:ascii="宋体" w:hAnsi="宋体" w:eastAsia="宋体" w:cs="宋体"/>
          <w:b w:val="0"/>
          <w:i w:val="0"/>
          <w:caps w:val="0"/>
          <w:color w:val="auto"/>
          <w:spacing w:val="0"/>
          <w:w w:val="100"/>
          <w:kern w:val="0"/>
          <w:sz w:val="24"/>
          <w:szCs w:val="24"/>
          <w:highlight w:val="none"/>
          <w:lang w:val="en-US" w:eastAsia="zh-CN"/>
        </w:rPr>
        <w:t>.</w:t>
      </w:r>
      <w:r>
        <w:rPr>
          <w:rFonts w:hint="eastAsia" w:ascii="宋体" w:hAnsi="宋体" w:eastAsia="宋体" w:cs="宋体"/>
          <w:b w:val="0"/>
          <w:i w:val="0"/>
          <w:caps w:val="0"/>
          <w:color w:val="auto"/>
          <w:spacing w:val="0"/>
          <w:w w:val="100"/>
          <w:kern w:val="0"/>
          <w:sz w:val="24"/>
          <w:szCs w:val="24"/>
          <w:highlight w:val="none"/>
        </w:rPr>
        <w:t>单价合同</w:t>
      </w:r>
    </w:p>
    <w:p w14:paraId="70AD3ED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单价合同是指合同当事人约定以工程量清单及其综合单价进行合同价格计算、调整和确认的建设工程施工合同，</w:t>
      </w:r>
      <w:r>
        <w:rPr>
          <w:rFonts w:hint="eastAsia" w:ascii="宋体" w:hAnsi="宋体" w:eastAsia="宋体" w:cs="宋体"/>
          <w:b w:val="0"/>
          <w:i w:val="0"/>
          <w:caps w:val="0"/>
          <w:color w:val="auto"/>
          <w:spacing w:val="0"/>
          <w:w w:val="100"/>
          <w:sz w:val="24"/>
          <w:szCs w:val="24"/>
          <w:highlight w:val="none"/>
        </w:rPr>
        <w:t>在约定的范围内合同单价不作调整</w:t>
      </w:r>
      <w:r>
        <w:rPr>
          <w:rFonts w:hint="eastAsia" w:ascii="宋体" w:hAnsi="宋体" w:eastAsia="宋体" w:cs="宋体"/>
          <w:b w:val="0"/>
          <w:i w:val="0"/>
          <w:caps w:val="0"/>
          <w:color w:val="auto"/>
          <w:spacing w:val="0"/>
          <w:w w:val="100"/>
          <w:kern w:val="0"/>
          <w:sz w:val="24"/>
          <w:szCs w:val="24"/>
          <w:highlight w:val="none"/>
        </w:rPr>
        <w:t>。合同当事人应在专用合同条款中约定综合单价包含的风险范围和风险费用的计算方法</w:t>
      </w:r>
      <w:r>
        <w:rPr>
          <w:rFonts w:hint="eastAsia" w:ascii="宋体" w:hAnsi="宋体" w:eastAsia="宋体" w:cs="宋体"/>
          <w:b w:val="0"/>
          <w:i w:val="0"/>
          <w:caps w:val="0"/>
          <w:color w:val="auto"/>
          <w:spacing w:val="0"/>
          <w:w w:val="100"/>
          <w:sz w:val="24"/>
          <w:szCs w:val="24"/>
          <w:highlight w:val="none"/>
        </w:rPr>
        <w:t>，</w:t>
      </w:r>
      <w:r>
        <w:rPr>
          <w:rFonts w:hint="eastAsia" w:ascii="宋体" w:hAnsi="宋体" w:eastAsia="宋体" w:cs="宋体"/>
          <w:b w:val="0"/>
          <w:i w:val="0"/>
          <w:caps w:val="0"/>
          <w:color w:val="auto"/>
          <w:spacing w:val="0"/>
          <w:w w:val="100"/>
          <w:kern w:val="0"/>
          <w:sz w:val="24"/>
          <w:szCs w:val="24"/>
          <w:highlight w:val="none"/>
        </w:rPr>
        <w:t>并约定风险范围以外的合同价格的调整方法，其中因市场价格波动引起的调整按第11.1款〔市场价格波动引起的调整〕约定执行。</w:t>
      </w:r>
    </w:p>
    <w:p w14:paraId="492CCC4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w:t>
      </w:r>
      <w:r>
        <w:rPr>
          <w:rFonts w:hint="eastAsia" w:ascii="宋体" w:hAnsi="宋体" w:eastAsia="宋体" w:cs="宋体"/>
          <w:b w:val="0"/>
          <w:i w:val="0"/>
          <w:caps w:val="0"/>
          <w:color w:val="auto"/>
          <w:spacing w:val="0"/>
          <w:w w:val="100"/>
          <w:kern w:val="0"/>
          <w:sz w:val="24"/>
          <w:szCs w:val="24"/>
          <w:highlight w:val="none"/>
          <w:lang w:val="en-US" w:eastAsia="zh-CN"/>
        </w:rPr>
        <w:t>.</w:t>
      </w:r>
      <w:r>
        <w:rPr>
          <w:rFonts w:hint="eastAsia" w:ascii="宋体" w:hAnsi="宋体" w:eastAsia="宋体" w:cs="宋体"/>
          <w:b w:val="0"/>
          <w:i w:val="0"/>
          <w:caps w:val="0"/>
          <w:color w:val="auto"/>
          <w:spacing w:val="0"/>
          <w:w w:val="100"/>
          <w:kern w:val="0"/>
          <w:sz w:val="24"/>
          <w:szCs w:val="24"/>
          <w:highlight w:val="none"/>
        </w:rPr>
        <w:t>总价合同</w:t>
      </w:r>
    </w:p>
    <w:p w14:paraId="308CE22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总价合同是指合同当事人约定以施工图、已标价工程量清单或预算书及有关条件进行合同价格计算、调整和确认的建设工程施工合同，</w:t>
      </w:r>
      <w:r>
        <w:rPr>
          <w:rFonts w:hint="eastAsia" w:ascii="宋体" w:hAnsi="宋体" w:eastAsia="宋体" w:cs="宋体"/>
          <w:b w:val="0"/>
          <w:i w:val="0"/>
          <w:caps w:val="0"/>
          <w:color w:val="auto"/>
          <w:spacing w:val="0"/>
          <w:w w:val="100"/>
          <w:sz w:val="24"/>
          <w:szCs w:val="24"/>
          <w:highlight w:val="none"/>
        </w:rPr>
        <w:t>在约定的范围内合同总价不作调整</w:t>
      </w:r>
      <w:r>
        <w:rPr>
          <w:rFonts w:hint="eastAsia" w:ascii="宋体" w:hAnsi="宋体" w:eastAsia="宋体" w:cs="宋体"/>
          <w:b w:val="0"/>
          <w:i w:val="0"/>
          <w:caps w:val="0"/>
          <w:color w:val="auto"/>
          <w:spacing w:val="0"/>
          <w:w w:val="100"/>
          <w:kern w:val="0"/>
          <w:sz w:val="24"/>
          <w:szCs w:val="24"/>
          <w:highlight w:val="none"/>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6B3AB19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w:t>
      </w:r>
      <w:r>
        <w:rPr>
          <w:rFonts w:hint="eastAsia" w:ascii="宋体" w:hAnsi="宋体" w:eastAsia="宋体" w:cs="宋体"/>
          <w:b w:val="0"/>
          <w:i w:val="0"/>
          <w:caps w:val="0"/>
          <w:color w:val="auto"/>
          <w:spacing w:val="0"/>
          <w:w w:val="100"/>
          <w:kern w:val="0"/>
          <w:sz w:val="24"/>
          <w:szCs w:val="24"/>
          <w:highlight w:val="none"/>
          <w:lang w:val="en-US" w:eastAsia="zh-CN"/>
        </w:rPr>
        <w:t>.</w:t>
      </w:r>
      <w:r>
        <w:rPr>
          <w:rFonts w:hint="eastAsia" w:ascii="宋体" w:hAnsi="宋体" w:eastAsia="宋体" w:cs="宋体"/>
          <w:b w:val="0"/>
          <w:i w:val="0"/>
          <w:caps w:val="0"/>
          <w:color w:val="auto"/>
          <w:spacing w:val="0"/>
          <w:w w:val="100"/>
          <w:kern w:val="0"/>
          <w:sz w:val="24"/>
          <w:szCs w:val="24"/>
          <w:highlight w:val="none"/>
        </w:rPr>
        <w:t>其它价格形式</w:t>
      </w:r>
    </w:p>
    <w:p w14:paraId="459FCD0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合同当事人可在专用合同条款中约定其他合同价格形式。</w:t>
      </w:r>
    </w:p>
    <w:p w14:paraId="0E913BC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50" w:name="_Toc296503097"/>
      <w:bookmarkStart w:id="451" w:name="_Toc296346598"/>
      <w:bookmarkStart w:id="452" w:name="_Toc351203582"/>
      <w:r>
        <w:rPr>
          <w:rFonts w:hint="eastAsia" w:ascii="宋体" w:hAnsi="宋体" w:eastAsia="宋体" w:cs="宋体"/>
          <w:b w:val="0"/>
          <w:i w:val="0"/>
          <w:caps w:val="0"/>
          <w:color w:val="auto"/>
          <w:spacing w:val="0"/>
          <w:w w:val="100"/>
          <w:sz w:val="24"/>
          <w:szCs w:val="24"/>
          <w:highlight w:val="none"/>
        </w:rPr>
        <w:t>12.2预</w:t>
      </w:r>
      <w:bookmarkEnd w:id="450"/>
      <w:bookmarkEnd w:id="451"/>
      <w:r>
        <w:rPr>
          <w:rFonts w:hint="eastAsia" w:ascii="宋体" w:hAnsi="宋体" w:eastAsia="宋体" w:cs="宋体"/>
          <w:b w:val="0"/>
          <w:i w:val="0"/>
          <w:caps w:val="0"/>
          <w:color w:val="auto"/>
          <w:spacing w:val="0"/>
          <w:w w:val="100"/>
          <w:sz w:val="24"/>
          <w:szCs w:val="24"/>
          <w:highlight w:val="none"/>
        </w:rPr>
        <w:t>付款</w:t>
      </w:r>
      <w:bookmarkEnd w:id="452"/>
    </w:p>
    <w:p w14:paraId="461347F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12.2.</w:t>
      </w:r>
      <w:r>
        <w:rPr>
          <w:rFonts w:hint="eastAsia" w:ascii="宋体" w:hAnsi="宋体" w:eastAsia="宋体" w:cs="宋体"/>
          <w:b w:val="0"/>
          <w:i w:val="0"/>
          <w:caps w:val="0"/>
          <w:color w:val="auto"/>
          <w:spacing w:val="0"/>
          <w:w w:val="100"/>
          <w:kern w:val="0"/>
          <w:sz w:val="24"/>
          <w:szCs w:val="24"/>
          <w:highlight w:val="none"/>
        </w:rPr>
        <w:t>1预付款的支付</w:t>
      </w:r>
    </w:p>
    <w:p w14:paraId="7DB5420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预付款的支付按照专用合同条款约定执行，但至迟应在开工通知载明的开工日期7天前支付。预付款应当用于材料、工程设备、施工设备的采购及修建临时工程、组织施工队伍进场等。</w:t>
      </w:r>
    </w:p>
    <w:p w14:paraId="33BFFFF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除专用合同条款另有约定外，预付款在进度付款中同比例扣回。</w:t>
      </w:r>
      <w:bookmarkEnd w:id="444"/>
      <w:r>
        <w:rPr>
          <w:rFonts w:hint="eastAsia" w:ascii="宋体" w:hAnsi="宋体" w:eastAsia="宋体" w:cs="宋体"/>
          <w:b w:val="0"/>
          <w:i w:val="0"/>
          <w:caps w:val="0"/>
          <w:color w:val="auto"/>
          <w:spacing w:val="0"/>
          <w:w w:val="100"/>
          <w:kern w:val="0"/>
          <w:sz w:val="24"/>
          <w:szCs w:val="24"/>
          <w:highlight w:val="none"/>
        </w:rPr>
        <w:t>在颁发工程接收证书前，提前解除合同的，尚未扣完的预付款应与合同价款一并结算。</w:t>
      </w:r>
    </w:p>
    <w:p w14:paraId="731ABAA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发包人逾期支付预付款超过7天的，承包人有权向发包人发出要求预付的催告通知，发包人收到通知后7天内仍未支付的，承包人有权暂停施工，并按第16.1.1项〔发包人违约的情形〕执行。</w:t>
      </w:r>
    </w:p>
    <w:p w14:paraId="788A241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12.2.2 预付款担保</w:t>
      </w:r>
    </w:p>
    <w:p w14:paraId="7605C6D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75CD39E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发包人在工程款中逐期扣回预付款后，预付款担保额度应相应减少，但剩余的预付款担保金额不得低于未被扣回的预付款金额。</w:t>
      </w:r>
    </w:p>
    <w:p w14:paraId="1D909D0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53" w:name="_Toc351203583"/>
      <w:r>
        <w:rPr>
          <w:rFonts w:hint="eastAsia" w:ascii="宋体" w:hAnsi="宋体" w:eastAsia="宋体" w:cs="宋体"/>
          <w:b w:val="0"/>
          <w:i w:val="0"/>
          <w:caps w:val="0"/>
          <w:color w:val="auto"/>
          <w:spacing w:val="0"/>
          <w:w w:val="100"/>
          <w:sz w:val="24"/>
          <w:szCs w:val="24"/>
          <w:highlight w:val="none"/>
        </w:rPr>
        <w:t>12.3计量</w:t>
      </w:r>
      <w:bookmarkEnd w:id="453"/>
    </w:p>
    <w:p w14:paraId="7FF80E7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12.3.1 计量原则</w:t>
      </w:r>
    </w:p>
    <w:p w14:paraId="3BEB965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工程量计量按照合同约定的工程量计算规则、图纸及变更指示等进行计量。工程量计算规则应以相关的国家标准、行业标准等为依据，由合同当事人在专用合同条款中约定。</w:t>
      </w:r>
    </w:p>
    <w:p w14:paraId="36C34C0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12.3.2 计量周期</w:t>
      </w:r>
    </w:p>
    <w:p w14:paraId="2BAF8F3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除专用合同条款另有约定外，工程量的计量按月进行。</w:t>
      </w:r>
    </w:p>
    <w:p w14:paraId="683440C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12.3.3 单价合同的计量</w:t>
      </w:r>
    </w:p>
    <w:p w14:paraId="44DB095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除专用合同条款另有约定外，单价合同的计量按照本项约定执行：</w:t>
      </w:r>
    </w:p>
    <w:p w14:paraId="6451699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（1）承包人应于每月25日向监理人报送上月20日至当月19日已完成的工程量报告，并附具进度付款申请单、已完成工程量报表和有关资料。</w:t>
      </w:r>
    </w:p>
    <w:p w14:paraId="22C10EA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7274FD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（3）监理人未在收到承包人提交的工程量报表后的7天内完成审核的，承包人报送的工程量报告中的工程量视为承包人实际完成的工程量，据此计算工程价款。</w:t>
      </w:r>
    </w:p>
    <w:p w14:paraId="7016D17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12.3.4 总价合同的计量</w:t>
      </w:r>
    </w:p>
    <w:p w14:paraId="06E3A96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除专用合同条款另有约定外，按月计量支付的总价合同，按照本项约定执行：</w:t>
      </w:r>
    </w:p>
    <w:p w14:paraId="65A483A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（1）承包人应于每月25日向监理人报送上月20日至当月19日已完成的工程量报告，并附具进度付款申请单、已完成工程量报表和有关资料。</w:t>
      </w:r>
    </w:p>
    <w:p w14:paraId="3A98805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1CE34C0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（3）监理人未在收到承包人提交的工程量报表后的7天内完成复核的，承包人提交的工程量报告中的工程量视为承包人实际完成的工程量。</w:t>
      </w:r>
    </w:p>
    <w:p w14:paraId="0C8E964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12.3.5 总价合同采用支付分解表计量支付的，可以按照第12.3.4项〔总价合同的计量〕约定进行计量，但合同价款按照支付分解表进行支付。</w:t>
      </w:r>
    </w:p>
    <w:p w14:paraId="4EDCD8E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12.3.6 其他价格形式合同的计量</w:t>
      </w:r>
    </w:p>
    <w:p w14:paraId="262A313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合同当事人可在专用合同条款中约定其他价格形式合同的计量方式和程序。</w:t>
      </w:r>
    </w:p>
    <w:p w14:paraId="726737C6">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54" w:name="_Toc296503101"/>
      <w:bookmarkStart w:id="455" w:name="_Toc296346602"/>
      <w:bookmarkStart w:id="456" w:name="_Toc351203584"/>
      <w:r>
        <w:rPr>
          <w:rFonts w:hint="eastAsia" w:ascii="宋体" w:hAnsi="宋体" w:eastAsia="宋体" w:cs="宋体"/>
          <w:b w:val="0"/>
          <w:i w:val="0"/>
          <w:caps w:val="0"/>
          <w:color w:val="auto"/>
          <w:spacing w:val="0"/>
          <w:w w:val="100"/>
          <w:sz w:val="24"/>
          <w:szCs w:val="24"/>
          <w:highlight w:val="none"/>
        </w:rPr>
        <w:t>12.4工程进度款支</w:t>
      </w:r>
      <w:bookmarkEnd w:id="454"/>
      <w:bookmarkEnd w:id="455"/>
      <w:r>
        <w:rPr>
          <w:rFonts w:hint="eastAsia" w:ascii="宋体" w:hAnsi="宋体" w:eastAsia="宋体" w:cs="宋体"/>
          <w:b w:val="0"/>
          <w:i w:val="0"/>
          <w:caps w:val="0"/>
          <w:color w:val="auto"/>
          <w:spacing w:val="0"/>
          <w:w w:val="100"/>
          <w:sz w:val="24"/>
          <w:szCs w:val="24"/>
          <w:highlight w:val="none"/>
        </w:rPr>
        <w:t>付</w:t>
      </w:r>
      <w:bookmarkEnd w:id="456"/>
    </w:p>
    <w:p w14:paraId="0BA19A9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12.4</w:t>
      </w:r>
      <w:r>
        <w:rPr>
          <w:rFonts w:hint="eastAsia" w:ascii="宋体" w:hAnsi="宋体" w:eastAsia="宋体" w:cs="宋体"/>
          <w:b w:val="0"/>
          <w:i w:val="0"/>
          <w:caps w:val="0"/>
          <w:color w:val="auto"/>
          <w:spacing w:val="0"/>
          <w:w w:val="100"/>
          <w:kern w:val="0"/>
          <w:sz w:val="24"/>
          <w:szCs w:val="24"/>
          <w:highlight w:val="none"/>
        </w:rPr>
        <w:t>.1 付款周期</w:t>
      </w:r>
    </w:p>
    <w:p w14:paraId="7392663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除专用合同条款另有约定外，付款周期应按照第12.3.2项〔计量周期〕的约定与计量周期保持一致。</w:t>
      </w:r>
    </w:p>
    <w:p w14:paraId="227740B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12.4</w:t>
      </w:r>
      <w:r>
        <w:rPr>
          <w:rFonts w:hint="eastAsia" w:ascii="宋体" w:hAnsi="宋体" w:eastAsia="宋体" w:cs="宋体"/>
          <w:b w:val="0"/>
          <w:i w:val="0"/>
          <w:caps w:val="0"/>
          <w:color w:val="auto"/>
          <w:spacing w:val="0"/>
          <w:w w:val="100"/>
          <w:kern w:val="0"/>
          <w:sz w:val="24"/>
          <w:szCs w:val="24"/>
          <w:highlight w:val="none"/>
        </w:rPr>
        <w:t>.2 进度付款申请单的编制</w:t>
      </w:r>
    </w:p>
    <w:p w14:paraId="12785F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除专用合同条款另有约定外，进度付款申请单应包括下列内容：</w:t>
      </w:r>
    </w:p>
    <w:p w14:paraId="626EB77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（1）截至本次付款周期已完成工作对应的金额；</w:t>
      </w:r>
    </w:p>
    <w:p w14:paraId="140694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（2）根据第10条〔变更〕应增加和扣减的变更金额；</w:t>
      </w:r>
    </w:p>
    <w:p w14:paraId="63A8003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（3）根据第12.2款〔预付款〕约定应支付的预付款和扣减的返还预付款；</w:t>
      </w:r>
    </w:p>
    <w:p w14:paraId="04F144D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（4）根据第15.3款〔质量保证金〕约定应扣减的质量保证金；</w:t>
      </w:r>
    </w:p>
    <w:p w14:paraId="682CC23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（5）根据第19条〔索赔〕应增加和扣减的索赔金额；</w:t>
      </w:r>
    </w:p>
    <w:p w14:paraId="477BA16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（6）对已签发的进度款支付证书中出现错误的修正，应在本次进度付款中支付或扣除的金额；</w:t>
      </w:r>
    </w:p>
    <w:p w14:paraId="67D71A2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（7）根据合同约定应增加和扣减的其他金额。</w:t>
      </w:r>
    </w:p>
    <w:p w14:paraId="0D7FA4A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12.4.3 进度付款申请单的提交</w:t>
      </w:r>
    </w:p>
    <w:p w14:paraId="293D000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（1）单价合同进度付款申请单的提交</w:t>
      </w:r>
    </w:p>
    <w:p w14:paraId="2D6F1E0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4133860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（2）总价合同进度付款申请单的提交</w:t>
      </w:r>
    </w:p>
    <w:p w14:paraId="4FD7C32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总价合同按月计量支付的，承包人按照第12.3.4项〔总价合同的计量〕约定的时间按月向监理人提交进度付款申请单，并附上已完成工程量报表和有关资料。</w:t>
      </w:r>
    </w:p>
    <w:p w14:paraId="0F025EE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总价合同按支付分解表支付的，承包人应按照第12.4.6项〔支付分解表〕及第12.4.2项〔进度付款申请单的编制〕的约定向监理人提交进度付款申请单。</w:t>
      </w:r>
    </w:p>
    <w:p w14:paraId="1CFEF3D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（3）其他价格形式合同的进度付款申请单的提交</w:t>
      </w:r>
    </w:p>
    <w:p w14:paraId="419FD3B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合同当事人可在专用合同条款中约定其他价格形式合同的进度付款申请单的编制和提交程序。</w:t>
      </w:r>
    </w:p>
    <w:p w14:paraId="1500B90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12.4</w:t>
      </w:r>
      <w:r>
        <w:rPr>
          <w:rFonts w:hint="eastAsia" w:ascii="宋体" w:hAnsi="宋体" w:eastAsia="宋体" w:cs="宋体"/>
          <w:b w:val="0"/>
          <w:i w:val="0"/>
          <w:caps w:val="0"/>
          <w:color w:val="auto"/>
          <w:spacing w:val="0"/>
          <w:w w:val="100"/>
          <w:kern w:val="0"/>
          <w:sz w:val="24"/>
          <w:szCs w:val="24"/>
          <w:highlight w:val="none"/>
        </w:rPr>
        <w:t>.4 进度款审核和支付</w:t>
      </w:r>
    </w:p>
    <w:p w14:paraId="6FC7D88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326C4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5B565B8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3B786BB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（3）发包人签发进度款支付证书或临时进度款支付证书，不表明发包人已同意、批准或接受了承包人完成的相应部分的工作。</w:t>
      </w:r>
    </w:p>
    <w:p w14:paraId="2A56AAF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12.4.5 进度付款的修正</w:t>
      </w:r>
    </w:p>
    <w:p w14:paraId="244AE55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在对已签发的进度款支付证书进行阶段汇总和复核中发现错误、遗漏或重复的，发包人和承包人均有权提出修正申请。经发包人和承包人同意的修正，应在下期进度付款中支付或扣除。</w:t>
      </w:r>
    </w:p>
    <w:p w14:paraId="11DD9D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12.4.6 支付分解表</w:t>
      </w:r>
    </w:p>
    <w:p w14:paraId="0DEA33C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w:t>
      </w:r>
      <w:r>
        <w:rPr>
          <w:rFonts w:hint="eastAsia" w:ascii="宋体" w:hAnsi="宋体" w:eastAsia="宋体" w:cs="宋体"/>
          <w:b w:val="0"/>
          <w:i w:val="0"/>
          <w:caps w:val="0"/>
          <w:color w:val="auto"/>
          <w:spacing w:val="0"/>
          <w:w w:val="100"/>
          <w:kern w:val="0"/>
          <w:sz w:val="24"/>
          <w:szCs w:val="24"/>
          <w:highlight w:val="none"/>
          <w:lang w:val="en-US" w:eastAsia="zh-CN"/>
        </w:rPr>
        <w:t>.</w:t>
      </w:r>
      <w:r>
        <w:rPr>
          <w:rFonts w:hint="eastAsia" w:ascii="宋体" w:hAnsi="宋体" w:eastAsia="宋体" w:cs="宋体"/>
          <w:b w:val="0"/>
          <w:i w:val="0"/>
          <w:caps w:val="0"/>
          <w:color w:val="auto"/>
          <w:spacing w:val="0"/>
          <w:w w:val="100"/>
          <w:kern w:val="0"/>
          <w:sz w:val="24"/>
          <w:szCs w:val="24"/>
          <w:highlight w:val="none"/>
        </w:rPr>
        <w:t>支付分解表的编制要求</w:t>
      </w:r>
    </w:p>
    <w:p w14:paraId="68D919C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（1）支付分解表中所列的每期付款金额，应为第12.4.2项〔进度付款申请单的编制〕第（1）目的估算金额；</w:t>
      </w:r>
    </w:p>
    <w:p w14:paraId="7055E9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（2）实际进度与施工进度计划不一致的，合同当事人可按照第4.4款〔商定或确定〕修改支付分解表；</w:t>
      </w:r>
    </w:p>
    <w:p w14:paraId="3C60A7D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（3）不采用支付分解表的，承包人应向发包人和监理人提交按季度编制的支付估算分解表，用于支付参考。</w:t>
      </w:r>
    </w:p>
    <w:p w14:paraId="4CE1FD9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w:t>
      </w:r>
      <w:r>
        <w:rPr>
          <w:rFonts w:hint="eastAsia" w:ascii="宋体" w:hAnsi="宋体" w:eastAsia="宋体" w:cs="宋体"/>
          <w:b w:val="0"/>
          <w:i w:val="0"/>
          <w:caps w:val="0"/>
          <w:color w:val="auto"/>
          <w:spacing w:val="0"/>
          <w:w w:val="100"/>
          <w:kern w:val="0"/>
          <w:sz w:val="24"/>
          <w:szCs w:val="24"/>
          <w:highlight w:val="none"/>
          <w:lang w:val="en-US" w:eastAsia="zh-CN"/>
        </w:rPr>
        <w:t>.</w:t>
      </w:r>
      <w:r>
        <w:rPr>
          <w:rFonts w:hint="eastAsia" w:ascii="宋体" w:hAnsi="宋体" w:eastAsia="宋体" w:cs="宋体"/>
          <w:b w:val="0"/>
          <w:i w:val="0"/>
          <w:caps w:val="0"/>
          <w:color w:val="auto"/>
          <w:spacing w:val="0"/>
          <w:w w:val="100"/>
          <w:kern w:val="0"/>
          <w:sz w:val="24"/>
          <w:szCs w:val="24"/>
          <w:highlight w:val="none"/>
        </w:rPr>
        <w:t>总价合同支付分解表的编制与审批</w:t>
      </w:r>
    </w:p>
    <w:p w14:paraId="41A66ED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73ADF8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（2）监理人应在收到支付分解表后7天内完成审核并报送发包人。发包人应在收到经监理人审核的支付分解表后7天内完成审批，经发包人批准的支付分解表为有约束力的支付分解表。</w:t>
      </w:r>
    </w:p>
    <w:p w14:paraId="7FC6FAA0">
      <w:pPr>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（3）发包人逾期未完成支付分解表审批的，也未及时要求承包人进行修正和提供补充资料的，则承包人提交的支付分解表视为已经获得发包人批准。</w:t>
      </w:r>
    </w:p>
    <w:p w14:paraId="33F0296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w:t>
      </w:r>
      <w:r>
        <w:rPr>
          <w:rFonts w:hint="eastAsia" w:ascii="宋体" w:hAnsi="宋体" w:eastAsia="宋体" w:cs="宋体"/>
          <w:b w:val="0"/>
          <w:i w:val="0"/>
          <w:caps w:val="0"/>
          <w:color w:val="auto"/>
          <w:spacing w:val="0"/>
          <w:w w:val="100"/>
          <w:kern w:val="0"/>
          <w:sz w:val="24"/>
          <w:szCs w:val="24"/>
          <w:highlight w:val="none"/>
          <w:lang w:val="en-US" w:eastAsia="zh-CN"/>
        </w:rPr>
        <w:t>.</w:t>
      </w:r>
      <w:r>
        <w:rPr>
          <w:rFonts w:hint="eastAsia" w:ascii="宋体" w:hAnsi="宋体" w:eastAsia="宋体" w:cs="宋体"/>
          <w:b w:val="0"/>
          <w:i w:val="0"/>
          <w:caps w:val="0"/>
          <w:color w:val="auto"/>
          <w:spacing w:val="0"/>
          <w:w w:val="100"/>
          <w:kern w:val="0"/>
          <w:sz w:val="24"/>
          <w:szCs w:val="24"/>
          <w:highlight w:val="none"/>
        </w:rPr>
        <w:t>单价合同的总价项目支付分解表的编制与审批</w:t>
      </w:r>
    </w:p>
    <w:p w14:paraId="18B57E8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2A7A98BB">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57" w:name="_Toc351203585"/>
      <w:r>
        <w:rPr>
          <w:rFonts w:hint="eastAsia" w:ascii="宋体" w:hAnsi="宋体" w:eastAsia="宋体" w:cs="宋体"/>
          <w:b w:val="0"/>
          <w:i w:val="0"/>
          <w:caps w:val="0"/>
          <w:color w:val="auto"/>
          <w:spacing w:val="0"/>
          <w:w w:val="100"/>
          <w:sz w:val="24"/>
          <w:szCs w:val="24"/>
          <w:highlight w:val="none"/>
        </w:rPr>
        <w:t>12.5支付账户</w:t>
      </w:r>
      <w:bookmarkEnd w:id="457"/>
    </w:p>
    <w:p w14:paraId="22E22E2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发包人应将合同价款支付至合同协议书中约定的承包人账户。</w:t>
      </w:r>
    </w:p>
    <w:p w14:paraId="49924C5E">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58" w:name="_Toc351203586"/>
      <w:r>
        <w:rPr>
          <w:rFonts w:hint="eastAsia" w:ascii="宋体" w:hAnsi="宋体" w:eastAsia="宋体" w:cs="宋体"/>
          <w:b w:val="0"/>
          <w:i w:val="0"/>
          <w:caps w:val="0"/>
          <w:color w:val="auto"/>
          <w:spacing w:val="0"/>
          <w:w w:val="100"/>
          <w:sz w:val="24"/>
          <w:szCs w:val="24"/>
          <w:highlight w:val="none"/>
        </w:rPr>
        <w:t>13. 验收和工程试车</w:t>
      </w:r>
      <w:bookmarkEnd w:id="458"/>
    </w:p>
    <w:p w14:paraId="7FC1E9F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59" w:name="_Toc351203587"/>
      <w:r>
        <w:rPr>
          <w:rFonts w:hint="eastAsia" w:ascii="宋体" w:hAnsi="宋体" w:eastAsia="宋体" w:cs="宋体"/>
          <w:b w:val="0"/>
          <w:i w:val="0"/>
          <w:caps w:val="0"/>
          <w:color w:val="auto"/>
          <w:spacing w:val="0"/>
          <w:w w:val="100"/>
          <w:sz w:val="24"/>
          <w:szCs w:val="24"/>
          <w:highlight w:val="none"/>
        </w:rPr>
        <w:t>13.1分部分项工程验收</w:t>
      </w:r>
      <w:bookmarkEnd w:id="459"/>
    </w:p>
    <w:p w14:paraId="35AEA5B7">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13.1.1 分部分项工程质量应符合国家有关工程施工验收规范、标准及合同约定，承包人应按照施工组织设计的要求完成分部分项工程施工。</w:t>
      </w:r>
    </w:p>
    <w:p w14:paraId="29BF75F7">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13.1.2 除专用合同条款另有约定外，分部分项工程经承包人自检合格并具备验收条件的，承包人应提前48小时通知监理人进行验收。</w:t>
      </w:r>
      <w:r>
        <w:rPr>
          <w:rFonts w:hint="eastAsia" w:ascii="宋体" w:hAnsi="宋体" w:eastAsia="宋体" w:cs="宋体"/>
          <w:b w:val="0"/>
          <w:i w:val="0"/>
          <w:caps w:val="0"/>
          <w:color w:val="auto"/>
          <w:spacing w:val="0"/>
          <w:w w:val="100"/>
          <w:kern w:val="0"/>
          <w:sz w:val="24"/>
          <w:szCs w:val="24"/>
          <w:highlight w:val="none"/>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eastAsia="宋体" w:cs="宋体"/>
          <w:b w:val="0"/>
          <w:i w:val="0"/>
          <w:caps w:val="0"/>
          <w:color w:val="auto"/>
          <w:spacing w:val="0"/>
          <w:w w:val="100"/>
          <w:sz w:val="24"/>
          <w:szCs w:val="24"/>
          <w:highlight w:val="none"/>
        </w:rPr>
        <w:t>分部分项工程未经验收的，不得进入下一道工序施工。</w:t>
      </w:r>
    </w:p>
    <w:p w14:paraId="555B0E24">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分部分项工程的验收资料应当作为竣工资料的组成部分。</w:t>
      </w:r>
    </w:p>
    <w:p w14:paraId="6A4D999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60" w:name="_Toc351203588"/>
      <w:r>
        <w:rPr>
          <w:rFonts w:hint="eastAsia" w:ascii="宋体" w:hAnsi="宋体" w:eastAsia="宋体" w:cs="宋体"/>
          <w:b w:val="0"/>
          <w:i w:val="0"/>
          <w:caps w:val="0"/>
          <w:color w:val="auto"/>
          <w:spacing w:val="0"/>
          <w:w w:val="100"/>
          <w:sz w:val="24"/>
          <w:szCs w:val="24"/>
          <w:highlight w:val="none"/>
        </w:rPr>
        <w:t>13.2竣工验收</w:t>
      </w:r>
      <w:bookmarkEnd w:id="460"/>
    </w:p>
    <w:p w14:paraId="021F69F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13.2.1竣工验收条件</w:t>
      </w:r>
    </w:p>
    <w:p w14:paraId="5FED205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工程具备以下条件的，承包人可以申请竣工验收：</w:t>
      </w:r>
    </w:p>
    <w:p w14:paraId="6FB20F8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（1）除发包人同意的甩项工作和缺陷修补工作外，合同范围内的全部工程以及有关工作，包括合同要求的试验、试运行以及检验均已完成，并符合合同要求；</w:t>
      </w:r>
    </w:p>
    <w:p w14:paraId="16215CB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（2）已按合同约定编制了甩项工作和缺陷修补工作清单以及相应的施工计划；</w:t>
      </w:r>
    </w:p>
    <w:p w14:paraId="2070794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（3）已按合同约定的内容和份数备齐竣工资料。</w:t>
      </w:r>
    </w:p>
    <w:p w14:paraId="6D3C90A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13.2.2竣工验收程序</w:t>
      </w:r>
    </w:p>
    <w:p w14:paraId="3AC9B8A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除专用合同条款另有约定外，承包人申请竣工验收的，应当按照以下程序进行：</w:t>
      </w:r>
    </w:p>
    <w:p w14:paraId="7C15B9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7DB7FE0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65198FC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（3）竣工验收合格的，发包人应在验收合格后14天内向承包人签发工程接收证书。发包人无正当理由逾期不颁发工程接收证书的，自验收合格后第15天起视为已颁发工程接收证书。</w:t>
      </w:r>
    </w:p>
    <w:p w14:paraId="7A2F93D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085F362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0079BC2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1AB1C0C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13.2.3竣工日期</w:t>
      </w:r>
    </w:p>
    <w:p w14:paraId="5F53C30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61" w:name="#go14"/>
      <w:bookmarkEnd w:id="461"/>
      <w:r>
        <w:rPr>
          <w:rFonts w:hint="eastAsia" w:ascii="宋体" w:hAnsi="宋体" w:eastAsia="宋体" w:cs="宋体"/>
          <w:b w:val="0"/>
          <w:i w:val="0"/>
          <w:caps w:val="0"/>
          <w:color w:val="auto"/>
          <w:spacing w:val="0"/>
          <w:w w:val="100"/>
          <w:kern w:val="0"/>
          <w:sz w:val="24"/>
          <w:szCs w:val="24"/>
          <w:highlight w:val="none"/>
        </w:rPr>
        <w:t>收申请报告的日期为实际竣工日期；工程未经竣工验收，发包人擅自使用的，以转移占有工程之日为实际竣工日期。</w:t>
      </w:r>
    </w:p>
    <w:p w14:paraId="1350AEC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13.2.4 拒绝接收全部或部分工程</w:t>
      </w:r>
    </w:p>
    <w:p w14:paraId="65FEA01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554B67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13.2.5 移交、接收全部与部分工程</w:t>
      </w:r>
    </w:p>
    <w:p w14:paraId="7B66D0D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除专用合同条款另有约定外，合同当事人应当在颁发工程接收证书后7天内完成工程的移交。</w:t>
      </w:r>
    </w:p>
    <w:p w14:paraId="4A2C405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005F59C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4469E84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62" w:name="_Toc351203589"/>
      <w:r>
        <w:rPr>
          <w:rFonts w:hint="eastAsia" w:ascii="宋体" w:hAnsi="宋体" w:eastAsia="宋体" w:cs="宋体"/>
          <w:b w:val="0"/>
          <w:i w:val="0"/>
          <w:caps w:val="0"/>
          <w:color w:val="auto"/>
          <w:spacing w:val="0"/>
          <w:w w:val="100"/>
          <w:sz w:val="24"/>
          <w:szCs w:val="24"/>
          <w:highlight w:val="none"/>
        </w:rPr>
        <w:t>13.3工程试车</w:t>
      </w:r>
      <w:bookmarkEnd w:id="462"/>
    </w:p>
    <w:p w14:paraId="4493A40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13.3.1试车程序</w:t>
      </w:r>
    </w:p>
    <w:p w14:paraId="138B5A5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工程需要试车的，除专用合同条款另有约定外，试车内容应与承包人承包范围相一致，试车费用由承包人承担。工程试车应按如下程序进行：</w:t>
      </w:r>
    </w:p>
    <w:p w14:paraId="2C27C33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16E8CC9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2EB7D90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48CD857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13.3.2 试车中的责任</w:t>
      </w:r>
    </w:p>
    <w:p w14:paraId="7F99F31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750707F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4ACA99E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13.3.3 投料试车</w:t>
      </w:r>
    </w:p>
    <w:p w14:paraId="0794C7E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如需进行投料试车的，发包人应在工程竣工验收后组织投料试车。发包人要求在工程竣工验收前进行或需要承包人配合时，应征得承包人同意，并在专用合同条款中约定有关事项。</w:t>
      </w:r>
    </w:p>
    <w:p w14:paraId="0445DB3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6F11ABE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63" w:name="_Toc351203590"/>
      <w:r>
        <w:rPr>
          <w:rFonts w:hint="eastAsia" w:ascii="宋体" w:hAnsi="宋体" w:eastAsia="宋体" w:cs="宋体"/>
          <w:b w:val="0"/>
          <w:i w:val="0"/>
          <w:caps w:val="0"/>
          <w:color w:val="auto"/>
          <w:spacing w:val="0"/>
          <w:w w:val="100"/>
          <w:sz w:val="24"/>
          <w:szCs w:val="24"/>
          <w:highlight w:val="none"/>
        </w:rPr>
        <w:t>13.4提前交付单位工程的验收</w:t>
      </w:r>
      <w:bookmarkEnd w:id="463"/>
    </w:p>
    <w:p w14:paraId="5060264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13.4.1 发包人需要在工程竣工前使用单位工程的，或承包人提出提前交付已经竣工的单位工程且经发包人同意的，可进行单位工程验收，验收的程序按照第13.2款〔竣工验收〕的约定进行。</w:t>
      </w:r>
    </w:p>
    <w:p w14:paraId="0E7322D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031E008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13.4.2 发包人要求在工程竣工前交付单位工程，由此导致承包人费用增加和（或）工期延误的，由发包人承担由此增加的费用和（或）延误的工期，并支付承包人合理的利润。</w:t>
      </w:r>
    </w:p>
    <w:p w14:paraId="07AC0D63">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64" w:name="_Toc351203591"/>
      <w:r>
        <w:rPr>
          <w:rFonts w:hint="eastAsia" w:ascii="宋体" w:hAnsi="宋体" w:eastAsia="宋体" w:cs="宋体"/>
          <w:b w:val="0"/>
          <w:i w:val="0"/>
          <w:caps w:val="0"/>
          <w:color w:val="auto"/>
          <w:spacing w:val="0"/>
          <w:w w:val="100"/>
          <w:sz w:val="24"/>
          <w:szCs w:val="24"/>
          <w:highlight w:val="none"/>
        </w:rPr>
        <w:t>13.5 施工期运行</w:t>
      </w:r>
      <w:bookmarkEnd w:id="464"/>
    </w:p>
    <w:p w14:paraId="2A3F45E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6F0F83B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13.5.2 在施工期运行中发现工程或工程设备损坏或存在缺陷的，由承包人按第15.2款〔缺陷责任期〕约定进行修复。</w:t>
      </w:r>
    </w:p>
    <w:p w14:paraId="3B3947E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65" w:name="_Toc296346613"/>
      <w:bookmarkStart w:id="466" w:name="_Toc296503112"/>
      <w:bookmarkStart w:id="467" w:name="_Toc351203592"/>
      <w:r>
        <w:rPr>
          <w:rFonts w:hint="eastAsia" w:ascii="宋体" w:hAnsi="宋体" w:eastAsia="宋体" w:cs="宋体"/>
          <w:b w:val="0"/>
          <w:i w:val="0"/>
          <w:caps w:val="0"/>
          <w:color w:val="auto"/>
          <w:spacing w:val="0"/>
          <w:w w:val="100"/>
          <w:sz w:val="24"/>
          <w:szCs w:val="24"/>
          <w:highlight w:val="none"/>
        </w:rPr>
        <w:t>13.6 竣工退</w:t>
      </w:r>
      <w:bookmarkEnd w:id="465"/>
      <w:bookmarkEnd w:id="466"/>
      <w:r>
        <w:rPr>
          <w:rFonts w:hint="eastAsia" w:ascii="宋体" w:hAnsi="宋体" w:eastAsia="宋体" w:cs="宋体"/>
          <w:b w:val="0"/>
          <w:i w:val="0"/>
          <w:caps w:val="0"/>
          <w:color w:val="auto"/>
          <w:spacing w:val="0"/>
          <w:w w:val="100"/>
          <w:sz w:val="24"/>
          <w:szCs w:val="24"/>
          <w:highlight w:val="none"/>
        </w:rPr>
        <w:t>场</w:t>
      </w:r>
      <w:bookmarkEnd w:id="467"/>
    </w:p>
    <w:p w14:paraId="6577296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13.6.1 竣工退场</w:t>
      </w:r>
    </w:p>
    <w:p w14:paraId="108FF98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颁发工程接收证书后，承包人应按以下要求对施工现场进行清理：</w:t>
      </w:r>
    </w:p>
    <w:p w14:paraId="0387B4B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（1）施工现场内残留的垃圾已全部清除出场；</w:t>
      </w:r>
    </w:p>
    <w:p w14:paraId="46D54E0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（2）临时工程已拆除，场地已进行清理、平整或复原；</w:t>
      </w:r>
    </w:p>
    <w:p w14:paraId="710B67B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（3）按合同约定应撤离的人员、承包人施工设备和剩余的材料，包括废弃的施工设备和材料，已按计划撤离施工现场；</w:t>
      </w:r>
    </w:p>
    <w:p w14:paraId="0F13E99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（4）施工现场周边及其附近道路、河道的施工堆积物，已全部清理；</w:t>
      </w:r>
    </w:p>
    <w:p w14:paraId="62656A7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（5）施工现场其他场地清理工作已全部完成。</w:t>
      </w:r>
    </w:p>
    <w:p w14:paraId="2342CF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6F8677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13.6.2 地表还原</w:t>
      </w:r>
    </w:p>
    <w:p w14:paraId="07183DC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4852F09E">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68" w:name="_Toc351203593"/>
      <w:r>
        <w:rPr>
          <w:rFonts w:hint="eastAsia" w:ascii="宋体" w:hAnsi="宋体" w:eastAsia="宋体" w:cs="宋体"/>
          <w:b w:val="0"/>
          <w:i w:val="0"/>
          <w:caps w:val="0"/>
          <w:color w:val="auto"/>
          <w:spacing w:val="0"/>
          <w:w w:val="100"/>
          <w:sz w:val="24"/>
          <w:szCs w:val="24"/>
          <w:highlight w:val="none"/>
        </w:rPr>
        <w:t>14. 竣工结算</w:t>
      </w:r>
      <w:bookmarkEnd w:id="468"/>
    </w:p>
    <w:p w14:paraId="35DB959A">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69" w:name="_Toc351203594"/>
      <w:r>
        <w:rPr>
          <w:rFonts w:hint="eastAsia" w:ascii="宋体" w:hAnsi="宋体" w:eastAsia="宋体" w:cs="宋体"/>
          <w:b w:val="0"/>
          <w:i w:val="0"/>
          <w:caps w:val="0"/>
          <w:color w:val="auto"/>
          <w:spacing w:val="0"/>
          <w:w w:val="100"/>
          <w:sz w:val="24"/>
          <w:szCs w:val="24"/>
          <w:highlight w:val="none"/>
        </w:rPr>
        <w:t>14.1 竣工结算申请</w:t>
      </w:r>
      <w:bookmarkEnd w:id="469"/>
    </w:p>
    <w:p w14:paraId="1500F58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w:t>
      </w:r>
      <w:r>
        <w:rPr>
          <w:rFonts w:hint="eastAsia" w:ascii="宋体" w:hAnsi="宋体" w:eastAsia="宋体" w:cs="宋体"/>
          <w:b w:val="0"/>
          <w:i w:val="0"/>
          <w:caps w:val="0"/>
          <w:color w:val="auto"/>
          <w:spacing w:val="0"/>
          <w:w w:val="100"/>
          <w:sz w:val="24"/>
          <w:szCs w:val="24"/>
          <w:highlight w:val="none"/>
        </w:rPr>
        <w:t>承包人应在工程竣工验收合格后28天内向发包人和监理人提交竣工结算申请单，并提交完整的结算资料，有关竣工结算申请单的资料清单和份数等要求由合同当事人在专用合同条款中约定。</w:t>
      </w:r>
    </w:p>
    <w:p w14:paraId="3671786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除专用合同条款另有约定外，竣工结算申请单应包括以下内容：</w:t>
      </w:r>
    </w:p>
    <w:p w14:paraId="46E8A3A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（1）竣工结算合同价格；</w:t>
      </w:r>
    </w:p>
    <w:p w14:paraId="686219B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（2）发包人已支付承包人的款项；</w:t>
      </w:r>
    </w:p>
    <w:p w14:paraId="013D179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（3）应扣留的质量保证金。已缴纳履约保证金的或提供其他工程质量担保方式的除外； </w:t>
      </w:r>
    </w:p>
    <w:p w14:paraId="4586A7C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（4）发包人应支付承包人的合同价款。</w:t>
      </w:r>
    </w:p>
    <w:p w14:paraId="7C05135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70" w:name="_Toc351203595"/>
      <w:r>
        <w:rPr>
          <w:rFonts w:hint="eastAsia" w:ascii="宋体" w:hAnsi="宋体" w:eastAsia="宋体" w:cs="宋体"/>
          <w:b w:val="0"/>
          <w:i w:val="0"/>
          <w:caps w:val="0"/>
          <w:color w:val="auto"/>
          <w:spacing w:val="0"/>
          <w:w w:val="100"/>
          <w:sz w:val="24"/>
          <w:szCs w:val="24"/>
          <w:highlight w:val="none"/>
        </w:rPr>
        <w:t>14.2 竣工结算审核</w:t>
      </w:r>
      <w:bookmarkEnd w:id="470"/>
    </w:p>
    <w:p w14:paraId="1C9756E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eastAsia="宋体" w:cs="宋体"/>
          <w:b w:val="0"/>
          <w:i w:val="0"/>
          <w:caps w:val="0"/>
          <w:color w:val="auto"/>
          <w:spacing w:val="0"/>
          <w:w w:val="100"/>
          <w:sz w:val="24"/>
          <w:szCs w:val="24"/>
          <w:highlight w:val="none"/>
        </w:rPr>
        <w:t>发包人对竣工</w:t>
      </w:r>
      <w:r>
        <w:rPr>
          <w:rFonts w:hint="eastAsia" w:ascii="宋体" w:hAnsi="宋体" w:eastAsia="宋体" w:cs="宋体"/>
          <w:b w:val="0"/>
          <w:i w:val="0"/>
          <w:caps w:val="0"/>
          <w:color w:val="auto"/>
          <w:spacing w:val="0"/>
          <w:w w:val="100"/>
          <w:kern w:val="0"/>
          <w:sz w:val="24"/>
          <w:szCs w:val="24"/>
          <w:highlight w:val="none"/>
        </w:rPr>
        <w:t>结算</w:t>
      </w:r>
      <w:r>
        <w:rPr>
          <w:rFonts w:hint="eastAsia" w:ascii="宋体" w:hAnsi="宋体" w:eastAsia="宋体" w:cs="宋体"/>
          <w:b w:val="0"/>
          <w:i w:val="0"/>
          <w:caps w:val="0"/>
          <w:color w:val="auto"/>
          <w:spacing w:val="0"/>
          <w:w w:val="100"/>
          <w:sz w:val="24"/>
          <w:szCs w:val="24"/>
          <w:highlight w:val="none"/>
        </w:rPr>
        <w:t>申请单有异议的，有权要求承包人进行修正和提供补充资料，承包人应提交修正后的竣工</w:t>
      </w:r>
      <w:r>
        <w:rPr>
          <w:rFonts w:hint="eastAsia" w:ascii="宋体" w:hAnsi="宋体" w:eastAsia="宋体" w:cs="宋体"/>
          <w:b w:val="0"/>
          <w:i w:val="0"/>
          <w:caps w:val="0"/>
          <w:color w:val="auto"/>
          <w:spacing w:val="0"/>
          <w:w w:val="100"/>
          <w:kern w:val="0"/>
          <w:sz w:val="24"/>
          <w:szCs w:val="24"/>
          <w:highlight w:val="none"/>
        </w:rPr>
        <w:t>结算</w:t>
      </w:r>
      <w:r>
        <w:rPr>
          <w:rFonts w:hint="eastAsia" w:ascii="宋体" w:hAnsi="宋体" w:eastAsia="宋体" w:cs="宋体"/>
          <w:b w:val="0"/>
          <w:i w:val="0"/>
          <w:caps w:val="0"/>
          <w:color w:val="auto"/>
          <w:spacing w:val="0"/>
          <w:w w:val="100"/>
          <w:sz w:val="24"/>
          <w:szCs w:val="24"/>
          <w:highlight w:val="none"/>
        </w:rPr>
        <w:t>申请单。</w:t>
      </w:r>
    </w:p>
    <w:p w14:paraId="1656D69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684355E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06D183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03704265">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71" w:name="_Toc351203596"/>
      <w:r>
        <w:rPr>
          <w:rFonts w:hint="eastAsia" w:ascii="宋体" w:hAnsi="宋体" w:eastAsia="宋体" w:cs="宋体"/>
          <w:b w:val="0"/>
          <w:i w:val="0"/>
          <w:caps w:val="0"/>
          <w:color w:val="auto"/>
          <w:spacing w:val="0"/>
          <w:w w:val="100"/>
          <w:sz w:val="24"/>
          <w:szCs w:val="24"/>
          <w:highlight w:val="none"/>
        </w:rPr>
        <w:t>14.3 甩项竣工协议</w:t>
      </w:r>
      <w:bookmarkEnd w:id="471"/>
    </w:p>
    <w:p w14:paraId="6E2E4813">
      <w:pPr>
        <w:snapToGrid w:val="0"/>
        <w:spacing w:before="0" w:beforeAutospacing="0" w:after="0" w:afterAutospacing="0" w:line="360" w:lineRule="auto"/>
        <w:ind w:firstLine="470" w:firstLineChars="196"/>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p>
    <w:p w14:paraId="0928CC7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72" w:name="_Toc351203597"/>
      <w:r>
        <w:rPr>
          <w:rFonts w:hint="eastAsia" w:ascii="宋体" w:hAnsi="宋体" w:eastAsia="宋体" w:cs="宋体"/>
          <w:b w:val="0"/>
          <w:i w:val="0"/>
          <w:caps w:val="0"/>
          <w:color w:val="auto"/>
          <w:spacing w:val="0"/>
          <w:w w:val="100"/>
          <w:sz w:val="24"/>
          <w:szCs w:val="24"/>
          <w:highlight w:val="none"/>
        </w:rPr>
        <w:t>14.4 最终结清</w:t>
      </w:r>
      <w:bookmarkEnd w:id="472"/>
    </w:p>
    <w:p w14:paraId="3CAE991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14.4.1 最终结清申请单</w:t>
      </w:r>
    </w:p>
    <w:p w14:paraId="2B29F61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（1）除专用合同条款另有约定外，承包人应在缺陷责任期终止证书颁发后7天内，按专用合同条款约定的份数向发包人提交最终结清申请单，并提供相关证明材料。</w:t>
      </w:r>
    </w:p>
    <w:p w14:paraId="03DA08E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除专用合同条款另有约定外，</w:t>
      </w:r>
      <w:r>
        <w:rPr>
          <w:rFonts w:hint="eastAsia" w:ascii="宋体" w:hAnsi="宋体" w:eastAsia="宋体" w:cs="宋体"/>
          <w:b w:val="0"/>
          <w:i w:val="0"/>
          <w:caps w:val="0"/>
          <w:color w:val="auto"/>
          <w:spacing w:val="0"/>
          <w:w w:val="100"/>
          <w:kern w:val="0"/>
          <w:sz w:val="24"/>
          <w:szCs w:val="24"/>
          <w:highlight w:val="none"/>
        </w:rPr>
        <w:t>最终结清申请单</w:t>
      </w:r>
      <w:r>
        <w:rPr>
          <w:rFonts w:hint="eastAsia" w:ascii="宋体" w:hAnsi="宋体" w:eastAsia="宋体" w:cs="宋体"/>
          <w:b w:val="0"/>
          <w:i w:val="0"/>
          <w:caps w:val="0"/>
          <w:color w:val="auto"/>
          <w:spacing w:val="0"/>
          <w:w w:val="100"/>
          <w:sz w:val="24"/>
          <w:szCs w:val="24"/>
          <w:highlight w:val="none"/>
        </w:rPr>
        <w:t>应列明质量保证金、应扣除的质量保证金、缺陷责任期内发生的增减费用。</w:t>
      </w:r>
    </w:p>
    <w:p w14:paraId="77A36F4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（2）发包人对最终结清申请单内容有异议的，有权要求承包人进行修正和提供补充资料，承包人应向发包人提交修正后的最终结清申请单。</w:t>
      </w:r>
    </w:p>
    <w:p w14:paraId="5D99B18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14.4.2 最终结清证书和支付</w:t>
      </w:r>
    </w:p>
    <w:p w14:paraId="5C96ACA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49922D4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5422BD2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（3）承包人对发包人颁发的最终结清证书有异议的，按第20条〔争议解决〕的约定办理。</w:t>
      </w:r>
    </w:p>
    <w:p w14:paraId="54EAB50F">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73" w:name="_Toc351203598"/>
      <w:r>
        <w:rPr>
          <w:rFonts w:hint="eastAsia" w:ascii="宋体" w:hAnsi="宋体" w:eastAsia="宋体" w:cs="宋体"/>
          <w:b w:val="0"/>
          <w:i w:val="0"/>
          <w:caps w:val="0"/>
          <w:color w:val="auto"/>
          <w:spacing w:val="0"/>
          <w:w w:val="100"/>
          <w:sz w:val="24"/>
          <w:szCs w:val="24"/>
          <w:highlight w:val="none"/>
        </w:rPr>
        <w:t>15. 缺陷责任与保修</w:t>
      </w:r>
      <w:bookmarkEnd w:id="473"/>
    </w:p>
    <w:p w14:paraId="597A5313">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74" w:name="_Toc351203599"/>
      <w:bookmarkStart w:id="475" w:name="_Toc296346615"/>
      <w:bookmarkStart w:id="476" w:name="_Toc296503114"/>
      <w:r>
        <w:rPr>
          <w:rFonts w:hint="eastAsia" w:ascii="宋体" w:hAnsi="宋体" w:eastAsia="宋体" w:cs="宋体"/>
          <w:b w:val="0"/>
          <w:i w:val="0"/>
          <w:caps w:val="0"/>
          <w:color w:val="auto"/>
          <w:spacing w:val="0"/>
          <w:w w:val="100"/>
          <w:sz w:val="24"/>
          <w:szCs w:val="24"/>
          <w:highlight w:val="none"/>
        </w:rPr>
        <w:t>15.1 工程保修的原则</w:t>
      </w:r>
      <w:bookmarkEnd w:id="474"/>
    </w:p>
    <w:p w14:paraId="0A64F62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在工程移交发包人后，因承包人原因产生的质量缺陷，承包人应承担质量缺陷责任和保修义务。缺陷责任期届满，承包人仍应按合同约定的工程各部位保修年限承担保修义务。</w:t>
      </w:r>
    </w:p>
    <w:p w14:paraId="2E6EB2B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77" w:name="_Toc351203600"/>
      <w:r>
        <w:rPr>
          <w:rFonts w:hint="eastAsia" w:ascii="宋体" w:hAnsi="宋体" w:eastAsia="宋体" w:cs="宋体"/>
          <w:b w:val="0"/>
          <w:i w:val="0"/>
          <w:caps w:val="0"/>
          <w:color w:val="auto"/>
          <w:spacing w:val="0"/>
          <w:w w:val="100"/>
          <w:sz w:val="24"/>
          <w:szCs w:val="24"/>
          <w:highlight w:val="none"/>
        </w:rPr>
        <w:t>15.2 缺陷责任期</w:t>
      </w:r>
      <w:bookmarkEnd w:id="475"/>
      <w:bookmarkEnd w:id="476"/>
      <w:bookmarkEnd w:id="477"/>
    </w:p>
    <w:p w14:paraId="22FFCC4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15.2.1 缺陷责任期从工程通过竣工验收之日起计算，合同当事人应在专用合同条款约定缺陷责任期的具体期限，但该期限最长不超过24个月。</w:t>
      </w:r>
    </w:p>
    <w:p w14:paraId="620A813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393A0D9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宋体" w:hAnsi="宋体" w:eastAsia="宋体" w:cs="宋体"/>
          <w:b w:val="0"/>
          <w:bCs/>
          <w:i w:val="0"/>
          <w:caps w:val="0"/>
          <w:color w:val="auto"/>
          <w:spacing w:val="0"/>
          <w:w w:val="100"/>
          <w:sz w:val="24"/>
          <w:szCs w:val="24"/>
          <w:highlight w:val="none"/>
        </w:rPr>
        <w:t>包人延长缺陷责任期，</w:t>
      </w:r>
      <w:r>
        <w:rPr>
          <w:rFonts w:hint="eastAsia" w:ascii="宋体" w:hAnsi="宋体" w:eastAsia="宋体" w:cs="宋体"/>
          <w:b w:val="0"/>
          <w:i w:val="0"/>
          <w:caps w:val="0"/>
          <w:color w:val="auto"/>
          <w:spacing w:val="0"/>
          <w:w w:val="100"/>
          <w:kern w:val="0"/>
          <w:sz w:val="24"/>
          <w:szCs w:val="24"/>
          <w:highlight w:val="none"/>
        </w:rPr>
        <w:t>并应在原缺陷责任期届满前发出延长通知</w:t>
      </w:r>
      <w:r>
        <w:rPr>
          <w:rFonts w:hint="eastAsia" w:ascii="宋体" w:hAnsi="宋体" w:eastAsia="宋体" w:cs="宋体"/>
          <w:b w:val="0"/>
          <w:i w:val="0"/>
          <w:caps w:val="0"/>
          <w:color w:val="auto"/>
          <w:spacing w:val="0"/>
          <w:w w:val="100"/>
          <w:kern w:val="0"/>
          <w:sz w:val="24"/>
          <w:szCs w:val="24"/>
          <w:highlight w:val="none"/>
          <w:lang w:eastAsia="zh-CN"/>
        </w:rPr>
        <w:t>。</w:t>
      </w:r>
      <w:r>
        <w:rPr>
          <w:rFonts w:hint="eastAsia" w:ascii="宋体" w:hAnsi="宋体" w:eastAsia="宋体" w:cs="宋体"/>
          <w:b w:val="0"/>
          <w:bCs/>
          <w:i w:val="0"/>
          <w:caps w:val="0"/>
          <w:color w:val="auto"/>
          <w:spacing w:val="0"/>
          <w:w w:val="100"/>
          <w:sz w:val="24"/>
          <w:szCs w:val="24"/>
          <w:highlight w:val="none"/>
        </w:rPr>
        <w:t>但缺陷责任期</w:t>
      </w:r>
      <w:r>
        <w:rPr>
          <w:rFonts w:hint="eastAsia" w:ascii="宋体" w:hAnsi="宋体" w:eastAsia="宋体" w:cs="宋体"/>
          <w:b w:val="0"/>
          <w:bCs/>
          <w:i w:val="0"/>
          <w:caps w:val="0"/>
          <w:color w:val="auto"/>
          <w:spacing w:val="0"/>
          <w:w w:val="100"/>
          <w:sz w:val="24"/>
          <w:szCs w:val="24"/>
          <w:highlight w:val="none"/>
          <w:lang w:eastAsia="zh-CN"/>
        </w:rPr>
        <w:t>（含延长部分）</w:t>
      </w:r>
      <w:r>
        <w:rPr>
          <w:rFonts w:hint="eastAsia" w:ascii="宋体" w:hAnsi="宋体" w:eastAsia="宋体" w:cs="宋体"/>
          <w:b w:val="0"/>
          <w:bCs/>
          <w:i w:val="0"/>
          <w:caps w:val="0"/>
          <w:color w:val="auto"/>
          <w:spacing w:val="0"/>
          <w:w w:val="100"/>
          <w:sz w:val="24"/>
          <w:szCs w:val="24"/>
          <w:highlight w:val="none"/>
        </w:rPr>
        <w:t>最长</w:t>
      </w:r>
      <w:r>
        <w:rPr>
          <w:rFonts w:hint="eastAsia" w:ascii="宋体" w:hAnsi="宋体" w:eastAsia="宋体" w:cs="宋体"/>
          <w:b w:val="0"/>
          <w:i w:val="0"/>
          <w:caps w:val="0"/>
          <w:color w:val="auto"/>
          <w:spacing w:val="0"/>
          <w:w w:val="100"/>
          <w:kern w:val="0"/>
          <w:sz w:val="24"/>
          <w:szCs w:val="24"/>
          <w:highlight w:val="none"/>
        </w:rPr>
        <w:t>不能超过24个月。</w:t>
      </w:r>
    </w:p>
    <w:p w14:paraId="452EA65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由他人原因造成的缺陷，发包人负责组织维修，承包人不承担费用，且发包人不得从保证金中扣除费用。</w:t>
      </w:r>
    </w:p>
    <w:p w14:paraId="624EAAE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15.2.3 任何一项缺陷或损坏修复后，经检查证明其影响了工程或工程设备的使用性能，承包人应重新进行合同约定的试验和试运行，试验和试运行的全部费用应由责任方承担。</w:t>
      </w:r>
    </w:p>
    <w:p w14:paraId="0BD525F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090EF4AE">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78" w:name="_Toc351203601"/>
      <w:r>
        <w:rPr>
          <w:rFonts w:hint="eastAsia" w:ascii="宋体" w:hAnsi="宋体" w:eastAsia="宋体" w:cs="宋体"/>
          <w:b w:val="0"/>
          <w:i w:val="0"/>
          <w:caps w:val="0"/>
          <w:color w:val="auto"/>
          <w:spacing w:val="0"/>
          <w:w w:val="100"/>
          <w:sz w:val="24"/>
          <w:szCs w:val="24"/>
          <w:highlight w:val="none"/>
        </w:rPr>
        <w:t>15.3 质量保证金</w:t>
      </w:r>
      <w:bookmarkEnd w:id="478"/>
    </w:p>
    <w:p w14:paraId="15380BD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经合同当事人协商一致扣留质量保证金的，应在专用合同条款中予以明确。</w:t>
      </w:r>
    </w:p>
    <w:p w14:paraId="5B1C299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在工程项目竣工前，承包人已经提供履约担保的，发包人不得同时预留工程质量保证金。</w:t>
      </w:r>
    </w:p>
    <w:p w14:paraId="660277C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p>
    <w:p w14:paraId="14EB27D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15.3.1 承包人提供质量保证金的方式</w:t>
      </w:r>
    </w:p>
    <w:p w14:paraId="67A55B1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承包人提供质量保证金有以下三种方式：</w:t>
      </w:r>
    </w:p>
    <w:p w14:paraId="545B90F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（1）质量保证金保函； </w:t>
      </w:r>
    </w:p>
    <w:p w14:paraId="700DCAE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（2）相应比例的工程款；</w:t>
      </w:r>
    </w:p>
    <w:p w14:paraId="20EDFD0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（3）双方约定的其他方式。</w:t>
      </w:r>
    </w:p>
    <w:p w14:paraId="421D0EF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除专用合同条款另有约定外，质量保证金原则上采用上述第（1）种方式。</w:t>
      </w:r>
    </w:p>
    <w:p w14:paraId="5922E5A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15.3.2 质量保证金的扣留</w:t>
      </w:r>
    </w:p>
    <w:p w14:paraId="771708E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质量保证金的扣留有以下三种方式：</w:t>
      </w:r>
    </w:p>
    <w:p w14:paraId="7D2CA21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（1）在支付工程进度款时逐次扣留，在此情形下，质量保证金的计算基数不包括预付款的支付、扣回以及价格调整的金额；</w:t>
      </w:r>
    </w:p>
    <w:p w14:paraId="6073E41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（2）工</w:t>
      </w:r>
      <w:bookmarkStart w:id="479" w:name="#go6"/>
      <w:bookmarkEnd w:id="479"/>
      <w:r>
        <w:rPr>
          <w:rFonts w:hint="eastAsia" w:ascii="宋体" w:hAnsi="宋体" w:eastAsia="宋体" w:cs="宋体"/>
          <w:b w:val="0"/>
          <w:i w:val="0"/>
          <w:caps w:val="0"/>
          <w:color w:val="auto"/>
          <w:spacing w:val="0"/>
          <w:w w:val="100"/>
          <w:kern w:val="0"/>
          <w:sz w:val="24"/>
          <w:szCs w:val="24"/>
          <w:highlight w:val="none"/>
        </w:rPr>
        <w:t>程竣工结算时一次性扣留质量保证金；</w:t>
      </w:r>
    </w:p>
    <w:p w14:paraId="4E12FB4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（3）双方约定的其他扣留方式。</w:t>
      </w:r>
    </w:p>
    <w:p w14:paraId="10AE804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除专用合同条款另有约定外，质量保证金的扣留原则上采用上述第（1）种方式。</w:t>
      </w:r>
    </w:p>
    <w:p w14:paraId="7F626AB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w:t>
      </w:r>
      <w:bookmarkStart w:id="480" w:name="#go4"/>
      <w:bookmarkEnd w:id="480"/>
      <w:r>
        <w:rPr>
          <w:rFonts w:hint="eastAsia" w:ascii="宋体" w:hAnsi="宋体" w:eastAsia="宋体" w:cs="宋体"/>
          <w:b w:val="0"/>
          <w:i w:val="0"/>
          <w:caps w:val="0"/>
          <w:color w:val="auto"/>
          <w:spacing w:val="0"/>
          <w:w w:val="100"/>
          <w:kern w:val="0"/>
          <w:sz w:val="24"/>
          <w:szCs w:val="24"/>
          <w:highlight w:val="none"/>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63411DB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发包人在退还质量保证金的同时按照中国人民银行发布的同期同类贷款基准利率支付利息。</w:t>
      </w:r>
    </w:p>
    <w:p w14:paraId="2BA3C8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15.3.3 </w:t>
      </w:r>
      <w:r>
        <w:rPr>
          <w:rFonts w:hint="eastAsia" w:ascii="宋体" w:hAnsi="宋体" w:eastAsia="宋体" w:cs="宋体"/>
          <w:b w:val="0"/>
          <w:i w:val="0"/>
          <w:caps w:val="0"/>
          <w:color w:val="auto"/>
          <w:spacing w:val="0"/>
          <w:w w:val="100"/>
          <w:sz w:val="24"/>
          <w:szCs w:val="24"/>
          <w:highlight w:val="none"/>
        </w:rPr>
        <w:t>质量保证金</w:t>
      </w:r>
      <w:r>
        <w:rPr>
          <w:rFonts w:hint="eastAsia" w:ascii="宋体" w:hAnsi="宋体" w:eastAsia="宋体" w:cs="宋体"/>
          <w:b w:val="0"/>
          <w:i w:val="0"/>
          <w:caps w:val="0"/>
          <w:color w:val="auto"/>
          <w:spacing w:val="0"/>
          <w:w w:val="100"/>
          <w:kern w:val="0"/>
          <w:sz w:val="24"/>
          <w:szCs w:val="24"/>
          <w:highlight w:val="none"/>
        </w:rPr>
        <w:t>的退还</w:t>
      </w:r>
    </w:p>
    <w:p w14:paraId="433E8C0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缺陷责任期内，承包人认真履行合同约定的责任，到期后，承包人可向发包人申请返还保证金。</w:t>
      </w:r>
    </w:p>
    <w:p w14:paraId="1F3D2DF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4301FDB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发包人和承包人对保证金预留、返还以及工程维修质量、费用有争议的，按本合同第20条约定的争议和纠纷解决程序处理。</w:t>
      </w:r>
    </w:p>
    <w:p w14:paraId="0B6FE93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81" w:name="_Toc351203602"/>
      <w:r>
        <w:rPr>
          <w:rFonts w:hint="eastAsia" w:ascii="宋体" w:hAnsi="宋体" w:eastAsia="宋体" w:cs="宋体"/>
          <w:b w:val="0"/>
          <w:i w:val="0"/>
          <w:caps w:val="0"/>
          <w:color w:val="auto"/>
          <w:spacing w:val="0"/>
          <w:w w:val="100"/>
          <w:sz w:val="24"/>
          <w:szCs w:val="24"/>
          <w:highlight w:val="none"/>
        </w:rPr>
        <w:t>15.4 保修</w:t>
      </w:r>
      <w:bookmarkEnd w:id="481"/>
    </w:p>
    <w:p w14:paraId="35DD37C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15.4.1保修责任</w:t>
      </w:r>
    </w:p>
    <w:p w14:paraId="7D05CCD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2F40654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发包人未经竣工验收擅自使用工程的，保修期自</w:t>
      </w:r>
      <w:r>
        <w:rPr>
          <w:rFonts w:hint="eastAsia" w:ascii="宋体" w:hAnsi="宋体" w:eastAsia="宋体" w:cs="宋体"/>
          <w:b w:val="0"/>
          <w:i w:val="0"/>
          <w:caps w:val="0"/>
          <w:color w:val="auto"/>
          <w:spacing w:val="0"/>
          <w:w w:val="100"/>
          <w:kern w:val="0"/>
          <w:sz w:val="24"/>
          <w:szCs w:val="24"/>
          <w:highlight w:val="none"/>
        </w:rPr>
        <w:t>转移占有之日起算</w:t>
      </w:r>
      <w:r>
        <w:rPr>
          <w:rFonts w:hint="eastAsia" w:ascii="宋体" w:hAnsi="宋体" w:eastAsia="宋体" w:cs="宋体"/>
          <w:b w:val="0"/>
          <w:i w:val="0"/>
          <w:caps w:val="0"/>
          <w:color w:val="auto"/>
          <w:spacing w:val="0"/>
          <w:w w:val="100"/>
          <w:sz w:val="24"/>
          <w:szCs w:val="24"/>
          <w:highlight w:val="none"/>
        </w:rPr>
        <w:t>。</w:t>
      </w:r>
    </w:p>
    <w:p w14:paraId="36BC4A1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15.4.2 修复费用</w:t>
      </w:r>
    </w:p>
    <w:p w14:paraId="7499246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保修期内，修复的费用按照以下约定处理：</w:t>
      </w:r>
    </w:p>
    <w:p w14:paraId="2198D30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（1）保修期内，因承包人原因造成工程的缺陷、损坏，承包人应负责修复，并承担修复的费用以及因工程的缺陷、损坏造成的人身伤害和财产损失；</w:t>
      </w:r>
    </w:p>
    <w:p w14:paraId="3B86BE7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（2）保修期内，因发包人使用不当造成工程的缺陷、损坏，可以委托承包人修复，但发包人应承担修复的费用，并支付承包人合理利润；</w:t>
      </w:r>
    </w:p>
    <w:p w14:paraId="018D6CA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（3）因其他原因造成工程的缺陷、损坏，可以委托承包人修复，发包人应承担修复的费用，并支付承包人合理的利润，因工程的缺陷、损坏造成的人身伤害和财产损失由责任方承担。</w:t>
      </w:r>
    </w:p>
    <w:p w14:paraId="716331D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15.4.3 修复通知</w:t>
      </w:r>
    </w:p>
    <w:p w14:paraId="65FEAE7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D47DD7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15.4.4 未能修复</w:t>
      </w:r>
    </w:p>
    <w:p w14:paraId="3C3CB27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337530D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15.4.5 承包人出入权</w:t>
      </w:r>
    </w:p>
    <w:p w14:paraId="7C47765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61C9CD8B">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82" w:name="_Toc351203603"/>
      <w:r>
        <w:rPr>
          <w:rFonts w:hint="eastAsia" w:ascii="宋体" w:hAnsi="宋体" w:eastAsia="宋体" w:cs="宋体"/>
          <w:b w:val="0"/>
          <w:i w:val="0"/>
          <w:caps w:val="0"/>
          <w:color w:val="auto"/>
          <w:spacing w:val="0"/>
          <w:w w:val="100"/>
          <w:sz w:val="24"/>
          <w:szCs w:val="24"/>
          <w:highlight w:val="none"/>
        </w:rPr>
        <w:t>16. 违约</w:t>
      </w:r>
      <w:bookmarkEnd w:id="482"/>
    </w:p>
    <w:p w14:paraId="0DA57777">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83" w:name="_Toc296346630"/>
      <w:bookmarkStart w:id="484" w:name="_Toc296503129"/>
      <w:bookmarkStart w:id="485" w:name="_Toc351203604"/>
      <w:r>
        <w:rPr>
          <w:rFonts w:hint="eastAsia" w:ascii="宋体" w:hAnsi="宋体" w:eastAsia="宋体" w:cs="宋体"/>
          <w:b w:val="0"/>
          <w:i w:val="0"/>
          <w:caps w:val="0"/>
          <w:color w:val="auto"/>
          <w:spacing w:val="0"/>
          <w:w w:val="100"/>
          <w:sz w:val="24"/>
          <w:szCs w:val="24"/>
          <w:highlight w:val="none"/>
        </w:rPr>
        <w:t>16.1 发</w:t>
      </w:r>
      <w:bookmarkEnd w:id="483"/>
      <w:bookmarkEnd w:id="484"/>
      <w:r>
        <w:rPr>
          <w:rFonts w:hint="eastAsia" w:ascii="宋体" w:hAnsi="宋体" w:eastAsia="宋体" w:cs="宋体"/>
          <w:b w:val="0"/>
          <w:i w:val="0"/>
          <w:caps w:val="0"/>
          <w:color w:val="auto"/>
          <w:spacing w:val="0"/>
          <w:w w:val="100"/>
          <w:sz w:val="24"/>
          <w:szCs w:val="24"/>
          <w:highlight w:val="none"/>
        </w:rPr>
        <w:t>包人违约</w:t>
      </w:r>
      <w:bookmarkEnd w:id="485"/>
    </w:p>
    <w:p w14:paraId="3909955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16.1.1 发包人违约的情形</w:t>
      </w:r>
    </w:p>
    <w:p w14:paraId="44F7CBD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在合同履行过程中发生的下列情形，属于发包人违约：</w:t>
      </w:r>
    </w:p>
    <w:p w14:paraId="5E76145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（1）因发包人原因未能在计划开工日期前7天内下达开工通知的；</w:t>
      </w:r>
    </w:p>
    <w:p w14:paraId="2DC0D5C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（2）因发包人原因未能按合同约定支付合同价款的；</w:t>
      </w:r>
    </w:p>
    <w:p w14:paraId="7049423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（3）发包人违反第10.1款〔变更的范围〕第（2）项约定，自行实施被取消的工作或转由他人实施的；</w:t>
      </w:r>
    </w:p>
    <w:p w14:paraId="745D1E1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（4）发包人提供的材料、工程设备的规格、数量或质量不符合合同约定，或因发包人原因导致交货日期延误或交货地点变更等情况的；</w:t>
      </w:r>
    </w:p>
    <w:p w14:paraId="6C508B0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（5）因发包人违反合同约定造成暂停施工的；</w:t>
      </w:r>
    </w:p>
    <w:p w14:paraId="332199F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（6）发包人无正当理由没有在约定期限内发出复工指示，导致承包人无法复工的；</w:t>
      </w:r>
    </w:p>
    <w:p w14:paraId="3DD8CCA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（7）发包人明确表示或者以其行为表明不履行合同主要义务的；</w:t>
      </w:r>
    </w:p>
    <w:p w14:paraId="43DCCC0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（8）发包人未能按照合同约定履行其他义务的。</w:t>
      </w:r>
    </w:p>
    <w:p w14:paraId="441F218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11256C1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16.1.2 发包人违约的责任</w:t>
      </w:r>
    </w:p>
    <w:p w14:paraId="4F11592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发包人应承担因其违约给承包人增加的费用和（或）延误的工期，并支付承包人合理的利润。此外，合同当事人可在专用合同条款中另行约定发包人违约责任的承担方式和计算方法。</w:t>
      </w:r>
    </w:p>
    <w:p w14:paraId="13DE02A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16.1.3 因发包人违约解除合同</w:t>
      </w:r>
    </w:p>
    <w:p w14:paraId="027E64C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3411C7A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16.1.4 因发包人违约解除合同后的付款</w:t>
      </w:r>
    </w:p>
    <w:p w14:paraId="795965F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承包人按照本款约定解除合同的，发包人应在解除合同后28天内支付下列款项，并解除履约担保：</w:t>
      </w:r>
    </w:p>
    <w:p w14:paraId="534CA2F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（1）合同解除前所完成工作的价款；</w:t>
      </w:r>
    </w:p>
    <w:p w14:paraId="67F088B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（2）承包人为工程施工订购并已付款的材料、工程设备和其他物品的价款；</w:t>
      </w:r>
    </w:p>
    <w:p w14:paraId="4DA5FDE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（3）承包人撤离施工现场以及遣散承包人人员的款项；</w:t>
      </w:r>
    </w:p>
    <w:p w14:paraId="06161D0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（4）按照合同约定在合同解除前应支付的违约金；</w:t>
      </w:r>
    </w:p>
    <w:p w14:paraId="3FDBBC3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（5）按照合同约定应当支付给承包人的其他款项；</w:t>
      </w:r>
    </w:p>
    <w:p w14:paraId="6504926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（6）按照合同约定应退还的质量保证金；</w:t>
      </w:r>
    </w:p>
    <w:p w14:paraId="5131E88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（7）因解除合同给承包人造成的损失。</w:t>
      </w:r>
    </w:p>
    <w:p w14:paraId="4B05DEE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合同当事人未能就解除合同后的结清达成一致的，按照第20条〔争议解决〕的约定处理。</w:t>
      </w:r>
    </w:p>
    <w:p w14:paraId="622AA4D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承包人应妥善做好已完工程和与工程有关的已购材料、工程设备的保护和移交工作，并将施工设备和人员撤出施工现场，发包人应为承包人撤出提供必要条件。</w:t>
      </w:r>
    </w:p>
    <w:p w14:paraId="6E32ECA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86" w:name="_Toc351203605"/>
      <w:r>
        <w:rPr>
          <w:rFonts w:hint="eastAsia" w:ascii="宋体" w:hAnsi="宋体" w:eastAsia="宋体" w:cs="宋体"/>
          <w:b w:val="0"/>
          <w:i w:val="0"/>
          <w:caps w:val="0"/>
          <w:color w:val="auto"/>
          <w:spacing w:val="0"/>
          <w:w w:val="100"/>
          <w:sz w:val="24"/>
          <w:szCs w:val="24"/>
          <w:highlight w:val="none"/>
        </w:rPr>
        <w:t>16.2 承包人违约</w:t>
      </w:r>
      <w:bookmarkEnd w:id="486"/>
    </w:p>
    <w:p w14:paraId="157F6B0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16.2.1 承包人违约的情形</w:t>
      </w:r>
    </w:p>
    <w:p w14:paraId="4BB05C6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在合同履行过程中发生的下列情形，属于承包人违约：</w:t>
      </w:r>
    </w:p>
    <w:p w14:paraId="5F647CF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（1）承包人违反合同约定进行转包或违法分包的；</w:t>
      </w:r>
    </w:p>
    <w:p w14:paraId="5A9179E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（2）承包人违反合同约定采购和使用不合格的材料和工程设备的；</w:t>
      </w:r>
    </w:p>
    <w:p w14:paraId="78988BF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（3）因承包人原因导致工程质量不符合合同要求的； </w:t>
      </w:r>
    </w:p>
    <w:p w14:paraId="0B74F17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（4）承包人违反第8.9款〔材料与设备专用要求〕的约定，未经批准，私自将已按照合同约定进入施工现场的材料或设备撤离施工现场的；</w:t>
      </w:r>
    </w:p>
    <w:p w14:paraId="36847F0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（5）承包人未能按施工进度计划及时完成合同约定的工作，造成工期延误的；</w:t>
      </w:r>
    </w:p>
    <w:p w14:paraId="7B0E3D9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（6）承包人在缺陷责任期及保修期内，未能在合理期限对工程缺陷进行修复，或拒绝按发包人要求进行修复的；</w:t>
      </w:r>
    </w:p>
    <w:p w14:paraId="29B2E25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（7）承包人明确表示或者以其行为表明不履行合同主要义务的；</w:t>
      </w:r>
    </w:p>
    <w:p w14:paraId="0622737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（8）承包人未能按照合同约定履行其他义务的。</w:t>
      </w:r>
    </w:p>
    <w:p w14:paraId="4379EC2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承包人发生除本项第（7）目约定以外的其他违约情况时，监理人可向承包人发出整改通知，要求其在指定的期限内改正。</w:t>
      </w:r>
    </w:p>
    <w:p w14:paraId="6CFCB51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16.2.2 承包人违约的责任</w:t>
      </w:r>
    </w:p>
    <w:p w14:paraId="548F5AC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承包人应承担因其违约行为而增加的费用和（或）延误的工期。此外，合同当事人可在专用合同条款中另行约定承包人违约责任的承担方式和计算方法。</w:t>
      </w:r>
    </w:p>
    <w:p w14:paraId="23D916A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16.2.3 因承包人违约解除合同</w:t>
      </w:r>
    </w:p>
    <w:p w14:paraId="4EE84EB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42B95C2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16.2.4因承包人违约解除合同后的处理</w:t>
      </w:r>
    </w:p>
    <w:p w14:paraId="7FE36FF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因承包人原因导致合同解除的，则合同当事人应在合同解除后28天内完成估价、付款和清算，并按以下约定执行：</w:t>
      </w:r>
    </w:p>
    <w:p w14:paraId="65FC8AC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（1）合同解除后，按第4.4款〔商定或确定〕商定或确定承包人实际完成工作对应的合同价款，以及承包人已提供的材料、工程设备、施工设备和临时工程等的价值；</w:t>
      </w:r>
    </w:p>
    <w:p w14:paraId="7BF2955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（2）合同解除后，承包人应支付的违约金；</w:t>
      </w:r>
    </w:p>
    <w:p w14:paraId="094D81B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（3）合同解除后，因解除合同给发包人造成的损失；</w:t>
      </w:r>
    </w:p>
    <w:p w14:paraId="416A53C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（4）合同解除后，承包人应按照发包人要求和监理人的指示完成现场的清理和撤离；</w:t>
      </w:r>
    </w:p>
    <w:p w14:paraId="63269BB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（5）发包人和承包人应在合同解除后进行清算，出具最终结清付款证书，结清全部款项。</w:t>
      </w:r>
    </w:p>
    <w:p w14:paraId="7B39405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514C9B7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16.2.5采购合同权益转让</w:t>
      </w:r>
    </w:p>
    <w:p w14:paraId="69E94CD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4010FC3">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87" w:name="_Toc351203606"/>
      <w:r>
        <w:rPr>
          <w:rFonts w:hint="eastAsia" w:ascii="宋体" w:hAnsi="宋体" w:eastAsia="宋体" w:cs="宋体"/>
          <w:b w:val="0"/>
          <w:i w:val="0"/>
          <w:caps w:val="0"/>
          <w:color w:val="auto"/>
          <w:spacing w:val="0"/>
          <w:w w:val="100"/>
          <w:sz w:val="24"/>
          <w:szCs w:val="24"/>
          <w:highlight w:val="none"/>
        </w:rPr>
        <w:t>16.3 第三人造成的违约</w:t>
      </w:r>
      <w:bookmarkEnd w:id="487"/>
    </w:p>
    <w:p w14:paraId="1F6EF40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在履行合同过程中，一方当事人因第三人的原因造成违约的，应当向对方当事人承担违约责任。一方当事人和第三人之间的纠纷，依照法律规定或者按照约定解决。</w:t>
      </w:r>
    </w:p>
    <w:p w14:paraId="2F4A1F82">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88" w:name="_Toc351203607"/>
      <w:bookmarkStart w:id="489" w:name="_Toc296346617"/>
      <w:bookmarkStart w:id="490" w:name="_Toc337558823"/>
      <w:bookmarkStart w:id="491" w:name="_Toc296503116"/>
      <w:r>
        <w:rPr>
          <w:rFonts w:hint="eastAsia" w:ascii="宋体" w:hAnsi="宋体" w:eastAsia="宋体" w:cs="宋体"/>
          <w:b w:val="0"/>
          <w:i w:val="0"/>
          <w:caps w:val="0"/>
          <w:color w:val="auto"/>
          <w:spacing w:val="0"/>
          <w:w w:val="100"/>
          <w:sz w:val="24"/>
          <w:szCs w:val="24"/>
          <w:highlight w:val="none"/>
        </w:rPr>
        <w:t>17. 不可抗力</w:t>
      </w:r>
      <w:bookmarkEnd w:id="488"/>
      <w:r>
        <w:rPr>
          <w:rFonts w:hint="eastAsia" w:ascii="宋体" w:hAnsi="宋体" w:eastAsia="宋体" w:cs="宋体"/>
          <w:b w:val="0"/>
          <w:i w:val="0"/>
          <w:caps w:val="0"/>
          <w:color w:val="auto"/>
          <w:spacing w:val="0"/>
          <w:w w:val="100"/>
          <w:sz w:val="24"/>
          <w:szCs w:val="24"/>
          <w:highlight w:val="none"/>
        </w:rPr>
        <w:t xml:space="preserve"> </w:t>
      </w:r>
      <w:bookmarkEnd w:id="489"/>
      <w:bookmarkEnd w:id="490"/>
      <w:bookmarkEnd w:id="491"/>
    </w:p>
    <w:p w14:paraId="2F512A31">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2" w:name="_Toc351203608"/>
      <w:r>
        <w:rPr>
          <w:rFonts w:hint="eastAsia" w:ascii="宋体" w:hAnsi="宋体" w:eastAsia="宋体" w:cs="宋体"/>
          <w:b w:val="0"/>
          <w:i w:val="0"/>
          <w:caps w:val="0"/>
          <w:color w:val="auto"/>
          <w:spacing w:val="0"/>
          <w:w w:val="100"/>
          <w:sz w:val="24"/>
          <w:szCs w:val="24"/>
          <w:highlight w:val="none"/>
        </w:rPr>
        <w:t>17.1 不可抗力的确认</w:t>
      </w:r>
      <w:bookmarkEnd w:id="492"/>
    </w:p>
    <w:p w14:paraId="270438F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44AC734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6FC87CE5">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3" w:name="_Toc351203609"/>
      <w:r>
        <w:rPr>
          <w:rFonts w:hint="eastAsia" w:ascii="宋体" w:hAnsi="宋体" w:eastAsia="宋体" w:cs="宋体"/>
          <w:b w:val="0"/>
          <w:i w:val="0"/>
          <w:caps w:val="0"/>
          <w:color w:val="auto"/>
          <w:spacing w:val="0"/>
          <w:w w:val="100"/>
          <w:sz w:val="24"/>
          <w:szCs w:val="24"/>
          <w:highlight w:val="none"/>
        </w:rPr>
        <w:t>17.2 不可抗力的通知</w:t>
      </w:r>
      <w:bookmarkEnd w:id="493"/>
    </w:p>
    <w:p w14:paraId="3ADD57E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合同一方当事人遇到不可抗力事件，使其履行合同义务受到阻碍时，应立即通知合同另一方当事人和监理人，书面说明不可抗力和受阻碍的详细情况，并提供必要的证明。</w:t>
      </w:r>
    </w:p>
    <w:p w14:paraId="4C878A6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269B0FFF">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4" w:name="_Toc351203610"/>
      <w:r>
        <w:rPr>
          <w:rFonts w:hint="eastAsia" w:ascii="宋体" w:hAnsi="宋体" w:eastAsia="宋体" w:cs="宋体"/>
          <w:b w:val="0"/>
          <w:i w:val="0"/>
          <w:caps w:val="0"/>
          <w:color w:val="auto"/>
          <w:spacing w:val="0"/>
          <w:w w:val="100"/>
          <w:sz w:val="24"/>
          <w:szCs w:val="24"/>
          <w:highlight w:val="none"/>
        </w:rPr>
        <w:t>17.3 不可抗力后果的承担</w:t>
      </w:r>
      <w:bookmarkEnd w:id="494"/>
    </w:p>
    <w:p w14:paraId="44623A0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17.3.1 不可抗力引起的后果及造成的损失由合同当事人按照法律规定及合同约定各自承担。不可抗力发生前已完成的工程应当按照合同约定进行计量支付。</w:t>
      </w:r>
    </w:p>
    <w:p w14:paraId="3300E50D">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17.3.2 不可抗力导致的人员伤亡、财产损失、费用增加和（或）工期延误等后果，由合同当事人按以下原则承担：</w:t>
      </w:r>
    </w:p>
    <w:p w14:paraId="3AD5BF3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（1）永久工程、已运至施工现场的材料和工程设备的损坏，以及因工程损坏造成的第三人人员伤亡和财产损失由发包人承担；</w:t>
      </w:r>
    </w:p>
    <w:p w14:paraId="292DBBF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（2）承包人施工设备的损坏由承包人承担；</w:t>
      </w:r>
    </w:p>
    <w:p w14:paraId="0AF42A0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（3）发包人和承包人承担各自人员伤亡和财产的损失；</w:t>
      </w:r>
    </w:p>
    <w:p w14:paraId="642A486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50328A5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（5）因不可抗力引起或将引起工期延误，发包人要求赶工的，由此增加的赶工费用由发包人承担；</w:t>
      </w:r>
    </w:p>
    <w:p w14:paraId="711E88B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（6）承包人在停工期间按照发包人要求照管、清理和修复工程的费用由发包人承担。</w:t>
      </w:r>
    </w:p>
    <w:p w14:paraId="20C70BB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不可抗力发生后，合同当事人均应采取措施尽量避免和减少损失的扩大，任何一方当事人没有采取有效措施导致损失扩大的，应对扩大的损失承担责任。</w:t>
      </w:r>
    </w:p>
    <w:p w14:paraId="06B9961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因合同一方迟延履行合同义务，在迟延履行期间遭遇不可抗力的，不免除其违约责任。</w:t>
      </w:r>
    </w:p>
    <w:p w14:paraId="70DCF43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5" w:name="_Toc351203611"/>
      <w:r>
        <w:rPr>
          <w:rFonts w:hint="eastAsia" w:ascii="宋体" w:hAnsi="宋体" w:eastAsia="宋体" w:cs="宋体"/>
          <w:b w:val="0"/>
          <w:i w:val="0"/>
          <w:caps w:val="0"/>
          <w:color w:val="auto"/>
          <w:spacing w:val="0"/>
          <w:w w:val="100"/>
          <w:sz w:val="24"/>
          <w:szCs w:val="24"/>
          <w:highlight w:val="none"/>
        </w:rPr>
        <w:t>17.4 因不可抗力解除合同</w:t>
      </w:r>
      <w:bookmarkEnd w:id="495"/>
    </w:p>
    <w:p w14:paraId="0F3660E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7771A3D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（1）合同解除前承包人已完成工作的价款；</w:t>
      </w:r>
    </w:p>
    <w:p w14:paraId="44B957C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（2）承包人为工程订购的并已交付给承包人，或承包人有责任接受交付的材料、工程设备和其他物品的价款；</w:t>
      </w:r>
    </w:p>
    <w:p w14:paraId="61FFFA6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（3）发包人要求承包人退货或解除订货合同而产生的费用，或因不能退货或解除合同而产生的损失；</w:t>
      </w:r>
    </w:p>
    <w:p w14:paraId="5921C02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（4）承包人撤离施工现场以及遣散承包人人员的费用；</w:t>
      </w:r>
    </w:p>
    <w:p w14:paraId="018B89A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（5）按照合同约定在合同解除前应支付给承包人的其他款项；</w:t>
      </w:r>
    </w:p>
    <w:p w14:paraId="0F63D87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（6）扣减承包人按照合同约定应向发包人支付的款项；</w:t>
      </w:r>
    </w:p>
    <w:p w14:paraId="087ACFA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（7）双方商定或确定的其他款项。</w:t>
      </w:r>
    </w:p>
    <w:p w14:paraId="1F250E2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除专用合同条款另有约定外，合同解除后，发包人应在商定或确定上述款项后28天内完成上述款项的支付。</w:t>
      </w:r>
    </w:p>
    <w:p w14:paraId="1FD17725">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496" w:name="_Toc351203612"/>
      <w:r>
        <w:rPr>
          <w:rFonts w:hint="eastAsia" w:ascii="宋体" w:hAnsi="宋体" w:eastAsia="宋体" w:cs="宋体"/>
          <w:b w:val="0"/>
          <w:i w:val="0"/>
          <w:caps w:val="0"/>
          <w:color w:val="auto"/>
          <w:spacing w:val="0"/>
          <w:w w:val="100"/>
          <w:sz w:val="24"/>
          <w:szCs w:val="24"/>
          <w:highlight w:val="none"/>
        </w:rPr>
        <w:t>18. 保险</w:t>
      </w:r>
      <w:bookmarkEnd w:id="496"/>
    </w:p>
    <w:p w14:paraId="2D12222F">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7" w:name="_Toc351203613"/>
      <w:r>
        <w:rPr>
          <w:rFonts w:hint="eastAsia" w:ascii="宋体" w:hAnsi="宋体" w:eastAsia="宋体" w:cs="宋体"/>
          <w:b w:val="0"/>
          <w:i w:val="0"/>
          <w:caps w:val="0"/>
          <w:color w:val="auto"/>
          <w:spacing w:val="0"/>
          <w:w w:val="100"/>
          <w:sz w:val="24"/>
          <w:szCs w:val="24"/>
          <w:highlight w:val="none"/>
        </w:rPr>
        <w:t>18.1 工程保险</w:t>
      </w:r>
      <w:bookmarkEnd w:id="497"/>
    </w:p>
    <w:p w14:paraId="091E141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除专用合同条款另有约定外，发包人应投保建筑工程一切险或安装工程一切险；发包人委托承包人投保的，因投保产生的保险费和其他相关费用由发包人承担。</w:t>
      </w:r>
    </w:p>
    <w:p w14:paraId="746DCA49">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8" w:name="_Toc351203614"/>
      <w:r>
        <w:rPr>
          <w:rFonts w:hint="eastAsia" w:ascii="宋体" w:hAnsi="宋体" w:eastAsia="宋体" w:cs="宋体"/>
          <w:b w:val="0"/>
          <w:i w:val="0"/>
          <w:caps w:val="0"/>
          <w:color w:val="auto"/>
          <w:spacing w:val="0"/>
          <w:w w:val="100"/>
          <w:sz w:val="24"/>
          <w:szCs w:val="24"/>
          <w:highlight w:val="none"/>
        </w:rPr>
        <w:t>18.2 工伤保险</w:t>
      </w:r>
      <w:bookmarkEnd w:id="498"/>
    </w:p>
    <w:p w14:paraId="3077D8D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18.2.1 发包人应依照法律规定参加工伤保险，并为在施工现场的全部员工办理工伤保险，缴纳工伤保险费，并要求监理人及由发包人为履行合同聘请的第三方依法参加工伤保险。</w:t>
      </w:r>
    </w:p>
    <w:p w14:paraId="1886A41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18.2.2 承包人应依照法律规定参加工伤保险，并为其履行合同的全部员工办理工伤保险，缴纳工伤保险费，并要求分包人及由承包人为履行合同聘请的第三方依法参加工伤保险。</w:t>
      </w:r>
    </w:p>
    <w:p w14:paraId="436F502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499" w:name="_Toc351203615"/>
      <w:r>
        <w:rPr>
          <w:rFonts w:hint="eastAsia" w:ascii="宋体" w:hAnsi="宋体" w:eastAsia="宋体" w:cs="宋体"/>
          <w:b w:val="0"/>
          <w:i w:val="0"/>
          <w:caps w:val="0"/>
          <w:color w:val="auto"/>
          <w:spacing w:val="0"/>
          <w:w w:val="100"/>
          <w:sz w:val="24"/>
          <w:szCs w:val="24"/>
          <w:highlight w:val="none"/>
        </w:rPr>
        <w:t>18.3其他保险</w:t>
      </w:r>
      <w:bookmarkEnd w:id="499"/>
    </w:p>
    <w:p w14:paraId="6232B52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发包人和承包人可以为其施工现场的全部人员办理意外伤害保险并支付保险费，包括其员工及为履行合同聘请的第三方的人员，具体事项由合同当事人在专用合同条款约定。</w:t>
      </w:r>
    </w:p>
    <w:p w14:paraId="4812FF5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除专用合同条款另有约定外，承包人应为其施工设备等办理财产保险。</w:t>
      </w:r>
    </w:p>
    <w:p w14:paraId="25CC1845">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0" w:name="_Toc351203616"/>
      <w:r>
        <w:rPr>
          <w:rFonts w:hint="eastAsia" w:ascii="宋体" w:hAnsi="宋体" w:eastAsia="宋体" w:cs="宋体"/>
          <w:b w:val="0"/>
          <w:i w:val="0"/>
          <w:caps w:val="0"/>
          <w:color w:val="auto"/>
          <w:spacing w:val="0"/>
          <w:w w:val="100"/>
          <w:sz w:val="24"/>
          <w:szCs w:val="24"/>
          <w:highlight w:val="none"/>
        </w:rPr>
        <w:t>18.4持续保险</w:t>
      </w:r>
      <w:bookmarkEnd w:id="500"/>
    </w:p>
    <w:p w14:paraId="2CEE3E4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合同当事人应与保险人保持联系，使保险人能够随时了解工程实施中的变动，并确保按保险合同条款要求持续保险。</w:t>
      </w:r>
    </w:p>
    <w:p w14:paraId="122E570A">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1" w:name="_Toc351203617"/>
      <w:r>
        <w:rPr>
          <w:rFonts w:hint="eastAsia" w:ascii="宋体" w:hAnsi="宋体" w:eastAsia="宋体" w:cs="宋体"/>
          <w:b w:val="0"/>
          <w:i w:val="0"/>
          <w:caps w:val="0"/>
          <w:color w:val="auto"/>
          <w:spacing w:val="0"/>
          <w:w w:val="100"/>
          <w:sz w:val="24"/>
          <w:szCs w:val="24"/>
          <w:highlight w:val="none"/>
        </w:rPr>
        <w:t>18.5 保险凭证</w:t>
      </w:r>
      <w:bookmarkEnd w:id="501"/>
    </w:p>
    <w:p w14:paraId="032D51D3">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合同当事人应及时向另一方当事人提交其已投保的各项保险的凭证和保险单复印件。</w:t>
      </w:r>
    </w:p>
    <w:p w14:paraId="1739E142">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2" w:name="_Toc351203618"/>
      <w:r>
        <w:rPr>
          <w:rFonts w:hint="eastAsia" w:ascii="宋体" w:hAnsi="宋体" w:eastAsia="宋体" w:cs="宋体"/>
          <w:b w:val="0"/>
          <w:i w:val="0"/>
          <w:caps w:val="0"/>
          <w:color w:val="auto"/>
          <w:spacing w:val="0"/>
          <w:w w:val="100"/>
          <w:sz w:val="24"/>
          <w:szCs w:val="24"/>
          <w:highlight w:val="none"/>
        </w:rPr>
        <w:t>18.6 未按约定投保的补救</w:t>
      </w:r>
      <w:bookmarkEnd w:id="502"/>
    </w:p>
    <w:p w14:paraId="432B7F32">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18.6.1发包人未按合同约定办理保险，或未能使保险持续有效的，则承包人可代为办理，所需费用由发包人承担。发包人未按合同约定办理保险，导致未能得到足额赔偿的，由发包人负责补足。</w:t>
      </w:r>
    </w:p>
    <w:p w14:paraId="5283798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18.6.2承包人未按合同约定办理保险，或未能使保险持续有效的，则发包人可代为办理，所需费用由承包人承担。承包人未按合同约定办理保险，导致未能得到足额赔偿的，由承包人负责补足。</w:t>
      </w:r>
    </w:p>
    <w:p w14:paraId="5442D5D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3" w:name="_Toc351203619"/>
      <w:r>
        <w:rPr>
          <w:rFonts w:hint="eastAsia" w:ascii="宋体" w:hAnsi="宋体" w:eastAsia="宋体" w:cs="宋体"/>
          <w:b w:val="0"/>
          <w:i w:val="0"/>
          <w:caps w:val="0"/>
          <w:color w:val="auto"/>
          <w:spacing w:val="0"/>
          <w:w w:val="100"/>
          <w:sz w:val="24"/>
          <w:szCs w:val="24"/>
          <w:highlight w:val="none"/>
        </w:rPr>
        <w:t>18.7 通知义务</w:t>
      </w:r>
      <w:bookmarkEnd w:id="503"/>
    </w:p>
    <w:p w14:paraId="412324B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2A38A09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保险事故发生时，投保人应按照保险合同规定的条件和期限及时向保险人报告。发包人和承包人应当在知道保险事故发生后及时通知对方。</w:t>
      </w:r>
    </w:p>
    <w:p w14:paraId="7F079D95">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504" w:name="_Toc351203620"/>
      <w:r>
        <w:rPr>
          <w:rFonts w:hint="eastAsia" w:ascii="宋体" w:hAnsi="宋体" w:eastAsia="宋体" w:cs="宋体"/>
          <w:b w:val="0"/>
          <w:i w:val="0"/>
          <w:caps w:val="0"/>
          <w:color w:val="auto"/>
          <w:spacing w:val="0"/>
          <w:w w:val="100"/>
          <w:sz w:val="24"/>
          <w:szCs w:val="24"/>
          <w:highlight w:val="none"/>
        </w:rPr>
        <w:t>19. 索赔</w:t>
      </w:r>
      <w:bookmarkEnd w:id="504"/>
    </w:p>
    <w:p w14:paraId="453947F7">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5" w:name="_Toc351203621"/>
      <w:r>
        <w:rPr>
          <w:rFonts w:hint="eastAsia" w:ascii="宋体" w:hAnsi="宋体" w:eastAsia="宋体" w:cs="宋体"/>
          <w:b w:val="0"/>
          <w:i w:val="0"/>
          <w:caps w:val="0"/>
          <w:color w:val="auto"/>
          <w:spacing w:val="0"/>
          <w:w w:val="100"/>
          <w:sz w:val="24"/>
          <w:szCs w:val="24"/>
          <w:highlight w:val="none"/>
        </w:rPr>
        <w:t>19.1承包人的索赔</w:t>
      </w:r>
      <w:bookmarkEnd w:id="505"/>
    </w:p>
    <w:p w14:paraId="336AD80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根据合同约定，承包人认为有权得到追加付款和（或）延长工期的，应按以下程序向发包人提出索赔：</w:t>
      </w:r>
    </w:p>
    <w:p w14:paraId="4632A37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6CE2202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（2）承包人应在发出索赔意向通知书后28天内，向监理人正式递交索赔报告；索赔报告应详细说明索赔理由以及要求追加的付款金额和（或）延长的工期，并附必要的记录和证明材料；</w:t>
      </w:r>
    </w:p>
    <w:p w14:paraId="038F099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（3）索赔事件具有持续影响的，承包人应按合理时间间隔继续递交延续索赔通知，说明持续影响的实际情况和记录，列出累计的追加付款金额和（或）工期延长天数；</w:t>
      </w:r>
    </w:p>
    <w:p w14:paraId="12A8705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（4）在索赔事件影响结束后28天内，承包人应向监理人递交最终索赔报告，说明最终要求索赔的追加付款金额和（或）延长的工期，并附必要的记录和证明材料。</w:t>
      </w:r>
    </w:p>
    <w:p w14:paraId="269680A8">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6" w:name="_Toc351203622"/>
      <w:r>
        <w:rPr>
          <w:rFonts w:hint="eastAsia" w:ascii="宋体" w:hAnsi="宋体" w:eastAsia="宋体" w:cs="宋体"/>
          <w:b w:val="0"/>
          <w:i w:val="0"/>
          <w:caps w:val="0"/>
          <w:color w:val="auto"/>
          <w:spacing w:val="0"/>
          <w:w w:val="100"/>
          <w:sz w:val="24"/>
          <w:szCs w:val="24"/>
          <w:highlight w:val="none"/>
        </w:rPr>
        <w:t>19.2 对承包人索赔的处理</w:t>
      </w:r>
      <w:bookmarkEnd w:id="506"/>
    </w:p>
    <w:p w14:paraId="180DD92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对承包人索赔的处理如下：</w:t>
      </w:r>
    </w:p>
    <w:p w14:paraId="08B46AE4">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（1）监理人应在收到索赔报告后14天内完成审查并报送发包人。监理人对索赔报告存在异议的，有权要求承包人提交全部原始记录副本；</w:t>
      </w:r>
    </w:p>
    <w:p w14:paraId="63DB754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（2）发包人应在监理人收到索赔报告或有关索赔的进一步证明材料后的28天内，由监理人向承包人出具经发包人签认的索赔处理结果。发包人逾期答复的，则视为认可承包人的索赔要求；</w:t>
      </w:r>
    </w:p>
    <w:p w14:paraId="7D5CDFCB">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（3）承包人接受索赔处理结果的，索赔款项在当期进度款中进行支付；承包人不接受索赔处理结果的，按照第20条〔争议解决〕约定处理。</w:t>
      </w:r>
    </w:p>
    <w:p w14:paraId="5F23FDFB">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7" w:name="_Toc351203623"/>
      <w:r>
        <w:rPr>
          <w:rFonts w:hint="eastAsia" w:ascii="宋体" w:hAnsi="宋体" w:eastAsia="宋体" w:cs="宋体"/>
          <w:b w:val="0"/>
          <w:i w:val="0"/>
          <w:caps w:val="0"/>
          <w:color w:val="auto"/>
          <w:spacing w:val="0"/>
          <w:w w:val="100"/>
          <w:sz w:val="24"/>
          <w:szCs w:val="24"/>
          <w:highlight w:val="none"/>
        </w:rPr>
        <w:t>19.3发包人的索赔</w:t>
      </w:r>
      <w:bookmarkEnd w:id="507"/>
    </w:p>
    <w:p w14:paraId="7F55340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根据合同约定，发包人认为有权得到赔付金额和（或）延长缺陷责任期的，监理人应向承包人发出通知并附有详细的证明。</w:t>
      </w:r>
    </w:p>
    <w:p w14:paraId="796A0E4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56008967">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8" w:name="_Toc351203624"/>
      <w:r>
        <w:rPr>
          <w:rFonts w:hint="eastAsia" w:ascii="宋体" w:hAnsi="宋体" w:eastAsia="宋体" w:cs="宋体"/>
          <w:b w:val="0"/>
          <w:i w:val="0"/>
          <w:caps w:val="0"/>
          <w:color w:val="auto"/>
          <w:spacing w:val="0"/>
          <w:w w:val="100"/>
          <w:sz w:val="24"/>
          <w:szCs w:val="24"/>
          <w:highlight w:val="none"/>
        </w:rPr>
        <w:t>19.4 对发包人索赔的处理</w:t>
      </w:r>
      <w:bookmarkEnd w:id="508"/>
    </w:p>
    <w:p w14:paraId="7166DF5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对发包人索赔的处理如下：</w:t>
      </w:r>
    </w:p>
    <w:p w14:paraId="40D1AC9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（1）承包人收到发包人提交的索赔报告后，应及时审查索赔报告的内容、查验发包人证明材料；</w:t>
      </w:r>
    </w:p>
    <w:p w14:paraId="664420A1">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（2）承包人应在收到索赔报告或有关索赔的进一步证明材料后28天内，将索赔处理结果答复发包人。如果承包人未在上述期限内作出答复的，则视为对发包人索赔要求的认可；</w:t>
      </w:r>
    </w:p>
    <w:p w14:paraId="47CD64D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（3）承包人接受索赔处理结果的，发包人可从应支付给承包人的合同价款中扣除赔付的金额或延长缺陷责任期；发包人不接受索赔处理结果的，按第20条〔争议解决〕约定处理。</w:t>
      </w:r>
    </w:p>
    <w:p w14:paraId="0F603980">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09" w:name="_Toc351203625"/>
      <w:r>
        <w:rPr>
          <w:rFonts w:hint="eastAsia" w:ascii="宋体" w:hAnsi="宋体" w:eastAsia="宋体" w:cs="宋体"/>
          <w:b w:val="0"/>
          <w:i w:val="0"/>
          <w:caps w:val="0"/>
          <w:color w:val="auto"/>
          <w:spacing w:val="0"/>
          <w:w w:val="100"/>
          <w:sz w:val="24"/>
          <w:szCs w:val="24"/>
          <w:highlight w:val="none"/>
        </w:rPr>
        <w:t>19.5 提出索赔的期限</w:t>
      </w:r>
      <w:bookmarkEnd w:id="509"/>
    </w:p>
    <w:p w14:paraId="1AEC05DC">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（1）承包人按第14.2款〔竣工结算审核〕约定接收竣工付款证书后，应被视为已无权再提出在工程接收证书颁发前所发生的任何索赔。</w:t>
      </w:r>
    </w:p>
    <w:p w14:paraId="0DD3D76B">
      <w:pPr>
        <w:snapToGrid w:val="0"/>
        <w:spacing w:before="0" w:beforeAutospacing="0" w:after="0" w:afterAutospacing="0" w:line="360" w:lineRule="auto"/>
        <w:ind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（2）承包人按第14.4款〔最终结清〕提交的最终结清申请单中，只限于提出工程接收证书颁发后发生的索赔。提出索赔的期限自接受最终结清证书时终止。</w:t>
      </w:r>
    </w:p>
    <w:p w14:paraId="68E5C5FC">
      <w:pPr>
        <w:pStyle w:val="7"/>
        <w:snapToGrid w:val="0"/>
        <w:spacing w:before="120" w:beforeAutospacing="0" w:after="120" w:afterAutospacing="0" w:line="360" w:lineRule="auto"/>
        <w:textAlignment w:val="baseline"/>
        <w:rPr>
          <w:rFonts w:hint="eastAsia" w:ascii="宋体" w:hAnsi="宋体" w:eastAsia="宋体" w:cs="宋体"/>
          <w:b w:val="0"/>
          <w:i w:val="0"/>
          <w:caps w:val="0"/>
          <w:color w:val="auto"/>
          <w:spacing w:val="0"/>
          <w:w w:val="100"/>
          <w:sz w:val="24"/>
          <w:szCs w:val="24"/>
          <w:highlight w:val="none"/>
        </w:rPr>
      </w:pPr>
      <w:bookmarkStart w:id="510" w:name="_Toc351203626"/>
      <w:r>
        <w:rPr>
          <w:rFonts w:hint="eastAsia" w:ascii="宋体" w:hAnsi="宋体" w:eastAsia="宋体" w:cs="宋体"/>
          <w:b w:val="0"/>
          <w:i w:val="0"/>
          <w:caps w:val="0"/>
          <w:color w:val="auto"/>
          <w:spacing w:val="0"/>
          <w:w w:val="100"/>
          <w:sz w:val="24"/>
          <w:szCs w:val="24"/>
          <w:highlight w:val="none"/>
        </w:rPr>
        <w:t>20. 争议解决</w:t>
      </w:r>
      <w:bookmarkEnd w:id="510"/>
    </w:p>
    <w:p w14:paraId="3548FCC7">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11" w:name="_Toc351203627"/>
      <w:r>
        <w:rPr>
          <w:rFonts w:hint="eastAsia" w:ascii="宋体" w:hAnsi="宋体" w:eastAsia="宋体" w:cs="宋体"/>
          <w:b w:val="0"/>
          <w:i w:val="0"/>
          <w:caps w:val="0"/>
          <w:color w:val="auto"/>
          <w:spacing w:val="0"/>
          <w:w w:val="100"/>
          <w:sz w:val="24"/>
          <w:szCs w:val="24"/>
          <w:highlight w:val="none"/>
        </w:rPr>
        <w:t>20.1和解</w:t>
      </w:r>
      <w:bookmarkEnd w:id="511"/>
    </w:p>
    <w:p w14:paraId="5DEB0B2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合同当事人可以就争议自行和解，自行和解达成协议的经双方签字并盖章后作为合同补充文件，双方均应遵照执行。</w:t>
      </w:r>
    </w:p>
    <w:p w14:paraId="425A506F">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12" w:name="_Toc351203628"/>
      <w:r>
        <w:rPr>
          <w:rFonts w:hint="eastAsia" w:ascii="宋体" w:hAnsi="宋体" w:eastAsia="宋体" w:cs="宋体"/>
          <w:b w:val="0"/>
          <w:i w:val="0"/>
          <w:caps w:val="0"/>
          <w:color w:val="auto"/>
          <w:spacing w:val="0"/>
          <w:w w:val="100"/>
          <w:sz w:val="24"/>
          <w:szCs w:val="24"/>
          <w:highlight w:val="none"/>
        </w:rPr>
        <w:t>20.2调解</w:t>
      </w:r>
      <w:bookmarkEnd w:id="512"/>
    </w:p>
    <w:p w14:paraId="07F02DC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合同当事人可以就争议请求建设行政主管部门、行业协会或其他第三方进行调解，调解达成协议的，经双方签字并盖章后作为合同补充文件，双方均应遵照执行。</w:t>
      </w:r>
    </w:p>
    <w:p w14:paraId="289AC204">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13" w:name="_Toc351203629"/>
      <w:r>
        <w:rPr>
          <w:rFonts w:hint="eastAsia" w:ascii="宋体" w:hAnsi="宋体" w:eastAsia="宋体" w:cs="宋体"/>
          <w:b w:val="0"/>
          <w:i w:val="0"/>
          <w:caps w:val="0"/>
          <w:color w:val="auto"/>
          <w:spacing w:val="0"/>
          <w:w w:val="100"/>
          <w:sz w:val="24"/>
          <w:szCs w:val="24"/>
          <w:highlight w:val="none"/>
        </w:rPr>
        <w:t>20.3争议评审</w:t>
      </w:r>
      <w:bookmarkEnd w:id="513"/>
    </w:p>
    <w:p w14:paraId="2B88413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合同当事人在专用合同条款中约定采取争议评审方式解决争议以及评审规则，并按下列约定执行： </w:t>
      </w:r>
    </w:p>
    <w:p w14:paraId="0B961626">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20.3.1 争议评审小组的确定</w:t>
      </w:r>
    </w:p>
    <w:p w14:paraId="0653DA3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合同当事人可以共同选择一名或三名争议评审员，组成争议评审小组。除专用合同条款另有约定外，合同当事人应当自合同签订后28天内，或者争议发生后14天内，选定争议评审员。</w:t>
      </w:r>
    </w:p>
    <w:p w14:paraId="132046B8">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695DFECE">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除专用合同条款另有约定外，评审员报酬由发包人和承包人各承担一半。</w:t>
      </w:r>
    </w:p>
    <w:p w14:paraId="47EDF47F">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20.3.2 争议评审小组的决定</w:t>
      </w:r>
    </w:p>
    <w:p w14:paraId="3E261BA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6E832D00">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20.3.3 争议评审小组决定的效力</w:t>
      </w:r>
    </w:p>
    <w:p w14:paraId="154A752A">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争议评审小组作出的书面决定经合同当事人签字确认后，对双方具有约束力，双方应遵照执行。</w:t>
      </w:r>
    </w:p>
    <w:p w14:paraId="630A70E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任何一方当事人不接受争议评审小组决定或不履行争议评审小组决定的，双方可选择采用其他争议解决方式。</w:t>
      </w:r>
    </w:p>
    <w:p w14:paraId="1FAFBA48">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14" w:name="_Toc351203630"/>
      <w:r>
        <w:rPr>
          <w:rFonts w:hint="eastAsia" w:ascii="宋体" w:hAnsi="宋体" w:eastAsia="宋体" w:cs="宋体"/>
          <w:b w:val="0"/>
          <w:i w:val="0"/>
          <w:caps w:val="0"/>
          <w:color w:val="auto"/>
          <w:spacing w:val="0"/>
          <w:w w:val="100"/>
          <w:sz w:val="24"/>
          <w:szCs w:val="24"/>
          <w:highlight w:val="none"/>
        </w:rPr>
        <w:t>20.4仲裁或诉讼</w:t>
      </w:r>
      <w:bookmarkEnd w:id="514"/>
    </w:p>
    <w:p w14:paraId="3D1FCC29">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因合同及合同有关事项产生的争议，合同当事人可以在专用合同条款中约定以下一种方式解决争议：</w:t>
      </w:r>
    </w:p>
    <w:p w14:paraId="296F6E4C">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（1）向约定的仲裁委员会申请仲裁；</w:t>
      </w:r>
    </w:p>
    <w:p w14:paraId="307CA2D7">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（2）向有管辖权的人民法院起诉。</w:t>
      </w:r>
    </w:p>
    <w:p w14:paraId="5C0554CD">
      <w:pPr>
        <w:pStyle w:val="8"/>
        <w:snapToGrid w:val="0"/>
        <w:spacing w:before="120" w:beforeAutospacing="0" w:after="120" w:afterAutospacing="0" w:line="360" w:lineRule="auto"/>
        <w:ind w:firstLine="480" w:firstLineChars="200"/>
        <w:textAlignment w:val="baseline"/>
        <w:rPr>
          <w:rFonts w:hint="eastAsia" w:ascii="宋体" w:hAnsi="宋体" w:eastAsia="宋体" w:cs="宋体"/>
          <w:b w:val="0"/>
          <w:i w:val="0"/>
          <w:caps w:val="0"/>
          <w:color w:val="auto"/>
          <w:spacing w:val="0"/>
          <w:w w:val="100"/>
          <w:sz w:val="24"/>
          <w:szCs w:val="24"/>
          <w:highlight w:val="none"/>
        </w:rPr>
      </w:pPr>
      <w:bookmarkStart w:id="515" w:name="_Toc351203631"/>
      <w:r>
        <w:rPr>
          <w:rFonts w:hint="eastAsia" w:ascii="宋体" w:hAnsi="宋体" w:eastAsia="宋体" w:cs="宋体"/>
          <w:b w:val="0"/>
          <w:i w:val="0"/>
          <w:caps w:val="0"/>
          <w:color w:val="auto"/>
          <w:spacing w:val="0"/>
          <w:w w:val="100"/>
          <w:sz w:val="24"/>
          <w:szCs w:val="24"/>
          <w:highlight w:val="none"/>
        </w:rPr>
        <w:t>20.5争议解决条款效力</w:t>
      </w:r>
      <w:bookmarkEnd w:id="515"/>
    </w:p>
    <w:p w14:paraId="1A322425">
      <w:pPr>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合同有关争议解决的条款独立存在，合同的变更、解除、终止、无效或者被撤销均不影响其效力。 </w:t>
      </w:r>
    </w:p>
    <w:p w14:paraId="0A94586E">
      <w:pPr>
        <w:rPr>
          <w:rFonts w:hint="eastAsia" w:ascii="宋体" w:hAnsi="宋体" w:eastAsia="宋体" w:cs="宋体"/>
          <w:b/>
          <w:i w:val="0"/>
          <w:caps w:val="0"/>
          <w:color w:val="auto"/>
          <w:spacing w:val="0"/>
          <w:w w:val="100"/>
          <w:sz w:val="44"/>
          <w:szCs w:val="44"/>
          <w:highlight w:val="none"/>
        </w:rPr>
      </w:pPr>
      <w:bookmarkStart w:id="516" w:name="_Toc351203632"/>
      <w:r>
        <w:rPr>
          <w:rFonts w:hint="eastAsia" w:ascii="宋体" w:hAnsi="宋体" w:eastAsia="宋体" w:cs="宋体"/>
          <w:b/>
          <w:i w:val="0"/>
          <w:caps w:val="0"/>
          <w:color w:val="auto"/>
          <w:spacing w:val="0"/>
          <w:w w:val="100"/>
          <w:sz w:val="44"/>
          <w:szCs w:val="44"/>
          <w:highlight w:val="none"/>
        </w:rPr>
        <w:br w:type="page"/>
      </w:r>
    </w:p>
    <w:p w14:paraId="56E15F24">
      <w:pPr>
        <w:snapToGrid w:val="0"/>
        <w:spacing w:before="260" w:beforeAutospacing="0" w:after="260" w:afterAutospacing="0" w:line="416" w:lineRule="auto"/>
        <w:jc w:val="center"/>
        <w:textAlignment w:val="baseline"/>
        <w:outlineLvl w:val="2"/>
        <w:rPr>
          <w:rFonts w:hint="eastAsia" w:ascii="宋体" w:hAnsi="宋体" w:eastAsia="宋体" w:cs="宋体"/>
          <w:b/>
          <w:i w:val="0"/>
          <w:caps w:val="0"/>
          <w:color w:val="auto"/>
          <w:spacing w:val="0"/>
          <w:w w:val="100"/>
          <w:sz w:val="44"/>
          <w:highlight w:val="none"/>
        </w:rPr>
      </w:pPr>
      <w:r>
        <w:rPr>
          <w:rFonts w:hint="eastAsia" w:ascii="宋体" w:hAnsi="宋体" w:eastAsia="宋体" w:cs="宋体"/>
          <w:b/>
          <w:i w:val="0"/>
          <w:caps w:val="0"/>
          <w:color w:val="auto"/>
          <w:spacing w:val="0"/>
          <w:w w:val="100"/>
          <w:sz w:val="44"/>
          <w:szCs w:val="44"/>
          <w:highlight w:val="none"/>
        </w:rPr>
        <w:t>第三部分 专用合同条款</w:t>
      </w:r>
      <w:bookmarkEnd w:id="516"/>
    </w:p>
    <w:p w14:paraId="38957A29">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17" w:name="_Toc351203633"/>
      <w:r>
        <w:rPr>
          <w:rFonts w:hint="eastAsia"/>
          <w:b w:val="0"/>
          <w:i w:val="0"/>
          <w:caps w:val="0"/>
          <w:color w:val="auto"/>
          <w:spacing w:val="0"/>
          <w:w w:val="100"/>
          <w:sz w:val="24"/>
          <w:szCs w:val="24"/>
          <w:highlight w:val="none"/>
        </w:rPr>
        <w:t>1. 一般约定</w:t>
      </w:r>
      <w:bookmarkEnd w:id="517"/>
    </w:p>
    <w:p w14:paraId="74AA4F4F">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 词语定义</w:t>
      </w:r>
    </w:p>
    <w:p w14:paraId="0FD78E48">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1.1.1合同</w:t>
      </w:r>
    </w:p>
    <w:p w14:paraId="3CA21DD7">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1.1.1.10其他合同文件包括：</w:t>
      </w:r>
      <w:r>
        <w:rPr>
          <w:rFonts w:hint="eastAsia"/>
          <w:b w:val="0"/>
          <w:i w:val="0"/>
          <w:caps w:val="0"/>
          <w:color w:val="auto"/>
          <w:spacing w:val="0"/>
          <w:w w:val="100"/>
          <w:sz w:val="24"/>
          <w:szCs w:val="24"/>
          <w:highlight w:val="none"/>
          <w:u w:val="single" w:color="000000"/>
        </w:rPr>
        <w:t xml:space="preserve">                      </w:t>
      </w:r>
    </w:p>
    <w:p w14:paraId="593B8635">
      <w:pPr>
        <w:snapToGrid w:val="0"/>
        <w:spacing w:before="0" w:beforeAutospacing="0" w:after="0" w:afterAutospacing="0" w:line="360" w:lineRule="auto"/>
        <w:ind w:hangingChars="55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u w:val="single" w:color="000000"/>
        </w:rPr>
        <w:t xml:space="preserve">                               </w:t>
      </w:r>
    </w:p>
    <w:p w14:paraId="4BFC3F7C">
      <w:pPr>
        <w:snapToGrid w:val="0"/>
        <w:spacing w:before="0" w:beforeAutospacing="0" w:after="0" w:afterAutospacing="0" w:line="360" w:lineRule="auto"/>
        <w:ind w:hangingChars="55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BFEB3D9">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1.1.2 合同当事人及其他相关方</w:t>
      </w:r>
    </w:p>
    <w:p w14:paraId="7A5FEA8E">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1.1.2.4监理人：</w:t>
      </w:r>
    </w:p>
    <w:p w14:paraId="230C6C34">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名    称：</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sz w:val="24"/>
          <w:szCs w:val="24"/>
          <w:highlight w:val="none"/>
        </w:rPr>
        <w:t>；</w:t>
      </w:r>
    </w:p>
    <w:p w14:paraId="5AC2517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资质类别和等级：</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54CEE3FB">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联系电话：</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58B8DB38">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电子信箱：</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783A95E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通信地址：</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140B6304">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1.1.2.5 设计人：</w:t>
      </w:r>
    </w:p>
    <w:p w14:paraId="6C227F4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名    称：</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sz w:val="24"/>
          <w:szCs w:val="24"/>
          <w:highlight w:val="none"/>
        </w:rPr>
        <w:t>；</w:t>
      </w:r>
    </w:p>
    <w:p w14:paraId="3AC7588F">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资质类别和等级：</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7657D20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联系电话：</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3FF61607">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电子信箱：</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sz w:val="24"/>
          <w:szCs w:val="24"/>
          <w:highlight w:val="none"/>
        </w:rPr>
        <w:t>；</w:t>
      </w:r>
    </w:p>
    <w:p w14:paraId="25403E79">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通信地址：</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2EA3A96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1.1.3 工程和设备</w:t>
      </w:r>
    </w:p>
    <w:p w14:paraId="18AC06D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1.1.3.7 作为施工现场组成部分的其他场所包括：</w:t>
      </w:r>
      <w:r>
        <w:rPr>
          <w:rFonts w:hint="eastAsia"/>
          <w:b w:val="0"/>
          <w:i w:val="0"/>
          <w:caps w:val="0"/>
          <w:color w:val="auto"/>
          <w:spacing w:val="0"/>
          <w:w w:val="100"/>
          <w:sz w:val="24"/>
          <w:szCs w:val="24"/>
          <w:highlight w:val="none"/>
          <w:u w:val="single" w:color="000000"/>
        </w:rPr>
        <w:t xml:space="preserve">           </w:t>
      </w:r>
    </w:p>
    <w:p w14:paraId="264617D9">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6C3FCA0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1.1.3.9 永久占地包括：</w:t>
      </w:r>
      <w:r>
        <w:rPr>
          <w:rFonts w:hint="eastAsia"/>
          <w:b w:val="0"/>
          <w:i w:val="0"/>
          <w:caps w:val="0"/>
          <w:color w:val="auto"/>
          <w:spacing w:val="0"/>
          <w:w w:val="100"/>
          <w:sz w:val="24"/>
          <w:szCs w:val="24"/>
          <w:highlight w:val="none"/>
          <w:u w:val="single" w:color="000000"/>
        </w:rPr>
        <w:t xml:space="preserve">                        </w:t>
      </w:r>
      <w:r>
        <w:rPr>
          <w:rFonts w:hint="eastAsia"/>
          <w:b w:val="0"/>
          <w:i w:val="0"/>
          <w:caps w:val="0"/>
          <w:color w:val="auto"/>
          <w:spacing w:val="0"/>
          <w:w w:val="100"/>
          <w:kern w:val="0"/>
          <w:sz w:val="24"/>
          <w:szCs w:val="24"/>
          <w:highlight w:val="none"/>
        </w:rPr>
        <w:t>。</w:t>
      </w:r>
    </w:p>
    <w:p w14:paraId="278DAFB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1.1.3.10 临时占地包括：</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kern w:val="0"/>
          <w:sz w:val="24"/>
          <w:szCs w:val="24"/>
          <w:highlight w:val="none"/>
        </w:rPr>
        <w:t>。</w:t>
      </w:r>
    </w:p>
    <w:p w14:paraId="72A054BF">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 xml:space="preserve">1.3法律 </w:t>
      </w:r>
    </w:p>
    <w:p w14:paraId="7D925D08">
      <w:pPr>
        <w:snapToGrid w:val="0"/>
        <w:spacing w:before="0" w:beforeAutospacing="0" w:after="0" w:afterAutospacing="0" w:line="360" w:lineRule="auto"/>
        <w:ind w:left="596" w:leftChars="284"/>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适用于合同的其他规范性文件：</w:t>
      </w:r>
      <w:r>
        <w:rPr>
          <w:rFonts w:hint="eastAsia"/>
          <w:b w:val="0"/>
          <w:i w:val="0"/>
          <w:caps w:val="0"/>
          <w:color w:val="auto"/>
          <w:spacing w:val="0"/>
          <w:w w:val="100"/>
          <w:sz w:val="24"/>
          <w:szCs w:val="24"/>
          <w:highlight w:val="none"/>
          <w:u w:val="single" w:color="000000"/>
        </w:rPr>
        <w:t xml:space="preserve">     </w:t>
      </w:r>
    </w:p>
    <w:p w14:paraId="4D158FEA">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1054E1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 标准和规范</w:t>
      </w:r>
    </w:p>
    <w:p w14:paraId="3D02D8AF">
      <w:pPr>
        <w:snapToGrid w:val="0"/>
        <w:spacing w:before="0" w:beforeAutospacing="0" w:after="0" w:afterAutospacing="0" w:line="360" w:lineRule="auto"/>
        <w:ind w:left="596" w:leftChars="284"/>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1.4.1适用于工程的标准规范包括：</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 xml:space="preserve"> </w:t>
      </w:r>
    </w:p>
    <w:p w14:paraId="0C67070A">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      </w:t>
      </w:r>
      <w:r>
        <w:rPr>
          <w:rFonts w:hint="eastAsia"/>
          <w:b w:val="0"/>
          <w:i w:val="0"/>
          <w:caps w:val="0"/>
          <w:color w:val="auto"/>
          <w:spacing w:val="0"/>
          <w:w w:val="100"/>
          <w:sz w:val="24"/>
          <w:szCs w:val="24"/>
          <w:highlight w:val="none"/>
        </w:rPr>
        <w:t>。</w:t>
      </w:r>
    </w:p>
    <w:p w14:paraId="07D77DCE">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1.4.2 发包人提供国外标准、规范的名称：</w:t>
      </w:r>
      <w:r>
        <w:rPr>
          <w:rFonts w:hint="eastAsia"/>
          <w:b w:val="0"/>
          <w:i w:val="0"/>
          <w:caps w:val="0"/>
          <w:color w:val="auto"/>
          <w:spacing w:val="0"/>
          <w:w w:val="100"/>
          <w:kern w:val="0"/>
          <w:sz w:val="24"/>
          <w:szCs w:val="24"/>
          <w:highlight w:val="none"/>
          <w:u w:val="single" w:color="000000"/>
        </w:rPr>
        <w:t xml:space="preserve">                 </w:t>
      </w:r>
    </w:p>
    <w:p w14:paraId="376D4D7B">
      <w:pPr>
        <w:snapToGrid w:val="0"/>
        <w:spacing w:before="0" w:beforeAutospacing="0" w:after="0" w:afterAutospacing="0" w:line="360" w:lineRule="auto"/>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1DDA07C4">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发包人提供国外标准、规范的份数：</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78881A63">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发包人提供国外标准、规范的名称：</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24D70FD4">
      <w:pPr>
        <w:snapToGrid w:val="0"/>
        <w:spacing w:before="0" w:beforeAutospacing="0" w:after="0" w:afterAutospacing="0" w:line="360" w:lineRule="auto"/>
        <w:ind w:left="596" w:leftChars="284"/>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1.4.3发包人对工程的技术标准和功能要求的特殊要求：</w:t>
      </w:r>
    </w:p>
    <w:p w14:paraId="32322741">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                                                               </w:t>
      </w:r>
      <w:r>
        <w:rPr>
          <w:rFonts w:hint="eastAsia"/>
          <w:b w:val="0"/>
          <w:i w:val="0"/>
          <w:caps w:val="0"/>
          <w:color w:val="auto"/>
          <w:spacing w:val="0"/>
          <w:w w:val="100"/>
          <w:sz w:val="24"/>
          <w:szCs w:val="24"/>
          <w:highlight w:val="none"/>
        </w:rPr>
        <w:t>。</w:t>
      </w:r>
    </w:p>
    <w:p w14:paraId="0CBC6FF0">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 合同文件的优先顺序</w:t>
      </w:r>
    </w:p>
    <w:p w14:paraId="2BCF4473">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合同文件组成及优先顺序为：</w:t>
      </w:r>
      <w:r>
        <w:rPr>
          <w:rFonts w:hint="eastAsia"/>
          <w:b w:val="0"/>
          <w:i w:val="0"/>
          <w:caps w:val="0"/>
          <w:color w:val="auto"/>
          <w:spacing w:val="0"/>
          <w:w w:val="100"/>
          <w:sz w:val="24"/>
          <w:szCs w:val="24"/>
          <w:highlight w:val="none"/>
          <w:u w:val="single" w:color="000000"/>
        </w:rPr>
        <w:t></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                                                 </w:t>
      </w:r>
      <w:r>
        <w:rPr>
          <w:rFonts w:hint="eastAsia"/>
          <w:b w:val="0"/>
          <w:i w:val="0"/>
          <w:caps w:val="0"/>
          <w:color w:val="auto"/>
          <w:spacing w:val="0"/>
          <w:w w:val="100"/>
          <w:sz w:val="24"/>
          <w:szCs w:val="24"/>
          <w:highlight w:val="none"/>
        </w:rPr>
        <w:t>。</w:t>
      </w:r>
    </w:p>
    <w:p w14:paraId="4C257AA1">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 图纸和承包人文件</w:t>
      </w:r>
      <w:r>
        <w:rPr>
          <w:rFonts w:hint="eastAsia"/>
          <w:b w:val="0"/>
          <w:i w:val="0"/>
          <w:caps w:val="0"/>
          <w:color w:val="auto"/>
          <w:spacing w:val="0"/>
          <w:w w:val="100"/>
          <w:sz w:val="24"/>
          <w:szCs w:val="24"/>
          <w:highlight w:val="none"/>
        </w:rPr>
        <w:tab/>
      </w:r>
    </w:p>
    <w:p w14:paraId="0045D0F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1.6.1 图纸的提供</w:t>
      </w:r>
    </w:p>
    <w:p w14:paraId="7F3EE4B4">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发包人向承包人提供图纸的期限：</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162B102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发包人向承包人提供图纸的数量：</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146795E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发包人向承包人提供图纸的内容：</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1DDB5329">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1.6.4 承包人文件</w:t>
      </w:r>
    </w:p>
    <w:p w14:paraId="63BF8467">
      <w:pPr>
        <w:snapToGrid w:val="0"/>
        <w:spacing w:before="0" w:beforeAutospacing="0" w:after="0" w:afterAutospacing="0" w:line="360" w:lineRule="auto"/>
        <w:ind w:left="596" w:leftChars="284"/>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需要由承包人提供的文件，包括：</w:t>
      </w:r>
      <w:r>
        <w:rPr>
          <w:rFonts w:hint="eastAsia"/>
          <w:b w:val="0"/>
          <w:i w:val="0"/>
          <w:caps w:val="0"/>
          <w:color w:val="auto"/>
          <w:spacing w:val="0"/>
          <w:w w:val="100"/>
          <w:sz w:val="24"/>
          <w:szCs w:val="24"/>
          <w:highlight w:val="none"/>
          <w:u w:val="single" w:color="000000"/>
        </w:rPr>
        <w:t>          </w:t>
      </w:r>
    </w:p>
    <w:p w14:paraId="6607845D">
      <w:pPr>
        <w:snapToGrid w:val="0"/>
        <w:spacing w:before="0" w:beforeAutospacing="0" w:after="0" w:afterAutospacing="0" w:line="360" w:lineRule="auto"/>
        <w:ind w:left="596" w:leftChars="284"/>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sz w:val="24"/>
          <w:szCs w:val="24"/>
          <w:highlight w:val="none"/>
        </w:rPr>
        <w:t>；</w:t>
      </w:r>
    </w:p>
    <w:p w14:paraId="4154B91B">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承包人提供的文件的期限为：</w:t>
      </w:r>
      <w:r>
        <w:rPr>
          <w:rFonts w:hint="eastAsia"/>
          <w:b w:val="0"/>
          <w:i w:val="0"/>
          <w:caps w:val="0"/>
          <w:color w:val="auto"/>
          <w:spacing w:val="0"/>
          <w:w w:val="100"/>
          <w:sz w:val="24"/>
          <w:szCs w:val="24"/>
          <w:highlight w:val="none"/>
          <w:u w:val="single" w:color="000000"/>
        </w:rPr>
        <w:t>       </w:t>
      </w:r>
      <w:r>
        <w:rPr>
          <w:rFonts w:hint="eastAsia"/>
          <w:b w:val="0"/>
          <w:i w:val="0"/>
          <w:caps w:val="0"/>
          <w:color w:val="auto"/>
          <w:spacing w:val="0"/>
          <w:w w:val="100"/>
          <w:sz w:val="24"/>
          <w:szCs w:val="24"/>
          <w:highlight w:val="none"/>
        </w:rPr>
        <w:t>；</w:t>
      </w:r>
    </w:p>
    <w:p w14:paraId="25D2F08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承包人提供的文件的数量为：</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061BE3D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承包人提供的文件的形式为：</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2B91B3F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发包人审批承包人文件的期限：</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251F86F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1.6.5 现场图纸准备</w:t>
      </w:r>
    </w:p>
    <w:p w14:paraId="018E00DD">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关于现场图纸准备的约定：</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56584DAC">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1.7 联络</w:t>
      </w:r>
    </w:p>
    <w:p w14:paraId="1678DE3B">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1.7.1发包人和承包人应当在</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kern w:val="0"/>
          <w:sz w:val="24"/>
          <w:szCs w:val="24"/>
          <w:highlight w:val="none"/>
        </w:rPr>
        <w:t>天内将与合同有关的通知、批准、证明、证书、指示、指令、要求、请求、同意、意见、确定和决定等书面函件送达对方当事人。</w:t>
      </w:r>
    </w:p>
    <w:p w14:paraId="27118E35">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1.7.2 发包人接收文件的地点：</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kern w:val="0"/>
          <w:sz w:val="24"/>
          <w:szCs w:val="24"/>
          <w:highlight w:val="none"/>
        </w:rPr>
        <w:t>；</w:t>
      </w:r>
    </w:p>
    <w:p w14:paraId="32E6634D">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发包人指定的接收人为：</w:t>
      </w:r>
      <w:r>
        <w:rPr>
          <w:rFonts w:hint="eastAsia"/>
          <w:b w:val="0"/>
          <w:i w:val="0"/>
          <w:caps w:val="0"/>
          <w:color w:val="auto"/>
          <w:spacing w:val="0"/>
          <w:w w:val="100"/>
          <w:sz w:val="24"/>
          <w:szCs w:val="24"/>
          <w:highlight w:val="none"/>
          <w:u w:val="single" w:color="000000"/>
        </w:rPr>
        <w:t>               </w:t>
      </w:r>
      <w:r>
        <w:rPr>
          <w:rFonts w:hint="eastAsia"/>
          <w:b w:val="0"/>
          <w:i w:val="0"/>
          <w:caps w:val="0"/>
          <w:color w:val="auto"/>
          <w:spacing w:val="0"/>
          <w:w w:val="100"/>
          <w:kern w:val="0"/>
          <w:sz w:val="24"/>
          <w:szCs w:val="24"/>
          <w:highlight w:val="none"/>
        </w:rPr>
        <w:t>。</w:t>
      </w:r>
    </w:p>
    <w:p w14:paraId="0C3066A5">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承包人接收文件的地点：</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kern w:val="0"/>
          <w:sz w:val="24"/>
          <w:szCs w:val="24"/>
          <w:highlight w:val="none"/>
        </w:rPr>
        <w:t>；</w:t>
      </w:r>
    </w:p>
    <w:p w14:paraId="5A13560C">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承包人指定的接收人为：</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kern w:val="0"/>
          <w:sz w:val="24"/>
          <w:szCs w:val="24"/>
          <w:highlight w:val="none"/>
        </w:rPr>
        <w:t>。</w:t>
      </w:r>
    </w:p>
    <w:p w14:paraId="1FB17F0E">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监理人接收文件的地点：</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kern w:val="0"/>
          <w:sz w:val="24"/>
          <w:szCs w:val="24"/>
          <w:highlight w:val="none"/>
        </w:rPr>
        <w:t>；</w:t>
      </w:r>
    </w:p>
    <w:p w14:paraId="3E97A092">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监理人指定的接收人为：</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kern w:val="0"/>
          <w:sz w:val="24"/>
          <w:szCs w:val="24"/>
          <w:highlight w:val="none"/>
        </w:rPr>
        <w:t>。</w:t>
      </w:r>
    </w:p>
    <w:p w14:paraId="79E82F57">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1.10 交通运输</w:t>
      </w:r>
    </w:p>
    <w:p w14:paraId="72444DCD">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1.10.1 出入现场的权利</w:t>
      </w:r>
    </w:p>
    <w:p w14:paraId="2BBBFD4E">
      <w:pPr>
        <w:snapToGrid w:val="0"/>
        <w:spacing w:before="0" w:beforeAutospacing="0" w:after="0" w:afterAutospacing="0" w:line="360" w:lineRule="auto"/>
        <w:ind w:left="596" w:leftChars="284"/>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关于出入现场的权利的约定：</w:t>
      </w:r>
      <w:r>
        <w:rPr>
          <w:rFonts w:hint="eastAsia"/>
          <w:b w:val="0"/>
          <w:i w:val="0"/>
          <w:caps w:val="0"/>
          <w:color w:val="auto"/>
          <w:spacing w:val="0"/>
          <w:w w:val="100"/>
          <w:sz w:val="24"/>
          <w:szCs w:val="24"/>
          <w:highlight w:val="none"/>
          <w:u w:val="single" w:color="000000"/>
        </w:rPr>
        <w:t>  </w:t>
      </w:r>
    </w:p>
    <w:p w14:paraId="3551724A">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                            </w:t>
      </w:r>
      <w:r>
        <w:rPr>
          <w:rFonts w:hint="eastAsia"/>
          <w:b w:val="0"/>
          <w:i w:val="0"/>
          <w:caps w:val="0"/>
          <w:color w:val="auto"/>
          <w:spacing w:val="0"/>
          <w:w w:val="100"/>
          <w:sz w:val="24"/>
          <w:szCs w:val="24"/>
          <w:highlight w:val="none"/>
        </w:rPr>
        <w:t>。</w:t>
      </w:r>
    </w:p>
    <w:p w14:paraId="66FD55A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w:t>
      </w:r>
      <w:bookmarkStart w:id="518" w:name="_Toc318581156"/>
      <w:bookmarkStart w:id="519" w:name="_Toc304295522"/>
      <w:bookmarkStart w:id="520" w:name="_Toc300934944"/>
      <w:bookmarkStart w:id="521" w:name="_Toc312677987"/>
      <w:bookmarkStart w:id="522" w:name="_Toc303539101"/>
      <w:r>
        <w:rPr>
          <w:rFonts w:hint="eastAsia"/>
          <w:b w:val="0"/>
          <w:i w:val="0"/>
          <w:caps w:val="0"/>
          <w:color w:val="auto"/>
          <w:spacing w:val="0"/>
          <w:w w:val="100"/>
          <w:sz w:val="24"/>
          <w:szCs w:val="24"/>
          <w:highlight w:val="none"/>
        </w:rPr>
        <w:t>.10.3 场内交通</w:t>
      </w:r>
    </w:p>
    <w:p w14:paraId="2472ABF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关于场外交通和场内交通的边界的约定：</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2362032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关于发包人向承包人免费提供满足工程施工需要的场内道路和交通设施的约定：</w:t>
      </w:r>
      <w:r>
        <w:rPr>
          <w:rFonts w:hint="eastAsia"/>
          <w:b w:val="0"/>
          <w:i w:val="0"/>
          <w:caps w:val="0"/>
          <w:color w:val="auto"/>
          <w:spacing w:val="0"/>
          <w:w w:val="100"/>
          <w:sz w:val="24"/>
          <w:szCs w:val="24"/>
          <w:highlight w:val="none"/>
          <w:u w:val="single" w:color="000000"/>
        </w:rPr>
        <w:t>                                        </w:t>
      </w:r>
      <w:r>
        <w:rPr>
          <w:rFonts w:hint="eastAsia"/>
          <w:b w:val="0"/>
          <w:i w:val="0"/>
          <w:caps w:val="0"/>
          <w:color w:val="auto"/>
          <w:spacing w:val="0"/>
          <w:w w:val="100"/>
          <w:sz w:val="24"/>
          <w:szCs w:val="24"/>
          <w:highlight w:val="none"/>
        </w:rPr>
        <w:t>。</w:t>
      </w:r>
      <w:bookmarkEnd w:id="518"/>
      <w:bookmarkEnd w:id="519"/>
      <w:bookmarkEnd w:id="520"/>
      <w:bookmarkEnd w:id="521"/>
      <w:bookmarkEnd w:id="522"/>
      <w:r>
        <w:rPr>
          <w:rFonts w:hint="eastAsia"/>
          <w:b w:val="0"/>
          <w:i w:val="0"/>
          <w:caps w:val="0"/>
          <w:color w:val="auto"/>
          <w:spacing w:val="0"/>
          <w:w w:val="100"/>
          <w:sz w:val="24"/>
          <w:szCs w:val="24"/>
          <w:highlight w:val="none"/>
        </w:rPr>
        <w:t xml:space="preserve">  </w:t>
      </w:r>
    </w:p>
    <w:p w14:paraId="3F5688F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1.10.4超大件和超重件的运输</w:t>
      </w:r>
    </w:p>
    <w:p w14:paraId="4B1D9EA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运输超大件或超重件所需的道路和桥梁临时加固改造费用和其他有关费用由</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承担。</w:t>
      </w:r>
    </w:p>
    <w:p w14:paraId="2BC798B1">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1.11 知识产权</w:t>
      </w:r>
    </w:p>
    <w:p w14:paraId="64CE0FB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b w:val="0"/>
          <w:i w:val="0"/>
          <w:caps w:val="0"/>
          <w:color w:val="auto"/>
          <w:spacing w:val="0"/>
          <w:w w:val="100"/>
          <w:sz w:val="24"/>
          <w:szCs w:val="24"/>
          <w:highlight w:val="none"/>
          <w:u w:val="single" w:color="000000"/>
        </w:rPr>
        <w:t>                     </w:t>
      </w:r>
    </w:p>
    <w:p w14:paraId="16BA1B6A">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                            </w:t>
      </w:r>
      <w:r>
        <w:rPr>
          <w:rFonts w:hint="eastAsia"/>
          <w:b w:val="0"/>
          <w:i w:val="0"/>
          <w:caps w:val="0"/>
          <w:color w:val="auto"/>
          <w:spacing w:val="0"/>
          <w:w w:val="100"/>
          <w:sz w:val="24"/>
          <w:szCs w:val="24"/>
          <w:highlight w:val="none"/>
        </w:rPr>
        <w:t>。</w:t>
      </w:r>
    </w:p>
    <w:p w14:paraId="674E8E20">
      <w:pPr>
        <w:snapToGrid w:val="0"/>
        <w:spacing w:before="0" w:beforeAutospacing="0" w:after="0" w:afterAutospacing="0" w:line="360" w:lineRule="auto"/>
        <w:ind w:left="596" w:leftChars="284"/>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关于发包人提供的上述文件的使用限制的要求：</w:t>
      </w:r>
      <w:r>
        <w:rPr>
          <w:rFonts w:hint="eastAsia"/>
          <w:b w:val="0"/>
          <w:i w:val="0"/>
          <w:caps w:val="0"/>
          <w:color w:val="auto"/>
          <w:spacing w:val="0"/>
          <w:w w:val="100"/>
          <w:sz w:val="24"/>
          <w:szCs w:val="24"/>
          <w:highlight w:val="none"/>
          <w:u w:val="single" w:color="000000"/>
        </w:rPr>
        <w:t xml:space="preserve">             </w:t>
      </w:r>
    </w:p>
    <w:p w14:paraId="735F68DE">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D83CA47">
      <w:pPr>
        <w:snapToGrid w:val="0"/>
        <w:spacing w:before="0" w:beforeAutospacing="0" w:after="0" w:afterAutospacing="0" w:line="360" w:lineRule="auto"/>
        <w:ind w:left="596" w:leftChars="284"/>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1.11.2 关于承包人为实施工程所编制文件的著作权的归属：</w:t>
      </w:r>
      <w:r>
        <w:rPr>
          <w:rFonts w:hint="eastAsia"/>
          <w:b w:val="0"/>
          <w:i w:val="0"/>
          <w:caps w:val="0"/>
          <w:color w:val="auto"/>
          <w:spacing w:val="0"/>
          <w:w w:val="100"/>
          <w:sz w:val="24"/>
          <w:szCs w:val="24"/>
          <w:highlight w:val="none"/>
          <w:u w:val="single" w:color="000000"/>
        </w:rPr>
        <w:t xml:space="preserve">    </w:t>
      </w:r>
    </w:p>
    <w:p w14:paraId="6BCE7045">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5484D20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关于承包人提供的上述文件的使用限制的要求：</w:t>
      </w:r>
      <w:r>
        <w:rPr>
          <w:rFonts w:hint="eastAsia"/>
          <w:b w:val="0"/>
          <w:i w:val="0"/>
          <w:caps w:val="0"/>
          <w:color w:val="auto"/>
          <w:spacing w:val="0"/>
          <w:w w:val="100"/>
          <w:sz w:val="24"/>
          <w:szCs w:val="24"/>
          <w:highlight w:val="none"/>
          <w:u w:val="single" w:color="000000"/>
        </w:rPr>
        <w:t>   </w:t>
      </w:r>
    </w:p>
    <w:p w14:paraId="14299CFD">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                 </w:t>
      </w:r>
      <w:r>
        <w:rPr>
          <w:rFonts w:hint="eastAsia"/>
          <w:b w:val="0"/>
          <w:i w:val="0"/>
          <w:caps w:val="0"/>
          <w:color w:val="auto"/>
          <w:spacing w:val="0"/>
          <w:w w:val="100"/>
          <w:sz w:val="24"/>
          <w:szCs w:val="24"/>
          <w:highlight w:val="none"/>
        </w:rPr>
        <w:t>。</w:t>
      </w:r>
    </w:p>
    <w:p w14:paraId="6CF6F249">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rPr>
        <w:t>1.11.4 承包人在施工过程中所采用的专利、专有技术、技术秘密的使用费的承担方式：</w:t>
      </w: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kern w:val="0"/>
          <w:sz w:val="24"/>
          <w:szCs w:val="24"/>
          <w:highlight w:val="none"/>
        </w:rPr>
        <w:t>。</w:t>
      </w:r>
    </w:p>
    <w:p w14:paraId="75D98F6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1.13工程量清单错误的修正</w:t>
      </w:r>
    </w:p>
    <w:p w14:paraId="78A89F7B">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出现工程量清单错误时，是否调整合同价格：</w:t>
      </w: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kern w:val="0"/>
          <w:sz w:val="24"/>
          <w:szCs w:val="24"/>
          <w:highlight w:val="none"/>
        </w:rPr>
        <w:t>。</w:t>
      </w:r>
    </w:p>
    <w:p w14:paraId="674DFFAC">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允许调整合同价格的工程量偏差范围：</w:t>
      </w:r>
      <w:r>
        <w:rPr>
          <w:rFonts w:hint="eastAsia"/>
          <w:b w:val="0"/>
          <w:i w:val="0"/>
          <w:caps w:val="0"/>
          <w:color w:val="auto"/>
          <w:spacing w:val="0"/>
          <w:w w:val="100"/>
          <w:sz w:val="24"/>
          <w:szCs w:val="24"/>
          <w:highlight w:val="none"/>
          <w:u w:val="single" w:color="000000"/>
        </w:rPr>
        <w:t xml:space="preserve">                  </w:t>
      </w:r>
    </w:p>
    <w:p w14:paraId="4F86A738">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kern w:val="0"/>
          <w:sz w:val="24"/>
          <w:szCs w:val="24"/>
          <w:highlight w:val="none"/>
        </w:rPr>
        <w:t>。</w:t>
      </w:r>
    </w:p>
    <w:p w14:paraId="225FE555">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23" w:name="_Toc351203634"/>
      <w:r>
        <w:rPr>
          <w:rFonts w:hint="eastAsia"/>
          <w:b w:val="0"/>
          <w:i w:val="0"/>
          <w:caps w:val="0"/>
          <w:color w:val="auto"/>
          <w:spacing w:val="0"/>
          <w:w w:val="100"/>
          <w:sz w:val="24"/>
          <w:szCs w:val="24"/>
          <w:highlight w:val="none"/>
        </w:rPr>
        <w:t>2. 发包人</w:t>
      </w:r>
      <w:bookmarkEnd w:id="523"/>
    </w:p>
    <w:p w14:paraId="51725362">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2.2 发包人代表</w:t>
      </w:r>
    </w:p>
    <w:p w14:paraId="362C8F4E">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发包人代表：</w:t>
      </w:r>
    </w:p>
    <w:p w14:paraId="6EA1F9A9">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姓    名：</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5C150E2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身份证号：</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26BABF13">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职    务：</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20E9695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联系电话：</w:t>
      </w:r>
      <w:r>
        <w:rPr>
          <w:rFonts w:hint="eastAsia"/>
          <w:b w:val="0"/>
          <w:i w:val="0"/>
          <w:caps w:val="0"/>
          <w:color w:val="auto"/>
          <w:spacing w:val="0"/>
          <w:w w:val="100"/>
          <w:sz w:val="24"/>
          <w:szCs w:val="24"/>
          <w:highlight w:val="none"/>
          <w:u w:val="single" w:color="000000"/>
        </w:rPr>
        <w:t>     </w:t>
      </w:r>
      <w:r>
        <w:rPr>
          <w:rFonts w:hint="eastAsia"/>
          <w:b w:val="0"/>
          <w:i w:val="0"/>
          <w:caps w:val="0"/>
          <w:color w:val="auto"/>
          <w:spacing w:val="0"/>
          <w:w w:val="100"/>
          <w:sz w:val="24"/>
          <w:szCs w:val="24"/>
          <w:highlight w:val="none"/>
        </w:rPr>
        <w:t>；</w:t>
      </w:r>
    </w:p>
    <w:p w14:paraId="1991A63B">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电子信箱：</w:t>
      </w:r>
      <w:r>
        <w:rPr>
          <w:rFonts w:hint="eastAsia"/>
          <w:b w:val="0"/>
          <w:i w:val="0"/>
          <w:caps w:val="0"/>
          <w:color w:val="auto"/>
          <w:spacing w:val="0"/>
          <w:w w:val="100"/>
          <w:sz w:val="24"/>
          <w:szCs w:val="24"/>
          <w:highlight w:val="none"/>
          <w:u w:val="single" w:color="000000"/>
        </w:rPr>
        <w:t>     </w:t>
      </w:r>
      <w:r>
        <w:rPr>
          <w:rFonts w:hint="eastAsia"/>
          <w:b w:val="0"/>
          <w:i w:val="0"/>
          <w:caps w:val="0"/>
          <w:color w:val="auto"/>
          <w:spacing w:val="0"/>
          <w:w w:val="100"/>
          <w:sz w:val="24"/>
          <w:szCs w:val="24"/>
          <w:highlight w:val="none"/>
        </w:rPr>
        <w:t>；</w:t>
      </w:r>
    </w:p>
    <w:p w14:paraId="472C9BB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通信地址：</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3B1FEFD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发包人对发包人代表的授权范围如下：</w:t>
      </w:r>
      <w:r>
        <w:rPr>
          <w:rFonts w:hint="eastAsia"/>
          <w:b w:val="0"/>
          <w:i w:val="0"/>
          <w:caps w:val="0"/>
          <w:color w:val="auto"/>
          <w:spacing w:val="0"/>
          <w:w w:val="100"/>
          <w:sz w:val="24"/>
          <w:szCs w:val="24"/>
          <w:highlight w:val="none"/>
          <w:u w:val="single" w:color="000000"/>
        </w:rPr>
        <w:t>     </w:t>
      </w:r>
    </w:p>
    <w:p w14:paraId="3B87168B">
      <w:pPr>
        <w:snapToGrid w:val="0"/>
        <w:spacing w:before="0" w:beforeAutospacing="0" w:after="0" w:afterAutospacing="0" w:line="360" w:lineRule="auto"/>
        <w:textAlignment w:val="baseline"/>
        <w:rPr>
          <w:rFonts w:hint="eastAsia"/>
          <w:b/>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sz w:val="24"/>
          <w:szCs w:val="24"/>
          <w:highlight w:val="none"/>
        </w:rPr>
        <w:t>。</w:t>
      </w:r>
    </w:p>
    <w:p w14:paraId="7EEA28B8">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2.4 施工现场、施工条件和基础资料的提供</w:t>
      </w:r>
    </w:p>
    <w:p w14:paraId="1C303736">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2.4.1 提供施工现场</w:t>
      </w:r>
    </w:p>
    <w:p w14:paraId="6F7743F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关于发包人移交施工现场的期限要求：</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xml:space="preserve">                                         </w:t>
      </w:r>
      <w:r>
        <w:rPr>
          <w:rFonts w:hint="eastAsia"/>
          <w:b w:val="0"/>
          <w:i w:val="0"/>
          <w:caps w:val="0"/>
          <w:color w:val="auto"/>
          <w:spacing w:val="0"/>
          <w:w w:val="100"/>
          <w:sz w:val="24"/>
          <w:szCs w:val="24"/>
          <w:highlight w:val="none"/>
        </w:rPr>
        <w:t>。</w:t>
      </w:r>
    </w:p>
    <w:p w14:paraId="229CFC9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2.4.2 提供施工条件</w:t>
      </w:r>
    </w:p>
    <w:p w14:paraId="009FBB3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关于发包人应负责提供施工所需要的条件，包括：</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sz w:val="24"/>
          <w:szCs w:val="24"/>
          <w:highlight w:val="none"/>
        </w:rPr>
        <w:t>。</w:t>
      </w:r>
    </w:p>
    <w:p w14:paraId="50E752FA">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2.5 资金来源证明及支付担保</w:t>
      </w:r>
    </w:p>
    <w:p w14:paraId="4358984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发包人提供资金来源证明的期限要求：</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424FE83">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发包人是否提供支付担保：</w:t>
      </w: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sz w:val="24"/>
          <w:szCs w:val="24"/>
          <w:highlight w:val="none"/>
        </w:rPr>
        <w:t>。</w:t>
      </w:r>
    </w:p>
    <w:p w14:paraId="73DCE218">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发包人提供支付担保的形式：</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7F72BE75">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24" w:name="_Toc351203635"/>
      <w:r>
        <w:rPr>
          <w:rFonts w:hint="eastAsia"/>
          <w:b w:val="0"/>
          <w:i w:val="0"/>
          <w:caps w:val="0"/>
          <w:color w:val="auto"/>
          <w:spacing w:val="0"/>
          <w:w w:val="100"/>
          <w:sz w:val="24"/>
          <w:szCs w:val="24"/>
          <w:highlight w:val="none"/>
        </w:rPr>
        <w:t>3. 承包人</w:t>
      </w:r>
      <w:bookmarkEnd w:id="524"/>
    </w:p>
    <w:p w14:paraId="7AB3ECE7">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3.1 承包人的一般义务</w:t>
      </w:r>
    </w:p>
    <w:p w14:paraId="5E88397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（9）</w:t>
      </w:r>
      <w:r>
        <w:rPr>
          <w:rFonts w:hint="eastAsia"/>
          <w:b w:val="0"/>
          <w:i w:val="0"/>
          <w:caps w:val="0"/>
          <w:color w:val="auto"/>
          <w:spacing w:val="0"/>
          <w:w w:val="100"/>
          <w:sz w:val="24"/>
          <w:szCs w:val="24"/>
          <w:highlight w:val="none"/>
        </w:rPr>
        <w:t>承包人提交的竣工资料的内容：</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3DC4E78B">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EE7D9D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承包人需要提交的竣工资料套数：</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565BAA3">
      <w:pPr>
        <w:snapToGrid w:val="0"/>
        <w:spacing w:before="0" w:beforeAutospacing="0" w:after="0" w:afterAutospacing="0" w:line="360" w:lineRule="auto"/>
        <w:ind w:left="638" w:leftChars="304"/>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承包人提交的竣工资料的费用承担：</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F31D578">
      <w:pPr>
        <w:snapToGrid w:val="0"/>
        <w:spacing w:before="0" w:beforeAutospacing="0" w:after="0" w:afterAutospacing="0" w:line="360" w:lineRule="auto"/>
        <w:ind w:left="638" w:leftChars="304"/>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承包人提交的竣工资料移交时间：</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985F61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承包人提交的竣工资料形式要求：</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C27DD57">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（10）承包人应履行的其他义务：</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sz w:val="24"/>
          <w:szCs w:val="24"/>
          <w:highlight w:val="none"/>
        </w:rPr>
        <w:t>。</w:t>
      </w:r>
    </w:p>
    <w:p w14:paraId="7E35C9B8">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3.2 项目经理</w:t>
      </w:r>
    </w:p>
    <w:p w14:paraId="001D60FC">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 xml:space="preserve">3.2.1 </w:t>
      </w:r>
      <w:r>
        <w:rPr>
          <w:rFonts w:hint="eastAsia"/>
          <w:b w:val="0"/>
          <w:i w:val="0"/>
          <w:caps w:val="0"/>
          <w:color w:val="auto"/>
          <w:spacing w:val="0"/>
          <w:w w:val="100"/>
          <w:sz w:val="24"/>
          <w:szCs w:val="24"/>
          <w:highlight w:val="none"/>
        </w:rPr>
        <w:t>项目经理：</w:t>
      </w:r>
    </w:p>
    <w:p w14:paraId="17C40FF8">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姓    名：</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21E07383">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身份证号：</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583FE00C">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建造师执业资格等级：</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1DF55EC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建造师注册证书号：</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49CC682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建造师执业印章号：</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399871C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安全生产考核合格证书号：</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5B1B06C1">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联系电话：</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6FEA110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电子信箱：</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562EBCBD">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通信地址：</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6BCCDE6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承包人对项目经理的授权范围如下：</w:t>
      </w:r>
      <w:r>
        <w:rPr>
          <w:rFonts w:hint="eastAsia"/>
          <w:b w:val="0"/>
          <w:i w:val="0"/>
          <w:caps w:val="0"/>
          <w:color w:val="auto"/>
          <w:spacing w:val="0"/>
          <w:w w:val="100"/>
          <w:sz w:val="24"/>
          <w:szCs w:val="24"/>
          <w:highlight w:val="none"/>
          <w:u w:val="single" w:color="000000"/>
        </w:rPr>
        <w:t xml:space="preserve">                                                        </w:t>
      </w:r>
      <w:r>
        <w:rPr>
          <w:rFonts w:hint="eastAsia"/>
          <w:b w:val="0"/>
          <w:i w:val="0"/>
          <w:caps w:val="0"/>
          <w:color w:val="auto"/>
          <w:spacing w:val="0"/>
          <w:w w:val="100"/>
          <w:sz w:val="24"/>
          <w:szCs w:val="24"/>
          <w:highlight w:val="none"/>
        </w:rPr>
        <w:t>。</w:t>
      </w:r>
    </w:p>
    <w:p w14:paraId="2966F9F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关于项目经理每月在施工现场的时间要求：</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23F4F20F">
      <w:pPr>
        <w:snapToGrid w:val="0"/>
        <w:spacing w:before="0" w:beforeAutospacing="0" w:after="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承包人未提交劳动合同，以及没有为项目经理缴纳社会保险证明的违约责任：</w:t>
      </w:r>
      <w:r>
        <w:rPr>
          <w:rFonts w:hint="eastAsia"/>
          <w:b w:val="0"/>
          <w:i w:val="0"/>
          <w:caps w:val="0"/>
          <w:color w:val="auto"/>
          <w:spacing w:val="0"/>
          <w:w w:val="100"/>
          <w:sz w:val="24"/>
          <w:szCs w:val="24"/>
          <w:highlight w:val="none"/>
          <w:u w:val="single" w:color="000000"/>
        </w:rPr>
        <w:t xml:space="preserve">                                                                                     </w:t>
      </w:r>
      <w:r>
        <w:rPr>
          <w:rFonts w:hint="eastAsia"/>
          <w:b w:val="0"/>
          <w:i w:val="0"/>
          <w:caps w:val="0"/>
          <w:color w:val="auto"/>
          <w:spacing w:val="0"/>
          <w:w w:val="100"/>
          <w:sz w:val="24"/>
          <w:szCs w:val="24"/>
          <w:highlight w:val="none"/>
        </w:rPr>
        <w:t>。</w:t>
      </w:r>
    </w:p>
    <w:p w14:paraId="16FF494D">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项目经理未经批准，擅自离开施工现场的违约责任：</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                                        </w:t>
      </w:r>
      <w:r>
        <w:rPr>
          <w:rFonts w:hint="eastAsia"/>
          <w:b w:val="0"/>
          <w:i w:val="0"/>
          <w:caps w:val="0"/>
          <w:color w:val="auto"/>
          <w:spacing w:val="0"/>
          <w:w w:val="100"/>
          <w:sz w:val="24"/>
          <w:szCs w:val="24"/>
          <w:highlight w:val="none"/>
        </w:rPr>
        <w:t>。</w:t>
      </w:r>
    </w:p>
    <w:p w14:paraId="6094426E">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3.2.3 承包人擅自更换项目经理的违约责任：</w:t>
      </w:r>
      <w:r>
        <w:rPr>
          <w:rFonts w:hint="eastAsia"/>
          <w:b w:val="0"/>
          <w:i w:val="0"/>
          <w:caps w:val="0"/>
          <w:color w:val="auto"/>
          <w:spacing w:val="0"/>
          <w:w w:val="100"/>
          <w:sz w:val="24"/>
          <w:szCs w:val="24"/>
          <w:highlight w:val="none"/>
          <w:u w:val="single" w:color="000000"/>
        </w:rPr>
        <w:t xml:space="preserve">              </w:t>
      </w:r>
    </w:p>
    <w:p w14:paraId="783582AF">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                                    </w:t>
      </w:r>
      <w:r>
        <w:rPr>
          <w:rFonts w:hint="eastAsia"/>
          <w:b w:val="0"/>
          <w:i w:val="0"/>
          <w:caps w:val="0"/>
          <w:color w:val="auto"/>
          <w:spacing w:val="0"/>
          <w:w w:val="100"/>
          <w:sz w:val="24"/>
          <w:szCs w:val="24"/>
          <w:highlight w:val="none"/>
        </w:rPr>
        <w:t>。</w:t>
      </w:r>
    </w:p>
    <w:p w14:paraId="08CB51D7">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 xml:space="preserve">    3.2.4 承包人无正当理由拒绝更换项目经理的违约责任：</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78500F0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3.3 承包人人员</w:t>
      </w:r>
    </w:p>
    <w:p w14:paraId="74BD2C9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3.3.1 承包人提交项目管理机构及施工现场管理人员安排报告的期限：</w:t>
      </w:r>
      <w:r>
        <w:rPr>
          <w:rFonts w:hint="eastAsia"/>
          <w:b w:val="0"/>
          <w:i w:val="0"/>
          <w:caps w:val="0"/>
          <w:color w:val="auto"/>
          <w:spacing w:val="0"/>
          <w:w w:val="100"/>
          <w:sz w:val="24"/>
          <w:szCs w:val="24"/>
          <w:highlight w:val="none"/>
          <w:u w:val="single" w:color="000000"/>
        </w:rPr>
        <w:t xml:space="preserve">                                          </w:t>
      </w:r>
      <w:r>
        <w:rPr>
          <w:rFonts w:hint="eastAsia"/>
          <w:b w:val="0"/>
          <w:i w:val="0"/>
          <w:caps w:val="0"/>
          <w:color w:val="auto"/>
          <w:spacing w:val="0"/>
          <w:w w:val="100"/>
          <w:sz w:val="24"/>
          <w:szCs w:val="24"/>
          <w:highlight w:val="none"/>
        </w:rPr>
        <w:t>。</w:t>
      </w:r>
    </w:p>
    <w:p w14:paraId="090480CB">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3.3.3 承包人无正当理由拒绝撤换主要施工管理人员的违约责任：</w:t>
      </w:r>
      <w:r>
        <w:rPr>
          <w:rFonts w:hint="eastAsia"/>
          <w:b w:val="0"/>
          <w:i w:val="0"/>
          <w:caps w:val="0"/>
          <w:color w:val="auto"/>
          <w:spacing w:val="0"/>
          <w:w w:val="100"/>
          <w:sz w:val="24"/>
          <w:szCs w:val="24"/>
          <w:highlight w:val="none"/>
          <w:u w:val="single" w:color="000000"/>
        </w:rPr>
        <w:t xml:space="preserve">                                              </w:t>
      </w:r>
      <w:r>
        <w:rPr>
          <w:rFonts w:hint="eastAsia"/>
          <w:b w:val="0"/>
          <w:i w:val="0"/>
          <w:caps w:val="0"/>
          <w:color w:val="auto"/>
          <w:spacing w:val="0"/>
          <w:w w:val="100"/>
          <w:sz w:val="24"/>
          <w:szCs w:val="24"/>
          <w:highlight w:val="none"/>
        </w:rPr>
        <w:t>。</w:t>
      </w:r>
    </w:p>
    <w:p w14:paraId="6426FE12">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 xml:space="preserve">3.3.4 承包人主要施工管理人员离开施工现场的批准要求：   </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60190A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3.3.5承包人擅自更换主要施工管理人员的违约责任：</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E59378B">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承包人主要施工管理人员擅自离开施工现场的违约责任：</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07223AE">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3.5 分包</w:t>
      </w:r>
    </w:p>
    <w:p w14:paraId="256F48BE">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w:t>
      </w:r>
      <w:bookmarkStart w:id="525" w:name="_Toc296891200"/>
      <w:bookmarkStart w:id="526" w:name="_Toc297120460"/>
      <w:bookmarkStart w:id="527" w:name="_Toc296944499"/>
      <w:bookmarkStart w:id="528" w:name="_Toc296890988"/>
      <w:bookmarkStart w:id="529" w:name="_Toc297123493"/>
      <w:bookmarkStart w:id="530" w:name="_Toc292559365"/>
      <w:bookmarkStart w:id="531" w:name="_Toc297048346"/>
      <w:bookmarkStart w:id="532" w:name="_Toc296503160"/>
      <w:bookmarkStart w:id="533" w:name="_Toc292559870"/>
      <w:bookmarkStart w:id="534" w:name="_Toc297216152"/>
      <w:bookmarkStart w:id="535" w:name="_Toc296346661"/>
      <w:bookmarkStart w:id="536" w:name="_Toc304295524"/>
      <w:bookmarkStart w:id="537" w:name="_Toc300934946"/>
      <w:bookmarkStart w:id="538" w:name="_Toc296347159"/>
      <w:bookmarkStart w:id="539" w:name="_Toc303539103"/>
      <w:r>
        <w:rPr>
          <w:rFonts w:hint="eastAsia"/>
          <w:b w:val="0"/>
          <w:i w:val="0"/>
          <w:caps w:val="0"/>
          <w:color w:val="auto"/>
          <w:spacing w:val="0"/>
          <w:w w:val="100"/>
          <w:sz w:val="24"/>
          <w:szCs w:val="24"/>
          <w:highlight w:val="none"/>
        </w:rPr>
        <w:t>.5.1 分包的一般约定</w:t>
      </w:r>
    </w:p>
    <w:p w14:paraId="07DA09D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禁止分包的工程包括：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AF4431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主体结构、关键性工作的范围：</w:t>
      </w:r>
      <w:r>
        <w:rPr>
          <w:rFonts w:hint="eastAsia"/>
          <w:b w:val="0"/>
          <w:i w:val="0"/>
          <w:caps w:val="0"/>
          <w:color w:val="auto"/>
          <w:spacing w:val="0"/>
          <w:w w:val="100"/>
          <w:sz w:val="24"/>
          <w:szCs w:val="24"/>
          <w:highlight w:val="none"/>
          <w:u w:val="single" w:color="000000"/>
        </w:rPr>
        <w:t xml:space="preserve">                      </w:t>
      </w:r>
    </w:p>
    <w:p w14:paraId="4F939D54">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25259C7E">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 xml:space="preserve">    3.5.2分包的确定</w:t>
      </w:r>
    </w:p>
    <w:p w14:paraId="54D58258">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允许分包的专业工程包括：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F4C3F6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其他关于分包的约定：</w:t>
      </w:r>
      <w:r>
        <w:rPr>
          <w:rFonts w:hint="eastAsia"/>
          <w:b w:val="0"/>
          <w:i w:val="0"/>
          <w:caps w:val="0"/>
          <w:color w:val="auto"/>
          <w:spacing w:val="0"/>
          <w:w w:val="100"/>
          <w:sz w:val="24"/>
          <w:szCs w:val="24"/>
          <w:highlight w:val="none"/>
          <w:u w:val="single" w:color="000000"/>
        </w:rPr>
        <w:t xml:space="preserve">                                  </w:t>
      </w:r>
    </w:p>
    <w:p w14:paraId="406720FC">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82BC36C">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3.5.4 分包合同价款</w:t>
      </w:r>
    </w:p>
    <w:p w14:paraId="0AFFD99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关于分包合同价款支付的约定：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1B54D78">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3.6 工程照管与成品、半成品保护</w:t>
      </w:r>
    </w:p>
    <w:p w14:paraId="326935AE">
      <w:pPr>
        <w:snapToGrid w:val="0"/>
        <w:spacing w:before="120" w:beforeAutospacing="0" w:after="120" w:afterAutospacing="0" w:line="360" w:lineRule="auto"/>
        <w:ind w:firstLine="480" w:firstLineChars="200"/>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承包人负责照管工程及工程相关的材料、工程设备的起始时间：</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7AC901A3">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3.7 履约担保</w:t>
      </w:r>
    </w:p>
    <w:p w14:paraId="7AE88E0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承包人是否提供履约担保：</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u w:val="single" w:color="000000"/>
          <w:lang w:eastAsia="zh-CN"/>
        </w:rPr>
        <w:t>是</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5829A15">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承包人提供履约担保的形式、金额及期限的：</w:t>
      </w:r>
      <w:r>
        <w:rPr>
          <w:rFonts w:hint="eastAsia"/>
          <w:b w:val="0"/>
          <w:i w:val="0"/>
          <w:caps w:val="0"/>
          <w:color w:val="auto"/>
          <w:spacing w:val="0"/>
          <w:w w:val="100"/>
          <w:sz w:val="24"/>
          <w:szCs w:val="24"/>
          <w:highlight w:val="none"/>
          <w:u w:val="single" w:color="000000"/>
          <w:lang w:eastAsia="zh-CN"/>
        </w:rPr>
        <w:t>乙方向甲方支付履约保证金为合同价(中标价)的10%即人民币大写：</w:t>
      </w:r>
      <w:r>
        <w:rPr>
          <w:rFonts w:hint="eastAsia"/>
          <w:b w:val="0"/>
          <w:i w:val="0"/>
          <w:caps w:val="0"/>
          <w:color w:val="auto"/>
          <w:spacing w:val="0"/>
          <w:w w:val="100"/>
          <w:sz w:val="24"/>
          <w:szCs w:val="24"/>
          <w:highlight w:val="none"/>
          <w:u w:val="single" w:color="000000"/>
          <w:lang w:val="en-US" w:eastAsia="zh-CN"/>
        </w:rPr>
        <w:t xml:space="preserve">    小写：    </w:t>
      </w:r>
      <w:r>
        <w:rPr>
          <w:rFonts w:hint="eastAsia"/>
          <w:b w:val="0"/>
          <w:i w:val="0"/>
          <w:caps w:val="0"/>
          <w:color w:val="auto"/>
          <w:spacing w:val="0"/>
          <w:w w:val="100"/>
          <w:sz w:val="24"/>
          <w:szCs w:val="24"/>
          <w:highlight w:val="none"/>
          <w:u w:val="single" w:color="000000"/>
          <w:lang w:eastAsia="zh-CN"/>
        </w:rPr>
        <w:t>，项目验收合格之日起退还7%即人民币大写：</w:t>
      </w:r>
      <w:r>
        <w:rPr>
          <w:rFonts w:hint="eastAsia"/>
          <w:b w:val="0"/>
          <w:i w:val="0"/>
          <w:caps w:val="0"/>
          <w:color w:val="auto"/>
          <w:spacing w:val="0"/>
          <w:w w:val="100"/>
          <w:sz w:val="24"/>
          <w:szCs w:val="24"/>
          <w:highlight w:val="none"/>
          <w:u w:val="single" w:color="000000"/>
          <w:lang w:val="en-US" w:eastAsia="zh-CN"/>
        </w:rPr>
        <w:t xml:space="preserve">    小写：    </w:t>
      </w:r>
      <w:r>
        <w:rPr>
          <w:rFonts w:hint="eastAsia"/>
          <w:b w:val="0"/>
          <w:i w:val="0"/>
          <w:caps w:val="0"/>
          <w:color w:val="auto"/>
          <w:spacing w:val="0"/>
          <w:w w:val="100"/>
          <w:sz w:val="24"/>
          <w:szCs w:val="24"/>
          <w:highlight w:val="none"/>
          <w:u w:val="single" w:color="000000"/>
          <w:lang w:eastAsia="zh-CN"/>
        </w:rPr>
        <w:t>，剩余3%即人民币大写：</w:t>
      </w:r>
      <w:r>
        <w:rPr>
          <w:rFonts w:hint="eastAsia"/>
          <w:b w:val="0"/>
          <w:i w:val="0"/>
          <w:caps w:val="0"/>
          <w:color w:val="auto"/>
          <w:spacing w:val="0"/>
          <w:w w:val="100"/>
          <w:sz w:val="24"/>
          <w:szCs w:val="24"/>
          <w:highlight w:val="none"/>
          <w:u w:val="single" w:color="000000"/>
          <w:lang w:val="en-US" w:eastAsia="zh-CN"/>
        </w:rPr>
        <w:t xml:space="preserve">    小写：    </w:t>
      </w:r>
      <w:r>
        <w:rPr>
          <w:rFonts w:hint="eastAsia"/>
          <w:b w:val="0"/>
          <w:i w:val="0"/>
          <w:caps w:val="0"/>
          <w:color w:val="auto"/>
          <w:spacing w:val="0"/>
          <w:w w:val="100"/>
          <w:sz w:val="24"/>
          <w:szCs w:val="24"/>
          <w:highlight w:val="none"/>
          <w:u w:val="single" w:color="000000"/>
          <w:lang w:eastAsia="zh-CN"/>
        </w:rPr>
        <w:t>转为质保金(质保期2年，质保期自验收合格之日起算)，待约定的质保期满且工程无质量问题后，10个工作日内由甲方支付给乙方。</w:t>
      </w:r>
    </w:p>
    <w:p w14:paraId="46A4B086">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40" w:name="_Toc351203636"/>
      <w:r>
        <w:rPr>
          <w:rFonts w:hint="eastAsia"/>
          <w:b w:val="0"/>
          <w:i w:val="0"/>
          <w:caps w:val="0"/>
          <w:color w:val="auto"/>
          <w:spacing w:val="0"/>
          <w:w w:val="100"/>
          <w:sz w:val="24"/>
          <w:szCs w:val="24"/>
          <w:highlight w:val="none"/>
        </w:rPr>
        <w:t>4</w:t>
      </w:r>
      <w:bookmarkStart w:id="541" w:name="_Toc296890990"/>
      <w:bookmarkStart w:id="542" w:name="_Toc296346663"/>
      <w:bookmarkStart w:id="543" w:name="_Toc292559871"/>
      <w:bookmarkStart w:id="544" w:name="_Toc296891202"/>
      <w:bookmarkStart w:id="545" w:name="_Toc296944501"/>
      <w:bookmarkStart w:id="546" w:name="_Toc267251413"/>
      <w:bookmarkStart w:id="547" w:name="_Toc296347161"/>
      <w:bookmarkStart w:id="548" w:name="_Toc297120462"/>
      <w:bookmarkStart w:id="549" w:name="_Toc297048348"/>
      <w:bookmarkStart w:id="550" w:name="_Toc296503162"/>
      <w:bookmarkStart w:id="551" w:name="_Toc292559366"/>
      <w:r>
        <w:rPr>
          <w:rFonts w:hint="eastAsia"/>
          <w:b w:val="0"/>
          <w:i w:val="0"/>
          <w:caps w:val="0"/>
          <w:color w:val="auto"/>
          <w:spacing w:val="0"/>
          <w:w w:val="100"/>
          <w:sz w:val="24"/>
          <w:szCs w:val="24"/>
          <w:highlight w:val="none"/>
        </w:rPr>
        <w:t>. 监</w:t>
      </w:r>
      <w:bookmarkEnd w:id="541"/>
      <w:bookmarkEnd w:id="542"/>
      <w:bookmarkEnd w:id="543"/>
      <w:bookmarkEnd w:id="544"/>
      <w:bookmarkEnd w:id="545"/>
      <w:bookmarkEnd w:id="546"/>
      <w:bookmarkEnd w:id="547"/>
      <w:bookmarkEnd w:id="548"/>
      <w:bookmarkEnd w:id="549"/>
      <w:bookmarkEnd w:id="550"/>
      <w:bookmarkEnd w:id="551"/>
      <w:r>
        <w:rPr>
          <w:rFonts w:hint="eastAsia"/>
          <w:b w:val="0"/>
          <w:i w:val="0"/>
          <w:caps w:val="0"/>
          <w:color w:val="auto"/>
          <w:spacing w:val="0"/>
          <w:w w:val="100"/>
          <w:sz w:val="24"/>
          <w:szCs w:val="24"/>
          <w:highlight w:val="none"/>
        </w:rPr>
        <w:t>理人</w:t>
      </w:r>
      <w:bookmarkEnd w:id="540"/>
    </w:p>
    <w:p w14:paraId="5805C2C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4.1监理人的一般规定</w:t>
      </w:r>
    </w:p>
    <w:p w14:paraId="51F8BB5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关于监理人的监理内容：</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A1762A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关于监理人的监理权限：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2D03B745">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关于监理人在施工现场的办公场所、生活场所的提供和费用承担的约定：</w:t>
      </w:r>
      <w:r>
        <w:rPr>
          <w:rFonts w:hint="eastAsia"/>
          <w:b w:val="0"/>
          <w:i w:val="0"/>
          <w:caps w:val="0"/>
          <w:color w:val="auto"/>
          <w:spacing w:val="0"/>
          <w:w w:val="100"/>
          <w:sz w:val="24"/>
          <w:szCs w:val="24"/>
          <w:highlight w:val="none"/>
          <w:u w:val="single" w:color="000000"/>
        </w:rPr>
        <w:t xml:space="preserve">                                                </w:t>
      </w:r>
    </w:p>
    <w:p w14:paraId="12958E38">
      <w:pPr>
        <w:snapToGrid w:val="0"/>
        <w:spacing w:before="0" w:beforeAutospacing="0" w:after="0" w:afterAutospacing="0" w:line="360" w:lineRule="auto"/>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97DFC14">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4.2 监理人员</w:t>
      </w:r>
    </w:p>
    <w:p w14:paraId="4D2EAC79">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总监理工程师：</w:t>
      </w:r>
    </w:p>
    <w:p w14:paraId="5C1F25D7">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姓    名：</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6821586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职    务：</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1191AA77">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监理工程师执业资格证书号：</w:t>
      </w:r>
      <w:r>
        <w:rPr>
          <w:rFonts w:hint="eastAsia"/>
          <w:b w:val="0"/>
          <w:i w:val="0"/>
          <w:caps w:val="0"/>
          <w:color w:val="auto"/>
          <w:spacing w:val="0"/>
          <w:w w:val="100"/>
          <w:sz w:val="24"/>
          <w:szCs w:val="24"/>
          <w:highlight w:val="none"/>
          <w:u w:val="single" w:color="000000"/>
        </w:rPr>
        <w:t> </w:t>
      </w:r>
      <w:r>
        <w:rPr>
          <w:rFonts w:hint="eastAsia"/>
          <w:b w:val="0"/>
          <w:i w:val="0"/>
          <w:caps w:val="0"/>
          <w:color w:val="auto"/>
          <w:spacing w:val="0"/>
          <w:w w:val="100"/>
          <w:sz w:val="24"/>
          <w:szCs w:val="24"/>
          <w:highlight w:val="none"/>
        </w:rPr>
        <w:t>；</w:t>
      </w:r>
    </w:p>
    <w:p w14:paraId="33D8DBC5">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联系电话：</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37252488">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电子信箱：</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7616A17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通信地址：</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41DF774A">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关于监理人的其他约定：</w:t>
      </w:r>
      <w:r>
        <w:rPr>
          <w:rFonts w:hint="eastAsia"/>
          <w:b w:val="0"/>
          <w:i w:val="0"/>
          <w:caps w:val="0"/>
          <w:color w:val="auto"/>
          <w:spacing w:val="0"/>
          <w:w w:val="100"/>
          <w:sz w:val="24"/>
          <w:szCs w:val="24"/>
          <w:highlight w:val="none"/>
          <w:u w:val="single" w:color="000000"/>
        </w:rPr>
        <w:t>   </w:t>
      </w:r>
      <w:r>
        <w:rPr>
          <w:rFonts w:hint="eastAsia"/>
          <w:b w:val="0"/>
          <w:i w:val="0"/>
          <w:caps w:val="0"/>
          <w:color w:val="auto"/>
          <w:spacing w:val="0"/>
          <w:w w:val="100"/>
          <w:sz w:val="24"/>
          <w:szCs w:val="24"/>
          <w:highlight w:val="none"/>
        </w:rPr>
        <w:t>。</w:t>
      </w:r>
    </w:p>
    <w:p w14:paraId="28154B20">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4.4 商定或确定</w:t>
      </w:r>
    </w:p>
    <w:p w14:paraId="56E7E460">
      <w:pPr>
        <w:snapToGrid w:val="0"/>
        <w:spacing w:before="0" w:beforeAutospacing="0" w:after="0" w:afterAutospacing="0" w:line="360" w:lineRule="auto"/>
        <w:ind w:firstLine="480" w:firstLineChars="200"/>
        <w:textAlignment w:val="baseline"/>
        <w:rPr>
          <w:rFonts w:hint="eastAsia"/>
          <w:b w:val="0"/>
          <w:i w:val="0"/>
          <w:caps w:val="0"/>
          <w:color w:val="auto"/>
          <w:spacing w:val="0"/>
          <w:w w:val="100"/>
          <w:sz w:val="24"/>
          <w:szCs w:val="24"/>
          <w:highlight w:val="none"/>
        </w:rPr>
      </w:pPr>
      <w:bookmarkStart w:id="552" w:name="_Toc267251418"/>
      <w:r>
        <w:rPr>
          <w:rFonts w:hint="eastAsia"/>
          <w:b w:val="0"/>
          <w:i w:val="0"/>
          <w:caps w:val="0"/>
          <w:color w:val="auto"/>
          <w:spacing w:val="0"/>
          <w:w w:val="100"/>
          <w:sz w:val="24"/>
          <w:szCs w:val="24"/>
          <w:highlight w:val="none"/>
        </w:rPr>
        <w:t>在发包人和承包人不能通过协商达成一致意见时，发包人授权监理人对以下事项进行确定：</w:t>
      </w:r>
    </w:p>
    <w:p w14:paraId="2436463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833CFF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（2）</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BA3B94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（3）</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407795B">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53" w:name="_Toc351203637"/>
      <w:r>
        <w:rPr>
          <w:rFonts w:hint="eastAsia"/>
          <w:b w:val="0"/>
          <w:i w:val="0"/>
          <w:caps w:val="0"/>
          <w:color w:val="auto"/>
          <w:spacing w:val="0"/>
          <w:w w:val="100"/>
          <w:sz w:val="24"/>
          <w:szCs w:val="24"/>
          <w:highlight w:val="none"/>
        </w:rPr>
        <w:t>5</w:t>
      </w:r>
      <w:bookmarkEnd w:id="552"/>
      <w:r>
        <w:rPr>
          <w:rFonts w:hint="eastAsia"/>
          <w:b w:val="0"/>
          <w:i w:val="0"/>
          <w:caps w:val="0"/>
          <w:color w:val="auto"/>
          <w:spacing w:val="0"/>
          <w:w w:val="100"/>
          <w:sz w:val="24"/>
          <w:szCs w:val="24"/>
          <w:highlight w:val="none"/>
        </w:rPr>
        <w:t>. 工程质量</w:t>
      </w:r>
      <w:bookmarkEnd w:id="553"/>
    </w:p>
    <w:p w14:paraId="72AF8604">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5.1 质量要求</w:t>
      </w:r>
    </w:p>
    <w:p w14:paraId="7299B56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5.1.1 特殊质量标准和要求：</w:t>
      </w:r>
      <w:r>
        <w:rPr>
          <w:rFonts w:hint="eastAsia"/>
          <w:b w:val="0"/>
          <w:i w:val="0"/>
          <w:caps w:val="0"/>
          <w:color w:val="auto"/>
          <w:spacing w:val="0"/>
          <w:w w:val="100"/>
          <w:sz w:val="24"/>
          <w:szCs w:val="24"/>
          <w:highlight w:val="none"/>
          <w:u w:val="single" w:color="000000"/>
        </w:rPr>
        <w:t xml:space="preserve">                             </w:t>
      </w:r>
    </w:p>
    <w:p w14:paraId="09DB40DA">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1D5531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关于工程奖项的约定：</w:t>
      </w:r>
      <w:r>
        <w:rPr>
          <w:rFonts w:hint="eastAsia"/>
          <w:b w:val="0"/>
          <w:i w:val="0"/>
          <w:caps w:val="0"/>
          <w:color w:val="auto"/>
          <w:spacing w:val="0"/>
          <w:w w:val="100"/>
          <w:sz w:val="24"/>
          <w:szCs w:val="24"/>
          <w:highlight w:val="none"/>
          <w:u w:val="single" w:color="000000"/>
        </w:rPr>
        <w:t xml:space="preserve">                                  </w:t>
      </w:r>
    </w:p>
    <w:p w14:paraId="7052D976">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D0BFD5A">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5.3 隐蔽工程检查</w:t>
      </w:r>
    </w:p>
    <w:p w14:paraId="0A65496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5.3.2承包人提前通知监理人隐蔽工程检查的期限的约定：</w:t>
      </w:r>
      <w:r>
        <w:rPr>
          <w:rFonts w:hint="eastAsia"/>
          <w:b w:val="0"/>
          <w:i w:val="0"/>
          <w:caps w:val="0"/>
          <w:color w:val="auto"/>
          <w:spacing w:val="0"/>
          <w:w w:val="100"/>
          <w:sz w:val="24"/>
          <w:szCs w:val="24"/>
          <w:highlight w:val="none"/>
          <w:u w:val="single" w:color="000000"/>
        </w:rPr>
        <w:t xml:space="preserve">    </w:t>
      </w:r>
    </w:p>
    <w:p w14:paraId="71450E42">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F2BFEB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监理人不能按时进行检查时，应提前</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小时提交书面延期要求。</w:t>
      </w:r>
    </w:p>
    <w:p w14:paraId="2C645AA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关于延期最长不得超过：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小时。</w:t>
      </w:r>
    </w:p>
    <w:p w14:paraId="3DB4201F">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54" w:name="_Toc351203638"/>
      <w:r>
        <w:rPr>
          <w:rFonts w:hint="eastAsia"/>
          <w:b w:val="0"/>
          <w:i w:val="0"/>
          <w:caps w:val="0"/>
          <w:color w:val="auto"/>
          <w:spacing w:val="0"/>
          <w:w w:val="100"/>
          <w:sz w:val="24"/>
          <w:szCs w:val="24"/>
          <w:highlight w:val="none"/>
        </w:rPr>
        <w:t>6. 安全文明施工与环境保护</w:t>
      </w:r>
      <w:bookmarkEnd w:id="554"/>
    </w:p>
    <w:p w14:paraId="357A385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6.1安全文明施工</w:t>
      </w:r>
    </w:p>
    <w:p w14:paraId="30A927B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6.1.1 项目安全生产的达标目标及相应事项的约定：</w:t>
      </w:r>
      <w:r>
        <w:rPr>
          <w:rFonts w:hint="eastAsia"/>
          <w:b w:val="0"/>
          <w:i w:val="0"/>
          <w:caps w:val="0"/>
          <w:color w:val="auto"/>
          <w:spacing w:val="0"/>
          <w:w w:val="100"/>
          <w:sz w:val="24"/>
          <w:szCs w:val="24"/>
          <w:highlight w:val="none"/>
          <w:u w:val="single" w:color="000000"/>
        </w:rPr>
        <w:t xml:space="preserve">         </w:t>
      </w:r>
    </w:p>
    <w:p w14:paraId="3536070C">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01EF83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6.1.4 关于治安保卫的特别约定：</w:t>
      </w:r>
      <w:r>
        <w:rPr>
          <w:rFonts w:hint="eastAsia"/>
          <w:b w:val="0"/>
          <w:i w:val="0"/>
          <w:caps w:val="0"/>
          <w:color w:val="auto"/>
          <w:spacing w:val="0"/>
          <w:w w:val="100"/>
          <w:sz w:val="24"/>
          <w:szCs w:val="24"/>
          <w:highlight w:val="none"/>
          <w:u w:val="single" w:color="000000"/>
        </w:rPr>
        <w:t xml:space="preserve">                         </w:t>
      </w:r>
    </w:p>
    <w:p w14:paraId="0F4C9C9B">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E42EB97">
      <w:pPr>
        <w:snapToGrid w:val="0"/>
        <w:spacing w:before="0" w:beforeAutospacing="0" w:after="0" w:afterAutospacing="0" w:line="360" w:lineRule="auto"/>
        <w:ind w:firstLine="480" w:firstLineChars="200"/>
        <w:jc w:val="left"/>
        <w:textAlignment w:val="baseline"/>
        <w:rPr>
          <w:rFonts w:hint="eastAsia" w:eastAsia="宋体"/>
          <w:b w:val="0"/>
          <w:i w:val="0"/>
          <w:caps w:val="0"/>
          <w:color w:val="auto"/>
          <w:spacing w:val="0"/>
          <w:w w:val="100"/>
          <w:sz w:val="24"/>
          <w:szCs w:val="24"/>
          <w:highlight w:val="none"/>
          <w:u w:val="single" w:color="000000"/>
          <w:lang w:eastAsia="zh-CN"/>
        </w:rPr>
      </w:pPr>
      <w:r>
        <w:rPr>
          <w:rFonts w:hint="eastAsia"/>
          <w:b w:val="0"/>
          <w:i w:val="0"/>
          <w:caps w:val="0"/>
          <w:color w:val="auto"/>
          <w:spacing w:val="0"/>
          <w:w w:val="100"/>
          <w:sz w:val="24"/>
          <w:szCs w:val="24"/>
          <w:highlight w:val="none"/>
        </w:rPr>
        <w:t>关于编制施工场地治安管理计划的约定：</w:t>
      </w:r>
      <w:r>
        <w:rPr>
          <w:rFonts w:hint="eastAsia"/>
          <w:b w:val="0"/>
          <w:i w:val="0"/>
          <w:caps w:val="0"/>
          <w:color w:val="auto"/>
          <w:spacing w:val="0"/>
          <w:w w:val="100"/>
          <w:sz w:val="24"/>
          <w:szCs w:val="24"/>
          <w:highlight w:val="none"/>
          <w:u w:val="single" w:color="000000"/>
        </w:rPr>
        <w:t xml:space="preserve">                  </w:t>
      </w:r>
    </w:p>
    <w:p w14:paraId="298DDFA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19D281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6.1.5 文明施工</w:t>
      </w:r>
    </w:p>
    <w:p w14:paraId="7BFAE3C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合同当事人对文明施工的要求：</w:t>
      </w:r>
      <w:r>
        <w:rPr>
          <w:rFonts w:hint="eastAsia"/>
          <w:b w:val="0"/>
          <w:i w:val="0"/>
          <w:caps w:val="0"/>
          <w:color w:val="auto"/>
          <w:spacing w:val="0"/>
          <w:w w:val="100"/>
          <w:sz w:val="24"/>
          <w:szCs w:val="24"/>
          <w:highlight w:val="none"/>
          <w:u w:val="single" w:color="000000"/>
        </w:rPr>
        <w:t xml:space="preserve">                          </w:t>
      </w:r>
    </w:p>
    <w:p w14:paraId="5229AFB0">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11DB16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6.1.6 关于安全文明施工费支付比例和支付期限的约定：</w:t>
      </w:r>
      <w:r>
        <w:rPr>
          <w:rFonts w:hint="eastAsia"/>
          <w:b w:val="0"/>
          <w:i w:val="0"/>
          <w:caps w:val="0"/>
          <w:color w:val="auto"/>
          <w:spacing w:val="0"/>
          <w:w w:val="100"/>
          <w:sz w:val="24"/>
          <w:szCs w:val="24"/>
          <w:highlight w:val="none"/>
          <w:u w:val="single" w:color="000000"/>
        </w:rPr>
        <w:t xml:space="preserve">     </w:t>
      </w:r>
    </w:p>
    <w:p w14:paraId="096C607A">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092477D">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55" w:name="_Toc351203639"/>
      <w:r>
        <w:rPr>
          <w:rFonts w:hint="eastAsia"/>
          <w:b w:val="0"/>
          <w:i w:val="0"/>
          <w:caps w:val="0"/>
          <w:color w:val="auto"/>
          <w:spacing w:val="0"/>
          <w:w w:val="100"/>
          <w:sz w:val="24"/>
          <w:szCs w:val="24"/>
          <w:highlight w:val="none"/>
        </w:rPr>
        <w:t>7. 工期和进度</w:t>
      </w:r>
      <w:bookmarkEnd w:id="555"/>
    </w:p>
    <w:p w14:paraId="40C6AAEC">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7.1 施工组织设计</w:t>
      </w:r>
    </w:p>
    <w:p w14:paraId="05C9BE5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7.1.1 合</w:t>
      </w:r>
      <w:r>
        <w:rPr>
          <w:rFonts w:hint="eastAsia"/>
          <w:b w:val="0"/>
          <w:i w:val="0"/>
          <w:caps w:val="0"/>
          <w:color w:val="auto"/>
          <w:spacing w:val="0"/>
          <w:w w:val="100"/>
          <w:kern w:val="0"/>
          <w:sz w:val="24"/>
          <w:szCs w:val="24"/>
          <w:highlight w:val="none"/>
        </w:rPr>
        <w:t>同当事人约定的施工组织设计应包括的其他内容：</w:t>
      </w:r>
      <w:r>
        <w:rPr>
          <w:rFonts w:hint="eastAsia"/>
          <w:b w:val="0"/>
          <w:i w:val="0"/>
          <w:caps w:val="0"/>
          <w:color w:val="auto"/>
          <w:spacing w:val="0"/>
          <w:w w:val="100"/>
          <w:sz w:val="24"/>
          <w:szCs w:val="24"/>
          <w:highlight w:val="none"/>
          <w:u w:val="single" w:color="000000"/>
        </w:rPr>
        <w:t xml:space="preserve">   </w:t>
      </w:r>
    </w:p>
    <w:p w14:paraId="2D31C3E8">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2C43CF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rPr>
        <w:t xml:space="preserve">7.1.2 </w:t>
      </w:r>
      <w:r>
        <w:rPr>
          <w:rFonts w:hint="eastAsia"/>
          <w:b w:val="0"/>
          <w:i w:val="0"/>
          <w:caps w:val="0"/>
          <w:color w:val="auto"/>
          <w:spacing w:val="0"/>
          <w:w w:val="100"/>
          <w:kern w:val="0"/>
          <w:sz w:val="24"/>
          <w:szCs w:val="24"/>
          <w:highlight w:val="none"/>
        </w:rPr>
        <w:t>施工组织设计的提交和修改</w:t>
      </w:r>
    </w:p>
    <w:p w14:paraId="1E5C91C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kern w:val="0"/>
          <w:sz w:val="24"/>
          <w:szCs w:val="24"/>
          <w:highlight w:val="none"/>
        </w:rPr>
        <w:t>承包人提交详细施工组织设计的期限的约定：</w:t>
      </w:r>
      <w:r>
        <w:rPr>
          <w:rFonts w:hint="eastAsia"/>
          <w:b w:val="0"/>
          <w:i w:val="0"/>
          <w:caps w:val="0"/>
          <w:color w:val="auto"/>
          <w:spacing w:val="0"/>
          <w:w w:val="100"/>
          <w:sz w:val="24"/>
          <w:szCs w:val="24"/>
          <w:highlight w:val="none"/>
          <w:u w:val="single" w:color="000000"/>
        </w:rPr>
        <w:t xml:space="preserve">              </w:t>
      </w:r>
    </w:p>
    <w:p w14:paraId="1761E9BC">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483039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发包人和监理人在收到详细的施工组织设计后确认或提出修改意见的期限：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1F3A71D">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7.2 施工进度计划</w:t>
      </w:r>
    </w:p>
    <w:p w14:paraId="229B5A4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7.2.2 施工进度计划的修订</w:t>
      </w:r>
    </w:p>
    <w:p w14:paraId="7DE298E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发包人和监理人在收到修订的施工进度计划后确认或提出修改意见的期限：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78EF406">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7.3 开工</w:t>
      </w:r>
    </w:p>
    <w:p w14:paraId="56FD4BD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7.3.1 开工准备</w:t>
      </w:r>
    </w:p>
    <w:p w14:paraId="42B143BE">
      <w:pPr>
        <w:snapToGrid w:val="0"/>
        <w:spacing w:before="0" w:beforeAutospacing="0" w:after="0" w:afterAutospacing="0" w:line="360" w:lineRule="auto"/>
        <w:ind w:firstLine="645"/>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关于承包人提交</w:t>
      </w:r>
      <w:r>
        <w:rPr>
          <w:rFonts w:hint="eastAsia"/>
          <w:b w:val="0"/>
          <w:i w:val="0"/>
          <w:caps w:val="0"/>
          <w:color w:val="auto"/>
          <w:spacing w:val="0"/>
          <w:w w:val="100"/>
          <w:kern w:val="0"/>
          <w:sz w:val="24"/>
          <w:szCs w:val="24"/>
          <w:highlight w:val="none"/>
        </w:rPr>
        <w:t>工程开工报审表的期限：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C834011">
      <w:pPr>
        <w:snapToGrid w:val="0"/>
        <w:spacing w:before="0" w:beforeAutospacing="0" w:after="0" w:afterAutospacing="0" w:line="360" w:lineRule="auto"/>
        <w:ind w:firstLine="645"/>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关于发包人应完成的其他开工准备工作及期限：</w:t>
      </w:r>
      <w:r>
        <w:rPr>
          <w:rFonts w:hint="eastAsia"/>
          <w:b w:val="0"/>
          <w:i w:val="0"/>
          <w:caps w:val="0"/>
          <w:color w:val="auto"/>
          <w:spacing w:val="0"/>
          <w:w w:val="100"/>
          <w:sz w:val="24"/>
          <w:szCs w:val="24"/>
          <w:highlight w:val="none"/>
          <w:u w:val="single" w:color="000000"/>
        </w:rPr>
        <w:t xml:space="preserve">             </w:t>
      </w:r>
    </w:p>
    <w:p w14:paraId="136E21D7">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59A810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关于承包人应完成的其他开工准备工作及期限：</w:t>
      </w:r>
      <w:r>
        <w:rPr>
          <w:rFonts w:hint="eastAsia"/>
          <w:b w:val="0"/>
          <w:i w:val="0"/>
          <w:caps w:val="0"/>
          <w:color w:val="auto"/>
          <w:spacing w:val="0"/>
          <w:w w:val="100"/>
          <w:sz w:val="24"/>
          <w:szCs w:val="24"/>
          <w:highlight w:val="none"/>
          <w:u w:val="single" w:color="000000"/>
        </w:rPr>
        <w:t xml:space="preserve">            </w:t>
      </w:r>
    </w:p>
    <w:p w14:paraId="1E1231E8">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D37457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7.3.2开工通知</w:t>
      </w:r>
    </w:p>
    <w:p w14:paraId="64D91BC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因发包人原因造成监理人未能在计划开工日期之日起</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天内发出开工通知的，承包人有权提出价格调整要求，或者解除合同。</w:t>
      </w:r>
    </w:p>
    <w:p w14:paraId="2947D849">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7.4 测量放线</w:t>
      </w:r>
    </w:p>
    <w:p w14:paraId="12AD768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7.4.1发包人通过监理人向承包人提供测量基准点、基准线和水准点及其书面资料的期限：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CDA61D8">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7.5 工期延误</w:t>
      </w:r>
    </w:p>
    <w:p w14:paraId="1BC49A4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7.5.1 因发包人原因导致工期延误</w:t>
      </w:r>
    </w:p>
    <w:p w14:paraId="314AA66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（7）因发包人原因导致工期延误的其他情形：</w:t>
      </w:r>
      <w:r>
        <w:rPr>
          <w:rFonts w:hint="eastAsia"/>
          <w:b w:val="0"/>
          <w:i w:val="0"/>
          <w:caps w:val="0"/>
          <w:color w:val="auto"/>
          <w:spacing w:val="0"/>
          <w:w w:val="100"/>
          <w:sz w:val="24"/>
          <w:szCs w:val="24"/>
          <w:highlight w:val="none"/>
          <w:u w:val="single" w:color="000000"/>
        </w:rPr>
        <w:t xml:space="preserve">              </w:t>
      </w:r>
    </w:p>
    <w:p w14:paraId="6C3854AC">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FB7EA1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w:t>
      </w:r>
      <w:bookmarkStart w:id="556" w:name="_Toc300934970"/>
      <w:bookmarkStart w:id="557" w:name="_Toc297123518"/>
      <w:bookmarkStart w:id="558" w:name="_Toc297216177"/>
      <w:bookmarkStart w:id="559" w:name="_Toc304295548"/>
      <w:bookmarkStart w:id="560" w:name="_Toc303539127"/>
      <w:r>
        <w:rPr>
          <w:rFonts w:hint="eastAsia"/>
          <w:b w:val="0"/>
          <w:i w:val="0"/>
          <w:caps w:val="0"/>
          <w:color w:val="auto"/>
          <w:spacing w:val="0"/>
          <w:w w:val="100"/>
          <w:sz w:val="24"/>
          <w:szCs w:val="24"/>
          <w:highlight w:val="none"/>
        </w:rPr>
        <w:t>.5.2 因承包人原因导致工期延误</w:t>
      </w:r>
    </w:p>
    <w:p w14:paraId="2E9BA73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因</w:t>
      </w:r>
      <w:bookmarkStart w:id="561" w:name="_Toc312677487"/>
      <w:bookmarkStart w:id="562" w:name="_Toc312678013"/>
      <w:r>
        <w:rPr>
          <w:rFonts w:hint="eastAsia"/>
          <w:b w:val="0"/>
          <w:i w:val="0"/>
          <w:caps w:val="0"/>
          <w:color w:val="auto"/>
          <w:spacing w:val="0"/>
          <w:w w:val="100"/>
          <w:sz w:val="24"/>
          <w:szCs w:val="24"/>
          <w:highlight w:val="none"/>
        </w:rPr>
        <w:t>承包人原因造成工期延误，逾期竣工违约金的计算方法为：</w:t>
      </w:r>
    </w:p>
    <w:p w14:paraId="58E12143">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bookmarkEnd w:id="556"/>
      <w:bookmarkEnd w:id="557"/>
      <w:bookmarkEnd w:id="558"/>
      <w:bookmarkEnd w:id="559"/>
      <w:bookmarkEnd w:id="560"/>
      <w:bookmarkEnd w:id="561"/>
      <w:bookmarkEnd w:id="562"/>
    </w:p>
    <w:p w14:paraId="656D57E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因承包人原因造成工期延误，逾期竣工违约金的上限：</w:t>
      </w:r>
      <w:r>
        <w:rPr>
          <w:rFonts w:hint="eastAsia"/>
          <w:b w:val="0"/>
          <w:i w:val="0"/>
          <w:caps w:val="0"/>
          <w:color w:val="auto"/>
          <w:spacing w:val="0"/>
          <w:w w:val="100"/>
          <w:sz w:val="24"/>
          <w:szCs w:val="24"/>
          <w:highlight w:val="none"/>
          <w:u w:val="single" w:color="000000"/>
        </w:rPr>
        <w:t xml:space="preserve">       </w:t>
      </w:r>
    </w:p>
    <w:p w14:paraId="049103AE">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171ADAC">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w:t>
      </w:r>
      <w:bookmarkStart w:id="563" w:name="_Toc312678015"/>
      <w:bookmarkStart w:id="564" w:name="_Toc297123519"/>
      <w:bookmarkStart w:id="565" w:name="_Toc300934971"/>
      <w:bookmarkStart w:id="566" w:name="_Toc297216178"/>
      <w:bookmarkStart w:id="567" w:name="_Toc304295549"/>
      <w:bookmarkStart w:id="568" w:name="_Toc303539128"/>
      <w:r>
        <w:rPr>
          <w:rFonts w:hint="eastAsia"/>
          <w:b w:val="0"/>
          <w:i w:val="0"/>
          <w:caps w:val="0"/>
          <w:color w:val="auto"/>
          <w:spacing w:val="0"/>
          <w:w w:val="100"/>
          <w:sz w:val="24"/>
          <w:szCs w:val="24"/>
          <w:highlight w:val="none"/>
        </w:rPr>
        <w:t>.6 不</w:t>
      </w:r>
      <w:bookmarkEnd w:id="563"/>
      <w:bookmarkEnd w:id="564"/>
      <w:bookmarkEnd w:id="565"/>
      <w:bookmarkEnd w:id="566"/>
      <w:bookmarkEnd w:id="567"/>
      <w:bookmarkEnd w:id="568"/>
      <w:r>
        <w:rPr>
          <w:rFonts w:hint="eastAsia"/>
          <w:b w:val="0"/>
          <w:i w:val="0"/>
          <w:caps w:val="0"/>
          <w:color w:val="auto"/>
          <w:spacing w:val="0"/>
          <w:w w:val="100"/>
          <w:sz w:val="24"/>
          <w:szCs w:val="24"/>
          <w:highlight w:val="none"/>
        </w:rPr>
        <w:t>利物质条件</w:t>
      </w:r>
    </w:p>
    <w:p w14:paraId="3246B19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不利物质条件的其他情形和有关约定：</w:t>
      </w:r>
      <w:r>
        <w:rPr>
          <w:rFonts w:hint="eastAsia"/>
          <w:b w:val="0"/>
          <w:i w:val="0"/>
          <w:caps w:val="0"/>
          <w:color w:val="auto"/>
          <w:spacing w:val="0"/>
          <w:w w:val="100"/>
          <w:sz w:val="24"/>
          <w:szCs w:val="24"/>
          <w:highlight w:val="none"/>
          <w:u w:val="single" w:color="000000"/>
        </w:rPr>
        <w:t xml:space="preserve">                    </w:t>
      </w:r>
    </w:p>
    <w:p w14:paraId="22A65B34">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314EEFD">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7.7异常恶劣的气候条件</w:t>
      </w:r>
    </w:p>
    <w:p w14:paraId="6C1D817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发包人和承包人同意以下情形视为异常恶劣的气候条件：</w:t>
      </w:r>
    </w:p>
    <w:p w14:paraId="62146AB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73D81B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6C1238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（3）</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674C68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7.9 提前竣工的奖励</w:t>
      </w:r>
    </w:p>
    <w:p w14:paraId="325A3A0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7.9.2提前竣工的奖励：</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9623BC0">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69" w:name="_Toc351203640"/>
      <w:r>
        <w:rPr>
          <w:rFonts w:hint="eastAsia"/>
          <w:b w:val="0"/>
          <w:i w:val="0"/>
          <w:caps w:val="0"/>
          <w:color w:val="auto"/>
          <w:spacing w:val="0"/>
          <w:w w:val="100"/>
          <w:sz w:val="24"/>
          <w:szCs w:val="24"/>
          <w:highlight w:val="none"/>
        </w:rPr>
        <w:t>8. 材料与设备</w:t>
      </w:r>
      <w:bookmarkEnd w:id="569"/>
    </w:p>
    <w:p w14:paraId="1E8A913F">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8</w:t>
      </w:r>
      <w:bookmarkStart w:id="570" w:name="_Toc280868656"/>
      <w:bookmarkStart w:id="571" w:name="_Toc267251424"/>
      <w:bookmarkStart w:id="572" w:name="_Toc280868655"/>
      <w:r>
        <w:rPr>
          <w:rFonts w:hint="eastAsia"/>
          <w:b w:val="0"/>
          <w:i w:val="0"/>
          <w:caps w:val="0"/>
          <w:color w:val="auto"/>
          <w:spacing w:val="0"/>
          <w:w w:val="100"/>
          <w:sz w:val="24"/>
          <w:szCs w:val="24"/>
          <w:highlight w:val="none"/>
        </w:rPr>
        <w:t>.4材料与工程设备的保管与使用</w:t>
      </w:r>
    </w:p>
    <w:p w14:paraId="4500ED8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8</w:t>
      </w:r>
      <w:bookmarkStart w:id="573" w:name="_Toc292559878"/>
      <w:bookmarkStart w:id="574" w:name="_Toc292559373"/>
      <w:r>
        <w:rPr>
          <w:rFonts w:hint="eastAsia"/>
          <w:b w:val="0"/>
          <w:i w:val="0"/>
          <w:caps w:val="0"/>
          <w:color w:val="auto"/>
          <w:spacing w:val="0"/>
          <w:w w:val="100"/>
          <w:sz w:val="24"/>
          <w:szCs w:val="24"/>
          <w:highlight w:val="none"/>
        </w:rPr>
        <w:t>.4.1发包人供应的材料设备的保管费用的承担：</w:t>
      </w:r>
      <w:r>
        <w:rPr>
          <w:rFonts w:hint="eastAsia"/>
          <w:b w:val="0"/>
          <w:i w:val="0"/>
          <w:caps w:val="0"/>
          <w:color w:val="auto"/>
          <w:spacing w:val="0"/>
          <w:w w:val="100"/>
          <w:sz w:val="24"/>
          <w:szCs w:val="24"/>
          <w:highlight w:val="none"/>
          <w:u w:val="single" w:color="000000"/>
        </w:rPr>
        <w:t xml:space="preserve">            </w:t>
      </w:r>
    </w:p>
    <w:p w14:paraId="43E35AE6">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bookmarkEnd w:id="573"/>
      <w:bookmarkEnd w:id="574"/>
    </w:p>
    <w:p w14:paraId="674CB9E9">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8.6 样品</w:t>
      </w:r>
    </w:p>
    <w:p w14:paraId="18A66A4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8.6.1</w:t>
      </w:r>
      <w:r>
        <w:rPr>
          <w:rFonts w:hint="eastAsia"/>
          <w:b w:val="0"/>
          <w:i w:val="0"/>
          <w:caps w:val="0"/>
          <w:color w:val="auto"/>
          <w:spacing w:val="0"/>
          <w:w w:val="100"/>
          <w:kern w:val="0"/>
          <w:sz w:val="24"/>
          <w:szCs w:val="24"/>
          <w:highlight w:val="none"/>
        </w:rPr>
        <w:tab/>
      </w:r>
      <w:r>
        <w:rPr>
          <w:rFonts w:hint="eastAsia"/>
          <w:b w:val="0"/>
          <w:i w:val="0"/>
          <w:caps w:val="0"/>
          <w:color w:val="auto"/>
          <w:spacing w:val="0"/>
          <w:w w:val="100"/>
          <w:kern w:val="0"/>
          <w:sz w:val="24"/>
          <w:szCs w:val="24"/>
          <w:highlight w:val="none"/>
        </w:rPr>
        <w:t>样品的报送与封存</w:t>
      </w:r>
    </w:p>
    <w:p w14:paraId="5385D54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kern w:val="0"/>
          <w:sz w:val="24"/>
          <w:szCs w:val="24"/>
          <w:highlight w:val="none"/>
        </w:rPr>
        <w:t>需要承包人报送样品的材料或工程设备，样品的种类、名称、规格、数量要求：</w:t>
      </w:r>
      <w:r>
        <w:rPr>
          <w:rFonts w:hint="eastAsia"/>
          <w:b w:val="0"/>
          <w:i w:val="0"/>
          <w:caps w:val="0"/>
          <w:color w:val="auto"/>
          <w:spacing w:val="0"/>
          <w:w w:val="100"/>
          <w:sz w:val="24"/>
          <w:szCs w:val="24"/>
          <w:highlight w:val="none"/>
          <w:u w:val="single" w:color="000000"/>
        </w:rPr>
        <w:t xml:space="preserve">                                          </w:t>
      </w:r>
    </w:p>
    <w:p w14:paraId="2C571A89">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ED58EE8">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8.8 施工设备和临时设施</w:t>
      </w:r>
    </w:p>
    <w:p w14:paraId="334752E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8.8.1 承包人提供的施工设备和临时设施</w:t>
      </w:r>
    </w:p>
    <w:p w14:paraId="607C2F4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关于修建临时设施费用承担的约定：</w:t>
      </w:r>
      <w:r>
        <w:rPr>
          <w:rFonts w:hint="eastAsia"/>
          <w:b w:val="0"/>
          <w:i w:val="0"/>
          <w:caps w:val="0"/>
          <w:color w:val="auto"/>
          <w:spacing w:val="0"/>
          <w:w w:val="100"/>
          <w:sz w:val="24"/>
          <w:szCs w:val="24"/>
          <w:highlight w:val="none"/>
          <w:u w:val="single" w:color="000000"/>
        </w:rPr>
        <w:t xml:space="preserve">                     </w:t>
      </w:r>
    </w:p>
    <w:p w14:paraId="0A7A3510">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13DAFAC">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75" w:name="_Toc351203641"/>
      <w:r>
        <w:rPr>
          <w:rFonts w:hint="eastAsia"/>
          <w:b w:val="0"/>
          <w:i w:val="0"/>
          <w:caps w:val="0"/>
          <w:color w:val="auto"/>
          <w:spacing w:val="0"/>
          <w:w w:val="100"/>
          <w:sz w:val="24"/>
          <w:szCs w:val="24"/>
          <w:highlight w:val="none"/>
        </w:rPr>
        <w:t>9</w:t>
      </w:r>
      <w:bookmarkEnd w:id="570"/>
      <w:bookmarkEnd w:id="571"/>
      <w:bookmarkEnd w:id="572"/>
      <w:bookmarkStart w:id="576" w:name="_Toc296347172"/>
      <w:bookmarkStart w:id="577" w:name="_Toc296944512"/>
      <w:bookmarkStart w:id="578" w:name="_Toc297120473"/>
      <w:bookmarkStart w:id="579" w:name="_Toc296891001"/>
      <w:bookmarkStart w:id="580" w:name="_Toc292559378"/>
      <w:bookmarkStart w:id="581" w:name="_Toc267251427"/>
      <w:bookmarkStart w:id="582" w:name="_Toc296503173"/>
      <w:bookmarkStart w:id="583" w:name="_Toc292559883"/>
      <w:bookmarkStart w:id="584" w:name="_Toc267251428"/>
      <w:bookmarkStart w:id="585" w:name="_Toc296891213"/>
      <w:bookmarkStart w:id="586" w:name="_Toc296346674"/>
      <w:bookmarkStart w:id="587" w:name="_Toc297048359"/>
      <w:r>
        <w:rPr>
          <w:rFonts w:hint="eastAsia"/>
          <w:b w:val="0"/>
          <w:i w:val="0"/>
          <w:caps w:val="0"/>
          <w:color w:val="auto"/>
          <w:spacing w:val="0"/>
          <w:w w:val="100"/>
          <w:sz w:val="24"/>
          <w:szCs w:val="24"/>
          <w:highlight w:val="none"/>
        </w:rPr>
        <w:t>. 试验与检验</w:t>
      </w:r>
      <w:bookmarkEnd w:id="575"/>
    </w:p>
    <w:p w14:paraId="46A31AD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9.1试验设备与试验人员</w:t>
      </w:r>
    </w:p>
    <w:p w14:paraId="1705461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9</w:t>
      </w:r>
      <w:bookmarkStart w:id="588" w:name="_Toc312677497"/>
      <w:bookmarkStart w:id="589" w:name="_Toc312678023"/>
      <w:bookmarkStart w:id="590" w:name="_Toc297123535"/>
      <w:bookmarkStart w:id="591" w:name="_Toc303539141"/>
      <w:bookmarkStart w:id="592" w:name="_Toc304295561"/>
      <w:bookmarkStart w:id="593" w:name="_Toc300934984"/>
      <w:bookmarkStart w:id="594" w:name="_Toc297216194"/>
      <w:r>
        <w:rPr>
          <w:rFonts w:hint="eastAsia"/>
          <w:b w:val="0"/>
          <w:i w:val="0"/>
          <w:caps w:val="0"/>
          <w:color w:val="auto"/>
          <w:spacing w:val="0"/>
          <w:w w:val="100"/>
          <w:sz w:val="24"/>
          <w:szCs w:val="24"/>
          <w:highlight w:val="none"/>
        </w:rPr>
        <w:t>.1.2 试验设备</w:t>
      </w:r>
    </w:p>
    <w:p w14:paraId="5178C80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施工现场需要配置的试验场所：</w:t>
      </w:r>
      <w:bookmarkEnd w:id="588"/>
      <w:bookmarkEnd w:id="589"/>
      <w:bookmarkEnd w:id="590"/>
      <w:bookmarkEnd w:id="591"/>
      <w:bookmarkEnd w:id="592"/>
      <w:bookmarkEnd w:id="593"/>
      <w:bookmarkEnd w:id="594"/>
      <w:r>
        <w:rPr>
          <w:rFonts w:hint="eastAsia"/>
          <w:b w:val="0"/>
          <w:i w:val="0"/>
          <w:caps w:val="0"/>
          <w:color w:val="auto"/>
          <w:spacing w:val="0"/>
          <w:w w:val="100"/>
          <w:sz w:val="24"/>
          <w:szCs w:val="24"/>
          <w:highlight w:val="none"/>
          <w:u w:val="single" w:color="000000"/>
        </w:rPr>
        <w:t xml:space="preserve">                           </w:t>
      </w:r>
    </w:p>
    <w:p w14:paraId="2E91DE0B">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3560923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施工现场需要配备的试验设备：</w:t>
      </w:r>
      <w:r>
        <w:rPr>
          <w:rFonts w:hint="eastAsia"/>
          <w:b w:val="0"/>
          <w:i w:val="0"/>
          <w:caps w:val="0"/>
          <w:color w:val="auto"/>
          <w:spacing w:val="0"/>
          <w:w w:val="100"/>
          <w:sz w:val="24"/>
          <w:szCs w:val="24"/>
          <w:highlight w:val="none"/>
          <w:u w:val="single" w:color="000000"/>
        </w:rPr>
        <w:t xml:space="preserve">                           </w:t>
      </w:r>
    </w:p>
    <w:p w14:paraId="1CB66F7B">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190002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施工现场需要具备的其他试验条件：</w:t>
      </w:r>
      <w:r>
        <w:rPr>
          <w:rFonts w:hint="eastAsia"/>
          <w:b w:val="0"/>
          <w:i w:val="0"/>
          <w:caps w:val="0"/>
          <w:color w:val="auto"/>
          <w:spacing w:val="0"/>
          <w:w w:val="100"/>
          <w:sz w:val="24"/>
          <w:szCs w:val="24"/>
          <w:highlight w:val="none"/>
          <w:u w:val="single" w:color="000000"/>
        </w:rPr>
        <w:t xml:space="preserve">                      </w:t>
      </w:r>
    </w:p>
    <w:p w14:paraId="422B39AA">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1FCF55D">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 xml:space="preserve">9.4 现场工艺试验 </w:t>
      </w:r>
    </w:p>
    <w:p w14:paraId="60A1CE3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现场工艺试验的有关约定：</w:t>
      </w:r>
      <w:r>
        <w:rPr>
          <w:rFonts w:hint="eastAsia"/>
          <w:b w:val="0"/>
          <w:i w:val="0"/>
          <w:caps w:val="0"/>
          <w:color w:val="auto"/>
          <w:spacing w:val="0"/>
          <w:w w:val="100"/>
          <w:sz w:val="24"/>
          <w:szCs w:val="24"/>
          <w:highlight w:val="none"/>
          <w:u w:val="single" w:color="000000"/>
        </w:rPr>
        <w:t xml:space="preserve">                              </w:t>
      </w:r>
    </w:p>
    <w:p w14:paraId="6D1DA46E">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6FDD7E3">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595" w:name="_Toc351203642"/>
      <w:r>
        <w:rPr>
          <w:rFonts w:hint="eastAsia"/>
          <w:b w:val="0"/>
          <w:i w:val="0"/>
          <w:caps w:val="0"/>
          <w:color w:val="auto"/>
          <w:spacing w:val="0"/>
          <w:w w:val="100"/>
          <w:sz w:val="24"/>
          <w:szCs w:val="24"/>
          <w:highlight w:val="none"/>
        </w:rPr>
        <w:t>1</w:t>
      </w:r>
      <w:bookmarkEnd w:id="576"/>
      <w:bookmarkEnd w:id="577"/>
      <w:bookmarkEnd w:id="578"/>
      <w:bookmarkEnd w:id="579"/>
      <w:bookmarkEnd w:id="580"/>
      <w:bookmarkEnd w:id="581"/>
      <w:bookmarkEnd w:id="582"/>
      <w:bookmarkEnd w:id="583"/>
      <w:bookmarkEnd w:id="584"/>
      <w:bookmarkEnd w:id="585"/>
      <w:bookmarkEnd w:id="586"/>
      <w:bookmarkEnd w:id="587"/>
      <w:bookmarkStart w:id="596" w:name="_Toc300934989"/>
      <w:bookmarkStart w:id="597" w:name="_Toc304295566"/>
      <w:bookmarkStart w:id="598" w:name="_Toc292559398"/>
      <w:bookmarkStart w:id="599" w:name="_Toc292559903"/>
      <w:bookmarkStart w:id="600" w:name="_Toc297048379"/>
      <w:bookmarkStart w:id="601" w:name="_Toc297120493"/>
      <w:bookmarkStart w:id="602" w:name="_Toc296944532"/>
      <w:bookmarkStart w:id="603" w:name="_Toc296891233"/>
      <w:bookmarkStart w:id="604" w:name="_Toc297123540"/>
      <w:bookmarkStart w:id="605" w:name="_Toc297216199"/>
      <w:bookmarkStart w:id="606" w:name="_Toc296346694"/>
      <w:bookmarkStart w:id="607" w:name="_Toc296503193"/>
      <w:bookmarkStart w:id="608" w:name="_Toc296347192"/>
      <w:bookmarkStart w:id="609" w:name="_Toc296891021"/>
      <w:bookmarkStart w:id="610" w:name="_Toc303539146"/>
      <w:r>
        <w:rPr>
          <w:rFonts w:hint="eastAsia"/>
          <w:b w:val="0"/>
          <w:i w:val="0"/>
          <w:caps w:val="0"/>
          <w:color w:val="auto"/>
          <w:spacing w:val="0"/>
          <w:w w:val="100"/>
          <w:sz w:val="24"/>
          <w:szCs w:val="24"/>
          <w:highlight w:val="none"/>
        </w:rPr>
        <w:t>0. 变更</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2811423D">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w:t>
      </w:r>
      <w:bookmarkStart w:id="611" w:name="_Toc300934990"/>
      <w:bookmarkStart w:id="612" w:name="_Toc297123541"/>
      <w:bookmarkStart w:id="613" w:name="_Toc292559904"/>
      <w:bookmarkStart w:id="614" w:name="_Toc296891022"/>
      <w:bookmarkStart w:id="615" w:name="_Toc297120494"/>
      <w:bookmarkStart w:id="616" w:name="_Toc312678026"/>
      <w:bookmarkStart w:id="617" w:name="_Toc303539147"/>
      <w:bookmarkStart w:id="618" w:name="_Toc297216200"/>
      <w:bookmarkStart w:id="619" w:name="_Toc296944533"/>
      <w:bookmarkStart w:id="620" w:name="_Toc296891234"/>
      <w:bookmarkStart w:id="621" w:name="_Toc296503194"/>
      <w:bookmarkStart w:id="622" w:name="_Toc296346695"/>
      <w:bookmarkStart w:id="623" w:name="_Toc292559399"/>
      <w:bookmarkStart w:id="624" w:name="_Toc296347193"/>
      <w:bookmarkStart w:id="625" w:name="_Toc297048380"/>
      <w:bookmarkStart w:id="626" w:name="_Toc304295567"/>
      <w:bookmarkStart w:id="627" w:name="_Toc312677500"/>
      <w:r>
        <w:rPr>
          <w:rFonts w:hint="eastAsia"/>
          <w:b w:val="0"/>
          <w:i w:val="0"/>
          <w:caps w:val="0"/>
          <w:color w:val="auto"/>
          <w:spacing w:val="0"/>
          <w:w w:val="100"/>
          <w:sz w:val="24"/>
          <w:szCs w:val="24"/>
          <w:highlight w:val="none"/>
        </w:rPr>
        <w:t>0.1变更的范围</w:t>
      </w:r>
    </w:p>
    <w:p w14:paraId="1BBC219B">
      <w:pPr>
        <w:snapToGrid w:val="0"/>
        <w:spacing w:before="0" w:beforeAutospacing="0" w:after="0" w:afterAutospacing="0" w:line="360" w:lineRule="auto"/>
        <w:ind w:firstLine="6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关于变更的范围的约定：</w:t>
      </w:r>
      <w:r>
        <w:rPr>
          <w:rFonts w:hint="eastAsia"/>
          <w:b w:val="0"/>
          <w:i w:val="0"/>
          <w:caps w:val="0"/>
          <w:color w:val="auto"/>
          <w:spacing w:val="0"/>
          <w:w w:val="100"/>
          <w:sz w:val="24"/>
          <w:szCs w:val="24"/>
          <w:highlight w:val="none"/>
          <w:u w:val="single" w:color="000000"/>
        </w:rPr>
        <w:t xml:space="preserve">                                </w:t>
      </w:r>
    </w:p>
    <w:p w14:paraId="07BB789D">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19256BD">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10.4 变更估价</w:t>
      </w:r>
    </w:p>
    <w:p w14:paraId="332AC7C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10.4.1 变更估价原则</w:t>
      </w:r>
    </w:p>
    <w:p w14:paraId="1E16AF7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 xml:space="preserve">关于变更估价的约定: </w:t>
      </w:r>
      <w:r>
        <w:rPr>
          <w:rFonts w:hint="eastAsia"/>
          <w:b w:val="0"/>
          <w:i w:val="0"/>
          <w:caps w:val="0"/>
          <w:color w:val="auto"/>
          <w:spacing w:val="0"/>
          <w:w w:val="100"/>
          <w:sz w:val="24"/>
          <w:szCs w:val="24"/>
          <w:highlight w:val="none"/>
          <w:u w:val="single" w:color="000000"/>
        </w:rPr>
        <w:t xml:space="preserve">                                   </w:t>
      </w:r>
    </w:p>
    <w:p w14:paraId="6DF9CE9A">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6976D3F">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296347196"/>
      <w:bookmarkStart w:id="629" w:name="_Toc297048383"/>
      <w:bookmarkStart w:id="630" w:name="_Toc297123544"/>
      <w:bookmarkStart w:id="631" w:name="_Toc296346698"/>
      <w:bookmarkStart w:id="632" w:name="_Toc303539150"/>
      <w:bookmarkStart w:id="633" w:name="_Toc296891237"/>
      <w:bookmarkStart w:id="634" w:name="_Toc297216203"/>
      <w:bookmarkStart w:id="635" w:name="_Toc296944536"/>
      <w:bookmarkStart w:id="636" w:name="_Toc296891025"/>
      <w:bookmarkStart w:id="637" w:name="_Toc292559907"/>
      <w:bookmarkStart w:id="638" w:name="_Toc292559402"/>
      <w:bookmarkStart w:id="639" w:name="_Toc296503197"/>
      <w:bookmarkStart w:id="640" w:name="_Toc297120497"/>
      <w:bookmarkStart w:id="641" w:name="_Toc300934993"/>
      <w:r>
        <w:rPr>
          <w:rFonts w:hint="eastAsia"/>
          <w:b w:val="0"/>
          <w:i w:val="0"/>
          <w:caps w:val="0"/>
          <w:color w:val="auto"/>
          <w:spacing w:val="0"/>
          <w:w w:val="100"/>
          <w:sz w:val="24"/>
          <w:szCs w:val="24"/>
          <w:highlight w:val="none"/>
        </w:rPr>
        <w:t>0.5承</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Fonts w:hint="eastAsia"/>
          <w:b w:val="0"/>
          <w:i w:val="0"/>
          <w:caps w:val="0"/>
          <w:color w:val="auto"/>
          <w:spacing w:val="0"/>
          <w:w w:val="100"/>
          <w:sz w:val="24"/>
          <w:szCs w:val="24"/>
          <w:highlight w:val="none"/>
        </w:rPr>
        <w:t>包人的合理化建议</w:t>
      </w:r>
    </w:p>
    <w:p w14:paraId="15F3F39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监理人审查承包人合理化建议的期限：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3D5032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发包人审批承包人合理化建议的期限：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2872FE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rPr>
        <w:t>承包人提出的合理化建议降低了合同价格或者提高了工程经济效益的奖励的方法和金额为：</w:t>
      </w:r>
      <w:r>
        <w:rPr>
          <w:rFonts w:hint="eastAsia"/>
          <w:b w:val="0"/>
          <w:i w:val="0"/>
          <w:caps w:val="0"/>
          <w:color w:val="auto"/>
          <w:spacing w:val="0"/>
          <w:w w:val="100"/>
          <w:sz w:val="24"/>
          <w:szCs w:val="24"/>
          <w:highlight w:val="none"/>
          <w:u w:val="single" w:color="000000"/>
        </w:rPr>
        <w:t xml:space="preserve">                                </w:t>
      </w:r>
    </w:p>
    <w:p w14:paraId="31471848">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FCBA30A">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10.7 暂估价</w:t>
      </w:r>
    </w:p>
    <w:p w14:paraId="30562F4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暂估价材料和工程设备的明细详见附件11：《</w:t>
      </w:r>
      <w:r>
        <w:rPr>
          <w:rFonts w:hint="eastAsia"/>
          <w:b w:val="0"/>
          <w:i w:val="0"/>
          <w:caps w:val="0"/>
          <w:color w:val="auto"/>
          <w:spacing w:val="0"/>
          <w:w w:val="100"/>
          <w:sz w:val="24"/>
          <w:szCs w:val="24"/>
          <w:highlight w:val="none"/>
        </w:rPr>
        <w:t>暂估价一览表》</w:t>
      </w:r>
      <w:r>
        <w:rPr>
          <w:rFonts w:hint="eastAsia"/>
          <w:b w:val="0"/>
          <w:i w:val="0"/>
          <w:caps w:val="0"/>
          <w:color w:val="auto"/>
          <w:spacing w:val="0"/>
          <w:w w:val="100"/>
          <w:kern w:val="0"/>
          <w:sz w:val="24"/>
          <w:szCs w:val="24"/>
          <w:highlight w:val="none"/>
        </w:rPr>
        <w:t>。</w:t>
      </w:r>
    </w:p>
    <w:p w14:paraId="67D4B5A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10.7.1 依法必须招标的暂估价项目</w:t>
      </w:r>
    </w:p>
    <w:p w14:paraId="4EB384D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对于依法必须招标的暂估价项目的确认和批准采取第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种方式确定。</w:t>
      </w:r>
    </w:p>
    <w:p w14:paraId="3D3B2B9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10.7.2 不属于依法必须招标的暂估价项目</w:t>
      </w:r>
    </w:p>
    <w:p w14:paraId="36D8B12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对于不属于依法必须招标的暂估价项目的确认和批准采取第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种方式确定。</w:t>
      </w:r>
    </w:p>
    <w:p w14:paraId="70F576B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rPr>
        <w:t>第3种方式：</w:t>
      </w:r>
      <w:r>
        <w:rPr>
          <w:rFonts w:hint="eastAsia"/>
          <w:b w:val="0"/>
          <w:i w:val="0"/>
          <w:caps w:val="0"/>
          <w:color w:val="auto"/>
          <w:spacing w:val="0"/>
          <w:w w:val="100"/>
          <w:kern w:val="0"/>
          <w:sz w:val="24"/>
          <w:szCs w:val="24"/>
          <w:highlight w:val="none"/>
        </w:rPr>
        <w:t>承包人直接实施的暂估价项目</w:t>
      </w:r>
    </w:p>
    <w:p w14:paraId="32FD97C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承包人直接实施的暂估价项目的约定：</w:t>
      </w:r>
      <w:r>
        <w:rPr>
          <w:rFonts w:hint="eastAsia"/>
          <w:b w:val="0"/>
          <w:i w:val="0"/>
          <w:caps w:val="0"/>
          <w:color w:val="auto"/>
          <w:spacing w:val="0"/>
          <w:w w:val="100"/>
          <w:sz w:val="24"/>
          <w:szCs w:val="24"/>
          <w:highlight w:val="none"/>
          <w:u w:val="single" w:color="000000"/>
        </w:rPr>
        <w:t xml:space="preserve">                     </w:t>
      </w:r>
    </w:p>
    <w:p w14:paraId="0A3DAA69">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BA8931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10.8 暂列金额</w:t>
      </w:r>
    </w:p>
    <w:p w14:paraId="7959694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rPr>
      </w:pPr>
      <w:r>
        <w:rPr>
          <w:rFonts w:hint="eastAsia"/>
          <w:b w:val="0"/>
          <w:i w:val="0"/>
          <w:caps w:val="0"/>
          <w:color w:val="auto"/>
          <w:spacing w:val="0"/>
          <w:w w:val="100"/>
          <w:kern w:val="0"/>
          <w:sz w:val="24"/>
          <w:szCs w:val="24"/>
          <w:highlight w:val="none"/>
        </w:rPr>
        <w:t>合同当事人关于暂列金额使用的约定：</w:t>
      </w:r>
      <w:r>
        <w:rPr>
          <w:rFonts w:hint="eastAsia"/>
          <w:b w:val="0"/>
          <w:i w:val="0"/>
          <w:caps w:val="0"/>
          <w:color w:val="auto"/>
          <w:spacing w:val="0"/>
          <w:w w:val="100"/>
          <w:sz w:val="24"/>
          <w:szCs w:val="24"/>
          <w:highlight w:val="none"/>
          <w:u w:val="single" w:color="000000"/>
        </w:rPr>
        <w:t xml:space="preserve">                     </w:t>
      </w:r>
    </w:p>
    <w:p w14:paraId="0A5863D6">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485ED2A8">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42" w:name="_Toc351203643"/>
      <w:r>
        <w:rPr>
          <w:rFonts w:hint="eastAsia"/>
          <w:b w:val="0"/>
          <w:i w:val="0"/>
          <w:caps w:val="0"/>
          <w:color w:val="auto"/>
          <w:spacing w:val="0"/>
          <w:w w:val="100"/>
          <w:sz w:val="24"/>
          <w:szCs w:val="24"/>
          <w:highlight w:val="none"/>
        </w:rPr>
        <w:t>11. 价格调整</w:t>
      </w:r>
      <w:bookmarkEnd w:id="642"/>
    </w:p>
    <w:p w14:paraId="7EFFA899">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11.1 市场价格波动引起的调整</w:t>
      </w:r>
    </w:p>
    <w:p w14:paraId="151B0E5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市场价格波动是否调整合同价格的约定：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77BB7D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因市场价格波动调整合同价格，采用以下第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种方式对合同价格进行调整：</w:t>
      </w:r>
    </w:p>
    <w:p w14:paraId="3B3A087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第1种方式：采用价格指数进行价格调整。</w:t>
      </w:r>
    </w:p>
    <w:p w14:paraId="187DE08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关于各可调因子、定值和变值权重，以及基本价格指数及其来源的约定：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74DEF35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第2种方式：采用造价信息进行价格调整。</w:t>
      </w:r>
    </w:p>
    <w:p w14:paraId="49DE5B9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（2）关于基准价格的约定：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64F9EE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专用合同条款①承包人在已标价工程量清单或预算书中载明的材料单价低于基准价格的：专用合同条款合同履行期间材料单价涨幅以基准价格为基础超过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%时，或材料单价跌幅以已标价工程量清单或预算书中载明材料单价为基础超过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%时，其超过部分据实调整。</w:t>
      </w:r>
    </w:p>
    <w:p w14:paraId="35CFA79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②承包人在已标价工程量清单或预算书中载明的材料单价高于基准价格的：专用合同条款合同履行期间材料单价跌幅以基准价格为基础超过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%时，材料单价涨幅以已标价工程量清单或预算书中载明材料单价为基础超过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%时，其超过部分据实调整。</w:t>
      </w:r>
    </w:p>
    <w:p w14:paraId="5F7E396D">
      <w:pPr>
        <w:snapToGrid w:val="0"/>
        <w:spacing w:before="0" w:beforeAutospacing="0" w:after="0" w:afterAutospacing="0" w:line="360" w:lineRule="auto"/>
        <w:ind w:firstLine="645"/>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③承包人在已标价工程量清单或预算书中载明的材料单价等于基准单价的：专用合同条款合同履行期间材料单价涨跌幅以基准单价为基础超过±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%时，其超过部分据实调整。</w:t>
      </w:r>
    </w:p>
    <w:p w14:paraId="25987CED">
      <w:pPr>
        <w:snapToGrid w:val="0"/>
        <w:spacing w:before="0" w:beforeAutospacing="0" w:after="0" w:afterAutospacing="0" w:line="360" w:lineRule="auto"/>
        <w:ind w:firstLine="645"/>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第3种方式：其他价格调整方式：</w:t>
      </w:r>
      <w:r>
        <w:rPr>
          <w:rFonts w:hint="eastAsia"/>
          <w:b w:val="0"/>
          <w:i w:val="0"/>
          <w:caps w:val="0"/>
          <w:color w:val="auto"/>
          <w:spacing w:val="0"/>
          <w:w w:val="100"/>
          <w:sz w:val="24"/>
          <w:szCs w:val="24"/>
          <w:highlight w:val="none"/>
          <w:u w:val="single" w:color="000000"/>
        </w:rPr>
        <w:t xml:space="preserve">                        </w:t>
      </w:r>
    </w:p>
    <w:p w14:paraId="2E264B70">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7174240">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43" w:name="_Toc292559915"/>
      <w:bookmarkStart w:id="644" w:name="_Toc296891245"/>
      <w:bookmarkStart w:id="645" w:name="_Toc297048391"/>
      <w:bookmarkStart w:id="646" w:name="_Toc296347204"/>
      <w:bookmarkStart w:id="647" w:name="_Toc297120505"/>
      <w:bookmarkStart w:id="648" w:name="_Toc292559410"/>
      <w:bookmarkStart w:id="649" w:name="_Toc296346706"/>
      <w:bookmarkStart w:id="650" w:name="_Toc296503205"/>
      <w:bookmarkStart w:id="651" w:name="_Toc296944544"/>
      <w:bookmarkStart w:id="652" w:name="_Toc296891033"/>
      <w:bookmarkStart w:id="653" w:name="_Toc351203644"/>
      <w:r>
        <w:rPr>
          <w:rFonts w:hint="eastAsia"/>
          <w:b w:val="0"/>
          <w:i w:val="0"/>
          <w:caps w:val="0"/>
          <w:color w:val="auto"/>
          <w:spacing w:val="0"/>
          <w:w w:val="100"/>
          <w:sz w:val="24"/>
          <w:szCs w:val="24"/>
          <w:highlight w:val="none"/>
        </w:rPr>
        <w:t xml:space="preserve">12. </w:t>
      </w:r>
      <w:bookmarkEnd w:id="643"/>
      <w:bookmarkEnd w:id="644"/>
      <w:bookmarkEnd w:id="645"/>
      <w:bookmarkEnd w:id="646"/>
      <w:bookmarkEnd w:id="647"/>
      <w:bookmarkEnd w:id="648"/>
      <w:bookmarkEnd w:id="649"/>
      <w:bookmarkEnd w:id="650"/>
      <w:bookmarkEnd w:id="651"/>
      <w:bookmarkEnd w:id="652"/>
      <w:r>
        <w:rPr>
          <w:rFonts w:hint="eastAsia"/>
          <w:b w:val="0"/>
          <w:i w:val="0"/>
          <w:caps w:val="0"/>
          <w:color w:val="auto"/>
          <w:spacing w:val="0"/>
          <w:w w:val="100"/>
          <w:sz w:val="24"/>
          <w:szCs w:val="24"/>
          <w:highlight w:val="none"/>
        </w:rPr>
        <w:t>合同价格、计量与支付</w:t>
      </w:r>
      <w:bookmarkEnd w:id="653"/>
    </w:p>
    <w:p w14:paraId="60A41A96">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bookmarkStart w:id="654" w:name="_Toc292559411"/>
      <w:bookmarkStart w:id="655" w:name="_Toc267251461"/>
      <w:bookmarkStart w:id="656" w:name="_Toc292559916"/>
      <w:bookmarkStart w:id="657" w:name="_Toc296346707"/>
      <w:bookmarkStart w:id="658" w:name="_Toc297048392"/>
      <w:bookmarkStart w:id="659" w:name="_Toc297120506"/>
      <w:bookmarkStart w:id="660" w:name="_Toc296503206"/>
      <w:bookmarkStart w:id="661" w:name="_Toc296891246"/>
      <w:bookmarkStart w:id="662" w:name="_Toc296944545"/>
      <w:bookmarkStart w:id="663" w:name="_Toc296891034"/>
      <w:bookmarkStart w:id="664" w:name="_Toc296347205"/>
      <w:r>
        <w:rPr>
          <w:rFonts w:hint="eastAsia"/>
          <w:b w:val="0"/>
          <w:i w:val="0"/>
          <w:caps w:val="0"/>
          <w:color w:val="auto"/>
          <w:spacing w:val="0"/>
          <w:w w:val="100"/>
          <w:sz w:val="24"/>
          <w:szCs w:val="24"/>
          <w:highlight w:val="none"/>
        </w:rPr>
        <w:t>12.1 合</w:t>
      </w:r>
      <w:bookmarkEnd w:id="654"/>
      <w:bookmarkEnd w:id="655"/>
      <w:bookmarkEnd w:id="656"/>
      <w:r>
        <w:rPr>
          <w:rFonts w:hint="eastAsia"/>
          <w:b w:val="0"/>
          <w:i w:val="0"/>
          <w:caps w:val="0"/>
          <w:color w:val="auto"/>
          <w:spacing w:val="0"/>
          <w:w w:val="100"/>
          <w:sz w:val="24"/>
          <w:szCs w:val="24"/>
          <w:highlight w:val="none"/>
        </w:rPr>
        <w:t>同价</w:t>
      </w:r>
      <w:bookmarkEnd w:id="657"/>
      <w:bookmarkEnd w:id="658"/>
      <w:bookmarkEnd w:id="659"/>
      <w:bookmarkEnd w:id="660"/>
      <w:bookmarkEnd w:id="661"/>
      <w:bookmarkEnd w:id="662"/>
      <w:bookmarkEnd w:id="663"/>
      <w:bookmarkEnd w:id="664"/>
      <w:r>
        <w:rPr>
          <w:rFonts w:hint="eastAsia"/>
          <w:b w:val="0"/>
          <w:i w:val="0"/>
          <w:caps w:val="0"/>
          <w:color w:val="auto"/>
          <w:spacing w:val="0"/>
          <w:w w:val="100"/>
          <w:sz w:val="24"/>
          <w:szCs w:val="24"/>
          <w:highlight w:val="none"/>
        </w:rPr>
        <w:t>格形式</w:t>
      </w:r>
    </w:p>
    <w:p w14:paraId="0BFE08A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1、单价合同。</w:t>
      </w:r>
    </w:p>
    <w:p w14:paraId="7CB9F81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综合单价包含的风险范围：</w:t>
      </w:r>
      <w:r>
        <w:rPr>
          <w:rFonts w:hint="eastAsia"/>
          <w:b w:val="0"/>
          <w:i w:val="0"/>
          <w:caps w:val="0"/>
          <w:color w:val="auto"/>
          <w:spacing w:val="0"/>
          <w:w w:val="100"/>
          <w:sz w:val="24"/>
          <w:szCs w:val="24"/>
          <w:highlight w:val="none"/>
          <w:u w:val="single" w:color="000000"/>
        </w:rPr>
        <w:t xml:space="preserve">                               </w:t>
      </w:r>
    </w:p>
    <w:p w14:paraId="506401A1">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A15F18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风险费用的计算方法：</w:t>
      </w:r>
      <w:r>
        <w:rPr>
          <w:rFonts w:hint="eastAsia"/>
          <w:b w:val="0"/>
          <w:i w:val="0"/>
          <w:caps w:val="0"/>
          <w:color w:val="auto"/>
          <w:spacing w:val="0"/>
          <w:w w:val="100"/>
          <w:sz w:val="24"/>
          <w:szCs w:val="24"/>
          <w:highlight w:val="none"/>
          <w:u w:val="single" w:color="000000"/>
        </w:rPr>
        <w:t xml:space="preserve">                                  </w:t>
      </w:r>
    </w:p>
    <w:p w14:paraId="1B844151">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579610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风险范围以外合同价格的调整方法：</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63561E4F">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5AD854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2、总价合同。</w:t>
      </w:r>
    </w:p>
    <w:p w14:paraId="007813C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总价包含的风险范围：</w:t>
      </w:r>
      <w:r>
        <w:rPr>
          <w:rFonts w:hint="eastAsia"/>
          <w:b w:val="0"/>
          <w:i w:val="0"/>
          <w:caps w:val="0"/>
          <w:color w:val="auto"/>
          <w:spacing w:val="0"/>
          <w:w w:val="100"/>
          <w:sz w:val="24"/>
          <w:szCs w:val="24"/>
          <w:highlight w:val="none"/>
          <w:u w:val="single" w:color="000000"/>
        </w:rPr>
        <w:t xml:space="preserve">                                   </w:t>
      </w:r>
    </w:p>
    <w:p w14:paraId="0A7692F9">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B20D94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风险费用的计算方法：</w:t>
      </w:r>
      <w:r>
        <w:rPr>
          <w:rFonts w:hint="eastAsia"/>
          <w:b w:val="0"/>
          <w:i w:val="0"/>
          <w:caps w:val="0"/>
          <w:color w:val="auto"/>
          <w:spacing w:val="0"/>
          <w:w w:val="100"/>
          <w:sz w:val="24"/>
          <w:szCs w:val="24"/>
          <w:highlight w:val="none"/>
          <w:u w:val="single" w:color="000000"/>
        </w:rPr>
        <w:t xml:space="preserve">                                   </w:t>
      </w:r>
    </w:p>
    <w:p w14:paraId="1CF89746">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C4AA82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风险范围以外合同价格的调整方法：</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27B8C23D">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EDEB30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3、其他价格方式：</w:t>
      </w:r>
      <w:r>
        <w:rPr>
          <w:rFonts w:hint="eastAsia"/>
          <w:b w:val="0"/>
          <w:i w:val="0"/>
          <w:caps w:val="0"/>
          <w:color w:val="auto"/>
          <w:spacing w:val="0"/>
          <w:w w:val="100"/>
          <w:sz w:val="24"/>
          <w:szCs w:val="24"/>
          <w:highlight w:val="none"/>
          <w:u w:val="single" w:color="000000"/>
        </w:rPr>
        <w:t xml:space="preserve">                                     </w:t>
      </w:r>
    </w:p>
    <w:p w14:paraId="5FE53128">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8E6D5E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12.2 预付款</w:t>
      </w:r>
    </w:p>
    <w:p w14:paraId="6F69ED3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12.2.1 预付款的支付</w:t>
      </w:r>
    </w:p>
    <w:p w14:paraId="0B2F089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预付款支付比例或金额：</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C14459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预付款支付期限：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41DF39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预付款扣回的方式：</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61A2D5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12.2.2 预付款担保</w:t>
      </w:r>
    </w:p>
    <w:p w14:paraId="1902468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承包人提交预付款担保的期限：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EB91A3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预付款担保的形式为：</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153A0C9">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 计量</w:t>
      </w:r>
    </w:p>
    <w:p w14:paraId="767E1B9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12.3.1 计量原则</w:t>
      </w:r>
    </w:p>
    <w:p w14:paraId="1F6C9BF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工程量计算规则：</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A10AAF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12.3.2 计量周期</w:t>
      </w:r>
    </w:p>
    <w:p w14:paraId="5C96FCC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关于计量周期的约定：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B3E858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12.3.3 单价合同的计量</w:t>
      </w:r>
    </w:p>
    <w:p w14:paraId="73872D3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关于单价合同计量的约定：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7321B0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12.3.4 总价合同的计量</w:t>
      </w:r>
    </w:p>
    <w:p w14:paraId="33BC756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关于总价合同计量的约定：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789062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12.3.5总价合同采用支付分解表计量支付的，是否适用第</w:t>
      </w:r>
      <w:r>
        <w:rPr>
          <w:rFonts w:hint="eastAsia"/>
          <w:b w:val="0"/>
          <w:i w:val="0"/>
          <w:caps w:val="0"/>
          <w:color w:val="auto"/>
          <w:spacing w:val="0"/>
          <w:w w:val="100"/>
          <w:kern w:val="0"/>
          <w:sz w:val="24"/>
          <w:szCs w:val="24"/>
          <w:highlight w:val="none"/>
        </w:rPr>
        <w:t xml:space="preserve">12.3.4 </w:t>
      </w:r>
      <w:r>
        <w:rPr>
          <w:rFonts w:hint="eastAsia"/>
          <w:b w:val="0"/>
          <w:i w:val="0"/>
          <w:caps w:val="0"/>
          <w:color w:val="auto"/>
          <w:spacing w:val="0"/>
          <w:w w:val="100"/>
          <w:sz w:val="24"/>
          <w:szCs w:val="24"/>
          <w:highlight w:val="none"/>
        </w:rPr>
        <w:t>项</w:t>
      </w:r>
      <w:r>
        <w:rPr>
          <w:rFonts w:hint="eastAsia"/>
          <w:b w:val="0"/>
          <w:i w:val="0"/>
          <w:caps w:val="0"/>
          <w:color w:val="auto"/>
          <w:spacing w:val="0"/>
          <w:w w:val="100"/>
          <w:kern w:val="0"/>
          <w:sz w:val="24"/>
          <w:szCs w:val="24"/>
          <w:highlight w:val="none"/>
        </w:rPr>
        <w:t>〔总价合同的计量〕</w:t>
      </w:r>
      <w:r>
        <w:rPr>
          <w:rFonts w:hint="eastAsia"/>
          <w:b w:val="0"/>
          <w:i w:val="0"/>
          <w:caps w:val="0"/>
          <w:color w:val="auto"/>
          <w:spacing w:val="0"/>
          <w:w w:val="100"/>
          <w:sz w:val="24"/>
          <w:szCs w:val="24"/>
          <w:highlight w:val="none"/>
        </w:rPr>
        <w:t>约定进行计量：</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30EA69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12.3.6 其他价格形式合同的计量</w:t>
      </w:r>
    </w:p>
    <w:p w14:paraId="7AC6527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其他价格形式的计量方式和程序：</w:t>
      </w:r>
      <w:r>
        <w:rPr>
          <w:rFonts w:hint="eastAsia"/>
          <w:b w:val="0"/>
          <w:i w:val="0"/>
          <w:caps w:val="0"/>
          <w:color w:val="auto"/>
          <w:spacing w:val="0"/>
          <w:w w:val="100"/>
          <w:sz w:val="24"/>
          <w:szCs w:val="24"/>
          <w:highlight w:val="none"/>
          <w:u w:val="single" w:color="000000"/>
        </w:rPr>
        <w:t xml:space="preserve">                         </w:t>
      </w:r>
    </w:p>
    <w:p w14:paraId="1F758CBF">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E2F87A2">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12.4 工程进度款支付</w:t>
      </w:r>
    </w:p>
    <w:p w14:paraId="2F7A72C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bookmarkStart w:id="665" w:name="_Toc297048397"/>
      <w:bookmarkStart w:id="666" w:name="_Toc296346712"/>
      <w:bookmarkStart w:id="667" w:name="_Toc303539163"/>
      <w:bookmarkStart w:id="668" w:name="_Toc297216215"/>
      <w:bookmarkStart w:id="669" w:name="_Toc296944550"/>
      <w:bookmarkStart w:id="670" w:name="_Toc300935006"/>
      <w:bookmarkStart w:id="671" w:name="_Toc296347210"/>
      <w:bookmarkStart w:id="672" w:name="_Toc296891039"/>
      <w:bookmarkStart w:id="673" w:name="_Toc292559416"/>
      <w:bookmarkStart w:id="674" w:name="_Toc297120511"/>
      <w:bookmarkStart w:id="675" w:name="_Toc297123556"/>
      <w:bookmarkStart w:id="676" w:name="_Toc296891251"/>
      <w:bookmarkStart w:id="677" w:name="_Toc292559921"/>
      <w:bookmarkStart w:id="678" w:name="_Toc296503211"/>
      <w:r>
        <w:rPr>
          <w:rFonts w:hint="eastAsia"/>
          <w:b w:val="0"/>
          <w:i w:val="0"/>
          <w:caps w:val="0"/>
          <w:color w:val="auto"/>
          <w:spacing w:val="0"/>
          <w:w w:val="100"/>
          <w:sz w:val="24"/>
          <w:szCs w:val="24"/>
          <w:highlight w:val="none"/>
        </w:rPr>
        <w:t>12.4.1 付款周期</w:t>
      </w:r>
    </w:p>
    <w:p w14:paraId="5877195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关于付款周期的约定：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EBE60D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12.4.2 进度付款申请单的编制</w:t>
      </w:r>
    </w:p>
    <w:p w14:paraId="0C5930D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关于进度付款申请单编制的约定：</w:t>
      </w:r>
      <w:r>
        <w:rPr>
          <w:rFonts w:hint="eastAsia"/>
          <w:b w:val="0"/>
          <w:i w:val="0"/>
          <w:caps w:val="0"/>
          <w:color w:val="auto"/>
          <w:spacing w:val="0"/>
          <w:w w:val="100"/>
          <w:sz w:val="24"/>
          <w:szCs w:val="24"/>
          <w:highlight w:val="none"/>
          <w:u w:val="single" w:color="000000"/>
        </w:rPr>
        <w:t xml:space="preserve">                       </w:t>
      </w:r>
    </w:p>
    <w:p w14:paraId="14A82DF9">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0353BB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Fonts w:hint="eastAsia"/>
          <w:b w:val="0"/>
          <w:i w:val="0"/>
          <w:caps w:val="0"/>
          <w:color w:val="auto"/>
          <w:spacing w:val="0"/>
          <w:w w:val="100"/>
          <w:sz w:val="24"/>
          <w:szCs w:val="24"/>
          <w:highlight w:val="none"/>
        </w:rPr>
        <w:t>2.4.3 进度付款申请单的提交</w:t>
      </w:r>
    </w:p>
    <w:p w14:paraId="13A8F83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（1）单价合同进度付款申请单提交的约定：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6195CA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（2）总价合同进度付款申请单提交的约定：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F3B3C3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（3）其他价格形式合同进度付款申请单提交的约定：</w:t>
      </w:r>
      <w:r>
        <w:rPr>
          <w:rFonts w:hint="eastAsia"/>
          <w:b w:val="0"/>
          <w:i w:val="0"/>
          <w:caps w:val="0"/>
          <w:color w:val="auto"/>
          <w:spacing w:val="0"/>
          <w:w w:val="100"/>
          <w:sz w:val="24"/>
          <w:szCs w:val="24"/>
          <w:highlight w:val="none"/>
          <w:u w:val="single" w:color="000000"/>
        </w:rPr>
        <w:t xml:space="preserve">       </w:t>
      </w:r>
    </w:p>
    <w:p w14:paraId="09828693">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1F4D83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12.4.4 进度款审核和支付</w:t>
      </w:r>
    </w:p>
    <w:p w14:paraId="34BD3A4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（1）监理人审查并报送发包人的期限：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A808A2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发包人完成审批并签发进度款支付证书的期限：</w:t>
      </w:r>
      <w:r>
        <w:rPr>
          <w:rFonts w:hint="eastAsia"/>
          <w:b w:val="0"/>
          <w:i w:val="0"/>
          <w:caps w:val="0"/>
          <w:color w:val="auto"/>
          <w:spacing w:val="0"/>
          <w:w w:val="100"/>
          <w:sz w:val="24"/>
          <w:szCs w:val="24"/>
          <w:highlight w:val="none"/>
          <w:u w:val="single" w:color="000000"/>
        </w:rPr>
        <w:t xml:space="preserve">           </w:t>
      </w:r>
    </w:p>
    <w:p w14:paraId="4ED953F1">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776CA5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（2）发包人支付进度款的期限：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89837BF">
      <w:pPr>
        <w:snapToGrid w:val="0"/>
        <w:spacing w:before="0" w:beforeAutospacing="0" w:after="0" w:afterAutospacing="0" w:line="360" w:lineRule="auto"/>
        <w:ind w:firstLine="600" w:firstLineChars="25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发包人逾期支付进度款的违约金的计算方式：</w:t>
      </w:r>
      <w:r>
        <w:rPr>
          <w:rFonts w:hint="eastAsia"/>
          <w:b w:val="0"/>
          <w:i w:val="0"/>
          <w:caps w:val="0"/>
          <w:color w:val="auto"/>
          <w:spacing w:val="0"/>
          <w:w w:val="100"/>
          <w:sz w:val="24"/>
          <w:szCs w:val="24"/>
          <w:highlight w:val="none"/>
          <w:u w:val="single" w:color="000000"/>
        </w:rPr>
        <w:t xml:space="preserve">            </w:t>
      </w:r>
    </w:p>
    <w:p w14:paraId="02C1E95A">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7A3C1F8">
      <w:pPr>
        <w:snapToGrid w:val="0"/>
        <w:spacing w:before="0" w:beforeAutospacing="0" w:after="0" w:afterAutospacing="0" w:line="360" w:lineRule="auto"/>
        <w:ind w:firstLine="600" w:firstLineChars="25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12.4.6 支付分解表的编制</w:t>
      </w:r>
    </w:p>
    <w:p w14:paraId="44B0576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2、总价合同支付分解表的编制与审批：</w:t>
      </w:r>
      <w:r>
        <w:rPr>
          <w:rFonts w:hint="eastAsia"/>
          <w:b w:val="0"/>
          <w:i w:val="0"/>
          <w:caps w:val="0"/>
          <w:color w:val="auto"/>
          <w:spacing w:val="0"/>
          <w:w w:val="100"/>
          <w:sz w:val="24"/>
          <w:szCs w:val="24"/>
          <w:highlight w:val="none"/>
          <w:u w:val="single" w:color="000000"/>
        </w:rPr>
        <w:t xml:space="preserve">                  </w:t>
      </w:r>
    </w:p>
    <w:p w14:paraId="666B9352">
      <w:pPr>
        <w:snapToGrid w:val="0"/>
        <w:spacing w:before="0" w:beforeAutospacing="0" w:after="0" w:afterAutospacing="0" w:line="360" w:lineRule="auto"/>
        <w:ind w:hangingChars="20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CC7C87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3、单价合同的总价项目支付分解表的编制与审批：</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296252A5">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D49DA29">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79" w:name="_Toc351203645"/>
      <w:r>
        <w:rPr>
          <w:rFonts w:hint="eastAsia"/>
          <w:b w:val="0"/>
          <w:i w:val="0"/>
          <w:caps w:val="0"/>
          <w:color w:val="auto"/>
          <w:spacing w:val="0"/>
          <w:w w:val="100"/>
          <w:sz w:val="24"/>
          <w:szCs w:val="24"/>
          <w:highlight w:val="none"/>
        </w:rPr>
        <w:t>13. 验收和工程试车</w:t>
      </w:r>
      <w:bookmarkEnd w:id="679"/>
    </w:p>
    <w:p w14:paraId="51BC8620">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13.1 分部分项工程验收</w:t>
      </w:r>
    </w:p>
    <w:p w14:paraId="0BA3EB8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13.1.2监理人不能按时进行验收时，应提前</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小时提交书面延期要求。</w:t>
      </w:r>
    </w:p>
    <w:p w14:paraId="3BCCD554">
      <w:pPr>
        <w:snapToGrid w:val="0"/>
        <w:spacing w:before="0" w:beforeAutospacing="0" w:after="0" w:afterAutospacing="0" w:line="360" w:lineRule="auto"/>
        <w:ind w:firstLine="480" w:firstLineChars="200"/>
        <w:jc w:val="left"/>
        <w:textAlignment w:val="baseline"/>
        <w:rPr>
          <w:rFonts w:hint="eastAsia"/>
          <w:b/>
          <w:i w:val="0"/>
          <w:caps w:val="0"/>
          <w:color w:val="auto"/>
          <w:spacing w:val="0"/>
          <w:w w:val="100"/>
          <w:sz w:val="24"/>
          <w:szCs w:val="24"/>
          <w:highlight w:val="none"/>
        </w:rPr>
      </w:pPr>
      <w:r>
        <w:rPr>
          <w:rFonts w:hint="eastAsia"/>
          <w:b w:val="0"/>
          <w:i w:val="0"/>
          <w:caps w:val="0"/>
          <w:color w:val="auto"/>
          <w:spacing w:val="0"/>
          <w:w w:val="100"/>
          <w:sz w:val="24"/>
          <w:szCs w:val="24"/>
          <w:highlight w:val="none"/>
        </w:rPr>
        <w:t>关于延期最长不得超过：</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小时。</w:t>
      </w:r>
    </w:p>
    <w:p w14:paraId="66BF4052">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13.2 竣工验收</w:t>
      </w:r>
    </w:p>
    <w:p w14:paraId="663C605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13.2.2竣工验收程序</w:t>
      </w:r>
    </w:p>
    <w:p w14:paraId="6CDDBE7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关于竣工验收程序的约定：</w:t>
      </w:r>
      <w:r>
        <w:rPr>
          <w:rFonts w:hint="eastAsia"/>
          <w:b w:val="0"/>
          <w:i w:val="0"/>
          <w:caps w:val="0"/>
          <w:color w:val="auto"/>
          <w:spacing w:val="0"/>
          <w:w w:val="100"/>
          <w:sz w:val="24"/>
          <w:szCs w:val="24"/>
          <w:highlight w:val="none"/>
          <w:u w:val="single" w:color="000000"/>
        </w:rPr>
        <w:t xml:space="preserve">                              </w:t>
      </w:r>
    </w:p>
    <w:p w14:paraId="40B3627A">
      <w:pPr>
        <w:snapToGrid w:val="0"/>
        <w:spacing w:before="0" w:beforeAutospacing="0" w:after="0" w:afterAutospacing="0" w:line="360" w:lineRule="auto"/>
        <w:ind w:hangingChars="20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A2F8ED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发包人不按照本项约定组织竣工验收、颁发工程接收证书的违约金的计算方法：</w:t>
      </w:r>
      <w:r>
        <w:rPr>
          <w:rFonts w:hint="eastAsia"/>
          <w:b w:val="0"/>
          <w:i w:val="0"/>
          <w:caps w:val="0"/>
          <w:color w:val="auto"/>
          <w:spacing w:val="0"/>
          <w:w w:val="100"/>
          <w:sz w:val="24"/>
          <w:szCs w:val="24"/>
          <w:highlight w:val="none"/>
          <w:u w:val="single" w:color="000000"/>
        </w:rPr>
        <w:t xml:space="preserve">                                         </w:t>
      </w:r>
    </w:p>
    <w:p w14:paraId="6ECDB841">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8B63A6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13.2.5移交、接收全部与部分工程</w:t>
      </w:r>
    </w:p>
    <w:p w14:paraId="7BE5768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承包人向发包人移交工程的期限：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71256B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发包人未按本合同约定接收全部或部分工程的，违约金的计算方法为：</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A32549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承包人未按时移交工程的，违约金的计算方法为：</w:t>
      </w:r>
      <w:r>
        <w:rPr>
          <w:rFonts w:hint="eastAsia"/>
          <w:b w:val="0"/>
          <w:i w:val="0"/>
          <w:caps w:val="0"/>
          <w:color w:val="auto"/>
          <w:spacing w:val="0"/>
          <w:w w:val="100"/>
          <w:sz w:val="24"/>
          <w:szCs w:val="24"/>
          <w:highlight w:val="none"/>
          <w:u w:val="single" w:color="000000"/>
        </w:rPr>
        <w:t xml:space="preserve">          </w:t>
      </w:r>
    </w:p>
    <w:p w14:paraId="3B6EDF1D">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6A388CF0">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13.3 工程试车</w:t>
      </w:r>
    </w:p>
    <w:p w14:paraId="576D67B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13.3.1 试车程序</w:t>
      </w:r>
    </w:p>
    <w:p w14:paraId="4711095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工程试车内容：</w:t>
      </w:r>
      <w:r>
        <w:rPr>
          <w:rFonts w:hint="eastAsia"/>
          <w:b w:val="0"/>
          <w:i w:val="0"/>
          <w:caps w:val="0"/>
          <w:color w:val="auto"/>
          <w:spacing w:val="0"/>
          <w:w w:val="100"/>
          <w:sz w:val="24"/>
          <w:szCs w:val="24"/>
          <w:highlight w:val="none"/>
          <w:u w:val="single" w:color="000000"/>
        </w:rPr>
        <w:t xml:space="preserve">                                        </w:t>
      </w:r>
    </w:p>
    <w:p w14:paraId="2A3431B0">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21D795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（1）单机无负荷试车费用由</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kern w:val="0"/>
          <w:sz w:val="24"/>
          <w:szCs w:val="24"/>
          <w:highlight w:val="none"/>
        </w:rPr>
        <w:t>承担；</w:t>
      </w:r>
    </w:p>
    <w:p w14:paraId="5AEEE7B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（2）无负荷联动试车费用由</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kern w:val="0"/>
          <w:sz w:val="24"/>
          <w:szCs w:val="24"/>
          <w:highlight w:val="none"/>
        </w:rPr>
        <w:t>承担。</w:t>
      </w:r>
    </w:p>
    <w:p w14:paraId="085B415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13.3.3 投料试车</w:t>
      </w:r>
    </w:p>
    <w:p w14:paraId="1150B9C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关于投料试车相关事项的约定：</w:t>
      </w:r>
      <w:r>
        <w:rPr>
          <w:rFonts w:hint="eastAsia"/>
          <w:b w:val="0"/>
          <w:i w:val="0"/>
          <w:caps w:val="0"/>
          <w:color w:val="auto"/>
          <w:spacing w:val="0"/>
          <w:w w:val="100"/>
          <w:sz w:val="24"/>
          <w:szCs w:val="24"/>
          <w:highlight w:val="none"/>
          <w:u w:val="single" w:color="000000"/>
        </w:rPr>
        <w:t xml:space="preserve">                           </w:t>
      </w:r>
    </w:p>
    <w:p w14:paraId="240DF796">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7471D5C">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13.6 竣工退场</w:t>
      </w:r>
    </w:p>
    <w:p w14:paraId="21F7FC2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13.6.1 竣工退场</w:t>
      </w:r>
    </w:p>
    <w:p w14:paraId="5EFBA94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承包人完成竣工退场的期限：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56116591">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80" w:name="_Toc351203646"/>
      <w:r>
        <w:rPr>
          <w:rFonts w:hint="eastAsia"/>
          <w:b w:val="0"/>
          <w:i w:val="0"/>
          <w:caps w:val="0"/>
          <w:color w:val="auto"/>
          <w:spacing w:val="0"/>
          <w:w w:val="100"/>
          <w:sz w:val="24"/>
          <w:szCs w:val="24"/>
          <w:highlight w:val="none"/>
        </w:rPr>
        <w:t>14. 竣工结算</w:t>
      </w:r>
      <w:bookmarkEnd w:id="680"/>
    </w:p>
    <w:p w14:paraId="2D4E382A">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14.1 竣工结算申请</w:t>
      </w:r>
    </w:p>
    <w:p w14:paraId="7647680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承包人提交竣工结算申请单的期限：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43B157F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竣工结算申请单应包括的内容：</w:t>
      </w:r>
      <w:r>
        <w:rPr>
          <w:rFonts w:hint="eastAsia"/>
          <w:b w:val="0"/>
          <w:i w:val="0"/>
          <w:caps w:val="0"/>
          <w:color w:val="auto"/>
          <w:spacing w:val="0"/>
          <w:w w:val="100"/>
          <w:sz w:val="24"/>
          <w:szCs w:val="24"/>
          <w:highlight w:val="none"/>
          <w:u w:val="single" w:color="000000"/>
        </w:rPr>
        <w:t xml:space="preserve">                        </w:t>
      </w:r>
    </w:p>
    <w:p w14:paraId="41489506">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991567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14.2 竣工结算审核</w:t>
      </w:r>
    </w:p>
    <w:p w14:paraId="7F109E5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发包人审批竣工付款申请单的期限：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30B7C28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发包人完成竣工付款的期限：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5921D5B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关于竣工付款证书异议部分复核的方式和程序：</w:t>
      </w:r>
      <w:r>
        <w:rPr>
          <w:rFonts w:hint="eastAsia"/>
          <w:b w:val="0"/>
          <w:i w:val="0"/>
          <w:caps w:val="0"/>
          <w:color w:val="auto"/>
          <w:spacing w:val="0"/>
          <w:w w:val="100"/>
          <w:sz w:val="24"/>
          <w:szCs w:val="24"/>
          <w:highlight w:val="none"/>
          <w:u w:val="single" w:color="000000"/>
        </w:rPr>
        <w:t xml:space="preserve">          </w:t>
      </w:r>
    </w:p>
    <w:p w14:paraId="65CFD0B5">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7921273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14.4 最终结清</w:t>
      </w:r>
    </w:p>
    <w:p w14:paraId="17F8501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14.4.1 最终结清申请单</w:t>
      </w:r>
    </w:p>
    <w:p w14:paraId="69B5456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承包人提交最终结清申请单的份数：</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F252DB5">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rPr>
        <w:t>承包人提交最终结算申请单的期限：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116F3D3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14.4.2 最终结清证书和支付</w:t>
      </w:r>
    </w:p>
    <w:p w14:paraId="7599E3E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（1）发包人完成最终结清申请单的审批并颁发最终结清证书的期限：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931B08B">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（2）发包人完成支付的期限：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CA1E575">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81" w:name="_Toc351203647"/>
      <w:bookmarkStart w:id="682" w:name="_Toc267251483"/>
      <w:bookmarkStart w:id="683" w:name="_Toc267251507"/>
      <w:bookmarkStart w:id="684" w:name="_Toc267251508"/>
      <w:bookmarkStart w:id="685" w:name="_Toc267251510"/>
      <w:bookmarkStart w:id="686" w:name="_Toc267251515"/>
      <w:bookmarkStart w:id="687" w:name="_Toc267251514"/>
      <w:bookmarkStart w:id="688" w:name="_Toc267251513"/>
      <w:bookmarkStart w:id="689" w:name="_Toc267251509"/>
      <w:bookmarkStart w:id="690" w:name="_Toc267251511"/>
      <w:r>
        <w:rPr>
          <w:rFonts w:hint="eastAsia"/>
          <w:b w:val="0"/>
          <w:i w:val="0"/>
          <w:caps w:val="0"/>
          <w:color w:val="auto"/>
          <w:spacing w:val="0"/>
          <w:w w:val="100"/>
          <w:sz w:val="24"/>
          <w:szCs w:val="24"/>
          <w:highlight w:val="none"/>
        </w:rPr>
        <w:t>15. 缺陷责任期与保修</w:t>
      </w:r>
      <w:bookmarkEnd w:id="681"/>
    </w:p>
    <w:p w14:paraId="02A92525">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15.2缺陷责任期</w:t>
      </w:r>
      <w:bookmarkEnd w:id="682"/>
    </w:p>
    <w:p w14:paraId="4036D7A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缺陷责任期的具体期限：</w:t>
      </w:r>
      <w:r>
        <w:rPr>
          <w:rFonts w:hint="eastAsia"/>
          <w:b w:val="0"/>
          <w:i w:val="0"/>
          <w:caps w:val="0"/>
          <w:color w:val="auto"/>
          <w:spacing w:val="0"/>
          <w:w w:val="100"/>
          <w:sz w:val="24"/>
          <w:szCs w:val="24"/>
          <w:highlight w:val="none"/>
          <w:u w:val="single" w:color="000000"/>
        </w:rPr>
        <w:t xml:space="preserve">                                </w:t>
      </w:r>
    </w:p>
    <w:p w14:paraId="46083E83">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DF57AB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15.3 质量保证金</w:t>
      </w:r>
    </w:p>
    <w:p w14:paraId="26E1B15C">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关于是否扣留质量保证金的约定：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。在工程项目竣工前，承包人按专用合同条款第3.7条提供履约担保的，发包人不得同时预留工程质量保证金。</w:t>
      </w:r>
    </w:p>
    <w:p w14:paraId="59D29037">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p>
    <w:p w14:paraId="2A5DEB7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15.3.1 承包人提供质量保证金的方式</w:t>
      </w:r>
    </w:p>
    <w:p w14:paraId="7181B24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质量保证金采用以下第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种方式：</w:t>
      </w:r>
    </w:p>
    <w:p w14:paraId="5DE99A0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（1）质量保证金保函，保证金额为：</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 xml:space="preserve">； </w:t>
      </w:r>
    </w:p>
    <w:p w14:paraId="5F0B654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（2）</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%的工程款；</w:t>
      </w:r>
    </w:p>
    <w:p w14:paraId="3003044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（3）其他方式:</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4AC073D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 xml:space="preserve">15.3.2 质量保证金的扣留 </w:t>
      </w:r>
    </w:p>
    <w:p w14:paraId="1F14363D">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质量保证金的扣留采取以下第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种方式：</w:t>
      </w:r>
    </w:p>
    <w:p w14:paraId="2D3D507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（1）在支付工程进度款时逐次扣留，在此情形下，质量保证金的计算基数不包括预付款的支付、扣回以及价格调整的金额；</w:t>
      </w:r>
    </w:p>
    <w:p w14:paraId="092C218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（2）工程竣工结算时一次性扣留质量保证金；</w:t>
      </w:r>
    </w:p>
    <w:p w14:paraId="1B06D48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（3）其他扣留方式:</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3F91874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sz w:val="24"/>
          <w:szCs w:val="24"/>
          <w:highlight w:val="none"/>
        </w:rPr>
        <w:t>关于质量保证金的补充约定：</w:t>
      </w:r>
      <w:r>
        <w:rPr>
          <w:rFonts w:hint="eastAsia"/>
          <w:b w:val="0"/>
          <w:i w:val="0"/>
          <w:caps w:val="0"/>
          <w:color w:val="auto"/>
          <w:spacing w:val="0"/>
          <w:w w:val="100"/>
          <w:kern w:val="0"/>
          <w:sz w:val="24"/>
          <w:szCs w:val="24"/>
          <w:highlight w:val="none"/>
          <w:u w:val="single" w:color="000000"/>
        </w:rPr>
        <w:t xml:space="preserve">                            </w:t>
      </w:r>
    </w:p>
    <w:p w14:paraId="3F727898">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733461C6">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15.4保修</w:t>
      </w:r>
    </w:p>
    <w:p w14:paraId="73CAA6F7">
      <w:pPr>
        <w:snapToGrid w:val="0"/>
        <w:spacing w:before="0" w:beforeAutospacing="0" w:after="0" w:afterAutospacing="0" w:line="360" w:lineRule="auto"/>
        <w:ind w:firstLine="468" w:firstLineChars="195"/>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15.4.1 保修责任</w:t>
      </w:r>
    </w:p>
    <w:p w14:paraId="567EA921">
      <w:pPr>
        <w:snapToGrid w:val="0"/>
        <w:spacing w:before="0" w:beforeAutospacing="0" w:after="0" w:afterAutospacing="0" w:line="360" w:lineRule="auto"/>
        <w:ind w:firstLine="468" w:firstLineChars="195"/>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sz w:val="24"/>
          <w:szCs w:val="24"/>
          <w:highlight w:val="none"/>
        </w:rPr>
        <w:t>工程保修期为：</w:t>
      </w:r>
      <w:r>
        <w:rPr>
          <w:rFonts w:hint="eastAsia"/>
          <w:b w:val="0"/>
          <w:i w:val="0"/>
          <w:caps w:val="0"/>
          <w:color w:val="auto"/>
          <w:spacing w:val="0"/>
          <w:w w:val="100"/>
          <w:kern w:val="0"/>
          <w:sz w:val="24"/>
          <w:szCs w:val="24"/>
          <w:highlight w:val="none"/>
          <w:u w:val="single" w:color="000000"/>
        </w:rPr>
        <w:t xml:space="preserve">                                        </w:t>
      </w:r>
    </w:p>
    <w:p w14:paraId="207A57FF">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2F03D55D">
      <w:pPr>
        <w:snapToGrid w:val="0"/>
        <w:spacing w:before="0" w:beforeAutospacing="0" w:after="0" w:afterAutospacing="0" w:line="360" w:lineRule="auto"/>
        <w:ind w:firstLine="468" w:firstLineChars="195"/>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15.4.3 修复通知</w:t>
      </w:r>
    </w:p>
    <w:p w14:paraId="638983E6">
      <w:pPr>
        <w:snapToGrid w:val="0"/>
        <w:spacing w:before="0" w:beforeAutospacing="0" w:after="0" w:afterAutospacing="0" w:line="360" w:lineRule="auto"/>
        <w:ind w:firstLine="468" w:firstLineChars="195"/>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承包人收到保修通知并到达工程现场的合理时间：</w:t>
      </w:r>
      <w:r>
        <w:rPr>
          <w:rFonts w:hint="eastAsia"/>
          <w:b w:val="0"/>
          <w:i w:val="0"/>
          <w:caps w:val="0"/>
          <w:color w:val="auto"/>
          <w:spacing w:val="0"/>
          <w:w w:val="100"/>
          <w:kern w:val="0"/>
          <w:sz w:val="24"/>
          <w:szCs w:val="24"/>
          <w:highlight w:val="none"/>
          <w:u w:val="single" w:color="000000"/>
        </w:rPr>
        <w:t xml:space="preserve">          </w:t>
      </w:r>
    </w:p>
    <w:p w14:paraId="30E0D7E1">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5FE8DDB0">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91" w:name="_Toc351203648"/>
      <w:bookmarkStart w:id="692" w:name="_Toc280868717"/>
      <w:r>
        <w:rPr>
          <w:rFonts w:hint="eastAsia"/>
          <w:b w:val="0"/>
          <w:i w:val="0"/>
          <w:caps w:val="0"/>
          <w:color w:val="auto"/>
          <w:spacing w:val="0"/>
          <w:w w:val="100"/>
          <w:sz w:val="24"/>
          <w:szCs w:val="24"/>
          <w:highlight w:val="none"/>
        </w:rPr>
        <w:t>16. 违约</w:t>
      </w:r>
      <w:bookmarkEnd w:id="691"/>
    </w:p>
    <w:p w14:paraId="297FC004">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16.1 发包人违约</w:t>
      </w:r>
    </w:p>
    <w:p w14:paraId="25357C0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16.1.1发包人违约的情形</w:t>
      </w:r>
    </w:p>
    <w:p w14:paraId="282D0C5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发包人违约的其他情形：</w:t>
      </w:r>
      <w:r>
        <w:rPr>
          <w:rFonts w:hint="eastAsia"/>
          <w:b w:val="0"/>
          <w:i w:val="0"/>
          <w:caps w:val="0"/>
          <w:color w:val="auto"/>
          <w:spacing w:val="0"/>
          <w:w w:val="100"/>
          <w:kern w:val="0"/>
          <w:sz w:val="24"/>
          <w:szCs w:val="24"/>
          <w:highlight w:val="none"/>
          <w:u w:val="single" w:color="000000"/>
        </w:rPr>
        <w:t xml:space="preserve">                                </w:t>
      </w:r>
    </w:p>
    <w:p w14:paraId="3DB922CE">
      <w:pPr>
        <w:snapToGrid w:val="0"/>
        <w:spacing w:before="0" w:beforeAutospacing="0" w:after="0" w:afterAutospacing="0" w:line="360" w:lineRule="auto"/>
        <w:ind w:hangingChars="5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470828D6">
      <w:pPr>
        <w:snapToGrid w:val="0"/>
        <w:spacing w:before="0" w:beforeAutospacing="0" w:after="0" w:afterAutospacing="0" w:line="360" w:lineRule="auto"/>
        <w:ind w:hangingChars="5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 xml:space="preserve">    16.1.2 发包人违约的责任</w:t>
      </w:r>
    </w:p>
    <w:p w14:paraId="7C73E17F">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发包人违约责任的承担方式和计算方法：</w:t>
      </w:r>
    </w:p>
    <w:p w14:paraId="4CCD993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（1）因发包人原因未能在计划开工日期前7天内下达开工通知的违约责任：</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077D405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（2）因发包人原因未能按合同约定支付合同价款的违约责任：</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352170D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（3）发包人违反第10.1款〔变更的范围〕第（2）项约定，自行实施被取消的工作或转由他人实施的违约责任：</w:t>
      </w:r>
      <w:r>
        <w:rPr>
          <w:rFonts w:hint="eastAsia"/>
          <w:b w:val="0"/>
          <w:i w:val="0"/>
          <w:caps w:val="0"/>
          <w:color w:val="auto"/>
          <w:spacing w:val="0"/>
          <w:w w:val="100"/>
          <w:kern w:val="0"/>
          <w:sz w:val="24"/>
          <w:szCs w:val="24"/>
          <w:highlight w:val="none"/>
          <w:u w:val="single" w:color="000000"/>
        </w:rPr>
        <w:t xml:space="preserve">              </w:t>
      </w:r>
    </w:p>
    <w:p w14:paraId="213C95CE">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5AA8C70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（4）发包人提供的材料、工程设备的规格、数量或质量不符合合同约定，或因发包人原因导致交货日期延误或交货地点变更等情况的违约责任：</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1737AD3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（5）因发包人违反合同约定造成暂停施工的违约责任：</w:t>
      </w:r>
      <w:r>
        <w:rPr>
          <w:rFonts w:hint="eastAsia"/>
          <w:b w:val="0"/>
          <w:i w:val="0"/>
          <w:caps w:val="0"/>
          <w:color w:val="auto"/>
          <w:spacing w:val="0"/>
          <w:w w:val="100"/>
          <w:kern w:val="0"/>
          <w:sz w:val="24"/>
          <w:szCs w:val="24"/>
          <w:highlight w:val="none"/>
          <w:u w:val="single" w:color="000000"/>
        </w:rPr>
        <w:t xml:space="preserve">     </w:t>
      </w:r>
    </w:p>
    <w:p w14:paraId="58324009">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1AC6948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（6）发包人无正当理由没有在约定期限内发出复工指示，导致承包人无法复工的违约责任：</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6BF6CD0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（7）其他：</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495D1CA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16.1.3 因发包人违约解除合同</w:t>
      </w:r>
    </w:p>
    <w:p w14:paraId="04BE002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承包人按16.1.1项〔发包人违约的情形〕约定暂停施工满</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天后发包人仍不纠正其违约行为并致使合同目的不能实现的，承包人有权解除合同。</w:t>
      </w:r>
    </w:p>
    <w:p w14:paraId="100D898B">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16.2 承包人违约</w:t>
      </w:r>
    </w:p>
    <w:p w14:paraId="3AF3D256">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16.2.1 承包人违约的情形</w:t>
      </w:r>
    </w:p>
    <w:p w14:paraId="050EC30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承包人违约的其他情形：</w:t>
      </w:r>
      <w:r>
        <w:rPr>
          <w:rFonts w:hint="eastAsia"/>
          <w:b w:val="0"/>
          <w:i w:val="0"/>
          <w:caps w:val="0"/>
          <w:color w:val="auto"/>
          <w:spacing w:val="0"/>
          <w:w w:val="100"/>
          <w:kern w:val="0"/>
          <w:sz w:val="24"/>
          <w:szCs w:val="24"/>
          <w:highlight w:val="none"/>
          <w:u w:val="single" w:color="000000"/>
        </w:rPr>
        <w:t xml:space="preserve">                                </w:t>
      </w:r>
    </w:p>
    <w:p w14:paraId="164A5217">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3B5243D9">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16.2.2承包人违约的责任</w:t>
      </w:r>
    </w:p>
    <w:p w14:paraId="37B4B90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承包人违约责任的承担方式和计算方法：</w:t>
      </w:r>
      <w:r>
        <w:rPr>
          <w:rFonts w:hint="eastAsia"/>
          <w:b w:val="0"/>
          <w:i w:val="0"/>
          <w:caps w:val="0"/>
          <w:color w:val="auto"/>
          <w:spacing w:val="0"/>
          <w:w w:val="100"/>
          <w:kern w:val="0"/>
          <w:sz w:val="24"/>
          <w:szCs w:val="24"/>
          <w:highlight w:val="none"/>
          <w:u w:val="single" w:color="000000"/>
        </w:rPr>
        <w:t xml:space="preserve">                  </w:t>
      </w:r>
    </w:p>
    <w:p w14:paraId="61FFB6ED">
      <w:pPr>
        <w:snapToGrid w:val="0"/>
        <w:spacing w:before="0" w:beforeAutospacing="0" w:after="0" w:afterAutospacing="0" w:line="360" w:lineRule="auto"/>
        <w:ind w:hangingChars="5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r>
        <w:rPr>
          <w:rFonts w:hint="eastAsia"/>
          <w:b w:val="0"/>
          <w:i w:val="0"/>
          <w:caps w:val="0"/>
          <w:color w:val="auto"/>
          <w:spacing w:val="0"/>
          <w:w w:val="100"/>
          <w:sz w:val="24"/>
          <w:szCs w:val="24"/>
          <w:highlight w:val="none"/>
        </w:rPr>
        <w:t xml:space="preserve">    </w:t>
      </w:r>
    </w:p>
    <w:p w14:paraId="1A09EF2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16.2.3 因承包人违约解除合同</w:t>
      </w:r>
    </w:p>
    <w:p w14:paraId="0D698EF9">
      <w:pPr>
        <w:snapToGrid w:val="0"/>
        <w:spacing w:before="120" w:beforeAutospacing="0" w:after="120" w:afterAutospacing="0" w:line="360" w:lineRule="auto"/>
        <w:ind w:firstLine="480" w:firstLineChars="200"/>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kern w:val="0"/>
          <w:sz w:val="24"/>
          <w:szCs w:val="24"/>
          <w:highlight w:val="none"/>
        </w:rPr>
        <w:t>关于承包人违约解除合同的特别约定：</w:t>
      </w:r>
      <w:r>
        <w:rPr>
          <w:rFonts w:hint="eastAsia"/>
          <w:b w:val="0"/>
          <w:i w:val="0"/>
          <w:caps w:val="0"/>
          <w:color w:val="auto"/>
          <w:spacing w:val="0"/>
          <w:w w:val="100"/>
          <w:kern w:val="0"/>
          <w:sz w:val="24"/>
          <w:szCs w:val="24"/>
          <w:highlight w:val="none"/>
          <w:u w:val="single" w:color="000000"/>
        </w:rPr>
        <w:t xml:space="preserve">                    </w:t>
      </w:r>
    </w:p>
    <w:p w14:paraId="72F643D1">
      <w:pPr>
        <w:snapToGrid w:val="0"/>
        <w:spacing w:before="120" w:beforeAutospacing="0" w:after="120" w:afterAutospacing="0" w:line="360" w:lineRule="auto"/>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6249192B">
      <w:pPr>
        <w:snapToGrid w:val="0"/>
        <w:spacing w:before="120" w:beforeAutospacing="0" w:after="120" w:afterAutospacing="0" w:line="360" w:lineRule="auto"/>
        <w:ind w:firstLine="480" w:firstLineChars="200"/>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rPr>
        <w:t>发包人继续使用承包人在施工现场的材料、设备、临时工程、承包人文件和由承包人或以其名义编制的其他文件的费用承担方式：</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703AC199">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rPr>
      </w:pPr>
      <w:bookmarkStart w:id="693" w:name="_Toc351203649"/>
      <w:r>
        <w:rPr>
          <w:rFonts w:hint="eastAsia"/>
          <w:b w:val="0"/>
          <w:i w:val="0"/>
          <w:caps w:val="0"/>
          <w:color w:val="auto"/>
          <w:spacing w:val="0"/>
          <w:w w:val="100"/>
          <w:sz w:val="24"/>
          <w:szCs w:val="24"/>
          <w:highlight w:val="none"/>
        </w:rPr>
        <w:t>17. 不可抗力</w:t>
      </w:r>
      <w:bookmarkEnd w:id="693"/>
      <w:r>
        <w:rPr>
          <w:rFonts w:hint="eastAsia"/>
          <w:b w:val="0"/>
          <w:i w:val="0"/>
          <w:caps w:val="0"/>
          <w:color w:val="auto"/>
          <w:spacing w:val="0"/>
          <w:w w:val="100"/>
          <w:sz w:val="24"/>
          <w:szCs w:val="24"/>
          <w:highlight w:val="none"/>
        </w:rPr>
        <w:t xml:space="preserve"> </w:t>
      </w:r>
      <w:bookmarkEnd w:id="692"/>
    </w:p>
    <w:p w14:paraId="1905F906">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17.1 不可抗力的确认</w:t>
      </w:r>
    </w:p>
    <w:p w14:paraId="72465861">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u w:val="single" w:color="000000"/>
        </w:rPr>
      </w:pPr>
      <w:r>
        <w:rPr>
          <w:rFonts w:hint="eastAsia"/>
          <w:b w:val="0"/>
          <w:i w:val="0"/>
          <w:caps w:val="0"/>
          <w:color w:val="auto"/>
          <w:spacing w:val="0"/>
          <w:w w:val="100"/>
          <w:sz w:val="24"/>
          <w:szCs w:val="24"/>
          <w:highlight w:val="none"/>
        </w:rPr>
        <w:t xml:space="preserve">除通用合同条款约定的不可抗力事件之外，视为不可抗力的其他情形： </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794330AC">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17.4 因不可抗力解除合同</w:t>
      </w:r>
    </w:p>
    <w:p w14:paraId="4E2A452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合同解除后，发包人应在商定或确定发包人应支付款项后</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天内完成款项的支付。</w:t>
      </w:r>
    </w:p>
    <w:p w14:paraId="38193FF2">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lang w:val="en-US" w:eastAsia="zh-CN"/>
        </w:rPr>
      </w:pPr>
      <w:bookmarkStart w:id="694" w:name="_Toc351203650"/>
      <w:r>
        <w:rPr>
          <w:rFonts w:hint="eastAsia"/>
          <w:b w:val="0"/>
          <w:i w:val="0"/>
          <w:caps w:val="0"/>
          <w:color w:val="auto"/>
          <w:spacing w:val="0"/>
          <w:w w:val="100"/>
          <w:sz w:val="24"/>
          <w:szCs w:val="24"/>
          <w:highlight w:val="none"/>
          <w:lang w:val="en-US" w:eastAsia="zh-CN"/>
        </w:rPr>
        <w:t>18. 保险</w:t>
      </w:r>
      <w:bookmarkEnd w:id="694"/>
    </w:p>
    <w:p w14:paraId="1F31472C">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18.1 工程保险</w:t>
      </w:r>
    </w:p>
    <w:p w14:paraId="29B35EA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关于工程保险的特别约定：</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2D151044">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18.3 其他保险</w:t>
      </w:r>
    </w:p>
    <w:p w14:paraId="5587D84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rPr>
        <w:t>关于其他保险的约定：</w:t>
      </w:r>
      <w:r>
        <w:rPr>
          <w:rFonts w:hint="eastAsia"/>
          <w:b w:val="0"/>
          <w:i w:val="0"/>
          <w:caps w:val="0"/>
          <w:color w:val="auto"/>
          <w:spacing w:val="0"/>
          <w:w w:val="100"/>
          <w:kern w:val="0"/>
          <w:sz w:val="24"/>
          <w:szCs w:val="24"/>
          <w:highlight w:val="none"/>
          <w:u w:val="single" w:color="000000"/>
        </w:rPr>
        <w:t xml:space="preserve">                                  </w:t>
      </w:r>
      <w:r>
        <w:rPr>
          <w:rFonts w:hint="eastAsia"/>
          <w:b w:val="0"/>
          <w:i w:val="0"/>
          <w:caps w:val="0"/>
          <w:color w:val="auto"/>
          <w:spacing w:val="0"/>
          <w:w w:val="100"/>
          <w:kern w:val="0"/>
          <w:sz w:val="24"/>
          <w:szCs w:val="24"/>
          <w:highlight w:val="none"/>
        </w:rPr>
        <w:t>。</w:t>
      </w:r>
    </w:p>
    <w:p w14:paraId="7D0315D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承包人是否应为其施工设备等办理财产保险：</w:t>
      </w:r>
      <w:r>
        <w:rPr>
          <w:rFonts w:hint="eastAsia"/>
          <w:b w:val="0"/>
          <w:i w:val="0"/>
          <w:caps w:val="0"/>
          <w:color w:val="auto"/>
          <w:spacing w:val="0"/>
          <w:w w:val="100"/>
          <w:sz w:val="24"/>
          <w:szCs w:val="24"/>
          <w:highlight w:val="none"/>
          <w:u w:val="single" w:color="000000"/>
        </w:rPr>
        <w:t xml:space="preserve">              </w:t>
      </w:r>
    </w:p>
    <w:p w14:paraId="28AC2BDB">
      <w:pPr>
        <w:snapToGrid w:val="0"/>
        <w:spacing w:before="0" w:beforeAutospacing="0" w:after="0" w:afterAutospacing="0" w:line="360" w:lineRule="auto"/>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FD6F670">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18.7 通知义务</w:t>
      </w:r>
    </w:p>
    <w:p w14:paraId="78974C5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kern w:val="0"/>
          <w:sz w:val="24"/>
          <w:szCs w:val="24"/>
          <w:highlight w:val="none"/>
        </w:rPr>
        <w:t>关于变更保险合同时的通知义务的约定：</w:t>
      </w:r>
      <w:r>
        <w:rPr>
          <w:rFonts w:hint="eastAsia"/>
          <w:b w:val="0"/>
          <w:i w:val="0"/>
          <w:caps w:val="0"/>
          <w:color w:val="auto"/>
          <w:spacing w:val="0"/>
          <w:w w:val="100"/>
          <w:sz w:val="24"/>
          <w:szCs w:val="24"/>
          <w:highlight w:val="none"/>
          <w:u w:val="single" w:color="000000"/>
        </w:rPr>
        <w:t xml:space="preserve">                  </w:t>
      </w:r>
    </w:p>
    <w:p w14:paraId="494704A0">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5F10FFE">
      <w:pPr>
        <w:pStyle w:val="8"/>
        <w:snapToGrid w:val="0"/>
        <w:spacing w:before="120" w:beforeAutospacing="0" w:after="120" w:afterAutospacing="0" w:line="360" w:lineRule="auto"/>
        <w:textAlignment w:val="baseline"/>
        <w:rPr>
          <w:rFonts w:hint="eastAsia"/>
          <w:b w:val="0"/>
          <w:i w:val="0"/>
          <w:caps w:val="0"/>
          <w:color w:val="auto"/>
          <w:spacing w:val="0"/>
          <w:w w:val="100"/>
          <w:sz w:val="24"/>
          <w:szCs w:val="24"/>
          <w:highlight w:val="none"/>
          <w:lang w:val="en-US" w:eastAsia="zh-CN"/>
        </w:rPr>
      </w:pPr>
      <w:bookmarkStart w:id="695" w:name="_Toc351203651"/>
      <w:r>
        <w:rPr>
          <w:rFonts w:hint="eastAsia"/>
          <w:b w:val="0"/>
          <w:i w:val="0"/>
          <w:caps w:val="0"/>
          <w:color w:val="auto"/>
          <w:spacing w:val="0"/>
          <w:w w:val="100"/>
          <w:sz w:val="24"/>
          <w:szCs w:val="24"/>
          <w:highlight w:val="none"/>
          <w:lang w:val="en-US" w:eastAsia="zh-CN"/>
        </w:rPr>
        <w:t>19. 争议解决</w:t>
      </w:r>
      <w:bookmarkEnd w:id="695"/>
    </w:p>
    <w:p w14:paraId="14AFDF17">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lang w:val="en-US" w:eastAsia="zh-CN"/>
        </w:rPr>
        <w:t>19</w:t>
      </w:r>
      <w:r>
        <w:rPr>
          <w:rFonts w:hint="eastAsia"/>
          <w:b w:val="0"/>
          <w:i w:val="0"/>
          <w:caps w:val="0"/>
          <w:color w:val="auto"/>
          <w:spacing w:val="0"/>
          <w:w w:val="100"/>
          <w:sz w:val="24"/>
          <w:szCs w:val="24"/>
          <w:highlight w:val="none"/>
        </w:rPr>
        <w:t>.</w:t>
      </w:r>
      <w:r>
        <w:rPr>
          <w:rFonts w:hint="eastAsia"/>
          <w:b w:val="0"/>
          <w:i w:val="0"/>
          <w:caps w:val="0"/>
          <w:color w:val="auto"/>
          <w:spacing w:val="0"/>
          <w:w w:val="100"/>
          <w:sz w:val="24"/>
          <w:szCs w:val="24"/>
          <w:highlight w:val="none"/>
          <w:lang w:val="en-US" w:eastAsia="zh-CN"/>
        </w:rPr>
        <w:t>1</w:t>
      </w:r>
      <w:r>
        <w:rPr>
          <w:rFonts w:hint="eastAsia"/>
          <w:b w:val="0"/>
          <w:i w:val="0"/>
          <w:caps w:val="0"/>
          <w:color w:val="auto"/>
          <w:spacing w:val="0"/>
          <w:w w:val="100"/>
          <w:sz w:val="24"/>
          <w:szCs w:val="24"/>
          <w:highlight w:val="none"/>
        </w:rPr>
        <w:t xml:space="preserve"> 争</w:t>
      </w:r>
      <w:bookmarkEnd w:id="683"/>
      <w:r>
        <w:rPr>
          <w:rFonts w:hint="eastAsia"/>
          <w:b w:val="0"/>
          <w:i w:val="0"/>
          <w:caps w:val="0"/>
          <w:color w:val="auto"/>
          <w:spacing w:val="0"/>
          <w:w w:val="100"/>
          <w:sz w:val="24"/>
          <w:szCs w:val="24"/>
          <w:highlight w:val="none"/>
        </w:rPr>
        <w:t>议评审</w:t>
      </w:r>
    </w:p>
    <w:p w14:paraId="1D2CEC1E">
      <w:pPr>
        <w:snapToGrid w:val="0"/>
        <w:spacing w:before="0" w:beforeAutospacing="0" w:after="0" w:afterAutospacing="0" w:line="360" w:lineRule="auto"/>
        <w:ind w:left="149" w:leftChars="71" w:firstLine="360" w:firstLineChars="15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合同当事人是否同意将工程争议提交争议评审小组决定：</w:t>
      </w:r>
      <w:r>
        <w:rPr>
          <w:rFonts w:hint="eastAsia"/>
          <w:b w:val="0"/>
          <w:i w:val="0"/>
          <w:caps w:val="0"/>
          <w:color w:val="auto"/>
          <w:spacing w:val="0"/>
          <w:w w:val="100"/>
          <w:sz w:val="24"/>
          <w:szCs w:val="24"/>
          <w:highlight w:val="none"/>
          <w:u w:val="single" w:color="000000"/>
        </w:rPr>
        <w:t xml:space="preserve">    </w:t>
      </w:r>
    </w:p>
    <w:p w14:paraId="2D01AD51">
      <w:pPr>
        <w:snapToGrid w:val="0"/>
        <w:spacing w:before="0" w:beforeAutospacing="0" w:after="0" w:afterAutospacing="0" w:line="360" w:lineRule="auto"/>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 xml:space="preserve">。  </w:t>
      </w:r>
    </w:p>
    <w:p w14:paraId="4B0CA2A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lang w:val="en-US" w:eastAsia="zh-CN"/>
        </w:rPr>
        <w:t>19</w:t>
      </w:r>
      <w:r>
        <w:rPr>
          <w:rFonts w:hint="eastAsia"/>
          <w:b w:val="0"/>
          <w:i w:val="0"/>
          <w:caps w:val="0"/>
          <w:color w:val="auto"/>
          <w:spacing w:val="0"/>
          <w:w w:val="100"/>
          <w:sz w:val="24"/>
          <w:szCs w:val="24"/>
          <w:highlight w:val="none"/>
        </w:rPr>
        <w:t>.</w:t>
      </w:r>
      <w:r>
        <w:rPr>
          <w:rFonts w:hint="eastAsia"/>
          <w:b w:val="0"/>
          <w:i w:val="0"/>
          <w:caps w:val="0"/>
          <w:color w:val="auto"/>
          <w:spacing w:val="0"/>
          <w:w w:val="100"/>
          <w:sz w:val="24"/>
          <w:szCs w:val="24"/>
          <w:highlight w:val="none"/>
          <w:lang w:val="en-US" w:eastAsia="zh-CN"/>
        </w:rPr>
        <w:t>1</w:t>
      </w:r>
      <w:r>
        <w:rPr>
          <w:rFonts w:hint="eastAsia"/>
          <w:b w:val="0"/>
          <w:i w:val="0"/>
          <w:caps w:val="0"/>
          <w:color w:val="auto"/>
          <w:spacing w:val="0"/>
          <w:w w:val="100"/>
          <w:sz w:val="24"/>
          <w:szCs w:val="24"/>
          <w:highlight w:val="none"/>
        </w:rPr>
        <w:t>.1 争议评审小组的确定</w:t>
      </w:r>
    </w:p>
    <w:p w14:paraId="4D344D03">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u w:val="single" w:color="000000"/>
        </w:rPr>
      </w:pPr>
      <w:r>
        <w:rPr>
          <w:rFonts w:hint="eastAsia"/>
          <w:b w:val="0"/>
          <w:i w:val="0"/>
          <w:caps w:val="0"/>
          <w:color w:val="auto"/>
          <w:spacing w:val="0"/>
          <w:w w:val="100"/>
          <w:sz w:val="24"/>
          <w:szCs w:val="24"/>
          <w:highlight w:val="none"/>
        </w:rPr>
        <w:t>争议评审小组成员的确定：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9652C38">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选定争议评审员的期限：</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1BA3D1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争议评审小组成员的报酬承担方式：</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190E6CB4">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其他事项的约定：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05FA7300">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kern w:val="0"/>
          <w:sz w:val="24"/>
          <w:szCs w:val="24"/>
          <w:highlight w:val="none"/>
        </w:rPr>
      </w:pPr>
      <w:r>
        <w:rPr>
          <w:rFonts w:hint="eastAsia"/>
          <w:b w:val="0"/>
          <w:i w:val="0"/>
          <w:caps w:val="0"/>
          <w:color w:val="auto"/>
          <w:spacing w:val="0"/>
          <w:w w:val="100"/>
          <w:kern w:val="0"/>
          <w:sz w:val="24"/>
          <w:szCs w:val="24"/>
          <w:highlight w:val="none"/>
          <w:lang w:val="en-US" w:eastAsia="zh-CN"/>
        </w:rPr>
        <w:t>19</w:t>
      </w:r>
      <w:r>
        <w:rPr>
          <w:rFonts w:hint="eastAsia"/>
          <w:b w:val="0"/>
          <w:i w:val="0"/>
          <w:caps w:val="0"/>
          <w:color w:val="auto"/>
          <w:spacing w:val="0"/>
          <w:w w:val="100"/>
          <w:kern w:val="0"/>
          <w:sz w:val="24"/>
          <w:szCs w:val="24"/>
          <w:highlight w:val="none"/>
        </w:rPr>
        <w:t>.</w:t>
      </w:r>
      <w:r>
        <w:rPr>
          <w:rFonts w:hint="eastAsia"/>
          <w:b w:val="0"/>
          <w:i w:val="0"/>
          <w:caps w:val="0"/>
          <w:color w:val="auto"/>
          <w:spacing w:val="0"/>
          <w:w w:val="100"/>
          <w:kern w:val="0"/>
          <w:sz w:val="24"/>
          <w:szCs w:val="24"/>
          <w:highlight w:val="none"/>
          <w:lang w:val="en-US" w:eastAsia="zh-CN"/>
        </w:rPr>
        <w:t>1</w:t>
      </w:r>
      <w:r>
        <w:rPr>
          <w:rFonts w:hint="eastAsia"/>
          <w:b w:val="0"/>
          <w:i w:val="0"/>
          <w:caps w:val="0"/>
          <w:color w:val="auto"/>
          <w:spacing w:val="0"/>
          <w:w w:val="100"/>
          <w:kern w:val="0"/>
          <w:sz w:val="24"/>
          <w:szCs w:val="24"/>
          <w:highlight w:val="none"/>
        </w:rPr>
        <w:t>.2 争议评审小组的决定</w:t>
      </w:r>
    </w:p>
    <w:p w14:paraId="7AF5CDA2">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合同当事人关于本项的约定：</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w:t>
      </w:r>
    </w:p>
    <w:p w14:paraId="22BF6303">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lang w:val="en-US" w:eastAsia="zh-CN"/>
        </w:rPr>
        <w:t>19</w:t>
      </w:r>
      <w:r>
        <w:rPr>
          <w:rFonts w:hint="eastAsia"/>
          <w:b w:val="0"/>
          <w:i w:val="0"/>
          <w:caps w:val="0"/>
          <w:color w:val="auto"/>
          <w:spacing w:val="0"/>
          <w:w w:val="100"/>
          <w:sz w:val="24"/>
          <w:szCs w:val="24"/>
          <w:highlight w:val="none"/>
        </w:rPr>
        <w:t>.</w:t>
      </w:r>
      <w:r>
        <w:rPr>
          <w:rFonts w:hint="eastAsia"/>
          <w:b w:val="0"/>
          <w:i w:val="0"/>
          <w:caps w:val="0"/>
          <w:color w:val="auto"/>
          <w:spacing w:val="0"/>
          <w:w w:val="100"/>
          <w:sz w:val="24"/>
          <w:szCs w:val="24"/>
          <w:highlight w:val="none"/>
          <w:lang w:val="en-US" w:eastAsia="zh-CN"/>
        </w:rPr>
        <w:t>2</w:t>
      </w:r>
      <w:r>
        <w:rPr>
          <w:rFonts w:hint="eastAsia"/>
          <w:b w:val="0"/>
          <w:i w:val="0"/>
          <w:caps w:val="0"/>
          <w:color w:val="auto"/>
          <w:spacing w:val="0"/>
          <w:w w:val="100"/>
          <w:sz w:val="24"/>
          <w:szCs w:val="24"/>
          <w:highlight w:val="none"/>
        </w:rPr>
        <w:t>仲裁或诉讼</w:t>
      </w:r>
      <w:bookmarkEnd w:id="684"/>
    </w:p>
    <w:p w14:paraId="6D25CB88">
      <w:pPr>
        <w:snapToGrid w:val="0"/>
        <w:spacing w:before="0" w:beforeAutospacing="0" w:after="120" w:afterAutospacing="0" w:line="360" w:lineRule="auto"/>
        <w:ind w:firstLine="480" w:firstLineChars="200"/>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因合同及合同有关事项发生的争议，按下列第</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种方式解决：</w:t>
      </w:r>
    </w:p>
    <w:p w14:paraId="324BE62E">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（1）向</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仲裁委员会申请仲裁；</w:t>
      </w:r>
    </w:p>
    <w:p w14:paraId="52458E1A">
      <w:pPr>
        <w:snapToGrid w:val="0"/>
        <w:spacing w:before="0" w:beforeAutospacing="0" w:after="0" w:afterAutospacing="0" w:line="360" w:lineRule="auto"/>
        <w:ind w:firstLine="480" w:firstLineChars="200"/>
        <w:jc w:val="left"/>
        <w:textAlignment w:val="baseline"/>
        <w:rPr>
          <w:rFonts w:hint="eastAsia"/>
          <w:b w:val="0"/>
          <w:i w:val="0"/>
          <w:caps w:val="0"/>
          <w:color w:val="auto"/>
          <w:spacing w:val="0"/>
          <w:w w:val="100"/>
          <w:sz w:val="24"/>
          <w:szCs w:val="24"/>
          <w:highlight w:val="none"/>
        </w:rPr>
      </w:pPr>
      <w:r>
        <w:rPr>
          <w:rFonts w:hint="eastAsia"/>
          <w:b w:val="0"/>
          <w:i w:val="0"/>
          <w:caps w:val="0"/>
          <w:color w:val="auto"/>
          <w:spacing w:val="0"/>
          <w:w w:val="100"/>
          <w:sz w:val="24"/>
          <w:szCs w:val="24"/>
          <w:highlight w:val="none"/>
        </w:rPr>
        <w:t>（2）向</w:t>
      </w:r>
      <w:r>
        <w:rPr>
          <w:rFonts w:hint="eastAsia"/>
          <w:b w:val="0"/>
          <w:i w:val="0"/>
          <w:caps w:val="0"/>
          <w:color w:val="auto"/>
          <w:spacing w:val="0"/>
          <w:w w:val="100"/>
          <w:sz w:val="24"/>
          <w:szCs w:val="24"/>
          <w:highlight w:val="none"/>
          <w:u w:val="single" w:color="000000"/>
        </w:rPr>
        <w:t xml:space="preserve">                     </w:t>
      </w:r>
      <w:r>
        <w:rPr>
          <w:rFonts w:hint="eastAsia"/>
          <w:b w:val="0"/>
          <w:i w:val="0"/>
          <w:caps w:val="0"/>
          <w:color w:val="auto"/>
          <w:spacing w:val="0"/>
          <w:w w:val="100"/>
          <w:sz w:val="24"/>
          <w:szCs w:val="24"/>
          <w:highlight w:val="none"/>
        </w:rPr>
        <w:t>人民法院起诉。</w:t>
      </w:r>
      <w:bookmarkEnd w:id="685"/>
      <w:bookmarkEnd w:id="686"/>
      <w:bookmarkEnd w:id="687"/>
      <w:bookmarkEnd w:id="688"/>
      <w:bookmarkEnd w:id="689"/>
      <w:bookmarkEnd w:id="690"/>
    </w:p>
    <w:p w14:paraId="435DD98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8"/>
          <w:highlight w:val="none"/>
          <w:lang w:val="zh-CN"/>
        </w:rPr>
      </w:pPr>
    </w:p>
    <w:p w14:paraId="08A7B03F">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464A276E">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1D8C21CC">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7E6B4691">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367A21A2">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3A33D647">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15F570C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425B6532">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0EB71F3B">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6D749491">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26761AF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496A7064">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4D3B1083">
      <w:pPr>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20"/>
          <w:highlight w:val="none"/>
          <w:lang w:val="zh-CN"/>
        </w:rPr>
      </w:pPr>
    </w:p>
    <w:p w14:paraId="14A8E31D">
      <w:pPr>
        <w:pStyle w:val="14"/>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18"/>
          <w:highlight w:val="none"/>
          <w:lang w:val="zh-CN"/>
        </w:rPr>
      </w:pPr>
    </w:p>
    <w:p w14:paraId="3E989454">
      <w:pPr>
        <w:pStyle w:val="14"/>
        <w:snapToGrid w:val="0"/>
        <w:spacing w:before="0" w:beforeAutospacing="0" w:after="0" w:afterAutospacing="0" w:line="360" w:lineRule="auto"/>
        <w:textAlignment w:val="baseline"/>
        <w:rPr>
          <w:rFonts w:hint="eastAsia" w:ascii="宋体" w:hAnsi="宋体" w:eastAsia="宋体" w:cs="宋体"/>
          <w:b w:val="0"/>
          <w:i w:val="0"/>
          <w:caps w:val="0"/>
          <w:color w:val="auto"/>
          <w:spacing w:val="0"/>
          <w:w w:val="100"/>
          <w:sz w:val="18"/>
          <w:highlight w:val="none"/>
          <w:lang w:val="zh-CN"/>
        </w:rPr>
      </w:pPr>
    </w:p>
    <w:p w14:paraId="492A1F63">
      <w:pPr>
        <w:pStyle w:val="6"/>
        <w:numPr>
          <w:ilvl w:val="0"/>
          <w:numId w:val="10"/>
        </w:numPr>
        <w:snapToGrid w:val="0"/>
        <w:spacing w:before="260" w:beforeAutospacing="0" w:after="260" w:afterAutospacing="0" w:line="416" w:lineRule="auto"/>
        <w:jc w:val="center"/>
        <w:textAlignment w:val="baseline"/>
        <w:rPr>
          <w:rFonts w:hint="eastAsia"/>
          <w:b/>
          <w:i w:val="0"/>
          <w:caps w:val="0"/>
          <w:color w:val="auto"/>
          <w:spacing w:val="0"/>
          <w:w w:val="100"/>
          <w:sz w:val="32"/>
          <w:highlight w:val="none"/>
        </w:rPr>
      </w:pPr>
      <w:bookmarkStart w:id="696" w:name="_Toc27541"/>
      <w:bookmarkStart w:id="697" w:name="_Toc29201"/>
      <w:bookmarkStart w:id="698" w:name="_Toc18696"/>
      <w:bookmarkStart w:id="699" w:name="_Toc21536"/>
      <w:r>
        <w:rPr>
          <w:rFonts w:hint="eastAsia" w:ascii="宋体" w:hAnsi="宋体" w:eastAsia="宋体" w:cs="宋体"/>
          <w:b/>
          <w:i w:val="0"/>
          <w:caps w:val="0"/>
          <w:color w:val="auto"/>
          <w:spacing w:val="0"/>
          <w:w w:val="100"/>
          <w:sz w:val="32"/>
          <w:highlight w:val="none"/>
        </w:rPr>
        <w:t>专用合同条款</w:t>
      </w:r>
      <w:bookmarkEnd w:id="696"/>
      <w:bookmarkEnd w:id="697"/>
      <w:bookmarkEnd w:id="698"/>
      <w:bookmarkEnd w:id="699"/>
    </w:p>
    <w:p w14:paraId="176D544A">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00" w:name="_Toc28552"/>
      <w:bookmarkStart w:id="701" w:name="_Toc505871381"/>
      <w:bookmarkStart w:id="702" w:name="_Toc19288"/>
      <w:bookmarkStart w:id="703" w:name="_Toc29248"/>
      <w:bookmarkStart w:id="704" w:name="_Toc256000097"/>
      <w:bookmarkStart w:id="705" w:name="_Toc28082"/>
      <w:r>
        <w:rPr>
          <w:rFonts w:hint="eastAsia" w:ascii="宋体" w:hAnsi="宋体" w:eastAsia="宋体" w:cs="宋体"/>
          <w:b/>
          <w:i w:val="0"/>
          <w:caps w:val="0"/>
          <w:color w:val="auto"/>
          <w:spacing w:val="0"/>
          <w:w w:val="100"/>
          <w:sz w:val="32"/>
          <w:highlight w:val="none"/>
        </w:rPr>
        <w:t>1. 一般约定</w:t>
      </w:r>
      <w:bookmarkEnd w:id="700"/>
      <w:bookmarkEnd w:id="701"/>
      <w:bookmarkEnd w:id="702"/>
      <w:bookmarkEnd w:id="703"/>
      <w:bookmarkEnd w:id="704"/>
      <w:bookmarkEnd w:id="705"/>
    </w:p>
    <w:p w14:paraId="02732FD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1.1 词语定义</w:t>
      </w:r>
    </w:p>
    <w:p w14:paraId="2081D444">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1.1.1合同</w:t>
      </w:r>
    </w:p>
    <w:p w14:paraId="2D16B40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1.1.1.10其他合同文件包括：</w:t>
      </w:r>
      <w:r>
        <w:rPr>
          <w:rFonts w:hint="eastAsia" w:ascii="宋体" w:hAnsi="宋体" w:eastAsia="宋体" w:cs="宋体"/>
          <w:b w:val="0"/>
          <w:i w:val="0"/>
          <w:caps w:val="0"/>
          <w:color w:val="auto"/>
          <w:spacing w:val="0"/>
          <w:w w:val="100"/>
          <w:sz w:val="24"/>
          <w:szCs w:val="24"/>
          <w:highlight w:val="none"/>
          <w:u w:val="single" w:color="000000"/>
        </w:rPr>
        <w:t xml:space="preserve">                    。                                  </w:t>
      </w:r>
    </w:p>
    <w:p w14:paraId="00C78774">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1.1.2 合同当事人及其他相关方</w:t>
      </w:r>
    </w:p>
    <w:p w14:paraId="1282D9B3">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1.1.2.4监理人：</w:t>
      </w:r>
    </w:p>
    <w:p w14:paraId="53187D8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名    称：</w:t>
      </w:r>
      <w:r>
        <w:rPr>
          <w:rFonts w:hint="eastAsia" w:ascii="宋体" w:hAnsi="宋体" w:eastAsia="宋体" w:cs="宋体"/>
          <w:b w:val="0"/>
          <w:i w:val="0"/>
          <w:caps w:val="0"/>
          <w:color w:val="auto"/>
          <w:spacing w:val="0"/>
          <w:w w:val="100"/>
          <w:sz w:val="24"/>
          <w:szCs w:val="24"/>
          <w:highlight w:val="none"/>
          <w:u w:val="single" w:color="000000"/>
        </w:rPr>
        <w:t xml:space="preserve">                </w:t>
      </w:r>
      <w:r>
        <w:rPr>
          <w:rFonts w:hint="eastAsia" w:ascii="宋体" w:hAnsi="宋体" w:eastAsia="宋体" w:cs="宋体"/>
          <w:b w:val="0"/>
          <w:i w:val="0"/>
          <w:caps w:val="0"/>
          <w:color w:val="auto"/>
          <w:spacing w:val="0"/>
          <w:w w:val="100"/>
          <w:sz w:val="24"/>
          <w:szCs w:val="24"/>
          <w:highlight w:val="none"/>
        </w:rPr>
        <w:t>；</w:t>
      </w:r>
    </w:p>
    <w:p w14:paraId="6368CF58">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资质类别和等级：</w:t>
      </w:r>
      <w:r>
        <w:rPr>
          <w:rFonts w:hint="eastAsia" w:ascii="宋体" w:hAnsi="宋体" w:eastAsia="宋体" w:cs="宋体"/>
          <w:b w:val="0"/>
          <w:i w:val="0"/>
          <w:caps w:val="0"/>
          <w:color w:val="auto"/>
          <w:spacing w:val="0"/>
          <w:w w:val="100"/>
          <w:sz w:val="24"/>
          <w:szCs w:val="24"/>
          <w:highlight w:val="none"/>
          <w:u w:val="single" w:color="000000"/>
        </w:rPr>
        <w:t>               </w:t>
      </w:r>
      <w:r>
        <w:rPr>
          <w:rFonts w:hint="eastAsia" w:ascii="宋体" w:hAnsi="宋体" w:eastAsia="宋体" w:cs="宋体"/>
          <w:b w:val="0"/>
          <w:i w:val="0"/>
          <w:caps w:val="0"/>
          <w:color w:val="auto"/>
          <w:spacing w:val="0"/>
          <w:w w:val="100"/>
          <w:sz w:val="24"/>
          <w:szCs w:val="24"/>
          <w:highlight w:val="none"/>
        </w:rPr>
        <w:t>；</w:t>
      </w:r>
    </w:p>
    <w:p w14:paraId="4990F8F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联系电话：</w:t>
      </w:r>
      <w:r>
        <w:rPr>
          <w:rFonts w:hint="eastAsia" w:ascii="宋体" w:hAnsi="宋体" w:eastAsia="宋体" w:cs="宋体"/>
          <w:b w:val="0"/>
          <w:i w:val="0"/>
          <w:caps w:val="0"/>
          <w:color w:val="auto"/>
          <w:spacing w:val="0"/>
          <w:w w:val="100"/>
          <w:sz w:val="24"/>
          <w:szCs w:val="24"/>
          <w:highlight w:val="none"/>
          <w:u w:val="single" w:color="000000"/>
        </w:rPr>
        <w:t>                </w:t>
      </w:r>
      <w:r>
        <w:rPr>
          <w:rFonts w:hint="eastAsia" w:ascii="宋体" w:hAnsi="宋体" w:eastAsia="宋体" w:cs="宋体"/>
          <w:b w:val="0"/>
          <w:i w:val="0"/>
          <w:caps w:val="0"/>
          <w:color w:val="auto"/>
          <w:spacing w:val="0"/>
          <w:w w:val="100"/>
          <w:sz w:val="24"/>
          <w:szCs w:val="24"/>
          <w:highlight w:val="none"/>
        </w:rPr>
        <w:t>；</w:t>
      </w:r>
    </w:p>
    <w:p w14:paraId="69756589">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电子信箱：</w:t>
      </w:r>
      <w:r>
        <w:rPr>
          <w:rFonts w:hint="eastAsia" w:ascii="宋体" w:hAnsi="宋体" w:eastAsia="宋体" w:cs="宋体"/>
          <w:b w:val="0"/>
          <w:i w:val="0"/>
          <w:caps w:val="0"/>
          <w:color w:val="auto"/>
          <w:spacing w:val="0"/>
          <w:w w:val="100"/>
          <w:sz w:val="24"/>
          <w:szCs w:val="24"/>
          <w:highlight w:val="none"/>
          <w:u w:val="single" w:color="000000"/>
        </w:rPr>
        <w:t>                </w:t>
      </w:r>
      <w:r>
        <w:rPr>
          <w:rFonts w:hint="eastAsia" w:ascii="宋体" w:hAnsi="宋体" w:eastAsia="宋体" w:cs="宋体"/>
          <w:b w:val="0"/>
          <w:i w:val="0"/>
          <w:caps w:val="0"/>
          <w:color w:val="auto"/>
          <w:spacing w:val="0"/>
          <w:w w:val="100"/>
          <w:sz w:val="24"/>
          <w:szCs w:val="24"/>
          <w:highlight w:val="none"/>
        </w:rPr>
        <w:t>；</w:t>
      </w:r>
    </w:p>
    <w:p w14:paraId="22FD3188">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通信地址：</w:t>
      </w:r>
      <w:r>
        <w:rPr>
          <w:rFonts w:hint="eastAsia" w:ascii="宋体" w:hAnsi="宋体" w:eastAsia="宋体" w:cs="宋体"/>
          <w:b w:val="0"/>
          <w:i w:val="0"/>
          <w:caps w:val="0"/>
          <w:color w:val="auto"/>
          <w:spacing w:val="0"/>
          <w:w w:val="100"/>
          <w:sz w:val="24"/>
          <w:szCs w:val="24"/>
          <w:highlight w:val="none"/>
          <w:u w:val="single" w:color="000000"/>
        </w:rPr>
        <w:t>                </w:t>
      </w:r>
      <w:r>
        <w:rPr>
          <w:rFonts w:hint="eastAsia" w:ascii="宋体" w:hAnsi="宋体" w:eastAsia="宋体" w:cs="宋体"/>
          <w:b w:val="0"/>
          <w:i w:val="0"/>
          <w:caps w:val="0"/>
          <w:color w:val="auto"/>
          <w:spacing w:val="0"/>
          <w:w w:val="100"/>
          <w:sz w:val="24"/>
          <w:szCs w:val="24"/>
          <w:highlight w:val="none"/>
        </w:rPr>
        <w:t>。</w:t>
      </w:r>
    </w:p>
    <w:p w14:paraId="5608A2FB">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1.1.2.5 设计人：</w:t>
      </w:r>
    </w:p>
    <w:p w14:paraId="76CE40E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名    称：</w:t>
      </w:r>
      <w:r>
        <w:rPr>
          <w:rFonts w:hint="eastAsia" w:ascii="宋体" w:hAnsi="宋体" w:eastAsia="宋体" w:cs="宋体"/>
          <w:b w:val="0"/>
          <w:i w:val="0"/>
          <w:caps w:val="0"/>
          <w:color w:val="auto"/>
          <w:spacing w:val="0"/>
          <w:w w:val="100"/>
          <w:sz w:val="24"/>
          <w:szCs w:val="24"/>
          <w:highlight w:val="none"/>
          <w:u w:val="single" w:color="000000"/>
        </w:rPr>
        <w:t xml:space="preserve">                 </w:t>
      </w:r>
      <w:r>
        <w:rPr>
          <w:rFonts w:hint="eastAsia" w:ascii="宋体" w:hAnsi="宋体" w:eastAsia="宋体" w:cs="宋体"/>
          <w:b w:val="0"/>
          <w:i w:val="0"/>
          <w:caps w:val="0"/>
          <w:color w:val="auto"/>
          <w:spacing w:val="0"/>
          <w:w w:val="100"/>
          <w:sz w:val="24"/>
          <w:szCs w:val="24"/>
          <w:highlight w:val="none"/>
        </w:rPr>
        <w:t>；</w:t>
      </w:r>
    </w:p>
    <w:p w14:paraId="574FAAB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资质类别和等级：</w:t>
      </w:r>
      <w:r>
        <w:rPr>
          <w:rFonts w:hint="eastAsia" w:ascii="宋体" w:hAnsi="宋体" w:eastAsia="宋体" w:cs="宋体"/>
          <w:b w:val="0"/>
          <w:i w:val="0"/>
          <w:caps w:val="0"/>
          <w:color w:val="auto"/>
          <w:spacing w:val="0"/>
          <w:w w:val="100"/>
          <w:sz w:val="24"/>
          <w:szCs w:val="24"/>
          <w:highlight w:val="none"/>
          <w:u w:val="single" w:color="000000"/>
        </w:rPr>
        <w:t>               </w:t>
      </w:r>
      <w:r>
        <w:rPr>
          <w:rFonts w:hint="eastAsia" w:ascii="宋体" w:hAnsi="宋体" w:eastAsia="宋体" w:cs="宋体"/>
          <w:b w:val="0"/>
          <w:i w:val="0"/>
          <w:caps w:val="0"/>
          <w:color w:val="auto"/>
          <w:spacing w:val="0"/>
          <w:w w:val="100"/>
          <w:sz w:val="24"/>
          <w:szCs w:val="24"/>
          <w:highlight w:val="none"/>
        </w:rPr>
        <w:t>；</w:t>
      </w:r>
    </w:p>
    <w:p w14:paraId="74477FA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联系电话：</w:t>
      </w:r>
      <w:r>
        <w:rPr>
          <w:rFonts w:hint="eastAsia" w:ascii="宋体" w:hAnsi="宋体" w:eastAsia="宋体" w:cs="宋体"/>
          <w:b w:val="0"/>
          <w:i w:val="0"/>
          <w:caps w:val="0"/>
          <w:color w:val="auto"/>
          <w:spacing w:val="0"/>
          <w:w w:val="100"/>
          <w:sz w:val="24"/>
          <w:szCs w:val="24"/>
          <w:highlight w:val="none"/>
          <w:u w:val="single" w:color="000000"/>
        </w:rPr>
        <w:t>                 </w:t>
      </w:r>
      <w:r>
        <w:rPr>
          <w:rFonts w:hint="eastAsia" w:ascii="宋体" w:hAnsi="宋体" w:eastAsia="宋体" w:cs="宋体"/>
          <w:b w:val="0"/>
          <w:i w:val="0"/>
          <w:caps w:val="0"/>
          <w:color w:val="auto"/>
          <w:spacing w:val="0"/>
          <w:w w:val="100"/>
          <w:sz w:val="24"/>
          <w:szCs w:val="24"/>
          <w:highlight w:val="none"/>
        </w:rPr>
        <w:t>；</w:t>
      </w:r>
    </w:p>
    <w:p w14:paraId="632AA49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电子信箱：</w:t>
      </w:r>
      <w:r>
        <w:rPr>
          <w:rFonts w:hint="eastAsia" w:ascii="宋体" w:hAnsi="宋体" w:eastAsia="宋体" w:cs="宋体"/>
          <w:b w:val="0"/>
          <w:i w:val="0"/>
          <w:caps w:val="0"/>
          <w:color w:val="auto"/>
          <w:spacing w:val="0"/>
          <w:w w:val="100"/>
          <w:sz w:val="24"/>
          <w:szCs w:val="24"/>
          <w:highlight w:val="none"/>
          <w:u w:val="single" w:color="000000"/>
        </w:rPr>
        <w:t xml:space="preserve">                    </w:t>
      </w:r>
      <w:r>
        <w:rPr>
          <w:rFonts w:hint="eastAsia" w:ascii="宋体" w:hAnsi="宋体" w:eastAsia="宋体" w:cs="宋体"/>
          <w:b w:val="0"/>
          <w:i w:val="0"/>
          <w:caps w:val="0"/>
          <w:color w:val="auto"/>
          <w:spacing w:val="0"/>
          <w:w w:val="100"/>
          <w:sz w:val="24"/>
          <w:szCs w:val="24"/>
          <w:highlight w:val="none"/>
        </w:rPr>
        <w:t>；</w:t>
      </w:r>
    </w:p>
    <w:p w14:paraId="58E78AF2">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通信地址：</w:t>
      </w:r>
      <w:r>
        <w:rPr>
          <w:rFonts w:hint="eastAsia" w:ascii="宋体" w:hAnsi="宋体" w:eastAsia="宋体" w:cs="宋体"/>
          <w:b w:val="0"/>
          <w:i w:val="0"/>
          <w:caps w:val="0"/>
          <w:color w:val="auto"/>
          <w:spacing w:val="0"/>
          <w:w w:val="100"/>
          <w:sz w:val="24"/>
          <w:szCs w:val="24"/>
          <w:highlight w:val="none"/>
          <w:u w:val="single" w:color="000000"/>
        </w:rPr>
        <w:t>                </w:t>
      </w:r>
      <w:r>
        <w:rPr>
          <w:rFonts w:hint="eastAsia" w:ascii="宋体" w:hAnsi="宋体" w:eastAsia="宋体" w:cs="宋体"/>
          <w:b w:val="0"/>
          <w:i w:val="0"/>
          <w:caps w:val="0"/>
          <w:color w:val="auto"/>
          <w:spacing w:val="0"/>
          <w:w w:val="100"/>
          <w:sz w:val="24"/>
          <w:szCs w:val="24"/>
          <w:highlight w:val="none"/>
        </w:rPr>
        <w:t>。</w:t>
      </w:r>
    </w:p>
    <w:p w14:paraId="1FC251BB">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1.1.3 工程和设备</w:t>
      </w:r>
    </w:p>
    <w:p w14:paraId="7D3AEA0E">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1.1.3.7 作为施工现场组成部分的其他场所包括：</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4A1BB3CC">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1.1.3.9 永久占地包括：</w:t>
      </w:r>
      <w:r>
        <w:rPr>
          <w:rFonts w:hint="eastAsia" w:ascii="宋体" w:hAnsi="宋体" w:eastAsia="宋体" w:cs="宋体"/>
          <w:b w:val="0"/>
          <w:i w:val="0"/>
          <w:caps w:val="0"/>
          <w:color w:val="auto"/>
          <w:spacing w:val="0"/>
          <w:w w:val="100"/>
          <w:sz w:val="24"/>
          <w:szCs w:val="24"/>
          <w:highlight w:val="none"/>
          <w:u w:val="single" w:color="000000"/>
        </w:rPr>
        <w:t xml:space="preserve">                                      </w:t>
      </w:r>
      <w:r>
        <w:rPr>
          <w:rFonts w:hint="eastAsia" w:ascii="宋体" w:hAnsi="宋体" w:eastAsia="宋体" w:cs="宋体"/>
          <w:b w:val="0"/>
          <w:i w:val="0"/>
          <w:caps w:val="0"/>
          <w:color w:val="auto"/>
          <w:spacing w:val="0"/>
          <w:w w:val="100"/>
          <w:kern w:val="0"/>
          <w:sz w:val="24"/>
          <w:szCs w:val="24"/>
          <w:highlight w:val="none"/>
        </w:rPr>
        <w:t>。</w:t>
      </w:r>
    </w:p>
    <w:p w14:paraId="7D86AB0A">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1.1.3.10 临时占地包括：</w:t>
      </w:r>
      <w:r>
        <w:rPr>
          <w:rFonts w:hint="eastAsia" w:ascii="宋体" w:hAnsi="宋体" w:eastAsia="宋体" w:cs="宋体"/>
          <w:b w:val="0"/>
          <w:i w:val="0"/>
          <w:caps w:val="0"/>
          <w:color w:val="auto"/>
          <w:spacing w:val="0"/>
          <w:w w:val="100"/>
          <w:sz w:val="24"/>
          <w:szCs w:val="24"/>
          <w:highlight w:val="none"/>
          <w:u w:val="single" w:color="000000"/>
        </w:rPr>
        <w:t xml:space="preserve">                                      </w:t>
      </w:r>
      <w:r>
        <w:rPr>
          <w:rFonts w:hint="eastAsia" w:ascii="宋体" w:hAnsi="宋体" w:eastAsia="宋体" w:cs="宋体"/>
          <w:b w:val="0"/>
          <w:i w:val="0"/>
          <w:caps w:val="0"/>
          <w:color w:val="auto"/>
          <w:spacing w:val="0"/>
          <w:w w:val="100"/>
          <w:kern w:val="0"/>
          <w:sz w:val="24"/>
          <w:szCs w:val="24"/>
          <w:highlight w:val="none"/>
        </w:rPr>
        <w:t>。</w:t>
      </w:r>
    </w:p>
    <w:p w14:paraId="2B3E4B3F">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法律 </w:t>
      </w:r>
    </w:p>
    <w:p w14:paraId="0C51C9A8">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适用于合同的其他规范性文件：</w:t>
      </w:r>
      <w:r>
        <w:rPr>
          <w:rFonts w:hint="eastAsia" w:ascii="宋体" w:hAnsi="宋体" w:eastAsia="宋体" w:cs="宋体"/>
          <w:b w:val="0"/>
          <w:i w:val="0"/>
          <w:caps w:val="0"/>
          <w:color w:val="auto"/>
          <w:spacing w:val="0"/>
          <w:w w:val="100"/>
          <w:sz w:val="24"/>
          <w:szCs w:val="24"/>
          <w:highlight w:val="none"/>
          <w:u w:val="single" w:color="000000"/>
        </w:rPr>
        <w:t xml:space="preserve">               </w:t>
      </w:r>
      <w:r>
        <w:rPr>
          <w:rFonts w:hint="eastAsia" w:ascii="宋体" w:hAnsi="宋体" w:eastAsia="宋体" w:cs="宋体"/>
          <w:b w:val="0"/>
          <w:i w:val="0"/>
          <w:caps w:val="0"/>
          <w:color w:val="auto"/>
          <w:spacing w:val="0"/>
          <w:w w:val="100"/>
          <w:sz w:val="24"/>
          <w:szCs w:val="24"/>
          <w:highlight w:val="none"/>
        </w:rPr>
        <w:t>。</w:t>
      </w:r>
    </w:p>
    <w:p w14:paraId="526243B1">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3</w:t>
      </w:r>
      <w:r>
        <w:rPr>
          <w:rFonts w:hint="eastAsia" w:ascii="宋体" w:hAnsi="宋体" w:eastAsia="宋体" w:cs="宋体"/>
          <w:b/>
          <w:i w:val="0"/>
          <w:caps w:val="0"/>
          <w:color w:val="auto"/>
          <w:spacing w:val="0"/>
          <w:w w:val="100"/>
          <w:sz w:val="24"/>
          <w:highlight w:val="none"/>
        </w:rPr>
        <w:t xml:space="preserve"> 标准和规范</w:t>
      </w:r>
    </w:p>
    <w:p w14:paraId="35DDF622">
      <w:pPr>
        <w:pStyle w:val="48"/>
        <w:snapToGrid w:val="0"/>
        <w:spacing w:before="0" w:beforeAutospacing="0" w:after="0" w:afterAutospacing="0" w:line="360" w:lineRule="auto"/>
        <w:ind w:firstLine="42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1.4.1适用于工程的标准规范包括：</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 xml:space="preserve"> 。</w:t>
      </w:r>
    </w:p>
    <w:p w14:paraId="19465810">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1.4.2 发包人提供国外标准、规范的名称：</w:t>
      </w:r>
      <w:r>
        <w:rPr>
          <w:rFonts w:hint="eastAsia" w:ascii="宋体" w:hAnsi="宋体" w:eastAsia="宋体" w:cs="宋体"/>
          <w:b w:val="0"/>
          <w:i w:val="0"/>
          <w:caps w:val="0"/>
          <w:color w:val="auto"/>
          <w:spacing w:val="0"/>
          <w:w w:val="100"/>
          <w:kern w:val="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1A30ED8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发包人提供国外标准、规范的份数：</w:t>
      </w:r>
      <w:r>
        <w:rPr>
          <w:rFonts w:hint="eastAsia" w:ascii="宋体" w:hAnsi="宋体" w:eastAsia="宋体" w:cs="宋体"/>
          <w:b w:val="0"/>
          <w:i w:val="0"/>
          <w:caps w:val="0"/>
          <w:color w:val="auto"/>
          <w:spacing w:val="0"/>
          <w:w w:val="100"/>
          <w:kern w:val="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7C54D83D">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发包人提供国外标准、规范的名称：</w:t>
      </w:r>
      <w:r>
        <w:rPr>
          <w:rFonts w:hint="eastAsia" w:ascii="宋体" w:hAnsi="宋体" w:eastAsia="宋体" w:cs="宋体"/>
          <w:b w:val="0"/>
          <w:i w:val="0"/>
          <w:caps w:val="0"/>
          <w:color w:val="auto"/>
          <w:spacing w:val="0"/>
          <w:w w:val="100"/>
          <w:kern w:val="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31BAF773">
      <w:pPr>
        <w:pStyle w:val="48"/>
        <w:snapToGrid w:val="0"/>
        <w:spacing w:before="0" w:beforeAutospacing="0" w:after="0" w:afterAutospacing="0" w:line="360" w:lineRule="auto"/>
        <w:ind w:firstLine="42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1.4.3发包人对工程的技术标准和功能要求的特殊要求：</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737176DD">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4</w:t>
      </w:r>
      <w:r>
        <w:rPr>
          <w:rFonts w:hint="eastAsia" w:ascii="宋体" w:hAnsi="宋体" w:eastAsia="宋体" w:cs="宋体"/>
          <w:b/>
          <w:i w:val="0"/>
          <w:caps w:val="0"/>
          <w:color w:val="auto"/>
          <w:spacing w:val="0"/>
          <w:w w:val="100"/>
          <w:sz w:val="24"/>
          <w:highlight w:val="none"/>
        </w:rPr>
        <w:t xml:space="preserve"> 合同文件的优先顺序</w:t>
      </w:r>
    </w:p>
    <w:p w14:paraId="4D737352">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合同文件组成及优先顺序为：</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6347A1D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5</w:t>
      </w:r>
      <w:r>
        <w:rPr>
          <w:rFonts w:hint="eastAsia" w:ascii="宋体" w:hAnsi="宋体" w:eastAsia="宋体" w:cs="宋体"/>
          <w:b/>
          <w:i w:val="0"/>
          <w:caps w:val="0"/>
          <w:color w:val="auto"/>
          <w:spacing w:val="0"/>
          <w:w w:val="100"/>
          <w:sz w:val="24"/>
          <w:highlight w:val="none"/>
        </w:rPr>
        <w:t xml:space="preserve"> 图纸和承包人文件</w:t>
      </w:r>
      <w:r>
        <w:rPr>
          <w:rFonts w:hint="eastAsia" w:ascii="宋体" w:hAnsi="宋体" w:eastAsia="宋体" w:cs="宋体"/>
          <w:b/>
          <w:i w:val="0"/>
          <w:caps w:val="0"/>
          <w:color w:val="auto"/>
          <w:spacing w:val="0"/>
          <w:w w:val="100"/>
          <w:sz w:val="24"/>
          <w:highlight w:val="none"/>
        </w:rPr>
        <w:tab/>
      </w:r>
    </w:p>
    <w:p w14:paraId="474ABCB0">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5</w:t>
      </w:r>
      <w:r>
        <w:rPr>
          <w:rFonts w:hint="eastAsia" w:ascii="宋体" w:hAnsi="宋体" w:eastAsia="宋体" w:cs="宋体"/>
          <w:b w:val="0"/>
          <w:i w:val="0"/>
          <w:caps w:val="0"/>
          <w:color w:val="auto"/>
          <w:spacing w:val="0"/>
          <w:w w:val="100"/>
          <w:sz w:val="21"/>
          <w:szCs w:val="21"/>
          <w:highlight w:val="none"/>
        </w:rPr>
        <w:t>.1 图纸的提供</w:t>
      </w:r>
    </w:p>
    <w:p w14:paraId="68BF13F3">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发包人向承包人提供图纸的期限：</w:t>
      </w:r>
      <w:r>
        <w:rPr>
          <w:rFonts w:hint="eastAsia" w:ascii="宋体" w:hAnsi="宋体" w:eastAsia="宋体" w:cs="宋体"/>
          <w:b w:val="0"/>
          <w:i w:val="0"/>
          <w:caps w:val="0"/>
          <w:color w:val="auto"/>
          <w:spacing w:val="0"/>
          <w:w w:val="100"/>
          <w:sz w:val="21"/>
          <w:szCs w:val="21"/>
          <w:highlight w:val="none"/>
          <w:u w:val="single" w:color="000000"/>
        </w:rPr>
        <w:t>                     </w:t>
      </w:r>
      <w:r>
        <w:rPr>
          <w:rFonts w:hint="eastAsia" w:ascii="宋体" w:hAnsi="宋体" w:eastAsia="宋体" w:cs="宋体"/>
          <w:b w:val="0"/>
          <w:i w:val="0"/>
          <w:caps w:val="0"/>
          <w:color w:val="auto"/>
          <w:spacing w:val="0"/>
          <w:w w:val="100"/>
          <w:sz w:val="21"/>
          <w:szCs w:val="21"/>
          <w:highlight w:val="none"/>
        </w:rPr>
        <w:t>；</w:t>
      </w:r>
    </w:p>
    <w:p w14:paraId="38050207">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发包人向承包人提供图纸的数量：</w:t>
      </w:r>
      <w:r>
        <w:rPr>
          <w:rFonts w:hint="eastAsia" w:ascii="宋体" w:hAnsi="宋体" w:eastAsia="宋体" w:cs="宋体"/>
          <w:b w:val="0"/>
          <w:i w:val="0"/>
          <w:caps w:val="0"/>
          <w:color w:val="auto"/>
          <w:spacing w:val="0"/>
          <w:w w:val="100"/>
          <w:sz w:val="21"/>
          <w:szCs w:val="21"/>
          <w:highlight w:val="none"/>
          <w:u w:val="single" w:color="000000"/>
        </w:rPr>
        <w:t>                     </w:t>
      </w:r>
      <w:r>
        <w:rPr>
          <w:rFonts w:hint="eastAsia" w:ascii="宋体" w:hAnsi="宋体" w:eastAsia="宋体" w:cs="宋体"/>
          <w:b w:val="0"/>
          <w:i w:val="0"/>
          <w:caps w:val="0"/>
          <w:color w:val="auto"/>
          <w:spacing w:val="0"/>
          <w:w w:val="100"/>
          <w:sz w:val="21"/>
          <w:szCs w:val="21"/>
          <w:highlight w:val="none"/>
        </w:rPr>
        <w:t>；</w:t>
      </w:r>
    </w:p>
    <w:p w14:paraId="71C7E5A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发包人向承包人提供图纸的内容：</w:t>
      </w:r>
      <w:r>
        <w:rPr>
          <w:rFonts w:hint="eastAsia" w:ascii="宋体" w:hAnsi="宋体" w:eastAsia="宋体" w:cs="宋体"/>
          <w:b w:val="0"/>
          <w:i w:val="0"/>
          <w:caps w:val="0"/>
          <w:color w:val="auto"/>
          <w:spacing w:val="0"/>
          <w:w w:val="100"/>
          <w:sz w:val="21"/>
          <w:szCs w:val="21"/>
          <w:highlight w:val="none"/>
          <w:u w:val="single" w:color="000000"/>
        </w:rPr>
        <w:t>                     </w:t>
      </w:r>
      <w:r>
        <w:rPr>
          <w:rFonts w:hint="eastAsia" w:ascii="宋体" w:hAnsi="宋体" w:eastAsia="宋体" w:cs="宋体"/>
          <w:b w:val="0"/>
          <w:i w:val="0"/>
          <w:caps w:val="0"/>
          <w:color w:val="auto"/>
          <w:spacing w:val="0"/>
          <w:w w:val="100"/>
          <w:sz w:val="21"/>
          <w:szCs w:val="21"/>
          <w:highlight w:val="none"/>
        </w:rPr>
        <w:t>。</w:t>
      </w:r>
    </w:p>
    <w:p w14:paraId="22A39D67">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5</w:t>
      </w:r>
      <w:r>
        <w:rPr>
          <w:rFonts w:hint="eastAsia" w:ascii="宋体" w:hAnsi="宋体" w:eastAsia="宋体" w:cs="宋体"/>
          <w:b w:val="0"/>
          <w:i w:val="0"/>
          <w:caps w:val="0"/>
          <w:color w:val="auto"/>
          <w:spacing w:val="0"/>
          <w:w w:val="100"/>
          <w:sz w:val="21"/>
          <w:szCs w:val="21"/>
          <w:highlight w:val="none"/>
        </w:rPr>
        <w:t>.4 承包人文件</w:t>
      </w:r>
    </w:p>
    <w:p w14:paraId="482D6B4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需要由承包人提供的文件，包括：</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0891CBDB">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承包人提供的文件的期限为：</w:t>
      </w:r>
      <w:r>
        <w:rPr>
          <w:rFonts w:hint="eastAsia" w:ascii="宋体" w:hAnsi="宋体" w:eastAsia="宋体" w:cs="宋体"/>
          <w:b w:val="0"/>
          <w:i w:val="0"/>
          <w:caps w:val="0"/>
          <w:color w:val="auto"/>
          <w:spacing w:val="0"/>
          <w:w w:val="100"/>
          <w:sz w:val="21"/>
          <w:szCs w:val="21"/>
          <w:highlight w:val="none"/>
          <w:u w:val="single" w:color="000000"/>
        </w:rPr>
        <w:t>                      </w:t>
      </w:r>
      <w:r>
        <w:rPr>
          <w:rFonts w:hint="eastAsia" w:ascii="宋体" w:hAnsi="宋体" w:eastAsia="宋体" w:cs="宋体"/>
          <w:b w:val="0"/>
          <w:i w:val="0"/>
          <w:caps w:val="0"/>
          <w:color w:val="auto"/>
          <w:spacing w:val="0"/>
          <w:w w:val="100"/>
          <w:sz w:val="21"/>
          <w:szCs w:val="21"/>
          <w:highlight w:val="none"/>
        </w:rPr>
        <w:t>；</w:t>
      </w:r>
    </w:p>
    <w:p w14:paraId="696F650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承包人提供的文件的数量为：</w:t>
      </w:r>
      <w:r>
        <w:rPr>
          <w:rFonts w:hint="eastAsia" w:ascii="宋体" w:hAnsi="宋体" w:eastAsia="宋体" w:cs="宋体"/>
          <w:b w:val="0"/>
          <w:i w:val="0"/>
          <w:caps w:val="0"/>
          <w:color w:val="auto"/>
          <w:spacing w:val="0"/>
          <w:w w:val="100"/>
          <w:sz w:val="21"/>
          <w:szCs w:val="21"/>
          <w:highlight w:val="none"/>
          <w:u w:val="single" w:color="000000"/>
        </w:rPr>
        <w:t>                           </w:t>
      </w:r>
      <w:r>
        <w:rPr>
          <w:rFonts w:hint="eastAsia" w:ascii="宋体" w:hAnsi="宋体" w:eastAsia="宋体" w:cs="宋体"/>
          <w:b w:val="0"/>
          <w:i w:val="0"/>
          <w:caps w:val="0"/>
          <w:color w:val="auto"/>
          <w:spacing w:val="0"/>
          <w:w w:val="100"/>
          <w:sz w:val="21"/>
          <w:szCs w:val="21"/>
          <w:highlight w:val="none"/>
        </w:rPr>
        <w:t>；</w:t>
      </w:r>
    </w:p>
    <w:p w14:paraId="00226A58">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承包人提供的文件的形式为：</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1BC691C2">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发包人审批承包人文件的期限：</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49D43BC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5</w:t>
      </w:r>
      <w:r>
        <w:rPr>
          <w:rFonts w:hint="eastAsia" w:ascii="宋体" w:hAnsi="宋体" w:eastAsia="宋体" w:cs="宋体"/>
          <w:b w:val="0"/>
          <w:i w:val="0"/>
          <w:caps w:val="0"/>
          <w:color w:val="auto"/>
          <w:spacing w:val="0"/>
          <w:w w:val="100"/>
          <w:sz w:val="21"/>
          <w:szCs w:val="21"/>
          <w:highlight w:val="none"/>
        </w:rPr>
        <w:t>.5 现场图纸准备</w:t>
      </w:r>
    </w:p>
    <w:p w14:paraId="252FF2E3">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关于现场图纸准备的约定：</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27576394">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6</w:t>
      </w:r>
      <w:r>
        <w:rPr>
          <w:rFonts w:hint="eastAsia" w:ascii="宋体" w:hAnsi="宋体" w:eastAsia="宋体" w:cs="宋体"/>
          <w:b/>
          <w:i w:val="0"/>
          <w:caps w:val="0"/>
          <w:color w:val="auto"/>
          <w:spacing w:val="0"/>
          <w:w w:val="100"/>
          <w:sz w:val="24"/>
          <w:highlight w:val="none"/>
        </w:rPr>
        <w:t xml:space="preserve"> 联络</w:t>
      </w:r>
    </w:p>
    <w:p w14:paraId="4734C6E1">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w:t>
      </w:r>
      <w:r>
        <w:rPr>
          <w:rFonts w:hint="eastAsia" w:ascii="宋体" w:hAnsi="宋体" w:cs="宋体"/>
          <w:b w:val="0"/>
          <w:i w:val="0"/>
          <w:caps w:val="0"/>
          <w:color w:val="auto"/>
          <w:spacing w:val="0"/>
          <w:w w:val="100"/>
          <w:kern w:val="0"/>
          <w:sz w:val="21"/>
          <w:szCs w:val="21"/>
          <w:highlight w:val="none"/>
          <w:lang w:val="en-US" w:eastAsia="zh-CN"/>
        </w:rPr>
        <w:t>6</w:t>
      </w:r>
      <w:r>
        <w:rPr>
          <w:rFonts w:hint="eastAsia" w:ascii="宋体" w:hAnsi="宋体" w:eastAsia="宋体" w:cs="宋体"/>
          <w:b w:val="0"/>
          <w:i w:val="0"/>
          <w:caps w:val="0"/>
          <w:color w:val="auto"/>
          <w:spacing w:val="0"/>
          <w:w w:val="100"/>
          <w:kern w:val="0"/>
          <w:sz w:val="21"/>
          <w:szCs w:val="21"/>
          <w:highlight w:val="none"/>
        </w:rPr>
        <w:t>.1发包人和承包人应当在</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天内将与合同有关的通知、批准、证明、证书、指示、指令、要求、请求、同意、意见、确定和决定等书面函件送达对方当事人。</w:t>
      </w:r>
    </w:p>
    <w:p w14:paraId="5122ED18">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w:t>
      </w:r>
      <w:r>
        <w:rPr>
          <w:rFonts w:hint="eastAsia" w:ascii="宋体" w:hAnsi="宋体" w:cs="宋体"/>
          <w:b w:val="0"/>
          <w:i w:val="0"/>
          <w:caps w:val="0"/>
          <w:color w:val="auto"/>
          <w:spacing w:val="0"/>
          <w:w w:val="100"/>
          <w:kern w:val="0"/>
          <w:sz w:val="21"/>
          <w:szCs w:val="21"/>
          <w:highlight w:val="none"/>
          <w:lang w:val="en-US" w:eastAsia="zh-CN"/>
        </w:rPr>
        <w:t>6</w:t>
      </w:r>
      <w:r>
        <w:rPr>
          <w:rFonts w:hint="eastAsia" w:ascii="宋体" w:hAnsi="宋体" w:eastAsia="宋体" w:cs="宋体"/>
          <w:b w:val="0"/>
          <w:i w:val="0"/>
          <w:caps w:val="0"/>
          <w:color w:val="auto"/>
          <w:spacing w:val="0"/>
          <w:w w:val="100"/>
          <w:kern w:val="0"/>
          <w:sz w:val="21"/>
          <w:szCs w:val="21"/>
          <w:highlight w:val="none"/>
        </w:rPr>
        <w:t>.2 发包人接收文件的地点：</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kern w:val="0"/>
          <w:sz w:val="21"/>
          <w:szCs w:val="21"/>
          <w:highlight w:val="none"/>
        </w:rPr>
        <w:t>；</w:t>
      </w:r>
    </w:p>
    <w:p w14:paraId="316DA9F7">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发包人指定的接收人为：</w:t>
      </w:r>
      <w:r>
        <w:rPr>
          <w:rFonts w:hint="eastAsia" w:ascii="宋体" w:hAnsi="宋体" w:eastAsia="宋体" w:cs="宋体"/>
          <w:b w:val="0"/>
          <w:i w:val="0"/>
          <w:caps w:val="0"/>
          <w:color w:val="auto"/>
          <w:spacing w:val="0"/>
          <w:w w:val="100"/>
          <w:sz w:val="21"/>
          <w:szCs w:val="21"/>
          <w:highlight w:val="none"/>
          <w:u w:val="single" w:color="000000"/>
        </w:rPr>
        <w:t>                              </w:t>
      </w:r>
      <w:r>
        <w:rPr>
          <w:rFonts w:hint="eastAsia" w:ascii="宋体" w:hAnsi="宋体" w:eastAsia="宋体" w:cs="宋体"/>
          <w:b w:val="0"/>
          <w:i w:val="0"/>
          <w:caps w:val="0"/>
          <w:color w:val="auto"/>
          <w:spacing w:val="0"/>
          <w:w w:val="100"/>
          <w:kern w:val="0"/>
          <w:sz w:val="21"/>
          <w:szCs w:val="21"/>
          <w:highlight w:val="none"/>
        </w:rPr>
        <w:t>。</w:t>
      </w:r>
    </w:p>
    <w:p w14:paraId="3E454ADD">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承包人接收文件的地点：</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kern w:val="0"/>
          <w:sz w:val="21"/>
          <w:szCs w:val="21"/>
          <w:highlight w:val="none"/>
        </w:rPr>
        <w:t>；</w:t>
      </w:r>
    </w:p>
    <w:p w14:paraId="598DDBCB">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承包人指定的接收人为：</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kern w:val="0"/>
          <w:sz w:val="21"/>
          <w:szCs w:val="21"/>
          <w:highlight w:val="none"/>
        </w:rPr>
        <w:t>。</w:t>
      </w:r>
    </w:p>
    <w:p w14:paraId="7D9848BD">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监理人接收文件的地点：</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kern w:val="0"/>
          <w:sz w:val="21"/>
          <w:szCs w:val="21"/>
          <w:highlight w:val="none"/>
        </w:rPr>
        <w:t>；</w:t>
      </w:r>
    </w:p>
    <w:p w14:paraId="527AC2C0">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监理人指定的接收人为：</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kern w:val="0"/>
          <w:sz w:val="21"/>
          <w:szCs w:val="21"/>
          <w:highlight w:val="none"/>
        </w:rPr>
        <w:t>。</w:t>
      </w:r>
    </w:p>
    <w:p w14:paraId="784D317B">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7</w:t>
      </w:r>
      <w:r>
        <w:rPr>
          <w:rFonts w:hint="eastAsia" w:ascii="宋体" w:hAnsi="宋体" w:eastAsia="宋体" w:cs="宋体"/>
          <w:b/>
          <w:i w:val="0"/>
          <w:caps w:val="0"/>
          <w:color w:val="auto"/>
          <w:spacing w:val="0"/>
          <w:w w:val="100"/>
          <w:sz w:val="24"/>
          <w:highlight w:val="none"/>
        </w:rPr>
        <w:t xml:space="preserve"> 交通运输</w:t>
      </w:r>
    </w:p>
    <w:p w14:paraId="30A687DD">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7</w:t>
      </w:r>
      <w:r>
        <w:rPr>
          <w:rFonts w:hint="eastAsia" w:ascii="宋体" w:hAnsi="宋体" w:eastAsia="宋体" w:cs="宋体"/>
          <w:b w:val="0"/>
          <w:i w:val="0"/>
          <w:caps w:val="0"/>
          <w:color w:val="auto"/>
          <w:spacing w:val="0"/>
          <w:w w:val="100"/>
          <w:sz w:val="21"/>
          <w:szCs w:val="21"/>
          <w:highlight w:val="none"/>
        </w:rPr>
        <w:t>.1 出入现场的权利</w:t>
      </w:r>
    </w:p>
    <w:p w14:paraId="22B7AF7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关于出入现场的权利的约定：</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2B445C9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7</w:t>
      </w:r>
      <w:r>
        <w:rPr>
          <w:rFonts w:hint="eastAsia" w:ascii="宋体" w:hAnsi="宋体" w:eastAsia="宋体" w:cs="宋体"/>
          <w:b w:val="0"/>
          <w:i w:val="0"/>
          <w:caps w:val="0"/>
          <w:color w:val="auto"/>
          <w:spacing w:val="0"/>
          <w:w w:val="100"/>
          <w:sz w:val="21"/>
          <w:szCs w:val="21"/>
          <w:highlight w:val="none"/>
        </w:rPr>
        <w:t>.3 场内交通</w:t>
      </w:r>
    </w:p>
    <w:p w14:paraId="6574E1CC">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关于场外交通和场内交通的边界的约定：</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1322EF8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关于发包人向承包人免费提供满足工程施工需要的场内道路和交通设施的约定：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 xml:space="preserve">。  </w:t>
      </w:r>
    </w:p>
    <w:p w14:paraId="3EFD4FE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7</w:t>
      </w:r>
      <w:r>
        <w:rPr>
          <w:rFonts w:hint="eastAsia" w:ascii="宋体" w:hAnsi="宋体" w:eastAsia="宋体" w:cs="宋体"/>
          <w:b w:val="0"/>
          <w:i w:val="0"/>
          <w:caps w:val="0"/>
          <w:color w:val="auto"/>
          <w:spacing w:val="0"/>
          <w:w w:val="100"/>
          <w:sz w:val="21"/>
          <w:szCs w:val="21"/>
          <w:highlight w:val="none"/>
        </w:rPr>
        <w:t>.4超大件和超重件的运输</w:t>
      </w:r>
    </w:p>
    <w:p w14:paraId="16C0FA6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运输超大件或超重件所需的道路和桥梁临时加固改造费用和其他有关费用由</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承担。</w:t>
      </w:r>
    </w:p>
    <w:p w14:paraId="4236D438">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8</w:t>
      </w:r>
      <w:r>
        <w:rPr>
          <w:rFonts w:hint="eastAsia" w:ascii="宋体" w:hAnsi="宋体" w:eastAsia="宋体" w:cs="宋体"/>
          <w:b/>
          <w:i w:val="0"/>
          <w:caps w:val="0"/>
          <w:color w:val="auto"/>
          <w:spacing w:val="0"/>
          <w:w w:val="100"/>
          <w:sz w:val="24"/>
          <w:highlight w:val="none"/>
        </w:rPr>
        <w:t xml:space="preserve"> 知识产权</w:t>
      </w:r>
    </w:p>
    <w:p w14:paraId="72ABF16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8</w:t>
      </w:r>
      <w:r>
        <w:rPr>
          <w:rFonts w:hint="eastAsia" w:ascii="宋体" w:hAnsi="宋体" w:eastAsia="宋体" w:cs="宋体"/>
          <w:b w:val="0"/>
          <w:i w:val="0"/>
          <w:caps w:val="0"/>
          <w:color w:val="auto"/>
          <w:spacing w:val="0"/>
          <w:w w:val="100"/>
          <w:sz w:val="21"/>
          <w:szCs w:val="21"/>
          <w:highlight w:val="none"/>
        </w:rPr>
        <w:t>.1关于发包人提供给承包人的图纸、发包人为实施工程自行编制或委托编制的技术规范以及反映发包人关于合同要求或其他类似性质的文件的著作权的归属：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53DE3D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关于发包人提供的上述文件的使用限制的要求：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7467D3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8</w:t>
      </w:r>
      <w:r>
        <w:rPr>
          <w:rFonts w:hint="eastAsia" w:ascii="宋体" w:hAnsi="宋体" w:eastAsia="宋体" w:cs="宋体"/>
          <w:b w:val="0"/>
          <w:i w:val="0"/>
          <w:caps w:val="0"/>
          <w:color w:val="auto"/>
          <w:spacing w:val="0"/>
          <w:w w:val="100"/>
          <w:sz w:val="21"/>
          <w:szCs w:val="21"/>
          <w:highlight w:val="none"/>
        </w:rPr>
        <w:t>.2 关于承包人为实施工程所编制文件的著作权的归属：</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161FD1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关于承包人提供的上述文件的使用限制的要求：</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68ADEE5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cs="宋体"/>
          <w:b w:val="0"/>
          <w:i w:val="0"/>
          <w:caps w:val="0"/>
          <w:color w:val="auto"/>
          <w:spacing w:val="0"/>
          <w:w w:val="100"/>
          <w:sz w:val="21"/>
          <w:szCs w:val="21"/>
          <w:highlight w:val="none"/>
          <w:lang w:val="en-US" w:eastAsia="zh-CN"/>
        </w:rPr>
        <w:t>8</w:t>
      </w:r>
      <w:r>
        <w:rPr>
          <w:rFonts w:hint="eastAsia" w:ascii="宋体" w:hAnsi="宋体" w:eastAsia="宋体" w:cs="宋体"/>
          <w:b w:val="0"/>
          <w:i w:val="0"/>
          <w:caps w:val="0"/>
          <w:color w:val="auto"/>
          <w:spacing w:val="0"/>
          <w:w w:val="100"/>
          <w:sz w:val="21"/>
          <w:szCs w:val="21"/>
          <w:highlight w:val="none"/>
        </w:rPr>
        <w:t>.4 承包人在施工过程中所采用的专利、专有技术、技术秘密的使用费的承担方式：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0BFE1E44">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w:t>
      </w:r>
      <w:r>
        <w:rPr>
          <w:rFonts w:hint="eastAsia" w:ascii="宋体" w:hAnsi="宋体" w:eastAsia="宋体" w:cs="宋体"/>
          <w:b/>
          <w:i w:val="0"/>
          <w:caps w:val="0"/>
          <w:color w:val="auto"/>
          <w:spacing w:val="0"/>
          <w:w w:val="100"/>
          <w:sz w:val="24"/>
          <w:highlight w:val="none"/>
          <w:lang w:val="en-US" w:eastAsia="zh-CN"/>
        </w:rPr>
        <w:t>9</w:t>
      </w:r>
      <w:r>
        <w:rPr>
          <w:rFonts w:hint="eastAsia" w:ascii="宋体" w:hAnsi="宋体" w:eastAsia="宋体" w:cs="宋体"/>
          <w:b/>
          <w:i w:val="0"/>
          <w:caps w:val="0"/>
          <w:color w:val="auto"/>
          <w:spacing w:val="0"/>
          <w:w w:val="100"/>
          <w:sz w:val="24"/>
          <w:highlight w:val="none"/>
        </w:rPr>
        <w:t>工程量清单错误的修正</w:t>
      </w:r>
    </w:p>
    <w:p w14:paraId="1873BB02">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出现工程量清单错误时，是否调整合同价格：</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kern w:val="0"/>
          <w:sz w:val="21"/>
          <w:szCs w:val="21"/>
          <w:highlight w:val="none"/>
        </w:rPr>
        <w:t>。</w:t>
      </w:r>
    </w:p>
    <w:p w14:paraId="4EFE817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允许调整合同价格的工程量偏差范围：</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60286A3B">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06" w:name="_Toc256000098"/>
      <w:bookmarkStart w:id="707" w:name="_Toc505871382"/>
      <w:bookmarkStart w:id="708" w:name="_Toc20796"/>
      <w:bookmarkStart w:id="709" w:name="_Toc27121"/>
      <w:bookmarkStart w:id="710" w:name="_Toc3299"/>
      <w:bookmarkStart w:id="711" w:name="_Toc21062"/>
      <w:r>
        <w:rPr>
          <w:rFonts w:hint="eastAsia" w:ascii="宋体" w:hAnsi="宋体" w:eastAsia="宋体" w:cs="宋体"/>
          <w:b/>
          <w:i w:val="0"/>
          <w:caps w:val="0"/>
          <w:color w:val="auto"/>
          <w:spacing w:val="0"/>
          <w:w w:val="100"/>
          <w:sz w:val="32"/>
          <w:highlight w:val="none"/>
        </w:rPr>
        <w:t>2. 发包人</w:t>
      </w:r>
      <w:bookmarkEnd w:id="706"/>
      <w:bookmarkEnd w:id="707"/>
      <w:bookmarkEnd w:id="708"/>
      <w:bookmarkEnd w:id="709"/>
      <w:bookmarkEnd w:id="710"/>
      <w:bookmarkEnd w:id="711"/>
    </w:p>
    <w:p w14:paraId="2764A70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2.</w:t>
      </w:r>
      <w:r>
        <w:rPr>
          <w:rFonts w:hint="eastAsia" w:ascii="宋体" w:hAnsi="宋体" w:eastAsia="宋体" w:cs="宋体"/>
          <w:b/>
          <w:i w:val="0"/>
          <w:caps w:val="0"/>
          <w:color w:val="auto"/>
          <w:spacing w:val="0"/>
          <w:w w:val="100"/>
          <w:sz w:val="24"/>
          <w:highlight w:val="none"/>
          <w:lang w:val="en-US" w:eastAsia="zh-CN"/>
        </w:rPr>
        <w:t>1</w:t>
      </w:r>
      <w:r>
        <w:rPr>
          <w:rFonts w:hint="eastAsia" w:ascii="宋体" w:hAnsi="宋体" w:eastAsia="宋体" w:cs="宋体"/>
          <w:b/>
          <w:i w:val="0"/>
          <w:caps w:val="0"/>
          <w:color w:val="auto"/>
          <w:spacing w:val="0"/>
          <w:w w:val="100"/>
          <w:sz w:val="24"/>
          <w:highlight w:val="none"/>
        </w:rPr>
        <w:t>发包人代表</w:t>
      </w:r>
    </w:p>
    <w:p w14:paraId="44DB0873">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发包人代表：</w:t>
      </w:r>
    </w:p>
    <w:p w14:paraId="1B0E96B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姓    名：</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7E5604AF">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身份证号：</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0FAE9FB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职    务：</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68746D21">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联系电话：</w:t>
      </w:r>
      <w:r>
        <w:rPr>
          <w:rFonts w:hint="eastAsia" w:ascii="宋体" w:hAnsi="宋体" w:eastAsia="宋体" w:cs="宋体"/>
          <w:b w:val="0"/>
          <w:i w:val="0"/>
          <w:caps w:val="0"/>
          <w:color w:val="auto"/>
          <w:spacing w:val="0"/>
          <w:w w:val="100"/>
          <w:sz w:val="21"/>
          <w:szCs w:val="21"/>
          <w:highlight w:val="none"/>
          <w:u w:val="single" w:color="000000"/>
        </w:rPr>
        <w:t>     </w:t>
      </w:r>
      <w:r>
        <w:rPr>
          <w:rFonts w:hint="eastAsia" w:ascii="宋体" w:hAnsi="宋体" w:eastAsia="宋体" w:cs="宋体"/>
          <w:b w:val="0"/>
          <w:i w:val="0"/>
          <w:caps w:val="0"/>
          <w:color w:val="auto"/>
          <w:spacing w:val="0"/>
          <w:w w:val="100"/>
          <w:sz w:val="21"/>
          <w:szCs w:val="21"/>
          <w:highlight w:val="none"/>
        </w:rPr>
        <w:t>；</w:t>
      </w:r>
    </w:p>
    <w:p w14:paraId="000043E9">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电子信箱：</w:t>
      </w:r>
      <w:r>
        <w:rPr>
          <w:rFonts w:hint="eastAsia" w:ascii="宋体" w:hAnsi="宋体" w:eastAsia="宋体" w:cs="宋体"/>
          <w:b w:val="0"/>
          <w:i w:val="0"/>
          <w:caps w:val="0"/>
          <w:color w:val="auto"/>
          <w:spacing w:val="0"/>
          <w:w w:val="100"/>
          <w:sz w:val="21"/>
          <w:szCs w:val="21"/>
          <w:highlight w:val="none"/>
          <w:u w:val="single" w:color="000000"/>
        </w:rPr>
        <w:t>     </w:t>
      </w:r>
      <w:r>
        <w:rPr>
          <w:rFonts w:hint="eastAsia" w:ascii="宋体" w:hAnsi="宋体" w:eastAsia="宋体" w:cs="宋体"/>
          <w:b w:val="0"/>
          <w:i w:val="0"/>
          <w:caps w:val="0"/>
          <w:color w:val="auto"/>
          <w:spacing w:val="0"/>
          <w:w w:val="100"/>
          <w:sz w:val="21"/>
          <w:szCs w:val="21"/>
          <w:highlight w:val="none"/>
        </w:rPr>
        <w:t>；</w:t>
      </w:r>
    </w:p>
    <w:p w14:paraId="6E2E0B93">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通信地址：</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3B7E07E9">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发包人对发包人代表的授权范围如下：</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2F4FEDC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2.</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施工现场、施工条件和基础资料的提供</w:t>
      </w:r>
    </w:p>
    <w:p w14:paraId="5B1D026B">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w:t>
      </w:r>
      <w:r>
        <w:rPr>
          <w:rFonts w:hint="eastAsia" w:ascii="宋体" w:hAnsi="宋体" w:cs="宋体"/>
          <w:b w:val="0"/>
          <w:i w:val="0"/>
          <w:caps w:val="0"/>
          <w:color w:val="auto"/>
          <w:spacing w:val="0"/>
          <w:w w:val="100"/>
          <w:sz w:val="21"/>
          <w:szCs w:val="21"/>
          <w:highlight w:val="none"/>
          <w:lang w:val="en-US" w:eastAsia="zh-CN"/>
        </w:rPr>
        <w:t>2</w:t>
      </w:r>
      <w:r>
        <w:rPr>
          <w:rFonts w:hint="eastAsia" w:ascii="宋体" w:hAnsi="宋体" w:eastAsia="宋体" w:cs="宋体"/>
          <w:b w:val="0"/>
          <w:i w:val="0"/>
          <w:caps w:val="0"/>
          <w:color w:val="auto"/>
          <w:spacing w:val="0"/>
          <w:w w:val="100"/>
          <w:sz w:val="21"/>
          <w:szCs w:val="21"/>
          <w:highlight w:val="none"/>
        </w:rPr>
        <w:t>.1 提供施工现场</w:t>
      </w:r>
    </w:p>
    <w:p w14:paraId="63EDCB53">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关于发包人移交施工现场的期限要求：</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2356478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w:t>
      </w:r>
      <w:r>
        <w:rPr>
          <w:rFonts w:hint="eastAsia" w:ascii="宋体" w:hAnsi="宋体" w:cs="宋体"/>
          <w:b w:val="0"/>
          <w:i w:val="0"/>
          <w:caps w:val="0"/>
          <w:color w:val="auto"/>
          <w:spacing w:val="0"/>
          <w:w w:val="100"/>
          <w:sz w:val="21"/>
          <w:szCs w:val="21"/>
          <w:highlight w:val="none"/>
          <w:lang w:val="en-US" w:eastAsia="zh-CN"/>
        </w:rPr>
        <w:t>2</w:t>
      </w:r>
      <w:r>
        <w:rPr>
          <w:rFonts w:hint="eastAsia" w:ascii="宋体" w:hAnsi="宋体" w:eastAsia="宋体" w:cs="宋体"/>
          <w:b w:val="0"/>
          <w:i w:val="0"/>
          <w:caps w:val="0"/>
          <w:color w:val="auto"/>
          <w:spacing w:val="0"/>
          <w:w w:val="100"/>
          <w:sz w:val="21"/>
          <w:szCs w:val="21"/>
          <w:highlight w:val="none"/>
        </w:rPr>
        <w:t>.2 提供施工条件</w:t>
      </w:r>
    </w:p>
    <w:p w14:paraId="50B37571">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关于发包人应负责提供施工所需要的条件，包括</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94D811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2.</w:t>
      </w:r>
      <w:r>
        <w:rPr>
          <w:rFonts w:hint="eastAsia" w:ascii="宋体" w:hAnsi="宋体" w:eastAsia="宋体" w:cs="宋体"/>
          <w:b/>
          <w:i w:val="0"/>
          <w:caps w:val="0"/>
          <w:color w:val="auto"/>
          <w:spacing w:val="0"/>
          <w:w w:val="100"/>
          <w:sz w:val="24"/>
          <w:highlight w:val="none"/>
          <w:lang w:val="en-US" w:eastAsia="zh-CN"/>
        </w:rPr>
        <w:t>3</w:t>
      </w:r>
      <w:r>
        <w:rPr>
          <w:rFonts w:hint="eastAsia" w:ascii="宋体" w:hAnsi="宋体" w:eastAsia="宋体" w:cs="宋体"/>
          <w:b/>
          <w:i w:val="0"/>
          <w:caps w:val="0"/>
          <w:color w:val="auto"/>
          <w:spacing w:val="0"/>
          <w:w w:val="100"/>
          <w:sz w:val="24"/>
          <w:highlight w:val="none"/>
        </w:rPr>
        <w:t xml:space="preserve"> 资金来源证明及支付担保</w:t>
      </w:r>
    </w:p>
    <w:p w14:paraId="6526B76C">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发包人提供资金来源证明的期限要求：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87046EF">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发包人是否提供支付担保：</w:t>
      </w:r>
      <w:r>
        <w:rPr>
          <w:rFonts w:hint="eastAsia" w:ascii="宋体" w:hAnsi="宋体" w:eastAsia="宋体" w:cs="宋体"/>
          <w:b w:val="0"/>
          <w:i w:val="0"/>
          <w:caps w:val="0"/>
          <w:color w:val="auto"/>
          <w:spacing w:val="0"/>
          <w:w w:val="100"/>
          <w:sz w:val="21"/>
          <w:szCs w:val="21"/>
          <w:highlight w:val="none"/>
          <w:u w:val="single" w:color="000000"/>
        </w:rPr>
        <w:t xml:space="preserve">                                       </w:t>
      </w:r>
      <w:r>
        <w:rPr>
          <w:rFonts w:hint="eastAsia" w:ascii="宋体" w:hAnsi="宋体" w:eastAsia="宋体" w:cs="宋体"/>
          <w:b w:val="0"/>
          <w:i w:val="0"/>
          <w:caps w:val="0"/>
          <w:color w:val="auto"/>
          <w:spacing w:val="0"/>
          <w:w w:val="100"/>
          <w:sz w:val="21"/>
          <w:szCs w:val="21"/>
          <w:highlight w:val="none"/>
        </w:rPr>
        <w:t>。</w:t>
      </w:r>
    </w:p>
    <w:p w14:paraId="15BFA222">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sz w:val="21"/>
          <w:szCs w:val="21"/>
          <w:highlight w:val="none"/>
        </w:rPr>
        <w:t>发包人提供支付担保的形式：</w:t>
      </w:r>
      <w:r>
        <w:rPr>
          <w:rFonts w:hint="eastAsia" w:ascii="宋体" w:hAnsi="宋体" w:eastAsia="宋体" w:cs="宋体"/>
          <w:b w:val="0"/>
          <w:i w:val="0"/>
          <w:caps w:val="0"/>
          <w:color w:val="auto"/>
          <w:spacing w:val="0"/>
          <w:w w:val="100"/>
          <w:sz w:val="21"/>
          <w:szCs w:val="21"/>
          <w:highlight w:val="none"/>
          <w:u w:val="single" w:color="000000"/>
        </w:rPr>
        <w:t>                                       </w:t>
      </w:r>
      <w:r>
        <w:rPr>
          <w:rFonts w:hint="eastAsia" w:ascii="宋体" w:hAnsi="宋体" w:eastAsia="宋体" w:cs="宋体"/>
          <w:b w:val="0"/>
          <w:i w:val="0"/>
          <w:caps w:val="0"/>
          <w:color w:val="auto"/>
          <w:spacing w:val="0"/>
          <w:w w:val="100"/>
          <w:sz w:val="21"/>
          <w:szCs w:val="21"/>
          <w:highlight w:val="none"/>
        </w:rPr>
        <w:t>。</w:t>
      </w:r>
    </w:p>
    <w:p w14:paraId="7BCB78C2">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12" w:name="_Toc22725"/>
      <w:bookmarkStart w:id="713" w:name="_Toc1724"/>
      <w:bookmarkStart w:id="714" w:name="_Toc256000099"/>
      <w:bookmarkStart w:id="715" w:name="_Toc5557"/>
      <w:bookmarkStart w:id="716" w:name="_Toc28452"/>
      <w:bookmarkStart w:id="717" w:name="_Toc505871383"/>
      <w:r>
        <w:rPr>
          <w:rFonts w:hint="eastAsia" w:ascii="宋体" w:hAnsi="宋体" w:eastAsia="宋体" w:cs="宋体"/>
          <w:b/>
          <w:i w:val="0"/>
          <w:caps w:val="0"/>
          <w:color w:val="auto"/>
          <w:spacing w:val="0"/>
          <w:w w:val="100"/>
          <w:sz w:val="32"/>
          <w:highlight w:val="none"/>
        </w:rPr>
        <w:t>3. 承包人</w:t>
      </w:r>
      <w:bookmarkEnd w:id="712"/>
      <w:bookmarkEnd w:id="713"/>
      <w:bookmarkEnd w:id="714"/>
      <w:bookmarkEnd w:id="715"/>
      <w:bookmarkEnd w:id="716"/>
      <w:bookmarkEnd w:id="717"/>
    </w:p>
    <w:p w14:paraId="35615BFF">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3.1 承包人的一般义务</w:t>
      </w:r>
    </w:p>
    <w:p w14:paraId="607408C8">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（9）</w:t>
      </w:r>
      <w:r>
        <w:rPr>
          <w:rFonts w:hint="eastAsia" w:ascii="宋体" w:hAnsi="宋体" w:eastAsia="宋体" w:cs="宋体"/>
          <w:b w:val="0"/>
          <w:i w:val="0"/>
          <w:caps w:val="0"/>
          <w:color w:val="auto"/>
          <w:spacing w:val="0"/>
          <w:w w:val="100"/>
          <w:sz w:val="21"/>
          <w:szCs w:val="21"/>
          <w:highlight w:val="none"/>
        </w:rPr>
        <w:t>承包人提交的竣工资料的内容：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D7B0CC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承包人需要提交的竣工资料套数：</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F5960D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承包人提交的竣工资料的费用承担：</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A09649B">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承包人提交的竣工资料移交时间：</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34ABBB1">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承包人提交的竣工资料形式要求：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477EDF4">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（10）承包人应履行的其他义务：</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r>
        <w:rPr>
          <w:rFonts w:hint="eastAsia" w:ascii="宋体" w:hAnsi="宋体" w:eastAsia="宋体" w:cs="宋体"/>
          <w:b w:val="0"/>
          <w:i w:val="0"/>
          <w:caps w:val="0"/>
          <w:color w:val="auto"/>
          <w:spacing w:val="0"/>
          <w:w w:val="100"/>
          <w:kern w:val="0"/>
          <w:sz w:val="21"/>
          <w:szCs w:val="21"/>
          <w:highlight w:val="none"/>
        </w:rPr>
        <w:t xml:space="preserve">                                              </w:t>
      </w:r>
    </w:p>
    <w:p w14:paraId="7CB3EF58">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3.2 项目经理</w:t>
      </w:r>
    </w:p>
    <w:p w14:paraId="2E875BB1">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 xml:space="preserve">3.2.1 </w:t>
      </w:r>
      <w:r>
        <w:rPr>
          <w:rFonts w:hint="eastAsia" w:ascii="宋体" w:hAnsi="宋体" w:eastAsia="宋体" w:cs="宋体"/>
          <w:b w:val="0"/>
          <w:i w:val="0"/>
          <w:caps w:val="0"/>
          <w:color w:val="auto"/>
          <w:spacing w:val="0"/>
          <w:w w:val="100"/>
          <w:sz w:val="21"/>
          <w:szCs w:val="21"/>
          <w:highlight w:val="none"/>
        </w:rPr>
        <w:t>项目经理：</w:t>
      </w:r>
    </w:p>
    <w:p w14:paraId="2847F26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姓    名：</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2CC5841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身份证号：</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4089F19F">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建造师执业资格等级：</w:t>
      </w:r>
      <w:r>
        <w:rPr>
          <w:rFonts w:hint="eastAsia" w:ascii="宋体" w:hAnsi="宋体" w:eastAsia="宋体" w:cs="宋体"/>
          <w:b w:val="0"/>
          <w:i w:val="0"/>
          <w:caps w:val="0"/>
          <w:color w:val="auto"/>
          <w:spacing w:val="0"/>
          <w:w w:val="100"/>
          <w:sz w:val="21"/>
          <w:szCs w:val="21"/>
          <w:highlight w:val="none"/>
          <w:u w:val="single" w:color="000000"/>
        </w:rPr>
        <w:t>                       </w:t>
      </w:r>
      <w:r>
        <w:rPr>
          <w:rFonts w:hint="eastAsia" w:ascii="宋体" w:hAnsi="宋体" w:eastAsia="宋体" w:cs="宋体"/>
          <w:b w:val="0"/>
          <w:i w:val="0"/>
          <w:caps w:val="0"/>
          <w:color w:val="auto"/>
          <w:spacing w:val="0"/>
          <w:w w:val="100"/>
          <w:sz w:val="21"/>
          <w:szCs w:val="21"/>
          <w:highlight w:val="none"/>
        </w:rPr>
        <w:t>；</w:t>
      </w:r>
    </w:p>
    <w:p w14:paraId="3968E8DC">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建造师注册证书号：</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1885CB6B">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建造师执业印章号：</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5F900472">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安全生产考核合格证书号：</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7D5D7ECB">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联系电话：</w:t>
      </w:r>
      <w:r>
        <w:rPr>
          <w:rFonts w:hint="eastAsia" w:ascii="宋体" w:hAnsi="宋体" w:eastAsia="宋体" w:cs="宋体"/>
          <w:b w:val="0"/>
          <w:i w:val="0"/>
          <w:caps w:val="0"/>
          <w:color w:val="auto"/>
          <w:spacing w:val="0"/>
          <w:w w:val="100"/>
          <w:sz w:val="21"/>
          <w:szCs w:val="21"/>
          <w:highlight w:val="none"/>
          <w:u w:val="single" w:color="000000"/>
        </w:rPr>
        <w:t>                          </w:t>
      </w:r>
      <w:r>
        <w:rPr>
          <w:rFonts w:hint="eastAsia" w:ascii="宋体" w:hAnsi="宋体" w:eastAsia="宋体" w:cs="宋体"/>
          <w:b w:val="0"/>
          <w:i w:val="0"/>
          <w:caps w:val="0"/>
          <w:color w:val="auto"/>
          <w:spacing w:val="0"/>
          <w:w w:val="100"/>
          <w:sz w:val="21"/>
          <w:szCs w:val="21"/>
          <w:highlight w:val="none"/>
        </w:rPr>
        <w:t>；</w:t>
      </w:r>
    </w:p>
    <w:p w14:paraId="46088DD8">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电子信箱：</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224F39CC">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通信地址：</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4136084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承包人对项目经理的授权范围如下：</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17B685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关于项目经理每月在施工现场的时间要求：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B572970">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承包人未提交劳动合同，以及没有为项目经理缴纳社会保险证明的违约责任：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BD65F9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kern w:val="0"/>
          <w:sz w:val="21"/>
          <w:szCs w:val="21"/>
          <w:highlight w:val="none"/>
        </w:rPr>
        <w:t>项目经理未经批准，擅自离开施工现场的违约责任：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1CC9C9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3.2.3 承包人擅自更换项目经理的违约责任：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77A681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3.2.4 承包人无正当理由拒绝更换项目经理的违约责任：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6F3B65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3.3 承包人人员</w:t>
      </w:r>
    </w:p>
    <w:p w14:paraId="0ECD0D6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3.3.1 承包人提交项目管理机构及施工现场管理人员安排报告的期限：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DD16B3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3.3.3 承包人无正当理由拒绝撤换主要施工管理人员的违约责任：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7268BC1">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sz w:val="21"/>
          <w:szCs w:val="21"/>
          <w:highlight w:val="none"/>
        </w:rPr>
        <w:t>3.3.4 承包人主要施工管理人员离开施工现场的批准要求：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34E07E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3.3.5承包人擅自更换主要施工管理人员的违约责任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9EAC5C1">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承包人主要施工管理人员擅自离开施工现场的违约责任：</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68FD0ED">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3.</w:t>
      </w:r>
      <w:r>
        <w:rPr>
          <w:rFonts w:hint="eastAsia" w:ascii="宋体" w:hAnsi="宋体" w:eastAsia="宋体" w:cs="宋体"/>
          <w:b/>
          <w:i w:val="0"/>
          <w:caps w:val="0"/>
          <w:color w:val="auto"/>
          <w:spacing w:val="0"/>
          <w:w w:val="100"/>
          <w:sz w:val="24"/>
          <w:highlight w:val="none"/>
          <w:lang w:val="en-US" w:eastAsia="zh-CN"/>
        </w:rPr>
        <w:t>4</w:t>
      </w:r>
      <w:r>
        <w:rPr>
          <w:rFonts w:hint="eastAsia" w:ascii="宋体" w:hAnsi="宋体" w:eastAsia="宋体" w:cs="宋体"/>
          <w:b/>
          <w:i w:val="0"/>
          <w:caps w:val="0"/>
          <w:color w:val="auto"/>
          <w:spacing w:val="0"/>
          <w:w w:val="100"/>
          <w:sz w:val="24"/>
          <w:highlight w:val="none"/>
        </w:rPr>
        <w:t xml:space="preserve"> 分包</w:t>
      </w:r>
    </w:p>
    <w:p w14:paraId="5640CAAD">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w:t>
      </w:r>
      <w:r>
        <w:rPr>
          <w:rFonts w:hint="eastAsia" w:ascii="宋体" w:hAnsi="宋体" w:cs="宋体"/>
          <w:b w:val="0"/>
          <w:i w:val="0"/>
          <w:caps w:val="0"/>
          <w:color w:val="auto"/>
          <w:spacing w:val="0"/>
          <w:w w:val="100"/>
          <w:sz w:val="21"/>
          <w:szCs w:val="21"/>
          <w:highlight w:val="none"/>
          <w:lang w:val="en-US" w:eastAsia="zh-CN"/>
        </w:rPr>
        <w:t>4</w:t>
      </w:r>
      <w:r>
        <w:rPr>
          <w:rFonts w:hint="eastAsia" w:ascii="宋体" w:hAnsi="宋体" w:eastAsia="宋体" w:cs="宋体"/>
          <w:b w:val="0"/>
          <w:i w:val="0"/>
          <w:caps w:val="0"/>
          <w:color w:val="auto"/>
          <w:spacing w:val="0"/>
          <w:w w:val="100"/>
          <w:sz w:val="21"/>
          <w:szCs w:val="21"/>
          <w:highlight w:val="none"/>
        </w:rPr>
        <w:t>.1 分包的一般约定</w:t>
      </w:r>
    </w:p>
    <w:p w14:paraId="2CAAD08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禁止分包的工程包括：</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3F84649">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sz w:val="21"/>
          <w:szCs w:val="21"/>
          <w:highlight w:val="none"/>
        </w:rPr>
        <w:t>主体结构、关键性工作的范围：</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EDF510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 xml:space="preserve">    3.</w:t>
      </w:r>
      <w:r>
        <w:rPr>
          <w:rFonts w:hint="eastAsia" w:ascii="宋体" w:hAnsi="宋体" w:cs="宋体"/>
          <w:b w:val="0"/>
          <w:i w:val="0"/>
          <w:caps w:val="0"/>
          <w:color w:val="auto"/>
          <w:spacing w:val="0"/>
          <w:w w:val="100"/>
          <w:sz w:val="21"/>
          <w:szCs w:val="21"/>
          <w:highlight w:val="none"/>
          <w:lang w:val="en-US" w:eastAsia="zh-CN"/>
        </w:rPr>
        <w:t>4</w:t>
      </w:r>
      <w:r>
        <w:rPr>
          <w:rFonts w:hint="eastAsia" w:ascii="宋体" w:hAnsi="宋体" w:eastAsia="宋体" w:cs="宋体"/>
          <w:b w:val="0"/>
          <w:i w:val="0"/>
          <w:caps w:val="0"/>
          <w:color w:val="auto"/>
          <w:spacing w:val="0"/>
          <w:w w:val="100"/>
          <w:sz w:val="21"/>
          <w:szCs w:val="21"/>
          <w:highlight w:val="none"/>
        </w:rPr>
        <w:t>.2分包的确定</w:t>
      </w:r>
    </w:p>
    <w:p w14:paraId="2322C778">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sz w:val="21"/>
          <w:szCs w:val="21"/>
          <w:highlight w:val="none"/>
        </w:rPr>
        <w:t>允许分包的专业工程包括：</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54BE4D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其他关于分包的约定：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EB5C388">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w:t>
      </w:r>
      <w:r>
        <w:rPr>
          <w:rFonts w:hint="eastAsia" w:ascii="宋体" w:hAnsi="宋体" w:cs="宋体"/>
          <w:b w:val="0"/>
          <w:i w:val="0"/>
          <w:caps w:val="0"/>
          <w:color w:val="auto"/>
          <w:spacing w:val="0"/>
          <w:w w:val="100"/>
          <w:sz w:val="21"/>
          <w:szCs w:val="21"/>
          <w:highlight w:val="none"/>
          <w:lang w:val="en-US" w:eastAsia="zh-CN"/>
        </w:rPr>
        <w:t>4</w:t>
      </w:r>
      <w:r>
        <w:rPr>
          <w:rFonts w:hint="eastAsia" w:ascii="宋体" w:hAnsi="宋体" w:eastAsia="宋体" w:cs="宋体"/>
          <w:b w:val="0"/>
          <w:i w:val="0"/>
          <w:caps w:val="0"/>
          <w:color w:val="auto"/>
          <w:spacing w:val="0"/>
          <w:w w:val="100"/>
          <w:sz w:val="21"/>
          <w:szCs w:val="21"/>
          <w:highlight w:val="none"/>
        </w:rPr>
        <w:t>.4 分包合同价款</w:t>
      </w:r>
    </w:p>
    <w:p w14:paraId="21E07FB4">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关于分包合同价款支付的约定：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BB58B05">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3.</w:t>
      </w:r>
      <w:r>
        <w:rPr>
          <w:rFonts w:hint="eastAsia" w:ascii="宋体" w:hAnsi="宋体" w:eastAsia="宋体" w:cs="宋体"/>
          <w:b/>
          <w:i w:val="0"/>
          <w:caps w:val="0"/>
          <w:color w:val="auto"/>
          <w:spacing w:val="0"/>
          <w:w w:val="100"/>
          <w:sz w:val="24"/>
          <w:highlight w:val="none"/>
          <w:lang w:val="en-US" w:eastAsia="zh-CN"/>
        </w:rPr>
        <w:t>5</w:t>
      </w:r>
      <w:r>
        <w:rPr>
          <w:rFonts w:hint="eastAsia" w:ascii="宋体" w:hAnsi="宋体" w:eastAsia="宋体" w:cs="宋体"/>
          <w:b/>
          <w:i w:val="0"/>
          <w:caps w:val="0"/>
          <w:color w:val="auto"/>
          <w:spacing w:val="0"/>
          <w:w w:val="100"/>
          <w:sz w:val="24"/>
          <w:highlight w:val="none"/>
        </w:rPr>
        <w:t xml:space="preserve"> 工程照管与成品、半成品保护</w:t>
      </w:r>
    </w:p>
    <w:p w14:paraId="0A3A2F7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承包人负责照管工程及工程相关的材料、工程设备的起始时间：</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 xml:space="preserve"> 。</w:t>
      </w:r>
    </w:p>
    <w:p w14:paraId="3EC51005">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3.</w:t>
      </w:r>
      <w:r>
        <w:rPr>
          <w:rFonts w:hint="eastAsia" w:ascii="宋体" w:hAnsi="宋体" w:eastAsia="宋体" w:cs="宋体"/>
          <w:b/>
          <w:i w:val="0"/>
          <w:caps w:val="0"/>
          <w:color w:val="auto"/>
          <w:spacing w:val="0"/>
          <w:w w:val="100"/>
          <w:sz w:val="24"/>
          <w:highlight w:val="none"/>
          <w:lang w:val="en-US" w:eastAsia="zh-CN"/>
        </w:rPr>
        <w:t>6</w:t>
      </w:r>
      <w:r>
        <w:rPr>
          <w:rFonts w:hint="eastAsia" w:ascii="宋体" w:hAnsi="宋体" w:eastAsia="宋体" w:cs="宋体"/>
          <w:b/>
          <w:i w:val="0"/>
          <w:caps w:val="0"/>
          <w:color w:val="auto"/>
          <w:spacing w:val="0"/>
          <w:w w:val="100"/>
          <w:sz w:val="24"/>
          <w:highlight w:val="none"/>
        </w:rPr>
        <w:t xml:space="preserve"> 履约担保</w:t>
      </w:r>
    </w:p>
    <w:p w14:paraId="4645F08B">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承包人是否提供履约担保：</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00C680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承包人提供履约担保的形式、金额及期限的：</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D9240D9">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18" w:name="_Toc10452"/>
      <w:bookmarkStart w:id="719" w:name="_Toc6580"/>
      <w:bookmarkStart w:id="720" w:name="_Toc26965"/>
      <w:bookmarkStart w:id="721" w:name="_Toc19208"/>
      <w:bookmarkStart w:id="722" w:name="_Toc256000100"/>
      <w:bookmarkStart w:id="723" w:name="_Toc505871384"/>
      <w:r>
        <w:rPr>
          <w:rFonts w:hint="eastAsia" w:ascii="宋体" w:hAnsi="宋体" w:eastAsia="宋体" w:cs="宋体"/>
          <w:b/>
          <w:i w:val="0"/>
          <w:caps w:val="0"/>
          <w:color w:val="auto"/>
          <w:spacing w:val="0"/>
          <w:w w:val="100"/>
          <w:sz w:val="32"/>
          <w:highlight w:val="none"/>
        </w:rPr>
        <w:t>4. 监理人</w:t>
      </w:r>
      <w:bookmarkEnd w:id="718"/>
      <w:bookmarkEnd w:id="719"/>
      <w:bookmarkEnd w:id="720"/>
      <w:bookmarkEnd w:id="721"/>
      <w:bookmarkEnd w:id="722"/>
      <w:bookmarkEnd w:id="723"/>
    </w:p>
    <w:p w14:paraId="1237971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4.1监理人的一般规定</w:t>
      </w:r>
    </w:p>
    <w:p w14:paraId="536F549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关于监理人的监理内容：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EC9125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关于监理人的监理权限：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 xml:space="preserve">。 </w:t>
      </w:r>
    </w:p>
    <w:p w14:paraId="197AA4D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关于监理人在施工现场的办公场所、生活场所的提供和费用承担的约定：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E22195A">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4.2 监理人员</w:t>
      </w:r>
    </w:p>
    <w:p w14:paraId="1F3DC996">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总监理工程师：</w:t>
      </w:r>
    </w:p>
    <w:p w14:paraId="3B04DC9F">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姓    名：</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77C04715">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职    务：</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7F71E2C7">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监理工程师执业资格证书号：</w:t>
      </w:r>
      <w:r>
        <w:rPr>
          <w:rFonts w:hint="eastAsia" w:ascii="宋体" w:hAnsi="宋体" w:eastAsia="宋体" w:cs="宋体"/>
          <w:b w:val="0"/>
          <w:i w:val="0"/>
          <w:caps w:val="0"/>
          <w:color w:val="auto"/>
          <w:spacing w:val="0"/>
          <w:w w:val="100"/>
          <w:sz w:val="21"/>
          <w:szCs w:val="21"/>
          <w:highlight w:val="none"/>
          <w:u w:val="single" w:color="000000"/>
        </w:rPr>
        <w:t> </w:t>
      </w:r>
      <w:r>
        <w:rPr>
          <w:rFonts w:hint="eastAsia" w:ascii="宋体" w:hAnsi="宋体" w:eastAsia="宋体" w:cs="宋体"/>
          <w:b w:val="0"/>
          <w:i w:val="0"/>
          <w:caps w:val="0"/>
          <w:color w:val="auto"/>
          <w:spacing w:val="0"/>
          <w:w w:val="100"/>
          <w:sz w:val="21"/>
          <w:szCs w:val="21"/>
          <w:highlight w:val="none"/>
        </w:rPr>
        <w:t>；</w:t>
      </w:r>
    </w:p>
    <w:p w14:paraId="097C327E">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联系电话：</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42E86B60">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电子信箱：</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7DFF9D61">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通信地址：</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178BF5CB">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关于监理人的其他约定：</w:t>
      </w:r>
      <w:r>
        <w:rPr>
          <w:rFonts w:hint="eastAsia" w:ascii="宋体" w:hAnsi="宋体" w:eastAsia="宋体" w:cs="宋体"/>
          <w:b w:val="0"/>
          <w:i w:val="0"/>
          <w:caps w:val="0"/>
          <w:color w:val="auto"/>
          <w:spacing w:val="0"/>
          <w:w w:val="100"/>
          <w:sz w:val="21"/>
          <w:szCs w:val="21"/>
          <w:highlight w:val="none"/>
          <w:u w:val="single" w:color="000000"/>
        </w:rPr>
        <w:t>   </w:t>
      </w:r>
      <w:r>
        <w:rPr>
          <w:rFonts w:hint="eastAsia" w:ascii="宋体" w:hAnsi="宋体" w:eastAsia="宋体" w:cs="宋体"/>
          <w:b w:val="0"/>
          <w:i w:val="0"/>
          <w:caps w:val="0"/>
          <w:color w:val="auto"/>
          <w:spacing w:val="0"/>
          <w:w w:val="100"/>
          <w:sz w:val="21"/>
          <w:szCs w:val="21"/>
          <w:highlight w:val="none"/>
        </w:rPr>
        <w:t>。</w:t>
      </w:r>
    </w:p>
    <w:p w14:paraId="69D5BD19">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4.</w:t>
      </w:r>
      <w:r>
        <w:rPr>
          <w:rFonts w:hint="eastAsia" w:ascii="宋体" w:hAnsi="宋体" w:eastAsia="宋体" w:cs="宋体"/>
          <w:b/>
          <w:i w:val="0"/>
          <w:caps w:val="0"/>
          <w:color w:val="auto"/>
          <w:spacing w:val="0"/>
          <w:w w:val="100"/>
          <w:sz w:val="24"/>
          <w:highlight w:val="none"/>
          <w:lang w:val="en-US" w:eastAsia="zh-CN"/>
        </w:rPr>
        <w:t>3</w:t>
      </w:r>
      <w:r>
        <w:rPr>
          <w:rFonts w:hint="eastAsia" w:ascii="宋体" w:hAnsi="宋体" w:eastAsia="宋体" w:cs="宋体"/>
          <w:b/>
          <w:i w:val="0"/>
          <w:caps w:val="0"/>
          <w:color w:val="auto"/>
          <w:spacing w:val="0"/>
          <w:w w:val="100"/>
          <w:sz w:val="24"/>
          <w:highlight w:val="none"/>
        </w:rPr>
        <w:t xml:space="preserve"> 商定或确定</w:t>
      </w:r>
    </w:p>
    <w:p w14:paraId="2586EF28">
      <w:pPr>
        <w:pStyle w:val="48"/>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在发包人和承包人不能通过协商达成一致意见时，发包人授权监理人对以下事项进行确定：</w:t>
      </w:r>
    </w:p>
    <w:p w14:paraId="3D6AAA65">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5B4DE9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（2）</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2AFC1BC">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（3）</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CD665A7">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24" w:name="_Toc18006"/>
      <w:bookmarkStart w:id="725" w:name="_Toc32609"/>
      <w:bookmarkStart w:id="726" w:name="_Toc505871385"/>
      <w:bookmarkStart w:id="727" w:name="_Toc24782"/>
      <w:bookmarkStart w:id="728" w:name="_Toc256000101"/>
      <w:bookmarkStart w:id="729" w:name="_Toc26681"/>
      <w:r>
        <w:rPr>
          <w:rFonts w:hint="eastAsia" w:ascii="宋体" w:hAnsi="宋体" w:eastAsia="宋体" w:cs="宋体"/>
          <w:b/>
          <w:i w:val="0"/>
          <w:caps w:val="0"/>
          <w:color w:val="auto"/>
          <w:spacing w:val="0"/>
          <w:w w:val="100"/>
          <w:sz w:val="32"/>
          <w:highlight w:val="none"/>
        </w:rPr>
        <w:t>5. 工程质量</w:t>
      </w:r>
      <w:bookmarkEnd w:id="724"/>
      <w:bookmarkEnd w:id="725"/>
      <w:bookmarkEnd w:id="726"/>
      <w:bookmarkEnd w:id="727"/>
      <w:bookmarkEnd w:id="728"/>
      <w:bookmarkEnd w:id="729"/>
    </w:p>
    <w:p w14:paraId="654F628C">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5.1 质量要求</w:t>
      </w:r>
    </w:p>
    <w:p w14:paraId="5AA6BE24">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5.1.1 特殊质量标准和要求：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C51C7A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关于工程奖项的约定：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174CF3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5.</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隐蔽工程检查</w:t>
      </w:r>
    </w:p>
    <w:p w14:paraId="7CF26C14">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5.</w:t>
      </w:r>
      <w:r>
        <w:rPr>
          <w:rFonts w:hint="eastAsia" w:ascii="宋体" w:hAnsi="宋体" w:cs="宋体"/>
          <w:b w:val="0"/>
          <w:i w:val="0"/>
          <w:caps w:val="0"/>
          <w:color w:val="auto"/>
          <w:spacing w:val="0"/>
          <w:w w:val="100"/>
          <w:sz w:val="21"/>
          <w:szCs w:val="21"/>
          <w:highlight w:val="none"/>
          <w:lang w:val="en-US" w:eastAsia="zh-CN"/>
        </w:rPr>
        <w:t>2</w:t>
      </w:r>
      <w:r>
        <w:rPr>
          <w:rFonts w:hint="eastAsia" w:ascii="宋体" w:hAnsi="宋体" w:eastAsia="宋体" w:cs="宋体"/>
          <w:b w:val="0"/>
          <w:i w:val="0"/>
          <w:caps w:val="0"/>
          <w:color w:val="auto"/>
          <w:spacing w:val="0"/>
          <w:w w:val="100"/>
          <w:sz w:val="21"/>
          <w:szCs w:val="21"/>
          <w:highlight w:val="none"/>
        </w:rPr>
        <w:t>.2承包人提前通知监理人隐蔽工程检查的期限的约定 ：</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1BE47B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监理人不能按时进行检查时，应提前</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小时提交书面延期要求。</w:t>
      </w:r>
    </w:p>
    <w:p w14:paraId="2072806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关于延期最长不得超过：</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小时。</w:t>
      </w:r>
    </w:p>
    <w:p w14:paraId="2C0ED915">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30" w:name="_Toc6801"/>
      <w:r>
        <w:rPr>
          <w:rFonts w:hint="eastAsia" w:ascii="宋体" w:hAnsi="宋体" w:eastAsia="宋体" w:cs="宋体"/>
          <w:b/>
          <w:i w:val="0"/>
          <w:caps w:val="0"/>
          <w:color w:val="auto"/>
          <w:spacing w:val="0"/>
          <w:w w:val="100"/>
          <w:sz w:val="32"/>
          <w:highlight w:val="none"/>
        </w:rPr>
        <w:t>6. 安全文明施工与环境保护</w:t>
      </w:r>
      <w:bookmarkEnd w:id="730"/>
    </w:p>
    <w:p w14:paraId="045DEFAF">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6.1安全文明施工</w:t>
      </w:r>
    </w:p>
    <w:p w14:paraId="75E6662F">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6.1.1 项目安全生产的达标目标及相应事项的约定：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919343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6.1.</w:t>
      </w:r>
      <w:r>
        <w:rPr>
          <w:rFonts w:hint="eastAsia" w:ascii="宋体" w:hAnsi="宋体" w:cs="宋体"/>
          <w:b w:val="0"/>
          <w:i w:val="0"/>
          <w:caps w:val="0"/>
          <w:color w:val="auto"/>
          <w:spacing w:val="0"/>
          <w:w w:val="100"/>
          <w:sz w:val="21"/>
          <w:szCs w:val="21"/>
          <w:highlight w:val="none"/>
          <w:lang w:val="en-US" w:eastAsia="zh-CN"/>
        </w:rPr>
        <w:t>2</w:t>
      </w:r>
      <w:r>
        <w:rPr>
          <w:rFonts w:hint="eastAsia" w:ascii="宋体" w:hAnsi="宋体" w:eastAsia="宋体" w:cs="宋体"/>
          <w:b w:val="0"/>
          <w:i w:val="0"/>
          <w:caps w:val="0"/>
          <w:color w:val="auto"/>
          <w:spacing w:val="0"/>
          <w:w w:val="100"/>
          <w:sz w:val="21"/>
          <w:szCs w:val="21"/>
          <w:highlight w:val="none"/>
        </w:rPr>
        <w:t xml:space="preserve"> 关于治安保卫的特别约定：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D6CA079">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关于编制施工场地治安管理计划的约定：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A5E43ED">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6.1.</w:t>
      </w:r>
      <w:r>
        <w:rPr>
          <w:rFonts w:hint="eastAsia" w:ascii="宋体" w:hAnsi="宋体" w:cs="宋体"/>
          <w:b w:val="0"/>
          <w:i w:val="0"/>
          <w:caps w:val="0"/>
          <w:color w:val="auto"/>
          <w:spacing w:val="0"/>
          <w:w w:val="100"/>
          <w:sz w:val="21"/>
          <w:szCs w:val="21"/>
          <w:highlight w:val="none"/>
          <w:lang w:val="en-US" w:eastAsia="zh-CN"/>
        </w:rPr>
        <w:t>3</w:t>
      </w:r>
      <w:r>
        <w:rPr>
          <w:rFonts w:hint="eastAsia" w:ascii="宋体" w:hAnsi="宋体" w:eastAsia="宋体" w:cs="宋体"/>
          <w:b w:val="0"/>
          <w:i w:val="0"/>
          <w:caps w:val="0"/>
          <w:color w:val="auto"/>
          <w:spacing w:val="0"/>
          <w:w w:val="100"/>
          <w:sz w:val="21"/>
          <w:szCs w:val="21"/>
          <w:highlight w:val="none"/>
        </w:rPr>
        <w:t xml:space="preserve"> 文明施工</w:t>
      </w:r>
    </w:p>
    <w:p w14:paraId="713CE4C9">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合同当事人对文明施工的要求：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CBC2CD0">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6.1.</w:t>
      </w:r>
      <w:r>
        <w:rPr>
          <w:rFonts w:hint="eastAsia" w:ascii="宋体" w:hAnsi="宋体" w:cs="宋体"/>
          <w:b w:val="0"/>
          <w:i w:val="0"/>
          <w:caps w:val="0"/>
          <w:color w:val="auto"/>
          <w:spacing w:val="0"/>
          <w:w w:val="100"/>
          <w:sz w:val="21"/>
          <w:szCs w:val="21"/>
          <w:highlight w:val="none"/>
          <w:lang w:val="en-US" w:eastAsia="zh-CN"/>
        </w:rPr>
        <w:t>4</w:t>
      </w:r>
      <w:r>
        <w:rPr>
          <w:rFonts w:hint="eastAsia" w:ascii="宋体" w:hAnsi="宋体" w:eastAsia="宋体" w:cs="宋体"/>
          <w:b w:val="0"/>
          <w:i w:val="0"/>
          <w:caps w:val="0"/>
          <w:color w:val="auto"/>
          <w:spacing w:val="0"/>
          <w:w w:val="100"/>
          <w:sz w:val="21"/>
          <w:szCs w:val="21"/>
          <w:highlight w:val="none"/>
        </w:rPr>
        <w:t xml:space="preserve"> 关于安全文明施工费支付比例和支付期限的约定：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EA65494">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31" w:name="_Toc8048"/>
      <w:bookmarkStart w:id="732" w:name="_Toc22059"/>
      <w:bookmarkStart w:id="733" w:name="_Toc10138"/>
      <w:bookmarkStart w:id="734" w:name="_Toc256000102"/>
      <w:bookmarkStart w:id="735" w:name="_Toc4969"/>
      <w:bookmarkStart w:id="736" w:name="_Toc505871386"/>
      <w:r>
        <w:rPr>
          <w:rFonts w:hint="eastAsia" w:ascii="宋体" w:hAnsi="宋体" w:eastAsia="宋体" w:cs="宋体"/>
          <w:b/>
          <w:i w:val="0"/>
          <w:caps w:val="0"/>
          <w:color w:val="auto"/>
          <w:spacing w:val="0"/>
          <w:w w:val="100"/>
          <w:sz w:val="32"/>
          <w:highlight w:val="none"/>
        </w:rPr>
        <w:t>7. 工期和进度</w:t>
      </w:r>
      <w:bookmarkEnd w:id="731"/>
      <w:bookmarkEnd w:id="732"/>
      <w:bookmarkEnd w:id="733"/>
      <w:bookmarkEnd w:id="734"/>
      <w:bookmarkEnd w:id="735"/>
      <w:bookmarkEnd w:id="736"/>
    </w:p>
    <w:p w14:paraId="246F9AF4">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7.1 施工组织设计</w:t>
      </w:r>
    </w:p>
    <w:p w14:paraId="586EAD5C">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sz w:val="21"/>
          <w:szCs w:val="21"/>
          <w:highlight w:val="none"/>
        </w:rPr>
        <w:t>7.1.1 合</w:t>
      </w:r>
      <w:r>
        <w:rPr>
          <w:rFonts w:hint="eastAsia" w:ascii="宋体" w:hAnsi="宋体" w:eastAsia="宋体" w:cs="宋体"/>
          <w:b w:val="0"/>
          <w:i w:val="0"/>
          <w:caps w:val="0"/>
          <w:color w:val="auto"/>
          <w:spacing w:val="0"/>
          <w:w w:val="100"/>
          <w:kern w:val="0"/>
          <w:sz w:val="21"/>
          <w:szCs w:val="21"/>
          <w:highlight w:val="none"/>
        </w:rPr>
        <w:t>同当事人约定的施工组织设计应包括的其他内容：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0FA825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sz w:val="21"/>
          <w:szCs w:val="21"/>
          <w:highlight w:val="none"/>
        </w:rPr>
        <w:t xml:space="preserve">7.1.2 </w:t>
      </w:r>
      <w:r>
        <w:rPr>
          <w:rFonts w:hint="eastAsia" w:ascii="宋体" w:hAnsi="宋体" w:eastAsia="宋体" w:cs="宋体"/>
          <w:b w:val="0"/>
          <w:i w:val="0"/>
          <w:caps w:val="0"/>
          <w:color w:val="auto"/>
          <w:spacing w:val="0"/>
          <w:w w:val="100"/>
          <w:kern w:val="0"/>
          <w:sz w:val="21"/>
          <w:szCs w:val="21"/>
          <w:highlight w:val="none"/>
        </w:rPr>
        <w:t>施工组织设计的提交和修改</w:t>
      </w:r>
    </w:p>
    <w:p w14:paraId="409BFC88">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承包人提交详细施工组织设计的期限的约定：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F06667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发包人和监理人在收到详细的施工组织设计后确认或提出修改意见的期限：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947D12C">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7.2 施工进度计划</w:t>
      </w:r>
    </w:p>
    <w:p w14:paraId="18EFFB3C">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7.2.2 施工进度计划的修订</w:t>
      </w:r>
    </w:p>
    <w:p w14:paraId="0F4ECDE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发包人和监理人在收到修订的施工进度计划后确认或提出修改意见的期限：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10AB91F">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7.3 开工</w:t>
      </w:r>
    </w:p>
    <w:p w14:paraId="12EE2EE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7.3.1 开工准备</w:t>
      </w:r>
    </w:p>
    <w:p w14:paraId="5BD3E19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u w:val="single"/>
        </w:rPr>
      </w:pPr>
      <w:r>
        <w:rPr>
          <w:rFonts w:hint="eastAsia" w:ascii="宋体" w:hAnsi="宋体" w:eastAsia="宋体" w:cs="宋体"/>
          <w:b w:val="0"/>
          <w:i w:val="0"/>
          <w:caps w:val="0"/>
          <w:color w:val="auto"/>
          <w:spacing w:val="0"/>
          <w:w w:val="100"/>
          <w:sz w:val="21"/>
          <w:szCs w:val="21"/>
          <w:highlight w:val="none"/>
        </w:rPr>
        <w:t>关于承包人提交</w:t>
      </w:r>
      <w:r>
        <w:rPr>
          <w:rFonts w:hint="eastAsia" w:ascii="宋体" w:hAnsi="宋体" w:eastAsia="宋体" w:cs="宋体"/>
          <w:b w:val="0"/>
          <w:i w:val="0"/>
          <w:caps w:val="0"/>
          <w:color w:val="auto"/>
          <w:spacing w:val="0"/>
          <w:w w:val="100"/>
          <w:kern w:val="0"/>
          <w:sz w:val="21"/>
          <w:szCs w:val="21"/>
          <w:highlight w:val="none"/>
        </w:rPr>
        <w:t>工程开工报审表的期限：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0EB415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关于发包人应完成的其他开工准备工作及期限：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80A6B67">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关于承包人应完成的其他开工准备工作及期限：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2B42090">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7.3.2开工通知</w:t>
      </w:r>
    </w:p>
    <w:p w14:paraId="7D0257B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因发包人原因造成监理人未能在计划开工日期之日起</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天内发出开工通知的，承包人有权提出价格调整要求，或者解除合同。</w:t>
      </w:r>
    </w:p>
    <w:p w14:paraId="45191288">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7.4 测量放线</w:t>
      </w:r>
    </w:p>
    <w:p w14:paraId="41BED7E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u w:val="single"/>
        </w:rPr>
      </w:pPr>
      <w:r>
        <w:rPr>
          <w:rFonts w:hint="eastAsia" w:ascii="宋体" w:hAnsi="宋体" w:eastAsia="宋体" w:cs="宋体"/>
          <w:b w:val="0"/>
          <w:i w:val="0"/>
          <w:caps w:val="0"/>
          <w:color w:val="auto"/>
          <w:spacing w:val="0"/>
          <w:w w:val="100"/>
          <w:sz w:val="21"/>
          <w:szCs w:val="21"/>
          <w:highlight w:val="none"/>
        </w:rPr>
        <w:t>7.4.1发包人通过监理人向承包人提供测量基准点、基准线和水准点及其书面资料的期限：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922B6D9">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7.5 工期延误</w:t>
      </w:r>
    </w:p>
    <w:p w14:paraId="6B77A92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7.5.1 因发包人原因导致工期延误</w:t>
      </w:r>
    </w:p>
    <w:p w14:paraId="46460CC6">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（7）因发包人原因导致工期延误的其他情形：</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5BE400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7.5.2 因承包人原因导致工期延误</w:t>
      </w:r>
    </w:p>
    <w:p w14:paraId="1E632881">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因承包人原因造成工期延误，逾期竣工违约金的计算方法为：</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309401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因承包人原因造成工期延误，逾期竣工违约金的上限：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A856DC1">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7.6 不利物质条件</w:t>
      </w:r>
    </w:p>
    <w:p w14:paraId="1537299A">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不利物质条件的其他情形和有关约定：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4743E42">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7.7异常恶劣的气候条件</w:t>
      </w:r>
    </w:p>
    <w:p w14:paraId="178E7DF1">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发包人和承包人同意以下情形视为异常恶劣的气候条件：</w:t>
      </w:r>
    </w:p>
    <w:p w14:paraId="5F03C1A5">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D419E3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F20CA3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EECE6FC">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7.</w:t>
      </w:r>
      <w:r>
        <w:rPr>
          <w:rFonts w:hint="eastAsia" w:ascii="宋体" w:hAnsi="宋体" w:eastAsia="宋体" w:cs="宋体"/>
          <w:b/>
          <w:i w:val="0"/>
          <w:caps w:val="0"/>
          <w:color w:val="auto"/>
          <w:spacing w:val="0"/>
          <w:w w:val="100"/>
          <w:sz w:val="24"/>
          <w:highlight w:val="none"/>
          <w:lang w:val="en-US" w:eastAsia="zh-CN"/>
        </w:rPr>
        <w:t>8</w:t>
      </w:r>
      <w:r>
        <w:rPr>
          <w:rFonts w:hint="eastAsia" w:ascii="宋体" w:hAnsi="宋体" w:eastAsia="宋体" w:cs="宋体"/>
          <w:b/>
          <w:i w:val="0"/>
          <w:caps w:val="0"/>
          <w:color w:val="auto"/>
          <w:spacing w:val="0"/>
          <w:w w:val="100"/>
          <w:sz w:val="24"/>
          <w:highlight w:val="none"/>
        </w:rPr>
        <w:t xml:space="preserve"> 提前竣工的奖励</w:t>
      </w:r>
    </w:p>
    <w:p w14:paraId="0DE53A8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7.</w:t>
      </w:r>
      <w:r>
        <w:rPr>
          <w:rFonts w:hint="eastAsia" w:ascii="宋体" w:hAnsi="宋体" w:cs="宋体"/>
          <w:b w:val="0"/>
          <w:i w:val="0"/>
          <w:caps w:val="0"/>
          <w:color w:val="auto"/>
          <w:spacing w:val="0"/>
          <w:w w:val="100"/>
          <w:sz w:val="21"/>
          <w:szCs w:val="21"/>
          <w:highlight w:val="none"/>
          <w:lang w:val="en-US" w:eastAsia="zh-CN"/>
        </w:rPr>
        <w:t>8</w:t>
      </w:r>
      <w:r>
        <w:rPr>
          <w:rFonts w:hint="eastAsia" w:ascii="宋体" w:hAnsi="宋体" w:eastAsia="宋体" w:cs="宋体"/>
          <w:b w:val="0"/>
          <w:i w:val="0"/>
          <w:caps w:val="0"/>
          <w:color w:val="auto"/>
          <w:spacing w:val="0"/>
          <w:w w:val="100"/>
          <w:sz w:val="21"/>
          <w:szCs w:val="21"/>
          <w:highlight w:val="none"/>
        </w:rPr>
        <w:t>.2提前竣工的奖励：</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CCC49EE">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37" w:name="_Toc31221"/>
      <w:bookmarkStart w:id="738" w:name="_Toc256000103"/>
      <w:bookmarkStart w:id="739" w:name="_Toc505871387"/>
      <w:bookmarkStart w:id="740" w:name="_Toc11228"/>
      <w:bookmarkStart w:id="741" w:name="_Toc26623"/>
      <w:bookmarkStart w:id="742" w:name="_Toc26222"/>
      <w:r>
        <w:rPr>
          <w:rFonts w:hint="eastAsia" w:ascii="宋体" w:hAnsi="宋体" w:eastAsia="宋体" w:cs="宋体"/>
          <w:b/>
          <w:i w:val="0"/>
          <w:caps w:val="0"/>
          <w:color w:val="auto"/>
          <w:spacing w:val="0"/>
          <w:w w:val="100"/>
          <w:sz w:val="32"/>
          <w:highlight w:val="none"/>
        </w:rPr>
        <w:t>8. 材料与设备</w:t>
      </w:r>
      <w:bookmarkEnd w:id="737"/>
      <w:bookmarkEnd w:id="738"/>
      <w:bookmarkEnd w:id="739"/>
      <w:bookmarkEnd w:id="740"/>
      <w:bookmarkEnd w:id="741"/>
      <w:bookmarkEnd w:id="742"/>
    </w:p>
    <w:p w14:paraId="31DB3B08">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8.</w:t>
      </w:r>
      <w:r>
        <w:rPr>
          <w:rFonts w:hint="eastAsia" w:ascii="宋体" w:hAnsi="宋体" w:eastAsia="宋体" w:cs="宋体"/>
          <w:b/>
          <w:i w:val="0"/>
          <w:caps w:val="0"/>
          <w:color w:val="auto"/>
          <w:spacing w:val="0"/>
          <w:w w:val="100"/>
          <w:sz w:val="24"/>
          <w:highlight w:val="none"/>
          <w:lang w:val="en-US" w:eastAsia="zh-CN"/>
        </w:rPr>
        <w:t>1</w:t>
      </w:r>
      <w:r>
        <w:rPr>
          <w:rFonts w:hint="eastAsia" w:ascii="宋体" w:hAnsi="宋体" w:eastAsia="宋体" w:cs="宋体"/>
          <w:b/>
          <w:i w:val="0"/>
          <w:caps w:val="0"/>
          <w:color w:val="auto"/>
          <w:spacing w:val="0"/>
          <w:w w:val="100"/>
          <w:sz w:val="24"/>
          <w:highlight w:val="none"/>
        </w:rPr>
        <w:t>材料与工程设备的保管与使用</w:t>
      </w:r>
    </w:p>
    <w:p w14:paraId="52EEE53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8.</w:t>
      </w:r>
      <w:r>
        <w:rPr>
          <w:rFonts w:hint="eastAsia" w:ascii="宋体" w:hAnsi="宋体" w:cs="宋体"/>
          <w:b w:val="0"/>
          <w:i w:val="0"/>
          <w:caps w:val="0"/>
          <w:color w:val="auto"/>
          <w:spacing w:val="0"/>
          <w:w w:val="100"/>
          <w:sz w:val="21"/>
          <w:szCs w:val="21"/>
          <w:highlight w:val="none"/>
          <w:lang w:val="en-US" w:eastAsia="zh-CN"/>
        </w:rPr>
        <w:t>1</w:t>
      </w:r>
      <w:r>
        <w:rPr>
          <w:rFonts w:hint="eastAsia" w:ascii="宋体" w:hAnsi="宋体" w:eastAsia="宋体" w:cs="宋体"/>
          <w:b w:val="0"/>
          <w:i w:val="0"/>
          <w:caps w:val="0"/>
          <w:color w:val="auto"/>
          <w:spacing w:val="0"/>
          <w:w w:val="100"/>
          <w:sz w:val="21"/>
          <w:szCs w:val="21"/>
          <w:highlight w:val="none"/>
        </w:rPr>
        <w:t>.1发包人供应的材料设备的保管费用的承担：</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82778FE">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8.</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样品</w:t>
      </w:r>
    </w:p>
    <w:p w14:paraId="2B87D73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8.</w:t>
      </w:r>
      <w:r>
        <w:rPr>
          <w:rFonts w:hint="eastAsia" w:ascii="宋体" w:hAnsi="宋体" w:cs="宋体"/>
          <w:b w:val="0"/>
          <w:i w:val="0"/>
          <w:caps w:val="0"/>
          <w:color w:val="auto"/>
          <w:spacing w:val="0"/>
          <w:w w:val="100"/>
          <w:kern w:val="0"/>
          <w:sz w:val="21"/>
          <w:szCs w:val="21"/>
          <w:highlight w:val="none"/>
          <w:lang w:val="en-US" w:eastAsia="zh-CN"/>
        </w:rPr>
        <w:t>2</w:t>
      </w:r>
      <w:r>
        <w:rPr>
          <w:rFonts w:hint="eastAsia" w:ascii="宋体" w:hAnsi="宋体" w:eastAsia="宋体" w:cs="宋体"/>
          <w:b w:val="0"/>
          <w:i w:val="0"/>
          <w:caps w:val="0"/>
          <w:color w:val="auto"/>
          <w:spacing w:val="0"/>
          <w:w w:val="100"/>
          <w:kern w:val="0"/>
          <w:sz w:val="21"/>
          <w:szCs w:val="21"/>
          <w:highlight w:val="none"/>
        </w:rPr>
        <w:t>.1 样品的报送与封存</w:t>
      </w:r>
    </w:p>
    <w:p w14:paraId="650E01C5">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u w:val="single"/>
        </w:rPr>
      </w:pPr>
      <w:r>
        <w:rPr>
          <w:rFonts w:hint="eastAsia" w:ascii="宋体" w:hAnsi="宋体" w:eastAsia="宋体" w:cs="宋体"/>
          <w:b w:val="0"/>
          <w:i w:val="0"/>
          <w:caps w:val="0"/>
          <w:color w:val="auto"/>
          <w:spacing w:val="0"/>
          <w:w w:val="100"/>
          <w:kern w:val="0"/>
          <w:sz w:val="21"/>
          <w:szCs w:val="21"/>
          <w:highlight w:val="none"/>
        </w:rPr>
        <w:t>需要承包人报送样品的材料或工程设备，样品的种类、名称、规格、数量要求：</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3C9DFC9">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8.</w:t>
      </w:r>
      <w:r>
        <w:rPr>
          <w:rFonts w:hint="eastAsia" w:ascii="宋体" w:hAnsi="宋体" w:eastAsia="宋体" w:cs="宋体"/>
          <w:b/>
          <w:i w:val="0"/>
          <w:caps w:val="0"/>
          <w:color w:val="auto"/>
          <w:spacing w:val="0"/>
          <w:w w:val="100"/>
          <w:sz w:val="24"/>
          <w:highlight w:val="none"/>
          <w:lang w:val="en-US" w:eastAsia="zh-CN"/>
        </w:rPr>
        <w:t>3</w:t>
      </w:r>
      <w:r>
        <w:rPr>
          <w:rFonts w:hint="eastAsia" w:ascii="宋体" w:hAnsi="宋体" w:eastAsia="宋体" w:cs="宋体"/>
          <w:b/>
          <w:i w:val="0"/>
          <w:caps w:val="0"/>
          <w:color w:val="auto"/>
          <w:spacing w:val="0"/>
          <w:w w:val="100"/>
          <w:sz w:val="24"/>
          <w:highlight w:val="none"/>
        </w:rPr>
        <w:t xml:space="preserve"> 施工设备和临时设施</w:t>
      </w:r>
    </w:p>
    <w:p w14:paraId="7A41B1BC">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8.</w:t>
      </w:r>
      <w:r>
        <w:rPr>
          <w:rFonts w:hint="eastAsia" w:ascii="宋体" w:hAnsi="宋体" w:cs="宋体"/>
          <w:b w:val="0"/>
          <w:i w:val="0"/>
          <w:caps w:val="0"/>
          <w:color w:val="auto"/>
          <w:spacing w:val="0"/>
          <w:w w:val="100"/>
          <w:sz w:val="21"/>
          <w:szCs w:val="21"/>
          <w:highlight w:val="none"/>
          <w:lang w:val="en-US" w:eastAsia="zh-CN"/>
        </w:rPr>
        <w:t>3</w:t>
      </w:r>
      <w:r>
        <w:rPr>
          <w:rFonts w:hint="eastAsia" w:ascii="宋体" w:hAnsi="宋体" w:eastAsia="宋体" w:cs="宋体"/>
          <w:b w:val="0"/>
          <w:i w:val="0"/>
          <w:caps w:val="0"/>
          <w:color w:val="auto"/>
          <w:spacing w:val="0"/>
          <w:w w:val="100"/>
          <w:sz w:val="21"/>
          <w:szCs w:val="21"/>
          <w:highlight w:val="none"/>
        </w:rPr>
        <w:t>.1 承包人提供的施工设备和临时设施</w:t>
      </w:r>
    </w:p>
    <w:p w14:paraId="73DA088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关于修建临时设施费用承担的约定：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5B2F386">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43" w:name="_Toc505871388"/>
      <w:bookmarkStart w:id="744" w:name="_Toc24917"/>
      <w:bookmarkStart w:id="745" w:name="_Toc256000104"/>
      <w:bookmarkStart w:id="746" w:name="_Toc5391"/>
      <w:bookmarkStart w:id="747" w:name="_Toc26785"/>
      <w:bookmarkStart w:id="748" w:name="_Toc21283"/>
      <w:r>
        <w:rPr>
          <w:rFonts w:hint="eastAsia" w:ascii="宋体" w:hAnsi="宋体" w:eastAsia="宋体" w:cs="宋体"/>
          <w:b/>
          <w:i w:val="0"/>
          <w:caps w:val="0"/>
          <w:color w:val="auto"/>
          <w:spacing w:val="0"/>
          <w:w w:val="100"/>
          <w:sz w:val="32"/>
          <w:highlight w:val="none"/>
        </w:rPr>
        <w:t>9. 试验与检验</w:t>
      </w:r>
      <w:bookmarkEnd w:id="743"/>
      <w:bookmarkEnd w:id="744"/>
      <w:bookmarkEnd w:id="745"/>
      <w:bookmarkEnd w:id="746"/>
      <w:bookmarkEnd w:id="747"/>
      <w:bookmarkEnd w:id="748"/>
    </w:p>
    <w:p w14:paraId="26DFE88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9.1试验设备与试验人员</w:t>
      </w:r>
    </w:p>
    <w:p w14:paraId="15061B6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9.1.2 试验设备</w:t>
      </w:r>
    </w:p>
    <w:p w14:paraId="56BBE397">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施工现场需要配置的试验场所：</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46FEE36">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施工现场需要配备的试验设备：</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5C7B11E">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施工现场需要具备的其他试验条件：</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F5A1D97">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9.</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现场工艺试验 </w:t>
      </w:r>
    </w:p>
    <w:p w14:paraId="5368CEE7">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现场工艺试验的有关约定：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EE5A985">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49" w:name="_Toc5251"/>
      <w:bookmarkStart w:id="750" w:name="_Toc505871389"/>
      <w:bookmarkStart w:id="751" w:name="_Toc256000105"/>
      <w:bookmarkStart w:id="752" w:name="_Toc4441"/>
      <w:bookmarkStart w:id="753" w:name="_Toc21739"/>
      <w:bookmarkStart w:id="754" w:name="_Toc14274"/>
      <w:r>
        <w:rPr>
          <w:rFonts w:hint="eastAsia" w:ascii="宋体" w:hAnsi="宋体" w:eastAsia="宋体" w:cs="宋体"/>
          <w:b/>
          <w:i w:val="0"/>
          <w:caps w:val="0"/>
          <w:color w:val="auto"/>
          <w:spacing w:val="0"/>
          <w:w w:val="100"/>
          <w:sz w:val="32"/>
          <w:highlight w:val="none"/>
        </w:rPr>
        <w:t>10. 变更</w:t>
      </w:r>
      <w:bookmarkEnd w:id="749"/>
      <w:bookmarkEnd w:id="750"/>
      <w:bookmarkEnd w:id="751"/>
      <w:bookmarkEnd w:id="752"/>
      <w:bookmarkEnd w:id="753"/>
      <w:bookmarkEnd w:id="754"/>
    </w:p>
    <w:p w14:paraId="12287C6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10.1变更的范围</w:t>
      </w:r>
    </w:p>
    <w:p w14:paraId="158C7DA5">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关于变更的范围的约定：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9803D6C">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10.</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变更估价</w:t>
      </w:r>
    </w:p>
    <w:p w14:paraId="7827047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10.</w:t>
      </w:r>
      <w:r>
        <w:rPr>
          <w:rFonts w:hint="eastAsia" w:ascii="宋体" w:hAnsi="宋体" w:cs="宋体"/>
          <w:b w:val="0"/>
          <w:i w:val="0"/>
          <w:caps w:val="0"/>
          <w:color w:val="auto"/>
          <w:spacing w:val="0"/>
          <w:w w:val="100"/>
          <w:sz w:val="21"/>
          <w:szCs w:val="21"/>
          <w:highlight w:val="none"/>
          <w:lang w:val="en-US" w:eastAsia="zh-CN"/>
        </w:rPr>
        <w:t>2</w:t>
      </w:r>
      <w:r>
        <w:rPr>
          <w:rFonts w:hint="eastAsia" w:ascii="宋体" w:hAnsi="宋体" w:eastAsia="宋体" w:cs="宋体"/>
          <w:b w:val="0"/>
          <w:i w:val="0"/>
          <w:caps w:val="0"/>
          <w:color w:val="auto"/>
          <w:spacing w:val="0"/>
          <w:w w:val="100"/>
          <w:sz w:val="21"/>
          <w:szCs w:val="21"/>
          <w:highlight w:val="none"/>
        </w:rPr>
        <w:t>.1 变更估价原则</w:t>
      </w:r>
    </w:p>
    <w:p w14:paraId="4EF5E464">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sz w:val="21"/>
          <w:szCs w:val="21"/>
          <w:highlight w:val="none"/>
        </w:rPr>
        <w:t xml:space="preserve">关于变更估价的约定: </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B67966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10.</w:t>
      </w:r>
      <w:r>
        <w:rPr>
          <w:rFonts w:hint="eastAsia" w:ascii="宋体" w:hAnsi="宋体" w:eastAsia="宋体" w:cs="宋体"/>
          <w:b/>
          <w:i w:val="0"/>
          <w:caps w:val="0"/>
          <w:color w:val="auto"/>
          <w:spacing w:val="0"/>
          <w:w w:val="100"/>
          <w:sz w:val="24"/>
          <w:highlight w:val="none"/>
          <w:lang w:val="en-US" w:eastAsia="zh-CN"/>
        </w:rPr>
        <w:t>3</w:t>
      </w:r>
      <w:r>
        <w:rPr>
          <w:rFonts w:hint="eastAsia" w:ascii="宋体" w:hAnsi="宋体" w:eastAsia="宋体" w:cs="宋体"/>
          <w:b/>
          <w:i w:val="0"/>
          <w:caps w:val="0"/>
          <w:color w:val="auto"/>
          <w:spacing w:val="0"/>
          <w:w w:val="100"/>
          <w:sz w:val="24"/>
          <w:highlight w:val="none"/>
        </w:rPr>
        <w:t>承包人的合理化建议</w:t>
      </w:r>
    </w:p>
    <w:p w14:paraId="581B5BA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监理人审查承包人合理化建议的期限：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A309DFD">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发包人审批承包人合理化建议的期限：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AB44375">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u w:val="single"/>
        </w:rPr>
      </w:pPr>
      <w:r>
        <w:rPr>
          <w:rFonts w:hint="eastAsia" w:ascii="宋体" w:hAnsi="宋体" w:eastAsia="宋体" w:cs="宋体"/>
          <w:b w:val="0"/>
          <w:i w:val="0"/>
          <w:caps w:val="0"/>
          <w:color w:val="auto"/>
          <w:spacing w:val="0"/>
          <w:w w:val="100"/>
          <w:sz w:val="21"/>
          <w:szCs w:val="21"/>
          <w:highlight w:val="none"/>
        </w:rPr>
        <w:t>承包人提出的合理化建议降低了合同价格或者提高了工程经济效益的奖励的方法和金额为：</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FEFF7F9">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10.</w:t>
      </w:r>
      <w:r>
        <w:rPr>
          <w:rFonts w:hint="eastAsia" w:ascii="宋体" w:hAnsi="宋体" w:eastAsia="宋体" w:cs="宋体"/>
          <w:b/>
          <w:i w:val="0"/>
          <w:caps w:val="0"/>
          <w:color w:val="auto"/>
          <w:spacing w:val="0"/>
          <w:w w:val="100"/>
          <w:sz w:val="24"/>
          <w:highlight w:val="none"/>
          <w:lang w:val="en-US" w:eastAsia="zh-CN"/>
        </w:rPr>
        <w:t>4</w:t>
      </w:r>
      <w:r>
        <w:rPr>
          <w:rFonts w:hint="eastAsia" w:ascii="宋体" w:hAnsi="宋体" w:eastAsia="宋体" w:cs="宋体"/>
          <w:b/>
          <w:i w:val="0"/>
          <w:caps w:val="0"/>
          <w:color w:val="auto"/>
          <w:spacing w:val="0"/>
          <w:w w:val="100"/>
          <w:sz w:val="24"/>
          <w:highlight w:val="none"/>
        </w:rPr>
        <w:t xml:space="preserve"> 暂估价</w:t>
      </w:r>
    </w:p>
    <w:p w14:paraId="60E2AA30">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暂估价材料和工程设备的明细详见附件11：《</w:t>
      </w:r>
      <w:r>
        <w:rPr>
          <w:rFonts w:hint="eastAsia" w:ascii="宋体" w:hAnsi="宋体" w:eastAsia="宋体" w:cs="宋体"/>
          <w:b w:val="0"/>
          <w:i w:val="0"/>
          <w:caps w:val="0"/>
          <w:color w:val="auto"/>
          <w:spacing w:val="0"/>
          <w:w w:val="100"/>
          <w:sz w:val="21"/>
          <w:szCs w:val="21"/>
          <w:highlight w:val="none"/>
        </w:rPr>
        <w:t>暂估价一览表》</w:t>
      </w:r>
      <w:r>
        <w:rPr>
          <w:rFonts w:hint="eastAsia" w:ascii="宋体" w:hAnsi="宋体" w:eastAsia="宋体" w:cs="宋体"/>
          <w:b w:val="0"/>
          <w:i w:val="0"/>
          <w:caps w:val="0"/>
          <w:color w:val="auto"/>
          <w:spacing w:val="0"/>
          <w:w w:val="100"/>
          <w:kern w:val="0"/>
          <w:sz w:val="21"/>
          <w:szCs w:val="21"/>
          <w:highlight w:val="none"/>
        </w:rPr>
        <w:t>。</w:t>
      </w:r>
    </w:p>
    <w:p w14:paraId="0290A2B0">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10.</w:t>
      </w:r>
      <w:r>
        <w:rPr>
          <w:rFonts w:hint="eastAsia" w:ascii="宋体" w:hAnsi="宋体" w:cs="宋体"/>
          <w:b w:val="0"/>
          <w:i w:val="0"/>
          <w:caps w:val="0"/>
          <w:color w:val="auto"/>
          <w:spacing w:val="0"/>
          <w:w w:val="100"/>
          <w:sz w:val="21"/>
          <w:szCs w:val="21"/>
          <w:highlight w:val="none"/>
          <w:lang w:val="en-US" w:eastAsia="zh-CN"/>
        </w:rPr>
        <w:t>4</w:t>
      </w:r>
      <w:r>
        <w:rPr>
          <w:rFonts w:hint="eastAsia" w:ascii="宋体" w:hAnsi="宋体" w:eastAsia="宋体" w:cs="宋体"/>
          <w:b w:val="0"/>
          <w:i w:val="0"/>
          <w:caps w:val="0"/>
          <w:color w:val="auto"/>
          <w:spacing w:val="0"/>
          <w:w w:val="100"/>
          <w:sz w:val="21"/>
          <w:szCs w:val="21"/>
          <w:highlight w:val="none"/>
        </w:rPr>
        <w:t>.1 依法必须招标的暂估价项目</w:t>
      </w:r>
    </w:p>
    <w:p w14:paraId="14C1257B">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对于依法必须招标的暂估价项目的确认和批准采取第</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种方式确定。</w:t>
      </w:r>
    </w:p>
    <w:p w14:paraId="003BE69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10.</w:t>
      </w:r>
      <w:r>
        <w:rPr>
          <w:rFonts w:hint="eastAsia" w:ascii="宋体" w:hAnsi="宋体" w:cs="宋体"/>
          <w:b w:val="0"/>
          <w:i w:val="0"/>
          <w:caps w:val="0"/>
          <w:color w:val="auto"/>
          <w:spacing w:val="0"/>
          <w:w w:val="100"/>
          <w:sz w:val="21"/>
          <w:szCs w:val="21"/>
          <w:highlight w:val="none"/>
          <w:lang w:val="en-US" w:eastAsia="zh-CN"/>
        </w:rPr>
        <w:t>4</w:t>
      </w:r>
      <w:r>
        <w:rPr>
          <w:rFonts w:hint="eastAsia" w:ascii="宋体" w:hAnsi="宋体" w:eastAsia="宋体" w:cs="宋体"/>
          <w:b w:val="0"/>
          <w:i w:val="0"/>
          <w:caps w:val="0"/>
          <w:color w:val="auto"/>
          <w:spacing w:val="0"/>
          <w:w w:val="100"/>
          <w:sz w:val="21"/>
          <w:szCs w:val="21"/>
          <w:highlight w:val="none"/>
        </w:rPr>
        <w:t>.2 不属于依法必须招标的暂估价项目</w:t>
      </w:r>
    </w:p>
    <w:p w14:paraId="15CBFDD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对于不属于依法必须招标的暂估价项目的确认和批准采取第</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 xml:space="preserve"> 种方式确定。</w:t>
      </w:r>
    </w:p>
    <w:p w14:paraId="66CC7AD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sz w:val="21"/>
          <w:szCs w:val="21"/>
          <w:highlight w:val="none"/>
        </w:rPr>
        <w:t>第3种方式：</w:t>
      </w:r>
      <w:r>
        <w:rPr>
          <w:rFonts w:hint="eastAsia" w:ascii="宋体" w:hAnsi="宋体" w:eastAsia="宋体" w:cs="宋体"/>
          <w:b w:val="0"/>
          <w:i w:val="0"/>
          <w:caps w:val="0"/>
          <w:color w:val="auto"/>
          <w:spacing w:val="0"/>
          <w:w w:val="100"/>
          <w:kern w:val="0"/>
          <w:sz w:val="21"/>
          <w:szCs w:val="21"/>
          <w:highlight w:val="none"/>
        </w:rPr>
        <w:t>承包人直接实施的暂估价项目</w:t>
      </w:r>
    </w:p>
    <w:p w14:paraId="550A6AE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承包人直接实施的暂估价项目的约定：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810767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10.</w:t>
      </w:r>
      <w:r>
        <w:rPr>
          <w:rFonts w:hint="eastAsia" w:ascii="宋体" w:hAnsi="宋体" w:eastAsia="宋体" w:cs="宋体"/>
          <w:b/>
          <w:i w:val="0"/>
          <w:caps w:val="0"/>
          <w:color w:val="auto"/>
          <w:spacing w:val="0"/>
          <w:w w:val="100"/>
          <w:sz w:val="24"/>
          <w:highlight w:val="none"/>
          <w:lang w:val="en-US" w:eastAsia="zh-CN"/>
        </w:rPr>
        <w:t>5</w:t>
      </w:r>
      <w:r>
        <w:rPr>
          <w:rFonts w:hint="eastAsia" w:ascii="宋体" w:hAnsi="宋体" w:eastAsia="宋体" w:cs="宋体"/>
          <w:b/>
          <w:i w:val="0"/>
          <w:caps w:val="0"/>
          <w:color w:val="auto"/>
          <w:spacing w:val="0"/>
          <w:w w:val="100"/>
          <w:sz w:val="24"/>
          <w:highlight w:val="none"/>
        </w:rPr>
        <w:t xml:space="preserve"> 暂列金额</w:t>
      </w:r>
    </w:p>
    <w:p w14:paraId="112B34F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合同当事人关于暂列金额使用的约定：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2F516D70">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55" w:name="_Toc22452"/>
      <w:bookmarkStart w:id="756" w:name="_Toc505871390"/>
      <w:bookmarkStart w:id="757" w:name="_Toc256000106"/>
      <w:bookmarkStart w:id="758" w:name="_Toc26963"/>
      <w:bookmarkStart w:id="759" w:name="_Toc22298"/>
      <w:bookmarkStart w:id="760" w:name="_Toc28009"/>
      <w:r>
        <w:rPr>
          <w:rFonts w:hint="eastAsia" w:ascii="宋体" w:hAnsi="宋体" w:eastAsia="宋体" w:cs="宋体"/>
          <w:b/>
          <w:i w:val="0"/>
          <w:caps w:val="0"/>
          <w:color w:val="auto"/>
          <w:spacing w:val="0"/>
          <w:w w:val="100"/>
          <w:sz w:val="32"/>
          <w:highlight w:val="none"/>
        </w:rPr>
        <w:t>11. 价格调整</w:t>
      </w:r>
      <w:bookmarkEnd w:id="755"/>
      <w:bookmarkEnd w:id="756"/>
      <w:bookmarkEnd w:id="757"/>
      <w:bookmarkEnd w:id="758"/>
      <w:bookmarkEnd w:id="759"/>
      <w:bookmarkEnd w:id="760"/>
    </w:p>
    <w:p w14:paraId="503B5A8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11.1 市场价格波动引起的调整</w:t>
      </w:r>
    </w:p>
    <w:p w14:paraId="53EC19E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（1）市场价格波动是否调整合同价格的约定：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415603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因市场价格波动调整合同价格，采用以下第</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种方式对合同价格进行调整：</w:t>
      </w:r>
    </w:p>
    <w:p w14:paraId="16FC3248">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第1种方式：采用价格指数进行价格调整。</w:t>
      </w:r>
    </w:p>
    <w:p w14:paraId="5CC8B9F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1"/>
          <w:szCs w:val="21"/>
          <w:highlight w:val="none"/>
        </w:rPr>
        <w:t>关于各可调因子、定值和变值权重，以及基本价格指数及其来源的约</w:t>
      </w:r>
      <w:r>
        <w:rPr>
          <w:rFonts w:hint="eastAsia" w:ascii="宋体" w:hAnsi="宋体" w:eastAsia="宋体" w:cs="宋体"/>
          <w:b w:val="0"/>
          <w:i w:val="0"/>
          <w:caps w:val="0"/>
          <w:color w:val="auto"/>
          <w:spacing w:val="0"/>
          <w:w w:val="100"/>
          <w:sz w:val="24"/>
          <w:szCs w:val="24"/>
          <w:highlight w:val="none"/>
        </w:rPr>
        <w:t>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w:t>
      </w:r>
    </w:p>
    <w:p w14:paraId="1E8D26C3">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第2种方式：采用造价信息进行价格调整。</w:t>
      </w:r>
    </w:p>
    <w:p w14:paraId="79CCA5E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（2）关于基准价格的约定：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63EA06B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专用合同条款①承包人在已标价工程量清单或预算书中载明的材料单价低于基准价格的：专用合同条款合同履行期间材料单价涨幅以基准价格为基础超过</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%时，或材料单价跌幅以已标价工程量清单或预算书中载明材料单价为基础超过</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%时，其超过部分据实调整。</w:t>
      </w:r>
    </w:p>
    <w:p w14:paraId="7492D84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②承包人在已标价工程量清单或预算书中载明的材料单价高于基准价格的：专用合同条款合同履行期间材料单价跌幅以基准价格为基础超过</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%时，材料单价涨幅以已标价工程量清单或预算书中载明材料单价为基础超过</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%时，其超过部分据实调整。</w:t>
      </w:r>
    </w:p>
    <w:p w14:paraId="5219D53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%时，其超过部分据实调整。</w:t>
      </w:r>
    </w:p>
    <w:p w14:paraId="28AEDA00">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第3种方式：其他价格调整方式：</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331AE6BF">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61" w:name="_Toc505871391"/>
      <w:bookmarkStart w:id="762" w:name="_Toc256000107"/>
      <w:bookmarkStart w:id="763" w:name="_Toc25487"/>
      <w:bookmarkStart w:id="764" w:name="_Toc21532"/>
      <w:bookmarkStart w:id="765" w:name="_Toc14060"/>
      <w:bookmarkStart w:id="766" w:name="_Toc6664"/>
      <w:r>
        <w:rPr>
          <w:rFonts w:hint="eastAsia" w:ascii="宋体" w:hAnsi="宋体" w:eastAsia="宋体" w:cs="宋体"/>
          <w:b/>
          <w:i w:val="0"/>
          <w:caps w:val="0"/>
          <w:color w:val="auto"/>
          <w:spacing w:val="0"/>
          <w:w w:val="100"/>
          <w:sz w:val="32"/>
          <w:highlight w:val="none"/>
        </w:rPr>
        <w:t>12. 合同价格、计量与支付</w:t>
      </w:r>
      <w:bookmarkEnd w:id="761"/>
      <w:bookmarkEnd w:id="762"/>
      <w:bookmarkEnd w:id="763"/>
      <w:bookmarkEnd w:id="764"/>
      <w:bookmarkEnd w:id="765"/>
      <w:bookmarkEnd w:id="766"/>
    </w:p>
    <w:p w14:paraId="3B11292D">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12.1 合同价格形式</w:t>
      </w:r>
    </w:p>
    <w:p w14:paraId="7212E28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1、单价合同。</w:t>
      </w:r>
    </w:p>
    <w:p w14:paraId="3AFEFE35">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综合单价包含的风险范围：</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9EEB62A">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风险费用的计算方法：</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FD56D1F">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风险范围以外合同价格的调整方法：</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6F02B8D">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2、总价合同。</w:t>
      </w:r>
    </w:p>
    <w:p w14:paraId="4C9E97E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总价包含的风险范围：</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7EB050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风险费用的计算方法：</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B34BB9F">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风险范围以外合同价格的调整方法：</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2741459">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3、其他价格方式：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A015E6C">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12.2 预付款</w:t>
      </w:r>
    </w:p>
    <w:p w14:paraId="5FF17130">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12.2.1 预付款的支付</w:t>
      </w:r>
    </w:p>
    <w:p w14:paraId="3DF4DF8C">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预付款支付比例或金额：</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6C66AA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预付款支付期限：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93DB83B">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预付款扣回的方式：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0DFBE0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12.2.2 预付款担保</w:t>
      </w:r>
    </w:p>
    <w:p w14:paraId="2E944B2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承包人提交预付款担保的期限：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C28D66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预付款担保的形式为：</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40733F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12.3 计量</w:t>
      </w:r>
    </w:p>
    <w:p w14:paraId="45B431A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12.3.1 计量原则</w:t>
      </w:r>
    </w:p>
    <w:p w14:paraId="5610E70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工程量计算规则：</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A4C524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12.3.2 计量周期</w:t>
      </w:r>
    </w:p>
    <w:p w14:paraId="3FD948A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关于计量周期的约定：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07B0A0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12.3.3 单价合同的计量</w:t>
      </w:r>
    </w:p>
    <w:p w14:paraId="153B9A25">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关于单价合同计量的约定：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2A60C0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12.3.4 总价合同的计量</w:t>
      </w:r>
    </w:p>
    <w:p w14:paraId="58A9637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关于总价合同计量的约定：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E8C1BD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12.3.5总价合同采用支付分解表计量支付的，是否适用第</w:t>
      </w:r>
      <w:r>
        <w:rPr>
          <w:rFonts w:hint="eastAsia" w:ascii="宋体" w:hAnsi="宋体" w:eastAsia="宋体" w:cs="宋体"/>
          <w:b w:val="0"/>
          <w:i w:val="0"/>
          <w:caps w:val="0"/>
          <w:color w:val="auto"/>
          <w:spacing w:val="0"/>
          <w:w w:val="100"/>
          <w:kern w:val="0"/>
          <w:sz w:val="21"/>
          <w:szCs w:val="21"/>
          <w:highlight w:val="none"/>
        </w:rPr>
        <w:t xml:space="preserve">12.3.4 </w:t>
      </w:r>
      <w:r>
        <w:rPr>
          <w:rFonts w:hint="eastAsia" w:ascii="宋体" w:hAnsi="宋体" w:eastAsia="宋体" w:cs="宋体"/>
          <w:b w:val="0"/>
          <w:i w:val="0"/>
          <w:caps w:val="0"/>
          <w:color w:val="auto"/>
          <w:spacing w:val="0"/>
          <w:w w:val="100"/>
          <w:sz w:val="21"/>
          <w:szCs w:val="21"/>
          <w:highlight w:val="none"/>
        </w:rPr>
        <w:t>项</w:t>
      </w:r>
      <w:r>
        <w:rPr>
          <w:rFonts w:hint="eastAsia" w:ascii="宋体" w:hAnsi="宋体" w:eastAsia="宋体" w:cs="宋体"/>
          <w:b w:val="0"/>
          <w:i w:val="0"/>
          <w:caps w:val="0"/>
          <w:color w:val="auto"/>
          <w:spacing w:val="0"/>
          <w:w w:val="100"/>
          <w:kern w:val="0"/>
          <w:sz w:val="21"/>
          <w:szCs w:val="21"/>
          <w:highlight w:val="none"/>
        </w:rPr>
        <w:t>〔总价合同的计量〕</w:t>
      </w:r>
      <w:r>
        <w:rPr>
          <w:rFonts w:hint="eastAsia" w:ascii="宋体" w:hAnsi="宋体" w:eastAsia="宋体" w:cs="宋体"/>
          <w:b w:val="0"/>
          <w:i w:val="0"/>
          <w:caps w:val="0"/>
          <w:color w:val="auto"/>
          <w:spacing w:val="0"/>
          <w:w w:val="100"/>
          <w:sz w:val="21"/>
          <w:szCs w:val="21"/>
          <w:highlight w:val="none"/>
        </w:rPr>
        <w:t>约定进行计量：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56CC56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12.3.6 其他价格形式合同的计量</w:t>
      </w:r>
    </w:p>
    <w:p w14:paraId="7A380F28">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其他价格形式的计量方式和程序：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0B183CC">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12.4 工程进度款支付</w:t>
      </w:r>
    </w:p>
    <w:p w14:paraId="00696D6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12.4.1 付款周期</w:t>
      </w:r>
    </w:p>
    <w:p w14:paraId="204A042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关于付款周期的约定：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CC0752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12.4.2 进度付款申请单的编制</w:t>
      </w:r>
    </w:p>
    <w:p w14:paraId="6DC7FFBD">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关于进度付款申请单编制的约定：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B0B6EC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12.4.3 进度付款申请单的提交</w:t>
      </w:r>
    </w:p>
    <w:p w14:paraId="39671E8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（1）单价合同进度付款申请单提交的约定：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1FBA18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（2）总价合同进度付款申请单提交的约定：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061D0E1">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（3）其他价格形式合同进度付款申请单提交的约定：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9908C3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12.4.4 进度款审核和支付</w:t>
      </w:r>
    </w:p>
    <w:p w14:paraId="3B9C09B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sz w:val="21"/>
          <w:szCs w:val="21"/>
          <w:highlight w:val="none"/>
        </w:rPr>
        <w:t>（1）监理人审查并报送发包人的期限：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501541F">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发包人完成审批并签发进度款支付证书的期限：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7E7244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（2）发包人支付进度款的期限：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A1A899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发包人逾期支付进度款的违约金的计算方式：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3061376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12.4.6 支付分解表的编制</w:t>
      </w:r>
    </w:p>
    <w:p w14:paraId="0B7DD048">
      <w:pPr>
        <w:pStyle w:val="48"/>
        <w:snapToGrid w:val="0"/>
        <w:spacing w:before="0" w:beforeAutospacing="0" w:after="0" w:afterAutospacing="0" w:line="360" w:lineRule="auto"/>
        <w:ind w:hangingChars="20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2、总价合同支付分解表的编制与审批：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AD8666C">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3、单价合同的总价项目支付分解表的编制与审批：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bookmarkStart w:id="767" w:name="_Toc19441"/>
      <w:bookmarkStart w:id="768" w:name="_Toc505871392"/>
      <w:bookmarkStart w:id="769" w:name="_Toc256000108"/>
    </w:p>
    <w:p w14:paraId="02282243">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70" w:name="_Toc3253"/>
      <w:r>
        <w:rPr>
          <w:rFonts w:hint="eastAsia" w:ascii="宋体" w:hAnsi="宋体" w:eastAsia="宋体" w:cs="宋体"/>
          <w:b/>
          <w:i w:val="0"/>
          <w:caps w:val="0"/>
          <w:color w:val="auto"/>
          <w:spacing w:val="0"/>
          <w:w w:val="100"/>
          <w:sz w:val="32"/>
          <w:highlight w:val="none"/>
        </w:rPr>
        <w:t>13. 验收和工程试车</w:t>
      </w:r>
      <w:bookmarkEnd w:id="767"/>
      <w:bookmarkEnd w:id="768"/>
      <w:bookmarkEnd w:id="769"/>
      <w:bookmarkEnd w:id="770"/>
    </w:p>
    <w:p w14:paraId="38017A4B">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13.1 分部分项工程验收</w:t>
      </w:r>
    </w:p>
    <w:p w14:paraId="051D537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13.1.2监理人不能按时进行验收时，应提前</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小时提交书面延期要求。</w:t>
      </w:r>
    </w:p>
    <w:p w14:paraId="6D7963F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关于延期最长不得超过：</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小时。</w:t>
      </w:r>
    </w:p>
    <w:p w14:paraId="5E7B6691">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13.2 竣工验收</w:t>
      </w:r>
    </w:p>
    <w:p w14:paraId="6CE2A39C">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13.2.2竣工验收程序</w:t>
      </w:r>
    </w:p>
    <w:p w14:paraId="7D95C6CD">
      <w:pPr>
        <w:pStyle w:val="48"/>
        <w:snapToGrid w:val="0"/>
        <w:spacing w:before="0" w:beforeAutospacing="0" w:after="0" w:afterAutospacing="0" w:line="360" w:lineRule="auto"/>
        <w:ind w:hangingChars="20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关于竣工验收程序的约定：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CF23691">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发包人不按照本项约定组织竣工验收、颁发工程接收证书的违约金的计算方法：</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5A1B1E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13.2.5移交、接收全部与部分工程</w:t>
      </w:r>
    </w:p>
    <w:p w14:paraId="4999F28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承包人向发包人移交工程的期限：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6B218776">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u w:val="single" w:color="000000"/>
        </w:rPr>
      </w:pPr>
      <w:r>
        <w:rPr>
          <w:rFonts w:hint="eastAsia" w:ascii="宋体" w:hAnsi="宋体" w:eastAsia="宋体" w:cs="宋体"/>
          <w:b w:val="0"/>
          <w:i w:val="0"/>
          <w:caps w:val="0"/>
          <w:color w:val="auto"/>
          <w:spacing w:val="0"/>
          <w:w w:val="100"/>
          <w:kern w:val="0"/>
          <w:sz w:val="21"/>
          <w:szCs w:val="21"/>
          <w:highlight w:val="none"/>
        </w:rPr>
        <w:t>发包人未按本合同约定接收全部或部分工程的，违约金的计算方法为：</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E56311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承包人未按时移交工程的，违约金的计算方法为：</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772E92B">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13.3 工程试车</w:t>
      </w:r>
    </w:p>
    <w:p w14:paraId="1921F28F">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13.3.1 试车程序</w:t>
      </w:r>
    </w:p>
    <w:p w14:paraId="6702E131">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工程试车内容：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97D2097">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（1）单机无负荷试车费用由</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承担；</w:t>
      </w:r>
    </w:p>
    <w:p w14:paraId="502DF6E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（2）无负荷联动试车费用由</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承担。</w:t>
      </w:r>
    </w:p>
    <w:p w14:paraId="6170943D">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13.3.3 投料试车</w:t>
      </w:r>
    </w:p>
    <w:p w14:paraId="78F4DD28">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关于投料试车相关事项的约定：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D88F389">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13.</w:t>
      </w:r>
      <w:r>
        <w:rPr>
          <w:rFonts w:hint="eastAsia" w:ascii="宋体" w:hAnsi="宋体" w:eastAsia="宋体" w:cs="宋体"/>
          <w:b/>
          <w:i w:val="0"/>
          <w:caps w:val="0"/>
          <w:color w:val="auto"/>
          <w:spacing w:val="0"/>
          <w:w w:val="100"/>
          <w:sz w:val="24"/>
          <w:highlight w:val="none"/>
          <w:lang w:val="en-US" w:eastAsia="zh-CN"/>
        </w:rPr>
        <w:t>4</w:t>
      </w:r>
      <w:r>
        <w:rPr>
          <w:rFonts w:hint="eastAsia" w:ascii="宋体" w:hAnsi="宋体" w:eastAsia="宋体" w:cs="宋体"/>
          <w:b/>
          <w:i w:val="0"/>
          <w:caps w:val="0"/>
          <w:color w:val="auto"/>
          <w:spacing w:val="0"/>
          <w:w w:val="100"/>
          <w:sz w:val="24"/>
          <w:highlight w:val="none"/>
        </w:rPr>
        <w:t xml:space="preserve"> 竣工退场</w:t>
      </w:r>
    </w:p>
    <w:p w14:paraId="47B57CB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13.6.1 竣工退场</w:t>
      </w:r>
    </w:p>
    <w:p w14:paraId="53428075">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承包人完成竣工退场的期限：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kern w:val="0"/>
          <w:sz w:val="21"/>
          <w:szCs w:val="21"/>
          <w:highlight w:val="none"/>
        </w:rPr>
        <w:t>。</w:t>
      </w:r>
    </w:p>
    <w:p w14:paraId="6BE9D56C">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71" w:name="_Toc505871393"/>
      <w:bookmarkStart w:id="772" w:name="_Toc24654"/>
      <w:bookmarkStart w:id="773" w:name="_Toc12912"/>
      <w:bookmarkStart w:id="774" w:name="_Toc5776"/>
      <w:bookmarkStart w:id="775" w:name="_Toc1059"/>
      <w:bookmarkStart w:id="776" w:name="_Toc256000109"/>
      <w:r>
        <w:rPr>
          <w:rFonts w:hint="eastAsia" w:ascii="宋体" w:hAnsi="宋体" w:eastAsia="宋体" w:cs="宋体"/>
          <w:b/>
          <w:i w:val="0"/>
          <w:caps w:val="0"/>
          <w:color w:val="auto"/>
          <w:spacing w:val="0"/>
          <w:w w:val="100"/>
          <w:sz w:val="32"/>
          <w:highlight w:val="none"/>
        </w:rPr>
        <w:t>14. 竣工结算</w:t>
      </w:r>
      <w:bookmarkEnd w:id="771"/>
      <w:bookmarkEnd w:id="772"/>
      <w:bookmarkEnd w:id="773"/>
      <w:bookmarkEnd w:id="774"/>
      <w:bookmarkEnd w:id="775"/>
      <w:bookmarkEnd w:id="776"/>
    </w:p>
    <w:p w14:paraId="381AFD66">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14.1 竣工结算申请</w:t>
      </w:r>
    </w:p>
    <w:p w14:paraId="6B5A5F44">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承包人提交竣工结算申请单的期限：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4D6036E5">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竣工结算申请单应包括的内容：</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75D8583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14.2 竣工结算审核</w:t>
      </w:r>
    </w:p>
    <w:p w14:paraId="7072B43E">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发包人审批竣工付款申请单的期限：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40151C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发包人完成竣工付款的期限：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10B1E70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关于竣工付款证书异议部分复核的方式和程序：</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CE42C97">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14.4 最终结清</w:t>
      </w:r>
    </w:p>
    <w:p w14:paraId="083ACD8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14.4.1 最终结清申请单</w:t>
      </w:r>
    </w:p>
    <w:p w14:paraId="32FC6DF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kern w:val="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承包人提交最终结清申请单的份数：</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0DEEA7A">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kern w:val="0"/>
          <w:sz w:val="21"/>
          <w:szCs w:val="21"/>
          <w:highlight w:val="none"/>
        </w:rPr>
        <w:t>承包人提交最终结算申请单的期限：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EBF8080">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14.4.2 最终结清证书和支付</w:t>
      </w:r>
    </w:p>
    <w:p w14:paraId="791CE793">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（1）发包人完成最终结清申请单的审批并颁发最终结清证书的期限：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0F529FE2">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（2）发包人完成支付的期限：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25C46812">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77" w:name="_Toc27110"/>
      <w:bookmarkStart w:id="778" w:name="_Toc505871394"/>
      <w:bookmarkStart w:id="779" w:name="_Toc4207"/>
      <w:bookmarkStart w:id="780" w:name="_Toc256000110"/>
      <w:bookmarkStart w:id="781" w:name="_Toc604"/>
      <w:bookmarkStart w:id="782" w:name="_Toc14176"/>
      <w:r>
        <w:rPr>
          <w:rFonts w:hint="eastAsia" w:ascii="宋体" w:hAnsi="宋体" w:eastAsia="宋体" w:cs="宋体"/>
          <w:b/>
          <w:i w:val="0"/>
          <w:caps w:val="0"/>
          <w:color w:val="auto"/>
          <w:spacing w:val="0"/>
          <w:w w:val="100"/>
          <w:sz w:val="32"/>
          <w:highlight w:val="none"/>
        </w:rPr>
        <w:t>15. 缺陷责任期与保修</w:t>
      </w:r>
      <w:bookmarkEnd w:id="777"/>
      <w:bookmarkEnd w:id="778"/>
      <w:bookmarkEnd w:id="779"/>
      <w:bookmarkEnd w:id="780"/>
      <w:bookmarkEnd w:id="781"/>
      <w:bookmarkEnd w:id="782"/>
    </w:p>
    <w:p w14:paraId="1A8577EF">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15.</w:t>
      </w:r>
      <w:r>
        <w:rPr>
          <w:rFonts w:hint="eastAsia" w:ascii="宋体" w:hAnsi="宋体" w:eastAsia="宋体" w:cs="宋体"/>
          <w:b/>
          <w:i w:val="0"/>
          <w:caps w:val="0"/>
          <w:color w:val="auto"/>
          <w:spacing w:val="0"/>
          <w:w w:val="100"/>
          <w:sz w:val="24"/>
          <w:highlight w:val="none"/>
          <w:lang w:val="en-US" w:eastAsia="zh-CN"/>
        </w:rPr>
        <w:t>1</w:t>
      </w:r>
      <w:r>
        <w:rPr>
          <w:rFonts w:hint="eastAsia" w:ascii="宋体" w:hAnsi="宋体" w:eastAsia="宋体" w:cs="宋体"/>
          <w:b/>
          <w:i w:val="0"/>
          <w:caps w:val="0"/>
          <w:color w:val="auto"/>
          <w:spacing w:val="0"/>
          <w:w w:val="100"/>
          <w:sz w:val="24"/>
          <w:highlight w:val="none"/>
        </w:rPr>
        <w:t>缺陷责任期</w:t>
      </w:r>
    </w:p>
    <w:p w14:paraId="68FB359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缺陷责任期的具体期限：</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w:t>
      </w:r>
    </w:p>
    <w:p w14:paraId="58F666B6">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15.</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质量保证金</w:t>
      </w:r>
    </w:p>
    <w:p w14:paraId="260DB159">
      <w:pPr>
        <w:pStyle w:val="48"/>
        <w:snapToGrid w:val="0"/>
        <w:spacing w:before="0" w:beforeAutospacing="0" w:after="0" w:afterAutospacing="0" w:line="360" w:lineRule="auto"/>
        <w:ind w:firstLine="42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1"/>
          <w:szCs w:val="21"/>
          <w:highlight w:val="none"/>
        </w:rPr>
        <w:t>关于是否扣留质量保证金的约定：</w:t>
      </w:r>
      <w:r>
        <w:rPr>
          <w:rFonts w:hint="eastAsia" w:ascii="宋体" w:hAnsi="宋体" w:eastAsia="宋体" w:cs="宋体"/>
          <w:b w:val="0"/>
          <w:i w:val="0"/>
          <w:caps w:val="0"/>
          <w:color w:val="auto"/>
          <w:spacing w:val="0"/>
          <w:w w:val="100"/>
          <w:sz w:val="21"/>
          <w:szCs w:val="21"/>
          <w:highlight w:val="none"/>
          <w:u w:val="single" w:color="000000"/>
        </w:rPr>
        <w:t xml:space="preserve">                      </w:t>
      </w:r>
      <w:r>
        <w:rPr>
          <w:rFonts w:hint="eastAsia" w:ascii="宋体" w:hAnsi="宋体" w:eastAsia="宋体" w:cs="宋体"/>
          <w:b w:val="0"/>
          <w:i w:val="0"/>
          <w:caps w:val="0"/>
          <w:color w:val="auto"/>
          <w:spacing w:val="0"/>
          <w:w w:val="100"/>
          <w:sz w:val="21"/>
          <w:szCs w:val="21"/>
          <w:highlight w:val="none"/>
        </w:rPr>
        <w:t>。在工程项目竣工前，承包人按专用合</w:t>
      </w:r>
      <w:r>
        <w:rPr>
          <w:rFonts w:hint="eastAsia" w:ascii="宋体" w:hAnsi="宋体" w:eastAsia="宋体" w:cs="宋体"/>
          <w:b w:val="0"/>
          <w:i w:val="0"/>
          <w:caps w:val="0"/>
          <w:color w:val="auto"/>
          <w:spacing w:val="0"/>
          <w:w w:val="100"/>
          <w:sz w:val="24"/>
          <w:szCs w:val="24"/>
          <w:highlight w:val="none"/>
        </w:rPr>
        <w:t>同条款第3.7条提供履约担保的，发包人不得同时预留工程质量保证金。</w:t>
      </w:r>
    </w:p>
    <w:p w14:paraId="4DE952A9">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15.</w:t>
      </w:r>
      <w:r>
        <w:rPr>
          <w:rFonts w:hint="eastAsia" w:ascii="宋体" w:hAnsi="宋体" w:cs="宋体"/>
          <w:b w:val="0"/>
          <w:i w:val="0"/>
          <w:caps w:val="0"/>
          <w:color w:val="auto"/>
          <w:spacing w:val="0"/>
          <w:w w:val="100"/>
          <w:sz w:val="24"/>
          <w:szCs w:val="24"/>
          <w:highlight w:val="none"/>
          <w:lang w:val="en-US" w:eastAsia="zh-CN"/>
        </w:rPr>
        <w:t>2</w:t>
      </w:r>
      <w:r>
        <w:rPr>
          <w:rFonts w:hint="eastAsia" w:ascii="宋体" w:hAnsi="宋体" w:eastAsia="宋体" w:cs="宋体"/>
          <w:b w:val="0"/>
          <w:i w:val="0"/>
          <w:caps w:val="0"/>
          <w:color w:val="auto"/>
          <w:spacing w:val="0"/>
          <w:w w:val="100"/>
          <w:sz w:val="24"/>
          <w:szCs w:val="24"/>
          <w:highlight w:val="none"/>
        </w:rPr>
        <w:t>.1 承包人提供质量保证金的方式</w:t>
      </w:r>
    </w:p>
    <w:p w14:paraId="15BA420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质量保证金采用以下第</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种方式：</w:t>
      </w:r>
    </w:p>
    <w:p w14:paraId="220E86AB">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（1）质量保证金保函，保证金额为：</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275DF44D">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%的工程款；</w:t>
      </w:r>
    </w:p>
    <w:p w14:paraId="433E6D13">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（3）其他方式:</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17EBB7B0">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15.</w:t>
      </w:r>
      <w:r>
        <w:rPr>
          <w:rFonts w:hint="eastAsia" w:ascii="宋体" w:hAnsi="宋体" w:cs="宋体"/>
          <w:b w:val="0"/>
          <w:i w:val="0"/>
          <w:caps w:val="0"/>
          <w:color w:val="auto"/>
          <w:spacing w:val="0"/>
          <w:w w:val="100"/>
          <w:sz w:val="24"/>
          <w:szCs w:val="24"/>
          <w:highlight w:val="none"/>
          <w:lang w:val="en-US" w:eastAsia="zh-CN"/>
        </w:rPr>
        <w:t>2</w:t>
      </w:r>
      <w:r>
        <w:rPr>
          <w:rFonts w:hint="eastAsia" w:ascii="宋体" w:hAnsi="宋体" w:eastAsia="宋体" w:cs="宋体"/>
          <w:b w:val="0"/>
          <w:i w:val="0"/>
          <w:caps w:val="0"/>
          <w:color w:val="auto"/>
          <w:spacing w:val="0"/>
          <w:w w:val="100"/>
          <w:sz w:val="24"/>
          <w:szCs w:val="24"/>
          <w:highlight w:val="none"/>
        </w:rPr>
        <w:t xml:space="preserve">.2 质量保证金的扣留 </w:t>
      </w:r>
    </w:p>
    <w:p w14:paraId="296E619E">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质量保证金的扣留采取以下第</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种方式：</w:t>
      </w:r>
    </w:p>
    <w:p w14:paraId="6B3D1E3F">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（1）在支付工程进度款时逐次扣留，在此情形下，质量保证金的计算基数不包括预付款的支付、扣回以及价格调整的金额；</w:t>
      </w:r>
    </w:p>
    <w:p w14:paraId="1A2F45AE">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（2）工程竣工结算时一次性扣留质量保证金；</w:t>
      </w:r>
    </w:p>
    <w:p w14:paraId="6A36E2A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（3）其他扣留方式:</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1A6C1755">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关于质量保证金的补充约定：</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328B1FFE">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4"/>
          <w:szCs w:val="24"/>
          <w:highlight w:val="none"/>
        </w:rPr>
        <w:t>15.</w:t>
      </w:r>
      <w:r>
        <w:rPr>
          <w:rFonts w:hint="eastAsia" w:ascii="宋体" w:hAnsi="宋体" w:eastAsia="宋体" w:cs="宋体"/>
          <w:b/>
          <w:i w:val="0"/>
          <w:caps w:val="0"/>
          <w:color w:val="auto"/>
          <w:spacing w:val="0"/>
          <w:w w:val="100"/>
          <w:sz w:val="24"/>
          <w:szCs w:val="24"/>
          <w:highlight w:val="none"/>
          <w:lang w:val="en-US" w:eastAsia="zh-CN"/>
        </w:rPr>
        <w:t>3</w:t>
      </w:r>
      <w:r>
        <w:rPr>
          <w:rFonts w:hint="eastAsia" w:ascii="宋体" w:hAnsi="宋体" w:eastAsia="宋体" w:cs="宋体"/>
          <w:b/>
          <w:i w:val="0"/>
          <w:caps w:val="0"/>
          <w:color w:val="auto"/>
          <w:spacing w:val="0"/>
          <w:w w:val="100"/>
          <w:sz w:val="24"/>
          <w:szCs w:val="24"/>
          <w:highlight w:val="none"/>
        </w:rPr>
        <w:t>保修</w:t>
      </w:r>
    </w:p>
    <w:p w14:paraId="7933B51F">
      <w:pPr>
        <w:pStyle w:val="48"/>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15.</w:t>
      </w:r>
      <w:r>
        <w:rPr>
          <w:rFonts w:hint="eastAsia" w:ascii="宋体" w:hAnsi="宋体" w:cs="宋体"/>
          <w:b w:val="0"/>
          <w:i w:val="0"/>
          <w:caps w:val="0"/>
          <w:color w:val="auto"/>
          <w:spacing w:val="0"/>
          <w:w w:val="100"/>
          <w:sz w:val="24"/>
          <w:szCs w:val="24"/>
          <w:highlight w:val="none"/>
          <w:lang w:val="en-US" w:eastAsia="zh-CN"/>
        </w:rPr>
        <w:t>3</w:t>
      </w:r>
      <w:r>
        <w:rPr>
          <w:rFonts w:hint="eastAsia" w:ascii="宋体" w:hAnsi="宋体" w:eastAsia="宋体" w:cs="宋体"/>
          <w:b w:val="0"/>
          <w:i w:val="0"/>
          <w:caps w:val="0"/>
          <w:color w:val="auto"/>
          <w:spacing w:val="0"/>
          <w:w w:val="100"/>
          <w:sz w:val="24"/>
          <w:szCs w:val="24"/>
          <w:highlight w:val="none"/>
        </w:rPr>
        <w:t>.1 保修责任</w:t>
      </w:r>
    </w:p>
    <w:p w14:paraId="02370D46">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工程保修期为：</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1448B867">
      <w:pPr>
        <w:pStyle w:val="48"/>
        <w:snapToGrid w:val="0"/>
        <w:spacing w:before="0" w:beforeAutospacing="0" w:after="0" w:afterAutospacing="0" w:line="360" w:lineRule="auto"/>
        <w:ind w:firstLine="468" w:firstLineChars="195"/>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15.</w:t>
      </w:r>
      <w:r>
        <w:rPr>
          <w:rFonts w:hint="eastAsia" w:ascii="宋体" w:hAnsi="宋体" w:cs="宋体"/>
          <w:b w:val="0"/>
          <w:i w:val="0"/>
          <w:caps w:val="0"/>
          <w:color w:val="auto"/>
          <w:spacing w:val="0"/>
          <w:w w:val="100"/>
          <w:sz w:val="24"/>
          <w:szCs w:val="24"/>
          <w:highlight w:val="none"/>
          <w:lang w:val="en-US" w:eastAsia="zh-CN"/>
        </w:rPr>
        <w:t>3</w:t>
      </w:r>
      <w:r>
        <w:rPr>
          <w:rFonts w:hint="eastAsia" w:ascii="宋体" w:hAnsi="宋体" w:eastAsia="宋体" w:cs="宋体"/>
          <w:b w:val="0"/>
          <w:i w:val="0"/>
          <w:caps w:val="0"/>
          <w:color w:val="auto"/>
          <w:spacing w:val="0"/>
          <w:w w:val="100"/>
          <w:sz w:val="24"/>
          <w:szCs w:val="24"/>
          <w:highlight w:val="none"/>
        </w:rPr>
        <w:t>.</w:t>
      </w:r>
      <w:r>
        <w:rPr>
          <w:rFonts w:hint="eastAsia" w:ascii="宋体" w:hAnsi="宋体" w:cs="宋体"/>
          <w:b w:val="0"/>
          <w:i w:val="0"/>
          <w:caps w:val="0"/>
          <w:color w:val="auto"/>
          <w:spacing w:val="0"/>
          <w:w w:val="100"/>
          <w:sz w:val="24"/>
          <w:szCs w:val="24"/>
          <w:highlight w:val="none"/>
          <w:lang w:val="en-US" w:eastAsia="zh-CN"/>
        </w:rPr>
        <w:t>2</w:t>
      </w:r>
      <w:r>
        <w:rPr>
          <w:rFonts w:hint="eastAsia" w:ascii="宋体" w:hAnsi="宋体" w:eastAsia="宋体" w:cs="宋体"/>
          <w:b w:val="0"/>
          <w:i w:val="0"/>
          <w:caps w:val="0"/>
          <w:color w:val="auto"/>
          <w:spacing w:val="0"/>
          <w:w w:val="100"/>
          <w:sz w:val="24"/>
          <w:szCs w:val="24"/>
          <w:highlight w:val="none"/>
        </w:rPr>
        <w:t xml:space="preserve"> 修复通知</w:t>
      </w:r>
    </w:p>
    <w:p w14:paraId="39A1013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承包人收到保修通知并到达工程现场的合理时间：</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3A6E9930">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83" w:name="_Toc505871395"/>
      <w:bookmarkStart w:id="784" w:name="_Toc9835"/>
      <w:bookmarkStart w:id="785" w:name="_Toc9839"/>
      <w:bookmarkStart w:id="786" w:name="_Toc26209"/>
      <w:bookmarkStart w:id="787" w:name="_Toc828"/>
      <w:bookmarkStart w:id="788" w:name="_Toc256000111"/>
      <w:r>
        <w:rPr>
          <w:rFonts w:hint="eastAsia" w:ascii="宋体" w:hAnsi="宋体" w:eastAsia="宋体" w:cs="宋体"/>
          <w:b/>
          <w:i w:val="0"/>
          <w:caps w:val="0"/>
          <w:color w:val="auto"/>
          <w:spacing w:val="0"/>
          <w:w w:val="100"/>
          <w:sz w:val="32"/>
          <w:highlight w:val="none"/>
        </w:rPr>
        <w:t>16. 违约</w:t>
      </w:r>
      <w:bookmarkEnd w:id="783"/>
      <w:bookmarkEnd w:id="784"/>
      <w:bookmarkEnd w:id="785"/>
      <w:bookmarkEnd w:id="786"/>
      <w:bookmarkEnd w:id="787"/>
      <w:bookmarkEnd w:id="788"/>
    </w:p>
    <w:p w14:paraId="04655DA3">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16.1 发包人违约</w:t>
      </w:r>
    </w:p>
    <w:p w14:paraId="6A957C0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16.1.1发包人违约的情形</w:t>
      </w:r>
    </w:p>
    <w:p w14:paraId="1AF62262">
      <w:pPr>
        <w:pStyle w:val="48"/>
        <w:snapToGrid w:val="0"/>
        <w:spacing w:before="0" w:beforeAutospacing="0" w:after="0" w:afterAutospacing="0" w:line="360" w:lineRule="auto"/>
        <w:ind w:hangingChars="5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发包人违约的其他情形：</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2CCAEF8D">
      <w:pPr>
        <w:pStyle w:val="48"/>
        <w:snapToGrid w:val="0"/>
        <w:spacing w:before="0" w:beforeAutospacing="0" w:after="0" w:afterAutospacing="0" w:line="360" w:lineRule="auto"/>
        <w:ind w:hangingChars="5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    16.1.2 发包人违约的责任</w:t>
      </w:r>
    </w:p>
    <w:p w14:paraId="67CCFFF1">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发包人违约责任的承担方式和计算方法：</w:t>
      </w:r>
    </w:p>
    <w:p w14:paraId="7B83192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u w:val="single" w:color="000000"/>
        </w:rPr>
      </w:pPr>
      <w:r>
        <w:rPr>
          <w:rFonts w:hint="eastAsia" w:ascii="宋体" w:hAnsi="宋体" w:eastAsia="宋体" w:cs="宋体"/>
          <w:b w:val="0"/>
          <w:i w:val="0"/>
          <w:caps w:val="0"/>
          <w:color w:val="auto"/>
          <w:spacing w:val="0"/>
          <w:w w:val="100"/>
          <w:kern w:val="0"/>
          <w:sz w:val="24"/>
          <w:szCs w:val="24"/>
          <w:highlight w:val="none"/>
        </w:rPr>
        <w:t>（1）因发包人原因未能在计划开工日期前7天内下达开工通知的违约责任：</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4DB6076D">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（2）因发包人原因未能按合同约定支付合同价款的违约责任：</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59571A7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（3）发包人违反第10.1款〔变更的范围〕第（2）项约定，自行实施被取消的工作或转由他人实施的违约责任：</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6C451919">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07FFA6E5">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（5）因发包人违反合同约定造成暂停施工的违约责任：</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774456F8">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（6）发包人无正当理由没有在约定期限内发出复工指示，导致承包人无法复工的违约责任：</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76F5C203">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（7）其他：</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28C426C0">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16.1.3 因发包人违约解除合同</w:t>
      </w:r>
    </w:p>
    <w:p w14:paraId="672947D6">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承包人按16.1.1项〔发包人违约的情形〕约定暂停施工满</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天后发包人仍不纠正其违约行为并致使合同目的不能实现的，承包人有权解除合同。</w:t>
      </w:r>
    </w:p>
    <w:p w14:paraId="15C9F782">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16.2 承包人违约</w:t>
      </w:r>
    </w:p>
    <w:p w14:paraId="7864FC43">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16.2.1 承包人违约的情形</w:t>
      </w:r>
    </w:p>
    <w:p w14:paraId="21448C91">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承包人违约的其他情形：</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485B76DB">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16.2.2承包人违约的责任</w:t>
      </w:r>
    </w:p>
    <w:p w14:paraId="1ADCC4B5">
      <w:pPr>
        <w:pStyle w:val="48"/>
        <w:snapToGrid w:val="0"/>
        <w:spacing w:before="0" w:beforeAutospacing="0" w:after="0" w:afterAutospacing="0" w:line="360" w:lineRule="auto"/>
        <w:ind w:hangingChars="500"/>
        <w:jc w:val="left"/>
        <w:textAlignment w:val="baseline"/>
        <w:rPr>
          <w:rFonts w:hint="eastAsia" w:ascii="宋体" w:hAnsi="宋体" w:eastAsia="宋体" w:cs="宋体"/>
          <w:b w:val="0"/>
          <w:i w:val="0"/>
          <w:caps w:val="0"/>
          <w:color w:val="auto"/>
          <w:spacing w:val="0"/>
          <w:w w:val="100"/>
          <w:kern w:val="0"/>
          <w:sz w:val="24"/>
          <w:szCs w:val="24"/>
          <w:highlight w:val="none"/>
          <w:u w:val="single" w:color="000000"/>
        </w:rPr>
      </w:pPr>
      <w:r>
        <w:rPr>
          <w:rFonts w:hint="eastAsia" w:ascii="宋体" w:hAnsi="宋体" w:eastAsia="宋体" w:cs="宋体"/>
          <w:b w:val="0"/>
          <w:i w:val="0"/>
          <w:caps w:val="0"/>
          <w:color w:val="auto"/>
          <w:spacing w:val="0"/>
          <w:w w:val="100"/>
          <w:kern w:val="0"/>
          <w:sz w:val="24"/>
          <w:szCs w:val="24"/>
          <w:highlight w:val="none"/>
        </w:rPr>
        <w:t>承包人违约责任的承担方式和计算方法：</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r>
        <w:rPr>
          <w:rFonts w:hint="eastAsia" w:ascii="宋体" w:hAnsi="宋体" w:eastAsia="宋体" w:cs="宋体"/>
          <w:b w:val="0"/>
          <w:i w:val="0"/>
          <w:caps w:val="0"/>
          <w:color w:val="auto"/>
          <w:spacing w:val="0"/>
          <w:w w:val="100"/>
          <w:sz w:val="24"/>
          <w:szCs w:val="24"/>
          <w:highlight w:val="none"/>
        </w:rPr>
        <w:t xml:space="preserve">    </w:t>
      </w:r>
    </w:p>
    <w:p w14:paraId="2F4E2586">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16.2.3 因承包人违约解除合同</w:t>
      </w:r>
    </w:p>
    <w:p w14:paraId="5D1F7323">
      <w:pPr>
        <w:pStyle w:val="48"/>
        <w:snapToGrid w:val="0"/>
        <w:spacing w:before="120" w:beforeAutospacing="0" w:after="120" w:afterAutospacing="0" w:line="360" w:lineRule="auto"/>
        <w:jc w:val="both"/>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关于承包人违约解除合同的特别约定：</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2E583234">
      <w:pPr>
        <w:pStyle w:val="48"/>
        <w:snapToGrid w:val="0"/>
        <w:spacing w:before="120" w:beforeAutospacing="0" w:after="120" w:afterAutospacing="0" w:line="360" w:lineRule="auto"/>
        <w:ind w:firstLine="480" w:firstLineChars="200"/>
        <w:jc w:val="both"/>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发包人继续使用承包人在施工现场的材料、设备、临时工程、承包人文件和由承包人或以其名义编制的其他文件的费用承担方式：</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6723AE2C">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89" w:name="_Toc12299"/>
      <w:bookmarkStart w:id="790" w:name="_Toc8274"/>
      <w:bookmarkStart w:id="791" w:name="_Toc256000112"/>
      <w:bookmarkStart w:id="792" w:name="_Toc29093"/>
      <w:bookmarkStart w:id="793" w:name="_Toc25709"/>
      <w:bookmarkStart w:id="794" w:name="_Toc505871396"/>
      <w:r>
        <w:rPr>
          <w:rFonts w:hint="eastAsia" w:ascii="宋体" w:hAnsi="宋体" w:eastAsia="宋体" w:cs="宋体"/>
          <w:b/>
          <w:i w:val="0"/>
          <w:caps w:val="0"/>
          <w:color w:val="auto"/>
          <w:spacing w:val="0"/>
          <w:w w:val="100"/>
          <w:sz w:val="32"/>
          <w:highlight w:val="none"/>
        </w:rPr>
        <w:t>17. 不可抗力</w:t>
      </w:r>
      <w:bookmarkEnd w:id="789"/>
      <w:bookmarkEnd w:id="790"/>
      <w:bookmarkEnd w:id="791"/>
      <w:bookmarkEnd w:id="792"/>
      <w:bookmarkEnd w:id="793"/>
      <w:bookmarkEnd w:id="794"/>
      <w:r>
        <w:rPr>
          <w:rFonts w:hint="eastAsia" w:ascii="宋体" w:hAnsi="宋体" w:eastAsia="宋体" w:cs="宋体"/>
          <w:b/>
          <w:i w:val="0"/>
          <w:caps w:val="0"/>
          <w:color w:val="auto"/>
          <w:spacing w:val="0"/>
          <w:w w:val="100"/>
          <w:sz w:val="32"/>
          <w:highlight w:val="none"/>
        </w:rPr>
        <w:t xml:space="preserve"> </w:t>
      </w:r>
    </w:p>
    <w:p w14:paraId="009032C0">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17.1 不可抗力的确认</w:t>
      </w:r>
    </w:p>
    <w:p w14:paraId="4C114CBF">
      <w:pPr>
        <w:pStyle w:val="48"/>
        <w:snapToGrid w:val="0"/>
        <w:spacing w:before="0" w:beforeAutospacing="0" w:after="0" w:afterAutospacing="0" w:line="360" w:lineRule="auto"/>
        <w:ind w:firstLine="240" w:firstLineChars="100"/>
        <w:jc w:val="left"/>
        <w:textAlignment w:val="baseline"/>
        <w:rPr>
          <w:rFonts w:hint="eastAsia" w:ascii="宋体" w:hAnsi="宋体" w:eastAsia="宋体" w:cs="宋体"/>
          <w:b w:val="0"/>
          <w:i w:val="0"/>
          <w:caps w:val="0"/>
          <w:color w:val="auto"/>
          <w:spacing w:val="0"/>
          <w:w w:val="100"/>
          <w:kern w:val="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 xml:space="preserve">除通用合同条款约定的不可抗力事件之外，视为不可抗力的其他情形： </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4F08F899">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17.</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因不可抗力解除合同</w:t>
      </w:r>
    </w:p>
    <w:p w14:paraId="4C053240">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合同解除后，发包人应在商定或确定发包人应支付款项后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天内完成款项的支付。</w:t>
      </w:r>
    </w:p>
    <w:p w14:paraId="1C8EEC45">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795" w:name="_Toc256000113"/>
      <w:bookmarkStart w:id="796" w:name="_Toc28425"/>
      <w:bookmarkStart w:id="797" w:name="_Toc505871397"/>
      <w:bookmarkStart w:id="798" w:name="_Toc28156"/>
      <w:bookmarkStart w:id="799" w:name="_Toc4349"/>
      <w:bookmarkStart w:id="800" w:name="_Toc21760"/>
      <w:r>
        <w:rPr>
          <w:rFonts w:hint="eastAsia" w:ascii="宋体" w:hAnsi="宋体" w:eastAsia="宋体" w:cs="宋体"/>
          <w:b/>
          <w:i w:val="0"/>
          <w:caps w:val="0"/>
          <w:color w:val="auto"/>
          <w:spacing w:val="0"/>
          <w:w w:val="100"/>
          <w:sz w:val="32"/>
          <w:highlight w:val="none"/>
        </w:rPr>
        <w:t>18. 保险</w:t>
      </w:r>
      <w:bookmarkEnd w:id="795"/>
      <w:bookmarkEnd w:id="796"/>
      <w:bookmarkEnd w:id="797"/>
      <w:bookmarkEnd w:id="798"/>
      <w:bookmarkEnd w:id="799"/>
      <w:bookmarkEnd w:id="800"/>
    </w:p>
    <w:p w14:paraId="53F05FF7">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18.1 工程保险</w:t>
      </w:r>
    </w:p>
    <w:p w14:paraId="3B7F952E">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关于工程保险的特别约定：</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2AD8CC28">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18.</w:t>
      </w:r>
      <w:r>
        <w:rPr>
          <w:rFonts w:hint="eastAsia" w:ascii="宋体" w:hAnsi="宋体" w:eastAsia="宋体" w:cs="宋体"/>
          <w:b/>
          <w:i w:val="0"/>
          <w:caps w:val="0"/>
          <w:color w:val="auto"/>
          <w:spacing w:val="0"/>
          <w:w w:val="100"/>
          <w:sz w:val="24"/>
          <w:highlight w:val="none"/>
          <w:lang w:val="en-US" w:eastAsia="zh-CN"/>
        </w:rPr>
        <w:t>2</w:t>
      </w:r>
      <w:r>
        <w:rPr>
          <w:rFonts w:hint="eastAsia" w:ascii="宋体" w:hAnsi="宋体" w:eastAsia="宋体" w:cs="宋体"/>
          <w:b/>
          <w:i w:val="0"/>
          <w:caps w:val="0"/>
          <w:color w:val="auto"/>
          <w:spacing w:val="0"/>
          <w:w w:val="100"/>
          <w:sz w:val="24"/>
          <w:highlight w:val="none"/>
        </w:rPr>
        <w:t xml:space="preserve"> 其他保险</w:t>
      </w:r>
    </w:p>
    <w:p w14:paraId="5C7EFB8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关于其他保险的约定：</w:t>
      </w:r>
      <w:r>
        <w:rPr>
          <w:rFonts w:hint="eastAsia" w:ascii="宋体" w:hAnsi="宋体" w:eastAsia="宋体" w:cs="宋体"/>
          <w:b w:val="0"/>
          <w:i w:val="0"/>
          <w:caps w:val="0"/>
          <w:color w:val="auto"/>
          <w:spacing w:val="0"/>
          <w:w w:val="100"/>
          <w:kern w:val="0"/>
          <w:sz w:val="24"/>
          <w:szCs w:val="24"/>
          <w:highlight w:val="none"/>
          <w:u w:val="single" w:color="000000"/>
        </w:rPr>
        <w:t xml:space="preserve">                                          </w:t>
      </w:r>
      <w:r>
        <w:rPr>
          <w:rFonts w:hint="eastAsia" w:ascii="宋体" w:hAnsi="宋体" w:eastAsia="宋体" w:cs="宋体"/>
          <w:b w:val="0"/>
          <w:i w:val="0"/>
          <w:caps w:val="0"/>
          <w:color w:val="auto"/>
          <w:spacing w:val="0"/>
          <w:w w:val="100"/>
          <w:kern w:val="0"/>
          <w:sz w:val="24"/>
          <w:szCs w:val="24"/>
          <w:highlight w:val="none"/>
        </w:rPr>
        <w:t>。</w:t>
      </w:r>
    </w:p>
    <w:p w14:paraId="4E8CA7B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sz w:val="24"/>
          <w:szCs w:val="24"/>
          <w:highlight w:val="none"/>
        </w:rPr>
        <w:t>承包人是否应为其施工设备等办理财产保险：</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1FCB0BA8">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rPr>
        <w:t>18.</w:t>
      </w:r>
      <w:r>
        <w:rPr>
          <w:rFonts w:hint="eastAsia" w:ascii="宋体" w:hAnsi="宋体" w:eastAsia="宋体" w:cs="宋体"/>
          <w:b/>
          <w:i w:val="0"/>
          <w:caps w:val="0"/>
          <w:color w:val="auto"/>
          <w:spacing w:val="0"/>
          <w:w w:val="100"/>
          <w:sz w:val="24"/>
          <w:highlight w:val="none"/>
          <w:lang w:val="en-US" w:eastAsia="zh-CN"/>
        </w:rPr>
        <w:t>3</w:t>
      </w:r>
      <w:r>
        <w:rPr>
          <w:rFonts w:hint="eastAsia" w:ascii="宋体" w:hAnsi="宋体" w:eastAsia="宋体" w:cs="宋体"/>
          <w:b/>
          <w:i w:val="0"/>
          <w:caps w:val="0"/>
          <w:color w:val="auto"/>
          <w:spacing w:val="0"/>
          <w:w w:val="100"/>
          <w:sz w:val="24"/>
          <w:highlight w:val="none"/>
        </w:rPr>
        <w:t xml:space="preserve"> 通知义务</w:t>
      </w:r>
    </w:p>
    <w:p w14:paraId="7D69D3A9">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kern w:val="0"/>
          <w:sz w:val="24"/>
          <w:szCs w:val="24"/>
          <w:highlight w:val="none"/>
        </w:rPr>
        <w:t>关于变更保险合同时的通知义务的约定：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2D47DD05">
      <w:pPr>
        <w:pStyle w:val="51"/>
        <w:snapToGrid w:val="0"/>
        <w:spacing w:before="260" w:beforeAutospacing="0" w:after="260" w:afterAutospacing="0" w:line="416" w:lineRule="auto"/>
        <w:jc w:val="both"/>
        <w:textAlignment w:val="baseline"/>
        <w:outlineLvl w:val="4"/>
        <w:rPr>
          <w:rFonts w:hint="eastAsia" w:ascii="宋体" w:hAnsi="宋体" w:eastAsia="宋体" w:cs="宋体"/>
          <w:b/>
          <w:i w:val="0"/>
          <w:caps w:val="0"/>
          <w:color w:val="auto"/>
          <w:spacing w:val="0"/>
          <w:w w:val="100"/>
          <w:sz w:val="32"/>
          <w:highlight w:val="none"/>
        </w:rPr>
      </w:pPr>
      <w:bookmarkStart w:id="801" w:name="_Toc30036"/>
      <w:bookmarkStart w:id="802" w:name="_Toc505871398"/>
      <w:bookmarkStart w:id="803" w:name="_Toc10581"/>
      <w:bookmarkStart w:id="804" w:name="_Toc11022"/>
      <w:bookmarkStart w:id="805" w:name="_Toc256000114"/>
      <w:bookmarkStart w:id="806" w:name="_Toc26658"/>
      <w:r>
        <w:rPr>
          <w:rFonts w:hint="eastAsia" w:ascii="宋体" w:hAnsi="宋体" w:cs="宋体"/>
          <w:b/>
          <w:i w:val="0"/>
          <w:caps w:val="0"/>
          <w:color w:val="auto"/>
          <w:spacing w:val="0"/>
          <w:w w:val="100"/>
          <w:sz w:val="32"/>
          <w:highlight w:val="none"/>
          <w:lang w:val="en-US" w:eastAsia="zh-CN"/>
        </w:rPr>
        <w:t>19</w:t>
      </w:r>
      <w:r>
        <w:rPr>
          <w:rFonts w:hint="eastAsia" w:ascii="宋体" w:hAnsi="宋体" w:eastAsia="宋体" w:cs="宋体"/>
          <w:b/>
          <w:i w:val="0"/>
          <w:caps w:val="0"/>
          <w:color w:val="auto"/>
          <w:spacing w:val="0"/>
          <w:w w:val="100"/>
          <w:sz w:val="32"/>
          <w:highlight w:val="none"/>
        </w:rPr>
        <w:t>. 争议解决</w:t>
      </w:r>
      <w:bookmarkEnd w:id="801"/>
      <w:bookmarkEnd w:id="802"/>
      <w:bookmarkEnd w:id="803"/>
      <w:bookmarkEnd w:id="804"/>
      <w:bookmarkEnd w:id="805"/>
      <w:bookmarkEnd w:id="806"/>
    </w:p>
    <w:p w14:paraId="071152BA">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lang w:val="en-US" w:eastAsia="zh-CN"/>
        </w:rPr>
        <w:t>19</w:t>
      </w:r>
      <w:r>
        <w:rPr>
          <w:rFonts w:hint="eastAsia" w:ascii="宋体" w:hAnsi="宋体" w:eastAsia="宋体" w:cs="宋体"/>
          <w:b/>
          <w:i w:val="0"/>
          <w:caps w:val="0"/>
          <w:color w:val="auto"/>
          <w:spacing w:val="0"/>
          <w:w w:val="100"/>
          <w:sz w:val="24"/>
          <w:highlight w:val="none"/>
        </w:rPr>
        <w:t>.3 争议评审</w:t>
      </w:r>
    </w:p>
    <w:p w14:paraId="6E3E12D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合同当事人是否同意将工程争议提交争议评审小组决定：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w:t>
      </w:r>
    </w:p>
    <w:p w14:paraId="172A207A">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20.3.1 争议评审小组的确定</w:t>
      </w:r>
    </w:p>
    <w:p w14:paraId="435FDD22">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争议评审小组成员的确定：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3AE5CFE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选定争议评审员的期限：</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446EF02D">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争议评审小组成员的报酬承担方式：</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5215B39A">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其他事项的约定：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09852C9D">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20.3.2 争议评审小组的决定</w:t>
      </w:r>
    </w:p>
    <w:p w14:paraId="2D0B8B54">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合同当事人关于本项的约定：</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48786EB4">
      <w:pPr>
        <w:pStyle w:val="52"/>
        <w:snapToGrid w:val="0"/>
        <w:spacing w:before="280" w:beforeAutospacing="0" w:after="290" w:afterAutospacing="0" w:line="376" w:lineRule="atLeast"/>
        <w:jc w:val="both"/>
        <w:textAlignment w:val="baseline"/>
        <w:outlineLvl w:val="5"/>
        <w:rPr>
          <w:rFonts w:hint="eastAsia" w:ascii="宋体" w:hAnsi="宋体" w:eastAsia="宋体" w:cs="宋体"/>
          <w:b/>
          <w:i w:val="0"/>
          <w:caps w:val="0"/>
          <w:color w:val="auto"/>
          <w:spacing w:val="0"/>
          <w:w w:val="100"/>
          <w:sz w:val="24"/>
          <w:highlight w:val="none"/>
        </w:rPr>
      </w:pPr>
      <w:r>
        <w:rPr>
          <w:rFonts w:hint="eastAsia" w:ascii="宋体" w:hAnsi="宋体" w:eastAsia="宋体" w:cs="宋体"/>
          <w:b/>
          <w:i w:val="0"/>
          <w:caps w:val="0"/>
          <w:color w:val="auto"/>
          <w:spacing w:val="0"/>
          <w:w w:val="100"/>
          <w:sz w:val="24"/>
          <w:highlight w:val="none"/>
          <w:lang w:val="en-US" w:eastAsia="zh-CN"/>
        </w:rPr>
        <w:t>19</w:t>
      </w:r>
      <w:r>
        <w:rPr>
          <w:rFonts w:hint="eastAsia" w:ascii="宋体" w:hAnsi="宋体" w:eastAsia="宋体" w:cs="宋体"/>
          <w:b/>
          <w:i w:val="0"/>
          <w:caps w:val="0"/>
          <w:color w:val="auto"/>
          <w:spacing w:val="0"/>
          <w:w w:val="100"/>
          <w:sz w:val="24"/>
          <w:highlight w:val="none"/>
        </w:rPr>
        <w:t>.4仲裁或诉讼</w:t>
      </w:r>
    </w:p>
    <w:p w14:paraId="6FD589C5">
      <w:pPr>
        <w:pStyle w:val="48"/>
        <w:snapToGrid w:val="0"/>
        <w:spacing w:before="0" w:beforeAutospacing="0" w:after="12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因合同及合同有关事项发生的争议，按下列第</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种方式解决：</w:t>
      </w:r>
    </w:p>
    <w:p w14:paraId="57018B3D">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（1）向</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仲裁委员会申请仲裁；</w:t>
      </w:r>
    </w:p>
    <w:p w14:paraId="2977360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（2）向</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人民法院起诉。</w:t>
      </w:r>
    </w:p>
    <w:p w14:paraId="34F992FD">
      <w:pPr>
        <w:pStyle w:val="49"/>
        <w:snapToGrid w:val="0"/>
        <w:spacing w:before="340" w:beforeAutospacing="0" w:after="330" w:afterAutospacing="0" w:line="576" w:lineRule="auto"/>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br w:type="page"/>
      </w:r>
    </w:p>
    <w:p w14:paraId="09627BBE">
      <w:pPr>
        <w:snapToGrid w:val="0"/>
        <w:spacing w:before="340" w:beforeAutospacing="0" w:after="330" w:afterAutospacing="0" w:line="576" w:lineRule="auto"/>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t>附件</w:t>
      </w:r>
    </w:p>
    <w:p w14:paraId="41E76A17">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协议书附件：</w:t>
      </w:r>
    </w:p>
    <w:p w14:paraId="4E4E48F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附件1：承包人承揽工程项目一览表</w:t>
      </w:r>
    </w:p>
    <w:p w14:paraId="15AEAC6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专用合同条款附件：</w:t>
      </w:r>
    </w:p>
    <w:p w14:paraId="462CEFC1">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附件2：发包人供应材料设备一览表</w:t>
      </w:r>
    </w:p>
    <w:p w14:paraId="431780A3">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附件3：工程质量保修书</w:t>
      </w:r>
    </w:p>
    <w:p w14:paraId="538B2520">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附件4：主要建设工程文件目录</w:t>
      </w:r>
    </w:p>
    <w:p w14:paraId="14FCCB6D">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附件5：承包人用于本工程施工的机械设备表</w:t>
      </w:r>
    </w:p>
    <w:p w14:paraId="1E9053BC">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附件6：承包人主要施工管理人员表</w:t>
      </w:r>
    </w:p>
    <w:p w14:paraId="7AD9583C">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附件7：分包人主要施工管理人员表</w:t>
      </w:r>
    </w:p>
    <w:p w14:paraId="530578B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附件8：履约担保格式</w:t>
      </w:r>
    </w:p>
    <w:p w14:paraId="0D2E1F9D">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附件9：预付款担保格式</w:t>
      </w:r>
    </w:p>
    <w:p w14:paraId="48F1A104">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附件10：支付担保格式</w:t>
      </w:r>
    </w:p>
    <w:p w14:paraId="6BB17C9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附件11：暂估价一览表</w:t>
      </w:r>
    </w:p>
    <w:p w14:paraId="66D5CB42">
      <w:pPr>
        <w:rPr>
          <w:rFonts w:hint="eastAsia" w:ascii="宋体" w:hAnsi="宋体" w:eastAsia="宋体" w:cs="宋体"/>
          <w:b/>
          <w:i w:val="0"/>
          <w:caps w:val="0"/>
          <w:color w:val="auto"/>
          <w:spacing w:val="0"/>
          <w:w w:val="100"/>
          <w:sz w:val="32"/>
          <w:highlight w:val="none"/>
        </w:rPr>
      </w:pPr>
      <w:bookmarkStart w:id="807" w:name="_Toc505871399"/>
      <w:bookmarkStart w:id="808" w:name="_Toc256000115"/>
      <w:bookmarkStart w:id="809" w:name="_Toc21503"/>
      <w:bookmarkStart w:id="810" w:name="_Toc11759"/>
      <w:r>
        <w:rPr>
          <w:rFonts w:hint="eastAsia" w:ascii="宋体" w:hAnsi="宋体" w:eastAsia="宋体" w:cs="宋体"/>
          <w:b/>
          <w:i w:val="0"/>
          <w:caps w:val="0"/>
          <w:color w:val="auto"/>
          <w:spacing w:val="0"/>
          <w:w w:val="100"/>
          <w:sz w:val="32"/>
          <w:highlight w:val="none"/>
        </w:rPr>
        <w:br w:type="page"/>
      </w:r>
    </w:p>
    <w:p w14:paraId="5DED00B4">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附件1：</w:t>
      </w:r>
      <w:bookmarkEnd w:id="807"/>
      <w:bookmarkEnd w:id="808"/>
      <w:bookmarkStart w:id="811" w:name="_Toc256000116"/>
      <w:bookmarkStart w:id="812" w:name="_Toc505871400"/>
      <w:r>
        <w:rPr>
          <w:rFonts w:hint="eastAsia" w:ascii="宋体" w:hAnsi="宋体" w:eastAsia="宋体" w:cs="宋体"/>
          <w:b/>
          <w:i w:val="0"/>
          <w:caps w:val="0"/>
          <w:color w:val="auto"/>
          <w:spacing w:val="0"/>
          <w:w w:val="100"/>
          <w:sz w:val="32"/>
          <w:highlight w:val="none"/>
        </w:rPr>
        <w:t>承包人承揽工程项目一览表</w:t>
      </w:r>
      <w:bookmarkEnd w:id="809"/>
      <w:bookmarkEnd w:id="810"/>
      <w:bookmarkEnd w:id="811"/>
      <w:bookmarkEnd w:id="812"/>
    </w:p>
    <w:tbl>
      <w:tblPr>
        <w:tblStyle w:val="22"/>
        <w:tblW w:w="94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31"/>
        <w:gridCol w:w="1792"/>
        <w:gridCol w:w="1724"/>
        <w:gridCol w:w="1418"/>
        <w:gridCol w:w="1541"/>
        <w:gridCol w:w="1418"/>
      </w:tblGrid>
      <w:tr w14:paraId="4990D5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76" w:hRule="atLeast"/>
          <w:jc w:val="center"/>
        </w:trPr>
        <w:tc>
          <w:tcPr>
            <w:tcW w:w="1531" w:type="dxa"/>
            <w:tcBorders>
              <w:top w:val="single" w:color="auto" w:sz="12" w:space="0"/>
              <w:bottom w:val="double" w:color="auto" w:sz="6" w:space="0"/>
            </w:tcBorders>
            <w:noWrap w:val="0"/>
            <w:vAlign w:val="center"/>
          </w:tcPr>
          <w:p w14:paraId="78EA7023">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单位工程名称</w:t>
            </w:r>
          </w:p>
        </w:tc>
        <w:tc>
          <w:tcPr>
            <w:tcW w:w="1792" w:type="dxa"/>
            <w:tcBorders>
              <w:top w:val="single" w:color="auto" w:sz="12" w:space="0"/>
              <w:bottom w:val="double" w:color="auto" w:sz="6" w:space="0"/>
            </w:tcBorders>
            <w:noWrap w:val="0"/>
            <w:vAlign w:val="center"/>
          </w:tcPr>
          <w:p w14:paraId="2C4359DB">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建设规模</w:t>
            </w:r>
          </w:p>
        </w:tc>
        <w:tc>
          <w:tcPr>
            <w:tcW w:w="1724" w:type="dxa"/>
            <w:tcBorders>
              <w:top w:val="single" w:color="auto" w:sz="12" w:space="0"/>
              <w:bottom w:val="double" w:color="auto" w:sz="6" w:space="0"/>
            </w:tcBorders>
            <w:noWrap w:val="0"/>
            <w:vAlign w:val="center"/>
          </w:tcPr>
          <w:p w14:paraId="2E51F83C">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设备安装内容</w:t>
            </w:r>
          </w:p>
        </w:tc>
        <w:tc>
          <w:tcPr>
            <w:tcW w:w="1418" w:type="dxa"/>
            <w:tcBorders>
              <w:top w:val="single" w:color="auto" w:sz="12" w:space="0"/>
              <w:bottom w:val="double" w:color="auto" w:sz="6" w:space="0"/>
            </w:tcBorders>
            <w:noWrap w:val="0"/>
            <w:vAlign w:val="center"/>
          </w:tcPr>
          <w:p w14:paraId="03F78A15">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合同价格（元）</w:t>
            </w:r>
          </w:p>
        </w:tc>
        <w:tc>
          <w:tcPr>
            <w:tcW w:w="1541" w:type="dxa"/>
            <w:tcBorders>
              <w:top w:val="single" w:color="auto" w:sz="12" w:space="0"/>
              <w:bottom w:val="double" w:color="auto" w:sz="6" w:space="0"/>
            </w:tcBorders>
            <w:noWrap w:val="0"/>
            <w:vAlign w:val="center"/>
          </w:tcPr>
          <w:p w14:paraId="40F2D532">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开工日期</w:t>
            </w:r>
          </w:p>
        </w:tc>
        <w:tc>
          <w:tcPr>
            <w:tcW w:w="1418" w:type="dxa"/>
            <w:tcBorders>
              <w:top w:val="single" w:color="auto" w:sz="12" w:space="0"/>
              <w:bottom w:val="double" w:color="auto" w:sz="6" w:space="0"/>
            </w:tcBorders>
            <w:noWrap w:val="0"/>
            <w:vAlign w:val="center"/>
          </w:tcPr>
          <w:p w14:paraId="0AFEA175">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竣工日期</w:t>
            </w:r>
          </w:p>
        </w:tc>
      </w:tr>
      <w:tr w14:paraId="3C6F68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98" w:hRule="atLeast"/>
          <w:jc w:val="center"/>
        </w:trPr>
        <w:tc>
          <w:tcPr>
            <w:tcW w:w="1531" w:type="dxa"/>
            <w:tcBorders>
              <w:top w:val="double" w:color="auto" w:sz="6" w:space="0"/>
              <w:bottom w:val="single" w:color="auto" w:sz="6" w:space="0"/>
            </w:tcBorders>
            <w:noWrap w:val="0"/>
            <w:vAlign w:val="center"/>
          </w:tcPr>
          <w:p w14:paraId="79EE9B7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tcBorders>
              <w:top w:val="double" w:color="auto" w:sz="6" w:space="0"/>
              <w:bottom w:val="single" w:color="auto" w:sz="6" w:space="0"/>
            </w:tcBorders>
            <w:noWrap w:val="0"/>
            <w:vAlign w:val="center"/>
          </w:tcPr>
          <w:p w14:paraId="7F5E2C4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tcBorders>
              <w:top w:val="double" w:color="auto" w:sz="6" w:space="0"/>
              <w:bottom w:val="single" w:color="auto" w:sz="6" w:space="0"/>
            </w:tcBorders>
            <w:noWrap w:val="0"/>
            <w:vAlign w:val="center"/>
          </w:tcPr>
          <w:p w14:paraId="76A649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double" w:color="auto" w:sz="6" w:space="0"/>
              <w:bottom w:val="single" w:color="auto" w:sz="6" w:space="0"/>
            </w:tcBorders>
            <w:noWrap w:val="0"/>
            <w:vAlign w:val="center"/>
          </w:tcPr>
          <w:p w14:paraId="7D5DE05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tcBorders>
              <w:top w:val="double" w:color="auto" w:sz="6" w:space="0"/>
              <w:bottom w:val="single" w:color="auto" w:sz="6" w:space="0"/>
            </w:tcBorders>
            <w:noWrap w:val="0"/>
            <w:vAlign w:val="center"/>
          </w:tcPr>
          <w:p w14:paraId="7848DA5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double" w:color="auto" w:sz="6" w:space="0"/>
              <w:bottom w:val="single" w:color="auto" w:sz="6" w:space="0"/>
            </w:tcBorders>
            <w:noWrap w:val="0"/>
            <w:vAlign w:val="center"/>
          </w:tcPr>
          <w:p w14:paraId="1880410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E0EDD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tcBorders>
              <w:top w:val="nil"/>
            </w:tcBorders>
            <w:noWrap w:val="0"/>
            <w:vAlign w:val="center"/>
          </w:tcPr>
          <w:p w14:paraId="2909E0F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tcBorders>
              <w:top w:val="nil"/>
            </w:tcBorders>
            <w:noWrap w:val="0"/>
            <w:vAlign w:val="center"/>
          </w:tcPr>
          <w:p w14:paraId="0276602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tcBorders>
              <w:top w:val="nil"/>
            </w:tcBorders>
            <w:noWrap w:val="0"/>
            <w:vAlign w:val="center"/>
          </w:tcPr>
          <w:p w14:paraId="69E5394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0B7A4BF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tcBorders>
              <w:top w:val="nil"/>
            </w:tcBorders>
            <w:noWrap w:val="0"/>
            <w:vAlign w:val="center"/>
          </w:tcPr>
          <w:p w14:paraId="0E7DA7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0F6016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0D5F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tcBorders>
              <w:top w:val="nil"/>
            </w:tcBorders>
            <w:noWrap w:val="0"/>
            <w:vAlign w:val="center"/>
          </w:tcPr>
          <w:p w14:paraId="560C23B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tcBorders>
              <w:top w:val="nil"/>
            </w:tcBorders>
            <w:noWrap w:val="0"/>
            <w:vAlign w:val="center"/>
          </w:tcPr>
          <w:p w14:paraId="6E47CFB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tcBorders>
              <w:top w:val="nil"/>
            </w:tcBorders>
            <w:noWrap w:val="0"/>
            <w:vAlign w:val="center"/>
          </w:tcPr>
          <w:p w14:paraId="2BAB047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1D5523A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tcBorders>
              <w:top w:val="nil"/>
            </w:tcBorders>
            <w:noWrap w:val="0"/>
            <w:vAlign w:val="center"/>
          </w:tcPr>
          <w:p w14:paraId="596FE7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4BC5703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47689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noWrap w:val="0"/>
            <w:vAlign w:val="center"/>
          </w:tcPr>
          <w:p w14:paraId="41F2644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7134284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18C0154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5E6AC6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0AFF1A1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3811A4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841CD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tcBorders>
              <w:top w:val="nil"/>
            </w:tcBorders>
            <w:noWrap w:val="0"/>
            <w:vAlign w:val="center"/>
          </w:tcPr>
          <w:p w14:paraId="5676964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tcBorders>
              <w:top w:val="nil"/>
            </w:tcBorders>
            <w:noWrap w:val="0"/>
            <w:vAlign w:val="center"/>
          </w:tcPr>
          <w:p w14:paraId="37E1AD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tcBorders>
              <w:top w:val="nil"/>
            </w:tcBorders>
            <w:noWrap w:val="0"/>
            <w:vAlign w:val="center"/>
          </w:tcPr>
          <w:p w14:paraId="60B48D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6D1EB9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tcBorders>
              <w:top w:val="nil"/>
            </w:tcBorders>
            <w:noWrap w:val="0"/>
            <w:vAlign w:val="center"/>
          </w:tcPr>
          <w:p w14:paraId="0FF21DB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30F6E3C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94124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noWrap w:val="0"/>
            <w:vAlign w:val="center"/>
          </w:tcPr>
          <w:p w14:paraId="2567D7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4F55D21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094E1F0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0FAAB92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64D42C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2D2B37B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2EB57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tcBorders>
              <w:top w:val="nil"/>
            </w:tcBorders>
            <w:noWrap w:val="0"/>
            <w:vAlign w:val="center"/>
          </w:tcPr>
          <w:p w14:paraId="3B59B17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tcBorders>
              <w:top w:val="nil"/>
            </w:tcBorders>
            <w:noWrap w:val="0"/>
            <w:vAlign w:val="center"/>
          </w:tcPr>
          <w:p w14:paraId="15E35F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tcBorders>
              <w:top w:val="nil"/>
            </w:tcBorders>
            <w:noWrap w:val="0"/>
            <w:vAlign w:val="center"/>
          </w:tcPr>
          <w:p w14:paraId="2385DE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76B3D77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tcBorders>
              <w:top w:val="nil"/>
            </w:tcBorders>
            <w:noWrap w:val="0"/>
            <w:vAlign w:val="center"/>
          </w:tcPr>
          <w:p w14:paraId="3ED30DE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73D4138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C036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36" w:hRule="atLeast"/>
          <w:jc w:val="center"/>
        </w:trPr>
        <w:tc>
          <w:tcPr>
            <w:tcW w:w="1531" w:type="dxa"/>
            <w:tcBorders>
              <w:top w:val="nil"/>
            </w:tcBorders>
            <w:noWrap w:val="0"/>
            <w:vAlign w:val="center"/>
          </w:tcPr>
          <w:p w14:paraId="239B635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tcBorders>
              <w:top w:val="nil"/>
            </w:tcBorders>
            <w:noWrap w:val="0"/>
            <w:vAlign w:val="center"/>
          </w:tcPr>
          <w:p w14:paraId="19F3B60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tcBorders>
              <w:top w:val="nil"/>
            </w:tcBorders>
            <w:noWrap w:val="0"/>
            <w:vAlign w:val="center"/>
          </w:tcPr>
          <w:p w14:paraId="2C664E2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61D3AF8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tcBorders>
              <w:top w:val="nil"/>
            </w:tcBorders>
            <w:noWrap w:val="0"/>
            <w:vAlign w:val="center"/>
          </w:tcPr>
          <w:p w14:paraId="26A92FB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2D617F5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1549A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9" w:hRule="atLeast"/>
          <w:jc w:val="center"/>
        </w:trPr>
        <w:tc>
          <w:tcPr>
            <w:tcW w:w="1531" w:type="dxa"/>
            <w:noWrap w:val="0"/>
            <w:vAlign w:val="center"/>
          </w:tcPr>
          <w:p w14:paraId="6C0A8A2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63A532A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06F8CD4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36AE7D2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40AE4BE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763864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797F6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9" w:hRule="atLeast"/>
          <w:jc w:val="center"/>
        </w:trPr>
        <w:tc>
          <w:tcPr>
            <w:tcW w:w="1531" w:type="dxa"/>
            <w:noWrap w:val="0"/>
            <w:vAlign w:val="center"/>
          </w:tcPr>
          <w:p w14:paraId="5A95B54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4CDF622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3F85405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6F39FD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7C2CC1F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028CD9F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09E85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9" w:hRule="atLeast"/>
          <w:jc w:val="center"/>
        </w:trPr>
        <w:tc>
          <w:tcPr>
            <w:tcW w:w="1531" w:type="dxa"/>
            <w:noWrap w:val="0"/>
            <w:vAlign w:val="center"/>
          </w:tcPr>
          <w:p w14:paraId="2B2CD48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7E41A7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325EE7D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7280954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0690BED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7B6AFBD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50D6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9" w:hRule="atLeast"/>
          <w:jc w:val="center"/>
        </w:trPr>
        <w:tc>
          <w:tcPr>
            <w:tcW w:w="1531" w:type="dxa"/>
            <w:noWrap w:val="0"/>
            <w:vAlign w:val="center"/>
          </w:tcPr>
          <w:p w14:paraId="2FD102F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13E47F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2C8D26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249AA37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711A569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1570E2B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02B0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9" w:hRule="atLeast"/>
          <w:jc w:val="center"/>
        </w:trPr>
        <w:tc>
          <w:tcPr>
            <w:tcW w:w="1531" w:type="dxa"/>
            <w:noWrap w:val="0"/>
            <w:vAlign w:val="center"/>
          </w:tcPr>
          <w:p w14:paraId="7C64C7E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4DD4606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724BBFB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4EDA6A2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7A1B1E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47FCCB6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AEF23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98" w:hRule="atLeast"/>
          <w:jc w:val="center"/>
        </w:trPr>
        <w:tc>
          <w:tcPr>
            <w:tcW w:w="1531" w:type="dxa"/>
            <w:noWrap w:val="0"/>
            <w:vAlign w:val="center"/>
          </w:tcPr>
          <w:p w14:paraId="561DAD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92" w:type="dxa"/>
            <w:noWrap w:val="0"/>
            <w:vAlign w:val="center"/>
          </w:tcPr>
          <w:p w14:paraId="2AE998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24" w:type="dxa"/>
            <w:noWrap w:val="0"/>
            <w:vAlign w:val="center"/>
          </w:tcPr>
          <w:p w14:paraId="3502B14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2FB003F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541" w:type="dxa"/>
            <w:noWrap w:val="0"/>
            <w:vAlign w:val="center"/>
          </w:tcPr>
          <w:p w14:paraId="232487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5854D0B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bl>
    <w:p w14:paraId="2299DD1E">
      <w:pPr>
        <w:rPr>
          <w:rFonts w:hint="eastAsia" w:ascii="宋体" w:hAnsi="宋体" w:eastAsia="宋体" w:cs="宋体"/>
          <w:b/>
          <w:i w:val="0"/>
          <w:caps w:val="0"/>
          <w:color w:val="auto"/>
          <w:spacing w:val="0"/>
          <w:w w:val="100"/>
          <w:sz w:val="32"/>
          <w:highlight w:val="none"/>
        </w:rPr>
      </w:pPr>
      <w:bookmarkStart w:id="813" w:name="_Toc505871401"/>
      <w:bookmarkStart w:id="814" w:name="_Toc256000117"/>
      <w:bookmarkStart w:id="815" w:name="_Toc23687"/>
      <w:bookmarkStart w:id="816" w:name="_Toc14089"/>
      <w:r>
        <w:rPr>
          <w:rFonts w:hint="eastAsia" w:ascii="宋体" w:hAnsi="宋体" w:eastAsia="宋体" w:cs="宋体"/>
          <w:b/>
          <w:i w:val="0"/>
          <w:caps w:val="0"/>
          <w:color w:val="auto"/>
          <w:spacing w:val="0"/>
          <w:w w:val="100"/>
          <w:sz w:val="32"/>
          <w:highlight w:val="none"/>
        </w:rPr>
        <w:br w:type="page"/>
      </w:r>
    </w:p>
    <w:p w14:paraId="3F8AC119">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附件2：</w:t>
      </w:r>
      <w:bookmarkEnd w:id="813"/>
      <w:bookmarkEnd w:id="814"/>
      <w:bookmarkStart w:id="817" w:name="_Toc256000118"/>
      <w:bookmarkStart w:id="818" w:name="_Toc505871402"/>
      <w:r>
        <w:rPr>
          <w:rFonts w:hint="eastAsia" w:ascii="宋体" w:hAnsi="宋体" w:eastAsia="宋体" w:cs="宋体"/>
          <w:b/>
          <w:i w:val="0"/>
          <w:caps w:val="0"/>
          <w:color w:val="auto"/>
          <w:spacing w:val="0"/>
          <w:w w:val="100"/>
          <w:sz w:val="32"/>
          <w:highlight w:val="none"/>
        </w:rPr>
        <w:t>发包人供应材料设备一览表</w:t>
      </w:r>
      <w:bookmarkEnd w:id="815"/>
      <w:bookmarkEnd w:id="816"/>
      <w:bookmarkEnd w:id="817"/>
      <w:bookmarkEnd w:id="818"/>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07"/>
        <w:gridCol w:w="1208"/>
        <w:gridCol w:w="1343"/>
        <w:gridCol w:w="892"/>
        <w:gridCol w:w="806"/>
        <w:gridCol w:w="989"/>
        <w:gridCol w:w="940"/>
        <w:gridCol w:w="806"/>
        <w:gridCol w:w="1409"/>
        <w:gridCol w:w="940"/>
      </w:tblGrid>
      <w:tr w14:paraId="252DD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9" w:hRule="atLeast"/>
          <w:jc w:val="center"/>
        </w:trPr>
        <w:tc>
          <w:tcPr>
            <w:tcW w:w="807" w:type="dxa"/>
            <w:tcBorders>
              <w:top w:val="single" w:color="auto" w:sz="12" w:space="0"/>
              <w:bottom w:val="double" w:color="auto" w:sz="6" w:space="0"/>
            </w:tcBorders>
            <w:noWrap w:val="0"/>
            <w:vAlign w:val="center"/>
          </w:tcPr>
          <w:p w14:paraId="63DB84CE">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序号</w:t>
            </w:r>
          </w:p>
        </w:tc>
        <w:tc>
          <w:tcPr>
            <w:tcW w:w="1208" w:type="dxa"/>
            <w:tcBorders>
              <w:top w:val="single" w:color="auto" w:sz="12" w:space="0"/>
              <w:bottom w:val="double" w:color="auto" w:sz="6" w:space="0"/>
            </w:tcBorders>
            <w:noWrap w:val="0"/>
            <w:vAlign w:val="center"/>
          </w:tcPr>
          <w:p w14:paraId="2AFBD9D8">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材料、</w:t>
            </w:r>
          </w:p>
          <w:p w14:paraId="15DAD3B7">
            <w:pPr>
              <w:pStyle w:val="55"/>
              <w:snapToGrid w:val="0"/>
              <w:spacing w:before="0" w:beforeAutospacing="0" w:after="0" w:afterAutospacing="0" w:line="440" w:lineRule="exact"/>
              <w:ind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设备品种</w:t>
            </w:r>
          </w:p>
        </w:tc>
        <w:tc>
          <w:tcPr>
            <w:tcW w:w="1343" w:type="dxa"/>
            <w:tcBorders>
              <w:top w:val="single" w:color="auto" w:sz="12" w:space="0"/>
              <w:bottom w:val="double" w:color="auto" w:sz="6" w:space="0"/>
            </w:tcBorders>
            <w:noWrap w:val="0"/>
            <w:vAlign w:val="center"/>
          </w:tcPr>
          <w:p w14:paraId="183681A8">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规格型号</w:t>
            </w:r>
          </w:p>
        </w:tc>
        <w:tc>
          <w:tcPr>
            <w:tcW w:w="892" w:type="dxa"/>
            <w:tcBorders>
              <w:top w:val="single" w:color="auto" w:sz="12" w:space="0"/>
              <w:bottom w:val="double" w:color="auto" w:sz="6" w:space="0"/>
            </w:tcBorders>
            <w:noWrap w:val="0"/>
            <w:vAlign w:val="center"/>
          </w:tcPr>
          <w:p w14:paraId="39907091">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单位</w:t>
            </w:r>
          </w:p>
        </w:tc>
        <w:tc>
          <w:tcPr>
            <w:tcW w:w="806" w:type="dxa"/>
            <w:tcBorders>
              <w:top w:val="single" w:color="auto" w:sz="12" w:space="0"/>
              <w:bottom w:val="double" w:color="auto" w:sz="6" w:space="0"/>
            </w:tcBorders>
            <w:noWrap w:val="0"/>
            <w:vAlign w:val="center"/>
          </w:tcPr>
          <w:p w14:paraId="5EBF0EE8">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数量</w:t>
            </w:r>
          </w:p>
        </w:tc>
        <w:tc>
          <w:tcPr>
            <w:tcW w:w="989" w:type="dxa"/>
            <w:tcBorders>
              <w:top w:val="single" w:color="auto" w:sz="12" w:space="0"/>
              <w:bottom w:val="double" w:color="auto" w:sz="6" w:space="0"/>
            </w:tcBorders>
            <w:noWrap w:val="0"/>
            <w:vAlign w:val="center"/>
          </w:tcPr>
          <w:p w14:paraId="730A6DF0">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单价（元）</w:t>
            </w:r>
          </w:p>
        </w:tc>
        <w:tc>
          <w:tcPr>
            <w:tcW w:w="940" w:type="dxa"/>
            <w:tcBorders>
              <w:top w:val="single" w:color="auto" w:sz="12" w:space="0"/>
              <w:bottom w:val="double" w:color="auto" w:sz="6" w:space="0"/>
            </w:tcBorders>
            <w:noWrap w:val="0"/>
            <w:vAlign w:val="center"/>
          </w:tcPr>
          <w:p w14:paraId="0462CB34">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质量等级</w:t>
            </w:r>
          </w:p>
        </w:tc>
        <w:tc>
          <w:tcPr>
            <w:tcW w:w="806" w:type="dxa"/>
            <w:tcBorders>
              <w:top w:val="single" w:color="auto" w:sz="12" w:space="0"/>
              <w:bottom w:val="double" w:color="auto" w:sz="6" w:space="0"/>
            </w:tcBorders>
            <w:noWrap w:val="0"/>
            <w:vAlign w:val="center"/>
          </w:tcPr>
          <w:p w14:paraId="5A8C46B3">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供应时间</w:t>
            </w:r>
          </w:p>
        </w:tc>
        <w:tc>
          <w:tcPr>
            <w:tcW w:w="1409" w:type="dxa"/>
            <w:tcBorders>
              <w:top w:val="single" w:color="auto" w:sz="12" w:space="0"/>
              <w:bottom w:val="double" w:color="auto" w:sz="6" w:space="0"/>
            </w:tcBorders>
            <w:noWrap w:val="0"/>
            <w:vAlign w:val="center"/>
          </w:tcPr>
          <w:p w14:paraId="21AB4E7D">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送达地点</w:t>
            </w:r>
          </w:p>
        </w:tc>
        <w:tc>
          <w:tcPr>
            <w:tcW w:w="940" w:type="dxa"/>
            <w:tcBorders>
              <w:top w:val="single" w:color="auto" w:sz="12" w:space="0"/>
              <w:bottom w:val="double" w:color="auto" w:sz="6" w:space="0"/>
            </w:tcBorders>
            <w:noWrap w:val="0"/>
            <w:vAlign w:val="center"/>
          </w:tcPr>
          <w:p w14:paraId="4FD01E1D">
            <w:pPr>
              <w:pStyle w:val="55"/>
              <w:snapToGrid w:val="0"/>
              <w:spacing w:before="0" w:beforeAutospacing="0" w:after="0" w:afterAutospacing="0" w:line="440" w:lineRule="exact"/>
              <w:ind w:left="63" w:right="63"/>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备注</w:t>
            </w:r>
          </w:p>
        </w:tc>
      </w:tr>
      <w:tr w14:paraId="1D6620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2" w:hRule="atLeast"/>
          <w:jc w:val="center"/>
        </w:trPr>
        <w:tc>
          <w:tcPr>
            <w:tcW w:w="807" w:type="dxa"/>
            <w:tcBorders>
              <w:top w:val="double" w:color="auto" w:sz="6" w:space="0"/>
              <w:bottom w:val="single" w:color="auto" w:sz="6" w:space="0"/>
            </w:tcBorders>
            <w:noWrap w:val="0"/>
            <w:vAlign w:val="center"/>
          </w:tcPr>
          <w:p w14:paraId="562AED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tcBorders>
              <w:top w:val="double" w:color="auto" w:sz="6" w:space="0"/>
              <w:bottom w:val="single" w:color="auto" w:sz="6" w:space="0"/>
            </w:tcBorders>
            <w:noWrap w:val="0"/>
            <w:vAlign w:val="center"/>
          </w:tcPr>
          <w:p w14:paraId="6A1CA0D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tcBorders>
              <w:top w:val="double" w:color="auto" w:sz="6" w:space="0"/>
              <w:bottom w:val="single" w:color="auto" w:sz="6" w:space="0"/>
            </w:tcBorders>
            <w:noWrap w:val="0"/>
            <w:vAlign w:val="center"/>
          </w:tcPr>
          <w:p w14:paraId="43E9128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tcBorders>
              <w:top w:val="double" w:color="auto" w:sz="6" w:space="0"/>
              <w:bottom w:val="single" w:color="auto" w:sz="6" w:space="0"/>
            </w:tcBorders>
            <w:noWrap w:val="0"/>
            <w:vAlign w:val="center"/>
          </w:tcPr>
          <w:p w14:paraId="0AB3BF9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tcBorders>
              <w:top w:val="double" w:color="auto" w:sz="6" w:space="0"/>
              <w:bottom w:val="single" w:color="auto" w:sz="6" w:space="0"/>
            </w:tcBorders>
            <w:noWrap w:val="0"/>
            <w:vAlign w:val="center"/>
          </w:tcPr>
          <w:p w14:paraId="7D7BC66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tcBorders>
              <w:top w:val="double" w:color="auto" w:sz="6" w:space="0"/>
              <w:bottom w:val="single" w:color="auto" w:sz="6" w:space="0"/>
            </w:tcBorders>
            <w:noWrap w:val="0"/>
            <w:vAlign w:val="center"/>
          </w:tcPr>
          <w:p w14:paraId="0194391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tcBorders>
              <w:top w:val="double" w:color="auto" w:sz="6" w:space="0"/>
              <w:bottom w:val="single" w:color="auto" w:sz="6" w:space="0"/>
            </w:tcBorders>
            <w:noWrap w:val="0"/>
            <w:vAlign w:val="center"/>
          </w:tcPr>
          <w:p w14:paraId="3FE1D9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tcBorders>
              <w:top w:val="double" w:color="auto" w:sz="6" w:space="0"/>
              <w:bottom w:val="single" w:color="auto" w:sz="6" w:space="0"/>
            </w:tcBorders>
            <w:noWrap w:val="0"/>
            <w:vAlign w:val="center"/>
          </w:tcPr>
          <w:p w14:paraId="0502C13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tcBorders>
              <w:top w:val="double" w:color="auto" w:sz="6" w:space="0"/>
              <w:bottom w:val="single" w:color="auto" w:sz="6" w:space="0"/>
            </w:tcBorders>
            <w:noWrap w:val="0"/>
            <w:vAlign w:val="center"/>
          </w:tcPr>
          <w:p w14:paraId="53E6F4C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tcBorders>
              <w:top w:val="double" w:color="auto" w:sz="6" w:space="0"/>
              <w:bottom w:val="single" w:color="auto" w:sz="6" w:space="0"/>
            </w:tcBorders>
            <w:noWrap w:val="0"/>
            <w:vAlign w:val="center"/>
          </w:tcPr>
          <w:p w14:paraId="11D0406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3622A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tcBorders>
              <w:top w:val="nil"/>
            </w:tcBorders>
            <w:noWrap w:val="0"/>
            <w:vAlign w:val="center"/>
          </w:tcPr>
          <w:p w14:paraId="5E57616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tcBorders>
              <w:top w:val="nil"/>
            </w:tcBorders>
            <w:noWrap w:val="0"/>
            <w:vAlign w:val="center"/>
          </w:tcPr>
          <w:p w14:paraId="408AA0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tcBorders>
              <w:top w:val="nil"/>
            </w:tcBorders>
            <w:noWrap w:val="0"/>
            <w:vAlign w:val="center"/>
          </w:tcPr>
          <w:p w14:paraId="663DADF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tcBorders>
              <w:top w:val="nil"/>
            </w:tcBorders>
            <w:noWrap w:val="0"/>
            <w:vAlign w:val="center"/>
          </w:tcPr>
          <w:p w14:paraId="5C0CE42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tcBorders>
              <w:top w:val="nil"/>
            </w:tcBorders>
            <w:noWrap w:val="0"/>
            <w:vAlign w:val="center"/>
          </w:tcPr>
          <w:p w14:paraId="7B1B0DF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tcBorders>
              <w:top w:val="nil"/>
            </w:tcBorders>
            <w:noWrap w:val="0"/>
            <w:vAlign w:val="center"/>
          </w:tcPr>
          <w:p w14:paraId="58092D8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tcBorders>
              <w:top w:val="nil"/>
            </w:tcBorders>
            <w:noWrap w:val="0"/>
            <w:vAlign w:val="center"/>
          </w:tcPr>
          <w:p w14:paraId="1933BBF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tcBorders>
              <w:top w:val="nil"/>
            </w:tcBorders>
            <w:noWrap w:val="0"/>
            <w:vAlign w:val="center"/>
          </w:tcPr>
          <w:p w14:paraId="73063E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tcBorders>
              <w:top w:val="nil"/>
            </w:tcBorders>
            <w:noWrap w:val="0"/>
            <w:vAlign w:val="center"/>
          </w:tcPr>
          <w:p w14:paraId="4DA725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tcBorders>
              <w:top w:val="nil"/>
            </w:tcBorders>
            <w:noWrap w:val="0"/>
            <w:vAlign w:val="center"/>
          </w:tcPr>
          <w:p w14:paraId="0140D05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B062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70A2B6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3D8CCC0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7AE542C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496B056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5EC3CD8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6A7821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2FDD7F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3F89F15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0BDAD6A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4031174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F51B7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6AE1CAC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37634C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497445A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375BCA1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2F0E63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05A87D8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68FCC7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DC5367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18B50C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46D9DD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3F8BF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4B74AC6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187E7BB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71D228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435BF8B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4E5A143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19BEA47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32A2AC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4D26C5E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B15F67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2597D1F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CD9DC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34F6B93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68EF298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549D045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7579EC6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4C9B852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325C945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05337D1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33609B9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5BDA45C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17B7CC3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7575D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534ED48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7C72F3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2EDAC47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3BAFCDA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5E2338D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2FFBFB3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7BCB304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14F96BC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54723C7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16E17E4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AEC2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2B75837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2D66051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2CA1BED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39B5CD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0284162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50DAD36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7AD44CE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5FBFE98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7FCC31C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1006759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AD30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566D9D60">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625081B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0379E7A8">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7227499A">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43A72B1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173034C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65C5605F">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64C202CF">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D36AD3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5757260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079C9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59E992E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308C8AA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319A0B5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1A2AFC6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5924A22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7F9F61C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5D5C4B2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0348C6C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13501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6D9A986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913E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45263BD8">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5BDB3FB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51ED6210">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65628961">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1F09581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585EEA0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68194BBB">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05BDCD2A">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408F886C">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558A8CA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64D774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35FE766B">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7A3EB775">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1319D7CA">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49422280">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5B070D7D">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4A4A8152">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2DDE797B">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44B4E51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5F6F766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0B4242B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146CA2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2E7EDC9F">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1B7E3223">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7ED290A2">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1664D9B8">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E34F2B5">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3319543B">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43056403">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0EAB19F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DBB724F">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0A3C7592">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37248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426157D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3E1EA3D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2660E815">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2931EE88">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630992C">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49D96FA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6EA639A5">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79F2D2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44BB1C4B">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143997C0">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5CF7B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0B9559CD">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452A554C">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2A7F2D4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447005A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3671EB1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0D8CB0DF">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710E1EF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CEC4F5B">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C3062F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599B454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79236A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0251F231">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18E119A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6E1811B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509496A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15F56F8">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4B97D2F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2D17123A">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FDC951A">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45D8B14C">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20063BF3">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29303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2" w:hRule="atLeast"/>
          <w:jc w:val="center"/>
        </w:trPr>
        <w:tc>
          <w:tcPr>
            <w:tcW w:w="807" w:type="dxa"/>
            <w:noWrap w:val="0"/>
            <w:vAlign w:val="center"/>
          </w:tcPr>
          <w:p w14:paraId="3D0B8F1D">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43952AD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0E75B3B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59C68C3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57196FF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26FBE47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1A5FEAD3">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4C7EF36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80453B1">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115E20AC">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r w14:paraId="0E96D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2" w:hRule="atLeast"/>
          <w:jc w:val="center"/>
        </w:trPr>
        <w:tc>
          <w:tcPr>
            <w:tcW w:w="807" w:type="dxa"/>
            <w:noWrap w:val="0"/>
            <w:vAlign w:val="center"/>
          </w:tcPr>
          <w:p w14:paraId="00EA6F86">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208" w:type="dxa"/>
            <w:noWrap w:val="0"/>
            <w:vAlign w:val="center"/>
          </w:tcPr>
          <w:p w14:paraId="2297C093">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343" w:type="dxa"/>
            <w:noWrap w:val="0"/>
            <w:vAlign w:val="center"/>
          </w:tcPr>
          <w:p w14:paraId="66817CA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92" w:type="dxa"/>
            <w:noWrap w:val="0"/>
            <w:vAlign w:val="center"/>
          </w:tcPr>
          <w:p w14:paraId="7C949044">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776CCE29">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89" w:type="dxa"/>
            <w:noWrap w:val="0"/>
            <w:vAlign w:val="center"/>
          </w:tcPr>
          <w:p w14:paraId="6B2F913E">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0441D3F2">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806" w:type="dxa"/>
            <w:noWrap w:val="0"/>
            <w:vAlign w:val="center"/>
          </w:tcPr>
          <w:p w14:paraId="6CFDE59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1409" w:type="dxa"/>
            <w:noWrap w:val="0"/>
            <w:vAlign w:val="center"/>
          </w:tcPr>
          <w:p w14:paraId="2D5D46BF">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c>
          <w:tcPr>
            <w:tcW w:w="940" w:type="dxa"/>
            <w:noWrap w:val="0"/>
            <w:vAlign w:val="center"/>
          </w:tcPr>
          <w:p w14:paraId="319DD6D7">
            <w:pPr>
              <w:pStyle w:val="48"/>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1"/>
                <w:szCs w:val="21"/>
                <w:highlight w:val="none"/>
              </w:rPr>
            </w:pPr>
          </w:p>
        </w:tc>
      </w:tr>
    </w:tbl>
    <w:p w14:paraId="2D79124E">
      <w:pPr>
        <w:rPr>
          <w:rFonts w:hint="eastAsia" w:ascii="宋体" w:hAnsi="宋体" w:eastAsia="宋体" w:cs="宋体"/>
          <w:b/>
          <w:i w:val="0"/>
          <w:caps w:val="0"/>
          <w:color w:val="auto"/>
          <w:spacing w:val="0"/>
          <w:w w:val="100"/>
          <w:sz w:val="32"/>
          <w:highlight w:val="none"/>
        </w:rPr>
      </w:pPr>
      <w:bookmarkStart w:id="819" w:name="_Toc505871403"/>
      <w:bookmarkStart w:id="820" w:name="_Toc256000119"/>
      <w:bookmarkStart w:id="821" w:name="_Toc18570"/>
      <w:bookmarkStart w:id="822" w:name="_Toc10689"/>
      <w:r>
        <w:rPr>
          <w:rFonts w:hint="eastAsia" w:ascii="宋体" w:hAnsi="宋体" w:eastAsia="宋体" w:cs="宋体"/>
          <w:b/>
          <w:i w:val="0"/>
          <w:caps w:val="0"/>
          <w:color w:val="auto"/>
          <w:spacing w:val="0"/>
          <w:w w:val="100"/>
          <w:sz w:val="32"/>
          <w:highlight w:val="none"/>
        </w:rPr>
        <w:br w:type="page"/>
      </w:r>
    </w:p>
    <w:p w14:paraId="5C7F9AFD">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附件3：</w:t>
      </w:r>
      <w:bookmarkEnd w:id="819"/>
      <w:bookmarkEnd w:id="820"/>
      <w:bookmarkStart w:id="823" w:name="_Toc256000120"/>
      <w:bookmarkStart w:id="824" w:name="_Toc505871404"/>
      <w:r>
        <w:rPr>
          <w:rFonts w:hint="eastAsia" w:ascii="宋体" w:hAnsi="宋体" w:eastAsia="宋体" w:cs="宋体"/>
          <w:b/>
          <w:i w:val="0"/>
          <w:caps w:val="0"/>
          <w:color w:val="auto"/>
          <w:spacing w:val="0"/>
          <w:w w:val="100"/>
          <w:sz w:val="32"/>
          <w:highlight w:val="none"/>
        </w:rPr>
        <w:t>工程质量保修书</w:t>
      </w:r>
      <w:bookmarkEnd w:id="821"/>
      <w:bookmarkEnd w:id="822"/>
      <w:bookmarkEnd w:id="823"/>
      <w:bookmarkEnd w:id="824"/>
    </w:p>
    <w:p w14:paraId="71EAEB84">
      <w:pPr>
        <w:pStyle w:val="48"/>
        <w:snapToGrid w:val="0"/>
        <w:spacing w:before="0" w:beforeAutospacing="0" w:after="0" w:afterAutospacing="0" w:line="440" w:lineRule="exact"/>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发包人（全称）：</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w:t>
      </w:r>
    </w:p>
    <w:p w14:paraId="7418ADB3">
      <w:pPr>
        <w:pStyle w:val="48"/>
        <w:snapToGrid w:val="0"/>
        <w:spacing w:before="0" w:beforeAutospacing="0" w:after="0" w:afterAutospacing="0" w:line="440" w:lineRule="exact"/>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承包人（全称）：</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w:t>
      </w:r>
    </w:p>
    <w:p w14:paraId="78DA8756">
      <w:pPr>
        <w:pStyle w:val="48"/>
        <w:snapToGrid w:val="0"/>
        <w:spacing w:before="0" w:beforeAutospacing="0" w:after="0" w:afterAutospacing="0" w:line="440" w:lineRule="exact"/>
        <w:jc w:val="both"/>
        <w:textAlignment w:val="baseline"/>
        <w:rPr>
          <w:rFonts w:hint="eastAsia" w:ascii="宋体" w:hAnsi="宋体" w:eastAsia="宋体" w:cs="宋体"/>
          <w:b w:val="0"/>
          <w:i w:val="0"/>
          <w:caps w:val="0"/>
          <w:color w:val="auto"/>
          <w:spacing w:val="0"/>
          <w:w w:val="100"/>
          <w:sz w:val="24"/>
          <w:szCs w:val="24"/>
          <w:highlight w:val="none"/>
        </w:rPr>
      </w:pPr>
    </w:p>
    <w:p w14:paraId="402A38D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发包人和承包人根据《中华人民共和国建筑法》和《建设工程质量管理条例》，经协商一致就</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（工程全称）签订工程质量保修书。</w:t>
      </w:r>
    </w:p>
    <w:p w14:paraId="7E99070C">
      <w:pPr>
        <w:pStyle w:val="52"/>
        <w:snapToGrid w:val="0"/>
        <w:spacing w:before="280" w:beforeAutospacing="0" w:after="290" w:afterAutospacing="0" w:line="376" w:lineRule="atLeast"/>
        <w:jc w:val="both"/>
        <w:textAlignment w:val="baseline"/>
        <w:rPr>
          <w:rFonts w:hint="eastAsia" w:ascii="宋体" w:hAnsi="宋体" w:eastAsia="宋体" w:cs="宋体"/>
          <w:b/>
          <w:i w:val="0"/>
          <w:caps w:val="0"/>
          <w:color w:val="auto"/>
          <w:spacing w:val="0"/>
          <w:w w:val="100"/>
          <w:sz w:val="24"/>
          <w:highlight w:val="none"/>
        </w:rPr>
      </w:pPr>
      <w:bookmarkStart w:id="825" w:name="_Toc505871405"/>
      <w:r>
        <w:rPr>
          <w:rFonts w:hint="eastAsia" w:ascii="宋体" w:hAnsi="宋体" w:eastAsia="宋体" w:cs="宋体"/>
          <w:b/>
          <w:i w:val="0"/>
          <w:caps w:val="0"/>
          <w:color w:val="auto"/>
          <w:spacing w:val="0"/>
          <w:w w:val="100"/>
          <w:sz w:val="24"/>
          <w:highlight w:val="none"/>
        </w:rPr>
        <w:t>一、工程质量保修范围和内容</w:t>
      </w:r>
      <w:bookmarkEnd w:id="825"/>
    </w:p>
    <w:p w14:paraId="33A8C42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1"/>
          <w:szCs w:val="21"/>
          <w:highlight w:val="none"/>
        </w:rPr>
        <w:t>　</w:t>
      </w:r>
      <w:r>
        <w:rPr>
          <w:rFonts w:hint="eastAsia" w:ascii="宋体" w:hAnsi="宋体" w:eastAsia="宋体" w:cs="宋体"/>
          <w:b w:val="0"/>
          <w:i w:val="0"/>
          <w:caps w:val="0"/>
          <w:color w:val="auto"/>
          <w:spacing w:val="0"/>
          <w:w w:val="100"/>
          <w:sz w:val="24"/>
          <w:szCs w:val="24"/>
          <w:highlight w:val="none"/>
        </w:rPr>
        <w:t>　承包人在质量保修期内，按照有关法律规定和合同约定，承担工程质量保修责任。</w:t>
      </w:r>
    </w:p>
    <w:p w14:paraId="46158FF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99173DD">
      <w:pPr>
        <w:pStyle w:val="48"/>
        <w:snapToGrid w:val="0"/>
        <w:spacing w:before="0" w:beforeAutospacing="0" w:after="0" w:afterAutospacing="0" w:line="360" w:lineRule="auto"/>
        <w:ind w:firstLine="240" w:firstLineChars="1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396A0757">
      <w:pPr>
        <w:pStyle w:val="52"/>
        <w:snapToGrid w:val="0"/>
        <w:spacing w:before="280" w:beforeAutospacing="0" w:after="290" w:afterAutospacing="0" w:line="376" w:lineRule="atLeast"/>
        <w:jc w:val="both"/>
        <w:textAlignment w:val="baseline"/>
        <w:rPr>
          <w:rFonts w:hint="eastAsia" w:ascii="宋体" w:hAnsi="宋体" w:eastAsia="宋体" w:cs="宋体"/>
          <w:b/>
          <w:i w:val="0"/>
          <w:caps w:val="0"/>
          <w:color w:val="auto"/>
          <w:spacing w:val="0"/>
          <w:w w:val="100"/>
          <w:sz w:val="24"/>
          <w:highlight w:val="none"/>
        </w:rPr>
      </w:pPr>
      <w:bookmarkStart w:id="826" w:name="_Toc505871406"/>
      <w:r>
        <w:rPr>
          <w:rFonts w:hint="eastAsia" w:ascii="宋体" w:hAnsi="宋体" w:eastAsia="宋体" w:cs="宋体"/>
          <w:b/>
          <w:i w:val="0"/>
          <w:caps w:val="0"/>
          <w:color w:val="auto"/>
          <w:spacing w:val="0"/>
          <w:w w:val="100"/>
          <w:sz w:val="24"/>
          <w:highlight w:val="none"/>
        </w:rPr>
        <w:t>二、质量保修期</w:t>
      </w:r>
      <w:bookmarkEnd w:id="826"/>
    </w:p>
    <w:p w14:paraId="1DF8A9A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根据《建设工程质量管理条例》及有关规定，工程的质量保修期如下：</w:t>
      </w:r>
    </w:p>
    <w:p w14:paraId="02A1947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1．地基基础工程和主体结构工程为设计文件规定的工程合理使用年限；</w:t>
      </w:r>
    </w:p>
    <w:p w14:paraId="2449DBA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2．屋面防水工程、有防水要求的卫生间、房间和外墙面的防渗为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p>
    <w:p w14:paraId="54EED7C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3．装修工程为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p>
    <w:p w14:paraId="38283A8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4．电气管线、给排水管道、设备安装工程为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p>
    <w:p w14:paraId="5DF92C0B">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5．供热与供冷系统为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个采暖期、供冷期；</w:t>
      </w:r>
    </w:p>
    <w:p w14:paraId="1FBA151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6．住宅小区内的给排水设施、道路等配套工程为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p>
    <w:p w14:paraId="0E8BE3A4">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7．其他项目保修期限约定如下：</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40079D9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质量保修期自工程竣工验收合格之日起计算。</w:t>
      </w:r>
    </w:p>
    <w:p w14:paraId="33C5A00D">
      <w:pPr>
        <w:pStyle w:val="52"/>
        <w:snapToGrid w:val="0"/>
        <w:spacing w:before="280" w:beforeAutospacing="0" w:after="290" w:afterAutospacing="0" w:line="376" w:lineRule="atLeast"/>
        <w:jc w:val="both"/>
        <w:textAlignment w:val="baseline"/>
        <w:rPr>
          <w:rFonts w:hint="eastAsia" w:ascii="宋体" w:hAnsi="宋体" w:eastAsia="宋体" w:cs="宋体"/>
          <w:b/>
          <w:i w:val="0"/>
          <w:caps w:val="0"/>
          <w:color w:val="auto"/>
          <w:spacing w:val="0"/>
          <w:w w:val="100"/>
          <w:sz w:val="24"/>
          <w:highlight w:val="none"/>
        </w:rPr>
      </w:pPr>
      <w:bookmarkStart w:id="827" w:name="_Toc505871407"/>
      <w:r>
        <w:rPr>
          <w:rFonts w:hint="eastAsia" w:ascii="宋体" w:hAnsi="宋体" w:eastAsia="宋体" w:cs="宋体"/>
          <w:b/>
          <w:i w:val="0"/>
          <w:caps w:val="0"/>
          <w:color w:val="auto"/>
          <w:spacing w:val="0"/>
          <w:w w:val="100"/>
          <w:sz w:val="24"/>
          <w:highlight w:val="none"/>
        </w:rPr>
        <w:t>三、缺陷责任期</w:t>
      </w:r>
      <w:bookmarkEnd w:id="827"/>
    </w:p>
    <w:p w14:paraId="371BC28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工程缺陷责任期为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个月，缺陷责任期自工程通过竣工验收之日起计算。单位工程先于全部工程进行验收，单位工程缺陷责任期自单位工程验收合格之日起算。</w:t>
      </w:r>
    </w:p>
    <w:p w14:paraId="0410B759">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缺陷责任期终止后，发包人应退还剩余的质量保证金。</w:t>
      </w:r>
    </w:p>
    <w:p w14:paraId="304EFC1E">
      <w:pPr>
        <w:pStyle w:val="52"/>
        <w:snapToGrid w:val="0"/>
        <w:spacing w:before="280" w:beforeAutospacing="0" w:after="290" w:afterAutospacing="0" w:line="376" w:lineRule="atLeast"/>
        <w:jc w:val="both"/>
        <w:textAlignment w:val="baseline"/>
        <w:rPr>
          <w:rFonts w:hint="eastAsia" w:ascii="宋体" w:hAnsi="宋体" w:eastAsia="宋体" w:cs="宋体"/>
          <w:b/>
          <w:i w:val="0"/>
          <w:caps w:val="0"/>
          <w:color w:val="auto"/>
          <w:spacing w:val="0"/>
          <w:w w:val="100"/>
          <w:sz w:val="24"/>
          <w:highlight w:val="none"/>
        </w:rPr>
      </w:pPr>
      <w:bookmarkStart w:id="828" w:name="_Toc505871408"/>
      <w:r>
        <w:rPr>
          <w:rFonts w:hint="eastAsia" w:ascii="宋体" w:hAnsi="宋体" w:eastAsia="宋体" w:cs="宋体"/>
          <w:b/>
          <w:i w:val="0"/>
          <w:caps w:val="0"/>
          <w:color w:val="auto"/>
          <w:spacing w:val="0"/>
          <w:w w:val="100"/>
          <w:sz w:val="24"/>
          <w:highlight w:val="none"/>
        </w:rPr>
        <w:t>四、质量保修责任</w:t>
      </w:r>
      <w:bookmarkEnd w:id="828"/>
    </w:p>
    <w:p w14:paraId="224B20D5">
      <w:pPr>
        <w:pStyle w:val="48"/>
        <w:snapToGrid w:val="0"/>
        <w:spacing w:before="0" w:beforeAutospacing="0" w:after="0" w:afterAutospacing="0" w:line="360" w:lineRule="auto"/>
        <w:ind w:left="105" w:leftChars="50" w:firstLine="491" w:firstLineChars="205"/>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1．属于保修范围、内容的项目，承包人应当在接到保修通知之日起7天内派人保修。承包人不在约定期限内派人保修的，发包人可以委托他人修理。</w:t>
      </w:r>
    </w:p>
    <w:p w14:paraId="09EF67BC">
      <w:pPr>
        <w:pStyle w:val="48"/>
        <w:snapToGrid w:val="0"/>
        <w:spacing w:before="0" w:beforeAutospacing="0" w:after="0" w:afterAutospacing="0" w:line="360" w:lineRule="auto"/>
        <w:ind w:left="105" w:leftChars="50" w:firstLine="491" w:firstLineChars="205"/>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2．发生紧急事故需抢修的，承包人在接到事故通知后，应当立即到达事故现场抢修。</w:t>
      </w:r>
    </w:p>
    <w:p w14:paraId="1679ABF1">
      <w:pPr>
        <w:pStyle w:val="48"/>
        <w:snapToGrid w:val="0"/>
        <w:spacing w:before="0" w:beforeAutospacing="0" w:after="0" w:afterAutospacing="0" w:line="360" w:lineRule="auto"/>
        <w:ind w:left="105" w:leftChars="50" w:firstLine="491" w:firstLineChars="205"/>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58B0535">
      <w:pPr>
        <w:pStyle w:val="48"/>
        <w:snapToGrid w:val="0"/>
        <w:spacing w:before="0" w:beforeAutospacing="0" w:after="0" w:afterAutospacing="0" w:line="360" w:lineRule="auto"/>
        <w:ind w:left="105" w:leftChars="50" w:firstLine="491" w:firstLineChars="205"/>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4．质量保修完成后，由发包人组织验收。</w:t>
      </w:r>
    </w:p>
    <w:p w14:paraId="3332E284">
      <w:pPr>
        <w:pStyle w:val="52"/>
        <w:snapToGrid w:val="0"/>
        <w:spacing w:before="280" w:beforeAutospacing="0" w:after="290" w:afterAutospacing="0" w:line="376" w:lineRule="atLeast"/>
        <w:jc w:val="both"/>
        <w:textAlignment w:val="baseline"/>
        <w:rPr>
          <w:rFonts w:hint="eastAsia" w:ascii="宋体" w:hAnsi="宋体" w:eastAsia="宋体" w:cs="宋体"/>
          <w:b/>
          <w:i w:val="0"/>
          <w:caps w:val="0"/>
          <w:color w:val="auto"/>
          <w:spacing w:val="0"/>
          <w:w w:val="100"/>
          <w:sz w:val="24"/>
          <w:highlight w:val="none"/>
        </w:rPr>
      </w:pPr>
      <w:bookmarkStart w:id="829" w:name="_Toc505871409"/>
      <w:r>
        <w:rPr>
          <w:rFonts w:hint="eastAsia" w:ascii="宋体" w:hAnsi="宋体" w:eastAsia="宋体" w:cs="宋体"/>
          <w:b/>
          <w:i w:val="0"/>
          <w:caps w:val="0"/>
          <w:color w:val="auto"/>
          <w:spacing w:val="0"/>
          <w:w w:val="100"/>
          <w:sz w:val="24"/>
          <w:highlight w:val="none"/>
        </w:rPr>
        <w:t>五、保修费用</w:t>
      </w:r>
      <w:bookmarkEnd w:id="829"/>
    </w:p>
    <w:p w14:paraId="7FB53F2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1"/>
          <w:szCs w:val="21"/>
          <w:highlight w:val="none"/>
        </w:rPr>
        <w:t>　</w:t>
      </w:r>
      <w:r>
        <w:rPr>
          <w:rFonts w:hint="eastAsia" w:ascii="宋体" w:hAnsi="宋体" w:eastAsia="宋体" w:cs="宋体"/>
          <w:b w:val="0"/>
          <w:i w:val="0"/>
          <w:caps w:val="0"/>
          <w:color w:val="auto"/>
          <w:spacing w:val="0"/>
          <w:w w:val="100"/>
          <w:sz w:val="24"/>
          <w:szCs w:val="24"/>
          <w:highlight w:val="none"/>
        </w:rPr>
        <w:t>　保修费用由造成质量缺陷的责任方承担。</w:t>
      </w:r>
    </w:p>
    <w:p w14:paraId="2A927CFA">
      <w:pPr>
        <w:pStyle w:val="52"/>
        <w:snapToGrid w:val="0"/>
        <w:spacing w:before="280" w:beforeAutospacing="0" w:after="290" w:afterAutospacing="0" w:line="376" w:lineRule="atLeast"/>
        <w:jc w:val="both"/>
        <w:textAlignment w:val="baseline"/>
        <w:rPr>
          <w:rFonts w:hint="eastAsia" w:ascii="宋体" w:hAnsi="宋体" w:eastAsia="宋体" w:cs="宋体"/>
          <w:b/>
          <w:i w:val="0"/>
          <w:caps w:val="0"/>
          <w:color w:val="auto"/>
          <w:spacing w:val="0"/>
          <w:w w:val="100"/>
          <w:sz w:val="24"/>
          <w:szCs w:val="24"/>
          <w:highlight w:val="none"/>
        </w:rPr>
      </w:pPr>
      <w:bookmarkStart w:id="830" w:name="_Toc505871410"/>
      <w:r>
        <w:rPr>
          <w:rFonts w:hint="eastAsia" w:ascii="宋体" w:hAnsi="宋体" w:eastAsia="宋体" w:cs="宋体"/>
          <w:b/>
          <w:i w:val="0"/>
          <w:caps w:val="0"/>
          <w:color w:val="auto"/>
          <w:spacing w:val="0"/>
          <w:w w:val="100"/>
          <w:sz w:val="24"/>
          <w:highlight w:val="none"/>
        </w:rPr>
        <w:t>六、双方约定的其他工程质量保修事项：</w:t>
      </w:r>
      <w:bookmarkEnd w:id="830"/>
      <w:r>
        <w:rPr>
          <w:rFonts w:hint="eastAsia" w:ascii="宋体" w:hAnsi="宋体" w:eastAsia="宋体" w:cs="宋体"/>
          <w:b/>
          <w:i w:val="0"/>
          <w:caps w:val="0"/>
          <w:color w:val="auto"/>
          <w:spacing w:val="0"/>
          <w:w w:val="100"/>
          <w:sz w:val="24"/>
          <w:szCs w:val="24"/>
          <w:highlight w:val="none"/>
          <w:u w:val="single" w:color="000000"/>
        </w:rPr>
        <w:t xml:space="preserve">         </w:t>
      </w:r>
      <w:r>
        <w:rPr>
          <w:rFonts w:hint="eastAsia" w:ascii="宋体" w:hAnsi="宋体" w:eastAsia="宋体" w:cs="宋体"/>
          <w:b/>
          <w:i w:val="0"/>
          <w:caps w:val="0"/>
          <w:color w:val="auto"/>
          <w:spacing w:val="0"/>
          <w:w w:val="100"/>
          <w:sz w:val="24"/>
          <w:szCs w:val="24"/>
          <w:highlight w:val="none"/>
        </w:rPr>
        <w:t>。</w:t>
      </w:r>
    </w:p>
    <w:p w14:paraId="6B7566B9">
      <w:pPr>
        <w:pStyle w:val="48"/>
        <w:snapToGrid w:val="0"/>
        <w:spacing w:before="0" w:beforeAutospacing="0" w:after="0" w:afterAutospacing="0" w:line="360" w:lineRule="auto"/>
        <w:ind w:firstLine="456" w:firstLineChars="19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工程质量保修书由发包人、承包人在工程竣工验收前共同签署，作为施工合同附件，其有效期限至保修期满。</w:t>
      </w:r>
    </w:p>
    <w:p w14:paraId="5596D16E">
      <w:pPr>
        <w:pStyle w:val="48"/>
        <w:snapToGrid w:val="0"/>
        <w:spacing w:before="0" w:beforeAutospacing="0" w:after="0" w:afterAutospacing="0" w:line="360" w:lineRule="auto"/>
        <w:ind w:firstLine="420"/>
        <w:jc w:val="both"/>
        <w:textAlignment w:val="baseline"/>
        <w:rPr>
          <w:rFonts w:hint="eastAsia" w:ascii="宋体" w:hAnsi="宋体" w:eastAsia="宋体" w:cs="宋体"/>
          <w:b w:val="0"/>
          <w:i w:val="0"/>
          <w:caps w:val="0"/>
          <w:color w:val="auto"/>
          <w:spacing w:val="0"/>
          <w:w w:val="100"/>
          <w:sz w:val="24"/>
          <w:szCs w:val="24"/>
          <w:highlight w:val="none"/>
        </w:rPr>
      </w:pPr>
    </w:p>
    <w:p w14:paraId="111CF18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发包人(公章)：</w:t>
      </w:r>
      <w:r>
        <w:rPr>
          <w:rFonts w:hint="eastAsia" w:ascii="宋体" w:hAnsi="宋体" w:eastAsia="宋体" w:cs="宋体"/>
          <w:b w:val="0"/>
          <w:i w:val="0"/>
          <w:caps w:val="0"/>
          <w:color w:val="auto"/>
          <w:spacing w:val="0"/>
          <w:w w:val="100"/>
          <w:sz w:val="24"/>
          <w:szCs w:val="24"/>
          <w:highlight w:val="none"/>
          <w:u w:val="single" w:color="000000"/>
        </w:rPr>
        <w:t xml:space="preserve">        </w:t>
      </w:r>
      <w:r>
        <w:rPr>
          <w:rFonts w:hint="eastAsia" w:ascii="宋体" w:hAnsi="宋体" w:eastAsia="宋体" w:cs="宋体"/>
          <w:b w:val="0"/>
          <w:i w:val="0"/>
          <w:caps w:val="0"/>
          <w:color w:val="auto"/>
          <w:spacing w:val="0"/>
          <w:w w:val="100"/>
          <w:sz w:val="24"/>
          <w:szCs w:val="24"/>
          <w:highlight w:val="none"/>
        </w:rPr>
        <w:t xml:space="preserve">                      承包人(公章)</w:t>
      </w:r>
      <w:r>
        <w:rPr>
          <w:rFonts w:hint="eastAsia" w:ascii="宋体" w:hAnsi="宋体" w:eastAsia="宋体" w:cs="宋体"/>
          <w:b w:val="0"/>
          <w:i w:val="0"/>
          <w:caps w:val="0"/>
          <w:color w:val="auto"/>
          <w:spacing w:val="0"/>
          <w:w w:val="100"/>
          <w:sz w:val="24"/>
          <w:szCs w:val="24"/>
          <w:highlight w:val="none"/>
          <w:u w:val="single" w:color="000000"/>
        </w:rPr>
        <w:t xml:space="preserve">：              </w:t>
      </w:r>
    </w:p>
    <w:p w14:paraId="553FA21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地  址：</w:t>
      </w:r>
      <w:r>
        <w:rPr>
          <w:rFonts w:hint="eastAsia" w:ascii="宋体" w:hAnsi="宋体" w:eastAsia="宋体" w:cs="宋体"/>
          <w:b w:val="0"/>
          <w:i w:val="0"/>
          <w:caps w:val="0"/>
          <w:color w:val="auto"/>
          <w:spacing w:val="0"/>
          <w:w w:val="100"/>
          <w:sz w:val="24"/>
          <w:szCs w:val="24"/>
          <w:highlight w:val="none"/>
          <w:u w:val="single" w:color="000000"/>
        </w:rPr>
        <w:t xml:space="preserve">     </w:t>
      </w:r>
      <w:r>
        <w:rPr>
          <w:rFonts w:hint="eastAsia" w:ascii="宋体" w:hAnsi="宋体" w:eastAsia="宋体" w:cs="宋体"/>
          <w:b w:val="0"/>
          <w:i w:val="0"/>
          <w:caps w:val="0"/>
          <w:color w:val="auto"/>
          <w:spacing w:val="0"/>
          <w:w w:val="100"/>
          <w:sz w:val="24"/>
          <w:szCs w:val="24"/>
          <w:highlight w:val="none"/>
        </w:rPr>
        <w:t xml:space="preserve">                       地  址：</w:t>
      </w:r>
      <w:r>
        <w:rPr>
          <w:rFonts w:hint="eastAsia" w:ascii="宋体" w:hAnsi="宋体" w:eastAsia="宋体" w:cs="宋体"/>
          <w:b w:val="0"/>
          <w:i w:val="0"/>
          <w:caps w:val="0"/>
          <w:color w:val="auto"/>
          <w:spacing w:val="0"/>
          <w:w w:val="100"/>
          <w:sz w:val="24"/>
          <w:szCs w:val="24"/>
          <w:highlight w:val="none"/>
          <w:u w:val="single" w:color="000000"/>
        </w:rPr>
        <w:t xml:space="preserve">       </w:t>
      </w:r>
    </w:p>
    <w:p w14:paraId="6A08954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法定代表人(签字)：</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法定代表人(签字)：</w:t>
      </w:r>
      <w:r>
        <w:rPr>
          <w:rFonts w:hint="eastAsia" w:ascii="宋体" w:hAnsi="宋体" w:eastAsia="宋体" w:cs="宋体"/>
          <w:b w:val="0"/>
          <w:i w:val="0"/>
          <w:caps w:val="0"/>
          <w:color w:val="auto"/>
          <w:spacing w:val="0"/>
          <w:w w:val="100"/>
          <w:sz w:val="24"/>
          <w:szCs w:val="24"/>
          <w:highlight w:val="none"/>
          <w:u w:val="single" w:color="000000"/>
        </w:rPr>
        <w:t xml:space="preserve">       </w:t>
      </w:r>
    </w:p>
    <w:p w14:paraId="46AA720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委托代理人(签字)：</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委托代理人(签字)：</w:t>
      </w:r>
      <w:r>
        <w:rPr>
          <w:rFonts w:hint="eastAsia" w:ascii="宋体" w:hAnsi="宋体" w:eastAsia="宋体" w:cs="宋体"/>
          <w:b w:val="0"/>
          <w:i w:val="0"/>
          <w:caps w:val="0"/>
          <w:color w:val="auto"/>
          <w:spacing w:val="0"/>
          <w:w w:val="100"/>
          <w:sz w:val="24"/>
          <w:szCs w:val="24"/>
          <w:highlight w:val="none"/>
          <w:u w:val="single" w:color="000000"/>
        </w:rPr>
        <w:t xml:space="preserve">       </w:t>
      </w:r>
    </w:p>
    <w:p w14:paraId="61591B2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电  话：</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电  话：</w:t>
      </w:r>
      <w:r>
        <w:rPr>
          <w:rFonts w:hint="eastAsia" w:ascii="宋体" w:hAnsi="宋体" w:eastAsia="宋体" w:cs="宋体"/>
          <w:b w:val="0"/>
          <w:i w:val="0"/>
          <w:caps w:val="0"/>
          <w:color w:val="auto"/>
          <w:spacing w:val="0"/>
          <w:w w:val="100"/>
          <w:sz w:val="24"/>
          <w:szCs w:val="24"/>
          <w:highlight w:val="none"/>
          <w:u w:val="single" w:color="000000"/>
        </w:rPr>
        <w:t xml:space="preserve">     </w:t>
      </w:r>
    </w:p>
    <w:p w14:paraId="603EB27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传  真：</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传  真：</w:t>
      </w:r>
      <w:r>
        <w:rPr>
          <w:rFonts w:hint="eastAsia" w:ascii="宋体" w:hAnsi="宋体" w:eastAsia="宋体" w:cs="宋体"/>
          <w:b w:val="0"/>
          <w:i w:val="0"/>
          <w:caps w:val="0"/>
          <w:color w:val="auto"/>
          <w:spacing w:val="0"/>
          <w:w w:val="100"/>
          <w:sz w:val="24"/>
          <w:szCs w:val="24"/>
          <w:highlight w:val="none"/>
          <w:u w:val="single" w:color="000000"/>
        </w:rPr>
        <w:t></w:t>
      </w:r>
    </w:p>
    <w:p w14:paraId="32939A4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开户银行：</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开户银行：</w:t>
      </w:r>
      <w:r>
        <w:rPr>
          <w:rFonts w:hint="eastAsia" w:ascii="宋体" w:hAnsi="宋体" w:eastAsia="宋体" w:cs="宋体"/>
          <w:b w:val="0"/>
          <w:i w:val="0"/>
          <w:caps w:val="0"/>
          <w:color w:val="auto"/>
          <w:spacing w:val="0"/>
          <w:w w:val="100"/>
          <w:sz w:val="24"/>
          <w:szCs w:val="24"/>
          <w:highlight w:val="none"/>
          <w:u w:val="single" w:color="000000"/>
        </w:rPr>
        <w:t xml:space="preserve">   </w:t>
      </w:r>
    </w:p>
    <w:p w14:paraId="094D2DA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账  号：</w:t>
      </w:r>
      <w:r>
        <w:rPr>
          <w:rFonts w:hint="eastAsia" w:ascii="宋体" w:hAnsi="宋体" w:eastAsia="宋体" w:cs="宋体"/>
          <w:b w:val="0"/>
          <w:i w:val="0"/>
          <w:caps w:val="0"/>
          <w:color w:val="auto"/>
          <w:spacing w:val="0"/>
          <w:w w:val="100"/>
          <w:sz w:val="24"/>
          <w:szCs w:val="24"/>
          <w:highlight w:val="none"/>
          <w:u w:val="single" w:color="000000"/>
        </w:rPr>
        <w:t xml:space="preserve">       </w:t>
      </w:r>
      <w:r>
        <w:rPr>
          <w:rFonts w:hint="eastAsia" w:ascii="宋体" w:hAnsi="宋体" w:eastAsia="宋体" w:cs="宋体"/>
          <w:b w:val="0"/>
          <w:i w:val="0"/>
          <w:caps w:val="0"/>
          <w:color w:val="auto"/>
          <w:spacing w:val="0"/>
          <w:w w:val="100"/>
          <w:sz w:val="24"/>
          <w:szCs w:val="24"/>
          <w:highlight w:val="none"/>
        </w:rPr>
        <w:t xml:space="preserve">                       账  号：</w:t>
      </w:r>
      <w:r>
        <w:rPr>
          <w:rFonts w:hint="eastAsia" w:ascii="宋体" w:hAnsi="宋体" w:eastAsia="宋体" w:cs="宋体"/>
          <w:b w:val="0"/>
          <w:i w:val="0"/>
          <w:caps w:val="0"/>
          <w:color w:val="auto"/>
          <w:spacing w:val="0"/>
          <w:w w:val="100"/>
          <w:sz w:val="24"/>
          <w:szCs w:val="24"/>
          <w:highlight w:val="none"/>
          <w:u w:val="single" w:color="000000"/>
        </w:rPr>
        <w:t xml:space="preserve">     </w:t>
      </w:r>
    </w:p>
    <w:p w14:paraId="328C29A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邮政编码：</w:t>
      </w:r>
      <w:r>
        <w:rPr>
          <w:rFonts w:hint="eastAsia" w:ascii="宋体" w:hAnsi="宋体" w:eastAsia="宋体" w:cs="宋体"/>
          <w:b w:val="0"/>
          <w:i w:val="0"/>
          <w:caps w:val="0"/>
          <w:color w:val="auto"/>
          <w:spacing w:val="0"/>
          <w:w w:val="100"/>
          <w:sz w:val="24"/>
          <w:szCs w:val="24"/>
          <w:highlight w:val="none"/>
          <w:u w:val="single" w:color="000000"/>
        </w:rPr>
        <w:t xml:space="preserve">     </w:t>
      </w:r>
      <w:r>
        <w:rPr>
          <w:rFonts w:hint="eastAsia" w:ascii="宋体" w:hAnsi="宋体" w:eastAsia="宋体" w:cs="宋体"/>
          <w:b w:val="0"/>
          <w:i w:val="0"/>
          <w:caps w:val="0"/>
          <w:color w:val="auto"/>
          <w:spacing w:val="0"/>
          <w:w w:val="100"/>
          <w:sz w:val="24"/>
          <w:szCs w:val="24"/>
          <w:highlight w:val="none"/>
        </w:rPr>
        <w:t xml:space="preserve">                      邮政编码：</w:t>
      </w:r>
      <w:r>
        <w:rPr>
          <w:rFonts w:hint="eastAsia" w:ascii="宋体" w:hAnsi="宋体" w:eastAsia="宋体" w:cs="宋体"/>
          <w:b w:val="0"/>
          <w:i w:val="0"/>
          <w:caps w:val="0"/>
          <w:color w:val="auto"/>
          <w:spacing w:val="0"/>
          <w:w w:val="100"/>
          <w:sz w:val="24"/>
          <w:szCs w:val="24"/>
          <w:highlight w:val="none"/>
          <w:u w:val="single" w:color="000000"/>
        </w:rPr>
        <w:t xml:space="preserve">   </w:t>
      </w:r>
    </w:p>
    <w:p w14:paraId="0E1792F4">
      <w:pPr>
        <w:rPr>
          <w:rFonts w:hint="eastAsia" w:ascii="宋体" w:hAnsi="宋体" w:eastAsia="宋体" w:cs="宋体"/>
          <w:b/>
          <w:i w:val="0"/>
          <w:caps w:val="0"/>
          <w:color w:val="auto"/>
          <w:spacing w:val="0"/>
          <w:w w:val="100"/>
          <w:sz w:val="32"/>
          <w:highlight w:val="none"/>
        </w:rPr>
      </w:pPr>
      <w:bookmarkStart w:id="831" w:name="_Toc505871411"/>
      <w:bookmarkStart w:id="832" w:name="_Toc256000121"/>
      <w:bookmarkStart w:id="833" w:name="_Toc13134"/>
      <w:r>
        <w:rPr>
          <w:rFonts w:hint="eastAsia" w:ascii="宋体" w:hAnsi="宋体" w:eastAsia="宋体" w:cs="宋体"/>
          <w:b/>
          <w:i w:val="0"/>
          <w:caps w:val="0"/>
          <w:color w:val="auto"/>
          <w:spacing w:val="0"/>
          <w:w w:val="100"/>
          <w:sz w:val="32"/>
          <w:highlight w:val="none"/>
        </w:rPr>
        <w:br w:type="page"/>
      </w:r>
    </w:p>
    <w:p w14:paraId="7717A5E7">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附件4：</w:t>
      </w:r>
      <w:bookmarkEnd w:id="831"/>
      <w:bookmarkEnd w:id="832"/>
      <w:bookmarkStart w:id="834" w:name="_Toc256000122"/>
      <w:bookmarkStart w:id="835" w:name="_Toc505871412"/>
      <w:r>
        <w:rPr>
          <w:rFonts w:hint="eastAsia" w:ascii="宋体" w:hAnsi="宋体" w:eastAsia="宋体" w:cs="宋体"/>
          <w:b/>
          <w:i w:val="0"/>
          <w:caps w:val="0"/>
          <w:color w:val="auto"/>
          <w:spacing w:val="0"/>
          <w:w w:val="100"/>
          <w:sz w:val="32"/>
          <w:highlight w:val="none"/>
        </w:rPr>
        <w:t>主要建设工程文件目录</w:t>
      </w:r>
      <w:bookmarkEnd w:id="833"/>
      <w:bookmarkEnd w:id="834"/>
      <w:bookmarkEnd w:id="835"/>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2A705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3BE8C0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文件名称</w:t>
            </w:r>
          </w:p>
        </w:tc>
        <w:tc>
          <w:tcPr>
            <w:tcW w:w="1276" w:type="dxa"/>
            <w:tcBorders>
              <w:top w:val="single" w:color="auto" w:sz="12" w:space="0"/>
              <w:bottom w:val="double" w:color="auto" w:sz="6" w:space="0"/>
            </w:tcBorders>
            <w:noWrap w:val="0"/>
            <w:vAlign w:val="center"/>
          </w:tcPr>
          <w:p w14:paraId="0414CFB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套数</w:t>
            </w:r>
          </w:p>
        </w:tc>
        <w:tc>
          <w:tcPr>
            <w:tcW w:w="1450" w:type="dxa"/>
            <w:tcBorders>
              <w:top w:val="single" w:color="auto" w:sz="12" w:space="0"/>
              <w:bottom w:val="double" w:color="auto" w:sz="6" w:space="0"/>
            </w:tcBorders>
            <w:noWrap w:val="0"/>
            <w:vAlign w:val="center"/>
          </w:tcPr>
          <w:p w14:paraId="7604EFA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费用（元）</w:t>
            </w:r>
          </w:p>
        </w:tc>
        <w:tc>
          <w:tcPr>
            <w:tcW w:w="1243" w:type="dxa"/>
            <w:tcBorders>
              <w:top w:val="single" w:color="auto" w:sz="12" w:space="0"/>
              <w:bottom w:val="double" w:color="auto" w:sz="6" w:space="0"/>
            </w:tcBorders>
            <w:noWrap w:val="0"/>
            <w:vAlign w:val="center"/>
          </w:tcPr>
          <w:p w14:paraId="395196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质量</w:t>
            </w:r>
          </w:p>
        </w:tc>
        <w:tc>
          <w:tcPr>
            <w:tcW w:w="1450" w:type="dxa"/>
            <w:tcBorders>
              <w:top w:val="single" w:color="auto" w:sz="12" w:space="0"/>
              <w:bottom w:val="double" w:color="auto" w:sz="6" w:space="0"/>
            </w:tcBorders>
            <w:noWrap w:val="0"/>
            <w:vAlign w:val="top"/>
          </w:tcPr>
          <w:p w14:paraId="5AE81BFD">
            <w:pPr>
              <w:pStyle w:val="48"/>
              <w:snapToGrid w:val="0"/>
              <w:spacing w:before="0" w:beforeAutospacing="0" w:after="0" w:afterAutospacing="0" w:line="440" w:lineRule="exact"/>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移交时间</w:t>
            </w:r>
          </w:p>
        </w:tc>
        <w:tc>
          <w:tcPr>
            <w:tcW w:w="1667" w:type="dxa"/>
            <w:tcBorders>
              <w:top w:val="single" w:color="auto" w:sz="12" w:space="0"/>
              <w:bottom w:val="double" w:color="auto" w:sz="6" w:space="0"/>
            </w:tcBorders>
            <w:noWrap w:val="0"/>
            <w:vAlign w:val="top"/>
          </w:tcPr>
          <w:p w14:paraId="224B86E0">
            <w:pPr>
              <w:pStyle w:val="48"/>
              <w:snapToGrid w:val="0"/>
              <w:spacing w:before="0" w:beforeAutospacing="0" w:after="0" w:afterAutospacing="0" w:line="440" w:lineRule="exact"/>
              <w:jc w:val="center"/>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责任人</w:t>
            </w:r>
          </w:p>
        </w:tc>
      </w:tr>
      <w:tr w14:paraId="54C88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73260E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tcBorders>
              <w:top w:val="double" w:color="auto" w:sz="6" w:space="0"/>
              <w:bottom w:val="single" w:color="auto" w:sz="6" w:space="0"/>
            </w:tcBorders>
            <w:noWrap w:val="0"/>
            <w:vAlign w:val="center"/>
          </w:tcPr>
          <w:p w14:paraId="27A44A7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tcBorders>
              <w:top w:val="double" w:color="auto" w:sz="6" w:space="0"/>
              <w:bottom w:val="single" w:color="auto" w:sz="6" w:space="0"/>
            </w:tcBorders>
            <w:noWrap w:val="0"/>
            <w:vAlign w:val="center"/>
          </w:tcPr>
          <w:p w14:paraId="26DFD39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tcBorders>
              <w:top w:val="double" w:color="auto" w:sz="6" w:space="0"/>
              <w:bottom w:val="single" w:color="auto" w:sz="6" w:space="0"/>
            </w:tcBorders>
            <w:noWrap w:val="0"/>
            <w:vAlign w:val="center"/>
          </w:tcPr>
          <w:p w14:paraId="4558CAF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tcBorders>
              <w:top w:val="double" w:color="auto" w:sz="6" w:space="0"/>
              <w:bottom w:val="single" w:color="auto" w:sz="6" w:space="0"/>
            </w:tcBorders>
            <w:noWrap w:val="0"/>
            <w:vAlign w:val="center"/>
          </w:tcPr>
          <w:p w14:paraId="610628F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tcBorders>
              <w:top w:val="double" w:color="auto" w:sz="6" w:space="0"/>
              <w:bottom w:val="single" w:color="auto" w:sz="6" w:space="0"/>
            </w:tcBorders>
            <w:noWrap w:val="0"/>
            <w:vAlign w:val="center"/>
          </w:tcPr>
          <w:p w14:paraId="119E6D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29E7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4D0DB73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tcBorders>
              <w:top w:val="nil"/>
            </w:tcBorders>
            <w:noWrap w:val="0"/>
            <w:vAlign w:val="center"/>
          </w:tcPr>
          <w:p w14:paraId="719B70F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tcBorders>
              <w:top w:val="nil"/>
            </w:tcBorders>
            <w:noWrap w:val="0"/>
            <w:vAlign w:val="center"/>
          </w:tcPr>
          <w:p w14:paraId="310FA48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tcBorders>
              <w:top w:val="nil"/>
            </w:tcBorders>
            <w:noWrap w:val="0"/>
            <w:vAlign w:val="center"/>
          </w:tcPr>
          <w:p w14:paraId="50352FA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tcBorders>
              <w:top w:val="nil"/>
            </w:tcBorders>
            <w:noWrap w:val="0"/>
            <w:vAlign w:val="center"/>
          </w:tcPr>
          <w:p w14:paraId="517FE3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tcBorders>
              <w:top w:val="nil"/>
            </w:tcBorders>
            <w:noWrap w:val="0"/>
            <w:vAlign w:val="center"/>
          </w:tcPr>
          <w:p w14:paraId="5EE665B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5ADF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F13D79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0195B72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298B628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0828FFE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3155DC8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73284D2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38E2F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23459B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088876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53330D1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62AF076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45496CA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42940A1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EE10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D0C0AC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0470129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19F297F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2FCEAF7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6A97F30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2CE08C8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0AB26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B9EFF6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5C899AC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0ECF7A8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58EE239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226BACE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7BD4034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C320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1706F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2A84EB7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4A5BE49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7A15403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2E62ED3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73B85DE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18FB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DDB70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41C732E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6D6733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1C60176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57BFFA3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4CA4FBC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BBE10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6189A5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6F221B7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3C9CC46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6471574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3070FF7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053343E7">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679D4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A22BDD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center"/>
          </w:tcPr>
          <w:p w14:paraId="78A3D92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39D73EE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center"/>
          </w:tcPr>
          <w:p w14:paraId="2057E6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center"/>
          </w:tcPr>
          <w:p w14:paraId="63B3976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center"/>
          </w:tcPr>
          <w:p w14:paraId="5CFF51E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0AD96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9B0D4E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0F19473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39990D3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5DA1DFE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29B9511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5947BE6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347ED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60E99CB">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39B075C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423554D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52AB961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7EFC1D6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69073BE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4DF2B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9D034C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3DA939B7">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781926B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51A9D59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3D5C204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366B590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25C4B3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881F04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032303C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26A1D96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1A56971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2D47BBD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4389C2A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2E670E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61F1BD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5379C25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2731F97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18E7AC2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4E8E3F9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22BEC00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0CE52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55D32F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1C783B9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02354E3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389FDF7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01C7133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323FF20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69BC62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37619A7">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40850B7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51F7F85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4EA078CB">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4614D87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779A664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505017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EAC1A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76" w:type="dxa"/>
            <w:noWrap w:val="0"/>
            <w:vAlign w:val="top"/>
          </w:tcPr>
          <w:p w14:paraId="668B3D2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4691B6A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243" w:type="dxa"/>
            <w:noWrap w:val="0"/>
            <w:vAlign w:val="top"/>
          </w:tcPr>
          <w:p w14:paraId="6BF1A4B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50" w:type="dxa"/>
            <w:noWrap w:val="0"/>
            <w:vAlign w:val="top"/>
          </w:tcPr>
          <w:p w14:paraId="3F4B5D57">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667" w:type="dxa"/>
            <w:noWrap w:val="0"/>
            <w:vAlign w:val="top"/>
          </w:tcPr>
          <w:p w14:paraId="6F65FF6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bl>
    <w:p w14:paraId="2687D260">
      <w:pPr>
        <w:rPr>
          <w:rFonts w:hint="eastAsia" w:ascii="宋体" w:hAnsi="宋体" w:eastAsia="宋体" w:cs="宋体"/>
          <w:b/>
          <w:i w:val="0"/>
          <w:caps w:val="0"/>
          <w:color w:val="auto"/>
          <w:spacing w:val="0"/>
          <w:w w:val="100"/>
          <w:sz w:val="32"/>
          <w:highlight w:val="none"/>
        </w:rPr>
      </w:pPr>
      <w:bookmarkStart w:id="836" w:name="_Toc505871413"/>
      <w:bookmarkStart w:id="837" w:name="_Toc256000123"/>
      <w:bookmarkStart w:id="838" w:name="_Toc25628"/>
      <w:r>
        <w:rPr>
          <w:rFonts w:hint="eastAsia" w:ascii="宋体" w:hAnsi="宋体" w:eastAsia="宋体" w:cs="宋体"/>
          <w:b/>
          <w:i w:val="0"/>
          <w:caps w:val="0"/>
          <w:color w:val="auto"/>
          <w:spacing w:val="0"/>
          <w:w w:val="100"/>
          <w:sz w:val="32"/>
          <w:highlight w:val="none"/>
        </w:rPr>
        <w:br w:type="page"/>
      </w:r>
    </w:p>
    <w:p w14:paraId="2CE6D943">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附件5：</w:t>
      </w:r>
      <w:bookmarkEnd w:id="836"/>
      <w:bookmarkEnd w:id="837"/>
      <w:bookmarkStart w:id="839" w:name="_Toc256000124"/>
      <w:bookmarkStart w:id="840" w:name="_Toc505871414"/>
      <w:r>
        <w:rPr>
          <w:rFonts w:hint="eastAsia" w:ascii="宋体" w:hAnsi="宋体" w:eastAsia="宋体" w:cs="宋体"/>
          <w:b/>
          <w:i w:val="0"/>
          <w:caps w:val="0"/>
          <w:color w:val="auto"/>
          <w:spacing w:val="0"/>
          <w:w w:val="100"/>
          <w:sz w:val="32"/>
          <w:highlight w:val="none"/>
        </w:rPr>
        <w:t>承包人用于本工程施工的机械设备表</w:t>
      </w:r>
      <w:bookmarkEnd w:id="838"/>
      <w:bookmarkEnd w:id="839"/>
      <w:bookmarkEnd w:id="840"/>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57473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noWrap w:val="0"/>
            <w:vAlign w:val="center"/>
          </w:tcPr>
          <w:p w14:paraId="1DDF388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序号</w:t>
            </w:r>
          </w:p>
        </w:tc>
        <w:tc>
          <w:tcPr>
            <w:tcW w:w="1418" w:type="dxa"/>
            <w:tcBorders>
              <w:top w:val="single" w:color="auto" w:sz="12" w:space="0"/>
              <w:bottom w:val="double" w:color="auto" w:sz="6" w:space="0"/>
            </w:tcBorders>
            <w:noWrap w:val="0"/>
            <w:vAlign w:val="center"/>
          </w:tcPr>
          <w:p w14:paraId="77E264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机械或设备名称</w:t>
            </w:r>
          </w:p>
        </w:tc>
        <w:tc>
          <w:tcPr>
            <w:tcW w:w="850" w:type="dxa"/>
            <w:tcBorders>
              <w:top w:val="single" w:color="auto" w:sz="12" w:space="0"/>
              <w:bottom w:val="double" w:color="auto" w:sz="6" w:space="0"/>
            </w:tcBorders>
            <w:noWrap w:val="0"/>
            <w:vAlign w:val="center"/>
          </w:tcPr>
          <w:p w14:paraId="135B11B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规格型号</w:t>
            </w:r>
          </w:p>
        </w:tc>
        <w:tc>
          <w:tcPr>
            <w:tcW w:w="1058" w:type="dxa"/>
            <w:tcBorders>
              <w:top w:val="single" w:color="auto" w:sz="12" w:space="0"/>
              <w:bottom w:val="double" w:color="auto" w:sz="6" w:space="0"/>
            </w:tcBorders>
            <w:noWrap w:val="0"/>
            <w:vAlign w:val="center"/>
          </w:tcPr>
          <w:p w14:paraId="36F6752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数量</w:t>
            </w:r>
          </w:p>
        </w:tc>
        <w:tc>
          <w:tcPr>
            <w:tcW w:w="880" w:type="dxa"/>
            <w:tcBorders>
              <w:top w:val="single" w:color="auto" w:sz="12" w:space="0"/>
              <w:bottom w:val="double" w:color="auto" w:sz="6" w:space="0"/>
            </w:tcBorders>
            <w:noWrap w:val="0"/>
            <w:vAlign w:val="center"/>
          </w:tcPr>
          <w:p w14:paraId="691682D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产地</w:t>
            </w:r>
          </w:p>
        </w:tc>
        <w:tc>
          <w:tcPr>
            <w:tcW w:w="1020" w:type="dxa"/>
            <w:tcBorders>
              <w:top w:val="single" w:color="auto" w:sz="12" w:space="0"/>
              <w:bottom w:val="double" w:color="auto" w:sz="6" w:space="0"/>
            </w:tcBorders>
            <w:noWrap w:val="0"/>
            <w:vAlign w:val="center"/>
          </w:tcPr>
          <w:p w14:paraId="5E3E816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制造年份</w:t>
            </w:r>
          </w:p>
        </w:tc>
        <w:tc>
          <w:tcPr>
            <w:tcW w:w="1480" w:type="dxa"/>
            <w:tcBorders>
              <w:top w:val="single" w:color="auto" w:sz="12" w:space="0"/>
              <w:bottom w:val="double" w:color="auto" w:sz="6" w:space="0"/>
            </w:tcBorders>
            <w:noWrap w:val="0"/>
            <w:vAlign w:val="center"/>
          </w:tcPr>
          <w:p w14:paraId="003650C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额定功率(kW)</w:t>
            </w:r>
          </w:p>
        </w:tc>
        <w:tc>
          <w:tcPr>
            <w:tcW w:w="1020" w:type="dxa"/>
            <w:tcBorders>
              <w:top w:val="single" w:color="auto" w:sz="12" w:space="0"/>
              <w:bottom w:val="double" w:color="auto" w:sz="6" w:space="0"/>
            </w:tcBorders>
            <w:noWrap w:val="0"/>
            <w:vAlign w:val="center"/>
          </w:tcPr>
          <w:p w14:paraId="2DF9F8C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生产能力</w:t>
            </w:r>
          </w:p>
        </w:tc>
        <w:tc>
          <w:tcPr>
            <w:tcW w:w="921" w:type="dxa"/>
            <w:tcBorders>
              <w:top w:val="single" w:color="auto" w:sz="12" w:space="0"/>
              <w:bottom w:val="double" w:color="auto" w:sz="6" w:space="0"/>
            </w:tcBorders>
            <w:noWrap w:val="0"/>
            <w:vAlign w:val="center"/>
          </w:tcPr>
          <w:p w14:paraId="56AAFD4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备注</w:t>
            </w:r>
          </w:p>
        </w:tc>
      </w:tr>
      <w:tr w14:paraId="1AC66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noWrap w:val="0"/>
            <w:vAlign w:val="center"/>
          </w:tcPr>
          <w:p w14:paraId="0926965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double" w:color="auto" w:sz="6" w:space="0"/>
              <w:bottom w:val="single" w:color="auto" w:sz="6" w:space="0"/>
            </w:tcBorders>
            <w:noWrap w:val="0"/>
            <w:vAlign w:val="center"/>
          </w:tcPr>
          <w:p w14:paraId="2BA0F2D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tcBorders>
              <w:top w:val="double" w:color="auto" w:sz="6" w:space="0"/>
              <w:bottom w:val="single" w:color="auto" w:sz="6" w:space="0"/>
            </w:tcBorders>
            <w:noWrap w:val="0"/>
            <w:vAlign w:val="center"/>
          </w:tcPr>
          <w:p w14:paraId="6645836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tcBorders>
              <w:top w:val="double" w:color="auto" w:sz="6" w:space="0"/>
              <w:bottom w:val="single" w:color="auto" w:sz="6" w:space="0"/>
            </w:tcBorders>
            <w:noWrap w:val="0"/>
            <w:vAlign w:val="center"/>
          </w:tcPr>
          <w:p w14:paraId="6CA668D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tcBorders>
              <w:top w:val="double" w:color="auto" w:sz="6" w:space="0"/>
              <w:bottom w:val="single" w:color="auto" w:sz="6" w:space="0"/>
            </w:tcBorders>
            <w:noWrap w:val="0"/>
            <w:vAlign w:val="center"/>
          </w:tcPr>
          <w:p w14:paraId="58A4C6C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tcBorders>
              <w:top w:val="double" w:color="auto" w:sz="6" w:space="0"/>
              <w:bottom w:val="single" w:color="auto" w:sz="6" w:space="0"/>
            </w:tcBorders>
            <w:noWrap w:val="0"/>
            <w:vAlign w:val="center"/>
          </w:tcPr>
          <w:p w14:paraId="38518BA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tcBorders>
              <w:top w:val="double" w:color="auto" w:sz="6" w:space="0"/>
              <w:bottom w:val="single" w:color="auto" w:sz="6" w:space="0"/>
            </w:tcBorders>
            <w:noWrap w:val="0"/>
            <w:vAlign w:val="center"/>
          </w:tcPr>
          <w:p w14:paraId="15B8DCE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tcBorders>
              <w:top w:val="double" w:color="auto" w:sz="6" w:space="0"/>
              <w:bottom w:val="single" w:color="auto" w:sz="6" w:space="0"/>
            </w:tcBorders>
            <w:noWrap w:val="0"/>
            <w:vAlign w:val="center"/>
          </w:tcPr>
          <w:p w14:paraId="281F35D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tcBorders>
              <w:top w:val="double" w:color="auto" w:sz="6" w:space="0"/>
              <w:bottom w:val="single" w:color="auto" w:sz="6" w:space="0"/>
            </w:tcBorders>
            <w:noWrap w:val="0"/>
            <w:vAlign w:val="center"/>
          </w:tcPr>
          <w:p w14:paraId="4E98C4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DDD50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noWrap w:val="0"/>
            <w:vAlign w:val="center"/>
          </w:tcPr>
          <w:p w14:paraId="0FF72F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center"/>
          </w:tcPr>
          <w:p w14:paraId="0B17F93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tcBorders>
              <w:top w:val="nil"/>
            </w:tcBorders>
            <w:noWrap w:val="0"/>
            <w:vAlign w:val="center"/>
          </w:tcPr>
          <w:p w14:paraId="274E826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tcBorders>
              <w:top w:val="nil"/>
            </w:tcBorders>
            <w:noWrap w:val="0"/>
            <w:vAlign w:val="center"/>
          </w:tcPr>
          <w:p w14:paraId="366E2A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tcBorders>
              <w:top w:val="nil"/>
            </w:tcBorders>
            <w:noWrap w:val="0"/>
            <w:vAlign w:val="center"/>
          </w:tcPr>
          <w:p w14:paraId="1E9AD8B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tcBorders>
              <w:top w:val="nil"/>
            </w:tcBorders>
            <w:noWrap w:val="0"/>
            <w:vAlign w:val="center"/>
          </w:tcPr>
          <w:p w14:paraId="751CC8B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tcBorders>
              <w:top w:val="nil"/>
            </w:tcBorders>
            <w:noWrap w:val="0"/>
            <w:vAlign w:val="center"/>
          </w:tcPr>
          <w:p w14:paraId="43A5160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tcBorders>
              <w:top w:val="nil"/>
            </w:tcBorders>
            <w:noWrap w:val="0"/>
            <w:vAlign w:val="center"/>
          </w:tcPr>
          <w:p w14:paraId="4AF979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tcBorders>
              <w:top w:val="nil"/>
            </w:tcBorders>
            <w:noWrap w:val="0"/>
            <w:vAlign w:val="center"/>
          </w:tcPr>
          <w:p w14:paraId="028FEEE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F9682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2E7782F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2B5C8D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37B1CFC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6D66AC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258F854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359535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3C2F0E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1217DCC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37C260A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9F98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6DE402F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763753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0BA061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0C310B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09A8A1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6DE05AF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565785E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09391DC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11F2D7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4A3E7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7345A7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4D327FA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6285BAF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134A34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7F7640E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7C67F73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4F89B6E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4EE46D4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1AE59E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7CC6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47F6BC1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1FEABD0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40B271D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7271298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1CB525A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160661C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58298F9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0384D3A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4A49F0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D6CBB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3809A18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639992E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5C96DBA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773AA60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416D642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786D636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6F4A21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63F7BD1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582ECF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0BA7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7BA4D78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0B3BF3C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01374EE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36D4BFB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6A9E4AA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669A6F1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4A12B84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70615BE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35F2B8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4C5A95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14575FC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613B523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780B2B1B">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3212A72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3940235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0470428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0CB4D38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280550A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3245F4D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5F1982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2146F55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5032E06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center"/>
          </w:tcPr>
          <w:p w14:paraId="398EE0B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center"/>
          </w:tcPr>
          <w:p w14:paraId="2237F89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center"/>
          </w:tcPr>
          <w:p w14:paraId="1551BC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5B6FD1B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center"/>
          </w:tcPr>
          <w:p w14:paraId="4E5043B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center"/>
          </w:tcPr>
          <w:p w14:paraId="01FD93D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center"/>
          </w:tcPr>
          <w:p w14:paraId="416B54B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6699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5CF1AAC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4DEEBF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3AE1B51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37C7D83B">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4BF715B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38B1BD5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1935464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3453D81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54CC603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4EF4F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62ACCB4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3EB9C2B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303E05E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2FFED97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4A3801B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0DE2292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36C14BF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5676AB0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63170CF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3C882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7405B65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3DA055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0BA6EA2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21A7FF8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574757C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6548E0B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27F982E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482B763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279F0CD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53ED18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651B767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272594B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2F49ABB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1412A90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19E9FBD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10A0BD5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1B1E024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3D814A1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76F8043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3664A9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59B81F8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0823D07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205605B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02502C5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066578E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5828455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3CB2C4C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6C95D74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1188087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6D2918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162" w:type="dxa"/>
            <w:noWrap w:val="0"/>
            <w:vAlign w:val="top"/>
          </w:tcPr>
          <w:p w14:paraId="4554BC0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5EFBBEC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6B492687">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66F8854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3D0700B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3708AC0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495B31D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75763F3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0541F7A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554E21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162" w:type="dxa"/>
            <w:noWrap w:val="0"/>
            <w:vAlign w:val="top"/>
          </w:tcPr>
          <w:p w14:paraId="137798C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6628B35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644DA4FE">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5955F58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76F903A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49E2EB0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59FAE34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10F1315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4692CD8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r w14:paraId="595A4C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3F43AAE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0667B4B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50" w:type="dxa"/>
            <w:noWrap w:val="0"/>
            <w:vAlign w:val="top"/>
          </w:tcPr>
          <w:p w14:paraId="157E8AE0">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58" w:type="dxa"/>
            <w:noWrap w:val="0"/>
            <w:vAlign w:val="top"/>
          </w:tcPr>
          <w:p w14:paraId="7A0570D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880" w:type="dxa"/>
            <w:noWrap w:val="0"/>
            <w:vAlign w:val="top"/>
          </w:tcPr>
          <w:p w14:paraId="1FBAD14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7505481F">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480" w:type="dxa"/>
            <w:noWrap w:val="0"/>
            <w:vAlign w:val="top"/>
          </w:tcPr>
          <w:p w14:paraId="77CA7A1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1020" w:type="dxa"/>
            <w:noWrap w:val="0"/>
            <w:vAlign w:val="top"/>
          </w:tcPr>
          <w:p w14:paraId="5369855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c>
          <w:tcPr>
            <w:tcW w:w="921" w:type="dxa"/>
            <w:noWrap w:val="0"/>
            <w:vAlign w:val="top"/>
          </w:tcPr>
          <w:p w14:paraId="52ED68BA">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tc>
      </w:tr>
    </w:tbl>
    <w:p w14:paraId="76DCF7CF">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bookmarkStart w:id="841" w:name="_Toc505871415"/>
      <w:bookmarkStart w:id="842" w:name="_Toc256000125"/>
      <w:bookmarkStart w:id="843" w:name="_Toc20561"/>
      <w:r>
        <w:rPr>
          <w:rFonts w:hint="eastAsia" w:ascii="宋体" w:hAnsi="宋体" w:eastAsia="宋体" w:cs="宋体"/>
          <w:b/>
          <w:i w:val="0"/>
          <w:caps w:val="0"/>
          <w:color w:val="auto"/>
          <w:spacing w:val="0"/>
          <w:w w:val="100"/>
          <w:sz w:val="32"/>
          <w:highlight w:val="none"/>
        </w:rPr>
        <w:t>附件6：</w:t>
      </w:r>
      <w:bookmarkEnd w:id="841"/>
      <w:bookmarkEnd w:id="842"/>
      <w:bookmarkStart w:id="844" w:name="_Toc256000126"/>
      <w:bookmarkStart w:id="845" w:name="_Toc505871416"/>
      <w:r>
        <w:rPr>
          <w:rFonts w:hint="eastAsia" w:ascii="宋体" w:hAnsi="宋体" w:eastAsia="宋体" w:cs="宋体"/>
          <w:b/>
          <w:i w:val="0"/>
          <w:caps w:val="0"/>
          <w:color w:val="auto"/>
          <w:spacing w:val="0"/>
          <w:w w:val="100"/>
          <w:sz w:val="32"/>
          <w:highlight w:val="none"/>
        </w:rPr>
        <w:t>承包人主要施工管理人员表</w:t>
      </w:r>
      <w:bookmarkEnd w:id="843"/>
      <w:bookmarkEnd w:id="844"/>
      <w:bookmarkEnd w:id="845"/>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5D799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2B925EF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名    称</w:t>
            </w:r>
          </w:p>
        </w:tc>
        <w:tc>
          <w:tcPr>
            <w:tcW w:w="1418" w:type="dxa"/>
            <w:tcBorders>
              <w:top w:val="single" w:color="auto" w:sz="12" w:space="0"/>
              <w:bottom w:val="double" w:color="auto" w:sz="6" w:space="0"/>
            </w:tcBorders>
            <w:noWrap w:val="0"/>
            <w:vAlign w:val="center"/>
          </w:tcPr>
          <w:p w14:paraId="2D9EED6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姓名</w:t>
            </w:r>
          </w:p>
        </w:tc>
        <w:tc>
          <w:tcPr>
            <w:tcW w:w="1134" w:type="dxa"/>
            <w:tcBorders>
              <w:top w:val="single" w:color="auto" w:sz="12" w:space="0"/>
              <w:bottom w:val="double" w:color="auto" w:sz="6" w:space="0"/>
            </w:tcBorders>
            <w:noWrap w:val="0"/>
            <w:vAlign w:val="center"/>
          </w:tcPr>
          <w:p w14:paraId="0BC5D87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职务</w:t>
            </w:r>
          </w:p>
        </w:tc>
        <w:tc>
          <w:tcPr>
            <w:tcW w:w="1134" w:type="dxa"/>
            <w:tcBorders>
              <w:top w:val="single" w:color="auto" w:sz="12" w:space="0"/>
              <w:bottom w:val="double" w:color="auto" w:sz="6" w:space="0"/>
            </w:tcBorders>
            <w:noWrap w:val="0"/>
            <w:vAlign w:val="center"/>
          </w:tcPr>
          <w:p w14:paraId="168B77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职称</w:t>
            </w:r>
          </w:p>
        </w:tc>
        <w:tc>
          <w:tcPr>
            <w:tcW w:w="4252" w:type="dxa"/>
            <w:tcBorders>
              <w:top w:val="single" w:color="auto" w:sz="12" w:space="0"/>
              <w:bottom w:val="double" w:color="auto" w:sz="6" w:space="0"/>
            </w:tcBorders>
            <w:noWrap w:val="0"/>
            <w:vAlign w:val="center"/>
          </w:tcPr>
          <w:p w14:paraId="19FCDFA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主要资历、经验及承担过的项目</w:t>
            </w:r>
          </w:p>
        </w:tc>
      </w:tr>
      <w:tr w14:paraId="75E15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noWrap w:val="0"/>
            <w:vAlign w:val="center"/>
          </w:tcPr>
          <w:p w14:paraId="4544710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一、总部人员</w:t>
            </w:r>
          </w:p>
        </w:tc>
      </w:tr>
      <w:tr w14:paraId="7FA866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single" w:color="auto" w:sz="4" w:space="0"/>
            </w:tcBorders>
            <w:noWrap w:val="0"/>
            <w:vAlign w:val="center"/>
          </w:tcPr>
          <w:p w14:paraId="29C6ACC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项目主管</w:t>
            </w:r>
          </w:p>
        </w:tc>
        <w:tc>
          <w:tcPr>
            <w:tcW w:w="1418" w:type="dxa"/>
            <w:tcBorders>
              <w:top w:val="nil"/>
              <w:bottom w:val="single" w:color="auto" w:sz="4" w:space="0"/>
            </w:tcBorders>
            <w:noWrap w:val="0"/>
            <w:vAlign w:val="center"/>
          </w:tcPr>
          <w:p w14:paraId="1ECCD2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top w:val="nil"/>
            </w:tcBorders>
            <w:noWrap w:val="0"/>
            <w:vAlign w:val="center"/>
          </w:tcPr>
          <w:p w14:paraId="19EFA5C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top w:val="nil"/>
            </w:tcBorders>
            <w:noWrap w:val="0"/>
            <w:vAlign w:val="center"/>
          </w:tcPr>
          <w:p w14:paraId="621C33C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tcBorders>
              <w:top w:val="nil"/>
            </w:tcBorders>
            <w:noWrap w:val="0"/>
            <w:vAlign w:val="center"/>
          </w:tcPr>
          <w:p w14:paraId="1335E2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A8677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659785A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07E2A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left w:val="single" w:color="auto" w:sz="4" w:space="0"/>
            </w:tcBorders>
            <w:noWrap w:val="0"/>
            <w:vAlign w:val="center"/>
          </w:tcPr>
          <w:p w14:paraId="2EBA7C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4F7CB4D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586952A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E745E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5C66A6D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其他人员</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8FBC4D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left w:val="single" w:color="auto" w:sz="4" w:space="0"/>
            </w:tcBorders>
            <w:noWrap w:val="0"/>
            <w:vAlign w:val="center"/>
          </w:tcPr>
          <w:p w14:paraId="4C89A1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8010FE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EE60F2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0CA27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417ADD6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2B4D6E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left w:val="single" w:color="auto" w:sz="4" w:space="0"/>
            </w:tcBorders>
            <w:noWrap w:val="0"/>
            <w:vAlign w:val="center"/>
          </w:tcPr>
          <w:p w14:paraId="340EF75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87AD12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09BFC34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6979E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noWrap w:val="0"/>
            <w:vAlign w:val="center"/>
          </w:tcPr>
          <w:p w14:paraId="298C0F6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二、现场人员</w:t>
            </w:r>
          </w:p>
        </w:tc>
      </w:tr>
      <w:tr w14:paraId="7ED40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7BDA4D5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项目经理</w:t>
            </w:r>
          </w:p>
        </w:tc>
        <w:tc>
          <w:tcPr>
            <w:tcW w:w="1418" w:type="dxa"/>
            <w:noWrap w:val="0"/>
            <w:vAlign w:val="center"/>
          </w:tcPr>
          <w:p w14:paraId="1DB3897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742502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0228D7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2B811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5CCA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5B52A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项目副经理</w:t>
            </w:r>
          </w:p>
        </w:tc>
        <w:tc>
          <w:tcPr>
            <w:tcW w:w="1418" w:type="dxa"/>
            <w:noWrap w:val="0"/>
            <w:vAlign w:val="center"/>
          </w:tcPr>
          <w:p w14:paraId="7287AB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E00246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5ADCC60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64D5474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14B15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9526EB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技术负责人</w:t>
            </w:r>
          </w:p>
        </w:tc>
        <w:tc>
          <w:tcPr>
            <w:tcW w:w="1418" w:type="dxa"/>
            <w:noWrap w:val="0"/>
            <w:vAlign w:val="center"/>
          </w:tcPr>
          <w:p w14:paraId="75A91E2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ECF98B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C3517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674F773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35FDD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586A56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造价管理</w:t>
            </w:r>
          </w:p>
        </w:tc>
        <w:tc>
          <w:tcPr>
            <w:tcW w:w="1418" w:type="dxa"/>
            <w:noWrap w:val="0"/>
            <w:vAlign w:val="center"/>
          </w:tcPr>
          <w:p w14:paraId="54999E1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575B32F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2382DD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79C8A0E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B75E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A23791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质量管理</w:t>
            </w:r>
          </w:p>
        </w:tc>
        <w:tc>
          <w:tcPr>
            <w:tcW w:w="1418" w:type="dxa"/>
            <w:noWrap w:val="0"/>
            <w:vAlign w:val="center"/>
          </w:tcPr>
          <w:p w14:paraId="136CFD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BFB84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6FE608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7C6FFB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87BD4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CA38F8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材料管理</w:t>
            </w:r>
          </w:p>
        </w:tc>
        <w:tc>
          <w:tcPr>
            <w:tcW w:w="1418" w:type="dxa"/>
            <w:noWrap w:val="0"/>
            <w:vAlign w:val="center"/>
          </w:tcPr>
          <w:p w14:paraId="3C0A599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75669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44FB1D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36FE1A5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9530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202834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计划管理</w:t>
            </w:r>
          </w:p>
        </w:tc>
        <w:tc>
          <w:tcPr>
            <w:tcW w:w="1418" w:type="dxa"/>
            <w:noWrap w:val="0"/>
            <w:vAlign w:val="center"/>
          </w:tcPr>
          <w:p w14:paraId="317EE18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B7ED71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A30D35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296AC9E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56CBC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306ECC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安全管理</w:t>
            </w:r>
          </w:p>
        </w:tc>
        <w:tc>
          <w:tcPr>
            <w:tcW w:w="1418" w:type="dxa"/>
            <w:noWrap w:val="0"/>
            <w:vAlign w:val="center"/>
          </w:tcPr>
          <w:p w14:paraId="0924DC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DC6B75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367393E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548AD4F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05FC6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12EA8E5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其他人员</w:t>
            </w:r>
          </w:p>
        </w:tc>
        <w:tc>
          <w:tcPr>
            <w:tcW w:w="1418" w:type="dxa"/>
            <w:noWrap w:val="0"/>
            <w:vAlign w:val="center"/>
          </w:tcPr>
          <w:p w14:paraId="3B0EEA3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A8292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A7D63C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7FCDD46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D4D32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3B7875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bottom w:val="nil"/>
            </w:tcBorders>
            <w:noWrap w:val="0"/>
            <w:vAlign w:val="center"/>
          </w:tcPr>
          <w:p w14:paraId="3277D29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nil"/>
            </w:tcBorders>
            <w:noWrap w:val="0"/>
            <w:vAlign w:val="center"/>
          </w:tcPr>
          <w:p w14:paraId="302E8E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nil"/>
            </w:tcBorders>
            <w:noWrap w:val="0"/>
            <w:vAlign w:val="center"/>
          </w:tcPr>
          <w:p w14:paraId="4AE90D9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tcBorders>
              <w:bottom w:val="nil"/>
            </w:tcBorders>
            <w:noWrap w:val="0"/>
            <w:vAlign w:val="center"/>
          </w:tcPr>
          <w:p w14:paraId="719676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5242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3028DC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50CF10F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53FCE32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333B0E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210D519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46B53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42F0A4D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53E4D9C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E0A552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1BEC58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7E62E64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BA308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32438E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11FD67A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4AB7E9E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174287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D92B17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E477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70AD80C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bottom w:val="single" w:color="auto" w:sz="12" w:space="0"/>
            </w:tcBorders>
            <w:noWrap w:val="0"/>
            <w:vAlign w:val="center"/>
          </w:tcPr>
          <w:p w14:paraId="0ED12D3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single" w:color="auto" w:sz="12" w:space="0"/>
            </w:tcBorders>
            <w:noWrap w:val="0"/>
            <w:vAlign w:val="center"/>
          </w:tcPr>
          <w:p w14:paraId="444379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single" w:color="auto" w:sz="12" w:space="0"/>
            </w:tcBorders>
            <w:noWrap w:val="0"/>
            <w:vAlign w:val="center"/>
          </w:tcPr>
          <w:p w14:paraId="01A450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tcBorders>
              <w:bottom w:val="single" w:color="auto" w:sz="12" w:space="0"/>
            </w:tcBorders>
            <w:noWrap w:val="0"/>
            <w:vAlign w:val="center"/>
          </w:tcPr>
          <w:p w14:paraId="55CF9EF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bl>
    <w:p w14:paraId="4D54ABA9">
      <w:pPr>
        <w:rPr>
          <w:rFonts w:hint="eastAsia" w:ascii="宋体" w:hAnsi="宋体" w:eastAsia="宋体" w:cs="宋体"/>
          <w:b/>
          <w:i w:val="0"/>
          <w:caps w:val="0"/>
          <w:color w:val="auto"/>
          <w:spacing w:val="0"/>
          <w:w w:val="100"/>
          <w:sz w:val="32"/>
          <w:highlight w:val="none"/>
        </w:rPr>
      </w:pPr>
      <w:bookmarkStart w:id="846" w:name="_Toc505871417"/>
      <w:bookmarkStart w:id="847" w:name="_Toc256000127"/>
      <w:bookmarkStart w:id="848" w:name="_Toc20481"/>
      <w:r>
        <w:rPr>
          <w:rFonts w:hint="eastAsia" w:ascii="宋体" w:hAnsi="宋体" w:eastAsia="宋体" w:cs="宋体"/>
          <w:b/>
          <w:i w:val="0"/>
          <w:caps w:val="0"/>
          <w:color w:val="auto"/>
          <w:spacing w:val="0"/>
          <w:w w:val="100"/>
          <w:sz w:val="32"/>
          <w:highlight w:val="none"/>
        </w:rPr>
        <w:br w:type="page"/>
      </w:r>
    </w:p>
    <w:p w14:paraId="4E7C958D">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附件7：</w:t>
      </w:r>
      <w:bookmarkEnd w:id="846"/>
      <w:bookmarkEnd w:id="847"/>
      <w:bookmarkStart w:id="849" w:name="_Toc256000128"/>
      <w:bookmarkStart w:id="850" w:name="_Toc505871418"/>
      <w:r>
        <w:rPr>
          <w:rFonts w:hint="eastAsia" w:ascii="宋体" w:hAnsi="宋体" w:eastAsia="宋体" w:cs="宋体"/>
          <w:b/>
          <w:i w:val="0"/>
          <w:caps w:val="0"/>
          <w:color w:val="auto"/>
          <w:spacing w:val="0"/>
          <w:w w:val="100"/>
          <w:sz w:val="32"/>
          <w:highlight w:val="none"/>
        </w:rPr>
        <w:t>分包人主要施工管理人员表</w:t>
      </w:r>
      <w:bookmarkEnd w:id="848"/>
      <w:bookmarkEnd w:id="849"/>
      <w:bookmarkEnd w:id="850"/>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0DB03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5490EEE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名    称</w:t>
            </w:r>
          </w:p>
        </w:tc>
        <w:tc>
          <w:tcPr>
            <w:tcW w:w="1418" w:type="dxa"/>
            <w:tcBorders>
              <w:top w:val="single" w:color="auto" w:sz="12" w:space="0"/>
              <w:bottom w:val="double" w:color="auto" w:sz="6" w:space="0"/>
            </w:tcBorders>
            <w:noWrap w:val="0"/>
            <w:vAlign w:val="center"/>
          </w:tcPr>
          <w:p w14:paraId="62D6CFA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姓名</w:t>
            </w:r>
          </w:p>
        </w:tc>
        <w:tc>
          <w:tcPr>
            <w:tcW w:w="1134" w:type="dxa"/>
            <w:tcBorders>
              <w:top w:val="single" w:color="auto" w:sz="12" w:space="0"/>
              <w:bottom w:val="double" w:color="auto" w:sz="6" w:space="0"/>
            </w:tcBorders>
            <w:noWrap w:val="0"/>
            <w:vAlign w:val="center"/>
          </w:tcPr>
          <w:p w14:paraId="662E31A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职务</w:t>
            </w:r>
          </w:p>
        </w:tc>
        <w:tc>
          <w:tcPr>
            <w:tcW w:w="1134" w:type="dxa"/>
            <w:tcBorders>
              <w:top w:val="single" w:color="auto" w:sz="12" w:space="0"/>
              <w:bottom w:val="double" w:color="auto" w:sz="6" w:space="0"/>
            </w:tcBorders>
            <w:noWrap w:val="0"/>
            <w:vAlign w:val="center"/>
          </w:tcPr>
          <w:p w14:paraId="7DD9FEA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职称</w:t>
            </w:r>
          </w:p>
        </w:tc>
        <w:tc>
          <w:tcPr>
            <w:tcW w:w="4252" w:type="dxa"/>
            <w:tcBorders>
              <w:top w:val="single" w:color="auto" w:sz="12" w:space="0"/>
              <w:bottom w:val="double" w:color="auto" w:sz="6" w:space="0"/>
            </w:tcBorders>
            <w:noWrap w:val="0"/>
            <w:vAlign w:val="center"/>
          </w:tcPr>
          <w:p w14:paraId="20DE09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主要资历、经验及承担过的项目</w:t>
            </w:r>
          </w:p>
        </w:tc>
      </w:tr>
      <w:tr w14:paraId="6CE3B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noWrap w:val="0"/>
            <w:vAlign w:val="center"/>
          </w:tcPr>
          <w:p w14:paraId="5127069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一、总部人员</w:t>
            </w:r>
          </w:p>
        </w:tc>
      </w:tr>
      <w:tr w14:paraId="430913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6553E27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项目主管</w:t>
            </w:r>
          </w:p>
        </w:tc>
        <w:tc>
          <w:tcPr>
            <w:tcW w:w="1418" w:type="dxa"/>
            <w:tcBorders>
              <w:top w:val="nil"/>
              <w:left w:val="single" w:color="auto" w:sz="4" w:space="0"/>
            </w:tcBorders>
            <w:noWrap w:val="0"/>
            <w:vAlign w:val="center"/>
          </w:tcPr>
          <w:p w14:paraId="36316EE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top w:val="nil"/>
            </w:tcBorders>
            <w:noWrap w:val="0"/>
            <w:vAlign w:val="center"/>
          </w:tcPr>
          <w:p w14:paraId="7014BD2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top w:val="nil"/>
            </w:tcBorders>
            <w:noWrap w:val="0"/>
            <w:vAlign w:val="center"/>
          </w:tcPr>
          <w:p w14:paraId="0CEF9D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tcBorders>
              <w:top w:val="nil"/>
            </w:tcBorders>
            <w:noWrap w:val="0"/>
            <w:vAlign w:val="center"/>
          </w:tcPr>
          <w:p w14:paraId="4710542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04812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7A8301B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left w:val="single" w:color="auto" w:sz="4" w:space="0"/>
            </w:tcBorders>
            <w:noWrap w:val="0"/>
            <w:vAlign w:val="center"/>
          </w:tcPr>
          <w:p w14:paraId="700B21E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4C4B916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0CA3FF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0AE5619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20B4C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2E9A0CB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其他人员</w:t>
            </w:r>
          </w:p>
        </w:tc>
        <w:tc>
          <w:tcPr>
            <w:tcW w:w="1418" w:type="dxa"/>
            <w:tcBorders>
              <w:left w:val="single" w:color="auto" w:sz="4" w:space="0"/>
            </w:tcBorders>
            <w:noWrap w:val="0"/>
            <w:vAlign w:val="center"/>
          </w:tcPr>
          <w:p w14:paraId="3043223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75EA674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C9DA3B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2D4B00C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06835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noWrap w:val="0"/>
            <w:vAlign w:val="center"/>
          </w:tcPr>
          <w:p w14:paraId="3C77D0A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left w:val="single" w:color="auto" w:sz="4" w:space="0"/>
            </w:tcBorders>
            <w:noWrap w:val="0"/>
            <w:vAlign w:val="center"/>
          </w:tcPr>
          <w:p w14:paraId="3036D02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78FE3DC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D751C5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D8371E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0886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noWrap w:val="0"/>
            <w:vAlign w:val="center"/>
          </w:tcPr>
          <w:p w14:paraId="676E195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二、现场人员</w:t>
            </w:r>
          </w:p>
        </w:tc>
      </w:tr>
      <w:tr w14:paraId="31AD4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6F2185C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项目经理</w:t>
            </w:r>
          </w:p>
        </w:tc>
        <w:tc>
          <w:tcPr>
            <w:tcW w:w="1418" w:type="dxa"/>
            <w:noWrap w:val="0"/>
            <w:vAlign w:val="center"/>
          </w:tcPr>
          <w:p w14:paraId="1F61AE9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75C91C6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7C3CE76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12C5215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10C3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E23F48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项目副经理</w:t>
            </w:r>
          </w:p>
        </w:tc>
        <w:tc>
          <w:tcPr>
            <w:tcW w:w="1418" w:type="dxa"/>
            <w:noWrap w:val="0"/>
            <w:vAlign w:val="center"/>
          </w:tcPr>
          <w:p w14:paraId="241AD88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3A53123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3DFEE8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7288CE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68E98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D842A5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技术负责人</w:t>
            </w:r>
          </w:p>
        </w:tc>
        <w:tc>
          <w:tcPr>
            <w:tcW w:w="1418" w:type="dxa"/>
            <w:noWrap w:val="0"/>
            <w:vAlign w:val="center"/>
          </w:tcPr>
          <w:p w14:paraId="755ED6A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51CEEA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C52DA1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3114A2B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AAE8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B833B3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造价管理</w:t>
            </w:r>
          </w:p>
        </w:tc>
        <w:tc>
          <w:tcPr>
            <w:tcW w:w="1418" w:type="dxa"/>
            <w:noWrap w:val="0"/>
            <w:vAlign w:val="center"/>
          </w:tcPr>
          <w:p w14:paraId="07EC282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71CA095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8CC2B1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229F0B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D0F1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BB7F46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质量管理</w:t>
            </w:r>
          </w:p>
        </w:tc>
        <w:tc>
          <w:tcPr>
            <w:tcW w:w="1418" w:type="dxa"/>
            <w:noWrap w:val="0"/>
            <w:vAlign w:val="center"/>
          </w:tcPr>
          <w:p w14:paraId="523BD8A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27223A9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3608301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29AF440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9D19A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CF8E0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材料管理</w:t>
            </w:r>
          </w:p>
        </w:tc>
        <w:tc>
          <w:tcPr>
            <w:tcW w:w="1418" w:type="dxa"/>
            <w:noWrap w:val="0"/>
            <w:vAlign w:val="center"/>
          </w:tcPr>
          <w:p w14:paraId="5DCFAB0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7FED4F3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5F42F0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3DF2D19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5D692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6A6636C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计划管理</w:t>
            </w:r>
          </w:p>
        </w:tc>
        <w:tc>
          <w:tcPr>
            <w:tcW w:w="1418" w:type="dxa"/>
            <w:noWrap w:val="0"/>
            <w:vAlign w:val="center"/>
          </w:tcPr>
          <w:p w14:paraId="5260FAE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CAD72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5F51F8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1879A0B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EAC7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8B649B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安全管理</w:t>
            </w:r>
          </w:p>
        </w:tc>
        <w:tc>
          <w:tcPr>
            <w:tcW w:w="1418" w:type="dxa"/>
            <w:noWrap w:val="0"/>
            <w:vAlign w:val="center"/>
          </w:tcPr>
          <w:p w14:paraId="54802B3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02DAC4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EA93DB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3E315D7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D2B4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3272536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其他人员</w:t>
            </w:r>
          </w:p>
        </w:tc>
        <w:tc>
          <w:tcPr>
            <w:tcW w:w="1418" w:type="dxa"/>
            <w:noWrap w:val="0"/>
            <w:vAlign w:val="center"/>
          </w:tcPr>
          <w:p w14:paraId="6A51824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427C0C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A9B099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64E3DDD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81D5E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5529E3C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bottom w:val="nil"/>
            </w:tcBorders>
            <w:noWrap w:val="0"/>
            <w:vAlign w:val="center"/>
          </w:tcPr>
          <w:p w14:paraId="796021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nil"/>
            </w:tcBorders>
            <w:noWrap w:val="0"/>
            <w:vAlign w:val="center"/>
          </w:tcPr>
          <w:p w14:paraId="16FEC51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nil"/>
            </w:tcBorders>
            <w:noWrap w:val="0"/>
            <w:vAlign w:val="center"/>
          </w:tcPr>
          <w:p w14:paraId="6D9757E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tcBorders>
              <w:bottom w:val="nil"/>
            </w:tcBorders>
            <w:noWrap w:val="0"/>
            <w:vAlign w:val="center"/>
          </w:tcPr>
          <w:p w14:paraId="74B7C4C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901C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2DF755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1A5581B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4425E56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1305EE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1EA2CCD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80119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688DDE4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678D34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643EB1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7505F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4B1CD20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6C70B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3C59201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center"/>
          </w:tcPr>
          <w:p w14:paraId="1AC681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6F92E46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noWrap w:val="0"/>
            <w:vAlign w:val="center"/>
          </w:tcPr>
          <w:p w14:paraId="1EE7CF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noWrap w:val="0"/>
            <w:vAlign w:val="center"/>
          </w:tcPr>
          <w:p w14:paraId="5F4175C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FA81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5AD2D7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bottom w:val="single" w:color="auto" w:sz="12" w:space="0"/>
            </w:tcBorders>
            <w:noWrap w:val="0"/>
            <w:vAlign w:val="center"/>
          </w:tcPr>
          <w:p w14:paraId="608DC8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single" w:color="auto" w:sz="12" w:space="0"/>
            </w:tcBorders>
            <w:noWrap w:val="0"/>
            <w:vAlign w:val="center"/>
          </w:tcPr>
          <w:p w14:paraId="4EE549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134" w:type="dxa"/>
            <w:tcBorders>
              <w:bottom w:val="single" w:color="auto" w:sz="12" w:space="0"/>
            </w:tcBorders>
            <w:noWrap w:val="0"/>
            <w:vAlign w:val="center"/>
          </w:tcPr>
          <w:p w14:paraId="7BC5D8E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4252" w:type="dxa"/>
            <w:tcBorders>
              <w:bottom w:val="single" w:color="auto" w:sz="12" w:space="0"/>
            </w:tcBorders>
            <w:noWrap w:val="0"/>
            <w:vAlign w:val="center"/>
          </w:tcPr>
          <w:p w14:paraId="30F9832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bl>
    <w:p w14:paraId="24707006">
      <w:pPr>
        <w:rPr>
          <w:rFonts w:hint="eastAsia" w:ascii="宋体" w:hAnsi="宋体" w:eastAsia="宋体" w:cs="宋体"/>
          <w:b/>
          <w:i w:val="0"/>
          <w:caps w:val="0"/>
          <w:color w:val="auto"/>
          <w:spacing w:val="0"/>
          <w:w w:val="100"/>
          <w:sz w:val="32"/>
          <w:highlight w:val="none"/>
        </w:rPr>
      </w:pPr>
      <w:bookmarkStart w:id="851" w:name="_Toc256000129"/>
      <w:bookmarkStart w:id="852" w:name="_Toc505871419"/>
      <w:bookmarkStart w:id="853" w:name="_Toc27883"/>
      <w:r>
        <w:rPr>
          <w:rFonts w:hint="eastAsia" w:ascii="宋体" w:hAnsi="宋体" w:eastAsia="宋体" w:cs="宋体"/>
          <w:b/>
          <w:i w:val="0"/>
          <w:caps w:val="0"/>
          <w:color w:val="auto"/>
          <w:spacing w:val="0"/>
          <w:w w:val="100"/>
          <w:sz w:val="32"/>
          <w:highlight w:val="none"/>
        </w:rPr>
        <w:br w:type="page"/>
      </w:r>
    </w:p>
    <w:p w14:paraId="69A228EC">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附件8：</w:t>
      </w:r>
      <w:bookmarkEnd w:id="851"/>
      <w:bookmarkEnd w:id="852"/>
      <w:bookmarkStart w:id="854" w:name="_Toc256000130"/>
      <w:bookmarkStart w:id="855" w:name="_Toc505871420"/>
      <w:r>
        <w:rPr>
          <w:rFonts w:hint="eastAsia" w:ascii="宋体" w:hAnsi="宋体" w:eastAsia="宋体" w:cs="宋体"/>
          <w:b/>
          <w:i w:val="0"/>
          <w:caps w:val="0"/>
          <w:color w:val="auto"/>
          <w:spacing w:val="0"/>
          <w:w w:val="100"/>
          <w:sz w:val="32"/>
          <w:highlight w:val="none"/>
        </w:rPr>
        <w:t>履约担保</w:t>
      </w:r>
      <w:bookmarkEnd w:id="853"/>
      <w:bookmarkEnd w:id="854"/>
      <w:bookmarkEnd w:id="855"/>
    </w:p>
    <w:p w14:paraId="0D1E5C0B">
      <w:pPr>
        <w:pStyle w:val="48"/>
        <w:snapToGrid w:val="0"/>
        <w:spacing w:before="0" w:beforeAutospacing="0" w:after="0" w:afterAutospacing="0" w:line="440" w:lineRule="exact"/>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rPr>
        <w:t>（发包人名称）：</w:t>
      </w:r>
    </w:p>
    <w:p w14:paraId="67CD2B43">
      <w:pPr>
        <w:pStyle w:val="48"/>
        <w:snapToGrid w:val="0"/>
        <w:spacing w:before="0" w:beforeAutospacing="0" w:after="0" w:afterAutospacing="0" w:line="440" w:lineRule="exact"/>
        <w:jc w:val="both"/>
        <w:textAlignment w:val="baseline"/>
        <w:rPr>
          <w:rFonts w:hint="eastAsia" w:ascii="宋体" w:hAnsi="宋体" w:eastAsia="宋体" w:cs="宋体"/>
          <w:b w:val="0"/>
          <w:i w:val="0"/>
          <w:caps w:val="0"/>
          <w:color w:val="auto"/>
          <w:spacing w:val="0"/>
          <w:w w:val="100"/>
          <w:sz w:val="24"/>
          <w:szCs w:val="24"/>
          <w:highlight w:val="none"/>
        </w:rPr>
      </w:pPr>
    </w:p>
    <w:p w14:paraId="18391FF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鉴于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（发包人名称，以下简称“发包人”）与</w:t>
      </w:r>
    </w:p>
    <w:p w14:paraId="074B2A5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（承包人名称）（以下称“承包人”）于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月</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日就</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（工程名称）施工及有关事项协商一致共同签订《建设工程施工合同》。我方愿意无条件地、不可撤销地就承包人履行与你方签订的合同，向你方提供连带责任担保。 </w:t>
      </w:r>
    </w:p>
    <w:p w14:paraId="32283DC9">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担保金额人民币（大写）</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元（¥</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5E0FE3EF">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担保有效期自你方与承包人签订的合同生效之日起至你方签发或应签发工程接收证书之日止。</w:t>
      </w:r>
    </w:p>
    <w:p w14:paraId="2F969C9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在本担保有效期内，因承包人违反合同约定的义务给你方造成经济损失时，我方在收到你方以书面形式提出的在担保金额内的赔偿要求后，在7天内无条件支付。</w:t>
      </w:r>
    </w:p>
    <w:p w14:paraId="54456938">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 你方和承包人按合同约定变更合同时，我方承担本担保规定的义务不变。</w:t>
      </w:r>
    </w:p>
    <w:p w14:paraId="461EAC3B">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5. 因本保函发生的纠纷，可由双方协商解决，协商不成的，任何一方均可提请</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仲裁委员会仲裁。</w:t>
      </w:r>
    </w:p>
    <w:p w14:paraId="4E1BBD09">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 本保函自我方法定代表人（或其授权代理人）签字并加盖公章之日起生效。</w:t>
      </w:r>
    </w:p>
    <w:p w14:paraId="4155C975">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14:paraId="5B25C318">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担 保 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（盖单位章）</w:t>
      </w:r>
    </w:p>
    <w:p w14:paraId="47447DE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法定代表人或其委托代理人：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（签字）</w:t>
      </w:r>
    </w:p>
    <w:p w14:paraId="56D94CB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地    址：</w:t>
      </w:r>
      <w:r>
        <w:rPr>
          <w:rFonts w:hint="eastAsia" w:ascii="宋体" w:hAnsi="宋体" w:eastAsia="宋体" w:cs="宋体"/>
          <w:b w:val="0"/>
          <w:i w:val="0"/>
          <w:caps w:val="0"/>
          <w:color w:val="auto"/>
          <w:spacing w:val="0"/>
          <w:w w:val="100"/>
          <w:sz w:val="24"/>
          <w:szCs w:val="24"/>
          <w:highlight w:val="none"/>
          <w:u w:val="single" w:color="000000"/>
        </w:rPr>
        <w:t xml:space="preserve">                                      </w:t>
      </w:r>
    </w:p>
    <w:p w14:paraId="6A1C9BE2">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邮政编码：</w:t>
      </w:r>
      <w:r>
        <w:rPr>
          <w:rFonts w:hint="eastAsia" w:ascii="宋体" w:hAnsi="宋体" w:eastAsia="宋体" w:cs="宋体"/>
          <w:b w:val="0"/>
          <w:i w:val="0"/>
          <w:caps w:val="0"/>
          <w:color w:val="auto"/>
          <w:spacing w:val="0"/>
          <w:w w:val="100"/>
          <w:sz w:val="24"/>
          <w:szCs w:val="24"/>
          <w:highlight w:val="none"/>
          <w:u w:val="single" w:color="000000"/>
        </w:rPr>
        <w:t xml:space="preserve">                                      </w:t>
      </w:r>
    </w:p>
    <w:p w14:paraId="77A8E70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电    话：</w:t>
      </w:r>
      <w:r>
        <w:rPr>
          <w:rFonts w:hint="eastAsia" w:ascii="宋体" w:hAnsi="宋体" w:eastAsia="宋体" w:cs="宋体"/>
          <w:b w:val="0"/>
          <w:i w:val="0"/>
          <w:caps w:val="0"/>
          <w:color w:val="auto"/>
          <w:spacing w:val="0"/>
          <w:w w:val="100"/>
          <w:sz w:val="24"/>
          <w:szCs w:val="24"/>
          <w:highlight w:val="none"/>
          <w:u w:val="single" w:color="000000"/>
        </w:rPr>
        <w:t xml:space="preserve">                                      </w:t>
      </w:r>
    </w:p>
    <w:p w14:paraId="051BE6BB">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传    真：</w:t>
      </w:r>
      <w:r>
        <w:rPr>
          <w:rFonts w:hint="eastAsia" w:ascii="宋体" w:hAnsi="宋体" w:eastAsia="宋体" w:cs="宋体"/>
          <w:b w:val="0"/>
          <w:i w:val="0"/>
          <w:caps w:val="0"/>
          <w:color w:val="auto"/>
          <w:spacing w:val="0"/>
          <w:w w:val="100"/>
          <w:sz w:val="24"/>
          <w:szCs w:val="24"/>
          <w:highlight w:val="none"/>
          <w:u w:val="single" w:color="000000"/>
        </w:rPr>
        <w:t xml:space="preserve">                                      </w:t>
      </w:r>
    </w:p>
    <w:p w14:paraId="5935F35F">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u w:val="single" w:color="000000"/>
        </w:rPr>
      </w:pPr>
    </w:p>
    <w:p w14:paraId="61449370">
      <w:pPr>
        <w:pStyle w:val="48"/>
        <w:snapToGrid w:val="0"/>
        <w:spacing w:before="0" w:beforeAutospacing="0" w:after="0" w:afterAutospacing="0" w:line="360" w:lineRule="auto"/>
        <w:ind w:hangingChars="633"/>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val="0"/>
          <w:i w:val="0"/>
          <w:caps w:val="0"/>
          <w:color w:val="auto"/>
          <w:spacing w:val="0"/>
          <w:w w:val="100"/>
          <w:sz w:val="24"/>
          <w:szCs w:val="24"/>
          <w:highlight w:val="none"/>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月</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w:t>
      </w:r>
      <w:bookmarkStart w:id="856" w:name="_Toc256000131"/>
      <w:bookmarkStart w:id="857" w:name="_Toc505871421"/>
      <w:bookmarkStart w:id="858" w:name="_Toc18301"/>
    </w:p>
    <w:p w14:paraId="7536043E">
      <w:pPr>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br w:type="page"/>
      </w:r>
    </w:p>
    <w:p w14:paraId="0802AA5F">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附件9 ：</w:t>
      </w:r>
      <w:bookmarkEnd w:id="856"/>
      <w:bookmarkEnd w:id="857"/>
      <w:bookmarkStart w:id="859" w:name="_Toc256000132"/>
      <w:bookmarkStart w:id="860" w:name="_Toc505871422"/>
      <w:r>
        <w:rPr>
          <w:rFonts w:hint="eastAsia" w:ascii="宋体" w:hAnsi="宋体" w:eastAsia="宋体" w:cs="宋体"/>
          <w:b/>
          <w:i w:val="0"/>
          <w:caps w:val="0"/>
          <w:color w:val="auto"/>
          <w:spacing w:val="0"/>
          <w:w w:val="100"/>
          <w:sz w:val="32"/>
          <w:highlight w:val="none"/>
        </w:rPr>
        <w:t>预付款担保</w:t>
      </w:r>
      <w:bookmarkEnd w:id="858"/>
      <w:bookmarkEnd w:id="859"/>
      <w:bookmarkEnd w:id="860"/>
    </w:p>
    <w:p w14:paraId="2C65265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（发包人名称）：</w:t>
      </w:r>
    </w:p>
    <w:p w14:paraId="599C22A4">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14:paraId="24BFA3E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根据</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（承包人名称）（以下称“承包人”）与</w:t>
      </w:r>
    </w:p>
    <w:p w14:paraId="1B604EE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（发包人名称）（以下简称“发包人”）</w:t>
      </w:r>
    </w:p>
    <w:p w14:paraId="3E9F0D4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月</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日签订的</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6389045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担保金额人民币（大写）</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元（¥</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515CA13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担保有效期自预付款支付给承包人起生效，至你方签发的进度款支付证书说明已完全扣清止。</w:t>
      </w:r>
    </w:p>
    <w:p w14:paraId="42DD6D2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48F53FF3">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 你方和承包人按合同约定变更合同时，我方承担本保函规定的义务不变。</w:t>
      </w:r>
    </w:p>
    <w:p w14:paraId="46F9667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5. 因本保函发生的纠纷，可由双方协商解决，协商不成的，任何一方均可提请</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仲裁委员会仲裁。</w:t>
      </w:r>
    </w:p>
    <w:p w14:paraId="0DADE95F">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 本保函自我方法定代表人（或其授权代理人）签字并加盖公章之日起生效。</w:t>
      </w:r>
    </w:p>
    <w:p w14:paraId="0644DA9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14:paraId="2650615C">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担保人：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（盖单位章）</w:t>
      </w:r>
    </w:p>
    <w:p w14:paraId="3F6B5176">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法定代表人或其委托代理人：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（签字）</w:t>
      </w:r>
    </w:p>
    <w:p w14:paraId="29C25A6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地    址：</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p>
    <w:p w14:paraId="1D17D84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邮政编码：</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p>
    <w:p w14:paraId="16ECA613">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电    话：</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p>
    <w:p w14:paraId="380861B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传    真：</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r>
        <w:rPr>
          <w:rFonts w:hint="eastAsia" w:ascii="宋体" w:hAnsi="宋体" w:eastAsia="宋体" w:cs="宋体"/>
          <w:b w:val="0"/>
          <w:i w:val="0"/>
          <w:caps w:val="0"/>
          <w:color w:val="auto"/>
          <w:spacing w:val="0"/>
          <w:w w:val="100"/>
          <w:sz w:val="24"/>
          <w:szCs w:val="24"/>
          <w:highlight w:val="none"/>
          <w:u w:val="single" w:color="000000"/>
        </w:rPr>
        <w:tab/>
      </w:r>
    </w:p>
    <w:p w14:paraId="533EF4ED">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月</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w:t>
      </w:r>
    </w:p>
    <w:p w14:paraId="3C8CB36E">
      <w:pPr>
        <w:rPr>
          <w:rFonts w:hint="eastAsia" w:ascii="宋体" w:hAnsi="宋体" w:eastAsia="宋体" w:cs="宋体"/>
          <w:b/>
          <w:i w:val="0"/>
          <w:caps w:val="0"/>
          <w:color w:val="auto"/>
          <w:spacing w:val="0"/>
          <w:w w:val="100"/>
          <w:sz w:val="32"/>
          <w:highlight w:val="none"/>
        </w:rPr>
      </w:pPr>
      <w:bookmarkStart w:id="861" w:name="_Toc505871423"/>
      <w:bookmarkStart w:id="862" w:name="_Toc256000133"/>
      <w:bookmarkStart w:id="863" w:name="_Toc3531"/>
      <w:bookmarkStart w:id="864" w:name="_Toc30218"/>
      <w:r>
        <w:rPr>
          <w:rFonts w:hint="eastAsia" w:ascii="宋体" w:hAnsi="宋体" w:eastAsia="宋体" w:cs="宋体"/>
          <w:b/>
          <w:i w:val="0"/>
          <w:caps w:val="0"/>
          <w:color w:val="auto"/>
          <w:spacing w:val="0"/>
          <w:w w:val="100"/>
          <w:sz w:val="32"/>
          <w:highlight w:val="none"/>
        </w:rPr>
        <w:br w:type="page"/>
      </w:r>
    </w:p>
    <w:p w14:paraId="1B474EBE">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附件10:</w:t>
      </w:r>
      <w:bookmarkEnd w:id="861"/>
      <w:bookmarkEnd w:id="862"/>
      <w:r>
        <w:rPr>
          <w:rFonts w:hint="eastAsia" w:ascii="宋体" w:hAnsi="宋体" w:eastAsia="宋体" w:cs="宋体"/>
          <w:b/>
          <w:i w:val="0"/>
          <w:caps w:val="0"/>
          <w:color w:val="auto"/>
          <w:spacing w:val="0"/>
          <w:w w:val="100"/>
          <w:sz w:val="32"/>
          <w:highlight w:val="none"/>
        </w:rPr>
        <w:t xml:space="preserve">  </w:t>
      </w:r>
      <w:bookmarkStart w:id="865" w:name="_Toc505871424"/>
      <w:bookmarkStart w:id="866" w:name="_Toc256000134"/>
      <w:r>
        <w:rPr>
          <w:rFonts w:hint="eastAsia" w:ascii="宋体" w:hAnsi="宋体" w:eastAsia="宋体" w:cs="宋体"/>
          <w:b/>
          <w:i w:val="0"/>
          <w:caps w:val="0"/>
          <w:color w:val="auto"/>
          <w:spacing w:val="0"/>
          <w:w w:val="100"/>
          <w:sz w:val="32"/>
          <w:highlight w:val="none"/>
        </w:rPr>
        <w:t>支付担保</w:t>
      </w:r>
      <w:bookmarkEnd w:id="863"/>
      <w:bookmarkEnd w:id="864"/>
      <w:bookmarkEnd w:id="865"/>
      <w:bookmarkEnd w:id="866"/>
    </w:p>
    <w:p w14:paraId="28FBAB74">
      <w:pPr>
        <w:snapToGrid w:val="0"/>
        <w:spacing w:before="0" w:beforeAutospacing="0" w:after="0" w:afterAutospacing="0" w:line="360" w:lineRule="auto"/>
        <w:textAlignment w:val="baseline"/>
        <w:rPr>
          <w:rFonts w:hint="eastAsia" w:ascii="宋体" w:hAnsi="宋体" w:eastAsia="宋体" w:cs="宋体"/>
          <w:b/>
          <w:bCs/>
          <w:i w:val="0"/>
          <w:caps w:val="0"/>
          <w:color w:val="auto"/>
          <w:spacing w:val="0"/>
          <w:w w:val="100"/>
          <w:sz w:val="20"/>
          <w:highlight w:val="none"/>
          <w:u w:val="single"/>
        </w:rPr>
      </w:pPr>
      <w:r>
        <w:rPr>
          <w:rFonts w:hint="eastAsia" w:ascii="宋体" w:hAnsi="宋体" w:eastAsia="宋体" w:cs="宋体"/>
          <w:b/>
          <w:bCs/>
          <w:i w:val="0"/>
          <w:caps w:val="0"/>
          <w:color w:val="auto"/>
          <w:spacing w:val="0"/>
          <w:w w:val="100"/>
          <w:sz w:val="24"/>
          <w:highlight w:val="none"/>
          <w:u w:val="single" w:color="000000"/>
        </w:rPr>
        <w:t xml:space="preserve">             </w:t>
      </w:r>
      <w:bookmarkStart w:id="867" w:name="_Toc30984"/>
      <w:r>
        <w:rPr>
          <w:rFonts w:hint="eastAsia" w:ascii="宋体" w:hAnsi="宋体" w:eastAsia="宋体" w:cs="宋体"/>
          <w:b/>
          <w:bCs/>
          <w:i w:val="0"/>
          <w:caps w:val="0"/>
          <w:color w:val="auto"/>
          <w:spacing w:val="0"/>
          <w:w w:val="100"/>
          <w:sz w:val="24"/>
          <w:highlight w:val="none"/>
        </w:rPr>
        <w:t>（承包人）：</w:t>
      </w:r>
      <w:bookmarkEnd w:id="867"/>
    </w:p>
    <w:p w14:paraId="13567C83">
      <w:pPr>
        <w:pStyle w:val="48"/>
        <w:snapToGrid w:val="0"/>
        <w:spacing w:before="0" w:beforeAutospacing="0" w:after="0" w:afterAutospacing="0" w:line="440" w:lineRule="exact"/>
        <w:jc w:val="left"/>
        <w:textAlignment w:val="baseline"/>
        <w:rPr>
          <w:rFonts w:hint="eastAsia" w:ascii="宋体" w:hAnsi="宋体" w:eastAsia="宋体" w:cs="宋体"/>
          <w:b w:val="0"/>
          <w:i w:val="0"/>
          <w:caps w:val="0"/>
          <w:color w:val="auto"/>
          <w:spacing w:val="0"/>
          <w:w w:val="100"/>
          <w:sz w:val="24"/>
          <w:szCs w:val="24"/>
          <w:highlight w:val="none"/>
        </w:rPr>
      </w:pPr>
    </w:p>
    <w:p w14:paraId="1DAC580C">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鉴于你方作为承包人已经与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（发包人名称）（以下称“发包人”）于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月</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日签订了</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（工程名称）《建设工程施工合同》（以下称“主合同”），应发包人的申请，我方愿就发包人履行主合同约定的工程款支付义务以保证的方式向你方提供如下担保：</w:t>
      </w:r>
    </w:p>
    <w:p w14:paraId="09DD3563">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一、保证的范围及保证金额</w:t>
      </w:r>
    </w:p>
    <w:p w14:paraId="3FD133FE">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我方的保证范围是主合同约定的工程款。</w:t>
      </w:r>
    </w:p>
    <w:p w14:paraId="38F3F13E">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本保函所称主合同约定的工程款是指主合同约定的除工程质量保证金以外的合同价款。</w:t>
      </w:r>
    </w:p>
    <w:p w14:paraId="557F4DA4">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我方保证的金额是主合同约定的工程款的</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%，数额最高不超过人民币元（大写：</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w:t>
      </w:r>
    </w:p>
    <w:p w14:paraId="1246C068">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二、保证的方式及保证期间</w:t>
      </w:r>
    </w:p>
    <w:p w14:paraId="3CB87B78">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我方保证的方式为：连带责任保证。</w:t>
      </w:r>
    </w:p>
    <w:p w14:paraId="611451F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我方保证的期间为：自本合同生效之日起至主合同约定的工程款支付完毕之日后</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日内。</w:t>
      </w:r>
    </w:p>
    <w:p w14:paraId="00F7BE0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你方与发包人协议变更工程款支付日期的，经我方书面同意后，保证期间按照变更后的支付日期做相应调整。</w:t>
      </w:r>
    </w:p>
    <w:p w14:paraId="116A1CDB">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三、承担保证责任的形式</w:t>
      </w:r>
    </w:p>
    <w:p w14:paraId="400AB5E7">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我方承担保证责任的形式是代为支付。发包人未按主合同约定向你方支付工程款的，由我方在保证金额内代为支付。</w:t>
      </w:r>
    </w:p>
    <w:p w14:paraId="23146B90">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四、代偿的安排</w:t>
      </w:r>
    </w:p>
    <w:p w14:paraId="5484BD0C">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你方要求我方承担保证责任的，应向我方发出书面索赔通知及发包人未支付主合同约定工程款的证明材料。索赔通知应写明要求索赔的金额，支付款项应到达的账号。</w:t>
      </w:r>
    </w:p>
    <w:p w14:paraId="539BDA56">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76B48C8B">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我方收到你方的书面索赔通知及相应的证明材料后７天内无条件支付。</w:t>
      </w:r>
    </w:p>
    <w:p w14:paraId="0CA6E684">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五、保证责任的解除</w:t>
      </w:r>
    </w:p>
    <w:p w14:paraId="60362989">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在本保函承诺的保证期间内，你方未书面向我方主张保证责任的，自保证期间届满次日起，我方保证责任解除。</w:t>
      </w:r>
    </w:p>
    <w:p w14:paraId="7F33C2E1">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发包人按主合同约定履行了工程款的全部支付义务的，自本保函承诺的保证期间届满次日起，我方保证责任解除。</w:t>
      </w:r>
    </w:p>
    <w:p w14:paraId="00AA5E7C">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我方按照本保函向你方履行保证责任所支付金额达到本保函保证金额时，自我方向你方支付（支付款项从我方账户划出）之日起，保证责任即解除。</w:t>
      </w:r>
    </w:p>
    <w:p w14:paraId="46543A35">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 按照法律法规的规定或出现应解除我方保证责任的其他情形的，我方在本保函项下的保证责任亦解除。</w:t>
      </w:r>
    </w:p>
    <w:p w14:paraId="3BF0561F">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5. 我方解除保证责任后，你方应自我方保证责任解除之日起</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个工作日内，将本保函原件返还我方。</w:t>
      </w:r>
    </w:p>
    <w:p w14:paraId="6D633D20">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六、免责条款</w:t>
      </w:r>
    </w:p>
    <w:p w14:paraId="173273AE">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 因你方违约致使发包人不能履行义务的，我方不承担保证责任。</w:t>
      </w:r>
    </w:p>
    <w:p w14:paraId="1EC47578">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 依照法律法规的规定或你方与发包人的另行约定，免除发包人部分或全部义务的，我方亦免除其相应的保证责任。</w:t>
      </w:r>
    </w:p>
    <w:p w14:paraId="3FB24BEC">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14:paraId="7C29DEFF">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 因不可抗力造成发包人不能履行义务的，我方不承担保证责任。</w:t>
      </w:r>
    </w:p>
    <w:p w14:paraId="4A4316BF">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七、争议解决</w:t>
      </w:r>
    </w:p>
    <w:p w14:paraId="328A92E0">
      <w:pPr>
        <w:pStyle w:val="48"/>
        <w:snapToGrid w:val="0"/>
        <w:spacing w:before="0" w:beforeAutospacing="0" w:after="12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因本保函或本保函相关事项发生的纠纷，可由双方协商解决，协商不成的，按下列第</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种方式解决：</w:t>
      </w:r>
    </w:p>
    <w:p w14:paraId="256B8C0B">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（1）向</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仲裁委员会申请仲裁；</w:t>
      </w:r>
    </w:p>
    <w:p w14:paraId="0026D3BF">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（2）向</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人民法院起诉。</w:t>
      </w:r>
    </w:p>
    <w:p w14:paraId="4BE109D8">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八、保函的生效</w:t>
      </w:r>
    </w:p>
    <w:p w14:paraId="538947F4">
      <w:pPr>
        <w:pStyle w:val="48"/>
        <w:snapToGrid w:val="0"/>
        <w:spacing w:before="0" w:beforeAutospacing="0" w:after="0" w:afterAutospacing="0" w:line="360" w:lineRule="auto"/>
        <w:ind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本保函自我方法定代表人（或其授权代理人）签字并加盖公章之日起生效。</w:t>
      </w:r>
    </w:p>
    <w:p w14:paraId="12382880">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p>
    <w:p w14:paraId="633E7445">
      <w:pPr>
        <w:pStyle w:val="48"/>
        <w:snapToGrid w:val="0"/>
        <w:spacing w:before="0" w:beforeAutospacing="0" w:after="0" w:afterAutospacing="0" w:line="360" w:lineRule="auto"/>
        <w:ind w:right="600"/>
        <w:jc w:val="left"/>
        <w:textAlignment w:val="baseline"/>
        <w:rPr>
          <w:rFonts w:hint="eastAsia" w:ascii="宋体" w:hAnsi="宋体" w:eastAsia="宋体" w:cs="宋体"/>
          <w:b w:val="0"/>
          <w:i w:val="0"/>
          <w:caps w:val="0"/>
          <w:color w:val="auto"/>
          <w:spacing w:val="0"/>
          <w:w w:val="100"/>
          <w:sz w:val="24"/>
          <w:szCs w:val="24"/>
          <w:highlight w:val="none"/>
        </w:rPr>
      </w:pPr>
    </w:p>
    <w:p w14:paraId="0CBCA0EC">
      <w:pPr>
        <w:pStyle w:val="48"/>
        <w:snapToGrid w:val="0"/>
        <w:spacing w:before="0" w:beforeAutospacing="0" w:after="0" w:afterAutospacing="0" w:line="360" w:lineRule="auto"/>
        <w:ind w:right="6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担保人：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（盖章）</w:t>
      </w:r>
    </w:p>
    <w:p w14:paraId="35C02455">
      <w:pPr>
        <w:pStyle w:val="48"/>
        <w:snapToGrid w:val="0"/>
        <w:spacing w:before="0" w:beforeAutospacing="0" w:after="0" w:afterAutospacing="0" w:line="360" w:lineRule="auto"/>
        <w:ind w:right="1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法定代表人或委托代理人：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（签字）</w:t>
      </w:r>
    </w:p>
    <w:p w14:paraId="722673FB">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地    址：</w:t>
      </w:r>
      <w:r>
        <w:rPr>
          <w:rFonts w:hint="eastAsia" w:ascii="宋体" w:hAnsi="宋体" w:eastAsia="宋体" w:cs="宋体"/>
          <w:b w:val="0"/>
          <w:i w:val="0"/>
          <w:caps w:val="0"/>
          <w:color w:val="auto"/>
          <w:spacing w:val="0"/>
          <w:w w:val="100"/>
          <w:sz w:val="24"/>
          <w:szCs w:val="24"/>
          <w:highlight w:val="none"/>
          <w:u w:val="single" w:color="000000"/>
        </w:rPr>
        <w:t xml:space="preserve">                                        </w:t>
      </w:r>
    </w:p>
    <w:p w14:paraId="03BA6C22">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邮政编码：</w:t>
      </w:r>
      <w:r>
        <w:rPr>
          <w:rFonts w:hint="eastAsia" w:ascii="宋体" w:hAnsi="宋体" w:eastAsia="宋体" w:cs="宋体"/>
          <w:b w:val="0"/>
          <w:i w:val="0"/>
          <w:caps w:val="0"/>
          <w:color w:val="auto"/>
          <w:spacing w:val="0"/>
          <w:w w:val="100"/>
          <w:sz w:val="24"/>
          <w:szCs w:val="24"/>
          <w:highlight w:val="none"/>
          <w:u w:val="single" w:color="000000"/>
        </w:rPr>
        <w:t xml:space="preserve">                                        </w:t>
      </w:r>
    </w:p>
    <w:p w14:paraId="63DDB4D1">
      <w:pPr>
        <w:pStyle w:val="48"/>
        <w:snapToGrid w:val="0"/>
        <w:spacing w:before="0" w:beforeAutospacing="0" w:after="0" w:afterAutospacing="0" w:line="360" w:lineRule="auto"/>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传    真：</w:t>
      </w:r>
      <w:r>
        <w:rPr>
          <w:rFonts w:hint="eastAsia" w:ascii="宋体" w:hAnsi="宋体" w:eastAsia="宋体" w:cs="宋体"/>
          <w:b w:val="0"/>
          <w:i w:val="0"/>
          <w:caps w:val="0"/>
          <w:color w:val="auto"/>
          <w:spacing w:val="0"/>
          <w:w w:val="100"/>
          <w:sz w:val="24"/>
          <w:szCs w:val="24"/>
          <w:highlight w:val="none"/>
          <w:u w:val="single" w:color="000000"/>
        </w:rPr>
        <w:t xml:space="preserve">                                        </w:t>
      </w:r>
    </w:p>
    <w:p w14:paraId="677347E5">
      <w:pPr>
        <w:pStyle w:val="48"/>
        <w:snapToGrid w:val="0"/>
        <w:spacing w:before="0" w:beforeAutospacing="0" w:after="0" w:afterAutospacing="0" w:line="360" w:lineRule="auto"/>
        <w:ind w:right="150" w:firstLine="480" w:firstLineChars="200"/>
        <w:jc w:val="left"/>
        <w:textAlignment w:val="baseline"/>
        <w:rPr>
          <w:rFonts w:hint="eastAsia" w:ascii="宋体" w:hAnsi="宋体" w:eastAsia="宋体" w:cs="宋体"/>
          <w:b w:val="0"/>
          <w:i w:val="0"/>
          <w:caps w:val="0"/>
          <w:color w:val="auto"/>
          <w:spacing w:val="0"/>
          <w:w w:val="100"/>
          <w:sz w:val="24"/>
          <w:szCs w:val="24"/>
          <w:highlight w:val="none"/>
          <w:u w:val="single" w:color="000000"/>
        </w:rPr>
      </w:pPr>
    </w:p>
    <w:p w14:paraId="33D47537">
      <w:pPr>
        <w:pStyle w:val="48"/>
        <w:snapToGrid w:val="0"/>
        <w:spacing w:before="0" w:beforeAutospacing="0" w:after="0" w:afterAutospacing="0" w:line="360" w:lineRule="auto"/>
        <w:ind w:right="150" w:firstLine="480" w:firstLineChars="200"/>
        <w:jc w:val="left"/>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年</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月</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日</w:t>
      </w:r>
    </w:p>
    <w:p w14:paraId="376F4174">
      <w:pPr>
        <w:rPr>
          <w:rFonts w:hint="eastAsia" w:ascii="宋体" w:hAnsi="宋体" w:eastAsia="宋体" w:cs="宋体"/>
          <w:b/>
          <w:i w:val="0"/>
          <w:caps w:val="0"/>
          <w:color w:val="auto"/>
          <w:spacing w:val="0"/>
          <w:w w:val="100"/>
          <w:sz w:val="32"/>
          <w:highlight w:val="none"/>
        </w:rPr>
      </w:pPr>
      <w:bookmarkStart w:id="868" w:name="_Toc18382"/>
      <w:bookmarkStart w:id="869" w:name="_Toc10191"/>
      <w:bookmarkStart w:id="870" w:name="_Toc505871425"/>
      <w:bookmarkStart w:id="871" w:name="_Toc256000135"/>
      <w:r>
        <w:rPr>
          <w:rFonts w:hint="eastAsia" w:ascii="宋体" w:hAnsi="宋体" w:eastAsia="宋体" w:cs="宋体"/>
          <w:b/>
          <w:i w:val="0"/>
          <w:caps w:val="0"/>
          <w:color w:val="auto"/>
          <w:spacing w:val="0"/>
          <w:w w:val="100"/>
          <w:sz w:val="32"/>
          <w:highlight w:val="none"/>
        </w:rPr>
        <w:br w:type="page"/>
      </w:r>
    </w:p>
    <w:p w14:paraId="026B6AB5">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r>
        <w:rPr>
          <w:rFonts w:hint="eastAsia" w:ascii="宋体" w:hAnsi="宋体" w:eastAsia="宋体" w:cs="宋体"/>
          <w:b/>
          <w:i w:val="0"/>
          <w:caps w:val="0"/>
          <w:color w:val="auto"/>
          <w:spacing w:val="0"/>
          <w:w w:val="100"/>
          <w:sz w:val="32"/>
          <w:highlight w:val="none"/>
        </w:rPr>
        <w:t>附件11：</w:t>
      </w:r>
      <w:bookmarkEnd w:id="868"/>
      <w:bookmarkEnd w:id="869"/>
      <w:bookmarkEnd w:id="870"/>
      <w:bookmarkEnd w:id="871"/>
    </w:p>
    <w:p w14:paraId="67CB610D">
      <w:pPr>
        <w:pStyle w:val="51"/>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bookmarkStart w:id="872" w:name="_Toc484"/>
      <w:bookmarkStart w:id="873" w:name="_Toc505871426"/>
      <w:bookmarkStart w:id="874" w:name="_Toc256000136"/>
      <w:bookmarkStart w:id="875" w:name="_Toc21156"/>
      <w:bookmarkStart w:id="876" w:name="_Toc30743"/>
      <w:bookmarkStart w:id="877" w:name="_Toc2343"/>
      <w:r>
        <w:rPr>
          <w:rFonts w:hint="eastAsia" w:ascii="宋体" w:hAnsi="宋体" w:eastAsia="宋体" w:cs="宋体"/>
          <w:b/>
          <w:i w:val="0"/>
          <w:caps w:val="0"/>
          <w:color w:val="auto"/>
          <w:spacing w:val="0"/>
          <w:w w:val="100"/>
          <w:sz w:val="32"/>
          <w:highlight w:val="none"/>
        </w:rPr>
        <w:t>11-1：材料暂估价表</w:t>
      </w:r>
      <w:bookmarkEnd w:id="872"/>
      <w:bookmarkEnd w:id="873"/>
      <w:bookmarkEnd w:id="874"/>
      <w:bookmarkEnd w:id="875"/>
      <w:bookmarkEnd w:id="876"/>
      <w:bookmarkEnd w:id="877"/>
    </w:p>
    <w:tbl>
      <w:tblPr>
        <w:tblStyle w:val="2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9C10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7152ADC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序号</w:t>
            </w:r>
          </w:p>
        </w:tc>
        <w:tc>
          <w:tcPr>
            <w:tcW w:w="1984" w:type="dxa"/>
            <w:tcBorders>
              <w:top w:val="single" w:color="auto" w:sz="12" w:space="0"/>
              <w:bottom w:val="double" w:color="auto" w:sz="6" w:space="0"/>
            </w:tcBorders>
            <w:noWrap w:val="0"/>
            <w:vAlign w:val="top"/>
          </w:tcPr>
          <w:p w14:paraId="173F12C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名称</w:t>
            </w:r>
          </w:p>
        </w:tc>
        <w:tc>
          <w:tcPr>
            <w:tcW w:w="851" w:type="dxa"/>
            <w:tcBorders>
              <w:top w:val="single" w:color="auto" w:sz="12" w:space="0"/>
              <w:bottom w:val="double" w:color="auto" w:sz="6" w:space="0"/>
            </w:tcBorders>
            <w:noWrap w:val="0"/>
            <w:vAlign w:val="top"/>
          </w:tcPr>
          <w:p w14:paraId="7ED1DB8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单位</w:t>
            </w:r>
          </w:p>
        </w:tc>
        <w:tc>
          <w:tcPr>
            <w:tcW w:w="774" w:type="dxa"/>
            <w:tcBorders>
              <w:top w:val="single" w:color="auto" w:sz="12" w:space="0"/>
              <w:bottom w:val="double" w:color="auto" w:sz="6" w:space="0"/>
            </w:tcBorders>
            <w:noWrap w:val="0"/>
            <w:vAlign w:val="top"/>
          </w:tcPr>
          <w:p w14:paraId="2251F1D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数量</w:t>
            </w:r>
          </w:p>
        </w:tc>
        <w:tc>
          <w:tcPr>
            <w:tcW w:w="1352" w:type="dxa"/>
            <w:tcBorders>
              <w:top w:val="single" w:color="auto" w:sz="12" w:space="0"/>
              <w:bottom w:val="double" w:color="auto" w:sz="6" w:space="0"/>
            </w:tcBorders>
            <w:noWrap w:val="0"/>
            <w:vAlign w:val="top"/>
          </w:tcPr>
          <w:p w14:paraId="2ACDFE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单价（元）</w:t>
            </w:r>
          </w:p>
        </w:tc>
        <w:tc>
          <w:tcPr>
            <w:tcW w:w="1418" w:type="dxa"/>
            <w:tcBorders>
              <w:top w:val="single" w:color="auto" w:sz="12" w:space="0"/>
              <w:bottom w:val="double" w:color="auto" w:sz="6" w:space="0"/>
            </w:tcBorders>
            <w:noWrap w:val="0"/>
            <w:vAlign w:val="top"/>
          </w:tcPr>
          <w:p w14:paraId="1C2262D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合价（元）</w:t>
            </w:r>
          </w:p>
        </w:tc>
        <w:tc>
          <w:tcPr>
            <w:tcW w:w="1701" w:type="dxa"/>
            <w:tcBorders>
              <w:top w:val="single" w:color="auto" w:sz="12" w:space="0"/>
              <w:bottom w:val="double" w:color="auto" w:sz="6" w:space="0"/>
            </w:tcBorders>
            <w:noWrap w:val="0"/>
            <w:vAlign w:val="top"/>
          </w:tcPr>
          <w:p w14:paraId="5EC9CFB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备注</w:t>
            </w:r>
          </w:p>
        </w:tc>
      </w:tr>
      <w:tr w14:paraId="6C1FC6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392E1B6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tcBorders>
              <w:top w:val="double" w:color="auto" w:sz="6" w:space="0"/>
              <w:bottom w:val="single" w:color="auto" w:sz="6" w:space="0"/>
            </w:tcBorders>
            <w:noWrap w:val="0"/>
            <w:vAlign w:val="top"/>
          </w:tcPr>
          <w:p w14:paraId="1CB77BF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tcBorders>
              <w:top w:val="double" w:color="auto" w:sz="6" w:space="0"/>
              <w:bottom w:val="single" w:color="auto" w:sz="6" w:space="0"/>
            </w:tcBorders>
            <w:noWrap w:val="0"/>
            <w:vAlign w:val="top"/>
          </w:tcPr>
          <w:p w14:paraId="7219E1B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tcBorders>
              <w:top w:val="double" w:color="auto" w:sz="6" w:space="0"/>
              <w:bottom w:val="single" w:color="auto" w:sz="6" w:space="0"/>
            </w:tcBorders>
            <w:noWrap w:val="0"/>
            <w:vAlign w:val="top"/>
          </w:tcPr>
          <w:p w14:paraId="2479DD2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tcBorders>
              <w:top w:val="double" w:color="auto" w:sz="6" w:space="0"/>
              <w:bottom w:val="single" w:color="auto" w:sz="6" w:space="0"/>
            </w:tcBorders>
            <w:noWrap w:val="0"/>
            <w:vAlign w:val="top"/>
          </w:tcPr>
          <w:p w14:paraId="0B16376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double" w:color="auto" w:sz="6" w:space="0"/>
              <w:bottom w:val="single" w:color="auto" w:sz="6" w:space="0"/>
            </w:tcBorders>
            <w:noWrap w:val="0"/>
            <w:vAlign w:val="top"/>
          </w:tcPr>
          <w:p w14:paraId="14A842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tcBorders>
              <w:top w:val="double" w:color="auto" w:sz="6" w:space="0"/>
              <w:bottom w:val="single" w:color="auto" w:sz="6" w:space="0"/>
            </w:tcBorders>
            <w:noWrap w:val="0"/>
            <w:vAlign w:val="top"/>
          </w:tcPr>
          <w:p w14:paraId="442A8CE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9A30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7D6FD8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tcBorders>
              <w:top w:val="nil"/>
            </w:tcBorders>
            <w:noWrap w:val="0"/>
            <w:vAlign w:val="top"/>
          </w:tcPr>
          <w:p w14:paraId="3BE4E47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tcBorders>
              <w:top w:val="nil"/>
            </w:tcBorders>
            <w:noWrap w:val="0"/>
            <w:vAlign w:val="top"/>
          </w:tcPr>
          <w:p w14:paraId="6056EF2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tcBorders>
              <w:top w:val="nil"/>
            </w:tcBorders>
            <w:noWrap w:val="0"/>
            <w:vAlign w:val="top"/>
          </w:tcPr>
          <w:p w14:paraId="153E144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tcBorders>
              <w:top w:val="nil"/>
            </w:tcBorders>
            <w:noWrap w:val="0"/>
            <w:vAlign w:val="top"/>
          </w:tcPr>
          <w:p w14:paraId="294A458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tcBorders>
              <w:top w:val="nil"/>
            </w:tcBorders>
            <w:noWrap w:val="0"/>
            <w:vAlign w:val="top"/>
          </w:tcPr>
          <w:p w14:paraId="3AB9567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tcBorders>
              <w:top w:val="nil"/>
            </w:tcBorders>
            <w:noWrap w:val="0"/>
            <w:vAlign w:val="top"/>
          </w:tcPr>
          <w:p w14:paraId="4FFA41F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FC530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EF214F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2DDF98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0E35A24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3A5EBA9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44CD2F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3CE717A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28731E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1730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AE52AF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15C6E2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79B9FA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24EC390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156CBEB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040015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1D16FAF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283A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44302B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50129E9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5A31C28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7F32318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2CA1F8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472C7FD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282375B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BB156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318A7A2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3D5E114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7334B21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6041F22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54A4C0D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43D464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062FAC1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8A94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97A962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5255230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48BA633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1F3AFFF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22A084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385308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7B2E01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D5B9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CFE70A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50BA038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2BB4838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566AF8C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207E25F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6540EF6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7BD9846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4F4C8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D66A43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764C17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53C3C5C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08F897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73CA77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07BAA84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23B4575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9410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58C33A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4A95451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32A1E94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6284F2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938D14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B2DF25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0B071B2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302D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171118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68B7846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7DE202D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66EE196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72C77E2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422EA11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127497E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DAE2C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AB8CFF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3273ADF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436A3D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18FB351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42ED31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3071DD4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0C5FC81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1258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C6AD08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7A6F6DD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193DB59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5D2AD04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470A880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34C54A9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750EBBB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E5CEC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45E55C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1B1E864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503FD94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3DFB82A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5731915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2D5E252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2C4D90F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000079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FF00BA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1EE1D4F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5F99C2B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2E2B3BF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2634A00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9BEB04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59513D9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B9627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596C3C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5E6902B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297FE6C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1FD3B8A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A09450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4A4C34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497980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AD73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B1B6B8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6AE5B74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29B0755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3DA0D70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43101F3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34FBEAF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3277D59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B9FE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2A0080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0E54FF3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14B7109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0F27815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0CF2292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4D8E0EF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7D10926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82756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BF915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0504F7F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57ED1A1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2A039D5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32EE93A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2E8F556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78DD9BD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55AE4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39877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4B95ECA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1AE56C5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6A27EDA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19C1E6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6427E73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2BEB8B9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8CDF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C02522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562DF20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3C82D1B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40DD9FE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6C52BF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77BF4C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06EC157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D4F7B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E1FFE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60EDFBF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5459D1D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12B2779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3EC779B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2656081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54750A6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AA084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6B8A35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1A2B58A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052B1D8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2E74C72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0074A2A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4B9E0E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540E731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4D053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B5AFAD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984" w:type="dxa"/>
            <w:noWrap w:val="0"/>
            <w:vAlign w:val="top"/>
          </w:tcPr>
          <w:p w14:paraId="7BADC08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51" w:type="dxa"/>
            <w:noWrap w:val="0"/>
            <w:vAlign w:val="top"/>
          </w:tcPr>
          <w:p w14:paraId="38000C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74" w:type="dxa"/>
            <w:noWrap w:val="0"/>
            <w:vAlign w:val="top"/>
          </w:tcPr>
          <w:p w14:paraId="26F29BB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52" w:type="dxa"/>
            <w:noWrap w:val="0"/>
            <w:vAlign w:val="top"/>
          </w:tcPr>
          <w:p w14:paraId="6C27AF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18" w:type="dxa"/>
            <w:noWrap w:val="0"/>
            <w:vAlign w:val="top"/>
          </w:tcPr>
          <w:p w14:paraId="77A3351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01" w:type="dxa"/>
            <w:noWrap w:val="0"/>
            <w:vAlign w:val="top"/>
          </w:tcPr>
          <w:p w14:paraId="7FB4D92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bl>
    <w:p w14:paraId="2A7EA5EE">
      <w:pPr>
        <w:pStyle w:val="51"/>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bookmarkStart w:id="878" w:name="_Toc2413"/>
      <w:bookmarkStart w:id="879" w:name="_Toc11133"/>
      <w:bookmarkStart w:id="880" w:name="_Toc256000137"/>
      <w:bookmarkStart w:id="881" w:name="_Toc3633"/>
      <w:bookmarkStart w:id="882" w:name="_Toc7492"/>
      <w:bookmarkStart w:id="883" w:name="_Toc505871427"/>
      <w:r>
        <w:rPr>
          <w:rFonts w:hint="eastAsia" w:ascii="宋体" w:hAnsi="宋体" w:eastAsia="宋体" w:cs="宋体"/>
          <w:b/>
          <w:i w:val="0"/>
          <w:caps w:val="0"/>
          <w:color w:val="auto"/>
          <w:spacing w:val="0"/>
          <w:w w:val="100"/>
          <w:sz w:val="32"/>
          <w:highlight w:val="none"/>
        </w:rPr>
        <w:t>11-2：工程设备暂估价表</w:t>
      </w:r>
      <w:bookmarkEnd w:id="878"/>
      <w:bookmarkEnd w:id="879"/>
      <w:bookmarkEnd w:id="880"/>
      <w:bookmarkEnd w:id="881"/>
      <w:bookmarkEnd w:id="882"/>
      <w:bookmarkEnd w:id="883"/>
    </w:p>
    <w:tbl>
      <w:tblPr>
        <w:tblStyle w:val="2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24"/>
        <w:gridCol w:w="2047"/>
        <w:gridCol w:w="878"/>
        <w:gridCol w:w="799"/>
        <w:gridCol w:w="1394"/>
        <w:gridCol w:w="1463"/>
        <w:gridCol w:w="1755"/>
      </w:tblGrid>
      <w:tr w14:paraId="7A092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7" w:hRule="atLeast"/>
        </w:trPr>
        <w:tc>
          <w:tcPr>
            <w:tcW w:w="1024" w:type="dxa"/>
            <w:tcBorders>
              <w:top w:val="single" w:color="auto" w:sz="12" w:space="0"/>
              <w:bottom w:val="double" w:color="auto" w:sz="6" w:space="0"/>
            </w:tcBorders>
            <w:noWrap w:val="0"/>
            <w:vAlign w:val="top"/>
          </w:tcPr>
          <w:p w14:paraId="0F32EDE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序号</w:t>
            </w:r>
          </w:p>
        </w:tc>
        <w:tc>
          <w:tcPr>
            <w:tcW w:w="2047" w:type="dxa"/>
            <w:tcBorders>
              <w:top w:val="single" w:color="auto" w:sz="12" w:space="0"/>
              <w:bottom w:val="double" w:color="auto" w:sz="6" w:space="0"/>
            </w:tcBorders>
            <w:noWrap w:val="0"/>
            <w:vAlign w:val="top"/>
          </w:tcPr>
          <w:p w14:paraId="2A5B348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名称</w:t>
            </w:r>
          </w:p>
        </w:tc>
        <w:tc>
          <w:tcPr>
            <w:tcW w:w="878" w:type="dxa"/>
            <w:tcBorders>
              <w:top w:val="single" w:color="auto" w:sz="12" w:space="0"/>
              <w:bottom w:val="double" w:color="auto" w:sz="6" w:space="0"/>
            </w:tcBorders>
            <w:noWrap w:val="0"/>
            <w:vAlign w:val="top"/>
          </w:tcPr>
          <w:p w14:paraId="0F11266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单位</w:t>
            </w:r>
          </w:p>
        </w:tc>
        <w:tc>
          <w:tcPr>
            <w:tcW w:w="799" w:type="dxa"/>
            <w:tcBorders>
              <w:top w:val="single" w:color="auto" w:sz="12" w:space="0"/>
              <w:bottom w:val="double" w:color="auto" w:sz="6" w:space="0"/>
            </w:tcBorders>
            <w:noWrap w:val="0"/>
            <w:vAlign w:val="top"/>
          </w:tcPr>
          <w:p w14:paraId="65C366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数量</w:t>
            </w:r>
          </w:p>
        </w:tc>
        <w:tc>
          <w:tcPr>
            <w:tcW w:w="1394" w:type="dxa"/>
            <w:tcBorders>
              <w:top w:val="single" w:color="auto" w:sz="12" w:space="0"/>
              <w:bottom w:val="double" w:color="auto" w:sz="6" w:space="0"/>
            </w:tcBorders>
            <w:noWrap w:val="0"/>
            <w:vAlign w:val="top"/>
          </w:tcPr>
          <w:p w14:paraId="0BC1D80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单价（元）</w:t>
            </w:r>
          </w:p>
        </w:tc>
        <w:tc>
          <w:tcPr>
            <w:tcW w:w="1463" w:type="dxa"/>
            <w:tcBorders>
              <w:top w:val="single" w:color="auto" w:sz="12" w:space="0"/>
              <w:bottom w:val="double" w:color="auto" w:sz="6" w:space="0"/>
            </w:tcBorders>
            <w:noWrap w:val="0"/>
            <w:vAlign w:val="top"/>
          </w:tcPr>
          <w:p w14:paraId="2C4BBB2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合价（元）</w:t>
            </w:r>
          </w:p>
        </w:tc>
        <w:tc>
          <w:tcPr>
            <w:tcW w:w="1755" w:type="dxa"/>
            <w:tcBorders>
              <w:top w:val="single" w:color="auto" w:sz="12" w:space="0"/>
              <w:bottom w:val="double" w:color="auto" w:sz="6" w:space="0"/>
            </w:tcBorders>
            <w:noWrap w:val="0"/>
            <w:vAlign w:val="top"/>
          </w:tcPr>
          <w:p w14:paraId="10E8B0D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r>
              <w:rPr>
                <w:rFonts w:hint="eastAsia" w:ascii="宋体" w:hAnsi="宋体" w:eastAsia="宋体" w:cs="宋体"/>
                <w:b w:val="0"/>
                <w:i w:val="0"/>
                <w:caps w:val="0"/>
                <w:color w:val="auto"/>
                <w:spacing w:val="0"/>
                <w:w w:val="100"/>
                <w:sz w:val="21"/>
                <w:szCs w:val="21"/>
                <w:highlight w:val="none"/>
              </w:rPr>
              <w:t>备注</w:t>
            </w:r>
          </w:p>
        </w:tc>
      </w:tr>
      <w:tr w14:paraId="4561FA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6" w:hRule="atLeast"/>
        </w:trPr>
        <w:tc>
          <w:tcPr>
            <w:tcW w:w="1024" w:type="dxa"/>
            <w:tcBorders>
              <w:top w:val="double" w:color="auto" w:sz="6" w:space="0"/>
              <w:bottom w:val="single" w:color="auto" w:sz="6" w:space="0"/>
            </w:tcBorders>
            <w:noWrap w:val="0"/>
            <w:vAlign w:val="top"/>
          </w:tcPr>
          <w:p w14:paraId="5F17BD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tcBorders>
              <w:top w:val="double" w:color="auto" w:sz="6" w:space="0"/>
              <w:bottom w:val="single" w:color="auto" w:sz="6" w:space="0"/>
            </w:tcBorders>
            <w:noWrap w:val="0"/>
            <w:vAlign w:val="top"/>
          </w:tcPr>
          <w:p w14:paraId="54B237D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tcBorders>
              <w:top w:val="double" w:color="auto" w:sz="6" w:space="0"/>
              <w:bottom w:val="single" w:color="auto" w:sz="6" w:space="0"/>
            </w:tcBorders>
            <w:noWrap w:val="0"/>
            <w:vAlign w:val="top"/>
          </w:tcPr>
          <w:p w14:paraId="570A829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tcBorders>
              <w:top w:val="double" w:color="auto" w:sz="6" w:space="0"/>
              <w:bottom w:val="single" w:color="auto" w:sz="6" w:space="0"/>
            </w:tcBorders>
            <w:noWrap w:val="0"/>
            <w:vAlign w:val="top"/>
          </w:tcPr>
          <w:p w14:paraId="0F6B55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tcBorders>
              <w:top w:val="double" w:color="auto" w:sz="6" w:space="0"/>
              <w:bottom w:val="single" w:color="auto" w:sz="6" w:space="0"/>
            </w:tcBorders>
            <w:noWrap w:val="0"/>
            <w:vAlign w:val="top"/>
          </w:tcPr>
          <w:p w14:paraId="52A01F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tcBorders>
              <w:top w:val="double" w:color="auto" w:sz="6" w:space="0"/>
              <w:bottom w:val="single" w:color="auto" w:sz="6" w:space="0"/>
            </w:tcBorders>
            <w:noWrap w:val="0"/>
            <w:vAlign w:val="top"/>
          </w:tcPr>
          <w:p w14:paraId="783455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tcBorders>
              <w:top w:val="double" w:color="auto" w:sz="6" w:space="0"/>
              <w:bottom w:val="single" w:color="auto" w:sz="6" w:space="0"/>
            </w:tcBorders>
            <w:noWrap w:val="0"/>
            <w:vAlign w:val="top"/>
          </w:tcPr>
          <w:p w14:paraId="153E2A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2586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tcBorders>
              <w:top w:val="nil"/>
            </w:tcBorders>
            <w:noWrap w:val="0"/>
            <w:vAlign w:val="top"/>
          </w:tcPr>
          <w:p w14:paraId="61E8D58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tcBorders>
              <w:top w:val="nil"/>
            </w:tcBorders>
            <w:noWrap w:val="0"/>
            <w:vAlign w:val="top"/>
          </w:tcPr>
          <w:p w14:paraId="2D4CE36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tcBorders>
              <w:top w:val="nil"/>
            </w:tcBorders>
            <w:noWrap w:val="0"/>
            <w:vAlign w:val="top"/>
          </w:tcPr>
          <w:p w14:paraId="037143F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tcBorders>
              <w:top w:val="nil"/>
            </w:tcBorders>
            <w:noWrap w:val="0"/>
            <w:vAlign w:val="top"/>
          </w:tcPr>
          <w:p w14:paraId="4083FAB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tcBorders>
              <w:top w:val="nil"/>
            </w:tcBorders>
            <w:noWrap w:val="0"/>
            <w:vAlign w:val="top"/>
          </w:tcPr>
          <w:p w14:paraId="1ED5319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tcBorders>
              <w:top w:val="nil"/>
            </w:tcBorders>
            <w:noWrap w:val="0"/>
            <w:vAlign w:val="top"/>
          </w:tcPr>
          <w:p w14:paraId="644DEEE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tcBorders>
              <w:top w:val="nil"/>
            </w:tcBorders>
            <w:noWrap w:val="0"/>
            <w:vAlign w:val="top"/>
          </w:tcPr>
          <w:p w14:paraId="68B7C76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63CBE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6A58D8E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6888C32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0269BEC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0D40C37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6070965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6AC52C9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44E63AE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A585C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6C6AC67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355F039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262DF7F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497366B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5131E7E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5FF222A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349AF2D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41D18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4A0D6F1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05D3F2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19FDDB7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05C2946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0E0187F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EBFA8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3B5B929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500BD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5C58FEB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73911A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3BD24CB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3510643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3F06A67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2E7E0B1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329158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E6679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1579A90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3D9112F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6921726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66B35AF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0360BF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A152E2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1D464E6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00027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6384F69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1C43D17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1762A50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53F5F8B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5A848A9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24626C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5EEC37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5A7E9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3837A4E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657D92C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062A5FF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3A95043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725198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0C3C17A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1FA6236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0A298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313852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213617E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3DCF2DD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1545947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01BF64D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5FBE75A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2527DA6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3BD00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76A0A5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002E65C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4D43064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4DA90F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2F58306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0030E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54573EA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4C5A66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50B368D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3C5B7ED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7C0D3F4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4FFD03E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41508B4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E3775A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5A5268A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B2054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3C02B21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646B432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601179E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35D0D70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445996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591608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069E443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44DC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591706F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11C50DA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3AC2F0E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574B688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1E31DEC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2D4979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36E19DD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31F763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59FDC9C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66056CD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4B5DE07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7BC95D0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7B82718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000D318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2EA1C52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41FF6C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43A40A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1B9B5D9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68CB397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6895D5B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70848A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28F01FF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266F09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51739E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2CEFB1E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01BD48B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6BDCE5E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20F8580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2169250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4C31783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610C1CB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E3AD1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4491198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589C7A2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2EFFEA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7C01B60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5C1B98C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60CB51C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692DAA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D137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120DD77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5DE5330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3578B75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62B6653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7489C61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50202AE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34AEF16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72F8A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48A19FC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70CBE08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35AA3F8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2B2B8E7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5ECCE25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724DBE4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6EB8FE9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6EFB73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6D3E07B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75F37C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07450A1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5CF54B7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5DCE3D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2CAF6DC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1AADB75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C912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2191006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2ED92CD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0331691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11CCA6B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2F19880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1451D66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6DDBCC3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18442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7" w:hRule="atLeast"/>
        </w:trPr>
        <w:tc>
          <w:tcPr>
            <w:tcW w:w="1024" w:type="dxa"/>
            <w:noWrap w:val="0"/>
            <w:vAlign w:val="top"/>
          </w:tcPr>
          <w:p w14:paraId="1723674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6BC841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0B1B507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1DEE3F5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0D71A03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7267F70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5EF1E4B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r w14:paraId="2039F1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6" w:hRule="atLeast"/>
        </w:trPr>
        <w:tc>
          <w:tcPr>
            <w:tcW w:w="1024" w:type="dxa"/>
            <w:noWrap w:val="0"/>
            <w:vAlign w:val="top"/>
          </w:tcPr>
          <w:p w14:paraId="32671CC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2047" w:type="dxa"/>
            <w:noWrap w:val="0"/>
            <w:vAlign w:val="top"/>
          </w:tcPr>
          <w:p w14:paraId="17C758E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878" w:type="dxa"/>
            <w:noWrap w:val="0"/>
            <w:vAlign w:val="top"/>
          </w:tcPr>
          <w:p w14:paraId="3827F3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799" w:type="dxa"/>
            <w:noWrap w:val="0"/>
            <w:vAlign w:val="top"/>
          </w:tcPr>
          <w:p w14:paraId="188A72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394" w:type="dxa"/>
            <w:noWrap w:val="0"/>
            <w:vAlign w:val="top"/>
          </w:tcPr>
          <w:p w14:paraId="684F782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463" w:type="dxa"/>
            <w:noWrap w:val="0"/>
            <w:vAlign w:val="top"/>
          </w:tcPr>
          <w:p w14:paraId="2BE40B3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c>
          <w:tcPr>
            <w:tcW w:w="1755" w:type="dxa"/>
            <w:noWrap w:val="0"/>
            <w:vAlign w:val="top"/>
          </w:tcPr>
          <w:p w14:paraId="05269F9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1"/>
                <w:szCs w:val="21"/>
                <w:highlight w:val="none"/>
              </w:rPr>
            </w:pPr>
          </w:p>
        </w:tc>
      </w:tr>
    </w:tbl>
    <w:p w14:paraId="4E689A14">
      <w:pPr>
        <w:pStyle w:val="51"/>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bookmarkStart w:id="884" w:name="_Toc8395"/>
      <w:bookmarkStart w:id="885" w:name="_Toc2964"/>
      <w:bookmarkStart w:id="886" w:name="_Toc29935"/>
      <w:bookmarkStart w:id="887" w:name="_Toc505871428"/>
      <w:bookmarkStart w:id="888" w:name="_Toc7305"/>
      <w:bookmarkStart w:id="889" w:name="_Toc256000138"/>
      <w:r>
        <w:rPr>
          <w:rFonts w:hint="eastAsia" w:ascii="宋体" w:hAnsi="宋体" w:eastAsia="宋体" w:cs="宋体"/>
          <w:b/>
          <w:i w:val="0"/>
          <w:caps w:val="0"/>
          <w:color w:val="auto"/>
          <w:spacing w:val="0"/>
          <w:w w:val="100"/>
          <w:sz w:val="32"/>
          <w:highlight w:val="none"/>
        </w:rPr>
        <w:t>11-3：专业工程暂估价表</w:t>
      </w:r>
      <w:bookmarkEnd w:id="884"/>
      <w:bookmarkEnd w:id="885"/>
      <w:bookmarkEnd w:id="886"/>
      <w:bookmarkEnd w:id="887"/>
      <w:bookmarkEnd w:id="888"/>
      <w:bookmarkEnd w:id="889"/>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05"/>
        <w:gridCol w:w="2043"/>
        <w:gridCol w:w="4818"/>
        <w:gridCol w:w="1802"/>
      </w:tblGrid>
      <w:tr w14:paraId="22738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3" w:hRule="atLeast"/>
        </w:trPr>
        <w:tc>
          <w:tcPr>
            <w:tcW w:w="905" w:type="dxa"/>
            <w:tcBorders>
              <w:top w:val="single" w:color="auto" w:sz="12" w:space="0"/>
              <w:bottom w:val="double" w:color="auto" w:sz="6" w:space="0"/>
            </w:tcBorders>
            <w:noWrap w:val="0"/>
            <w:vAlign w:val="top"/>
          </w:tcPr>
          <w:p w14:paraId="4EF8174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t>序号</w:t>
            </w:r>
          </w:p>
        </w:tc>
        <w:tc>
          <w:tcPr>
            <w:tcW w:w="2043" w:type="dxa"/>
            <w:tcBorders>
              <w:top w:val="single" w:color="auto" w:sz="12" w:space="0"/>
              <w:bottom w:val="double" w:color="auto" w:sz="6" w:space="0"/>
            </w:tcBorders>
            <w:noWrap w:val="0"/>
            <w:vAlign w:val="top"/>
          </w:tcPr>
          <w:p w14:paraId="2E6663F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t>专业工程名称</w:t>
            </w:r>
          </w:p>
        </w:tc>
        <w:tc>
          <w:tcPr>
            <w:tcW w:w="4818" w:type="dxa"/>
            <w:tcBorders>
              <w:top w:val="single" w:color="auto" w:sz="12" w:space="0"/>
              <w:bottom w:val="double" w:color="auto" w:sz="6" w:space="0"/>
            </w:tcBorders>
            <w:noWrap w:val="0"/>
            <w:vAlign w:val="top"/>
          </w:tcPr>
          <w:p w14:paraId="6D4C33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t>工程内容</w:t>
            </w:r>
          </w:p>
        </w:tc>
        <w:tc>
          <w:tcPr>
            <w:tcW w:w="1802" w:type="dxa"/>
            <w:tcBorders>
              <w:top w:val="single" w:color="auto" w:sz="12" w:space="0"/>
              <w:bottom w:val="double" w:color="auto" w:sz="6" w:space="0"/>
            </w:tcBorders>
            <w:noWrap w:val="0"/>
            <w:vAlign w:val="top"/>
          </w:tcPr>
          <w:p w14:paraId="7EDB1D9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t>金额</w:t>
            </w:r>
          </w:p>
        </w:tc>
      </w:tr>
      <w:tr w14:paraId="5A133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3" w:hRule="atLeast"/>
        </w:trPr>
        <w:tc>
          <w:tcPr>
            <w:tcW w:w="905" w:type="dxa"/>
            <w:tcBorders>
              <w:top w:val="double" w:color="auto" w:sz="6" w:space="0"/>
              <w:bottom w:val="single" w:color="auto" w:sz="6" w:space="0"/>
            </w:tcBorders>
            <w:noWrap w:val="0"/>
            <w:vAlign w:val="top"/>
          </w:tcPr>
          <w:p w14:paraId="71C4792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tcBorders>
              <w:top w:val="double" w:color="auto" w:sz="6" w:space="0"/>
              <w:bottom w:val="single" w:color="auto" w:sz="6" w:space="0"/>
            </w:tcBorders>
            <w:noWrap w:val="0"/>
            <w:vAlign w:val="top"/>
          </w:tcPr>
          <w:p w14:paraId="5FB2332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tcBorders>
              <w:top w:val="double" w:color="auto" w:sz="6" w:space="0"/>
              <w:bottom w:val="single" w:color="auto" w:sz="6" w:space="0"/>
            </w:tcBorders>
            <w:noWrap w:val="0"/>
            <w:vAlign w:val="top"/>
          </w:tcPr>
          <w:p w14:paraId="0528594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tcBorders>
              <w:top w:val="double" w:color="auto" w:sz="6" w:space="0"/>
              <w:bottom w:val="single" w:color="auto" w:sz="6" w:space="0"/>
            </w:tcBorders>
            <w:noWrap w:val="0"/>
            <w:vAlign w:val="top"/>
          </w:tcPr>
          <w:p w14:paraId="23C5F1C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214D2C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tcBorders>
              <w:top w:val="nil"/>
            </w:tcBorders>
            <w:noWrap w:val="0"/>
            <w:vAlign w:val="top"/>
          </w:tcPr>
          <w:p w14:paraId="0A743BE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tcBorders>
              <w:top w:val="nil"/>
            </w:tcBorders>
            <w:noWrap w:val="0"/>
            <w:vAlign w:val="top"/>
          </w:tcPr>
          <w:p w14:paraId="6AEBD7B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tcBorders>
              <w:top w:val="nil"/>
            </w:tcBorders>
            <w:noWrap w:val="0"/>
            <w:vAlign w:val="top"/>
          </w:tcPr>
          <w:p w14:paraId="46DA445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tcBorders>
              <w:top w:val="nil"/>
            </w:tcBorders>
            <w:noWrap w:val="0"/>
            <w:vAlign w:val="top"/>
          </w:tcPr>
          <w:p w14:paraId="662C795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262537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tcBorders>
              <w:top w:val="nil"/>
            </w:tcBorders>
            <w:noWrap w:val="0"/>
            <w:vAlign w:val="top"/>
          </w:tcPr>
          <w:p w14:paraId="145D3C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tcBorders>
              <w:top w:val="nil"/>
            </w:tcBorders>
            <w:noWrap w:val="0"/>
            <w:vAlign w:val="top"/>
          </w:tcPr>
          <w:p w14:paraId="56F2262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tcBorders>
              <w:top w:val="nil"/>
            </w:tcBorders>
            <w:noWrap w:val="0"/>
            <w:vAlign w:val="top"/>
          </w:tcPr>
          <w:p w14:paraId="0B51A39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tcBorders>
              <w:top w:val="nil"/>
            </w:tcBorders>
            <w:noWrap w:val="0"/>
            <w:vAlign w:val="top"/>
          </w:tcPr>
          <w:p w14:paraId="0C49EA3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682C4E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0F2811A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276AD0F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2B4F804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070EC11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25064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0824057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5B3A956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21A6A2D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5966098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2F95A6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5038A18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40BB0F5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480D6D3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FB9734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0A2DF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0E6C776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1597E87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7AB5B24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8B791C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79FB1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43FF996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67F498C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2638411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72C17E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2EFCC4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7C8477C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16A7CC8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09C770D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E11386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68AA78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5FE06E82">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363F8F0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4A17589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636B429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5011E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3E9F6A4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632D26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7826DE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366B702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7DDDAC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78CA518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5F76475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02E6451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20F187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346F7E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7A6633F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736A7D6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15BFE64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818FDA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6E35E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5E0D3E2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5A0DBDA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3BCA00F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0F9B65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376607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385C5DB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3D628D8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1870935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194D20AC">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1FBEFA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0D177F4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5F6240BF">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6B517A79">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58F7C5EE">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794DD7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5341389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6270F5F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0D9ADE5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3F1AC7F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4E4681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27133997">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62279FB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3740C14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27F50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77664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35116173">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3E1320C4">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7343A801">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3DE92585">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24F2E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275B030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2F80770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61B4CC4B">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0A74BB3A">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11AD4C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2" w:hRule="atLeast"/>
        </w:trPr>
        <w:tc>
          <w:tcPr>
            <w:tcW w:w="905" w:type="dxa"/>
            <w:noWrap w:val="0"/>
            <w:vAlign w:val="top"/>
          </w:tcPr>
          <w:p w14:paraId="60901046">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2043" w:type="dxa"/>
            <w:noWrap w:val="0"/>
            <w:vAlign w:val="top"/>
          </w:tcPr>
          <w:p w14:paraId="7028E12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4818" w:type="dxa"/>
            <w:noWrap w:val="0"/>
            <w:vAlign w:val="top"/>
          </w:tcPr>
          <w:p w14:paraId="180BA3ED">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c>
          <w:tcPr>
            <w:tcW w:w="1802" w:type="dxa"/>
            <w:noWrap w:val="0"/>
            <w:vAlign w:val="top"/>
          </w:tcPr>
          <w:p w14:paraId="47245448">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p>
        </w:tc>
      </w:tr>
      <w:tr w14:paraId="3618D7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3" w:hRule="atLeast"/>
        </w:trPr>
        <w:tc>
          <w:tcPr>
            <w:tcW w:w="9568" w:type="dxa"/>
            <w:gridSpan w:val="4"/>
            <w:noWrap w:val="0"/>
            <w:vAlign w:val="top"/>
          </w:tcPr>
          <w:p w14:paraId="26AD86E0">
            <w:pPr>
              <w:pStyle w:val="55"/>
              <w:snapToGrid w:val="0"/>
              <w:spacing w:before="0" w:beforeAutospacing="0" w:after="0" w:afterAutospacing="0" w:line="440" w:lineRule="exact"/>
              <w:ind w:left="63" w:right="63"/>
              <w:jc w:val="both"/>
              <w:textAlignment w:val="baseline"/>
              <w:rPr>
                <w:rFonts w:hint="eastAsia" w:ascii="宋体" w:hAnsi="宋体" w:eastAsia="宋体" w:cs="宋体"/>
                <w:b w:val="0"/>
                <w:i w:val="0"/>
                <w:caps w:val="0"/>
                <w:color w:val="auto"/>
                <w:spacing w:val="0"/>
                <w:w w:val="100"/>
                <w:sz w:val="24"/>
                <w:highlight w:val="none"/>
              </w:rPr>
            </w:pPr>
            <w:r>
              <w:rPr>
                <w:rFonts w:hint="eastAsia" w:ascii="宋体" w:hAnsi="宋体" w:eastAsia="宋体" w:cs="宋体"/>
                <w:b w:val="0"/>
                <w:i w:val="0"/>
                <w:caps w:val="0"/>
                <w:color w:val="auto"/>
                <w:spacing w:val="0"/>
                <w:w w:val="100"/>
                <w:sz w:val="24"/>
                <w:highlight w:val="none"/>
              </w:rPr>
              <w:t>小计：</w:t>
            </w:r>
          </w:p>
        </w:tc>
      </w:tr>
    </w:tbl>
    <w:p w14:paraId="3E978D79">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1"/>
          <w:szCs w:val="21"/>
          <w:highlight w:val="none"/>
        </w:rPr>
      </w:pPr>
    </w:p>
    <w:p w14:paraId="3FDE1886">
      <w:pPr>
        <w:pStyle w:val="56"/>
        <w:snapToGrid w:val="0"/>
        <w:spacing w:before="0" w:beforeAutospacing="0" w:after="0" w:afterAutospacing="0" w:line="360" w:lineRule="auto"/>
        <w:ind w:firstLine="420" w:firstLineChars="200"/>
        <w:jc w:val="both"/>
        <w:textAlignment w:val="baseline"/>
        <w:rPr>
          <w:rFonts w:hint="eastAsia" w:ascii="宋体" w:hAnsi="宋体" w:eastAsia="宋体" w:cs="宋体"/>
          <w:b w:val="0"/>
          <w:i w:val="0"/>
          <w:caps w:val="0"/>
          <w:color w:val="auto"/>
          <w:spacing w:val="0"/>
          <w:w w:val="100"/>
          <w:sz w:val="21"/>
          <w:szCs w:val="21"/>
          <w:highlight w:val="none"/>
        </w:rPr>
      </w:pPr>
    </w:p>
    <w:p w14:paraId="6D6BEC2F">
      <w:pPr>
        <w:pStyle w:val="54"/>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32"/>
          <w:highlight w:val="none"/>
        </w:rPr>
      </w:pPr>
      <w:bookmarkStart w:id="890" w:name="_Toc505871429"/>
      <w:bookmarkStart w:id="891" w:name="_Toc256000139"/>
      <w:bookmarkStart w:id="892" w:name="_Toc15510"/>
      <w:r>
        <w:rPr>
          <w:rFonts w:hint="eastAsia" w:ascii="宋体" w:hAnsi="宋体" w:eastAsia="宋体" w:cs="宋体"/>
          <w:b/>
          <w:i w:val="0"/>
          <w:caps w:val="0"/>
          <w:color w:val="auto"/>
          <w:spacing w:val="0"/>
          <w:w w:val="100"/>
          <w:sz w:val="32"/>
          <w:highlight w:val="none"/>
        </w:rPr>
        <w:t>附件12：廉政责任书格式</w:t>
      </w:r>
      <w:bookmarkEnd w:id="890"/>
      <w:bookmarkEnd w:id="891"/>
      <w:bookmarkEnd w:id="892"/>
    </w:p>
    <w:p w14:paraId="7219FA39">
      <w:pPr>
        <w:pStyle w:val="51"/>
        <w:snapToGrid w:val="0"/>
        <w:spacing w:before="260" w:beforeAutospacing="0" w:after="260" w:afterAutospacing="0" w:line="416" w:lineRule="auto"/>
        <w:jc w:val="both"/>
        <w:textAlignment w:val="baseline"/>
        <w:rPr>
          <w:rFonts w:hint="eastAsia" w:ascii="宋体" w:hAnsi="宋体" w:eastAsia="宋体" w:cs="宋体"/>
          <w:b/>
          <w:i w:val="0"/>
          <w:caps w:val="0"/>
          <w:color w:val="auto"/>
          <w:spacing w:val="0"/>
          <w:w w:val="100"/>
          <w:sz w:val="24"/>
          <w:szCs w:val="24"/>
          <w:highlight w:val="none"/>
        </w:rPr>
      </w:pPr>
      <w:bookmarkStart w:id="893" w:name="_Toc19694"/>
      <w:bookmarkStart w:id="894" w:name="_Toc505871430"/>
      <w:bookmarkStart w:id="895" w:name="_Toc256000140"/>
      <w:bookmarkStart w:id="896" w:name="_Toc12448"/>
      <w:bookmarkStart w:id="897" w:name="_Toc15505"/>
      <w:bookmarkStart w:id="898" w:name="_Toc6555"/>
      <w:r>
        <w:rPr>
          <w:rFonts w:hint="eastAsia" w:ascii="宋体" w:hAnsi="宋体" w:eastAsia="宋体" w:cs="宋体"/>
          <w:b/>
          <w:i w:val="0"/>
          <w:caps w:val="0"/>
          <w:color w:val="auto"/>
          <w:spacing w:val="0"/>
          <w:w w:val="100"/>
          <w:sz w:val="32"/>
          <w:highlight w:val="none"/>
        </w:rPr>
        <w:t>建设工程廉政责任书</w:t>
      </w:r>
      <w:bookmarkEnd w:id="893"/>
      <w:bookmarkEnd w:id="894"/>
      <w:bookmarkEnd w:id="895"/>
      <w:bookmarkEnd w:id="896"/>
      <w:bookmarkEnd w:id="897"/>
      <w:bookmarkEnd w:id="898"/>
    </w:p>
    <w:p w14:paraId="5E3A6294">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发包人：____________________________________</w:t>
      </w:r>
    </w:p>
    <w:p w14:paraId="0012F6A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承包人：____________________________________</w:t>
      </w:r>
    </w:p>
    <w:p w14:paraId="094D596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p>
    <w:p w14:paraId="10095F35">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16F15D61">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4"/>
          <w:szCs w:val="24"/>
          <w:highlight w:val="none"/>
        </w:rPr>
        <w:t>一、双方的责任</w:t>
      </w:r>
    </w:p>
    <w:p w14:paraId="445F4222">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1.1 应严格遵守国家关于建设工程的有关法律、法规，相关政策，以及廉政建设的各项规定。</w:t>
      </w:r>
    </w:p>
    <w:p w14:paraId="3ADD5737">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1.2 严格执行建设工程合同文件，自觉按合同办事。</w:t>
      </w:r>
    </w:p>
    <w:p w14:paraId="21C7197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1.3 各项活动必须坚持公开、公平、公正、诚信、透明的原则（除法律法规另有规定者外），不得为获取不正当的利益，损害国家、集体和对方利益，不得违反建设工程管理的规章制度。</w:t>
      </w:r>
    </w:p>
    <w:p w14:paraId="6C84930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1.4 发现对方在业务活动中有违规、违纪、违法行为的，应及时提醒对方，情节严重的，应向其上级主管部门或纪检监察、司法等有关机关举报。</w:t>
      </w:r>
    </w:p>
    <w:p w14:paraId="1BF64DD2">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4"/>
          <w:szCs w:val="24"/>
          <w:highlight w:val="none"/>
        </w:rPr>
        <w:t>二、发包人责任</w:t>
      </w:r>
    </w:p>
    <w:p w14:paraId="114E6E73">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发包人的领导和从事该建设工程项目的工作人员，在工程建设的事前、事中、事后应遵守以下规定：</w:t>
      </w:r>
    </w:p>
    <w:p w14:paraId="145C4D81">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2.1不得向承包人和相关单位索要或接受回扣、礼金、有价证券、贵重物品和好处费、感谢费等。</w:t>
      </w:r>
    </w:p>
    <w:p w14:paraId="27C90712">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2.2 不得在承包人和相关单位报销任何应由发包人或个人支付的费用。</w:t>
      </w:r>
    </w:p>
    <w:p w14:paraId="074C0F3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2.3 不得要求、暗示或接受承包人和相关单位为个人装修住房、婚丧嫁娶、配偶子女的工作安排以及出国（境）、旅游等提供方便。</w:t>
      </w:r>
    </w:p>
    <w:p w14:paraId="180D57F0">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2.4 不得参加有可能影响公正执行公务的承包人和相关单位的宴请、健身、娱乐等活动。</w:t>
      </w:r>
    </w:p>
    <w:p w14:paraId="2BE01500">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2.5 不得向承包人和相关单位介绍或为配偶、子女、亲属参与同发包人工程建设管理合同有关的业务活动；不得以任何理由要求承包人和相关单位使用某种产品、材料和设备。</w:t>
      </w:r>
    </w:p>
    <w:p w14:paraId="77D62ADD">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4"/>
          <w:szCs w:val="24"/>
          <w:highlight w:val="none"/>
        </w:rPr>
        <w:t>三、承包人责任</w:t>
      </w:r>
    </w:p>
    <w:p w14:paraId="18F8594F">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应与发包人保持正常的业务交往，按照有关法律法规和程序开展业务工作，严格执行工程建设的有关方针、政策，执行工程建设强制性标准，并遵守以下规定：</w:t>
      </w:r>
    </w:p>
    <w:p w14:paraId="0D6051D5">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3.1 不得以任何理由向发包人及其工作人员索要、接受或赠送礼金、有价证券、贵重物品及回扣、好处费、感谢费等。</w:t>
      </w:r>
    </w:p>
    <w:p w14:paraId="6279837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3.2不得以任何理由为发包人和相关单位报销应由对方或个人支付的费用。</w:t>
      </w:r>
    </w:p>
    <w:p w14:paraId="4329A39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3.3不得接受或暗示为发包人、相关单位或个人装修住房、婚丧嫁娶、配偶子女的工作安排以及出国（境）、旅游等提供方便。</w:t>
      </w:r>
    </w:p>
    <w:p w14:paraId="29F146EA">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3.4不得以任何理由为发包人、相关单位或个人组织有可能影响公正执行公务的宴请、健身、娱乐等活动。</w:t>
      </w:r>
    </w:p>
    <w:p w14:paraId="6D061B45">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4"/>
          <w:szCs w:val="24"/>
          <w:highlight w:val="none"/>
        </w:rPr>
        <w:t>四、违约责任</w:t>
      </w:r>
    </w:p>
    <w:p w14:paraId="7560F42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4.1发包人工作人员有违反本责任书第一、二条责任行为的，依据有关法律、法规给予处理；涉嫌犯罪的，移交司法机关追究刑事责任；给承包人单位造成经济损失的，应予以赔偿。</w:t>
      </w:r>
    </w:p>
    <w:p w14:paraId="6E62E6FB">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4.2 承包人工作人员有违反本责任书第一、三条责任行为的，依据有关法律法规处理；涉嫌犯罪的，移交司法机关追究刑事责任；给发包人单位造成经济损失的，应予以赔偿。</w:t>
      </w:r>
    </w:p>
    <w:p w14:paraId="0A5AA7C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4.3 本责任书作为建设工程合同的组成部分，与建设工程合同具有同等法律效力。经双方签署后立即生效。</w:t>
      </w:r>
    </w:p>
    <w:p w14:paraId="18C3ABF6">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1"/>
          <w:szCs w:val="21"/>
          <w:highlight w:val="none"/>
        </w:rPr>
        <w:t>五、</w:t>
      </w:r>
      <w:r>
        <w:rPr>
          <w:rFonts w:hint="eastAsia" w:ascii="宋体" w:hAnsi="宋体" w:eastAsia="宋体" w:cs="宋体"/>
          <w:b/>
          <w:i w:val="0"/>
          <w:caps w:val="0"/>
          <w:color w:val="auto"/>
          <w:spacing w:val="0"/>
          <w:w w:val="100"/>
          <w:sz w:val="24"/>
          <w:szCs w:val="24"/>
          <w:highlight w:val="none"/>
        </w:rPr>
        <w:t>责任书有效期</w:t>
      </w:r>
    </w:p>
    <w:p w14:paraId="3276EBEC">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本责任书的有效期为双方签署之日起至该工程项目竣工验收合格时止。</w:t>
      </w:r>
    </w:p>
    <w:p w14:paraId="4DDE027A">
      <w:pPr>
        <w:pStyle w:val="48"/>
        <w:snapToGrid w:val="0"/>
        <w:spacing w:before="0" w:beforeAutospacing="0" w:after="0" w:afterAutospacing="0" w:line="360" w:lineRule="auto"/>
        <w:jc w:val="both"/>
        <w:textAlignment w:val="baseline"/>
        <w:rPr>
          <w:rFonts w:hint="eastAsia" w:ascii="宋体" w:hAnsi="宋体" w:eastAsia="宋体" w:cs="宋体"/>
          <w:b/>
          <w:i w:val="0"/>
          <w:caps w:val="0"/>
          <w:color w:val="auto"/>
          <w:spacing w:val="0"/>
          <w:w w:val="100"/>
          <w:sz w:val="24"/>
          <w:szCs w:val="24"/>
          <w:highlight w:val="none"/>
        </w:rPr>
      </w:pPr>
      <w:r>
        <w:rPr>
          <w:rFonts w:hint="eastAsia" w:ascii="宋体" w:hAnsi="宋体" w:eastAsia="宋体" w:cs="宋体"/>
          <w:b/>
          <w:i w:val="0"/>
          <w:caps w:val="0"/>
          <w:color w:val="auto"/>
          <w:spacing w:val="0"/>
          <w:w w:val="100"/>
          <w:sz w:val="24"/>
          <w:szCs w:val="24"/>
          <w:highlight w:val="none"/>
        </w:rPr>
        <w:t>六、责任书份数</w:t>
      </w:r>
    </w:p>
    <w:p w14:paraId="73C8DD96">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本责任书一式二份，发包人承包人各执一份，具有同等效力。</w:t>
      </w:r>
    </w:p>
    <w:p w14:paraId="3139DD11">
      <w:pPr>
        <w:pStyle w:val="48"/>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14:paraId="1786EF68">
      <w:pPr>
        <w:pStyle w:val="48"/>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发包人：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（公章）</w:t>
      </w:r>
      <w:r>
        <w:rPr>
          <w:rFonts w:hint="eastAsia" w:ascii="宋体" w:hAnsi="宋体" w:eastAsia="宋体" w:cs="宋体"/>
          <w:b w:val="0"/>
          <w:i w:val="0"/>
          <w:caps w:val="0"/>
          <w:color w:val="auto"/>
          <w:spacing w:val="0"/>
          <w:w w:val="100"/>
          <w:sz w:val="24"/>
          <w:szCs w:val="24"/>
          <w:highlight w:val="none"/>
        </w:rPr>
        <w:tab/>
      </w:r>
      <w:r>
        <w:rPr>
          <w:rFonts w:hint="eastAsia" w:ascii="宋体" w:hAnsi="宋体" w:eastAsia="宋体" w:cs="宋体"/>
          <w:b w:val="0"/>
          <w:i w:val="0"/>
          <w:caps w:val="0"/>
          <w:color w:val="auto"/>
          <w:spacing w:val="0"/>
          <w:w w:val="100"/>
          <w:sz w:val="24"/>
          <w:szCs w:val="24"/>
          <w:highlight w:val="none"/>
        </w:rPr>
        <w:t xml:space="preserve"> 承包人：</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（公章） </w:t>
      </w:r>
    </w:p>
    <w:p w14:paraId="18DC172E">
      <w:pPr>
        <w:pStyle w:val="48"/>
        <w:tabs>
          <w:tab w:val="left" w:pos="4335"/>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法定地址：</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ab/>
      </w:r>
      <w:r>
        <w:rPr>
          <w:rFonts w:hint="eastAsia" w:ascii="宋体" w:hAnsi="宋体" w:eastAsia="宋体" w:cs="宋体"/>
          <w:b w:val="0"/>
          <w:i w:val="0"/>
          <w:caps w:val="0"/>
          <w:color w:val="auto"/>
          <w:spacing w:val="0"/>
          <w:w w:val="100"/>
          <w:sz w:val="24"/>
          <w:szCs w:val="24"/>
          <w:highlight w:val="none"/>
        </w:rPr>
        <w:t>法定地址：</w:t>
      </w:r>
      <w:r>
        <w:rPr>
          <w:rFonts w:hint="eastAsia" w:ascii="宋体" w:hAnsi="宋体" w:eastAsia="宋体" w:cs="宋体"/>
          <w:b w:val="0"/>
          <w:i w:val="0"/>
          <w:caps w:val="0"/>
          <w:color w:val="auto"/>
          <w:spacing w:val="0"/>
          <w:w w:val="100"/>
          <w:sz w:val="24"/>
          <w:szCs w:val="24"/>
          <w:highlight w:val="none"/>
          <w:u w:val="single" w:color="000000"/>
        </w:rPr>
        <w:t xml:space="preserve">                </w:t>
      </w:r>
    </w:p>
    <w:p w14:paraId="3EB72AF5">
      <w:pPr>
        <w:pStyle w:val="48"/>
        <w:tabs>
          <w:tab w:val="left" w:pos="4275"/>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法定代表人或其委托代理人：（签字）   法定代表人或其委托代理人：（签字）</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p>
    <w:p w14:paraId="369CC63D">
      <w:pPr>
        <w:pStyle w:val="48"/>
        <w:tabs>
          <w:tab w:val="left" w:pos="4335"/>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电话：</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ab/>
      </w:r>
      <w:r>
        <w:rPr>
          <w:rFonts w:hint="eastAsia" w:ascii="宋体" w:hAnsi="宋体" w:eastAsia="宋体" w:cs="宋体"/>
          <w:b w:val="0"/>
          <w:i w:val="0"/>
          <w:caps w:val="0"/>
          <w:color w:val="auto"/>
          <w:spacing w:val="0"/>
          <w:w w:val="100"/>
          <w:sz w:val="24"/>
          <w:szCs w:val="24"/>
          <w:highlight w:val="none"/>
        </w:rPr>
        <w:t xml:space="preserve">     电话：</w:t>
      </w:r>
      <w:r>
        <w:rPr>
          <w:rFonts w:hint="eastAsia" w:ascii="宋体" w:hAnsi="宋体" w:eastAsia="宋体" w:cs="宋体"/>
          <w:b w:val="0"/>
          <w:i w:val="0"/>
          <w:caps w:val="0"/>
          <w:strike/>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p>
    <w:p w14:paraId="63FBEA33">
      <w:pPr>
        <w:pStyle w:val="48"/>
        <w:tabs>
          <w:tab w:val="left" w:pos="4335"/>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strike/>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传真：</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ab/>
      </w:r>
      <w:r>
        <w:rPr>
          <w:rFonts w:hint="eastAsia" w:ascii="宋体" w:hAnsi="宋体" w:eastAsia="宋体" w:cs="宋体"/>
          <w:b w:val="0"/>
          <w:i w:val="0"/>
          <w:caps w:val="0"/>
          <w:color w:val="auto"/>
          <w:spacing w:val="0"/>
          <w:w w:val="100"/>
          <w:sz w:val="24"/>
          <w:szCs w:val="24"/>
          <w:highlight w:val="none"/>
        </w:rPr>
        <w:t xml:space="preserve">     传真：</w:t>
      </w:r>
      <w:r>
        <w:rPr>
          <w:rFonts w:hint="eastAsia" w:ascii="宋体" w:hAnsi="宋体" w:eastAsia="宋体" w:cs="宋体"/>
          <w:b w:val="0"/>
          <w:i w:val="0"/>
          <w:caps w:val="0"/>
          <w:strike/>
          <w:color w:val="auto"/>
          <w:spacing w:val="0"/>
          <w:w w:val="100"/>
          <w:sz w:val="24"/>
          <w:szCs w:val="24"/>
          <w:highlight w:val="none"/>
          <w:u w:val="single" w:color="000000"/>
        </w:rPr>
        <w:t xml:space="preserve">                    </w:t>
      </w:r>
    </w:p>
    <w:p w14:paraId="19F9DFEA">
      <w:pPr>
        <w:pStyle w:val="48"/>
        <w:tabs>
          <w:tab w:val="left" w:pos="4700"/>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strike/>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电子邮箱：</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电子邮箱：</w:t>
      </w:r>
      <w:r>
        <w:rPr>
          <w:rFonts w:hint="eastAsia" w:ascii="宋体" w:hAnsi="宋体" w:eastAsia="宋体" w:cs="宋体"/>
          <w:b w:val="0"/>
          <w:i w:val="0"/>
          <w:caps w:val="0"/>
          <w:strike/>
          <w:color w:val="auto"/>
          <w:spacing w:val="0"/>
          <w:w w:val="100"/>
          <w:sz w:val="24"/>
          <w:szCs w:val="24"/>
          <w:highlight w:val="none"/>
          <w:u w:val="single" w:color="000000"/>
        </w:rPr>
        <w:t xml:space="preserve">                </w:t>
      </w:r>
    </w:p>
    <w:p w14:paraId="074479B0">
      <w:pPr>
        <w:pStyle w:val="48"/>
        <w:tabs>
          <w:tab w:val="left" w:pos="4335"/>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strike/>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开户银行：</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ab/>
      </w:r>
      <w:r>
        <w:rPr>
          <w:rFonts w:hint="eastAsia" w:ascii="宋体" w:hAnsi="宋体" w:eastAsia="宋体" w:cs="宋体"/>
          <w:b w:val="0"/>
          <w:i w:val="0"/>
          <w:caps w:val="0"/>
          <w:color w:val="auto"/>
          <w:spacing w:val="0"/>
          <w:w w:val="100"/>
          <w:sz w:val="24"/>
          <w:szCs w:val="24"/>
          <w:highlight w:val="none"/>
        </w:rPr>
        <w:t xml:space="preserve">     开户银行：</w:t>
      </w:r>
      <w:r>
        <w:rPr>
          <w:rFonts w:hint="eastAsia" w:ascii="宋体" w:hAnsi="宋体" w:eastAsia="宋体" w:cs="宋体"/>
          <w:b w:val="0"/>
          <w:i w:val="0"/>
          <w:caps w:val="0"/>
          <w:strike/>
          <w:color w:val="auto"/>
          <w:spacing w:val="0"/>
          <w:w w:val="100"/>
          <w:sz w:val="24"/>
          <w:szCs w:val="24"/>
          <w:highlight w:val="none"/>
          <w:u w:val="single" w:color="000000"/>
        </w:rPr>
        <w:t xml:space="preserve">                </w:t>
      </w:r>
    </w:p>
    <w:p w14:paraId="7B5287AE">
      <w:pPr>
        <w:pStyle w:val="48"/>
        <w:tabs>
          <w:tab w:val="left" w:pos="4335"/>
        </w:tabs>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u w:val="single" w:color="000000"/>
        </w:rPr>
      </w:pPr>
      <w:r>
        <w:rPr>
          <w:rFonts w:hint="eastAsia" w:ascii="宋体" w:hAnsi="宋体" w:eastAsia="宋体" w:cs="宋体"/>
          <w:b w:val="0"/>
          <w:i w:val="0"/>
          <w:caps w:val="0"/>
          <w:color w:val="auto"/>
          <w:spacing w:val="0"/>
          <w:w w:val="100"/>
          <w:sz w:val="24"/>
          <w:szCs w:val="24"/>
          <w:highlight w:val="none"/>
        </w:rPr>
        <w:t>帐号：</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ab/>
      </w:r>
      <w:r>
        <w:rPr>
          <w:rFonts w:hint="eastAsia" w:ascii="宋体" w:hAnsi="宋体" w:eastAsia="宋体" w:cs="宋体"/>
          <w:b w:val="0"/>
          <w:i w:val="0"/>
          <w:caps w:val="0"/>
          <w:color w:val="auto"/>
          <w:spacing w:val="0"/>
          <w:w w:val="100"/>
          <w:sz w:val="24"/>
          <w:szCs w:val="24"/>
          <w:highlight w:val="none"/>
        </w:rPr>
        <w:t xml:space="preserve">     帐号：</w:t>
      </w:r>
      <w:r>
        <w:rPr>
          <w:rFonts w:hint="eastAsia" w:ascii="宋体" w:hAnsi="宋体" w:eastAsia="宋体" w:cs="宋体"/>
          <w:b w:val="0"/>
          <w:i w:val="0"/>
          <w:caps w:val="0"/>
          <w:strike/>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u w:val="single" w:color="000000"/>
        </w:rPr>
        <w:t xml:space="preserve">     </w:t>
      </w:r>
    </w:p>
    <w:p w14:paraId="1A8285B2">
      <w:pPr>
        <w:pStyle w:val="56"/>
        <w:snapToGrid w:val="0"/>
        <w:spacing w:before="0" w:beforeAutospacing="0" w:after="0" w:afterAutospacing="0" w:line="360" w:lineRule="auto"/>
        <w:ind w:firstLine="480" w:firstLineChars="200"/>
        <w:jc w:val="both"/>
        <w:textAlignment w:val="baseline"/>
        <w:rPr>
          <w:rFonts w:hint="eastAsia" w:ascii="宋体" w:hAnsi="宋体" w:eastAsia="宋体" w:cs="宋体"/>
          <w:b/>
          <w:i w:val="0"/>
          <w:caps w:val="0"/>
          <w:color w:val="auto"/>
          <w:spacing w:val="0"/>
          <w:w w:val="100"/>
          <w:sz w:val="20"/>
          <w:highlight w:val="none"/>
        </w:rPr>
      </w:pPr>
      <w:r>
        <w:rPr>
          <w:rFonts w:hint="eastAsia" w:ascii="宋体" w:hAnsi="宋体" w:eastAsia="宋体" w:cs="宋体"/>
          <w:b w:val="0"/>
          <w:i w:val="0"/>
          <w:caps w:val="0"/>
          <w:color w:val="auto"/>
          <w:spacing w:val="0"/>
          <w:w w:val="100"/>
          <w:sz w:val="24"/>
          <w:szCs w:val="24"/>
          <w:highlight w:val="none"/>
        </w:rPr>
        <w:t>邮政编码：</w:t>
      </w:r>
      <w:r>
        <w:rPr>
          <w:rFonts w:hint="eastAsia" w:ascii="宋体" w:hAnsi="宋体" w:eastAsia="宋体" w:cs="宋体"/>
          <w:b w:val="0"/>
          <w:i w:val="0"/>
          <w:caps w:val="0"/>
          <w:color w:val="auto"/>
          <w:spacing w:val="0"/>
          <w:w w:val="100"/>
          <w:sz w:val="24"/>
          <w:szCs w:val="24"/>
          <w:highlight w:val="none"/>
          <w:u w:val="single" w:color="000000"/>
        </w:rPr>
        <w:t xml:space="preserve">                  </w:t>
      </w:r>
      <w:r>
        <w:rPr>
          <w:rFonts w:hint="eastAsia" w:ascii="宋体" w:hAnsi="宋体" w:eastAsia="宋体" w:cs="宋体"/>
          <w:b w:val="0"/>
          <w:i w:val="0"/>
          <w:caps w:val="0"/>
          <w:color w:val="auto"/>
          <w:spacing w:val="0"/>
          <w:w w:val="100"/>
          <w:sz w:val="24"/>
          <w:szCs w:val="24"/>
          <w:highlight w:val="none"/>
        </w:rPr>
        <w:t xml:space="preserve">         邮政编码：</w:t>
      </w:r>
      <w:r>
        <w:rPr>
          <w:rFonts w:hint="eastAsia" w:ascii="宋体" w:hAnsi="宋体" w:eastAsia="宋体" w:cs="宋体"/>
          <w:b w:val="0"/>
          <w:i w:val="0"/>
          <w:caps w:val="0"/>
          <w:strike/>
          <w:color w:val="auto"/>
          <w:spacing w:val="0"/>
          <w:w w:val="100"/>
          <w:sz w:val="24"/>
          <w:szCs w:val="24"/>
          <w:highlight w:val="none"/>
          <w:u w:val="single" w:color="000000"/>
        </w:rPr>
        <w:t xml:space="preserve">                 </w:t>
      </w:r>
      <w:r>
        <w:rPr>
          <w:rFonts w:hint="eastAsia" w:ascii="宋体" w:hAnsi="宋体" w:eastAsia="宋体" w:cs="宋体"/>
          <w:b/>
          <w:i w:val="0"/>
          <w:caps w:val="0"/>
          <w:color w:val="auto"/>
          <w:spacing w:val="0"/>
          <w:w w:val="100"/>
          <w:sz w:val="20"/>
          <w:highlight w:val="none"/>
        </w:rPr>
        <w:br w:type="page"/>
      </w:r>
    </w:p>
    <w:bookmarkEnd w:id="276"/>
    <w:bookmarkEnd w:id="277"/>
    <w:p w14:paraId="2261612B">
      <w:pPr>
        <w:pStyle w:val="3"/>
        <w:pageBreakBefore w:val="0"/>
        <w:kinsoku/>
        <w:overflowPunct/>
        <w:topLinePunct w:val="0"/>
        <w:bidi w:val="0"/>
        <w:snapToGrid/>
        <w:spacing w:line="360" w:lineRule="auto"/>
        <w:ind w:firstLine="3092" w:firstLineChars="700"/>
        <w:rPr>
          <w:rFonts w:hint="eastAsia" w:ascii="宋体" w:hAnsi="宋体" w:eastAsia="宋体" w:cs="宋体"/>
          <w:color w:val="auto"/>
        </w:rPr>
      </w:pPr>
      <w:bookmarkStart w:id="899" w:name="_Toc15388"/>
      <w:bookmarkStart w:id="900" w:name="_Toc2515"/>
      <w:r>
        <w:rPr>
          <w:rFonts w:hint="eastAsia" w:ascii="宋体" w:hAnsi="宋体" w:eastAsia="宋体" w:cs="宋体"/>
          <w:color w:val="auto"/>
        </w:rPr>
        <w:t xml:space="preserve">第五章  </w:t>
      </w:r>
      <w:r>
        <w:rPr>
          <w:rFonts w:hint="eastAsia" w:ascii="宋体" w:hAnsi="宋体" w:eastAsia="宋体" w:cs="宋体"/>
          <w:color w:val="auto"/>
          <w:lang w:val="en-US" w:eastAsia="zh-CN"/>
        </w:rPr>
        <w:t xml:space="preserve">   </w:t>
      </w:r>
      <w:r>
        <w:rPr>
          <w:rFonts w:hint="eastAsia" w:ascii="宋体" w:hAnsi="宋体" w:eastAsia="宋体" w:cs="宋体"/>
          <w:color w:val="auto"/>
        </w:rPr>
        <w:t>采购需求</w:t>
      </w:r>
      <w:bookmarkEnd w:id="899"/>
      <w:bookmarkEnd w:id="900"/>
      <w:bookmarkStart w:id="901" w:name="bookmark528"/>
      <w:bookmarkStart w:id="902" w:name="bookmark529"/>
      <w:bookmarkStart w:id="903" w:name="bookmark527"/>
    </w:p>
    <w:p w14:paraId="1F043BFD">
      <w:pPr>
        <w:pStyle w:val="4"/>
        <w:pageBreakBefore w:val="0"/>
        <w:kinsoku/>
        <w:overflowPunct/>
        <w:topLinePunct w:val="0"/>
        <w:bidi w:val="0"/>
        <w:snapToGrid/>
        <w:spacing w:line="360" w:lineRule="auto"/>
        <w:jc w:val="both"/>
        <w:rPr>
          <w:rFonts w:hint="eastAsia" w:ascii="宋体" w:hAnsi="宋体" w:eastAsia="宋体" w:cs="宋体"/>
          <w:color w:val="auto"/>
        </w:rPr>
      </w:pPr>
      <w:bookmarkStart w:id="904" w:name="_Toc14944"/>
      <w:bookmarkStart w:id="905" w:name="_Toc2382"/>
      <w:r>
        <w:rPr>
          <w:rFonts w:hint="eastAsia" w:ascii="宋体" w:hAnsi="宋体" w:eastAsia="宋体" w:cs="宋体"/>
          <w:color w:val="auto"/>
        </w:rPr>
        <w:t>采购需求编制说明</w:t>
      </w:r>
      <w:bookmarkEnd w:id="901"/>
      <w:bookmarkEnd w:id="902"/>
      <w:bookmarkEnd w:id="903"/>
      <w:bookmarkEnd w:id="904"/>
      <w:bookmarkEnd w:id="905"/>
    </w:p>
    <w:p w14:paraId="4627D468">
      <w:pPr>
        <w:pStyle w:val="39"/>
        <w:pageBreakBefore w:val="0"/>
        <w:kinsoku/>
        <w:overflowPunct/>
        <w:topLinePunct w:val="0"/>
        <w:bidi w:val="0"/>
        <w:snapToGrid/>
        <w:spacing w:line="360" w:lineRule="auto"/>
        <w:ind w:firstLine="480"/>
        <w:rPr>
          <w:rFonts w:hint="eastAsia" w:ascii="宋体" w:hAnsi="宋体" w:eastAsia="宋体" w:cs="宋体"/>
          <w:color w:val="auto"/>
        </w:rPr>
      </w:pPr>
      <w:r>
        <w:rPr>
          <w:rFonts w:hint="eastAsia" w:ascii="宋体" w:hAnsi="宋体" w:eastAsia="宋体" w:cs="宋体"/>
          <w:color w:val="auto"/>
          <w:sz w:val="24"/>
        </w:rPr>
        <w:t>工程项目应提供图纸、技术标准和要求、工程量清单。</w:t>
      </w:r>
    </w:p>
    <w:p w14:paraId="0C045458">
      <w:pPr>
        <w:pStyle w:val="39"/>
        <w:pageBreakBefore w:val="0"/>
        <w:kinsoku/>
        <w:overflowPunct/>
        <w:topLinePunct w:val="0"/>
        <w:bidi w:val="0"/>
        <w:snapToGrid/>
        <w:spacing w:line="360" w:lineRule="auto"/>
        <w:ind w:firstLine="480"/>
        <w:rPr>
          <w:rFonts w:hint="eastAsia" w:ascii="宋体" w:hAnsi="宋体" w:eastAsia="宋体" w:cs="宋体"/>
          <w:color w:val="auto"/>
        </w:rPr>
      </w:pPr>
      <w:r>
        <w:rPr>
          <w:rFonts w:hint="eastAsia" w:ascii="宋体" w:hAnsi="宋体" w:eastAsia="宋体" w:cs="宋体"/>
          <w:color w:val="auto"/>
          <w:sz w:val="24"/>
        </w:rPr>
        <w:t>货物项目应尽可能清晰、准确地提出对货物的需求，并对所要求提供的货物名称、 规格、数量以及单位、交货时间、交货地点、技术性能指标、检验考核要求、技术服务和售后服务要求、是否要求或允许对主要材料和关键部件进行外购等作出说明。</w:t>
      </w:r>
    </w:p>
    <w:p w14:paraId="254249E9">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服务项目应明确服务采购需求和服务工作开展条件、服务成果要求（成果文件、 周期、质量、配合技术服务要求等）等内容。</w:t>
      </w:r>
    </w:p>
    <w:p w14:paraId="7F571665">
      <w:pPr>
        <w:pageBreakBefore w:val="0"/>
        <w:kinsoku/>
        <w:overflowPunct/>
        <w:topLinePunct w:val="0"/>
        <w:bidi w:val="0"/>
        <w:snapToGrid/>
        <w:spacing w:line="360" w:lineRule="auto"/>
        <w:ind w:firstLine="480" w:firstLineChars="200"/>
        <w:jc w:val="left"/>
        <w:rPr>
          <w:rFonts w:hint="eastAsia" w:ascii="宋体" w:hAnsi="宋体" w:eastAsia="宋体" w:cs="宋体"/>
          <w:color w:val="auto"/>
          <w:sz w:val="24"/>
          <w:lang w:eastAsia="zh-CN"/>
        </w:rPr>
      </w:pPr>
      <w:r>
        <w:rPr>
          <w:rFonts w:hint="eastAsia" w:ascii="宋体" w:hAnsi="宋体" w:eastAsia="宋体" w:cs="宋体"/>
          <w:color w:val="auto"/>
          <w:sz w:val="24"/>
          <w:lang w:eastAsia="zh-CN"/>
        </w:rPr>
        <w:t>工程量清单：</w:t>
      </w:r>
    </w:p>
    <w:p w14:paraId="4B91834D">
      <w:pPr>
        <w:rPr>
          <w:rFonts w:hint="eastAsia" w:ascii="宋体" w:hAnsi="宋体" w:eastAsia="宋体" w:cs="宋体"/>
          <w:color w:val="auto"/>
          <w:sz w:val="24"/>
          <w:lang w:eastAsia="zh-CN"/>
        </w:rPr>
      </w:pPr>
      <w:r>
        <w:rPr>
          <w:rFonts w:hint="eastAsia" w:ascii="宋体" w:hAnsi="宋体" w:eastAsia="宋体" w:cs="宋体"/>
          <w:color w:val="auto"/>
          <w:sz w:val="24"/>
          <w:lang w:eastAsia="zh-CN"/>
        </w:rPr>
        <w:br w:type="page"/>
      </w:r>
    </w:p>
    <w:p w14:paraId="04EED8ED">
      <w:pPr>
        <w:pStyle w:val="2"/>
        <w:rPr>
          <w:color w:val="auto"/>
        </w:rPr>
      </w:pPr>
    </w:p>
    <w:p w14:paraId="21267C7E">
      <w:pPr>
        <w:rPr>
          <w:color w:val="auto"/>
        </w:rPr>
      </w:pPr>
      <w:r>
        <w:rPr>
          <w:color w:val="auto"/>
        </w:rPr>
        <w:drawing>
          <wp:inline distT="0" distB="0" distL="114300" distR="114300">
            <wp:extent cx="8352790" cy="6262370"/>
            <wp:effectExtent l="0" t="0" r="5080" b="635"/>
            <wp:docPr id="3" name="图片 3" descr="8a0c18148dbe8bf3e74e0a0add848e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a0c18148dbe8bf3e74e0a0add848e9d"/>
                    <pic:cNvPicPr>
                      <a:picLocks noChangeAspect="1"/>
                    </pic:cNvPicPr>
                  </pic:nvPicPr>
                  <pic:blipFill>
                    <a:blip r:embed="rId19"/>
                    <a:stretch>
                      <a:fillRect/>
                    </a:stretch>
                  </pic:blipFill>
                  <pic:spPr>
                    <a:xfrm rot="5400000">
                      <a:off x="0" y="0"/>
                      <a:ext cx="8352790" cy="6262370"/>
                    </a:xfrm>
                    <a:prstGeom prst="rect">
                      <a:avLst/>
                    </a:prstGeom>
                  </pic:spPr>
                </pic:pic>
              </a:graphicData>
            </a:graphic>
          </wp:inline>
        </w:drawing>
      </w:r>
      <w:r>
        <w:rPr>
          <w:color w:val="auto"/>
        </w:rPr>
        <w:br w:type="page"/>
      </w:r>
    </w:p>
    <w:p w14:paraId="489520DF">
      <w:pPr>
        <w:pStyle w:val="2"/>
        <w:rPr>
          <w:rFonts w:hint="eastAsia"/>
          <w:color w:val="auto"/>
          <w:lang w:eastAsia="zh-CN"/>
        </w:rPr>
      </w:pPr>
    </w:p>
    <w:p w14:paraId="6135DCAB">
      <w:pPr>
        <w:pStyle w:val="20"/>
        <w:pageBreakBefore w:val="0"/>
        <w:kinsoku/>
        <w:overflowPunct/>
        <w:topLinePunct w:val="0"/>
        <w:bidi w:val="0"/>
        <w:snapToGrid/>
        <w:spacing w:line="360" w:lineRule="auto"/>
        <w:ind w:left="0" w:leftChars="0" w:firstLine="0" w:firstLineChars="0"/>
        <w:rPr>
          <w:rFonts w:hint="eastAsia" w:ascii="宋体" w:hAnsi="宋体" w:eastAsia="宋体" w:cs="宋体"/>
          <w:color w:val="auto"/>
          <w:lang w:eastAsia="zh-CN"/>
        </w:rPr>
      </w:pPr>
      <w:r>
        <w:rPr>
          <w:color w:val="auto"/>
        </w:rPr>
        <w:drawing>
          <wp:inline distT="0" distB="0" distL="114300" distR="114300">
            <wp:extent cx="6180455" cy="8368665"/>
            <wp:effectExtent l="0" t="0" r="1270" b="3810"/>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20"/>
                    <a:stretch>
                      <a:fillRect/>
                    </a:stretch>
                  </pic:blipFill>
                  <pic:spPr>
                    <a:xfrm>
                      <a:off x="0" y="0"/>
                      <a:ext cx="6180455" cy="8368665"/>
                    </a:xfrm>
                    <a:prstGeom prst="rect">
                      <a:avLst/>
                    </a:prstGeom>
                    <a:noFill/>
                    <a:ln>
                      <a:noFill/>
                    </a:ln>
                  </pic:spPr>
                </pic:pic>
              </a:graphicData>
            </a:graphic>
          </wp:inline>
        </w:drawing>
      </w:r>
    </w:p>
    <w:p w14:paraId="5F96DC95">
      <w:pPr>
        <w:rPr>
          <w:rFonts w:hint="eastAsia"/>
          <w:color w:val="auto"/>
          <w:lang w:eastAsia="zh-CN"/>
        </w:rPr>
      </w:pPr>
      <w:r>
        <w:rPr>
          <w:color w:val="auto"/>
        </w:rPr>
        <w:drawing>
          <wp:inline distT="0" distB="0" distL="114300" distR="114300">
            <wp:extent cx="6186170" cy="8763635"/>
            <wp:effectExtent l="0" t="0" r="5080" b="889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21"/>
                    <a:stretch>
                      <a:fillRect/>
                    </a:stretch>
                  </pic:blipFill>
                  <pic:spPr>
                    <a:xfrm>
                      <a:off x="0" y="0"/>
                      <a:ext cx="6186170" cy="8763635"/>
                    </a:xfrm>
                    <a:prstGeom prst="rect">
                      <a:avLst/>
                    </a:prstGeom>
                    <a:noFill/>
                    <a:ln>
                      <a:noFill/>
                    </a:ln>
                  </pic:spPr>
                </pic:pic>
              </a:graphicData>
            </a:graphic>
          </wp:inline>
        </w:drawing>
      </w:r>
      <w:r>
        <w:rPr>
          <w:rFonts w:hint="eastAsia"/>
          <w:color w:val="auto"/>
          <w:lang w:eastAsia="zh-CN"/>
        </w:rPr>
        <w:br w:type="page"/>
      </w:r>
    </w:p>
    <w:p w14:paraId="313F300A">
      <w:pPr>
        <w:rPr>
          <w:rFonts w:hint="eastAsia"/>
          <w:color w:val="auto"/>
          <w:lang w:eastAsia="zh-CN"/>
        </w:rPr>
      </w:pPr>
      <w:r>
        <w:rPr>
          <w:color w:val="auto"/>
        </w:rPr>
        <w:drawing>
          <wp:inline distT="0" distB="0" distL="114300" distR="114300">
            <wp:extent cx="6178550" cy="8767445"/>
            <wp:effectExtent l="0" t="0" r="3175" b="508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22"/>
                    <a:stretch>
                      <a:fillRect/>
                    </a:stretch>
                  </pic:blipFill>
                  <pic:spPr>
                    <a:xfrm>
                      <a:off x="0" y="0"/>
                      <a:ext cx="6178550" cy="8767445"/>
                    </a:xfrm>
                    <a:prstGeom prst="rect">
                      <a:avLst/>
                    </a:prstGeom>
                    <a:noFill/>
                    <a:ln>
                      <a:noFill/>
                    </a:ln>
                  </pic:spPr>
                </pic:pic>
              </a:graphicData>
            </a:graphic>
          </wp:inline>
        </w:drawing>
      </w:r>
      <w:r>
        <w:rPr>
          <w:color w:val="auto"/>
        </w:rPr>
        <w:br w:type="textWrapping"/>
      </w:r>
      <w:r>
        <w:rPr>
          <w:color w:val="auto"/>
        </w:rPr>
        <w:drawing>
          <wp:inline distT="0" distB="0" distL="114300" distR="114300">
            <wp:extent cx="6187440" cy="8690610"/>
            <wp:effectExtent l="0" t="0" r="3810" b="5715"/>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23"/>
                    <a:stretch>
                      <a:fillRect/>
                    </a:stretch>
                  </pic:blipFill>
                  <pic:spPr>
                    <a:xfrm>
                      <a:off x="0" y="0"/>
                      <a:ext cx="6187440" cy="8690610"/>
                    </a:xfrm>
                    <a:prstGeom prst="rect">
                      <a:avLst/>
                    </a:prstGeom>
                    <a:noFill/>
                    <a:ln>
                      <a:noFill/>
                    </a:ln>
                  </pic:spPr>
                </pic:pic>
              </a:graphicData>
            </a:graphic>
          </wp:inline>
        </w:drawing>
      </w:r>
      <w:r>
        <w:rPr>
          <w:color w:val="auto"/>
        </w:rPr>
        <w:drawing>
          <wp:inline distT="0" distB="0" distL="114300" distR="114300">
            <wp:extent cx="6187440" cy="8669655"/>
            <wp:effectExtent l="0" t="0" r="3810" b="7620"/>
            <wp:docPr id="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pic:cNvPicPr>
                      <a:picLocks noChangeAspect="1"/>
                    </pic:cNvPicPr>
                  </pic:nvPicPr>
                  <pic:blipFill>
                    <a:blip r:embed="rId24"/>
                    <a:stretch>
                      <a:fillRect/>
                    </a:stretch>
                  </pic:blipFill>
                  <pic:spPr>
                    <a:xfrm>
                      <a:off x="0" y="0"/>
                      <a:ext cx="6187440" cy="8669655"/>
                    </a:xfrm>
                    <a:prstGeom prst="rect">
                      <a:avLst/>
                    </a:prstGeom>
                    <a:noFill/>
                    <a:ln>
                      <a:noFill/>
                    </a:ln>
                  </pic:spPr>
                </pic:pic>
              </a:graphicData>
            </a:graphic>
          </wp:inline>
        </w:drawing>
      </w:r>
      <w:r>
        <w:rPr>
          <w:color w:val="auto"/>
        </w:rPr>
        <w:drawing>
          <wp:inline distT="0" distB="0" distL="114300" distR="114300">
            <wp:extent cx="6185535" cy="8657590"/>
            <wp:effectExtent l="0" t="0" r="5715" b="635"/>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25"/>
                    <a:stretch>
                      <a:fillRect/>
                    </a:stretch>
                  </pic:blipFill>
                  <pic:spPr>
                    <a:xfrm>
                      <a:off x="0" y="0"/>
                      <a:ext cx="6185535" cy="8657590"/>
                    </a:xfrm>
                    <a:prstGeom prst="rect">
                      <a:avLst/>
                    </a:prstGeom>
                    <a:noFill/>
                    <a:ln>
                      <a:noFill/>
                    </a:ln>
                  </pic:spPr>
                </pic:pic>
              </a:graphicData>
            </a:graphic>
          </wp:inline>
        </w:drawing>
      </w:r>
      <w:r>
        <w:rPr>
          <w:color w:val="auto"/>
        </w:rPr>
        <w:drawing>
          <wp:inline distT="0" distB="0" distL="114300" distR="114300">
            <wp:extent cx="6184900" cy="8512810"/>
            <wp:effectExtent l="0" t="0" r="6350" b="2540"/>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pic:cNvPicPr>
                  </pic:nvPicPr>
                  <pic:blipFill>
                    <a:blip r:embed="rId26"/>
                    <a:stretch>
                      <a:fillRect/>
                    </a:stretch>
                  </pic:blipFill>
                  <pic:spPr>
                    <a:xfrm>
                      <a:off x="0" y="0"/>
                      <a:ext cx="6184900" cy="8512810"/>
                    </a:xfrm>
                    <a:prstGeom prst="rect">
                      <a:avLst/>
                    </a:prstGeom>
                    <a:noFill/>
                    <a:ln>
                      <a:noFill/>
                    </a:ln>
                  </pic:spPr>
                </pic:pic>
              </a:graphicData>
            </a:graphic>
          </wp:inline>
        </w:drawing>
      </w:r>
      <w:r>
        <w:rPr>
          <w:rFonts w:hint="eastAsia"/>
          <w:color w:val="auto"/>
          <w:lang w:eastAsia="zh-CN"/>
        </w:rPr>
        <w:br w:type="page"/>
      </w:r>
    </w:p>
    <w:p w14:paraId="207696F0">
      <w:pPr>
        <w:rPr>
          <w:rFonts w:hint="eastAsia"/>
          <w:color w:val="auto"/>
          <w:lang w:eastAsia="zh-CN"/>
        </w:rPr>
      </w:pPr>
    </w:p>
    <w:p w14:paraId="2E22B163">
      <w:pPr>
        <w:pStyle w:val="3"/>
        <w:pageBreakBefore w:val="0"/>
        <w:kinsoku/>
        <w:overflowPunct/>
        <w:topLinePunct w:val="0"/>
        <w:bidi w:val="0"/>
        <w:snapToGrid/>
        <w:spacing w:line="360" w:lineRule="auto"/>
        <w:jc w:val="center"/>
        <w:rPr>
          <w:rFonts w:hint="eastAsia" w:ascii="宋体" w:hAnsi="宋体" w:eastAsia="宋体" w:cs="宋体"/>
          <w:color w:val="auto"/>
        </w:rPr>
      </w:pPr>
      <w:bookmarkStart w:id="906" w:name="_Toc22860"/>
      <w:bookmarkStart w:id="907" w:name="_Toc26582"/>
      <w:r>
        <w:rPr>
          <w:rFonts w:hint="eastAsia" w:ascii="宋体" w:hAnsi="宋体" w:eastAsia="宋体" w:cs="宋体"/>
          <w:color w:val="auto"/>
        </w:rPr>
        <w:t>第六章  响应文件格式</w:t>
      </w:r>
      <w:bookmarkEnd w:id="906"/>
      <w:bookmarkEnd w:id="907"/>
    </w:p>
    <w:p w14:paraId="1F9332D4">
      <w:pPr>
        <w:pageBreakBefore w:val="0"/>
        <w:kinsoku/>
        <w:overflowPunct/>
        <w:topLinePunct w:val="0"/>
        <w:bidi w:val="0"/>
        <w:snapToGrid/>
        <w:spacing w:line="360" w:lineRule="auto"/>
        <w:ind w:firstLine="480" w:firstLineChars="200"/>
        <w:jc w:val="center"/>
        <w:rPr>
          <w:rFonts w:hint="eastAsia" w:ascii="宋体" w:hAnsi="宋体" w:eastAsia="宋体" w:cs="宋体"/>
          <w:color w:val="auto"/>
          <w:sz w:val="24"/>
        </w:rPr>
      </w:pPr>
    </w:p>
    <w:p w14:paraId="30F352AC">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sz w:val="32"/>
          <w:szCs w:val="32"/>
        </w:rPr>
      </w:pPr>
      <w:r>
        <w:rPr>
          <w:rFonts w:hint="eastAsia" w:ascii="宋体" w:hAnsi="宋体" w:eastAsia="宋体" w:cs="宋体"/>
          <w:color w:val="auto"/>
          <w:sz w:val="32"/>
          <w:szCs w:val="32"/>
          <w:u w:val="single"/>
        </w:rPr>
        <w:t>（项目名称</w:t>
      </w:r>
      <w:r>
        <w:rPr>
          <w:rFonts w:hint="eastAsia" w:ascii="宋体" w:hAnsi="宋体" w:eastAsia="宋体" w:cs="宋体"/>
          <w:color w:val="auto"/>
          <w:sz w:val="32"/>
          <w:szCs w:val="32"/>
          <w:u w:val="single"/>
          <w:lang w:eastAsia="zh-CN"/>
        </w:rPr>
        <w:t>：</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u w:val="single"/>
        </w:rPr>
        <w:t>）</w:t>
      </w:r>
    </w:p>
    <w:p w14:paraId="4AFC8A1F">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rPr>
      </w:pPr>
    </w:p>
    <w:p w14:paraId="6BDFD3F4">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color w:val="auto"/>
        </w:rPr>
      </w:pPr>
    </w:p>
    <w:p w14:paraId="26BDDC15">
      <w:pPr>
        <w:pStyle w:val="19"/>
        <w:pageBreakBefore w:val="0"/>
        <w:widowControl/>
        <w:kinsoku/>
        <w:overflowPunct/>
        <w:topLinePunct w:val="0"/>
        <w:bidi w:val="0"/>
        <w:snapToGrid/>
        <w:spacing w:beforeAutospacing="0" w:afterAutospacing="0" w:line="360" w:lineRule="auto"/>
        <w:jc w:val="both"/>
        <w:rPr>
          <w:rFonts w:hint="eastAsia" w:ascii="宋体" w:hAnsi="宋体" w:eastAsia="宋体" w:cs="宋体"/>
          <w:color w:val="auto"/>
        </w:rPr>
      </w:pPr>
    </w:p>
    <w:p w14:paraId="34A5EDC6">
      <w:pPr>
        <w:pStyle w:val="19"/>
        <w:pageBreakBefore w:val="0"/>
        <w:widowControl/>
        <w:kinsoku/>
        <w:overflowPunct/>
        <w:topLinePunct w:val="0"/>
        <w:bidi w:val="0"/>
        <w:snapToGrid/>
        <w:spacing w:beforeAutospacing="0" w:afterAutospacing="0" w:line="360" w:lineRule="auto"/>
        <w:jc w:val="both"/>
        <w:rPr>
          <w:rFonts w:hint="eastAsia" w:ascii="宋体" w:hAnsi="宋体" w:eastAsia="宋体" w:cs="宋体"/>
          <w:color w:val="auto"/>
        </w:rPr>
      </w:pPr>
    </w:p>
    <w:p w14:paraId="7B2EFB33">
      <w:pPr>
        <w:pStyle w:val="19"/>
        <w:pageBreakBefore w:val="0"/>
        <w:widowControl/>
        <w:kinsoku/>
        <w:overflowPunct/>
        <w:topLinePunct w:val="0"/>
        <w:bidi w:val="0"/>
        <w:snapToGrid/>
        <w:spacing w:beforeAutospacing="0" w:afterAutospacing="0" w:line="360" w:lineRule="auto"/>
        <w:jc w:val="center"/>
        <w:rPr>
          <w:rFonts w:hint="eastAsia" w:ascii="宋体" w:hAnsi="宋体" w:eastAsia="宋体" w:cs="宋体"/>
          <w:b/>
          <w:bCs/>
          <w:color w:val="auto"/>
          <w:sz w:val="52"/>
          <w:szCs w:val="52"/>
        </w:rPr>
      </w:pPr>
      <w:r>
        <w:rPr>
          <w:rFonts w:hint="eastAsia" w:ascii="宋体" w:hAnsi="宋体" w:eastAsia="宋体" w:cs="宋体"/>
          <w:b/>
          <w:bCs/>
          <w:color w:val="auto"/>
          <w:sz w:val="72"/>
          <w:szCs w:val="72"/>
        </w:rPr>
        <w:t>响 应 文 件</w:t>
      </w:r>
    </w:p>
    <w:p w14:paraId="2D96649D">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589C244C">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3B8DB593">
      <w:pPr>
        <w:pStyle w:val="19"/>
        <w:pageBreakBefore w:val="0"/>
        <w:widowControl/>
        <w:kinsoku/>
        <w:overflowPunct/>
        <w:topLinePunct w:val="0"/>
        <w:bidi w:val="0"/>
        <w:snapToGrid/>
        <w:spacing w:beforeAutospacing="0" w:afterAutospacing="0" w:line="360" w:lineRule="auto"/>
        <w:rPr>
          <w:rFonts w:hint="eastAsia" w:ascii="宋体" w:hAnsi="宋体" w:eastAsia="宋体" w:cs="宋体"/>
          <w:color w:val="auto"/>
        </w:rPr>
      </w:pPr>
    </w:p>
    <w:p w14:paraId="510CD978">
      <w:pPr>
        <w:pStyle w:val="19"/>
        <w:pageBreakBefore w:val="0"/>
        <w:widowControl/>
        <w:kinsoku/>
        <w:overflowPunct/>
        <w:topLinePunct w:val="0"/>
        <w:bidi w:val="0"/>
        <w:snapToGrid/>
        <w:spacing w:beforeAutospacing="0" w:afterAutospacing="0" w:line="360" w:lineRule="auto"/>
        <w:ind w:firstLine="1400" w:firstLineChars="500"/>
        <w:rPr>
          <w:rFonts w:hint="eastAsia" w:ascii="宋体" w:hAnsi="宋体" w:eastAsia="宋体" w:cs="宋体"/>
          <w:color w:val="auto"/>
          <w:sz w:val="28"/>
          <w:szCs w:val="28"/>
          <w:u w:val="single"/>
        </w:rPr>
      </w:pPr>
      <w:r>
        <w:rPr>
          <w:rFonts w:hint="eastAsia" w:ascii="宋体" w:hAnsi="宋体" w:eastAsia="宋体" w:cs="宋体"/>
          <w:color w:val="auto"/>
          <w:sz w:val="28"/>
          <w:szCs w:val="28"/>
          <w:lang w:eastAsia="zh-CN"/>
        </w:rPr>
        <w:t>询比响应人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eastAsia="zh-CN"/>
        </w:rPr>
        <w:t>（盖章）</w:t>
      </w:r>
    </w:p>
    <w:p w14:paraId="0389C9B6">
      <w:pPr>
        <w:pageBreakBefore w:val="0"/>
        <w:kinsoku/>
        <w:overflowPunct/>
        <w:topLinePunct w:val="0"/>
        <w:bidi w:val="0"/>
        <w:snapToGrid/>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月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日</w:t>
      </w:r>
    </w:p>
    <w:p w14:paraId="3559F790">
      <w:pPr>
        <w:pageBreakBefore w:val="0"/>
        <w:kinsoku/>
        <w:overflowPunct/>
        <w:topLinePunct w:val="0"/>
        <w:bidi w:val="0"/>
        <w:snapToGrid/>
        <w:spacing w:line="360" w:lineRule="auto"/>
        <w:rPr>
          <w:rFonts w:hint="eastAsia" w:ascii="宋体" w:hAnsi="宋体" w:eastAsia="宋体" w:cs="宋体"/>
          <w:color w:val="auto"/>
          <w:sz w:val="36"/>
          <w:szCs w:val="36"/>
          <w:lang w:val="en-US" w:eastAsia="zh-CN"/>
        </w:rPr>
      </w:pPr>
      <w:r>
        <w:rPr>
          <w:rFonts w:hint="eastAsia" w:ascii="宋体" w:hAnsi="宋体" w:eastAsia="宋体" w:cs="宋体"/>
          <w:color w:val="auto"/>
          <w:sz w:val="28"/>
          <w:szCs w:val="28"/>
        </w:rPr>
        <w:br w:type="page"/>
      </w:r>
    </w:p>
    <w:p w14:paraId="05D2E44A">
      <w:pPr>
        <w:pStyle w:val="4"/>
        <w:pageBreakBefore w:val="0"/>
        <w:kinsoku/>
        <w:overflowPunct/>
        <w:topLinePunct w:val="0"/>
        <w:bidi w:val="0"/>
        <w:snapToGrid/>
        <w:spacing w:line="360" w:lineRule="auto"/>
        <w:jc w:val="center"/>
        <w:rPr>
          <w:rFonts w:hint="eastAsia" w:ascii="宋体" w:hAnsi="宋体" w:eastAsia="宋体" w:cs="宋体"/>
          <w:color w:val="auto"/>
        </w:rPr>
      </w:pPr>
      <w:bookmarkStart w:id="908" w:name="_Toc17296"/>
      <w:bookmarkStart w:id="909" w:name="_Toc31557"/>
      <w:r>
        <w:rPr>
          <w:rFonts w:hint="eastAsia" w:ascii="宋体" w:hAnsi="宋体" w:eastAsia="宋体" w:cs="宋体"/>
          <w:color w:val="auto"/>
        </w:rPr>
        <w:t>目录</w:t>
      </w:r>
      <w:bookmarkEnd w:id="908"/>
      <w:bookmarkEnd w:id="909"/>
    </w:p>
    <w:p w14:paraId="54A62DE3">
      <w:pPr>
        <w:pStyle w:val="39"/>
        <w:pageBreakBefore w:val="0"/>
        <w:kinsoku/>
        <w:overflowPunct/>
        <w:topLinePunct w:val="0"/>
        <w:bidi w:val="0"/>
        <w:snapToGrid/>
        <w:spacing w:after="100" w:line="360" w:lineRule="auto"/>
        <w:jc w:val="left"/>
        <w:rPr>
          <w:rFonts w:hint="eastAsia" w:ascii="宋体" w:hAnsi="宋体" w:eastAsia="宋体" w:cs="宋体"/>
          <w:color w:val="auto"/>
          <w:sz w:val="24"/>
        </w:rPr>
      </w:pPr>
    </w:p>
    <w:p w14:paraId="1C5220E9">
      <w:pPr>
        <w:pStyle w:val="39"/>
        <w:pageBreakBefore w:val="0"/>
        <w:kinsoku/>
        <w:overflowPunct/>
        <w:topLinePunct w:val="0"/>
        <w:bidi w:val="0"/>
        <w:snapToGrid/>
        <w:spacing w:after="100" w:line="360" w:lineRule="auto"/>
        <w:jc w:val="left"/>
        <w:rPr>
          <w:rFonts w:hint="eastAsia" w:ascii="宋体" w:hAnsi="宋体" w:eastAsia="宋体" w:cs="宋体"/>
          <w:color w:val="auto"/>
        </w:rPr>
      </w:pPr>
      <w:r>
        <w:rPr>
          <w:rFonts w:hint="eastAsia" w:ascii="宋体" w:hAnsi="宋体" w:eastAsia="宋体" w:cs="宋体"/>
          <w:color w:val="auto"/>
          <w:sz w:val="24"/>
        </w:rPr>
        <w:t>一、响应函</w:t>
      </w:r>
    </w:p>
    <w:p w14:paraId="3C23880A">
      <w:pPr>
        <w:pStyle w:val="39"/>
        <w:pageBreakBefore w:val="0"/>
        <w:kinsoku/>
        <w:overflowPunct/>
        <w:topLinePunct w:val="0"/>
        <w:bidi w:val="0"/>
        <w:snapToGrid/>
        <w:spacing w:after="100" w:line="360" w:lineRule="auto"/>
        <w:jc w:val="left"/>
        <w:rPr>
          <w:rFonts w:hint="eastAsia" w:ascii="宋体" w:hAnsi="宋体" w:eastAsia="宋体" w:cs="宋体"/>
          <w:color w:val="auto"/>
        </w:rPr>
      </w:pPr>
      <w:r>
        <w:rPr>
          <w:rFonts w:hint="eastAsia" w:ascii="宋体" w:hAnsi="宋体" w:eastAsia="宋体" w:cs="宋体"/>
          <w:color w:val="auto"/>
          <w:sz w:val="24"/>
        </w:rPr>
        <w:t>二、授权委托书（适用于有委托代理人的情况）</w:t>
      </w:r>
    </w:p>
    <w:p w14:paraId="78998353">
      <w:pPr>
        <w:pStyle w:val="39"/>
        <w:pageBreakBefore w:val="0"/>
        <w:kinsoku/>
        <w:overflowPunct/>
        <w:topLinePunct w:val="0"/>
        <w:bidi w:val="0"/>
        <w:snapToGrid/>
        <w:spacing w:line="360" w:lineRule="auto"/>
        <w:jc w:val="left"/>
        <w:rPr>
          <w:rFonts w:hint="eastAsia" w:ascii="宋体" w:hAnsi="宋体" w:eastAsia="宋体" w:cs="宋体"/>
          <w:color w:val="auto"/>
        </w:rPr>
      </w:pPr>
      <w:r>
        <w:rPr>
          <w:rFonts w:hint="eastAsia" w:ascii="宋体" w:hAnsi="宋体" w:eastAsia="宋体" w:cs="宋体"/>
          <w:color w:val="auto"/>
          <w:sz w:val="24"/>
        </w:rPr>
        <w:t>三、联合体协议书（适用于</w:t>
      </w:r>
      <w:r>
        <w:rPr>
          <w:rFonts w:hint="eastAsia" w:ascii="宋体" w:hAnsi="宋体" w:eastAsia="宋体" w:cs="宋体"/>
          <w:color w:val="auto"/>
          <w:sz w:val="24"/>
          <w:lang w:eastAsia="zh-CN"/>
        </w:rPr>
        <w:t>询比响应人</w:t>
      </w:r>
      <w:r>
        <w:rPr>
          <w:rFonts w:hint="eastAsia" w:ascii="宋体" w:hAnsi="宋体" w:eastAsia="宋体" w:cs="宋体"/>
          <w:color w:val="auto"/>
          <w:sz w:val="24"/>
        </w:rPr>
        <w:t>组成联合体的情况）</w:t>
      </w:r>
    </w:p>
    <w:p w14:paraId="6C009AFA">
      <w:pPr>
        <w:pStyle w:val="39"/>
        <w:pageBreakBefore w:val="0"/>
        <w:kinsoku/>
        <w:overflowPunct/>
        <w:topLinePunct w:val="0"/>
        <w:bidi w:val="0"/>
        <w:snapToGrid/>
        <w:spacing w:after="100" w:line="360" w:lineRule="auto"/>
        <w:jc w:val="left"/>
        <w:rPr>
          <w:rFonts w:hint="eastAsia" w:ascii="宋体" w:hAnsi="宋体" w:eastAsia="宋体" w:cs="宋体"/>
          <w:color w:val="auto"/>
        </w:rPr>
      </w:pPr>
      <w:r>
        <w:rPr>
          <w:rFonts w:hint="eastAsia" w:ascii="宋体" w:hAnsi="宋体" w:eastAsia="宋体" w:cs="宋体"/>
          <w:color w:val="auto"/>
          <w:sz w:val="24"/>
        </w:rPr>
        <w:t>四、响应保证金（适用于递交响应保证金的情况）</w:t>
      </w:r>
    </w:p>
    <w:p w14:paraId="47D06C43">
      <w:pPr>
        <w:pStyle w:val="39"/>
        <w:pageBreakBefore w:val="0"/>
        <w:tabs>
          <w:tab w:val="left" w:pos="782"/>
        </w:tabs>
        <w:kinsoku/>
        <w:overflowPunct/>
        <w:topLinePunct w:val="0"/>
        <w:bidi w:val="0"/>
        <w:snapToGrid/>
        <w:spacing w:after="100" w:line="360" w:lineRule="auto"/>
        <w:rPr>
          <w:rFonts w:hint="eastAsia" w:ascii="宋体" w:hAnsi="宋体" w:eastAsia="宋体" w:cs="宋体"/>
          <w:color w:val="auto"/>
        </w:rPr>
      </w:pPr>
      <w:bookmarkStart w:id="910" w:name="bookmark533"/>
      <w:r>
        <w:rPr>
          <w:rFonts w:hint="eastAsia" w:ascii="宋体" w:hAnsi="宋体" w:eastAsia="宋体" w:cs="宋体"/>
          <w:color w:val="auto"/>
          <w:sz w:val="24"/>
        </w:rPr>
        <w:t>五</w:t>
      </w:r>
      <w:bookmarkEnd w:id="910"/>
      <w:r>
        <w:rPr>
          <w:rFonts w:hint="eastAsia" w:ascii="宋体" w:hAnsi="宋体" w:eastAsia="宋体" w:cs="宋体"/>
          <w:color w:val="auto"/>
          <w:sz w:val="24"/>
        </w:rPr>
        <w:t>、商务和技术偏差表</w:t>
      </w:r>
    </w:p>
    <w:p w14:paraId="6123A2AE">
      <w:pPr>
        <w:pStyle w:val="39"/>
        <w:pageBreakBefore w:val="0"/>
        <w:tabs>
          <w:tab w:val="left" w:pos="786"/>
        </w:tabs>
        <w:kinsoku/>
        <w:overflowPunct/>
        <w:topLinePunct w:val="0"/>
        <w:bidi w:val="0"/>
        <w:snapToGrid/>
        <w:spacing w:after="100" w:line="360" w:lineRule="auto"/>
        <w:rPr>
          <w:rFonts w:hint="eastAsia" w:ascii="宋体" w:hAnsi="宋体" w:eastAsia="宋体" w:cs="宋体"/>
          <w:color w:val="auto"/>
        </w:rPr>
      </w:pPr>
      <w:bookmarkStart w:id="911" w:name="bookmark534"/>
      <w:r>
        <w:rPr>
          <w:rFonts w:hint="eastAsia" w:ascii="宋体" w:hAnsi="宋体" w:eastAsia="宋体" w:cs="宋体"/>
          <w:color w:val="auto"/>
          <w:sz w:val="24"/>
        </w:rPr>
        <w:t>六</w:t>
      </w:r>
      <w:bookmarkEnd w:id="911"/>
      <w:r>
        <w:rPr>
          <w:rFonts w:hint="eastAsia" w:ascii="宋体" w:hAnsi="宋体" w:eastAsia="宋体" w:cs="宋体"/>
          <w:color w:val="auto"/>
          <w:sz w:val="24"/>
        </w:rPr>
        <w:t>、报价表</w:t>
      </w:r>
      <w:r>
        <w:rPr>
          <w:rFonts w:hint="eastAsia" w:ascii="宋体" w:hAnsi="宋体" w:eastAsia="宋体" w:cs="宋体"/>
          <w:color w:val="auto"/>
          <w:sz w:val="24"/>
          <w:lang w:val="en-US" w:eastAsia="zh-CN" w:bidi="en-US"/>
        </w:rPr>
        <w:t>（A）</w:t>
      </w:r>
    </w:p>
    <w:p w14:paraId="50AB08BC">
      <w:pPr>
        <w:pStyle w:val="39"/>
        <w:pageBreakBefore w:val="0"/>
        <w:tabs>
          <w:tab w:val="left" w:pos="786"/>
        </w:tabs>
        <w:kinsoku/>
        <w:overflowPunct/>
        <w:topLinePunct w:val="0"/>
        <w:bidi w:val="0"/>
        <w:snapToGrid/>
        <w:spacing w:after="100" w:line="360" w:lineRule="auto"/>
        <w:rPr>
          <w:rFonts w:hint="eastAsia" w:ascii="宋体" w:hAnsi="宋体" w:eastAsia="宋体" w:cs="宋体"/>
          <w:color w:val="auto"/>
        </w:rPr>
      </w:pPr>
      <w:bookmarkStart w:id="912" w:name="bookmark537"/>
      <w:r>
        <w:rPr>
          <w:rFonts w:hint="eastAsia" w:ascii="宋体" w:hAnsi="宋体" w:eastAsia="宋体" w:cs="宋体"/>
          <w:color w:val="auto"/>
          <w:sz w:val="24"/>
        </w:rPr>
        <w:t>七</w:t>
      </w:r>
      <w:bookmarkEnd w:id="912"/>
      <w:r>
        <w:rPr>
          <w:rFonts w:hint="eastAsia" w:ascii="宋体" w:hAnsi="宋体" w:eastAsia="宋体" w:cs="宋体"/>
          <w:color w:val="auto"/>
          <w:sz w:val="24"/>
        </w:rPr>
        <w:t>、资格审查资料</w:t>
      </w:r>
      <w:r>
        <w:rPr>
          <w:rFonts w:hint="eastAsia" w:ascii="宋体" w:hAnsi="宋体" w:eastAsia="宋体" w:cs="宋体"/>
          <w:color w:val="auto"/>
          <w:sz w:val="24"/>
          <w:lang w:val="en-US" w:eastAsia="zh-CN" w:bidi="en-US"/>
        </w:rPr>
        <w:t>（A）</w:t>
      </w:r>
    </w:p>
    <w:p w14:paraId="08F90C89">
      <w:pPr>
        <w:pStyle w:val="39"/>
        <w:pageBreakBefore w:val="0"/>
        <w:tabs>
          <w:tab w:val="left" w:pos="791"/>
        </w:tabs>
        <w:kinsoku/>
        <w:overflowPunct/>
        <w:topLinePunct w:val="0"/>
        <w:bidi w:val="0"/>
        <w:snapToGrid/>
        <w:spacing w:after="100" w:line="360" w:lineRule="auto"/>
        <w:jc w:val="left"/>
        <w:rPr>
          <w:rFonts w:hint="eastAsia" w:ascii="宋体" w:hAnsi="宋体" w:eastAsia="宋体" w:cs="宋体"/>
          <w:color w:val="auto"/>
        </w:rPr>
      </w:pPr>
      <w:bookmarkStart w:id="913" w:name="bookmark540"/>
      <w:r>
        <w:rPr>
          <w:rFonts w:hint="eastAsia" w:ascii="宋体" w:hAnsi="宋体" w:eastAsia="宋体" w:cs="宋体"/>
          <w:color w:val="auto"/>
          <w:sz w:val="24"/>
        </w:rPr>
        <w:t>八</w:t>
      </w:r>
      <w:bookmarkEnd w:id="913"/>
      <w:r>
        <w:rPr>
          <w:rFonts w:hint="eastAsia" w:ascii="宋体" w:hAnsi="宋体" w:eastAsia="宋体" w:cs="宋体"/>
          <w:color w:val="auto"/>
          <w:sz w:val="24"/>
        </w:rPr>
        <w:t>、响应方案</w:t>
      </w:r>
      <w:r>
        <w:rPr>
          <w:rFonts w:hint="eastAsia" w:ascii="宋体" w:hAnsi="宋体" w:eastAsia="宋体" w:cs="宋体"/>
          <w:color w:val="auto"/>
          <w:sz w:val="24"/>
          <w:lang w:val="en-US" w:eastAsia="zh-CN" w:bidi="en-US"/>
        </w:rPr>
        <w:t>（A）</w:t>
      </w:r>
    </w:p>
    <w:p w14:paraId="5146E0A3">
      <w:pPr>
        <w:pageBreakBefore w:val="0"/>
        <w:kinsoku/>
        <w:overflowPunct/>
        <w:topLinePunct w:val="0"/>
        <w:bidi w:val="0"/>
        <w:snapToGrid/>
        <w:spacing w:line="360" w:lineRule="auto"/>
        <w:rPr>
          <w:rFonts w:hint="eastAsia" w:ascii="宋体" w:hAnsi="宋体" w:eastAsia="宋体" w:cs="宋体"/>
          <w:color w:val="auto"/>
          <w:sz w:val="24"/>
        </w:rPr>
      </w:pPr>
      <w:bookmarkStart w:id="914" w:name="bookmark543"/>
      <w:r>
        <w:rPr>
          <w:rFonts w:hint="eastAsia" w:ascii="宋体" w:hAnsi="宋体" w:eastAsia="宋体" w:cs="宋体"/>
          <w:color w:val="auto"/>
          <w:sz w:val="24"/>
        </w:rPr>
        <w:t>九</w:t>
      </w:r>
      <w:bookmarkEnd w:id="914"/>
      <w:r>
        <w:rPr>
          <w:rFonts w:hint="eastAsia" w:ascii="宋体" w:hAnsi="宋体" w:eastAsia="宋体" w:cs="宋体"/>
          <w:color w:val="auto"/>
          <w:sz w:val="24"/>
        </w:rPr>
        <w:t>、其他资料</w:t>
      </w:r>
    </w:p>
    <w:p w14:paraId="5676BF61">
      <w:pPr>
        <w:pageBreakBefore w:val="0"/>
        <w:kinsoku/>
        <w:overflowPunct/>
        <w:topLinePunct w:val="0"/>
        <w:bidi w:val="0"/>
        <w:snapToGrid/>
        <w:spacing w:line="360" w:lineRule="auto"/>
        <w:rPr>
          <w:rFonts w:hint="eastAsia" w:ascii="宋体" w:hAnsi="宋体" w:eastAsia="宋体" w:cs="宋体"/>
          <w:color w:val="auto"/>
          <w:sz w:val="24"/>
        </w:rPr>
      </w:pPr>
      <w:r>
        <w:rPr>
          <w:rFonts w:hint="eastAsia" w:ascii="宋体" w:hAnsi="宋体" w:eastAsia="宋体" w:cs="宋体"/>
          <w:color w:val="auto"/>
          <w:sz w:val="24"/>
        </w:rPr>
        <w:br w:type="page"/>
      </w:r>
    </w:p>
    <w:p w14:paraId="3BEFCC57">
      <w:pPr>
        <w:pStyle w:val="4"/>
        <w:pageBreakBefore w:val="0"/>
        <w:kinsoku/>
        <w:overflowPunct/>
        <w:topLinePunct w:val="0"/>
        <w:bidi w:val="0"/>
        <w:snapToGrid/>
        <w:spacing w:line="360" w:lineRule="auto"/>
        <w:jc w:val="center"/>
        <w:rPr>
          <w:rFonts w:hint="eastAsia" w:ascii="宋体" w:hAnsi="宋体" w:eastAsia="宋体" w:cs="宋体"/>
          <w:color w:val="auto"/>
          <w:sz w:val="24"/>
          <w:u w:val="single"/>
          <w:lang w:val="en-US" w:eastAsia="zh-CN"/>
        </w:rPr>
      </w:pPr>
      <w:bookmarkStart w:id="915" w:name="_Toc8726"/>
      <w:bookmarkStart w:id="916" w:name="_Toc13078"/>
      <w:r>
        <w:rPr>
          <w:rFonts w:hint="eastAsia" w:ascii="宋体" w:hAnsi="宋体" w:eastAsia="宋体" w:cs="宋体"/>
          <w:color w:val="auto"/>
        </w:rPr>
        <w:t>—、响应函</w:t>
      </w:r>
      <w:bookmarkEnd w:id="915"/>
      <w:bookmarkEnd w:id="916"/>
    </w:p>
    <w:p w14:paraId="620F0194">
      <w:pPr>
        <w:pStyle w:val="39"/>
        <w:pageBreakBefore w:val="0"/>
        <w:tabs>
          <w:tab w:val="left" w:leader="underscore" w:pos="1829"/>
        </w:tabs>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w:t>
      </w:r>
      <w:r>
        <w:rPr>
          <w:rFonts w:hint="eastAsia" w:cs="宋体"/>
          <w:color w:val="auto"/>
          <w:sz w:val="24"/>
          <w:u w:val="single"/>
          <w:lang w:val="en-US" w:eastAsia="zh-CN"/>
        </w:rPr>
        <w:t>采购人</w:t>
      </w:r>
      <w:r>
        <w:rPr>
          <w:rFonts w:hint="eastAsia" w:ascii="宋体" w:hAnsi="宋体" w:eastAsia="宋体" w:cs="宋体"/>
          <w:color w:val="auto"/>
          <w:sz w:val="24"/>
          <w:u w:val="single"/>
        </w:rPr>
        <w:t>名称):</w:t>
      </w:r>
    </w:p>
    <w:p w14:paraId="2DC89B8A">
      <w:pPr>
        <w:pStyle w:val="39"/>
        <w:pageBreakBefore w:val="0"/>
        <w:numPr>
          <w:ilvl w:val="0"/>
          <w:numId w:val="11"/>
        </w:numPr>
        <w:tabs>
          <w:tab w:val="left" w:pos="913"/>
          <w:tab w:val="left" w:pos="1925"/>
          <w:tab w:val="left" w:pos="4613"/>
          <w:tab w:val="left" w:pos="4814"/>
          <w:tab w:val="left" w:pos="5035"/>
          <w:tab w:val="left" w:pos="6763"/>
        </w:tabs>
        <w:kinsoku/>
        <w:overflowPunct/>
        <w:topLinePunct w:val="0"/>
        <w:bidi w:val="0"/>
        <w:snapToGrid/>
        <w:spacing w:line="360" w:lineRule="auto"/>
        <w:ind w:firstLine="480"/>
        <w:rPr>
          <w:rFonts w:hint="eastAsia" w:ascii="宋体" w:hAnsi="宋体" w:eastAsia="宋体" w:cs="宋体"/>
          <w:color w:val="auto"/>
        </w:rPr>
      </w:pPr>
      <w:bookmarkStart w:id="917" w:name="bookmark547"/>
      <w:bookmarkEnd w:id="917"/>
      <w:r>
        <w:rPr>
          <w:rFonts w:hint="eastAsia" w:ascii="宋体" w:hAnsi="宋体" w:eastAsia="宋体" w:cs="宋体"/>
          <w:color w:val="auto"/>
          <w:sz w:val="24"/>
        </w:rPr>
        <w:t>我方已仔细研究了</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sz w:val="24"/>
          <w:u w:val="single"/>
        </w:rPr>
        <w:t>(项目名称)</w:t>
      </w:r>
      <w:r>
        <w:rPr>
          <w:rFonts w:hint="eastAsia" w:ascii="宋体" w:hAnsi="宋体" w:eastAsia="宋体" w:cs="宋体"/>
          <w:color w:val="auto"/>
          <w:sz w:val="24"/>
        </w:rPr>
        <w:t>采购文件的全部内容，愿意以含税价人民币(大写)</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cs="宋体"/>
          <w:color w:val="auto"/>
          <w:u w:val="single"/>
          <w:lang w:val="en-US" w:eastAsia="zh-CN"/>
        </w:rPr>
        <w:t xml:space="preserve">         </w:t>
      </w:r>
      <w:r>
        <w:rPr>
          <w:rFonts w:hint="eastAsia" w:ascii="宋体" w:hAnsi="宋体" w:eastAsia="宋体" w:cs="宋体"/>
          <w:color w:val="auto"/>
          <w:sz w:val="24"/>
        </w:rPr>
        <w:t xml:space="preserve"> (¥</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sz w:val="24"/>
        </w:rPr>
        <w:t xml:space="preserve"> )的报价(其中不含税价为</w:t>
      </w:r>
      <w:r>
        <w:rPr>
          <w:rFonts w:hint="eastAsia" w:ascii="宋体" w:hAnsi="宋体" w:eastAsia="宋体" w:cs="宋体"/>
          <w:color w:val="auto"/>
          <w:sz w:val="24"/>
          <w:lang w:eastAsia="zh-CN"/>
        </w:rPr>
        <w:t>：</w:t>
      </w:r>
      <w:r>
        <w:rPr>
          <w:rFonts w:hint="eastAsia" w:ascii="宋体" w:hAnsi="宋体" w:eastAsia="宋体" w:cs="宋体"/>
          <w:color w:val="auto"/>
          <w:sz w:val="24"/>
          <w:u w:val="single"/>
          <w:lang w:val="en-US" w:eastAsia="zh-CN"/>
        </w:rPr>
        <w:t xml:space="preserve">    </w:t>
      </w:r>
      <w:r>
        <w:rPr>
          <w:rFonts w:hint="eastAsia" w:cs="宋体"/>
          <w:color w:val="auto"/>
          <w:sz w:val="24"/>
          <w:u w:val="single"/>
          <w:lang w:val="en-US" w:eastAsia="zh-CN"/>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rPr>
        <w:t>;增值税税额为：</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rPr>
        <w:t>)完成提供本项目工程，并按合同约定履行义务。</w:t>
      </w:r>
    </w:p>
    <w:p w14:paraId="3CA20CE0">
      <w:pPr>
        <w:pStyle w:val="39"/>
        <w:pageBreakBefore w:val="0"/>
        <w:numPr>
          <w:ilvl w:val="0"/>
          <w:numId w:val="11"/>
        </w:numPr>
        <w:tabs>
          <w:tab w:val="left" w:pos="913"/>
          <w:tab w:val="left" w:pos="1925"/>
          <w:tab w:val="left" w:pos="4613"/>
          <w:tab w:val="left" w:pos="4814"/>
          <w:tab w:val="left" w:pos="5035"/>
          <w:tab w:val="left" w:pos="6763"/>
        </w:tabs>
        <w:kinsoku/>
        <w:overflowPunct/>
        <w:topLinePunct w:val="0"/>
        <w:bidi w:val="0"/>
        <w:snapToGrid/>
        <w:spacing w:line="360" w:lineRule="auto"/>
        <w:ind w:firstLine="480"/>
        <w:rPr>
          <w:rFonts w:hint="eastAsia" w:ascii="宋体" w:hAnsi="宋体" w:eastAsia="宋体" w:cs="宋体"/>
          <w:color w:val="auto"/>
        </w:rPr>
      </w:pPr>
      <w:r>
        <w:rPr>
          <w:rFonts w:hint="eastAsia" w:cs="宋体"/>
          <w:color w:val="auto"/>
          <w:sz w:val="24"/>
          <w:lang w:eastAsia="zh-CN"/>
        </w:rPr>
        <w:t>工期：</w:t>
      </w:r>
      <w:r>
        <w:rPr>
          <w:rFonts w:hint="eastAsia" w:cs="宋体"/>
          <w:color w:val="auto"/>
          <w:sz w:val="24"/>
          <w:u w:val="single"/>
          <w:lang w:val="en-US" w:eastAsia="zh-CN"/>
        </w:rPr>
        <w:t xml:space="preserve">                   </w:t>
      </w:r>
      <w:r>
        <w:rPr>
          <w:rFonts w:hint="eastAsia" w:cs="宋体"/>
          <w:color w:val="auto"/>
          <w:sz w:val="24"/>
          <w:lang w:val="en-US" w:eastAsia="zh-CN"/>
        </w:rPr>
        <w:t xml:space="preserve"> ；质量保修期：</w:t>
      </w:r>
      <w:r>
        <w:rPr>
          <w:rFonts w:hint="eastAsia" w:cs="宋体"/>
          <w:color w:val="auto"/>
          <w:sz w:val="24"/>
          <w:u w:val="single"/>
          <w:lang w:val="en-US" w:eastAsia="zh-CN"/>
        </w:rPr>
        <w:t xml:space="preserve">                   </w:t>
      </w:r>
      <w:r>
        <w:rPr>
          <w:rFonts w:hint="eastAsia" w:cs="宋体"/>
          <w:color w:val="auto"/>
          <w:sz w:val="24"/>
          <w:lang w:val="en-US" w:eastAsia="zh-CN"/>
        </w:rPr>
        <w:t xml:space="preserve"> ；</w:t>
      </w:r>
    </w:p>
    <w:p w14:paraId="32A4BD9A">
      <w:pPr>
        <w:pStyle w:val="39"/>
        <w:pageBreakBefore w:val="0"/>
        <w:numPr>
          <w:ilvl w:val="0"/>
          <w:numId w:val="11"/>
        </w:numPr>
        <w:tabs>
          <w:tab w:val="left" w:pos="913"/>
        </w:tabs>
        <w:kinsoku/>
        <w:overflowPunct/>
        <w:topLinePunct w:val="0"/>
        <w:bidi w:val="0"/>
        <w:snapToGrid/>
        <w:spacing w:line="360" w:lineRule="auto"/>
        <w:ind w:firstLine="480"/>
        <w:rPr>
          <w:rFonts w:hint="eastAsia" w:ascii="宋体" w:hAnsi="宋体" w:eastAsia="宋体" w:cs="宋体"/>
          <w:color w:val="auto"/>
        </w:rPr>
      </w:pPr>
      <w:bookmarkStart w:id="918" w:name="bookmark548"/>
      <w:bookmarkEnd w:id="918"/>
      <w:r>
        <w:rPr>
          <w:rFonts w:hint="eastAsia" w:ascii="宋体" w:hAnsi="宋体" w:eastAsia="宋体" w:cs="宋体"/>
          <w:color w:val="auto"/>
          <w:sz w:val="24"/>
        </w:rPr>
        <w:t>我方的响应文件包括下列内容：</w:t>
      </w:r>
    </w:p>
    <w:p w14:paraId="00366D87">
      <w:pPr>
        <w:pStyle w:val="39"/>
        <w:pageBreakBefore w:val="0"/>
        <w:numPr>
          <w:ilvl w:val="0"/>
          <w:numId w:val="12"/>
        </w:numPr>
        <w:tabs>
          <w:tab w:val="left" w:pos="1006"/>
        </w:tabs>
        <w:kinsoku/>
        <w:overflowPunct/>
        <w:topLinePunct w:val="0"/>
        <w:bidi w:val="0"/>
        <w:snapToGrid/>
        <w:spacing w:line="360" w:lineRule="auto"/>
        <w:ind w:firstLine="480"/>
        <w:rPr>
          <w:rFonts w:hint="eastAsia" w:ascii="宋体" w:hAnsi="宋体" w:eastAsia="宋体" w:cs="宋体"/>
          <w:color w:val="auto"/>
        </w:rPr>
      </w:pPr>
      <w:bookmarkStart w:id="919" w:name="bookmark549"/>
      <w:bookmarkEnd w:id="919"/>
      <w:r>
        <w:rPr>
          <w:rFonts w:hint="eastAsia" w:ascii="宋体" w:hAnsi="宋体" w:eastAsia="宋体" w:cs="宋体"/>
          <w:color w:val="auto"/>
          <w:sz w:val="24"/>
        </w:rPr>
        <w:t>响应函；</w:t>
      </w:r>
    </w:p>
    <w:p w14:paraId="0037525F">
      <w:pPr>
        <w:pStyle w:val="39"/>
        <w:pageBreakBefore w:val="0"/>
        <w:numPr>
          <w:ilvl w:val="0"/>
          <w:numId w:val="12"/>
        </w:numPr>
        <w:tabs>
          <w:tab w:val="left" w:pos="1006"/>
        </w:tabs>
        <w:kinsoku/>
        <w:overflowPunct/>
        <w:topLinePunct w:val="0"/>
        <w:bidi w:val="0"/>
        <w:snapToGrid/>
        <w:spacing w:line="360" w:lineRule="auto"/>
        <w:ind w:firstLine="480"/>
        <w:rPr>
          <w:rFonts w:hint="eastAsia" w:ascii="宋体" w:hAnsi="宋体" w:eastAsia="宋体" w:cs="宋体"/>
          <w:color w:val="auto"/>
        </w:rPr>
      </w:pPr>
      <w:bookmarkStart w:id="920" w:name="bookmark550"/>
      <w:bookmarkEnd w:id="920"/>
      <w:r>
        <w:rPr>
          <w:rFonts w:hint="eastAsia" w:ascii="宋体" w:hAnsi="宋体" w:eastAsia="宋体" w:cs="宋体"/>
          <w:color w:val="auto"/>
          <w:sz w:val="24"/>
        </w:rPr>
        <w:t>授权委托书(如有)；</w:t>
      </w:r>
    </w:p>
    <w:p w14:paraId="2CAF7D10">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bookmarkStart w:id="921" w:name="bookmark551"/>
      <w:bookmarkEnd w:id="921"/>
      <w:r>
        <w:rPr>
          <w:rFonts w:hint="eastAsia" w:ascii="宋体" w:hAnsi="宋体" w:eastAsia="宋体" w:cs="宋体"/>
          <w:color w:val="auto"/>
          <w:sz w:val="24"/>
        </w:rPr>
        <w:t>联合体协议书(如有)；</w:t>
      </w:r>
    </w:p>
    <w:p w14:paraId="657B5D84">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bookmarkStart w:id="922" w:name="bookmark552"/>
      <w:bookmarkEnd w:id="922"/>
      <w:r>
        <w:rPr>
          <w:rFonts w:hint="eastAsia" w:ascii="宋体" w:hAnsi="宋体" w:eastAsia="宋体" w:cs="宋体"/>
          <w:color w:val="auto"/>
          <w:sz w:val="24"/>
        </w:rPr>
        <w:t>响应保证金(如有)；</w:t>
      </w:r>
    </w:p>
    <w:p w14:paraId="4730D3CB">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bookmarkStart w:id="923" w:name="bookmark553"/>
      <w:bookmarkEnd w:id="923"/>
      <w:r>
        <w:rPr>
          <w:rFonts w:hint="eastAsia" w:ascii="宋体" w:hAnsi="宋体" w:eastAsia="宋体" w:cs="宋体"/>
          <w:color w:val="auto"/>
          <w:sz w:val="24"/>
        </w:rPr>
        <w:t>商务和技术偏差表；</w:t>
      </w:r>
    </w:p>
    <w:p w14:paraId="5B0059DF">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bookmarkStart w:id="924" w:name="bookmark554"/>
      <w:bookmarkEnd w:id="924"/>
      <w:r>
        <w:rPr>
          <w:rFonts w:hint="eastAsia" w:ascii="宋体" w:hAnsi="宋体" w:eastAsia="宋体" w:cs="宋体"/>
          <w:color w:val="auto"/>
          <w:sz w:val="24"/>
        </w:rPr>
        <w:t>报价表；</w:t>
      </w:r>
    </w:p>
    <w:p w14:paraId="66D5280D">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bookmarkStart w:id="925" w:name="bookmark555"/>
      <w:bookmarkEnd w:id="925"/>
      <w:r>
        <w:rPr>
          <w:rFonts w:hint="eastAsia" w:ascii="宋体" w:hAnsi="宋体" w:eastAsia="宋体" w:cs="宋体"/>
          <w:color w:val="auto"/>
          <w:sz w:val="24"/>
        </w:rPr>
        <w:t>资格审查资料；</w:t>
      </w:r>
    </w:p>
    <w:p w14:paraId="2358C66B">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bookmarkStart w:id="926" w:name="bookmark556"/>
      <w:bookmarkEnd w:id="926"/>
      <w:r>
        <w:rPr>
          <w:rFonts w:hint="eastAsia" w:ascii="宋体" w:hAnsi="宋体" w:eastAsia="宋体" w:cs="宋体"/>
          <w:color w:val="auto"/>
          <w:sz w:val="24"/>
        </w:rPr>
        <w:t>响应方案；</w:t>
      </w:r>
    </w:p>
    <w:p w14:paraId="7C762D4E">
      <w:pPr>
        <w:pStyle w:val="39"/>
        <w:pageBreakBefore w:val="0"/>
        <w:numPr>
          <w:ilvl w:val="0"/>
          <w:numId w:val="12"/>
        </w:numPr>
        <w:tabs>
          <w:tab w:val="left" w:pos="1011"/>
        </w:tabs>
        <w:kinsoku/>
        <w:overflowPunct/>
        <w:topLinePunct w:val="0"/>
        <w:bidi w:val="0"/>
        <w:snapToGrid/>
        <w:spacing w:line="360" w:lineRule="auto"/>
        <w:ind w:firstLine="480"/>
        <w:rPr>
          <w:rFonts w:hint="eastAsia" w:ascii="宋体" w:hAnsi="宋体" w:eastAsia="宋体" w:cs="宋体"/>
          <w:color w:val="auto"/>
        </w:rPr>
      </w:pPr>
      <w:r>
        <w:rPr>
          <w:rFonts w:hint="eastAsia" w:ascii="宋体" w:hAnsi="宋体" w:eastAsia="宋体" w:cs="宋体"/>
          <w:color w:val="auto"/>
          <w:sz w:val="24"/>
          <w:lang w:val="en-US" w:eastAsia="zh-CN"/>
        </w:rPr>
        <w:t>其他资料；</w:t>
      </w:r>
    </w:p>
    <w:p w14:paraId="268A6E0A">
      <w:pPr>
        <w:pStyle w:val="39"/>
        <w:pageBreakBefore w:val="0"/>
        <w:kinsoku/>
        <w:overflowPunct/>
        <w:topLinePunct w:val="0"/>
        <w:bidi w:val="0"/>
        <w:snapToGrid/>
        <w:spacing w:line="360" w:lineRule="auto"/>
        <w:ind w:firstLine="460"/>
        <w:jc w:val="left"/>
        <w:rPr>
          <w:rFonts w:hint="eastAsia" w:ascii="宋体" w:hAnsi="宋体" w:eastAsia="宋体" w:cs="宋体"/>
          <w:color w:val="auto"/>
          <w:sz w:val="24"/>
          <w:lang w:val="en-US" w:eastAsia="zh-CN" w:bidi="en-US"/>
        </w:rPr>
      </w:pPr>
      <w:r>
        <w:rPr>
          <w:rFonts w:hint="eastAsia" w:ascii="宋体" w:hAnsi="宋体" w:eastAsia="宋体" w:cs="宋体"/>
          <w:color w:val="auto"/>
          <w:sz w:val="24"/>
          <w:lang w:val="en-US" w:eastAsia="zh-CN" w:bidi="en-US"/>
        </w:rPr>
        <w:t>……</w:t>
      </w:r>
    </w:p>
    <w:p w14:paraId="43E5988B">
      <w:pPr>
        <w:pStyle w:val="39"/>
        <w:pageBreakBefore w:val="0"/>
        <w:kinsoku/>
        <w:overflowPunct/>
        <w:topLinePunct w:val="0"/>
        <w:bidi w:val="0"/>
        <w:snapToGrid/>
        <w:spacing w:line="360" w:lineRule="auto"/>
        <w:ind w:firstLine="460"/>
        <w:jc w:val="left"/>
        <w:rPr>
          <w:rFonts w:hint="eastAsia" w:ascii="宋体" w:hAnsi="宋体" w:eastAsia="宋体" w:cs="宋体"/>
          <w:color w:val="auto"/>
        </w:rPr>
      </w:pPr>
      <w:r>
        <w:rPr>
          <w:rFonts w:hint="eastAsia" w:ascii="宋体" w:hAnsi="宋体" w:eastAsia="宋体" w:cs="宋体"/>
          <w:color w:val="auto"/>
          <w:sz w:val="24"/>
        </w:rPr>
        <w:t>响应文件的上述组成部分如存在内容不一致的，以响应函为准。</w:t>
      </w:r>
    </w:p>
    <w:p w14:paraId="469F4487">
      <w:pPr>
        <w:pStyle w:val="39"/>
        <w:pageBreakBefore w:val="0"/>
        <w:numPr>
          <w:ilvl w:val="0"/>
          <w:numId w:val="11"/>
        </w:numPr>
        <w:tabs>
          <w:tab w:val="left" w:pos="913"/>
        </w:tabs>
        <w:kinsoku/>
        <w:overflowPunct/>
        <w:topLinePunct w:val="0"/>
        <w:bidi w:val="0"/>
        <w:snapToGrid/>
        <w:spacing w:line="360" w:lineRule="auto"/>
        <w:ind w:firstLine="460"/>
        <w:jc w:val="left"/>
        <w:rPr>
          <w:rFonts w:hint="eastAsia" w:ascii="宋体" w:hAnsi="宋体" w:eastAsia="宋体" w:cs="宋体"/>
          <w:color w:val="auto"/>
        </w:rPr>
      </w:pPr>
      <w:bookmarkStart w:id="927" w:name="bookmark557"/>
      <w:bookmarkEnd w:id="927"/>
      <w:r>
        <w:rPr>
          <w:rFonts w:hint="eastAsia" w:ascii="宋体" w:hAnsi="宋体" w:eastAsia="宋体" w:cs="宋体"/>
          <w:color w:val="auto"/>
          <w:sz w:val="24"/>
        </w:rPr>
        <w:t>我方承诺除商务和技术偏差表列出的偏差外，我方响应采购文件的全部要求。</w:t>
      </w:r>
    </w:p>
    <w:p w14:paraId="6522B8A4">
      <w:pPr>
        <w:pStyle w:val="39"/>
        <w:pageBreakBefore w:val="0"/>
        <w:numPr>
          <w:ilvl w:val="0"/>
          <w:numId w:val="11"/>
        </w:numPr>
        <w:tabs>
          <w:tab w:val="left" w:pos="913"/>
        </w:tabs>
        <w:kinsoku/>
        <w:overflowPunct/>
        <w:topLinePunct w:val="0"/>
        <w:bidi w:val="0"/>
        <w:snapToGrid/>
        <w:spacing w:line="360" w:lineRule="auto"/>
        <w:ind w:firstLine="460"/>
        <w:rPr>
          <w:rFonts w:hint="eastAsia" w:ascii="宋体" w:hAnsi="宋体" w:eastAsia="宋体" w:cs="宋体"/>
          <w:color w:val="auto"/>
        </w:rPr>
      </w:pPr>
      <w:bookmarkStart w:id="928" w:name="bookmark558"/>
      <w:bookmarkEnd w:id="928"/>
      <w:r>
        <w:rPr>
          <w:rFonts w:hint="eastAsia" w:ascii="宋体" w:hAnsi="宋体" w:eastAsia="宋体" w:cs="宋体"/>
          <w:color w:val="auto"/>
          <w:sz w:val="24"/>
        </w:rPr>
        <w:t>我方承诺在采购文件规定的响应文件有效期内不撤销响应文件。</w:t>
      </w:r>
    </w:p>
    <w:p w14:paraId="3334C82A">
      <w:pPr>
        <w:pStyle w:val="39"/>
        <w:pageBreakBefore w:val="0"/>
        <w:numPr>
          <w:ilvl w:val="0"/>
          <w:numId w:val="11"/>
        </w:numPr>
        <w:tabs>
          <w:tab w:val="left" w:pos="913"/>
        </w:tabs>
        <w:kinsoku/>
        <w:overflowPunct/>
        <w:topLinePunct w:val="0"/>
        <w:bidi w:val="0"/>
        <w:snapToGrid/>
        <w:spacing w:line="360" w:lineRule="auto"/>
        <w:ind w:firstLine="460"/>
        <w:rPr>
          <w:rFonts w:hint="eastAsia" w:ascii="宋体" w:hAnsi="宋体" w:eastAsia="宋体" w:cs="宋体"/>
          <w:color w:val="auto"/>
        </w:rPr>
      </w:pPr>
      <w:bookmarkStart w:id="929" w:name="bookmark559"/>
      <w:bookmarkEnd w:id="929"/>
      <w:r>
        <w:rPr>
          <w:rFonts w:hint="eastAsia" w:ascii="宋体" w:hAnsi="宋体" w:eastAsia="宋体" w:cs="宋体"/>
          <w:color w:val="auto"/>
          <w:sz w:val="24"/>
        </w:rPr>
        <w:t>如我方成交，我方承诺：</w:t>
      </w:r>
    </w:p>
    <w:p w14:paraId="3E05D13B">
      <w:pPr>
        <w:pStyle w:val="39"/>
        <w:pageBreakBefore w:val="0"/>
        <w:numPr>
          <w:ilvl w:val="0"/>
          <w:numId w:val="13"/>
        </w:numPr>
        <w:tabs>
          <w:tab w:val="left" w:pos="986"/>
        </w:tabs>
        <w:kinsoku/>
        <w:overflowPunct/>
        <w:topLinePunct w:val="0"/>
        <w:bidi w:val="0"/>
        <w:snapToGrid/>
        <w:spacing w:line="360" w:lineRule="auto"/>
        <w:ind w:firstLine="460"/>
        <w:rPr>
          <w:rFonts w:hint="eastAsia" w:ascii="宋体" w:hAnsi="宋体" w:eastAsia="宋体" w:cs="宋体"/>
          <w:color w:val="auto"/>
        </w:rPr>
      </w:pPr>
      <w:bookmarkStart w:id="930" w:name="bookmark560"/>
      <w:bookmarkEnd w:id="930"/>
      <w:r>
        <w:rPr>
          <w:rFonts w:hint="eastAsia" w:ascii="宋体" w:hAnsi="宋体" w:eastAsia="宋体" w:cs="宋体"/>
          <w:color w:val="auto"/>
          <w:sz w:val="24"/>
        </w:rPr>
        <w:t>在收到成交通知书后，在成交通知书规定的期限内与你方签订合同；</w:t>
      </w:r>
    </w:p>
    <w:p w14:paraId="0D7ECBCF">
      <w:pPr>
        <w:pStyle w:val="39"/>
        <w:pageBreakBefore w:val="0"/>
        <w:numPr>
          <w:ilvl w:val="0"/>
          <w:numId w:val="13"/>
        </w:numPr>
        <w:tabs>
          <w:tab w:val="left" w:pos="991"/>
        </w:tabs>
        <w:kinsoku/>
        <w:overflowPunct/>
        <w:topLinePunct w:val="0"/>
        <w:bidi w:val="0"/>
        <w:snapToGrid/>
        <w:spacing w:line="360" w:lineRule="auto"/>
        <w:ind w:firstLine="460"/>
        <w:rPr>
          <w:rFonts w:hint="eastAsia" w:ascii="宋体" w:hAnsi="宋体" w:eastAsia="宋体" w:cs="宋体"/>
          <w:color w:val="auto"/>
        </w:rPr>
      </w:pPr>
      <w:bookmarkStart w:id="931" w:name="bookmark561"/>
      <w:bookmarkEnd w:id="931"/>
      <w:r>
        <w:rPr>
          <w:rFonts w:hint="eastAsia" w:ascii="宋体" w:hAnsi="宋体" w:eastAsia="宋体" w:cs="宋体"/>
          <w:color w:val="auto"/>
          <w:sz w:val="24"/>
        </w:rPr>
        <w:t>在签订合同时不向你方提出附加条件；</w:t>
      </w:r>
    </w:p>
    <w:p w14:paraId="2295E317">
      <w:pPr>
        <w:pStyle w:val="39"/>
        <w:pageBreakBefore w:val="0"/>
        <w:numPr>
          <w:ilvl w:val="0"/>
          <w:numId w:val="13"/>
        </w:numPr>
        <w:tabs>
          <w:tab w:val="left" w:pos="991"/>
        </w:tabs>
        <w:kinsoku/>
        <w:overflowPunct/>
        <w:topLinePunct w:val="0"/>
        <w:bidi w:val="0"/>
        <w:snapToGrid/>
        <w:spacing w:line="360" w:lineRule="auto"/>
        <w:ind w:firstLine="460"/>
        <w:rPr>
          <w:rFonts w:hint="eastAsia" w:ascii="宋体" w:hAnsi="宋体" w:eastAsia="宋体" w:cs="宋体"/>
          <w:color w:val="auto"/>
        </w:rPr>
      </w:pPr>
      <w:bookmarkStart w:id="932" w:name="bookmark562"/>
      <w:bookmarkEnd w:id="932"/>
      <w:r>
        <w:rPr>
          <w:rFonts w:hint="eastAsia" w:ascii="宋体" w:hAnsi="宋体" w:eastAsia="宋体" w:cs="宋体"/>
          <w:color w:val="auto"/>
          <w:sz w:val="24"/>
        </w:rPr>
        <w:t>按照采购文件要求递交履约保证金；</w:t>
      </w:r>
    </w:p>
    <w:p w14:paraId="12565FA2">
      <w:pPr>
        <w:pStyle w:val="39"/>
        <w:pageBreakBefore w:val="0"/>
        <w:numPr>
          <w:ilvl w:val="0"/>
          <w:numId w:val="13"/>
        </w:numPr>
        <w:tabs>
          <w:tab w:val="left" w:pos="991"/>
        </w:tabs>
        <w:kinsoku/>
        <w:overflowPunct/>
        <w:topLinePunct w:val="0"/>
        <w:bidi w:val="0"/>
        <w:snapToGrid/>
        <w:spacing w:line="360" w:lineRule="auto"/>
        <w:ind w:firstLine="460"/>
        <w:rPr>
          <w:rFonts w:hint="eastAsia" w:ascii="宋体" w:hAnsi="宋体" w:eastAsia="宋体" w:cs="宋体"/>
          <w:color w:val="auto"/>
        </w:rPr>
      </w:pPr>
      <w:bookmarkStart w:id="933" w:name="bookmark563"/>
      <w:bookmarkEnd w:id="933"/>
      <w:r>
        <w:rPr>
          <w:rFonts w:hint="eastAsia" w:ascii="宋体" w:hAnsi="宋体" w:eastAsia="宋体" w:cs="宋体"/>
          <w:color w:val="auto"/>
          <w:sz w:val="24"/>
        </w:rPr>
        <w:t>在合同约定的期限内完成合同规定的全部义务。</w:t>
      </w:r>
    </w:p>
    <w:p w14:paraId="4C7D85BC">
      <w:pPr>
        <w:pStyle w:val="39"/>
        <w:pageBreakBefore w:val="0"/>
        <w:numPr>
          <w:ilvl w:val="0"/>
          <w:numId w:val="11"/>
        </w:numPr>
        <w:tabs>
          <w:tab w:val="left" w:pos="913"/>
        </w:tabs>
        <w:kinsoku/>
        <w:overflowPunct/>
        <w:topLinePunct w:val="0"/>
        <w:bidi w:val="0"/>
        <w:snapToGrid/>
        <w:spacing w:line="360" w:lineRule="auto"/>
        <w:ind w:firstLine="480"/>
        <w:rPr>
          <w:rFonts w:hint="eastAsia" w:ascii="宋体" w:hAnsi="宋体" w:eastAsia="宋体" w:cs="宋体"/>
          <w:color w:val="auto"/>
        </w:rPr>
      </w:pPr>
      <w:bookmarkStart w:id="934" w:name="bookmark564"/>
      <w:bookmarkEnd w:id="934"/>
      <w:r>
        <w:rPr>
          <w:rFonts w:hint="eastAsia" w:ascii="宋体" w:hAnsi="宋体" w:eastAsia="宋体" w:cs="宋体"/>
          <w:color w:val="auto"/>
          <w:sz w:val="24"/>
        </w:rPr>
        <w:t>我方在此声明，所递交的响应文件及有关资料内容完整、真实和准确，且不存 在第一章</w:t>
      </w:r>
      <w:r>
        <w:rPr>
          <w:rFonts w:hint="eastAsia" w:ascii="宋体" w:hAnsi="宋体" w:eastAsia="宋体" w:cs="宋体"/>
          <w:color w:val="auto"/>
          <w:sz w:val="24"/>
          <w:lang w:val="zh-CN" w:eastAsia="zh-CN" w:bidi="zh-CN"/>
        </w:rPr>
        <w:t>“询比</w:t>
      </w:r>
      <w:r>
        <w:rPr>
          <w:rFonts w:hint="eastAsia" w:ascii="宋体" w:hAnsi="宋体" w:eastAsia="宋体" w:cs="宋体"/>
          <w:color w:val="auto"/>
          <w:sz w:val="24"/>
        </w:rPr>
        <w:t>采购公告/</w:t>
      </w:r>
      <w:r>
        <w:rPr>
          <w:rFonts w:hint="eastAsia" w:ascii="宋体" w:hAnsi="宋体" w:eastAsia="宋体" w:cs="宋体"/>
          <w:color w:val="auto"/>
          <w:sz w:val="24"/>
          <w:lang w:eastAsia="zh-CN"/>
        </w:rPr>
        <w:t>询比</w:t>
      </w:r>
      <w:r>
        <w:rPr>
          <w:rFonts w:hint="eastAsia" w:ascii="宋体" w:hAnsi="宋体" w:eastAsia="宋体" w:cs="宋体"/>
          <w:color w:val="auto"/>
          <w:sz w:val="24"/>
        </w:rPr>
        <w:t>采购邀请书”中规定的</w:t>
      </w:r>
      <w:r>
        <w:rPr>
          <w:rFonts w:hint="eastAsia" w:ascii="宋体" w:hAnsi="宋体" w:eastAsia="宋体" w:cs="宋体"/>
          <w:color w:val="auto"/>
          <w:sz w:val="24"/>
          <w:lang w:eastAsia="zh-CN"/>
        </w:rPr>
        <w:t>询比响应人</w:t>
      </w:r>
      <w:r>
        <w:rPr>
          <w:rFonts w:hint="eastAsia" w:ascii="宋体" w:hAnsi="宋体" w:eastAsia="宋体" w:cs="宋体"/>
          <w:color w:val="auto"/>
          <w:sz w:val="24"/>
        </w:rPr>
        <w:t>不得存在的情形。</w:t>
      </w:r>
    </w:p>
    <w:p w14:paraId="107E8E41">
      <w:pPr>
        <w:pStyle w:val="35"/>
        <w:pageBreakBefore w:val="0"/>
        <w:numPr>
          <w:ilvl w:val="0"/>
          <w:numId w:val="11"/>
        </w:numPr>
        <w:tabs>
          <w:tab w:val="left" w:pos="913"/>
          <w:tab w:val="left" w:leader="underscore" w:pos="3570"/>
          <w:tab w:val="left" w:pos="5265"/>
        </w:tabs>
        <w:kinsoku/>
        <w:overflowPunct/>
        <w:topLinePunct w:val="0"/>
        <w:bidi w:val="0"/>
        <w:snapToGrid/>
        <w:spacing w:line="360" w:lineRule="auto"/>
        <w:ind w:firstLine="460"/>
        <w:rPr>
          <w:rFonts w:hint="eastAsia" w:ascii="宋体" w:hAnsi="宋体" w:eastAsia="宋体" w:cs="宋体"/>
          <w:color w:val="auto"/>
        </w:rPr>
      </w:pPr>
      <w:bookmarkStart w:id="935" w:name="bookmark565"/>
      <w:bookmarkEnd w:id="935"/>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lang w:eastAsia="zh-CN"/>
        </w:rPr>
        <w:t>（</w:t>
      </w:r>
      <w:r>
        <w:rPr>
          <w:rFonts w:hint="eastAsia" w:ascii="宋体" w:hAnsi="宋体" w:eastAsia="宋体" w:cs="宋体"/>
          <w:color w:val="auto"/>
          <w:sz w:val="24"/>
          <w:u w:val="single"/>
          <w:lang w:val="en-US" w:eastAsia="zh-CN"/>
        </w:rPr>
        <w:t>其他补充说明</w:t>
      </w:r>
      <w:r>
        <w:rPr>
          <w:rFonts w:hint="eastAsia" w:ascii="宋体" w:hAnsi="宋体" w:eastAsia="宋体" w:cs="宋体"/>
          <w:color w:val="auto"/>
          <w:sz w:val="24"/>
          <w:u w:val="single"/>
          <w:lang w:eastAsia="zh-CN"/>
        </w:rPr>
        <w:t>）</w:t>
      </w:r>
      <w:r>
        <w:rPr>
          <w:rFonts w:hint="eastAsia" w:ascii="宋体" w:hAnsi="宋体" w:eastAsia="宋体" w:cs="宋体"/>
          <w:color w:val="auto"/>
          <w:sz w:val="24"/>
          <w:lang w:eastAsia="zh-CN"/>
        </w:rPr>
        <w:t>。</w:t>
      </w:r>
    </w:p>
    <w:p w14:paraId="70292970">
      <w:pPr>
        <w:pStyle w:val="39"/>
        <w:pageBreakBefore w:val="0"/>
        <w:tabs>
          <w:tab w:val="left" w:pos="7346"/>
          <w:tab w:val="left" w:pos="7826"/>
        </w:tabs>
        <w:kinsoku/>
        <w:overflowPunct/>
        <w:topLinePunct w:val="0"/>
        <w:bidi w:val="0"/>
        <w:snapToGrid/>
        <w:spacing w:line="360" w:lineRule="auto"/>
        <w:ind w:firstLine="240" w:firstLineChars="100"/>
        <w:jc w:val="left"/>
        <w:rPr>
          <w:rFonts w:hint="eastAsia" w:ascii="宋体" w:hAnsi="宋体" w:eastAsia="宋体" w:cs="宋体"/>
          <w:color w:val="auto"/>
          <w:sz w:val="24"/>
          <w:u w:val="single"/>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 xml:space="preserve">(盖单位章) </w:t>
      </w:r>
    </w:p>
    <w:p w14:paraId="1932D137">
      <w:pPr>
        <w:pStyle w:val="39"/>
        <w:pageBreakBefore w:val="0"/>
        <w:tabs>
          <w:tab w:val="left" w:pos="7346"/>
          <w:tab w:val="left" w:pos="7826"/>
        </w:tabs>
        <w:kinsoku/>
        <w:overflowPunct/>
        <w:topLinePunct w:val="0"/>
        <w:bidi w:val="0"/>
        <w:snapToGrid/>
        <w:spacing w:line="360" w:lineRule="auto"/>
        <w:ind w:left="1620" w:firstLine="20"/>
        <w:jc w:val="left"/>
        <w:rPr>
          <w:rFonts w:hint="eastAsia" w:ascii="宋体" w:hAnsi="宋体" w:eastAsia="宋体" w:cs="宋体"/>
          <w:color w:val="auto"/>
        </w:rPr>
      </w:pPr>
      <w:r>
        <w:rPr>
          <w:rFonts w:hint="eastAsia" w:ascii="宋体" w:hAnsi="宋体" w:eastAsia="宋体" w:cs="宋体"/>
          <w:color w:val="auto"/>
          <w:sz w:val="24"/>
        </w:rPr>
        <w:t>法定代表人(单位负责人)或其授权的代理人：</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(签字)</w:t>
      </w:r>
    </w:p>
    <w:p w14:paraId="239CC6D7">
      <w:pPr>
        <w:pStyle w:val="39"/>
        <w:pageBreakBefore w:val="0"/>
        <w:tabs>
          <w:tab w:val="left" w:pos="8600"/>
        </w:tabs>
        <w:kinsoku/>
        <w:overflowPunct/>
        <w:topLinePunct w:val="0"/>
        <w:bidi w:val="0"/>
        <w:snapToGrid/>
        <w:spacing w:line="360" w:lineRule="auto"/>
        <w:ind w:left="1620" w:firstLine="20"/>
        <w:jc w:val="left"/>
        <w:rPr>
          <w:rFonts w:hint="eastAsia" w:ascii="宋体" w:hAnsi="宋体" w:eastAsia="宋体" w:cs="宋体"/>
          <w:color w:val="auto"/>
        </w:rPr>
      </w:pPr>
      <w:r>
        <w:rPr>
          <w:rFonts w:hint="eastAsia" w:ascii="宋体" w:hAnsi="宋体" w:eastAsia="宋体" w:cs="宋体"/>
          <w:color w:val="auto"/>
          <w:sz w:val="24"/>
        </w:rPr>
        <w:t>地 址：</w:t>
      </w:r>
      <w:r>
        <w:rPr>
          <w:rFonts w:hint="eastAsia" w:ascii="宋体" w:hAnsi="宋体" w:eastAsia="宋体" w:cs="宋体"/>
          <w:color w:val="auto"/>
          <w:u w:val="single"/>
        </w:rPr>
        <w:t xml:space="preserve"> </w:t>
      </w:r>
      <w:r>
        <w:rPr>
          <w:rFonts w:hint="eastAsia" w:ascii="宋体" w:hAnsi="宋体" w:eastAsia="宋体" w:cs="宋体"/>
          <w:color w:val="auto"/>
          <w:u w:val="single"/>
        </w:rPr>
        <w:tab/>
      </w:r>
    </w:p>
    <w:p w14:paraId="7717BCF1">
      <w:pPr>
        <w:pStyle w:val="39"/>
        <w:pageBreakBefore w:val="0"/>
        <w:tabs>
          <w:tab w:val="left" w:pos="6725"/>
          <w:tab w:val="left" w:pos="6950"/>
        </w:tabs>
        <w:kinsoku/>
        <w:overflowPunct/>
        <w:topLinePunct w:val="0"/>
        <w:bidi w:val="0"/>
        <w:snapToGrid/>
        <w:spacing w:line="360" w:lineRule="auto"/>
        <w:jc w:val="center"/>
        <w:rPr>
          <w:rFonts w:hint="eastAsia" w:ascii="宋体" w:hAnsi="宋体" w:eastAsia="宋体" w:cs="宋体"/>
          <w:color w:val="auto"/>
          <w:u w:val="single"/>
          <w:lang w:val="en-US" w:eastAsia="zh-CN"/>
        </w:rPr>
      </w:pP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电子</w:t>
      </w:r>
      <w:r>
        <w:rPr>
          <w:rFonts w:hint="eastAsia" w:ascii="宋体" w:hAnsi="宋体" w:eastAsia="宋体" w:cs="宋体"/>
          <w:color w:val="auto"/>
          <w:sz w:val="24"/>
          <w:lang w:val="en-US" w:eastAsia="zh-CN"/>
        </w:rPr>
        <w:t>邮</w:t>
      </w:r>
      <w:r>
        <w:rPr>
          <w:rFonts w:hint="eastAsia" w:ascii="宋体" w:hAnsi="宋体" w:eastAsia="宋体" w:cs="宋体"/>
          <w:color w:val="auto"/>
          <w:sz w:val="24"/>
        </w:rPr>
        <w:t>箱</w:t>
      </w:r>
      <w:r>
        <w:rPr>
          <w:rFonts w:hint="eastAsia" w:ascii="宋体" w:hAnsi="宋体" w:eastAsia="宋体" w:cs="宋体"/>
          <w:color w:val="auto"/>
          <w:sz w:val="24"/>
          <w:lang w:eastAsia="zh-CN"/>
        </w:rPr>
        <w:t>：</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ab/>
      </w:r>
      <w:r>
        <w:rPr>
          <w:rFonts w:hint="eastAsia" w:ascii="宋体" w:hAnsi="宋体" w:eastAsia="宋体" w:cs="宋体"/>
          <w:color w:val="auto"/>
          <w:u w:val="single"/>
          <w:lang w:val="en-US" w:eastAsia="zh-CN"/>
        </w:rPr>
        <w:t xml:space="preserve">       </w:t>
      </w:r>
    </w:p>
    <w:p w14:paraId="7C3F1763">
      <w:pPr>
        <w:pStyle w:val="39"/>
        <w:pageBreakBefore w:val="0"/>
        <w:tabs>
          <w:tab w:val="left" w:pos="6725"/>
          <w:tab w:val="left" w:pos="6950"/>
        </w:tabs>
        <w:kinsoku/>
        <w:overflowPunct/>
        <w:topLinePunct w:val="0"/>
        <w:bidi w:val="0"/>
        <w:snapToGrid/>
        <w:spacing w:line="360" w:lineRule="auto"/>
        <w:jc w:val="center"/>
        <w:rPr>
          <w:rFonts w:hint="eastAsia" w:ascii="宋体" w:hAnsi="宋体" w:eastAsia="宋体" w:cs="宋体"/>
          <w:color w:val="auto"/>
          <w:u w:val="single"/>
          <w:lang w:val="en-US" w:eastAsia="zh-CN"/>
        </w:rPr>
      </w:pP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 xml:space="preserve">电 </w:t>
      </w: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话：</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u w:val="single"/>
        </w:rPr>
        <w:tab/>
      </w:r>
      <w:r>
        <w:rPr>
          <w:rFonts w:hint="eastAsia" w:ascii="宋体" w:hAnsi="宋体" w:eastAsia="宋体" w:cs="宋体"/>
          <w:color w:val="auto"/>
          <w:u w:val="single"/>
          <w:lang w:val="en-US" w:eastAsia="zh-CN"/>
        </w:rPr>
        <w:t xml:space="preserve">       </w:t>
      </w:r>
    </w:p>
    <w:p w14:paraId="5106D1C6">
      <w:pPr>
        <w:pStyle w:val="39"/>
        <w:pageBreakBefore w:val="0"/>
        <w:tabs>
          <w:tab w:val="left" w:pos="6725"/>
          <w:tab w:val="left" w:pos="6950"/>
        </w:tabs>
        <w:kinsoku/>
        <w:overflowPunct/>
        <w:topLinePunct w:val="0"/>
        <w:bidi w:val="0"/>
        <w:snapToGrid/>
        <w:spacing w:line="360" w:lineRule="auto"/>
        <w:ind w:firstLine="1680" w:firstLineChars="700"/>
        <w:rPr>
          <w:rFonts w:hint="eastAsia" w:ascii="宋体" w:hAnsi="宋体" w:eastAsia="宋体" w:cs="宋体"/>
          <w:color w:val="auto"/>
          <w:lang w:val="en-US"/>
        </w:rPr>
      </w:pPr>
      <w:r>
        <w:rPr>
          <w:rFonts w:hint="eastAsia" w:ascii="宋体" w:hAnsi="宋体" w:eastAsia="宋体" w:cs="宋体"/>
          <w:color w:val="auto"/>
          <w:sz w:val="24"/>
        </w:rPr>
        <w:t xml:space="preserve">传 </w:t>
      </w: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真：</w:t>
      </w:r>
      <w:r>
        <w:rPr>
          <w:rFonts w:hint="eastAsia" w:ascii="宋体" w:hAnsi="宋体" w:eastAsia="宋体" w:cs="宋体"/>
          <w:color w:val="auto"/>
          <w:sz w:val="24"/>
          <w:u w:val="single"/>
          <w:lang w:val="en-US" w:eastAsia="zh-CN"/>
        </w:rPr>
        <w:t xml:space="preserve">                                             </w:t>
      </w:r>
    </w:p>
    <w:p w14:paraId="0828E360">
      <w:pPr>
        <w:pStyle w:val="39"/>
        <w:pageBreakBefore w:val="0"/>
        <w:tabs>
          <w:tab w:val="left" w:pos="8111"/>
        </w:tabs>
        <w:kinsoku/>
        <w:overflowPunct/>
        <w:topLinePunct w:val="0"/>
        <w:bidi w:val="0"/>
        <w:snapToGrid/>
        <w:spacing w:line="360" w:lineRule="auto"/>
        <w:ind w:left="1180" w:firstLine="480" w:firstLineChars="200"/>
        <w:rPr>
          <w:rFonts w:hint="eastAsia" w:ascii="宋体" w:hAnsi="宋体" w:eastAsia="宋体" w:cs="宋体"/>
          <w:color w:val="auto"/>
          <w:lang w:val="en-US" w:eastAsia="zh-CN"/>
        </w:rPr>
      </w:pPr>
      <w:r>
        <w:rPr>
          <w:rFonts w:hint="eastAsia" w:ascii="宋体" w:hAnsi="宋体" w:eastAsia="宋体" w:cs="宋体"/>
          <w:color w:val="auto"/>
          <w:sz w:val="24"/>
        </w:rPr>
        <w:t>邮政编码:</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lang w:val="en-US" w:eastAsia="zh-CN"/>
        </w:rPr>
        <w:t xml:space="preserve"> </w:t>
      </w:r>
    </w:p>
    <w:p w14:paraId="422EB3C1">
      <w:pPr>
        <w:pageBreakBefore w:val="0"/>
        <w:kinsoku/>
        <w:overflowPunct/>
        <w:topLinePunct w:val="0"/>
        <w:bidi w:val="0"/>
        <w:snapToGrid/>
        <w:spacing w:line="360" w:lineRule="auto"/>
        <w:ind w:left="5040" w:firstLine="420"/>
        <w:rPr>
          <w:rFonts w:hint="eastAsia" w:ascii="宋体" w:hAnsi="宋体" w:eastAsia="宋体" w:cs="宋体"/>
          <w:color w:val="auto"/>
          <w:sz w:val="24"/>
        </w:rPr>
      </w:pP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rPr>
        <w:t xml:space="preserve">  </w:t>
      </w:r>
      <w:r>
        <w:rPr>
          <w:rFonts w:hint="eastAsia" w:ascii="宋体" w:hAnsi="宋体" w:eastAsia="宋体" w:cs="宋体"/>
          <w:color w:val="auto"/>
          <w:sz w:val="24"/>
        </w:rPr>
        <w:t>年</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1A0C1F3F">
      <w:pPr>
        <w:pageBreakBefore w:val="0"/>
        <w:kinsoku/>
        <w:overflowPunct/>
        <w:topLinePunct w:val="0"/>
        <w:bidi w:val="0"/>
        <w:snapToGrid/>
        <w:spacing w:line="360" w:lineRule="auto"/>
        <w:rPr>
          <w:rFonts w:hint="eastAsia" w:ascii="宋体" w:hAnsi="宋体" w:eastAsia="宋体" w:cs="宋体"/>
          <w:color w:val="auto"/>
          <w:sz w:val="24"/>
        </w:rPr>
      </w:pPr>
      <w:r>
        <w:rPr>
          <w:rFonts w:hint="eastAsia" w:ascii="宋体" w:hAnsi="宋体" w:eastAsia="宋体" w:cs="宋体"/>
          <w:color w:val="auto"/>
          <w:sz w:val="24"/>
        </w:rPr>
        <w:br w:type="page"/>
      </w:r>
    </w:p>
    <w:p w14:paraId="553FE4AF">
      <w:pPr>
        <w:pStyle w:val="4"/>
        <w:pageBreakBefore w:val="0"/>
        <w:kinsoku/>
        <w:overflowPunct/>
        <w:topLinePunct w:val="0"/>
        <w:bidi w:val="0"/>
        <w:snapToGrid/>
        <w:spacing w:line="360" w:lineRule="auto"/>
        <w:jc w:val="center"/>
        <w:rPr>
          <w:rFonts w:hint="eastAsia" w:ascii="宋体" w:hAnsi="宋体" w:eastAsia="宋体" w:cs="宋体"/>
          <w:color w:val="auto"/>
        </w:rPr>
      </w:pPr>
      <w:bookmarkStart w:id="936" w:name="bookmark568"/>
      <w:bookmarkStart w:id="937" w:name="bookmark567"/>
      <w:bookmarkStart w:id="938" w:name="_Toc32695"/>
      <w:bookmarkStart w:id="939" w:name="bookmark566"/>
      <w:bookmarkStart w:id="940" w:name="_Toc3905"/>
      <w:bookmarkStart w:id="941" w:name="bookmark569"/>
      <w:r>
        <w:rPr>
          <w:rFonts w:hint="eastAsia" w:ascii="宋体" w:hAnsi="宋体" w:eastAsia="宋体" w:cs="宋体"/>
          <w:color w:val="auto"/>
        </w:rPr>
        <w:t>二</w:t>
      </w:r>
      <w:bookmarkEnd w:id="936"/>
      <w:r>
        <w:rPr>
          <w:rFonts w:hint="eastAsia" w:ascii="宋体" w:hAnsi="宋体" w:eastAsia="宋体" w:cs="宋体"/>
          <w:color w:val="auto"/>
        </w:rPr>
        <w:t>、授权委托书</w:t>
      </w:r>
      <w:bookmarkEnd w:id="937"/>
      <w:bookmarkEnd w:id="938"/>
      <w:bookmarkEnd w:id="939"/>
      <w:bookmarkEnd w:id="940"/>
      <w:bookmarkEnd w:id="941"/>
    </w:p>
    <w:p w14:paraId="24E66B30">
      <w:pPr>
        <w:pStyle w:val="39"/>
        <w:pageBreakBefore w:val="0"/>
        <w:tabs>
          <w:tab w:val="left" w:pos="2304"/>
          <w:tab w:val="left" w:pos="3797"/>
          <w:tab w:val="left" w:pos="5578"/>
          <w:tab w:val="left" w:pos="5986"/>
        </w:tabs>
        <w:kinsoku/>
        <w:overflowPunct/>
        <w:topLinePunct w:val="0"/>
        <w:bidi w:val="0"/>
        <w:snapToGrid/>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本人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rPr>
        <w:t>（姓名）</w:t>
      </w:r>
      <w:r>
        <w:rPr>
          <w:rFonts w:hint="eastAsia" w:ascii="宋体" w:hAnsi="宋体" w:eastAsia="宋体" w:cs="宋体"/>
          <w:color w:val="auto"/>
          <w:sz w:val="24"/>
        </w:rPr>
        <w:t>系</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w:t>
      </w:r>
      <w:r>
        <w:rPr>
          <w:rFonts w:hint="eastAsia" w:ascii="宋体" w:hAnsi="宋体" w:eastAsia="宋体" w:cs="宋体"/>
          <w:color w:val="auto"/>
          <w:sz w:val="24"/>
          <w:u w:val="single"/>
          <w:lang w:eastAsia="zh-CN"/>
        </w:rPr>
        <w:t>询比响应人</w:t>
      </w:r>
      <w:r>
        <w:rPr>
          <w:rFonts w:hint="eastAsia" w:ascii="宋体" w:hAnsi="宋体" w:eastAsia="宋体" w:cs="宋体"/>
          <w:color w:val="auto"/>
          <w:sz w:val="24"/>
          <w:u w:val="single"/>
        </w:rPr>
        <w:t>名称）</w:t>
      </w:r>
      <w:r>
        <w:rPr>
          <w:rFonts w:hint="eastAsia" w:ascii="宋体" w:hAnsi="宋体" w:eastAsia="宋体" w:cs="宋体"/>
          <w:color w:val="auto"/>
          <w:sz w:val="24"/>
        </w:rPr>
        <w:t>的法定代表人 （单位负责人），现委托</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（姓名）</w:t>
      </w:r>
      <w:r>
        <w:rPr>
          <w:rFonts w:hint="eastAsia" w:ascii="宋体" w:hAnsi="宋体" w:eastAsia="宋体" w:cs="宋体"/>
          <w:color w:val="auto"/>
          <w:sz w:val="24"/>
        </w:rPr>
        <w:t>为我方代理人。代理人根据授权，以我方名义签署、澄清确认、递交、撤回、修改</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ab/>
      </w:r>
      <w:r>
        <w:rPr>
          <w:rFonts w:hint="eastAsia" w:ascii="宋体" w:hAnsi="宋体" w:eastAsia="宋体" w:cs="宋体"/>
          <w:color w:val="auto"/>
          <w:sz w:val="24"/>
          <w:lang w:eastAsia="zh-CN"/>
        </w:rPr>
        <w:t>询比</w:t>
      </w:r>
      <w:r>
        <w:rPr>
          <w:rFonts w:hint="eastAsia" w:ascii="宋体" w:hAnsi="宋体" w:eastAsia="宋体" w:cs="宋体"/>
          <w:color w:val="auto"/>
          <w:sz w:val="24"/>
        </w:rPr>
        <w:t>釆购项目响应文件、签订合同和处理有关事宜，其法律后果由我方承担。</w:t>
      </w:r>
    </w:p>
    <w:p w14:paraId="6F7804AE">
      <w:pPr>
        <w:pStyle w:val="39"/>
        <w:pageBreakBefore w:val="0"/>
        <w:tabs>
          <w:tab w:val="left" w:pos="5674"/>
        </w:tabs>
        <w:kinsoku/>
        <w:overflowPunct/>
        <w:topLinePunct w:val="0"/>
        <w:bidi w:val="0"/>
        <w:snapToGrid/>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委托期限：自本委托书签署之日起至</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lang w:eastAsia="zh-CN"/>
        </w:rPr>
        <w:t>询比</w:t>
      </w:r>
      <w:r>
        <w:rPr>
          <w:rFonts w:hint="eastAsia" w:ascii="宋体" w:hAnsi="宋体" w:eastAsia="宋体" w:cs="宋体"/>
          <w:color w:val="auto"/>
          <w:sz w:val="24"/>
        </w:rPr>
        <w:t>采购项目签订采购合同之日止。</w:t>
      </w:r>
    </w:p>
    <w:p w14:paraId="3CFF8B9B">
      <w:pPr>
        <w:pStyle w:val="39"/>
        <w:pageBreakBefore w:val="0"/>
        <w:kinsoku/>
        <w:overflowPunct/>
        <w:topLinePunct w:val="0"/>
        <w:bidi w:val="0"/>
        <w:snapToGrid/>
        <w:spacing w:after="360" w:line="360" w:lineRule="auto"/>
        <w:ind w:firstLine="460"/>
        <w:jc w:val="left"/>
        <w:rPr>
          <w:rFonts w:hint="eastAsia" w:ascii="宋体" w:hAnsi="宋体" w:eastAsia="宋体" w:cs="宋体"/>
          <w:color w:val="auto"/>
          <w:sz w:val="24"/>
        </w:rPr>
      </w:pPr>
      <w:r>
        <w:rPr>
          <w:rFonts w:hint="eastAsia" w:ascii="宋体" w:hAnsi="宋体" w:eastAsia="宋体" w:cs="宋体"/>
          <w:color w:val="auto"/>
          <w:sz w:val="24"/>
        </w:rPr>
        <w:t>代理人无转委托权。</w:t>
      </w:r>
    </w:p>
    <w:p w14:paraId="1182BCE5">
      <w:pPr>
        <w:pStyle w:val="39"/>
        <w:pageBreakBefore w:val="0"/>
        <w:kinsoku/>
        <w:overflowPunct/>
        <w:topLinePunct w:val="0"/>
        <w:bidi w:val="0"/>
        <w:snapToGrid/>
        <w:spacing w:after="760" w:line="360" w:lineRule="auto"/>
        <w:ind w:firstLine="460"/>
        <w:jc w:val="left"/>
        <w:rPr>
          <w:rFonts w:hint="eastAsia" w:ascii="宋体" w:hAnsi="宋体" w:eastAsia="宋体" w:cs="宋体"/>
          <w:color w:val="auto"/>
          <w:sz w:val="24"/>
        </w:rPr>
      </w:pPr>
      <w:r>
        <w:rPr>
          <w:rFonts w:hint="eastAsia" w:ascii="宋体" w:hAnsi="宋体" w:eastAsia="宋体" w:cs="宋体"/>
          <w:color w:val="auto"/>
          <w:sz w:val="24"/>
        </w:rPr>
        <w:t>附：法定代表人（单位负责人）身份证复印件及委托代理人身份证复印件。</w:t>
      </w:r>
    </w:p>
    <w:p w14:paraId="77F7CA1C">
      <w:pPr>
        <w:pStyle w:val="39"/>
        <w:pageBreakBefore w:val="0"/>
        <w:tabs>
          <w:tab w:val="left" w:pos="7358"/>
          <w:tab w:val="left" w:pos="7838"/>
          <w:tab w:val="left" w:pos="8587"/>
          <w:tab w:val="left" w:pos="8592"/>
        </w:tabs>
        <w:kinsoku/>
        <w:overflowPunct/>
        <w:topLinePunct w:val="0"/>
        <w:bidi w:val="0"/>
        <w:snapToGrid/>
        <w:spacing w:line="360" w:lineRule="auto"/>
        <w:ind w:firstLine="1920" w:firstLineChars="800"/>
        <w:jc w:val="left"/>
        <w:rPr>
          <w:rFonts w:hint="eastAsia" w:ascii="宋体" w:hAnsi="宋体" w:eastAsia="宋体" w:cs="宋体"/>
          <w:color w:val="auto"/>
          <w:sz w:val="24"/>
          <w:u w:val="single"/>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（盖单位章）</w:t>
      </w:r>
    </w:p>
    <w:p w14:paraId="76370BC3">
      <w:pPr>
        <w:pStyle w:val="39"/>
        <w:pageBreakBefore w:val="0"/>
        <w:tabs>
          <w:tab w:val="left" w:pos="7358"/>
          <w:tab w:val="left" w:pos="7838"/>
          <w:tab w:val="left" w:pos="8587"/>
          <w:tab w:val="left" w:pos="8592"/>
        </w:tabs>
        <w:kinsoku/>
        <w:overflowPunct/>
        <w:topLinePunct w:val="0"/>
        <w:bidi w:val="0"/>
        <w:snapToGrid/>
        <w:spacing w:line="360" w:lineRule="auto"/>
        <w:ind w:firstLine="1920" w:firstLineChars="800"/>
        <w:jc w:val="left"/>
        <w:rPr>
          <w:rFonts w:hint="eastAsia" w:ascii="宋体" w:hAnsi="宋体" w:eastAsia="宋体" w:cs="宋体"/>
          <w:color w:val="auto"/>
          <w:sz w:val="24"/>
          <w:u w:val="single"/>
        </w:rPr>
      </w:pPr>
      <w:r>
        <w:rPr>
          <w:rFonts w:hint="eastAsia" w:ascii="宋体" w:hAnsi="宋体" w:eastAsia="宋体" w:cs="宋体"/>
          <w:color w:val="auto"/>
          <w:sz w:val="24"/>
        </w:rPr>
        <w:t>法定代表人（单位负责人）：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（签字） </w:t>
      </w:r>
    </w:p>
    <w:p w14:paraId="7250E0D5">
      <w:pPr>
        <w:pStyle w:val="39"/>
        <w:pageBreakBefore w:val="0"/>
        <w:tabs>
          <w:tab w:val="left" w:pos="7358"/>
          <w:tab w:val="left" w:pos="7838"/>
          <w:tab w:val="left" w:pos="8587"/>
          <w:tab w:val="left" w:pos="8592"/>
        </w:tabs>
        <w:kinsoku/>
        <w:overflowPunct/>
        <w:topLinePunct w:val="0"/>
        <w:bidi w:val="0"/>
        <w:snapToGrid/>
        <w:spacing w:line="360" w:lineRule="auto"/>
        <w:ind w:firstLine="1920" w:firstLineChars="800"/>
        <w:jc w:val="left"/>
        <w:rPr>
          <w:rFonts w:hint="eastAsia" w:ascii="宋体" w:hAnsi="宋体" w:eastAsia="宋体" w:cs="宋体"/>
          <w:color w:val="auto"/>
          <w:sz w:val="24"/>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rPr>
        <w:t xml:space="preserve"> </w:t>
      </w:r>
    </w:p>
    <w:p w14:paraId="5EA28259">
      <w:pPr>
        <w:pStyle w:val="39"/>
        <w:pageBreakBefore w:val="0"/>
        <w:tabs>
          <w:tab w:val="left" w:pos="7358"/>
          <w:tab w:val="left" w:pos="7838"/>
          <w:tab w:val="left" w:pos="8587"/>
          <w:tab w:val="left" w:pos="8592"/>
        </w:tabs>
        <w:kinsoku/>
        <w:overflowPunct/>
        <w:topLinePunct w:val="0"/>
        <w:bidi w:val="0"/>
        <w:snapToGrid/>
        <w:spacing w:line="360" w:lineRule="auto"/>
        <w:ind w:firstLine="1920" w:firstLineChars="800"/>
        <w:jc w:val="left"/>
        <w:rPr>
          <w:rFonts w:hint="eastAsia" w:ascii="宋体" w:hAnsi="宋体" w:eastAsia="宋体" w:cs="宋体"/>
          <w:color w:val="auto"/>
          <w:sz w:val="24"/>
          <w:u w:val="single"/>
        </w:rPr>
      </w:pPr>
      <w:r>
        <w:rPr>
          <w:rFonts w:hint="eastAsia" w:ascii="宋体" w:hAnsi="宋体" w:eastAsia="宋体" w:cs="宋体"/>
          <w:color w:val="auto"/>
          <w:sz w:val="24"/>
        </w:rPr>
        <w:t>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（签字） </w:t>
      </w:r>
    </w:p>
    <w:p w14:paraId="20261A7A">
      <w:pPr>
        <w:pStyle w:val="39"/>
        <w:pageBreakBefore w:val="0"/>
        <w:tabs>
          <w:tab w:val="left" w:pos="7358"/>
          <w:tab w:val="left" w:pos="7838"/>
          <w:tab w:val="left" w:pos="8587"/>
          <w:tab w:val="left" w:pos="8592"/>
        </w:tabs>
        <w:kinsoku/>
        <w:overflowPunct/>
        <w:topLinePunct w:val="0"/>
        <w:bidi w:val="0"/>
        <w:snapToGrid/>
        <w:spacing w:line="360" w:lineRule="auto"/>
        <w:ind w:firstLine="1920" w:firstLineChars="800"/>
        <w:jc w:val="left"/>
        <w:rPr>
          <w:rFonts w:hint="eastAsia" w:ascii="宋体" w:hAnsi="宋体" w:eastAsia="宋体" w:cs="宋体"/>
          <w:color w:val="auto"/>
          <w:sz w:val="24"/>
          <w:lang w:val="en-US" w:eastAsia="zh-CN"/>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u w:val="single"/>
          <w:lang w:val="en-US" w:eastAsia="zh-CN"/>
        </w:rPr>
        <w:t xml:space="preserve">         </w:t>
      </w:r>
    </w:p>
    <w:p w14:paraId="73B73ADE">
      <w:pPr>
        <w:pageBreakBefore w:val="0"/>
        <w:kinsoku/>
        <w:overflowPunct/>
        <w:topLinePunct w:val="0"/>
        <w:bidi w:val="0"/>
        <w:snapToGrid/>
        <w:spacing w:line="360" w:lineRule="auto"/>
        <w:rPr>
          <w:rFonts w:hint="eastAsia" w:ascii="宋体" w:hAnsi="宋体" w:eastAsia="宋体" w:cs="宋体"/>
          <w:color w:val="auto"/>
          <w:sz w:val="24"/>
          <w:u w:val="single"/>
        </w:rPr>
      </w:pPr>
    </w:p>
    <w:p w14:paraId="03621410">
      <w:pPr>
        <w:pageBreakBefore w:val="0"/>
        <w:kinsoku/>
        <w:overflowPunct/>
        <w:topLinePunct w:val="0"/>
        <w:bidi w:val="0"/>
        <w:snapToGrid/>
        <w:spacing w:line="360" w:lineRule="auto"/>
        <w:ind w:firstLine="5280" w:firstLineChars="220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450AE6A">
      <w:pPr>
        <w:pageBreakBefore w:val="0"/>
        <w:kinsoku/>
        <w:overflowPunct/>
        <w:topLinePunct w:val="0"/>
        <w:bidi w:val="0"/>
        <w:snapToGrid/>
        <w:spacing w:line="360" w:lineRule="auto"/>
        <w:rPr>
          <w:rFonts w:hint="eastAsia" w:ascii="宋体" w:hAnsi="宋体" w:eastAsia="宋体" w:cs="宋体"/>
          <w:color w:val="auto"/>
          <w:sz w:val="24"/>
        </w:rPr>
      </w:pPr>
      <w:r>
        <w:rPr>
          <w:rFonts w:hint="eastAsia" w:ascii="宋体" w:hAnsi="宋体" w:eastAsia="宋体" w:cs="宋体"/>
          <w:color w:val="auto"/>
          <w:sz w:val="24"/>
        </w:rPr>
        <w:br w:type="page"/>
      </w:r>
    </w:p>
    <w:p w14:paraId="45D7C477">
      <w:pPr>
        <w:pStyle w:val="4"/>
        <w:pageBreakBefore w:val="0"/>
        <w:kinsoku/>
        <w:overflowPunct/>
        <w:topLinePunct w:val="0"/>
        <w:bidi w:val="0"/>
        <w:snapToGrid/>
        <w:spacing w:line="360" w:lineRule="auto"/>
        <w:ind w:firstLine="3092" w:firstLineChars="1100"/>
        <w:jc w:val="both"/>
        <w:rPr>
          <w:rFonts w:hint="eastAsia" w:ascii="宋体" w:hAnsi="宋体" w:eastAsia="宋体" w:cs="宋体"/>
          <w:color w:val="auto"/>
          <w:lang w:eastAsia="zh-CN"/>
        </w:rPr>
      </w:pPr>
      <w:bookmarkStart w:id="942" w:name="bookmark572"/>
      <w:bookmarkStart w:id="943" w:name="bookmark571"/>
      <w:bookmarkStart w:id="944" w:name="bookmark570"/>
      <w:bookmarkStart w:id="945" w:name="bookmark573"/>
      <w:bookmarkStart w:id="946" w:name="_Toc6525"/>
      <w:bookmarkStart w:id="947" w:name="_Toc20553"/>
      <w:r>
        <w:rPr>
          <w:rFonts w:hint="eastAsia" w:ascii="宋体" w:hAnsi="宋体" w:eastAsia="宋体" w:cs="宋体"/>
          <w:color w:val="auto"/>
        </w:rPr>
        <w:t>三</w:t>
      </w:r>
      <w:bookmarkEnd w:id="942"/>
      <w:r>
        <w:rPr>
          <w:rFonts w:hint="eastAsia" w:ascii="宋体" w:hAnsi="宋体" w:eastAsia="宋体" w:cs="宋体"/>
          <w:color w:val="auto"/>
        </w:rPr>
        <w:t>、联合体协议书</w:t>
      </w:r>
      <w:bookmarkEnd w:id="943"/>
      <w:bookmarkEnd w:id="944"/>
      <w:bookmarkEnd w:id="945"/>
      <w:bookmarkEnd w:id="946"/>
      <w:r>
        <w:rPr>
          <w:rFonts w:hint="eastAsia" w:ascii="宋体" w:hAnsi="宋体" w:eastAsia="宋体" w:cs="宋体"/>
          <w:color w:val="auto"/>
          <w:lang w:eastAsia="zh-CN"/>
        </w:rPr>
        <w:t>（本项目不适用）</w:t>
      </w:r>
      <w:bookmarkEnd w:id="947"/>
    </w:p>
    <w:p w14:paraId="719A39BE">
      <w:pPr>
        <w:bidi w:val="0"/>
        <w:jc w:val="center"/>
        <w:rPr>
          <w:rFonts w:hint="eastAsia"/>
          <w:color w:val="auto"/>
        </w:rPr>
      </w:pPr>
      <w:bookmarkStart w:id="948" w:name="_Toc29587"/>
      <w:bookmarkStart w:id="949" w:name="_Toc4448"/>
      <w:bookmarkStart w:id="950" w:name="_Toc17192"/>
      <w:bookmarkStart w:id="951" w:name="_Toc20035"/>
      <w:bookmarkStart w:id="952" w:name="_Toc23295"/>
      <w:bookmarkStart w:id="953" w:name="_Toc11403"/>
      <w:r>
        <w:rPr>
          <w:rFonts w:hint="eastAsia"/>
          <w:color w:val="auto"/>
        </w:rPr>
        <w:t>（适用于</w:t>
      </w:r>
      <w:r>
        <w:rPr>
          <w:rFonts w:hint="eastAsia"/>
          <w:color w:val="auto"/>
          <w:lang w:eastAsia="zh-CN"/>
        </w:rPr>
        <w:t>询比响应人</w:t>
      </w:r>
      <w:r>
        <w:rPr>
          <w:rFonts w:hint="eastAsia"/>
          <w:color w:val="auto"/>
        </w:rPr>
        <w:t>组成联合体的情况）</w:t>
      </w:r>
      <w:bookmarkEnd w:id="948"/>
      <w:bookmarkEnd w:id="949"/>
      <w:bookmarkEnd w:id="950"/>
      <w:bookmarkEnd w:id="951"/>
      <w:bookmarkEnd w:id="952"/>
      <w:bookmarkEnd w:id="953"/>
    </w:p>
    <w:p w14:paraId="490C9CD3">
      <w:pPr>
        <w:pStyle w:val="39"/>
        <w:pageBreakBefore w:val="0"/>
        <w:tabs>
          <w:tab w:val="left" w:pos="2352"/>
          <w:tab w:val="left" w:pos="3274"/>
          <w:tab w:val="left" w:pos="6926"/>
        </w:tabs>
        <w:kinsoku/>
        <w:overflowPunct/>
        <w:topLinePunct w:val="0"/>
        <w:bidi w:val="0"/>
        <w:snapToGrid/>
        <w:spacing w:line="360" w:lineRule="auto"/>
        <w:ind w:firstLine="840" w:firstLineChars="400"/>
        <w:rPr>
          <w:rFonts w:hint="eastAsia" w:ascii="宋体" w:hAnsi="宋体" w:eastAsia="宋体" w:cs="宋体"/>
          <w:color w:val="auto"/>
        </w:rPr>
      </w:pP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sz w:val="24"/>
          <w:u w:val="single"/>
        </w:rPr>
        <w:t>（所有成员单位名称）</w:t>
      </w:r>
      <w:r>
        <w:rPr>
          <w:rFonts w:hint="eastAsia" w:ascii="宋体" w:hAnsi="宋体" w:eastAsia="宋体" w:cs="宋体"/>
          <w:color w:val="auto"/>
          <w:sz w:val="24"/>
        </w:rPr>
        <w:t>自愿组成</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sz w:val="24"/>
          <w:u w:val="single"/>
        </w:rPr>
        <w:t>（联合体名称）</w:t>
      </w:r>
      <w:r>
        <w:rPr>
          <w:rFonts w:hint="eastAsia" w:ascii="宋体" w:hAnsi="宋体" w:eastAsia="宋体" w:cs="宋体"/>
          <w:color w:val="auto"/>
          <w:sz w:val="24"/>
        </w:rPr>
        <w:t>联合体，共同参加</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sz w:val="24"/>
          <w:u w:val="single"/>
        </w:rPr>
        <w:t>（项目名称）</w:t>
      </w:r>
      <w:r>
        <w:rPr>
          <w:rFonts w:hint="eastAsia" w:ascii="宋体" w:hAnsi="宋体" w:eastAsia="宋体" w:cs="宋体"/>
          <w:color w:val="auto"/>
          <w:sz w:val="24"/>
          <w:lang w:eastAsia="zh-CN"/>
        </w:rPr>
        <w:t>询比</w:t>
      </w:r>
      <w:r>
        <w:rPr>
          <w:rFonts w:hint="eastAsia" w:ascii="宋体" w:hAnsi="宋体" w:eastAsia="宋体" w:cs="宋体"/>
          <w:color w:val="auto"/>
          <w:sz w:val="24"/>
        </w:rPr>
        <w:t>活动。现就组成联合体事宜订立如下</w:t>
      </w:r>
      <w:r>
        <w:rPr>
          <w:rFonts w:hint="eastAsia" w:ascii="宋体" w:hAnsi="宋体" w:eastAsia="宋体" w:cs="宋体"/>
          <w:color w:val="auto"/>
          <w:sz w:val="24"/>
          <w:lang w:val="en-US" w:eastAsia="zh-CN"/>
        </w:rPr>
        <w:t>协</w:t>
      </w:r>
      <w:r>
        <w:rPr>
          <w:rFonts w:hint="eastAsia" w:ascii="宋体" w:hAnsi="宋体" w:eastAsia="宋体" w:cs="宋体"/>
          <w:color w:val="auto"/>
          <w:sz w:val="24"/>
        </w:rPr>
        <w:t>议。</w:t>
      </w:r>
    </w:p>
    <w:p w14:paraId="38EDB9F8">
      <w:pPr>
        <w:pStyle w:val="39"/>
        <w:pageBreakBefore w:val="0"/>
        <w:tabs>
          <w:tab w:val="left" w:pos="413"/>
          <w:tab w:val="left" w:pos="2789"/>
          <w:tab w:val="left" w:pos="6211"/>
        </w:tabs>
        <w:kinsoku/>
        <w:overflowPunct/>
        <w:topLinePunct w:val="0"/>
        <w:bidi w:val="0"/>
        <w:snapToGrid/>
        <w:spacing w:line="360" w:lineRule="auto"/>
        <w:ind w:firstLine="480" w:firstLineChars="200"/>
        <w:jc w:val="left"/>
        <w:rPr>
          <w:rFonts w:hint="eastAsia" w:ascii="宋体" w:hAnsi="宋体" w:eastAsia="宋体" w:cs="宋体"/>
          <w:color w:val="auto"/>
        </w:rPr>
      </w:pPr>
      <w:r>
        <w:rPr>
          <w:rFonts w:hint="eastAsia" w:ascii="宋体" w:hAnsi="宋体" w:eastAsia="宋体" w:cs="宋体"/>
          <w:color w:val="auto"/>
          <w:sz w:val="24"/>
          <w:lang w:val="en-US" w:eastAsia="zh-CN" w:bidi="en-US"/>
        </w:rPr>
        <w:t>1.</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（某成员单位名称）</w:t>
      </w:r>
      <w:r>
        <w:rPr>
          <w:rFonts w:hint="eastAsia" w:ascii="宋体" w:hAnsi="宋体" w:eastAsia="宋体" w:cs="宋体"/>
          <w:color w:val="auto"/>
          <w:sz w:val="24"/>
        </w:rPr>
        <w:t>为</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（联合体名称）</w:t>
      </w:r>
      <w:r>
        <w:rPr>
          <w:rFonts w:hint="eastAsia" w:ascii="宋体" w:hAnsi="宋体" w:eastAsia="宋体" w:cs="宋体"/>
          <w:color w:val="auto"/>
          <w:sz w:val="24"/>
        </w:rPr>
        <w:t>牵头人。</w:t>
      </w:r>
    </w:p>
    <w:p w14:paraId="4F2CAE02">
      <w:pPr>
        <w:pStyle w:val="39"/>
        <w:pageBreakBefore w:val="0"/>
        <w:tabs>
          <w:tab w:val="left" w:pos="834"/>
        </w:tabs>
        <w:kinsoku/>
        <w:overflowPunct/>
        <w:topLinePunct w:val="0"/>
        <w:bidi w:val="0"/>
        <w:snapToGrid/>
        <w:spacing w:line="360" w:lineRule="auto"/>
        <w:ind w:firstLine="480" w:firstLineChars="200"/>
        <w:rPr>
          <w:rFonts w:hint="eastAsia" w:ascii="宋体" w:hAnsi="宋体" w:eastAsia="宋体" w:cs="宋体"/>
          <w:color w:val="auto"/>
        </w:rPr>
      </w:pPr>
      <w:bookmarkStart w:id="954" w:name="bookmark574"/>
      <w:bookmarkEnd w:id="954"/>
      <w:r>
        <w:rPr>
          <w:rFonts w:hint="eastAsia" w:ascii="宋体" w:hAnsi="宋体" w:eastAsia="宋体" w:cs="宋体"/>
          <w:color w:val="auto"/>
          <w:sz w:val="24"/>
          <w:lang w:val="en-US" w:eastAsia="zh-CN"/>
        </w:rPr>
        <w:t>2.</w:t>
      </w:r>
      <w:r>
        <w:rPr>
          <w:rFonts w:hint="eastAsia" w:ascii="宋体" w:hAnsi="宋体" w:eastAsia="宋体" w:cs="宋体"/>
          <w:color w:val="auto"/>
          <w:sz w:val="24"/>
        </w:rPr>
        <w:t>联合体各成员授权牵头人代表联合体参加</w:t>
      </w:r>
      <w:r>
        <w:rPr>
          <w:rFonts w:hint="eastAsia" w:ascii="宋体" w:hAnsi="宋体" w:eastAsia="宋体" w:cs="宋体"/>
          <w:color w:val="auto"/>
          <w:sz w:val="24"/>
          <w:lang w:eastAsia="zh-CN"/>
        </w:rPr>
        <w:t>询比</w:t>
      </w:r>
      <w:r>
        <w:rPr>
          <w:rFonts w:hint="eastAsia" w:ascii="宋体" w:hAnsi="宋体" w:eastAsia="宋体" w:cs="宋体"/>
          <w:color w:val="auto"/>
          <w:sz w:val="24"/>
        </w:rPr>
        <w:t>采购活动，签署文件，递交和接收相关的资料、信息及指示，进行合同</w:t>
      </w:r>
      <w:r>
        <w:rPr>
          <w:rFonts w:hint="eastAsia" w:ascii="宋体" w:hAnsi="宋体" w:eastAsia="宋体" w:cs="宋体"/>
          <w:color w:val="auto"/>
          <w:sz w:val="24"/>
          <w:lang w:eastAsia="zh-CN"/>
        </w:rPr>
        <w:t>询比</w:t>
      </w:r>
      <w:r>
        <w:rPr>
          <w:rFonts w:hint="eastAsia" w:ascii="宋体" w:hAnsi="宋体" w:eastAsia="宋体" w:cs="宋体"/>
          <w:color w:val="auto"/>
          <w:sz w:val="24"/>
        </w:rPr>
        <w:t>活动，负责合同实施阶段的组织和协调工 作，以及处理与本采购项目有关的一切事宜。</w:t>
      </w:r>
    </w:p>
    <w:p w14:paraId="194A4C72">
      <w:pPr>
        <w:pStyle w:val="39"/>
        <w:pageBreakBefore w:val="0"/>
        <w:tabs>
          <w:tab w:val="left" w:pos="843"/>
        </w:tabs>
        <w:kinsoku/>
        <w:overflowPunct/>
        <w:topLinePunct w:val="0"/>
        <w:bidi w:val="0"/>
        <w:snapToGrid/>
        <w:spacing w:line="360" w:lineRule="auto"/>
        <w:ind w:firstLine="480" w:firstLineChars="200"/>
        <w:rPr>
          <w:rFonts w:hint="eastAsia" w:ascii="宋体" w:hAnsi="宋体" w:eastAsia="宋体" w:cs="宋体"/>
          <w:color w:val="auto"/>
        </w:rPr>
      </w:pPr>
      <w:bookmarkStart w:id="955" w:name="bookmark575"/>
      <w:bookmarkEnd w:id="955"/>
      <w:r>
        <w:rPr>
          <w:rFonts w:hint="eastAsia" w:ascii="宋体" w:hAnsi="宋体" w:eastAsia="宋体" w:cs="宋体"/>
          <w:color w:val="auto"/>
          <w:sz w:val="24"/>
          <w:lang w:val="en-US" w:eastAsia="zh-CN"/>
        </w:rPr>
        <w:t>3.</w:t>
      </w:r>
      <w:r>
        <w:rPr>
          <w:rFonts w:hint="eastAsia" w:ascii="宋体" w:hAnsi="宋体" w:eastAsia="宋体" w:cs="宋体"/>
          <w:color w:val="auto"/>
          <w:sz w:val="24"/>
        </w:rPr>
        <w:t>联合体牵头人在本项目中签署的一切文件和处理的一切事宜，联合体各成员均予以承认。联合体各成员将严格按照采购文件、响应文件和合同的要求全面履行义务, 并向</w:t>
      </w:r>
      <w:r>
        <w:rPr>
          <w:rFonts w:hint="eastAsia" w:cs="宋体"/>
          <w:color w:val="auto"/>
          <w:sz w:val="24"/>
          <w:lang w:eastAsia="zh-CN"/>
        </w:rPr>
        <w:t>采购人</w:t>
      </w:r>
      <w:r>
        <w:rPr>
          <w:rFonts w:hint="eastAsia" w:ascii="宋体" w:hAnsi="宋体" w:eastAsia="宋体" w:cs="宋体"/>
          <w:color w:val="auto"/>
          <w:sz w:val="24"/>
        </w:rPr>
        <w:t>承担连带责任。</w:t>
      </w:r>
    </w:p>
    <w:p w14:paraId="49753CE4">
      <w:pPr>
        <w:pStyle w:val="39"/>
        <w:pageBreakBefore w:val="0"/>
        <w:tabs>
          <w:tab w:val="left" w:pos="736"/>
        </w:tabs>
        <w:kinsoku/>
        <w:overflowPunct/>
        <w:topLinePunct w:val="0"/>
        <w:bidi w:val="0"/>
        <w:snapToGrid/>
        <w:spacing w:line="360" w:lineRule="auto"/>
        <w:ind w:firstLine="456" w:firstLineChars="200"/>
        <w:jc w:val="left"/>
        <w:rPr>
          <w:rFonts w:hint="eastAsia" w:ascii="宋体" w:hAnsi="宋体" w:eastAsia="宋体" w:cs="宋体"/>
          <w:color w:val="auto"/>
          <w:spacing w:val="-6"/>
        </w:rPr>
      </w:pPr>
      <w:bookmarkStart w:id="956" w:name="bookmark576"/>
      <w:bookmarkEnd w:id="956"/>
      <w:r>
        <w:rPr>
          <w:rFonts w:hint="eastAsia" w:ascii="宋体" w:hAnsi="宋体" w:eastAsia="宋体" w:cs="宋体"/>
          <w:color w:val="auto"/>
          <w:spacing w:val="-6"/>
          <w:sz w:val="24"/>
          <w:lang w:val="en-US" w:eastAsia="zh-CN"/>
        </w:rPr>
        <w:t>4.</w:t>
      </w:r>
      <w:r>
        <w:rPr>
          <w:rFonts w:hint="eastAsia" w:ascii="宋体" w:hAnsi="宋体" w:eastAsia="宋体" w:cs="宋体"/>
          <w:color w:val="auto"/>
          <w:spacing w:val="-6"/>
          <w:sz w:val="24"/>
        </w:rPr>
        <w:t>联合体各方承诺不以自己名义单独或参加其他联合体参与本</w:t>
      </w:r>
      <w:r>
        <w:rPr>
          <w:rFonts w:hint="eastAsia" w:ascii="宋体" w:hAnsi="宋体" w:eastAsia="宋体" w:cs="宋体"/>
          <w:color w:val="auto"/>
          <w:spacing w:val="-6"/>
          <w:sz w:val="24"/>
          <w:lang w:eastAsia="zh-CN"/>
        </w:rPr>
        <w:t>询比</w:t>
      </w:r>
      <w:r>
        <w:rPr>
          <w:rFonts w:hint="eastAsia" w:ascii="宋体" w:hAnsi="宋体" w:eastAsia="宋体" w:cs="宋体"/>
          <w:color w:val="auto"/>
          <w:spacing w:val="-6"/>
          <w:sz w:val="24"/>
        </w:rPr>
        <w:t>釆购项目。</w:t>
      </w:r>
    </w:p>
    <w:p w14:paraId="113F978D">
      <w:pPr>
        <w:pStyle w:val="39"/>
        <w:pageBreakBefore w:val="0"/>
        <w:tabs>
          <w:tab w:val="left" w:pos="736"/>
          <w:tab w:val="left" w:pos="8822"/>
        </w:tabs>
        <w:kinsoku/>
        <w:overflowPunct/>
        <w:topLinePunct w:val="0"/>
        <w:bidi w:val="0"/>
        <w:snapToGrid/>
        <w:spacing w:line="360" w:lineRule="auto"/>
        <w:ind w:firstLine="480" w:firstLineChars="200"/>
        <w:rPr>
          <w:rFonts w:hint="eastAsia" w:ascii="宋体" w:hAnsi="宋体" w:eastAsia="宋体" w:cs="宋体"/>
          <w:color w:val="auto"/>
        </w:rPr>
      </w:pPr>
      <w:bookmarkStart w:id="957" w:name="bookmark577"/>
      <w:bookmarkEnd w:id="957"/>
      <w:r>
        <w:rPr>
          <w:rFonts w:hint="eastAsia" w:ascii="宋体" w:hAnsi="宋体" w:eastAsia="宋体" w:cs="宋体"/>
          <w:color w:val="auto"/>
          <w:sz w:val="24"/>
          <w:lang w:val="en-US" w:eastAsia="zh-CN"/>
        </w:rPr>
        <w:t>5.</w:t>
      </w:r>
      <w:r>
        <w:rPr>
          <w:rFonts w:hint="eastAsia" w:ascii="宋体" w:hAnsi="宋体" w:eastAsia="宋体" w:cs="宋体"/>
          <w:color w:val="auto"/>
          <w:sz w:val="24"/>
        </w:rPr>
        <w:t>联合体各成员单位内部的职责分工如下：</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rPr>
        <w:t>。</w:t>
      </w:r>
    </w:p>
    <w:p w14:paraId="1A18328C">
      <w:pPr>
        <w:pStyle w:val="39"/>
        <w:pageBreakBefore w:val="0"/>
        <w:tabs>
          <w:tab w:val="left" w:pos="834"/>
        </w:tabs>
        <w:kinsoku/>
        <w:overflowPunct/>
        <w:topLinePunct w:val="0"/>
        <w:bidi w:val="0"/>
        <w:snapToGrid/>
        <w:spacing w:line="360" w:lineRule="auto"/>
        <w:ind w:firstLine="480" w:firstLineChars="200"/>
        <w:rPr>
          <w:rFonts w:hint="eastAsia" w:ascii="宋体" w:hAnsi="宋体" w:eastAsia="宋体" w:cs="宋体"/>
          <w:color w:val="auto"/>
        </w:rPr>
      </w:pPr>
      <w:bookmarkStart w:id="958" w:name="bookmark578"/>
      <w:bookmarkEnd w:id="958"/>
      <w:r>
        <w:rPr>
          <w:rFonts w:hint="eastAsia" w:ascii="宋体" w:hAnsi="宋体" w:eastAsia="宋体" w:cs="宋体"/>
          <w:color w:val="auto"/>
          <w:sz w:val="24"/>
          <w:lang w:val="en-US" w:eastAsia="zh-CN"/>
        </w:rPr>
        <w:t>6.</w:t>
      </w:r>
      <w:r>
        <w:rPr>
          <w:rFonts w:hint="eastAsia" w:ascii="宋体" w:hAnsi="宋体" w:eastAsia="宋体" w:cs="宋体"/>
          <w:color w:val="auto"/>
          <w:sz w:val="24"/>
        </w:rPr>
        <w:t>本协议书自所有成员单位法定代表人（单位负责人）或其授权的代理人签字并 加盖单位章之日起生效，合同履行完毕后自动失效。</w:t>
      </w:r>
    </w:p>
    <w:p w14:paraId="39FB98FA">
      <w:pPr>
        <w:pStyle w:val="39"/>
        <w:pageBreakBefore w:val="0"/>
        <w:tabs>
          <w:tab w:val="left" w:pos="736"/>
          <w:tab w:val="left" w:pos="3082"/>
        </w:tabs>
        <w:kinsoku/>
        <w:overflowPunct/>
        <w:topLinePunct w:val="0"/>
        <w:bidi w:val="0"/>
        <w:snapToGrid/>
        <w:spacing w:line="360" w:lineRule="auto"/>
        <w:ind w:firstLine="480" w:firstLineChars="200"/>
        <w:jc w:val="left"/>
        <w:rPr>
          <w:rFonts w:hint="eastAsia" w:ascii="宋体" w:hAnsi="宋体" w:eastAsia="宋体" w:cs="宋体"/>
          <w:color w:val="auto"/>
        </w:rPr>
      </w:pPr>
      <w:bookmarkStart w:id="959" w:name="bookmark579"/>
      <w:bookmarkEnd w:id="959"/>
      <w:r>
        <w:rPr>
          <w:rFonts w:hint="eastAsia" w:ascii="宋体" w:hAnsi="宋体" w:eastAsia="宋体" w:cs="宋体"/>
          <w:color w:val="auto"/>
          <w:sz w:val="24"/>
          <w:lang w:val="en-US" w:eastAsia="zh-CN"/>
        </w:rPr>
        <w:t>7.</w:t>
      </w:r>
      <w:r>
        <w:rPr>
          <w:rFonts w:hint="eastAsia" w:ascii="宋体" w:hAnsi="宋体" w:eastAsia="宋体" w:cs="宋体"/>
          <w:color w:val="auto"/>
          <w:sz w:val="24"/>
        </w:rPr>
        <w:t>本协议书一式</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sz w:val="24"/>
        </w:rPr>
        <w:t>份，联合体成员和</w:t>
      </w:r>
      <w:r>
        <w:rPr>
          <w:rFonts w:hint="eastAsia" w:cs="宋体"/>
          <w:color w:val="auto"/>
          <w:sz w:val="24"/>
          <w:lang w:eastAsia="zh-CN"/>
        </w:rPr>
        <w:t>采购人</w:t>
      </w:r>
      <w:r>
        <w:rPr>
          <w:rFonts w:hint="eastAsia" w:ascii="宋体" w:hAnsi="宋体" w:eastAsia="宋体" w:cs="宋体"/>
          <w:color w:val="auto"/>
          <w:sz w:val="24"/>
        </w:rPr>
        <w:t>各执一份。</w:t>
      </w:r>
    </w:p>
    <w:p w14:paraId="03E92C4E">
      <w:pPr>
        <w:pStyle w:val="40"/>
        <w:pageBreakBefore w:val="0"/>
        <w:kinsoku/>
        <w:overflowPunct/>
        <w:topLinePunct w:val="0"/>
        <w:bidi w:val="0"/>
        <w:snapToGrid/>
        <w:spacing w:after="0" w:line="360" w:lineRule="auto"/>
        <w:ind w:firstLine="360"/>
        <w:jc w:val="left"/>
        <w:rPr>
          <w:rFonts w:hint="eastAsia" w:ascii="宋体" w:hAnsi="宋体" w:eastAsia="宋体" w:cs="宋体"/>
          <w:color w:val="auto"/>
        </w:rPr>
      </w:pPr>
      <w:r>
        <w:rPr>
          <w:rFonts w:hint="eastAsia" w:ascii="宋体" w:hAnsi="宋体" w:eastAsia="宋体" w:cs="宋体"/>
          <w:color w:val="auto"/>
        </w:rPr>
        <w:t>（注：本协议书由委托代理人签字的，应附授权委托书。）</w:t>
      </w:r>
    </w:p>
    <w:p w14:paraId="75A41070">
      <w:pPr>
        <w:pStyle w:val="39"/>
        <w:pageBreakBefore w:val="0"/>
        <w:tabs>
          <w:tab w:val="left" w:pos="7337"/>
          <w:tab w:val="left" w:pos="7735"/>
        </w:tabs>
        <w:kinsoku/>
        <w:overflowPunct/>
        <w:topLinePunct w:val="0"/>
        <w:bidi w:val="0"/>
        <w:snapToGrid/>
        <w:spacing w:line="360" w:lineRule="auto"/>
        <w:ind w:firstLine="1440" w:firstLineChars="600"/>
        <w:jc w:val="left"/>
        <w:rPr>
          <w:rFonts w:hint="eastAsia" w:ascii="宋体" w:hAnsi="宋体" w:eastAsia="宋体" w:cs="宋体"/>
          <w:color w:val="auto"/>
          <w:sz w:val="24"/>
          <w:u w:val="single"/>
        </w:rPr>
      </w:pPr>
      <w:r>
        <w:rPr>
          <w:rFonts w:hint="eastAsia" w:ascii="宋体" w:hAnsi="宋体" w:eastAsia="宋体" w:cs="宋体"/>
          <w:color w:val="auto"/>
          <w:sz w:val="24"/>
        </w:rPr>
        <w:t>联合体牵头人名称：</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 xml:space="preserve">（盖单位章） </w:t>
      </w:r>
    </w:p>
    <w:p w14:paraId="5F0F8457">
      <w:pPr>
        <w:pStyle w:val="39"/>
        <w:pageBreakBefore w:val="0"/>
        <w:tabs>
          <w:tab w:val="left" w:pos="7337"/>
          <w:tab w:val="left" w:pos="7735"/>
        </w:tabs>
        <w:kinsoku/>
        <w:overflowPunct/>
        <w:topLinePunct w:val="0"/>
        <w:bidi w:val="0"/>
        <w:snapToGrid/>
        <w:spacing w:line="360" w:lineRule="auto"/>
        <w:ind w:firstLine="1440" w:firstLineChars="600"/>
        <w:jc w:val="left"/>
        <w:rPr>
          <w:rFonts w:hint="eastAsia" w:ascii="宋体" w:hAnsi="宋体" w:eastAsia="宋体" w:cs="宋体"/>
          <w:color w:val="auto"/>
        </w:rPr>
      </w:pPr>
      <w:r>
        <w:rPr>
          <w:rFonts w:hint="eastAsia" w:ascii="宋体" w:hAnsi="宋体" w:eastAsia="宋体" w:cs="宋体"/>
          <w:color w:val="auto"/>
          <w:sz w:val="24"/>
        </w:rPr>
        <w:t>法定代表人（单位负责人）或其授权的代理人：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（签字）</w:t>
      </w:r>
    </w:p>
    <w:p w14:paraId="56CD9C4C">
      <w:pPr>
        <w:pStyle w:val="39"/>
        <w:pageBreakBefore w:val="0"/>
        <w:tabs>
          <w:tab w:val="left" w:pos="7342"/>
          <w:tab w:val="left" w:pos="7735"/>
        </w:tabs>
        <w:kinsoku/>
        <w:overflowPunct/>
        <w:topLinePunct w:val="0"/>
        <w:bidi w:val="0"/>
        <w:snapToGrid/>
        <w:spacing w:line="360" w:lineRule="auto"/>
        <w:ind w:firstLine="1440" w:firstLineChars="600"/>
        <w:jc w:val="left"/>
        <w:rPr>
          <w:rFonts w:hint="eastAsia" w:ascii="宋体" w:hAnsi="宋体" w:eastAsia="宋体" w:cs="宋体"/>
          <w:color w:val="auto"/>
          <w:sz w:val="24"/>
        </w:rPr>
      </w:pPr>
    </w:p>
    <w:p w14:paraId="5E590028">
      <w:pPr>
        <w:pStyle w:val="39"/>
        <w:pageBreakBefore w:val="0"/>
        <w:tabs>
          <w:tab w:val="left" w:pos="7342"/>
          <w:tab w:val="left" w:pos="7735"/>
        </w:tabs>
        <w:kinsoku/>
        <w:overflowPunct/>
        <w:topLinePunct w:val="0"/>
        <w:bidi w:val="0"/>
        <w:snapToGrid/>
        <w:spacing w:line="360" w:lineRule="auto"/>
        <w:ind w:firstLine="1440" w:firstLineChars="600"/>
        <w:jc w:val="left"/>
        <w:rPr>
          <w:rFonts w:hint="eastAsia" w:ascii="宋体" w:hAnsi="宋体" w:eastAsia="宋体" w:cs="宋体"/>
          <w:color w:val="auto"/>
          <w:sz w:val="24"/>
          <w:u w:val="single"/>
        </w:rPr>
      </w:pPr>
      <w:r>
        <w:rPr>
          <w:rFonts w:hint="eastAsia" w:ascii="宋体" w:hAnsi="宋体" w:eastAsia="宋体" w:cs="宋体"/>
          <w:color w:val="auto"/>
          <w:sz w:val="24"/>
        </w:rPr>
        <w:t>联合体成员名称：</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 xml:space="preserve">（盖单位章） </w:t>
      </w:r>
    </w:p>
    <w:p w14:paraId="3BB1D8D3">
      <w:pPr>
        <w:pStyle w:val="39"/>
        <w:pageBreakBefore w:val="0"/>
        <w:tabs>
          <w:tab w:val="left" w:pos="7342"/>
          <w:tab w:val="left" w:pos="7735"/>
        </w:tabs>
        <w:kinsoku/>
        <w:overflowPunct/>
        <w:topLinePunct w:val="0"/>
        <w:bidi w:val="0"/>
        <w:snapToGrid/>
        <w:spacing w:line="360" w:lineRule="auto"/>
        <w:ind w:firstLine="1440" w:firstLineChars="600"/>
        <w:jc w:val="left"/>
        <w:rPr>
          <w:rFonts w:hint="eastAsia" w:ascii="宋体" w:hAnsi="宋体" w:eastAsia="宋体" w:cs="宋体"/>
          <w:color w:val="auto"/>
        </w:rPr>
      </w:pPr>
      <w:r>
        <w:rPr>
          <w:rFonts w:hint="eastAsia" w:ascii="宋体" w:hAnsi="宋体" w:eastAsia="宋体" w:cs="宋体"/>
          <w:color w:val="auto"/>
          <w:sz w:val="24"/>
        </w:rPr>
        <w:t>法定代表人（单位负责人）或其授权的代理人：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（签字）</w:t>
      </w:r>
    </w:p>
    <w:p w14:paraId="339F8739">
      <w:pPr>
        <w:pStyle w:val="39"/>
        <w:pageBreakBefore w:val="0"/>
        <w:tabs>
          <w:tab w:val="left" w:pos="7346"/>
          <w:tab w:val="left" w:pos="7735"/>
        </w:tabs>
        <w:kinsoku/>
        <w:overflowPunct/>
        <w:topLinePunct w:val="0"/>
        <w:bidi w:val="0"/>
        <w:snapToGrid/>
        <w:spacing w:line="360" w:lineRule="auto"/>
        <w:ind w:firstLine="1440" w:firstLineChars="600"/>
        <w:jc w:val="left"/>
        <w:rPr>
          <w:rFonts w:hint="eastAsia" w:ascii="宋体" w:hAnsi="宋体" w:eastAsia="宋体" w:cs="宋体"/>
          <w:color w:val="auto"/>
          <w:sz w:val="24"/>
        </w:rPr>
      </w:pPr>
    </w:p>
    <w:p w14:paraId="765B4F88">
      <w:pPr>
        <w:pStyle w:val="39"/>
        <w:pageBreakBefore w:val="0"/>
        <w:tabs>
          <w:tab w:val="left" w:pos="7346"/>
          <w:tab w:val="left" w:pos="7735"/>
        </w:tabs>
        <w:kinsoku/>
        <w:overflowPunct/>
        <w:topLinePunct w:val="0"/>
        <w:bidi w:val="0"/>
        <w:snapToGrid/>
        <w:spacing w:line="360" w:lineRule="auto"/>
        <w:ind w:firstLine="1440" w:firstLineChars="600"/>
        <w:jc w:val="left"/>
        <w:rPr>
          <w:rFonts w:hint="eastAsia" w:ascii="宋体" w:hAnsi="宋体" w:eastAsia="宋体" w:cs="宋体"/>
          <w:color w:val="auto"/>
          <w:sz w:val="24"/>
          <w:u w:val="single"/>
        </w:rPr>
      </w:pPr>
      <w:r>
        <w:rPr>
          <w:rFonts w:hint="eastAsia" w:ascii="宋体" w:hAnsi="宋体" w:eastAsia="宋体" w:cs="宋体"/>
          <w:color w:val="auto"/>
          <w:sz w:val="24"/>
        </w:rPr>
        <w:t>联合体成员名称：</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 xml:space="preserve">                                 </w:t>
      </w:r>
      <w:r>
        <w:rPr>
          <w:rFonts w:hint="eastAsia" w:ascii="宋体" w:hAnsi="宋体" w:eastAsia="宋体" w:cs="宋体"/>
          <w:color w:val="auto"/>
          <w:sz w:val="24"/>
          <w:u w:val="single"/>
        </w:rPr>
        <w:t xml:space="preserve">（盖单位章） </w:t>
      </w:r>
    </w:p>
    <w:p w14:paraId="1F104C26">
      <w:pPr>
        <w:pStyle w:val="39"/>
        <w:pageBreakBefore w:val="0"/>
        <w:tabs>
          <w:tab w:val="left" w:pos="7346"/>
          <w:tab w:val="left" w:pos="7735"/>
        </w:tabs>
        <w:kinsoku/>
        <w:overflowPunct/>
        <w:topLinePunct w:val="0"/>
        <w:bidi w:val="0"/>
        <w:snapToGrid/>
        <w:spacing w:line="360" w:lineRule="auto"/>
        <w:ind w:firstLine="1440" w:firstLineChars="600"/>
        <w:jc w:val="left"/>
        <w:rPr>
          <w:rFonts w:hint="eastAsia" w:ascii="宋体" w:hAnsi="宋体" w:eastAsia="宋体" w:cs="宋体"/>
          <w:color w:val="auto"/>
        </w:rPr>
      </w:pPr>
      <w:r>
        <w:rPr>
          <w:rFonts w:hint="eastAsia" w:ascii="宋体" w:hAnsi="宋体" w:eastAsia="宋体" w:cs="宋体"/>
          <w:color w:val="auto"/>
          <w:sz w:val="24"/>
        </w:rPr>
        <w:t>法定代表人（单位负责人）或其授权的代理人：</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（签字）</w:t>
      </w:r>
    </w:p>
    <w:p w14:paraId="7C312DF8">
      <w:pPr>
        <w:pStyle w:val="35"/>
        <w:pageBreakBefore w:val="0"/>
        <w:tabs>
          <w:tab w:val="left" w:leader="dot" w:pos="-748"/>
        </w:tabs>
        <w:kinsoku/>
        <w:overflowPunct/>
        <w:topLinePunct w:val="0"/>
        <w:bidi w:val="0"/>
        <w:snapToGrid/>
        <w:spacing w:line="360" w:lineRule="auto"/>
        <w:jc w:val="left"/>
        <w:rPr>
          <w:rFonts w:hint="eastAsia" w:ascii="宋体" w:hAnsi="宋体" w:eastAsia="宋体" w:cs="宋体"/>
          <w:color w:val="auto"/>
          <w:sz w:val="20"/>
          <w:szCs w:val="20"/>
        </w:rPr>
      </w:pPr>
    </w:p>
    <w:p w14:paraId="6EB1633A">
      <w:pPr>
        <w:pageBreakBefore w:val="0"/>
        <w:kinsoku/>
        <w:overflowPunct/>
        <w:topLinePunct w:val="0"/>
        <w:bidi w:val="0"/>
        <w:snapToGrid/>
        <w:spacing w:line="360" w:lineRule="auto"/>
        <w:ind w:firstLine="5280" w:firstLineChars="220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0F46DAF5">
      <w:pPr>
        <w:pageBreakBefore w:val="0"/>
        <w:kinsoku/>
        <w:overflowPunct/>
        <w:topLinePunct w:val="0"/>
        <w:bidi w:val="0"/>
        <w:snapToGrid/>
        <w:spacing w:line="360" w:lineRule="auto"/>
        <w:rPr>
          <w:rFonts w:hint="eastAsia" w:ascii="宋体" w:hAnsi="宋体" w:eastAsia="宋体" w:cs="宋体"/>
          <w:color w:val="auto"/>
          <w:sz w:val="24"/>
        </w:rPr>
      </w:pPr>
      <w:r>
        <w:rPr>
          <w:rFonts w:hint="eastAsia" w:ascii="宋体" w:hAnsi="宋体" w:eastAsia="宋体" w:cs="宋体"/>
          <w:color w:val="auto"/>
          <w:sz w:val="24"/>
        </w:rPr>
        <w:br w:type="page"/>
      </w:r>
    </w:p>
    <w:p w14:paraId="3151487B">
      <w:pPr>
        <w:pStyle w:val="4"/>
        <w:pageBreakBefore w:val="0"/>
        <w:kinsoku/>
        <w:overflowPunct/>
        <w:topLinePunct w:val="0"/>
        <w:bidi w:val="0"/>
        <w:snapToGrid/>
        <w:spacing w:line="360" w:lineRule="auto"/>
        <w:ind w:firstLine="2811" w:firstLineChars="1000"/>
        <w:jc w:val="left"/>
        <w:rPr>
          <w:rFonts w:hint="eastAsia" w:ascii="宋体" w:hAnsi="宋体" w:eastAsia="宋体" w:cs="宋体"/>
          <w:color w:val="auto"/>
        </w:rPr>
      </w:pPr>
      <w:bookmarkStart w:id="960" w:name="bookmark582"/>
      <w:bookmarkStart w:id="961" w:name="_Toc444"/>
      <w:bookmarkStart w:id="962" w:name="bookmark580"/>
      <w:bookmarkStart w:id="963" w:name="_Toc6650"/>
      <w:bookmarkStart w:id="964" w:name="bookmark581"/>
      <w:bookmarkStart w:id="965" w:name="bookmark583"/>
      <w:r>
        <w:rPr>
          <w:rFonts w:hint="eastAsia" w:ascii="宋体" w:hAnsi="宋体" w:eastAsia="宋体" w:cs="宋体"/>
          <w:color w:val="auto"/>
        </w:rPr>
        <w:t>四</w:t>
      </w:r>
      <w:bookmarkEnd w:id="960"/>
      <w:r>
        <w:rPr>
          <w:rFonts w:hint="eastAsia" w:ascii="宋体" w:hAnsi="宋体" w:eastAsia="宋体" w:cs="宋体"/>
          <w:color w:val="auto"/>
        </w:rPr>
        <w:t>、响应保证金</w:t>
      </w:r>
      <w:bookmarkEnd w:id="961"/>
      <w:bookmarkEnd w:id="962"/>
      <w:bookmarkEnd w:id="963"/>
      <w:bookmarkEnd w:id="964"/>
      <w:bookmarkEnd w:id="965"/>
    </w:p>
    <w:p w14:paraId="00AC08B6">
      <w:pPr>
        <w:pStyle w:val="39"/>
        <w:pageBreakBefore w:val="0"/>
        <w:kinsoku/>
        <w:overflowPunct/>
        <w:topLinePunct w:val="0"/>
        <w:bidi w:val="0"/>
        <w:snapToGrid/>
        <w:spacing w:after="480" w:line="360" w:lineRule="auto"/>
        <w:jc w:val="center"/>
        <w:rPr>
          <w:rFonts w:hint="eastAsia" w:ascii="宋体" w:hAnsi="宋体" w:eastAsia="宋体" w:cs="宋体"/>
          <w:color w:val="auto"/>
          <w:sz w:val="24"/>
        </w:rPr>
      </w:pPr>
      <w:bookmarkStart w:id="966" w:name="_Toc28174"/>
      <w:bookmarkStart w:id="967" w:name="_Toc8368"/>
      <w:bookmarkStart w:id="968" w:name="_Toc1278"/>
      <w:r>
        <w:rPr>
          <w:rFonts w:hint="eastAsia" w:ascii="宋体" w:hAnsi="宋体" w:eastAsia="宋体" w:cs="宋体"/>
          <w:color w:val="auto"/>
          <w:sz w:val="24"/>
        </w:rPr>
        <w:t>（适用于递交响应保证金的情况）</w:t>
      </w:r>
      <w:bookmarkEnd w:id="966"/>
      <w:bookmarkEnd w:id="967"/>
      <w:bookmarkEnd w:id="968"/>
    </w:p>
    <w:p w14:paraId="0720CD36">
      <w:pPr>
        <w:pStyle w:val="39"/>
        <w:keepNext w:val="0"/>
        <w:keepLines w:val="0"/>
        <w:pageBreakBefore w:val="0"/>
        <w:widowControl w:val="0"/>
        <w:tabs>
          <w:tab w:val="left" w:pos="1216"/>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bookmarkStart w:id="969" w:name="bookmark584"/>
      <w:bookmarkEnd w:id="969"/>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采用转账方式的，</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应在此提供转账凭证复印件</w:t>
      </w:r>
      <w:r>
        <w:rPr>
          <w:rFonts w:hint="eastAsia" w:cs="宋体"/>
          <w:color w:val="auto"/>
          <w:sz w:val="24"/>
          <w:szCs w:val="24"/>
          <w:lang w:val="en-US" w:eastAsia="zh-CN"/>
        </w:rPr>
        <w:t>及基本开户信息</w:t>
      </w:r>
      <w:r>
        <w:rPr>
          <w:rFonts w:hint="eastAsia" w:ascii="宋体" w:hAnsi="宋体" w:eastAsia="宋体" w:cs="宋体"/>
          <w:color w:val="auto"/>
          <w:sz w:val="24"/>
          <w:szCs w:val="24"/>
        </w:rPr>
        <w:t>。</w:t>
      </w:r>
    </w:p>
    <w:p w14:paraId="0AFBDAA2">
      <w:pPr>
        <w:pStyle w:val="39"/>
        <w:keepNext w:val="0"/>
        <w:keepLines w:val="0"/>
        <w:pageBreakBefore w:val="0"/>
        <w:widowControl w:val="0"/>
        <w:tabs>
          <w:tab w:val="left" w:pos="1253"/>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bookmarkStart w:id="970" w:name="bookmark585"/>
      <w:bookmarkEnd w:id="970"/>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采用支票、汇票等方式的，</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应在此提供支票、汇票等的复印件，原件应单独递交。</w:t>
      </w:r>
    </w:p>
    <w:p w14:paraId="3546676B">
      <w:pPr>
        <w:pStyle w:val="39"/>
        <w:keepNext w:val="0"/>
        <w:keepLines w:val="0"/>
        <w:pageBreakBefore w:val="0"/>
        <w:widowControl w:val="0"/>
        <w:tabs>
          <w:tab w:val="left" w:pos="1231"/>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bookmarkStart w:id="971" w:name="bookmark586"/>
      <w:bookmarkEnd w:id="971"/>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采用银行或担保机构担保函方式的，格式如下：</w:t>
      </w:r>
    </w:p>
    <w:p w14:paraId="2A6B86D8">
      <w:pPr>
        <w:pStyle w:val="39"/>
        <w:keepNext w:val="0"/>
        <w:keepLines w:val="0"/>
        <w:pageBreakBefore w:val="0"/>
        <w:widowControl w:val="0"/>
        <w:tabs>
          <w:tab w:val="left" w:pos="3923"/>
          <w:tab w:val="left" w:pos="4115"/>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u w:val="single"/>
        </w:rPr>
      </w:pPr>
    </w:p>
    <w:p w14:paraId="0D149F86">
      <w:pPr>
        <w:pStyle w:val="39"/>
        <w:keepNext w:val="0"/>
        <w:keepLines w:val="0"/>
        <w:pageBreakBefore w:val="0"/>
        <w:widowControl w:val="0"/>
        <w:tabs>
          <w:tab w:val="left" w:pos="3923"/>
          <w:tab w:val="left" w:pos="4115"/>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lang w:eastAsia="zh-CN"/>
        </w:rPr>
        <w:t>（</w:t>
      </w:r>
      <w:r>
        <w:rPr>
          <w:rFonts w:hint="eastAsia" w:cs="宋体"/>
          <w:color w:val="auto"/>
          <w:sz w:val="24"/>
          <w:szCs w:val="24"/>
          <w:u w:val="single"/>
          <w:lang w:val="en-US" w:eastAsia="zh-CN"/>
        </w:rPr>
        <w:t>采购人</w:t>
      </w:r>
      <w:r>
        <w:rPr>
          <w:rFonts w:hint="eastAsia" w:ascii="宋体" w:hAnsi="宋体" w:eastAsia="宋体" w:cs="宋体"/>
          <w:color w:val="auto"/>
          <w:sz w:val="24"/>
          <w:szCs w:val="24"/>
          <w:u w:val="single"/>
          <w:lang w:val="en-US" w:eastAsia="zh-CN"/>
        </w:rPr>
        <w:t>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rPr>
        <w:t>:</w:t>
      </w:r>
    </w:p>
    <w:p w14:paraId="26BB0868">
      <w:pPr>
        <w:pStyle w:val="39"/>
        <w:keepNext w:val="0"/>
        <w:keepLines w:val="0"/>
        <w:pageBreakBefore w:val="0"/>
        <w:widowControl w:val="0"/>
        <w:tabs>
          <w:tab w:val="left" w:pos="3923"/>
          <w:tab w:val="left" w:pos="4115"/>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p>
    <w:p w14:paraId="59F4A193">
      <w:pPr>
        <w:pStyle w:val="39"/>
        <w:keepNext w:val="0"/>
        <w:keepLines w:val="0"/>
        <w:pageBreakBefore w:val="0"/>
        <w:widowControl w:val="0"/>
        <w:tabs>
          <w:tab w:val="left" w:pos="1360"/>
          <w:tab w:val="left" w:pos="2560"/>
          <w:tab w:val="left" w:pos="3501"/>
          <w:tab w:val="left" w:pos="5152"/>
          <w:tab w:val="left" w:pos="6693"/>
          <w:tab w:val="left" w:pos="9194"/>
          <w:tab w:val="left" w:pos="9467"/>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鉴于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eastAsia="zh-CN"/>
        </w:rPr>
        <w:t>询比响应人</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（以下称</w:t>
      </w:r>
      <w:r>
        <w:rPr>
          <w:rFonts w:hint="eastAsia" w:ascii="宋体" w:hAnsi="宋体" w:eastAsia="宋体" w:cs="宋体"/>
          <w:color w:val="auto"/>
          <w:sz w:val="24"/>
          <w:szCs w:val="24"/>
          <w:lang w:val="zh-CN" w:eastAsia="zh-CN" w:bidi="zh-CN"/>
        </w:rPr>
        <w:t>“询比响应人</w:t>
      </w:r>
      <w:r>
        <w:rPr>
          <w:rFonts w:hint="eastAsia" w:ascii="宋体" w:hAnsi="宋体" w:eastAsia="宋体" w:cs="宋体"/>
          <w:color w:val="auto"/>
          <w:sz w:val="24"/>
          <w:szCs w:val="24"/>
        </w:rPr>
        <w:t>“）于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p>
    <w:p w14:paraId="55424C53">
      <w:pPr>
        <w:pStyle w:val="39"/>
        <w:keepNext w:val="0"/>
        <w:keepLines w:val="0"/>
        <w:pageBreakBefore w:val="0"/>
        <w:widowControl w:val="0"/>
        <w:tabs>
          <w:tab w:val="left" w:pos="1360"/>
          <w:tab w:val="left" w:pos="2560"/>
          <w:tab w:val="left" w:pos="3501"/>
          <w:tab w:val="left" w:pos="5152"/>
          <w:tab w:val="left" w:pos="6693"/>
          <w:tab w:val="left" w:pos="9194"/>
          <w:tab w:val="left" w:pos="9467"/>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rPr>
        <w:t>日参加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lang w:eastAsia="zh-CN"/>
        </w:rPr>
        <w:t>询比</w:t>
      </w:r>
      <w:r>
        <w:rPr>
          <w:rFonts w:hint="eastAsia" w:ascii="宋体" w:hAnsi="宋体" w:eastAsia="宋体" w:cs="宋体"/>
          <w:color w:val="auto"/>
          <w:sz w:val="24"/>
          <w:szCs w:val="24"/>
        </w:rPr>
        <w:t>采购活动，</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rPr>
        <w:t>（担保人名称）</w:t>
      </w:r>
      <w:r>
        <w:rPr>
          <w:rFonts w:hint="eastAsia" w:ascii="宋体" w:hAnsi="宋体" w:eastAsia="宋体" w:cs="宋体"/>
          <w:color w:val="auto"/>
          <w:sz w:val="24"/>
          <w:szCs w:val="24"/>
        </w:rPr>
        <w:t>（以下称</w:t>
      </w:r>
      <w:r>
        <w:rPr>
          <w:rFonts w:hint="eastAsia" w:ascii="宋体" w:hAnsi="宋体" w:eastAsia="宋体" w:cs="宋体"/>
          <w:color w:val="auto"/>
          <w:sz w:val="24"/>
          <w:szCs w:val="24"/>
          <w:lang w:val="zh-CN" w:eastAsia="zh-CN" w:bidi="zh-CN"/>
        </w:rPr>
        <w:t>“我</w:t>
      </w:r>
      <w:r>
        <w:rPr>
          <w:rFonts w:hint="eastAsia" w:ascii="宋体" w:hAnsi="宋体" w:eastAsia="宋体" w:cs="宋体"/>
          <w:color w:val="auto"/>
          <w:sz w:val="24"/>
          <w:szCs w:val="24"/>
        </w:rPr>
        <w:t>方”）无条件地、不可撤销地保证：若</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在响应文件有效期内撤销响应文件，或成交后无正当理由不与</w:t>
      </w:r>
      <w:r>
        <w:rPr>
          <w:rFonts w:hint="eastAsia" w:cs="宋体"/>
          <w:color w:val="auto"/>
          <w:sz w:val="24"/>
          <w:szCs w:val="24"/>
          <w:lang w:eastAsia="zh-CN"/>
        </w:rPr>
        <w:t>采购人</w:t>
      </w:r>
      <w:r>
        <w:rPr>
          <w:rFonts w:hint="eastAsia" w:ascii="宋体" w:hAnsi="宋体" w:eastAsia="宋体" w:cs="宋体"/>
          <w:color w:val="auto"/>
          <w:sz w:val="24"/>
          <w:szCs w:val="24"/>
        </w:rPr>
        <w:t>订立合同，或在签订合同时向</w:t>
      </w:r>
      <w:r>
        <w:rPr>
          <w:rFonts w:hint="eastAsia" w:cs="宋体"/>
          <w:color w:val="auto"/>
          <w:sz w:val="24"/>
          <w:szCs w:val="24"/>
          <w:lang w:eastAsia="zh-CN"/>
        </w:rPr>
        <w:t>采购人</w:t>
      </w:r>
      <w:r>
        <w:rPr>
          <w:rFonts w:hint="eastAsia" w:ascii="宋体" w:hAnsi="宋体" w:eastAsia="宋体" w:cs="宋体"/>
          <w:color w:val="auto"/>
          <w:sz w:val="24"/>
          <w:szCs w:val="24"/>
        </w:rPr>
        <w:t>提出附加条件，或不按照釆购文件要求递交履约保证金，或者发生采购文件 明确规定不予退还响应保证金的其他情形，我方承担保证责任。收到你方书面通知后, 我方在7日内向你方无条件支付人民币（大写）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rPr>
        <w:tab/>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p w14:paraId="2C870CAD">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本保函在响应文件有效期内保持有效。要求我方承担保证责任的通知应在响应文件有效期内送达我方。</w:t>
      </w:r>
    </w:p>
    <w:p w14:paraId="532AAFFD">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p>
    <w:p w14:paraId="183DD726">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p>
    <w:p w14:paraId="6E204EDB">
      <w:pPr>
        <w:pageBreakBefore w:val="0"/>
        <w:kinsoku/>
        <w:overflowPunct/>
        <w:topLinePunct w:val="0"/>
        <w:bidi w:val="0"/>
        <w:snapToGrid/>
        <w:spacing w:line="360" w:lineRule="auto"/>
        <w:ind w:firstLine="2400" w:firstLineChars="1000"/>
        <w:rPr>
          <w:rFonts w:hint="eastAsia" w:ascii="宋体" w:hAnsi="宋体" w:eastAsia="宋体" w:cs="宋体"/>
          <w:color w:val="auto"/>
          <w:sz w:val="24"/>
          <w:u w:val="single"/>
        </w:rPr>
      </w:pPr>
      <w:r>
        <w:rPr>
          <w:rFonts w:hint="eastAsia" w:ascii="宋体" w:hAnsi="宋体" w:eastAsia="宋体" w:cs="宋体"/>
          <w:color w:val="auto"/>
          <w:sz w:val="24"/>
        </w:rPr>
        <w:t>担保人名称：</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rPr>
        <w:t xml:space="preserve">                         </w:t>
      </w:r>
      <w:r>
        <w:rPr>
          <w:rFonts w:hint="eastAsia" w:ascii="宋体" w:hAnsi="宋体" w:eastAsia="宋体" w:cs="宋体"/>
          <w:color w:val="auto"/>
          <w:sz w:val="24"/>
          <w:u w:val="single"/>
        </w:rPr>
        <w:t xml:space="preserve">（盖单位章） </w:t>
      </w:r>
    </w:p>
    <w:p w14:paraId="4162CFA7">
      <w:pPr>
        <w:pageBreakBefore w:val="0"/>
        <w:kinsoku/>
        <w:overflowPunct/>
        <w:topLinePunct w:val="0"/>
        <w:bidi w:val="0"/>
        <w:snapToGrid/>
        <w:spacing w:line="360" w:lineRule="auto"/>
        <w:ind w:firstLine="2400" w:firstLineChars="1000"/>
        <w:rPr>
          <w:rFonts w:hint="eastAsia" w:ascii="宋体" w:hAnsi="宋体" w:eastAsia="宋体" w:cs="宋体"/>
          <w:color w:val="auto"/>
          <w:sz w:val="24"/>
        </w:rPr>
      </w:pPr>
      <w:r>
        <w:rPr>
          <w:rFonts w:hint="eastAsia" w:ascii="宋体" w:hAnsi="宋体" w:eastAsia="宋体" w:cs="宋体"/>
          <w:color w:val="auto"/>
          <w:sz w:val="24"/>
        </w:rPr>
        <w:t>地    址：</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rPr>
        <w:t xml:space="preserve">   </w:t>
      </w:r>
    </w:p>
    <w:p w14:paraId="2F9507A0">
      <w:pPr>
        <w:pageBreakBefore w:val="0"/>
        <w:kinsoku/>
        <w:overflowPunct/>
        <w:topLinePunct w:val="0"/>
        <w:bidi w:val="0"/>
        <w:snapToGrid/>
        <w:spacing w:line="360" w:lineRule="auto"/>
        <w:ind w:firstLine="2400" w:firstLineChars="1000"/>
        <w:rPr>
          <w:rFonts w:hint="eastAsia" w:ascii="宋体" w:hAnsi="宋体" w:eastAsia="宋体" w:cs="宋体"/>
          <w:color w:val="auto"/>
          <w:sz w:val="24"/>
        </w:rPr>
      </w:pPr>
      <w:r>
        <w:rPr>
          <w:rFonts w:hint="eastAsia" w:ascii="宋体" w:hAnsi="宋体" w:eastAsia="宋体" w:cs="宋体"/>
          <w:color w:val="auto"/>
          <w:sz w:val="24"/>
        </w:rPr>
        <w:t>邮政编码：</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rPr>
        <w:t xml:space="preserve">                                           </w:t>
      </w:r>
    </w:p>
    <w:p w14:paraId="4ADDE01F">
      <w:pPr>
        <w:pageBreakBefore w:val="0"/>
        <w:kinsoku/>
        <w:overflowPunct/>
        <w:topLinePunct w:val="0"/>
        <w:bidi w:val="0"/>
        <w:snapToGrid/>
        <w:spacing w:line="360" w:lineRule="auto"/>
        <w:ind w:firstLine="2400" w:firstLineChars="1000"/>
        <w:rPr>
          <w:rFonts w:hint="eastAsia" w:ascii="宋体" w:hAnsi="宋体" w:eastAsia="宋体" w:cs="宋体"/>
          <w:color w:val="auto"/>
          <w:u w:val="single"/>
        </w:rPr>
      </w:pPr>
      <w:r>
        <w:rPr>
          <w:rFonts w:hint="eastAsia" w:ascii="宋体" w:hAnsi="宋体" w:eastAsia="宋体" w:cs="宋体"/>
          <w:color w:val="auto"/>
          <w:sz w:val="24"/>
        </w:rPr>
        <w:t>电    话：</w:t>
      </w:r>
      <w:r>
        <w:rPr>
          <w:rFonts w:hint="eastAsia" w:ascii="宋体" w:hAnsi="宋体" w:eastAsia="宋体" w:cs="宋体"/>
          <w:color w:val="auto"/>
          <w:u w:val="single"/>
        </w:rPr>
        <w:t xml:space="preserve"> </w:t>
      </w:r>
      <w:r>
        <w:rPr>
          <w:rFonts w:hint="eastAsia" w:ascii="宋体" w:hAnsi="宋体" w:eastAsia="宋体" w:cs="宋体"/>
          <w:color w:val="auto"/>
          <w:u w:val="single"/>
        </w:rPr>
        <w:tab/>
      </w:r>
      <w:r>
        <w:rPr>
          <w:rFonts w:hint="eastAsia" w:ascii="宋体" w:hAnsi="宋体" w:eastAsia="宋体" w:cs="宋体"/>
          <w:color w:val="auto"/>
          <w:u w:val="single"/>
        </w:rPr>
        <w:t xml:space="preserve">                                           </w:t>
      </w:r>
    </w:p>
    <w:p w14:paraId="7CADF398">
      <w:pPr>
        <w:pageBreakBefore w:val="0"/>
        <w:kinsoku/>
        <w:overflowPunct/>
        <w:topLinePunct w:val="0"/>
        <w:bidi w:val="0"/>
        <w:snapToGrid/>
        <w:spacing w:line="360" w:lineRule="auto"/>
        <w:rPr>
          <w:rFonts w:hint="eastAsia" w:ascii="宋体" w:hAnsi="宋体" w:eastAsia="宋体" w:cs="宋体"/>
          <w:color w:val="auto"/>
          <w:sz w:val="24"/>
          <w:u w:val="single"/>
        </w:rPr>
      </w:pPr>
    </w:p>
    <w:p w14:paraId="11FCF6CD">
      <w:pPr>
        <w:pageBreakBefore w:val="0"/>
        <w:kinsoku/>
        <w:overflowPunct/>
        <w:topLinePunct w:val="0"/>
        <w:bidi w:val="0"/>
        <w:snapToGrid/>
        <w:spacing w:line="360" w:lineRule="auto"/>
        <w:ind w:firstLine="5280" w:firstLineChars="220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1D85DD64">
      <w:pPr>
        <w:pageBreakBefore w:val="0"/>
        <w:kinsoku/>
        <w:overflowPunct/>
        <w:topLinePunct w:val="0"/>
        <w:bidi w:val="0"/>
        <w:snapToGrid/>
        <w:spacing w:line="360" w:lineRule="auto"/>
        <w:rPr>
          <w:rFonts w:hint="eastAsia" w:ascii="宋体" w:hAnsi="宋体" w:eastAsia="宋体" w:cs="宋体"/>
          <w:color w:val="auto"/>
          <w:sz w:val="24"/>
        </w:rPr>
      </w:pPr>
      <w:r>
        <w:rPr>
          <w:rFonts w:hint="eastAsia" w:ascii="宋体" w:hAnsi="宋体" w:eastAsia="宋体" w:cs="宋体"/>
          <w:color w:val="auto"/>
          <w:sz w:val="24"/>
        </w:rPr>
        <w:br w:type="page"/>
      </w:r>
    </w:p>
    <w:p w14:paraId="29438DD8">
      <w:pPr>
        <w:pStyle w:val="4"/>
        <w:pageBreakBefore w:val="0"/>
        <w:kinsoku/>
        <w:overflowPunct/>
        <w:topLinePunct w:val="0"/>
        <w:bidi w:val="0"/>
        <w:snapToGrid/>
        <w:spacing w:line="360" w:lineRule="auto"/>
        <w:ind w:firstLine="2249" w:firstLineChars="800"/>
        <w:jc w:val="left"/>
        <w:rPr>
          <w:rFonts w:hint="eastAsia" w:ascii="宋体" w:hAnsi="宋体" w:eastAsia="宋体" w:cs="宋体"/>
          <w:color w:val="auto"/>
        </w:rPr>
      </w:pPr>
      <w:bookmarkStart w:id="972" w:name="_Toc19095"/>
      <w:bookmarkStart w:id="973" w:name="bookmark588"/>
      <w:bookmarkStart w:id="974" w:name="bookmark590"/>
      <w:bookmarkStart w:id="975" w:name="_Toc12197"/>
      <w:bookmarkStart w:id="976" w:name="bookmark587"/>
      <w:r>
        <w:rPr>
          <w:rFonts w:hint="eastAsia" w:ascii="宋体" w:hAnsi="宋体" w:eastAsia="宋体" w:cs="宋体"/>
          <w:color w:val="auto"/>
        </w:rPr>
        <w:t>五、商务和技术偏差表</w:t>
      </w:r>
      <w:bookmarkEnd w:id="972"/>
      <w:bookmarkEnd w:id="973"/>
      <w:bookmarkEnd w:id="974"/>
      <w:bookmarkEnd w:id="975"/>
      <w:bookmarkEnd w:id="976"/>
    </w:p>
    <w:p w14:paraId="15A82FF6">
      <w:pPr>
        <w:pStyle w:val="39"/>
        <w:pageBreakBefore w:val="0"/>
        <w:kinsoku/>
        <w:overflowPunct/>
        <w:topLinePunct w:val="0"/>
        <w:bidi w:val="0"/>
        <w:snapToGrid/>
        <w:spacing w:line="360" w:lineRule="auto"/>
        <w:rPr>
          <w:rFonts w:hint="eastAsia" w:ascii="宋体" w:hAnsi="宋体" w:eastAsia="宋体" w:cs="宋体"/>
          <w:color w:val="auto"/>
          <w:sz w:val="36"/>
          <w:szCs w:val="36"/>
        </w:rPr>
      </w:pPr>
    </w:p>
    <w:tbl>
      <w:tblPr>
        <w:tblStyle w:val="22"/>
        <w:tblW w:w="0" w:type="auto"/>
        <w:jc w:val="center"/>
        <w:tblLayout w:type="fixed"/>
        <w:tblCellMar>
          <w:top w:w="0" w:type="dxa"/>
          <w:left w:w="10" w:type="dxa"/>
          <w:bottom w:w="0" w:type="dxa"/>
          <w:right w:w="10" w:type="dxa"/>
        </w:tblCellMar>
      </w:tblPr>
      <w:tblGrid>
        <w:gridCol w:w="1142"/>
        <w:gridCol w:w="3125"/>
        <w:gridCol w:w="3120"/>
        <w:gridCol w:w="1723"/>
      </w:tblGrid>
      <w:tr w14:paraId="53D0CEE7">
        <w:tblPrEx>
          <w:tblCellMar>
            <w:top w:w="0" w:type="dxa"/>
            <w:left w:w="10" w:type="dxa"/>
            <w:bottom w:w="0" w:type="dxa"/>
            <w:right w:w="10" w:type="dxa"/>
          </w:tblCellMar>
        </w:tblPrEx>
        <w:trPr>
          <w:trHeight w:val="595" w:hRule="exact"/>
          <w:jc w:val="center"/>
        </w:trPr>
        <w:tc>
          <w:tcPr>
            <w:tcW w:w="1142" w:type="dxa"/>
            <w:tcBorders>
              <w:top w:val="single" w:color="auto" w:sz="4" w:space="0"/>
              <w:left w:val="single" w:color="auto" w:sz="4" w:space="0"/>
            </w:tcBorders>
            <w:shd w:val="clear" w:color="auto" w:fill="FFFFFF"/>
            <w:vAlign w:val="center"/>
          </w:tcPr>
          <w:p w14:paraId="03EA04C0">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3125" w:type="dxa"/>
            <w:tcBorders>
              <w:top w:val="single" w:color="auto" w:sz="4" w:space="0"/>
              <w:left w:val="single" w:color="auto" w:sz="4" w:space="0"/>
            </w:tcBorders>
            <w:shd w:val="clear" w:color="auto" w:fill="FFFFFF"/>
            <w:vAlign w:val="center"/>
          </w:tcPr>
          <w:p w14:paraId="1E22297C">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采购文件章节及条款号</w:t>
            </w:r>
          </w:p>
        </w:tc>
        <w:tc>
          <w:tcPr>
            <w:tcW w:w="3120" w:type="dxa"/>
            <w:tcBorders>
              <w:top w:val="single" w:color="auto" w:sz="4" w:space="0"/>
              <w:left w:val="single" w:color="auto" w:sz="4" w:space="0"/>
            </w:tcBorders>
            <w:shd w:val="clear" w:color="auto" w:fill="FFFFFF"/>
            <w:vAlign w:val="center"/>
          </w:tcPr>
          <w:p w14:paraId="470D7427">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响应文件章节及条款号</w:t>
            </w:r>
          </w:p>
        </w:tc>
        <w:tc>
          <w:tcPr>
            <w:tcW w:w="1723" w:type="dxa"/>
            <w:tcBorders>
              <w:top w:val="single" w:color="auto" w:sz="4" w:space="0"/>
              <w:left w:val="single" w:color="auto" w:sz="4" w:space="0"/>
              <w:right w:val="single" w:color="auto" w:sz="4" w:space="0"/>
            </w:tcBorders>
            <w:shd w:val="clear" w:color="auto" w:fill="FFFFFF"/>
            <w:vAlign w:val="center"/>
          </w:tcPr>
          <w:p w14:paraId="42C1A08C">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偏差说明</w:t>
            </w:r>
          </w:p>
        </w:tc>
      </w:tr>
      <w:tr w14:paraId="411CCF2C">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1713F1F7">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125" w:type="dxa"/>
            <w:tcBorders>
              <w:top w:val="single" w:color="auto" w:sz="4" w:space="0"/>
              <w:left w:val="single" w:color="auto" w:sz="4" w:space="0"/>
            </w:tcBorders>
            <w:shd w:val="clear" w:color="auto" w:fill="FFFFFF"/>
            <w:vAlign w:val="center"/>
          </w:tcPr>
          <w:p w14:paraId="348F8685">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120" w:type="dxa"/>
            <w:tcBorders>
              <w:top w:val="single" w:color="auto" w:sz="4" w:space="0"/>
              <w:left w:val="single" w:color="auto" w:sz="4" w:space="0"/>
            </w:tcBorders>
            <w:shd w:val="clear" w:color="auto" w:fill="FFFFFF"/>
            <w:vAlign w:val="center"/>
          </w:tcPr>
          <w:p w14:paraId="3EC97749">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23" w:type="dxa"/>
            <w:tcBorders>
              <w:top w:val="single" w:color="auto" w:sz="4" w:space="0"/>
              <w:left w:val="single" w:color="auto" w:sz="4" w:space="0"/>
              <w:right w:val="single" w:color="auto" w:sz="4" w:space="0"/>
            </w:tcBorders>
            <w:shd w:val="clear" w:color="auto" w:fill="FFFFFF"/>
            <w:vAlign w:val="center"/>
          </w:tcPr>
          <w:p w14:paraId="58184EBC">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023686DE">
        <w:tblPrEx>
          <w:tblCellMar>
            <w:top w:w="0" w:type="dxa"/>
            <w:left w:w="10" w:type="dxa"/>
            <w:bottom w:w="0" w:type="dxa"/>
            <w:right w:w="10" w:type="dxa"/>
          </w:tblCellMar>
        </w:tblPrEx>
        <w:trPr>
          <w:trHeight w:val="571" w:hRule="exact"/>
          <w:jc w:val="center"/>
        </w:trPr>
        <w:tc>
          <w:tcPr>
            <w:tcW w:w="1142" w:type="dxa"/>
            <w:tcBorders>
              <w:top w:val="single" w:color="auto" w:sz="4" w:space="0"/>
              <w:left w:val="single" w:color="auto" w:sz="4" w:space="0"/>
            </w:tcBorders>
            <w:shd w:val="clear" w:color="auto" w:fill="FFFFFF"/>
            <w:vAlign w:val="center"/>
          </w:tcPr>
          <w:p w14:paraId="7D1F56B2">
            <w:pPr>
              <w:pStyle w:val="35"/>
              <w:pageBreakBefore w:val="0"/>
              <w:kinsoku/>
              <w:overflowPunct/>
              <w:topLinePunct w:val="0"/>
              <w:bidi w:val="0"/>
              <w:snapToGrid/>
              <w:spacing w:line="360" w:lineRule="auto"/>
              <w:ind w:firstLine="140"/>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3125" w:type="dxa"/>
            <w:tcBorders>
              <w:top w:val="single" w:color="auto" w:sz="4" w:space="0"/>
              <w:left w:val="single" w:color="auto" w:sz="4" w:space="0"/>
            </w:tcBorders>
            <w:shd w:val="clear" w:color="auto" w:fill="FFFFFF"/>
            <w:vAlign w:val="center"/>
          </w:tcPr>
          <w:p w14:paraId="215AAD62">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120" w:type="dxa"/>
            <w:tcBorders>
              <w:top w:val="single" w:color="auto" w:sz="4" w:space="0"/>
              <w:left w:val="single" w:color="auto" w:sz="4" w:space="0"/>
            </w:tcBorders>
            <w:shd w:val="clear" w:color="auto" w:fill="FFFFFF"/>
            <w:vAlign w:val="center"/>
          </w:tcPr>
          <w:p w14:paraId="389E4989">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23" w:type="dxa"/>
            <w:tcBorders>
              <w:top w:val="single" w:color="auto" w:sz="4" w:space="0"/>
              <w:left w:val="single" w:color="auto" w:sz="4" w:space="0"/>
              <w:right w:val="single" w:color="auto" w:sz="4" w:space="0"/>
            </w:tcBorders>
            <w:shd w:val="clear" w:color="auto" w:fill="FFFFFF"/>
            <w:vAlign w:val="center"/>
          </w:tcPr>
          <w:p w14:paraId="1CE97954">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24CA423C">
        <w:tblPrEx>
          <w:tblCellMar>
            <w:top w:w="0" w:type="dxa"/>
            <w:left w:w="10" w:type="dxa"/>
            <w:bottom w:w="0" w:type="dxa"/>
            <w:right w:w="10" w:type="dxa"/>
          </w:tblCellMar>
        </w:tblPrEx>
        <w:trPr>
          <w:trHeight w:val="576" w:hRule="exact"/>
          <w:jc w:val="center"/>
        </w:trPr>
        <w:tc>
          <w:tcPr>
            <w:tcW w:w="1142" w:type="dxa"/>
            <w:tcBorders>
              <w:top w:val="single" w:color="auto" w:sz="4" w:space="0"/>
              <w:left w:val="single" w:color="auto" w:sz="4" w:space="0"/>
            </w:tcBorders>
            <w:shd w:val="clear" w:color="auto" w:fill="FFFFFF"/>
            <w:vAlign w:val="center"/>
          </w:tcPr>
          <w:p w14:paraId="48D78417">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3125" w:type="dxa"/>
            <w:tcBorders>
              <w:top w:val="single" w:color="auto" w:sz="4" w:space="0"/>
              <w:left w:val="single" w:color="auto" w:sz="4" w:space="0"/>
            </w:tcBorders>
            <w:shd w:val="clear" w:color="auto" w:fill="FFFFFF"/>
            <w:vAlign w:val="center"/>
          </w:tcPr>
          <w:p w14:paraId="38D26EE5">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120" w:type="dxa"/>
            <w:tcBorders>
              <w:top w:val="single" w:color="auto" w:sz="4" w:space="0"/>
              <w:left w:val="single" w:color="auto" w:sz="4" w:space="0"/>
            </w:tcBorders>
            <w:shd w:val="clear" w:color="auto" w:fill="FFFFFF"/>
            <w:vAlign w:val="center"/>
          </w:tcPr>
          <w:p w14:paraId="180649E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23" w:type="dxa"/>
            <w:tcBorders>
              <w:top w:val="single" w:color="auto" w:sz="4" w:space="0"/>
              <w:left w:val="single" w:color="auto" w:sz="4" w:space="0"/>
              <w:right w:val="single" w:color="auto" w:sz="4" w:space="0"/>
            </w:tcBorders>
            <w:shd w:val="clear" w:color="auto" w:fill="FFFFFF"/>
            <w:vAlign w:val="center"/>
          </w:tcPr>
          <w:p w14:paraId="2084605B">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72B0E43D">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23E46EC9">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3125" w:type="dxa"/>
            <w:tcBorders>
              <w:top w:val="single" w:color="auto" w:sz="4" w:space="0"/>
              <w:left w:val="single" w:color="auto" w:sz="4" w:space="0"/>
            </w:tcBorders>
            <w:shd w:val="clear" w:color="auto" w:fill="FFFFFF"/>
            <w:vAlign w:val="center"/>
          </w:tcPr>
          <w:p w14:paraId="4285546D">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120" w:type="dxa"/>
            <w:tcBorders>
              <w:top w:val="single" w:color="auto" w:sz="4" w:space="0"/>
              <w:left w:val="single" w:color="auto" w:sz="4" w:space="0"/>
            </w:tcBorders>
            <w:shd w:val="clear" w:color="auto" w:fill="FFFFFF"/>
            <w:vAlign w:val="center"/>
          </w:tcPr>
          <w:p w14:paraId="00A0D075">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23" w:type="dxa"/>
            <w:tcBorders>
              <w:top w:val="single" w:color="auto" w:sz="4" w:space="0"/>
              <w:left w:val="single" w:color="auto" w:sz="4" w:space="0"/>
              <w:right w:val="single" w:color="auto" w:sz="4" w:space="0"/>
            </w:tcBorders>
            <w:shd w:val="clear" w:color="auto" w:fill="FFFFFF"/>
            <w:vAlign w:val="center"/>
          </w:tcPr>
          <w:p w14:paraId="4635CA67">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49875FB8">
        <w:tblPrEx>
          <w:tblCellMar>
            <w:top w:w="0" w:type="dxa"/>
            <w:left w:w="10" w:type="dxa"/>
            <w:bottom w:w="0" w:type="dxa"/>
            <w:right w:w="10" w:type="dxa"/>
          </w:tblCellMar>
        </w:tblPrEx>
        <w:trPr>
          <w:trHeight w:val="571" w:hRule="exact"/>
          <w:jc w:val="center"/>
        </w:trPr>
        <w:tc>
          <w:tcPr>
            <w:tcW w:w="1142" w:type="dxa"/>
            <w:tcBorders>
              <w:top w:val="single" w:color="auto" w:sz="4" w:space="0"/>
              <w:left w:val="single" w:color="auto" w:sz="4" w:space="0"/>
            </w:tcBorders>
            <w:shd w:val="clear" w:color="auto" w:fill="FFFFFF"/>
            <w:vAlign w:val="center"/>
          </w:tcPr>
          <w:p w14:paraId="4331F742">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3125" w:type="dxa"/>
            <w:tcBorders>
              <w:top w:val="single" w:color="auto" w:sz="4" w:space="0"/>
              <w:left w:val="single" w:color="auto" w:sz="4" w:space="0"/>
            </w:tcBorders>
            <w:shd w:val="clear" w:color="auto" w:fill="FFFFFF"/>
            <w:vAlign w:val="center"/>
          </w:tcPr>
          <w:p w14:paraId="166E6B7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120" w:type="dxa"/>
            <w:tcBorders>
              <w:top w:val="single" w:color="auto" w:sz="4" w:space="0"/>
              <w:left w:val="single" w:color="auto" w:sz="4" w:space="0"/>
            </w:tcBorders>
            <w:shd w:val="clear" w:color="auto" w:fill="FFFFFF"/>
            <w:vAlign w:val="center"/>
          </w:tcPr>
          <w:p w14:paraId="6069678D">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23" w:type="dxa"/>
            <w:tcBorders>
              <w:top w:val="single" w:color="auto" w:sz="4" w:space="0"/>
              <w:left w:val="single" w:color="auto" w:sz="4" w:space="0"/>
              <w:right w:val="single" w:color="auto" w:sz="4" w:space="0"/>
            </w:tcBorders>
            <w:shd w:val="clear" w:color="auto" w:fill="FFFFFF"/>
            <w:vAlign w:val="center"/>
          </w:tcPr>
          <w:p w14:paraId="285C9FC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0BEAD561">
        <w:tblPrEx>
          <w:tblCellMar>
            <w:top w:w="0" w:type="dxa"/>
            <w:left w:w="10" w:type="dxa"/>
            <w:bottom w:w="0" w:type="dxa"/>
            <w:right w:w="10" w:type="dxa"/>
          </w:tblCellMar>
        </w:tblPrEx>
        <w:trPr>
          <w:trHeight w:val="595" w:hRule="exact"/>
          <w:jc w:val="center"/>
        </w:trPr>
        <w:tc>
          <w:tcPr>
            <w:tcW w:w="1142" w:type="dxa"/>
            <w:tcBorders>
              <w:top w:val="single" w:color="auto" w:sz="4" w:space="0"/>
              <w:left w:val="single" w:color="auto" w:sz="4" w:space="0"/>
              <w:bottom w:val="single" w:color="auto" w:sz="4" w:space="0"/>
            </w:tcBorders>
            <w:shd w:val="clear" w:color="auto" w:fill="FFFFFF"/>
            <w:vAlign w:val="center"/>
          </w:tcPr>
          <w:p w14:paraId="2DFC90EC">
            <w:pPr>
              <w:pStyle w:val="35"/>
              <w:pageBreakBefore w:val="0"/>
              <w:tabs>
                <w:tab w:val="left" w:leader="dot" w:pos="374"/>
              </w:tabs>
              <w:kinsoku/>
              <w:overflowPunct/>
              <w:topLinePunct w:val="0"/>
              <w:bidi w:val="0"/>
              <w:snapToGrid/>
              <w:spacing w:line="36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p>
        </w:tc>
        <w:tc>
          <w:tcPr>
            <w:tcW w:w="3125" w:type="dxa"/>
            <w:tcBorders>
              <w:top w:val="single" w:color="auto" w:sz="4" w:space="0"/>
              <w:left w:val="single" w:color="auto" w:sz="4" w:space="0"/>
              <w:bottom w:val="single" w:color="auto" w:sz="4" w:space="0"/>
            </w:tcBorders>
            <w:shd w:val="clear" w:color="auto" w:fill="FFFFFF"/>
            <w:vAlign w:val="center"/>
          </w:tcPr>
          <w:p w14:paraId="2AC860B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120" w:type="dxa"/>
            <w:tcBorders>
              <w:top w:val="single" w:color="auto" w:sz="4" w:space="0"/>
              <w:left w:val="single" w:color="auto" w:sz="4" w:space="0"/>
              <w:bottom w:val="single" w:color="auto" w:sz="4" w:space="0"/>
            </w:tcBorders>
            <w:shd w:val="clear" w:color="auto" w:fill="FFFFFF"/>
            <w:vAlign w:val="center"/>
          </w:tcPr>
          <w:p w14:paraId="6E79240F">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23" w:type="dxa"/>
            <w:tcBorders>
              <w:top w:val="single" w:color="auto" w:sz="4" w:space="0"/>
              <w:left w:val="single" w:color="auto" w:sz="4" w:space="0"/>
              <w:bottom w:val="single" w:color="auto" w:sz="4" w:space="0"/>
              <w:right w:val="single" w:color="auto" w:sz="4" w:space="0"/>
            </w:tcBorders>
            <w:shd w:val="clear" w:color="auto" w:fill="FFFFFF"/>
            <w:vAlign w:val="center"/>
          </w:tcPr>
          <w:p w14:paraId="59EE5B1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bl>
    <w:p w14:paraId="05842818">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保证：除商务和技术偏差表列出的偏差外，</w:t>
      </w:r>
      <w:r>
        <w:rPr>
          <w:rFonts w:hint="eastAsia" w:ascii="宋体" w:hAnsi="宋体" w:eastAsia="宋体" w:cs="宋体"/>
          <w:color w:val="auto"/>
          <w:sz w:val="24"/>
          <w:lang w:eastAsia="zh-CN"/>
        </w:rPr>
        <w:t>询比响应人</w:t>
      </w:r>
      <w:r>
        <w:rPr>
          <w:rFonts w:hint="eastAsia" w:ascii="宋体" w:hAnsi="宋体" w:eastAsia="宋体" w:cs="宋体"/>
          <w:color w:val="auto"/>
          <w:sz w:val="24"/>
        </w:rPr>
        <w:t>响应采购文件的全部要求。</w:t>
      </w:r>
    </w:p>
    <w:p w14:paraId="2AB7B14B">
      <w:pPr>
        <w:pageBreakBefore w:val="0"/>
        <w:kinsoku/>
        <w:overflowPunct/>
        <w:topLinePunct w:val="0"/>
        <w:bidi w:val="0"/>
        <w:snapToGrid/>
        <w:spacing w:line="360" w:lineRule="auto"/>
        <w:rPr>
          <w:rFonts w:hint="eastAsia" w:ascii="宋体" w:hAnsi="宋体" w:eastAsia="宋体" w:cs="宋体"/>
          <w:color w:val="auto"/>
          <w:u w:val="single"/>
        </w:rPr>
      </w:pPr>
      <w:r>
        <w:rPr>
          <w:rFonts w:hint="eastAsia" w:ascii="宋体" w:hAnsi="宋体" w:eastAsia="宋体" w:cs="宋体"/>
          <w:color w:val="auto"/>
          <w:u w:val="single"/>
        </w:rPr>
        <w:br w:type="page"/>
      </w:r>
    </w:p>
    <w:p w14:paraId="1DBA6A8C">
      <w:pPr>
        <w:pStyle w:val="4"/>
        <w:pageBreakBefore w:val="0"/>
        <w:kinsoku/>
        <w:overflowPunct/>
        <w:topLinePunct w:val="0"/>
        <w:bidi w:val="0"/>
        <w:snapToGrid/>
        <w:spacing w:line="360" w:lineRule="auto"/>
        <w:ind w:firstLine="2811" w:firstLineChars="1000"/>
        <w:jc w:val="both"/>
        <w:rPr>
          <w:rFonts w:hint="eastAsia" w:ascii="宋体" w:hAnsi="宋体" w:eastAsia="宋体" w:cs="宋体"/>
          <w:color w:val="auto"/>
        </w:rPr>
      </w:pPr>
      <w:bookmarkStart w:id="977" w:name="_Toc26351"/>
      <w:bookmarkStart w:id="978" w:name="bookmark593"/>
      <w:bookmarkStart w:id="979" w:name="_Toc26608"/>
      <w:bookmarkStart w:id="980" w:name="bookmark591"/>
      <w:bookmarkStart w:id="981" w:name="bookmark592"/>
      <w:r>
        <w:rPr>
          <w:rFonts w:hint="eastAsia" w:ascii="宋体" w:hAnsi="宋体" w:eastAsia="宋体" w:cs="宋体"/>
          <w:color w:val="auto"/>
        </w:rPr>
        <w:t>六、报价表（A）</w:t>
      </w:r>
      <w:bookmarkEnd w:id="977"/>
      <w:bookmarkEnd w:id="978"/>
      <w:bookmarkEnd w:id="979"/>
      <w:bookmarkEnd w:id="980"/>
      <w:bookmarkEnd w:id="981"/>
    </w:p>
    <w:p w14:paraId="43CD4B8F">
      <w:pPr>
        <w:pageBreakBefore w:val="0"/>
        <w:kinsoku/>
        <w:overflowPunct/>
        <w:topLinePunct w:val="0"/>
        <w:bidi w:val="0"/>
        <w:snapToGrid/>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已标价工程量清单</w:t>
      </w:r>
    </w:p>
    <w:p w14:paraId="1FBDCC1C">
      <w:pPr>
        <w:pageBreakBefore w:val="0"/>
        <w:kinsoku/>
        <w:overflowPunct/>
        <w:topLinePunct w:val="0"/>
        <w:bidi w:val="0"/>
        <w:snapToGrid/>
        <w:spacing w:line="360" w:lineRule="auto"/>
        <w:ind w:firstLine="480" w:firstLineChars="200"/>
        <w:rPr>
          <w:rFonts w:hint="eastAsia" w:ascii="宋体" w:hAnsi="宋体" w:eastAsia="宋体" w:cs="宋体"/>
          <w:color w:val="auto"/>
          <w:sz w:val="24"/>
        </w:rPr>
        <w:sectPr>
          <w:headerReference r:id="rId5" w:type="default"/>
          <w:footerReference r:id="rId6" w:type="default"/>
          <w:pgSz w:w="11906" w:h="16838"/>
          <w:pgMar w:top="1440" w:right="1080" w:bottom="1440" w:left="1080" w:header="851" w:footer="992" w:gutter="0"/>
          <w:pgBorders w:offsetFrom="page">
            <w:top w:val="single" w:color="808080" w:sz="18" w:space="24"/>
            <w:left w:val="single" w:color="808080" w:sz="18" w:space="24"/>
            <w:bottom w:val="single" w:color="808080" w:sz="18" w:space="24"/>
            <w:right w:val="single" w:color="808080" w:sz="18" w:space="24"/>
          </w:pgBorders>
          <w:pgNumType w:fmt="decimal"/>
          <w:cols w:space="425" w:num="1"/>
          <w:docGrid w:type="lines" w:linePitch="312" w:charSpace="0"/>
        </w:sectPr>
      </w:pPr>
      <w:r>
        <w:rPr>
          <w:rFonts w:hint="eastAsia" w:ascii="宋体" w:hAnsi="宋体" w:eastAsia="宋体" w:cs="宋体"/>
          <w:color w:val="auto"/>
          <w:sz w:val="24"/>
        </w:rPr>
        <w:t>根据国家、行业、地方发布的计价办法、施工图纸等设计文件、施工现场实际情况、项目报价要求等，编制适合采购项目的报价表。</w:t>
      </w:r>
    </w:p>
    <w:p w14:paraId="5B1BAA4B">
      <w:pPr>
        <w:pStyle w:val="4"/>
        <w:pageBreakBefore w:val="0"/>
        <w:kinsoku/>
        <w:overflowPunct/>
        <w:topLinePunct w:val="0"/>
        <w:bidi w:val="0"/>
        <w:snapToGrid/>
        <w:spacing w:line="360" w:lineRule="auto"/>
        <w:rPr>
          <w:rFonts w:hint="eastAsia" w:ascii="宋体" w:hAnsi="宋体" w:eastAsia="宋体" w:cs="宋体"/>
          <w:color w:val="auto"/>
        </w:rPr>
      </w:pPr>
      <w:bookmarkStart w:id="982" w:name="bookmark605"/>
      <w:bookmarkStart w:id="983" w:name="bookmark606"/>
      <w:bookmarkStart w:id="984" w:name="bookmark604"/>
      <w:bookmarkStart w:id="985" w:name="_Toc17442"/>
      <w:bookmarkStart w:id="986" w:name="_Toc7819"/>
      <w:r>
        <w:rPr>
          <w:rFonts w:hint="eastAsia" w:ascii="宋体" w:hAnsi="宋体" w:eastAsia="宋体" w:cs="宋体"/>
          <w:color w:val="auto"/>
        </w:rPr>
        <w:t>七、资格审查资料(A)</w:t>
      </w:r>
      <w:bookmarkEnd w:id="982"/>
      <w:bookmarkEnd w:id="983"/>
      <w:bookmarkEnd w:id="984"/>
      <w:bookmarkEnd w:id="985"/>
      <w:bookmarkEnd w:id="986"/>
    </w:p>
    <w:p w14:paraId="6AB79F3D">
      <w:pPr>
        <w:pStyle w:val="5"/>
        <w:pageBreakBefore w:val="0"/>
        <w:kinsoku/>
        <w:overflowPunct/>
        <w:topLinePunct w:val="0"/>
        <w:bidi w:val="0"/>
        <w:snapToGrid/>
        <w:spacing w:line="360" w:lineRule="auto"/>
        <w:rPr>
          <w:rFonts w:hint="eastAsia" w:ascii="宋体" w:hAnsi="宋体" w:eastAsia="宋体" w:cs="宋体"/>
          <w:color w:val="auto"/>
        </w:rPr>
      </w:pPr>
      <w:bookmarkStart w:id="987" w:name="bookmark607"/>
      <w:bookmarkEnd w:id="987"/>
      <w:bookmarkStart w:id="988" w:name="_Toc8069"/>
      <w:bookmarkStart w:id="989" w:name="_Toc12347"/>
      <w:r>
        <w:rPr>
          <w:rFonts w:hint="eastAsia" w:ascii="宋体" w:hAnsi="宋体" w:eastAsia="宋体" w:cs="宋体"/>
          <w:color w:val="auto"/>
        </w:rPr>
        <w:t>（一）基本情况</w:t>
      </w:r>
      <w:bookmarkEnd w:id="988"/>
      <w:bookmarkEnd w:id="989"/>
    </w:p>
    <w:p w14:paraId="3AA10F38">
      <w:pPr>
        <w:pStyle w:val="39"/>
        <w:pageBreakBefore w:val="0"/>
        <w:kinsoku/>
        <w:overflowPunct/>
        <w:topLinePunct w:val="0"/>
        <w:bidi w:val="0"/>
        <w:snapToGrid/>
        <w:spacing w:line="360" w:lineRule="auto"/>
        <w:ind w:firstLine="480"/>
        <w:rPr>
          <w:rFonts w:hint="eastAsia" w:ascii="宋体" w:hAnsi="宋体" w:eastAsia="宋体" w:cs="宋体"/>
          <w:color w:val="auto"/>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应根据</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须知前附表第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5 (1)项和第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5 (2)项的要求提供主体 養格证明及相关资质证明材料。</w:t>
      </w:r>
    </w:p>
    <w:p w14:paraId="0F7B13E9">
      <w:pPr>
        <w:pStyle w:val="39"/>
        <w:pageBreakBefore w:val="0"/>
        <w:kinsoku/>
        <w:overflowPunct/>
        <w:topLinePunct w:val="0"/>
        <w:bidi w:val="0"/>
        <w:snapToGrid/>
        <w:spacing w:after="440" w:line="360" w:lineRule="auto"/>
        <w:ind w:firstLine="480"/>
        <w:rPr>
          <w:rFonts w:hint="eastAsia" w:ascii="宋体" w:hAnsi="宋体" w:eastAsia="宋体" w:cs="宋体"/>
          <w:color w:val="auto"/>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还应根据</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须知前附表第</w:t>
      </w:r>
      <w:r>
        <w:rPr>
          <w:rFonts w:hint="eastAsia" w:ascii="宋体" w:hAnsi="宋体" w:eastAsia="宋体" w:cs="宋体"/>
          <w:color w:val="auto"/>
          <w:sz w:val="24"/>
          <w:lang w:val="en-US" w:eastAsia="zh-CN" w:bidi="en-US"/>
        </w:rPr>
        <w:t xml:space="preserve">3.5 </w:t>
      </w:r>
      <w:r>
        <w:rPr>
          <w:rFonts w:hint="eastAsia" w:ascii="宋体" w:hAnsi="宋体" w:eastAsia="宋体" w:cs="宋体"/>
          <w:color w:val="auto"/>
          <w:sz w:val="24"/>
        </w:rPr>
        <w:t>(5)项、第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5 (7)项和第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5 (8) 项的要求提供其他相关证明材料。</w:t>
      </w:r>
    </w:p>
    <w:p w14:paraId="701D6214">
      <w:pPr>
        <w:pStyle w:val="5"/>
        <w:pageBreakBefore w:val="0"/>
        <w:kinsoku/>
        <w:overflowPunct/>
        <w:topLinePunct w:val="0"/>
        <w:bidi w:val="0"/>
        <w:snapToGrid/>
        <w:spacing w:line="360" w:lineRule="auto"/>
        <w:rPr>
          <w:rFonts w:hint="eastAsia" w:ascii="宋体" w:hAnsi="宋体" w:eastAsia="宋体" w:cs="宋体"/>
          <w:color w:val="auto"/>
        </w:rPr>
      </w:pPr>
      <w:bookmarkStart w:id="990" w:name="bookmark608"/>
      <w:bookmarkEnd w:id="990"/>
      <w:bookmarkStart w:id="991" w:name="_Toc32727"/>
      <w:bookmarkStart w:id="992" w:name="_Toc8447"/>
      <w:r>
        <w:rPr>
          <w:rFonts w:hint="eastAsia" w:ascii="宋体" w:hAnsi="宋体" w:eastAsia="宋体" w:cs="宋体"/>
          <w:color w:val="auto"/>
        </w:rPr>
        <w:t>（二）近年财务状况</w:t>
      </w:r>
      <w:bookmarkEnd w:id="991"/>
      <w:bookmarkEnd w:id="992"/>
    </w:p>
    <w:p w14:paraId="00E22620">
      <w:pPr>
        <w:pStyle w:val="39"/>
        <w:pageBreakBefore w:val="0"/>
        <w:kinsoku/>
        <w:overflowPunct/>
        <w:topLinePunct w:val="0"/>
        <w:bidi w:val="0"/>
        <w:snapToGrid/>
        <w:spacing w:after="440" w:line="360" w:lineRule="auto"/>
        <w:ind w:firstLine="480"/>
        <w:rPr>
          <w:rFonts w:hint="eastAsia" w:ascii="宋体" w:hAnsi="宋体" w:eastAsia="宋体" w:cs="宋体"/>
          <w:color w:val="auto"/>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应根据</w:t>
      </w:r>
      <w:r>
        <w:rPr>
          <w:rFonts w:hint="eastAsia" w:ascii="宋体" w:hAnsi="宋体" w:eastAsia="宋体" w:cs="宋体"/>
          <w:color w:val="auto"/>
          <w:sz w:val="24"/>
          <w:lang w:eastAsia="zh-CN"/>
        </w:rPr>
        <w:t>询比响应人</w:t>
      </w:r>
      <w:r>
        <w:rPr>
          <w:rFonts w:hint="eastAsia" w:ascii="宋体" w:hAnsi="宋体" w:eastAsia="宋体" w:cs="宋体"/>
          <w:color w:val="auto"/>
          <w:sz w:val="24"/>
        </w:rPr>
        <w:t>须知前附表第</w:t>
      </w:r>
      <w:r>
        <w:rPr>
          <w:rFonts w:hint="eastAsia" w:ascii="宋体" w:hAnsi="宋体" w:eastAsia="宋体" w:cs="宋体"/>
          <w:color w:val="auto"/>
          <w:sz w:val="24"/>
          <w:lang w:val="en-US" w:eastAsia="zh-CN" w:bidi="en-US"/>
        </w:rPr>
        <w:t xml:space="preserve">3. </w:t>
      </w:r>
      <w:r>
        <w:rPr>
          <w:rFonts w:hint="eastAsia" w:ascii="宋体" w:hAnsi="宋体" w:eastAsia="宋体" w:cs="宋体"/>
          <w:color w:val="auto"/>
          <w:sz w:val="24"/>
        </w:rPr>
        <w:t>5 (3)项的要求提供近年财务会计报表复印件。</w:t>
      </w:r>
    </w:p>
    <w:p w14:paraId="01499F60">
      <w:pPr>
        <w:rPr>
          <w:rFonts w:hint="eastAsia" w:ascii="宋体" w:hAnsi="宋体" w:eastAsia="宋体" w:cs="宋体"/>
          <w:color w:val="auto"/>
        </w:rPr>
      </w:pPr>
      <w:bookmarkStart w:id="993" w:name="bookmark609"/>
      <w:bookmarkEnd w:id="993"/>
      <w:bookmarkStart w:id="994" w:name="_Toc25886"/>
      <w:bookmarkStart w:id="995" w:name="_Toc28266"/>
      <w:r>
        <w:rPr>
          <w:rFonts w:hint="eastAsia" w:ascii="宋体" w:hAnsi="宋体" w:eastAsia="宋体" w:cs="宋体"/>
          <w:color w:val="auto"/>
        </w:rPr>
        <w:br w:type="page"/>
      </w:r>
    </w:p>
    <w:p w14:paraId="586C7B2A">
      <w:pPr>
        <w:pStyle w:val="5"/>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t>（三）近年的类似项目情况表</w:t>
      </w:r>
      <w:bookmarkEnd w:id="994"/>
      <w:bookmarkEnd w:id="995"/>
    </w:p>
    <w:tbl>
      <w:tblPr>
        <w:tblStyle w:val="22"/>
        <w:tblW w:w="10297" w:type="dxa"/>
        <w:jc w:val="center"/>
        <w:tblLayout w:type="fixed"/>
        <w:tblCellMar>
          <w:top w:w="0" w:type="dxa"/>
          <w:left w:w="10" w:type="dxa"/>
          <w:bottom w:w="0" w:type="dxa"/>
          <w:right w:w="10" w:type="dxa"/>
        </w:tblCellMar>
      </w:tblPr>
      <w:tblGrid>
        <w:gridCol w:w="3342"/>
        <w:gridCol w:w="1738"/>
        <w:gridCol w:w="1738"/>
        <w:gridCol w:w="1738"/>
        <w:gridCol w:w="1741"/>
      </w:tblGrid>
      <w:tr w14:paraId="5F938559">
        <w:tblPrEx>
          <w:tblCellMar>
            <w:top w:w="0" w:type="dxa"/>
            <w:left w:w="10" w:type="dxa"/>
            <w:bottom w:w="0" w:type="dxa"/>
            <w:right w:w="10" w:type="dxa"/>
          </w:tblCellMar>
        </w:tblPrEx>
        <w:trPr>
          <w:trHeight w:val="699" w:hRule="exact"/>
          <w:jc w:val="center"/>
        </w:trPr>
        <w:tc>
          <w:tcPr>
            <w:tcW w:w="3342" w:type="dxa"/>
            <w:tcBorders>
              <w:top w:val="single" w:color="auto" w:sz="4" w:space="0"/>
              <w:left w:val="single" w:color="auto" w:sz="4" w:space="0"/>
            </w:tcBorders>
            <w:shd w:val="clear" w:color="auto" w:fill="FFFFFF"/>
            <w:vAlign w:val="center"/>
          </w:tcPr>
          <w:p w14:paraId="6E7ECB79">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1738" w:type="dxa"/>
            <w:tcBorders>
              <w:top w:val="single" w:color="auto" w:sz="4" w:space="0"/>
              <w:left w:val="single" w:color="auto" w:sz="4" w:space="0"/>
            </w:tcBorders>
            <w:shd w:val="clear" w:color="auto" w:fill="FFFFFF"/>
            <w:vAlign w:val="center"/>
          </w:tcPr>
          <w:p w14:paraId="637FF21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4B46DDC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0C35161E">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6591701D">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54309DF3">
        <w:tblPrEx>
          <w:tblCellMar>
            <w:top w:w="0" w:type="dxa"/>
            <w:left w:w="10" w:type="dxa"/>
            <w:bottom w:w="0" w:type="dxa"/>
            <w:right w:w="10" w:type="dxa"/>
          </w:tblCellMar>
        </w:tblPrEx>
        <w:trPr>
          <w:trHeight w:val="689" w:hRule="exact"/>
          <w:jc w:val="center"/>
        </w:trPr>
        <w:tc>
          <w:tcPr>
            <w:tcW w:w="3342" w:type="dxa"/>
            <w:tcBorders>
              <w:top w:val="single" w:color="auto" w:sz="4" w:space="0"/>
              <w:left w:val="single" w:color="auto" w:sz="4" w:space="0"/>
            </w:tcBorders>
            <w:shd w:val="clear" w:color="auto" w:fill="FFFFFF"/>
            <w:vAlign w:val="center"/>
          </w:tcPr>
          <w:p w14:paraId="55938725">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发包人名称</w:t>
            </w:r>
          </w:p>
        </w:tc>
        <w:tc>
          <w:tcPr>
            <w:tcW w:w="1738" w:type="dxa"/>
            <w:tcBorders>
              <w:top w:val="single" w:color="auto" w:sz="4" w:space="0"/>
              <w:left w:val="single" w:color="auto" w:sz="4" w:space="0"/>
            </w:tcBorders>
            <w:shd w:val="clear" w:color="auto" w:fill="FFFFFF"/>
            <w:vAlign w:val="center"/>
          </w:tcPr>
          <w:p w14:paraId="0E83A49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4B99D51D">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4F314BC0">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603EFA48">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7E237248">
        <w:tblPrEx>
          <w:tblCellMar>
            <w:top w:w="0" w:type="dxa"/>
            <w:left w:w="10" w:type="dxa"/>
            <w:bottom w:w="0" w:type="dxa"/>
            <w:right w:w="10" w:type="dxa"/>
          </w:tblCellMar>
        </w:tblPrEx>
        <w:trPr>
          <w:trHeight w:val="685" w:hRule="exact"/>
          <w:jc w:val="center"/>
        </w:trPr>
        <w:tc>
          <w:tcPr>
            <w:tcW w:w="3342" w:type="dxa"/>
            <w:tcBorders>
              <w:top w:val="single" w:color="auto" w:sz="4" w:space="0"/>
              <w:left w:val="single" w:color="auto" w:sz="4" w:space="0"/>
            </w:tcBorders>
            <w:shd w:val="clear" w:color="auto" w:fill="FFFFFF"/>
            <w:vAlign w:val="center"/>
          </w:tcPr>
          <w:p w14:paraId="15D4F048">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发包人联系人及电话</w:t>
            </w:r>
          </w:p>
        </w:tc>
        <w:tc>
          <w:tcPr>
            <w:tcW w:w="1738" w:type="dxa"/>
            <w:tcBorders>
              <w:top w:val="single" w:color="auto" w:sz="4" w:space="0"/>
              <w:left w:val="single" w:color="auto" w:sz="4" w:space="0"/>
            </w:tcBorders>
            <w:shd w:val="clear" w:color="auto" w:fill="FFFFFF"/>
            <w:vAlign w:val="center"/>
          </w:tcPr>
          <w:p w14:paraId="15BABBE2">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2A77355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09C0322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5E8E651B">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350BCA57">
        <w:tblPrEx>
          <w:tblCellMar>
            <w:top w:w="0" w:type="dxa"/>
            <w:left w:w="10" w:type="dxa"/>
            <w:bottom w:w="0" w:type="dxa"/>
            <w:right w:w="10" w:type="dxa"/>
          </w:tblCellMar>
        </w:tblPrEx>
        <w:trPr>
          <w:trHeight w:val="689" w:hRule="exact"/>
          <w:jc w:val="center"/>
        </w:trPr>
        <w:tc>
          <w:tcPr>
            <w:tcW w:w="3342" w:type="dxa"/>
            <w:tcBorders>
              <w:top w:val="single" w:color="auto" w:sz="4" w:space="0"/>
              <w:left w:val="single" w:color="auto" w:sz="4" w:space="0"/>
            </w:tcBorders>
            <w:shd w:val="clear" w:color="auto" w:fill="FFFFFF"/>
            <w:vAlign w:val="center"/>
          </w:tcPr>
          <w:p w14:paraId="75C262B2">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合同价格</w:t>
            </w:r>
          </w:p>
        </w:tc>
        <w:tc>
          <w:tcPr>
            <w:tcW w:w="1738" w:type="dxa"/>
            <w:tcBorders>
              <w:top w:val="single" w:color="auto" w:sz="4" w:space="0"/>
              <w:left w:val="single" w:color="auto" w:sz="4" w:space="0"/>
            </w:tcBorders>
            <w:shd w:val="clear" w:color="auto" w:fill="FFFFFF"/>
            <w:vAlign w:val="center"/>
          </w:tcPr>
          <w:p w14:paraId="52FFC117">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42E3FBC4">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3E57AC34">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687E1CEC">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51B03CFA">
        <w:tblPrEx>
          <w:tblCellMar>
            <w:top w:w="0" w:type="dxa"/>
            <w:left w:w="10" w:type="dxa"/>
            <w:bottom w:w="0" w:type="dxa"/>
            <w:right w:w="10" w:type="dxa"/>
          </w:tblCellMar>
        </w:tblPrEx>
        <w:trPr>
          <w:trHeight w:val="685" w:hRule="exact"/>
          <w:jc w:val="center"/>
        </w:trPr>
        <w:tc>
          <w:tcPr>
            <w:tcW w:w="3342" w:type="dxa"/>
            <w:tcBorders>
              <w:top w:val="single" w:color="auto" w:sz="4" w:space="0"/>
              <w:left w:val="single" w:color="auto" w:sz="4" w:space="0"/>
            </w:tcBorders>
            <w:shd w:val="clear" w:color="auto" w:fill="FFFFFF"/>
            <w:vAlign w:val="center"/>
          </w:tcPr>
          <w:p w14:paraId="5FAF256F">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是否竣工</w:t>
            </w:r>
          </w:p>
        </w:tc>
        <w:tc>
          <w:tcPr>
            <w:tcW w:w="1738" w:type="dxa"/>
            <w:tcBorders>
              <w:top w:val="single" w:color="auto" w:sz="4" w:space="0"/>
              <w:left w:val="single" w:color="auto" w:sz="4" w:space="0"/>
            </w:tcBorders>
            <w:shd w:val="clear" w:color="auto" w:fill="FFFFFF"/>
            <w:vAlign w:val="center"/>
          </w:tcPr>
          <w:p w14:paraId="40BE89D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00A9AB93">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469EDDA9">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67F9F94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3130CCF2">
        <w:tblPrEx>
          <w:tblCellMar>
            <w:top w:w="0" w:type="dxa"/>
            <w:left w:w="10" w:type="dxa"/>
            <w:bottom w:w="0" w:type="dxa"/>
            <w:right w:w="10" w:type="dxa"/>
          </w:tblCellMar>
        </w:tblPrEx>
        <w:trPr>
          <w:trHeight w:val="689" w:hRule="exact"/>
          <w:jc w:val="center"/>
        </w:trPr>
        <w:tc>
          <w:tcPr>
            <w:tcW w:w="3342" w:type="dxa"/>
            <w:tcBorders>
              <w:top w:val="single" w:color="auto" w:sz="4" w:space="0"/>
              <w:left w:val="single" w:color="auto" w:sz="4" w:space="0"/>
            </w:tcBorders>
            <w:shd w:val="clear" w:color="auto" w:fill="FFFFFF"/>
            <w:vAlign w:val="center"/>
          </w:tcPr>
          <w:p w14:paraId="65C1C60F">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项目负责人(如有)</w:t>
            </w:r>
          </w:p>
        </w:tc>
        <w:tc>
          <w:tcPr>
            <w:tcW w:w="1738" w:type="dxa"/>
            <w:tcBorders>
              <w:top w:val="single" w:color="auto" w:sz="4" w:space="0"/>
              <w:left w:val="single" w:color="auto" w:sz="4" w:space="0"/>
            </w:tcBorders>
            <w:shd w:val="clear" w:color="auto" w:fill="FFFFFF"/>
            <w:vAlign w:val="center"/>
          </w:tcPr>
          <w:p w14:paraId="7B31FA5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01C29755">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2D759B13">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18A4111E">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3CBDE70A">
        <w:tblPrEx>
          <w:tblCellMar>
            <w:top w:w="0" w:type="dxa"/>
            <w:left w:w="10" w:type="dxa"/>
            <w:bottom w:w="0" w:type="dxa"/>
            <w:right w:w="10" w:type="dxa"/>
          </w:tblCellMar>
        </w:tblPrEx>
        <w:trPr>
          <w:trHeight w:val="934" w:hRule="exact"/>
          <w:jc w:val="center"/>
        </w:trPr>
        <w:tc>
          <w:tcPr>
            <w:tcW w:w="3342" w:type="dxa"/>
            <w:tcBorders>
              <w:top w:val="single" w:color="auto" w:sz="4" w:space="0"/>
              <w:left w:val="single" w:color="auto" w:sz="4" w:space="0"/>
            </w:tcBorders>
            <w:shd w:val="clear" w:color="auto" w:fill="FFFFFF"/>
            <w:vAlign w:val="center"/>
          </w:tcPr>
          <w:p w14:paraId="5C1F5CFC">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项目概况及</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履约情况</w:t>
            </w:r>
          </w:p>
        </w:tc>
        <w:tc>
          <w:tcPr>
            <w:tcW w:w="1738" w:type="dxa"/>
            <w:tcBorders>
              <w:top w:val="single" w:color="auto" w:sz="4" w:space="0"/>
              <w:left w:val="single" w:color="auto" w:sz="4" w:space="0"/>
            </w:tcBorders>
            <w:shd w:val="clear" w:color="auto" w:fill="FFFFFF"/>
            <w:vAlign w:val="center"/>
          </w:tcPr>
          <w:p w14:paraId="784F033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0BB8CB30">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tcBorders>
            <w:shd w:val="clear" w:color="auto" w:fill="FFFFFF"/>
            <w:vAlign w:val="center"/>
          </w:tcPr>
          <w:p w14:paraId="0E485A7F">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right w:val="single" w:color="auto" w:sz="4" w:space="0"/>
            </w:tcBorders>
            <w:shd w:val="clear" w:color="auto" w:fill="FFFFFF"/>
            <w:vAlign w:val="center"/>
          </w:tcPr>
          <w:p w14:paraId="440CB104">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5D36AA43">
        <w:tblPrEx>
          <w:tblCellMar>
            <w:top w:w="0" w:type="dxa"/>
            <w:left w:w="10" w:type="dxa"/>
            <w:bottom w:w="0" w:type="dxa"/>
            <w:right w:w="10" w:type="dxa"/>
          </w:tblCellMar>
        </w:tblPrEx>
        <w:trPr>
          <w:trHeight w:val="734" w:hRule="exact"/>
          <w:jc w:val="center"/>
        </w:trPr>
        <w:tc>
          <w:tcPr>
            <w:tcW w:w="3342" w:type="dxa"/>
            <w:tcBorders>
              <w:top w:val="single" w:color="auto" w:sz="4" w:space="0"/>
              <w:left w:val="single" w:color="auto" w:sz="4" w:space="0"/>
              <w:bottom w:val="single" w:color="auto" w:sz="4" w:space="0"/>
            </w:tcBorders>
            <w:shd w:val="clear" w:color="auto" w:fill="FFFFFF"/>
            <w:vAlign w:val="center"/>
          </w:tcPr>
          <w:p w14:paraId="32717071">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1738" w:type="dxa"/>
            <w:tcBorders>
              <w:top w:val="single" w:color="auto" w:sz="4" w:space="0"/>
              <w:left w:val="single" w:color="auto" w:sz="4" w:space="0"/>
              <w:bottom w:val="single" w:color="auto" w:sz="4" w:space="0"/>
            </w:tcBorders>
            <w:shd w:val="clear" w:color="auto" w:fill="FFFFFF"/>
            <w:vAlign w:val="center"/>
          </w:tcPr>
          <w:p w14:paraId="37EEBB1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bottom w:val="single" w:color="auto" w:sz="4" w:space="0"/>
            </w:tcBorders>
            <w:shd w:val="clear" w:color="auto" w:fill="FFFFFF"/>
            <w:vAlign w:val="center"/>
          </w:tcPr>
          <w:p w14:paraId="4FCD556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38" w:type="dxa"/>
            <w:tcBorders>
              <w:top w:val="single" w:color="auto" w:sz="4" w:space="0"/>
              <w:left w:val="single" w:color="auto" w:sz="4" w:space="0"/>
              <w:bottom w:val="single" w:color="auto" w:sz="4" w:space="0"/>
            </w:tcBorders>
            <w:shd w:val="clear" w:color="auto" w:fill="FFFFFF"/>
            <w:vAlign w:val="center"/>
          </w:tcPr>
          <w:p w14:paraId="21E3031C">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FFFFFF"/>
            <w:vAlign w:val="center"/>
          </w:tcPr>
          <w:p w14:paraId="12268C6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bl>
    <w:p w14:paraId="3B69B030">
      <w:pPr>
        <w:pageBreakBefore w:val="0"/>
        <w:kinsoku/>
        <w:overflowPunct/>
        <w:topLinePunct w:val="0"/>
        <w:bidi w:val="0"/>
        <w:snapToGrid/>
        <w:spacing w:line="360" w:lineRule="auto"/>
        <w:rPr>
          <w:rFonts w:hint="eastAsia" w:ascii="宋体" w:hAnsi="宋体" w:eastAsia="宋体" w:cs="宋体"/>
          <w:color w:val="auto"/>
          <w:szCs w:val="21"/>
        </w:rPr>
      </w:pPr>
      <w:r>
        <w:rPr>
          <w:rFonts w:hint="eastAsia" w:ascii="宋体" w:hAnsi="宋体" w:eastAsia="宋体" w:cs="宋体"/>
          <w:color w:val="auto"/>
          <w:szCs w:val="21"/>
        </w:rPr>
        <w:t>注：</w:t>
      </w:r>
      <w:r>
        <w:rPr>
          <w:rFonts w:hint="eastAsia" w:ascii="宋体" w:hAnsi="宋体" w:eastAsia="宋体" w:cs="宋体"/>
          <w:color w:val="auto"/>
          <w:szCs w:val="21"/>
          <w:lang w:eastAsia="zh-CN"/>
        </w:rPr>
        <w:t>询比响应人</w:t>
      </w:r>
      <w:r>
        <w:rPr>
          <w:rFonts w:hint="eastAsia" w:ascii="宋体" w:hAnsi="宋体" w:eastAsia="宋体" w:cs="宋体"/>
          <w:color w:val="auto"/>
          <w:szCs w:val="21"/>
        </w:rPr>
        <w:t>应根据</w:t>
      </w:r>
      <w:r>
        <w:rPr>
          <w:rFonts w:hint="eastAsia" w:ascii="宋体" w:hAnsi="宋体" w:eastAsia="宋体" w:cs="宋体"/>
          <w:color w:val="auto"/>
          <w:szCs w:val="21"/>
          <w:lang w:eastAsia="zh-CN"/>
        </w:rPr>
        <w:t>询比响应人</w:t>
      </w:r>
      <w:r>
        <w:rPr>
          <w:rFonts w:hint="eastAsia" w:ascii="宋体" w:hAnsi="宋体" w:eastAsia="宋体" w:cs="宋体"/>
          <w:color w:val="auto"/>
          <w:szCs w:val="21"/>
        </w:rPr>
        <w:t>须知前附表第3.5(4)项的要求在本表后附相关证明材料。</w:t>
      </w:r>
    </w:p>
    <w:p w14:paraId="5D94A4BB">
      <w:pPr>
        <w:pageBreakBefore w:val="0"/>
        <w:kinsoku/>
        <w:overflowPunct/>
        <w:topLinePunct w:val="0"/>
        <w:bidi w:val="0"/>
        <w:snapToGrid/>
        <w:spacing w:line="360" w:lineRule="auto"/>
        <w:rPr>
          <w:rFonts w:hint="eastAsia" w:ascii="宋体" w:hAnsi="宋体" w:eastAsia="宋体" w:cs="宋体"/>
          <w:color w:val="auto"/>
        </w:rPr>
      </w:pPr>
      <w:r>
        <w:rPr>
          <w:rFonts w:hint="eastAsia" w:ascii="宋体" w:hAnsi="宋体" w:eastAsia="宋体" w:cs="宋体"/>
          <w:color w:val="auto"/>
        </w:rPr>
        <w:br w:type="page"/>
      </w:r>
    </w:p>
    <w:p w14:paraId="3AB6E194">
      <w:pPr>
        <w:pStyle w:val="5"/>
        <w:pageBreakBefore w:val="0"/>
        <w:kinsoku/>
        <w:overflowPunct/>
        <w:topLinePunct w:val="0"/>
        <w:bidi w:val="0"/>
        <w:snapToGrid/>
        <w:spacing w:line="360" w:lineRule="auto"/>
        <w:ind w:firstLine="2650" w:firstLineChars="1100"/>
        <w:rPr>
          <w:rFonts w:hint="eastAsia" w:ascii="宋体" w:hAnsi="宋体" w:eastAsia="宋体" w:cs="宋体"/>
          <w:color w:val="auto"/>
        </w:rPr>
      </w:pPr>
      <w:bookmarkStart w:id="996" w:name="bookmark610"/>
      <w:bookmarkStart w:id="997" w:name="_Toc13168"/>
      <w:bookmarkStart w:id="998" w:name="_Toc18819"/>
      <w:r>
        <w:rPr>
          <w:rFonts w:hint="eastAsia" w:ascii="宋体" w:hAnsi="宋体" w:eastAsia="宋体" w:cs="宋体"/>
          <w:color w:val="auto"/>
        </w:rPr>
        <w:t>（</w:t>
      </w:r>
      <w:bookmarkEnd w:id="996"/>
      <w:r>
        <w:rPr>
          <w:rFonts w:hint="eastAsia" w:ascii="宋体" w:hAnsi="宋体" w:eastAsia="宋体" w:cs="宋体"/>
          <w:color w:val="auto"/>
        </w:rPr>
        <w:t>四）拟委任的主要人员汇总表</w:t>
      </w:r>
      <w:bookmarkEnd w:id="997"/>
      <w:bookmarkEnd w:id="998"/>
    </w:p>
    <w:p w14:paraId="22D9F252">
      <w:pPr>
        <w:pStyle w:val="68"/>
        <w:spacing w:line="520" w:lineRule="exact"/>
        <w:ind w:firstLine="480" w:firstLineChars="200"/>
        <w:rPr>
          <w:rStyle w:val="24"/>
          <w:rFonts w:ascii="宋体" w:hAnsi="宋体" w:eastAsia="宋体" w:cs="Times New Roman"/>
          <w:color w:val="auto"/>
          <w:sz w:val="24"/>
          <w:szCs w:val="24"/>
          <w:lang w:val="en-US" w:eastAsia="zh-CN" w:bidi="ar-SA"/>
        </w:rPr>
      </w:pPr>
      <w:r>
        <w:rPr>
          <w:rStyle w:val="24"/>
          <w:rFonts w:hint="eastAsia" w:ascii="宋体" w:hAnsi="宋体" w:eastAsia="宋体" w:cs="Times New Roman"/>
          <w:color w:val="auto"/>
          <w:sz w:val="24"/>
          <w:szCs w:val="24"/>
          <w:lang w:val="en-US" w:eastAsia="zh-CN" w:bidi="ar-SA"/>
        </w:rPr>
        <w:t>主要人员应附职称证（执业证或上岗证书）、社保等材料的电子文件，要求见</w:t>
      </w:r>
      <w:r>
        <w:rPr>
          <w:rStyle w:val="24"/>
          <w:rFonts w:hint="eastAsia" w:ascii="宋体" w:hAnsi="宋体" w:cs="Times New Roman"/>
          <w:color w:val="auto"/>
          <w:sz w:val="24"/>
          <w:szCs w:val="24"/>
          <w:lang w:val="en-US" w:eastAsia="zh-CN" w:bidi="ar-SA"/>
        </w:rPr>
        <w:t>询比响应人</w:t>
      </w:r>
      <w:r>
        <w:rPr>
          <w:rStyle w:val="24"/>
          <w:rFonts w:hint="eastAsia" w:ascii="宋体" w:hAnsi="宋体" w:eastAsia="宋体" w:cs="Times New Roman"/>
          <w:color w:val="auto"/>
          <w:sz w:val="24"/>
          <w:szCs w:val="24"/>
          <w:lang w:val="en-US" w:eastAsia="zh-CN" w:bidi="ar-SA"/>
        </w:rPr>
        <w:t>人须知</w:t>
      </w:r>
      <w:r>
        <w:rPr>
          <w:rStyle w:val="24"/>
          <w:rFonts w:hint="eastAsia" w:ascii="宋体" w:hAnsi="宋体" w:cs="Times New Roman"/>
          <w:color w:val="auto"/>
          <w:sz w:val="24"/>
          <w:szCs w:val="24"/>
          <w:lang w:val="en-US" w:eastAsia="zh-CN" w:bidi="ar-SA"/>
        </w:rPr>
        <w:t>前附表</w:t>
      </w:r>
      <w:r>
        <w:rPr>
          <w:rStyle w:val="24"/>
          <w:rFonts w:hint="eastAsia" w:ascii="宋体" w:hAnsi="宋体" w:eastAsia="宋体" w:cs="Times New Roman"/>
          <w:color w:val="auto"/>
          <w:sz w:val="24"/>
          <w:szCs w:val="24"/>
          <w:lang w:val="en-US" w:eastAsia="zh-CN" w:bidi="ar-SA"/>
        </w:rPr>
        <w:t>和评标办法。</w:t>
      </w:r>
    </w:p>
    <w:tbl>
      <w:tblPr>
        <w:tblStyle w:val="22"/>
        <w:tblW w:w="1009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97"/>
        <w:gridCol w:w="1122"/>
        <w:gridCol w:w="1027"/>
        <w:gridCol w:w="1376"/>
        <w:gridCol w:w="978"/>
        <w:gridCol w:w="783"/>
        <w:gridCol w:w="1892"/>
        <w:gridCol w:w="850"/>
        <w:gridCol w:w="1172"/>
      </w:tblGrid>
      <w:tr w14:paraId="4E6C45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59" w:hRule="atLeast"/>
        </w:trPr>
        <w:tc>
          <w:tcPr>
            <w:tcW w:w="897" w:type="dxa"/>
            <w:vMerge w:val="restart"/>
            <w:noWrap w:val="0"/>
            <w:vAlign w:val="center"/>
          </w:tcPr>
          <w:p w14:paraId="620320F6">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职务</w:t>
            </w:r>
          </w:p>
        </w:tc>
        <w:tc>
          <w:tcPr>
            <w:tcW w:w="1122" w:type="dxa"/>
            <w:vMerge w:val="restart"/>
            <w:noWrap w:val="0"/>
            <w:vAlign w:val="center"/>
          </w:tcPr>
          <w:p w14:paraId="7B0F4B06">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姓名</w:t>
            </w:r>
          </w:p>
        </w:tc>
        <w:tc>
          <w:tcPr>
            <w:tcW w:w="1027" w:type="dxa"/>
            <w:vMerge w:val="restart"/>
            <w:noWrap w:val="0"/>
            <w:vAlign w:val="center"/>
          </w:tcPr>
          <w:p w14:paraId="443F2AED">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职称</w:t>
            </w:r>
          </w:p>
        </w:tc>
        <w:tc>
          <w:tcPr>
            <w:tcW w:w="5879" w:type="dxa"/>
            <w:gridSpan w:val="5"/>
            <w:noWrap w:val="0"/>
            <w:vAlign w:val="center"/>
          </w:tcPr>
          <w:p w14:paraId="740FDFB8">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执业或职业资格证明</w:t>
            </w:r>
          </w:p>
        </w:tc>
        <w:tc>
          <w:tcPr>
            <w:tcW w:w="1172" w:type="dxa"/>
            <w:vMerge w:val="restart"/>
            <w:noWrap w:val="0"/>
            <w:vAlign w:val="center"/>
          </w:tcPr>
          <w:p w14:paraId="06F4BD36">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备注</w:t>
            </w:r>
          </w:p>
        </w:tc>
      </w:tr>
      <w:tr w14:paraId="18133F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2" w:hRule="atLeast"/>
        </w:trPr>
        <w:tc>
          <w:tcPr>
            <w:tcW w:w="897" w:type="dxa"/>
            <w:vMerge w:val="continue"/>
            <w:noWrap w:val="0"/>
            <w:vAlign w:val="center"/>
          </w:tcPr>
          <w:p w14:paraId="2F1636C1">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p>
        </w:tc>
        <w:tc>
          <w:tcPr>
            <w:tcW w:w="1122" w:type="dxa"/>
            <w:vMerge w:val="continue"/>
            <w:noWrap w:val="0"/>
            <w:vAlign w:val="center"/>
          </w:tcPr>
          <w:p w14:paraId="7C2D75A1">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p>
        </w:tc>
        <w:tc>
          <w:tcPr>
            <w:tcW w:w="1027" w:type="dxa"/>
            <w:vMerge w:val="continue"/>
            <w:noWrap w:val="0"/>
            <w:vAlign w:val="center"/>
          </w:tcPr>
          <w:p w14:paraId="6AAEF6F2">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p>
        </w:tc>
        <w:tc>
          <w:tcPr>
            <w:tcW w:w="1376" w:type="dxa"/>
            <w:noWrap w:val="0"/>
            <w:vAlign w:val="center"/>
          </w:tcPr>
          <w:p w14:paraId="076F0BA1">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证书名称</w:t>
            </w:r>
          </w:p>
        </w:tc>
        <w:tc>
          <w:tcPr>
            <w:tcW w:w="978" w:type="dxa"/>
            <w:noWrap w:val="0"/>
            <w:vAlign w:val="center"/>
          </w:tcPr>
          <w:p w14:paraId="0E825CEE">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级别</w:t>
            </w:r>
          </w:p>
        </w:tc>
        <w:tc>
          <w:tcPr>
            <w:tcW w:w="783" w:type="dxa"/>
            <w:noWrap w:val="0"/>
            <w:vAlign w:val="center"/>
          </w:tcPr>
          <w:p w14:paraId="5D136E74">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证号</w:t>
            </w:r>
          </w:p>
        </w:tc>
        <w:tc>
          <w:tcPr>
            <w:tcW w:w="1892" w:type="dxa"/>
            <w:noWrap w:val="0"/>
            <w:vAlign w:val="center"/>
          </w:tcPr>
          <w:p w14:paraId="7B1C4625">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专业</w:t>
            </w:r>
          </w:p>
        </w:tc>
        <w:tc>
          <w:tcPr>
            <w:tcW w:w="850" w:type="dxa"/>
            <w:noWrap w:val="0"/>
            <w:vAlign w:val="center"/>
          </w:tcPr>
          <w:p w14:paraId="6C460A5F">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r>
              <w:rPr>
                <w:rStyle w:val="24"/>
                <w:rFonts w:hint="eastAsia" w:ascii="楷体" w:hAnsi="楷体" w:eastAsia="楷体" w:cs="楷体"/>
                <w:b/>
                <w:color w:val="auto"/>
                <w:kern w:val="0"/>
                <w:sz w:val="24"/>
                <w:szCs w:val="24"/>
                <w:lang w:val="en-US" w:eastAsia="zh-CN" w:bidi="ar-SA"/>
              </w:rPr>
              <w:t>社保</w:t>
            </w:r>
          </w:p>
        </w:tc>
        <w:tc>
          <w:tcPr>
            <w:tcW w:w="1172" w:type="dxa"/>
            <w:vMerge w:val="continue"/>
            <w:noWrap w:val="0"/>
            <w:vAlign w:val="center"/>
          </w:tcPr>
          <w:p w14:paraId="6C23FD97">
            <w:pPr>
              <w:pStyle w:val="69"/>
              <w:autoSpaceDE w:val="0"/>
              <w:autoSpaceDN w:val="0"/>
              <w:adjustRightInd w:val="0"/>
              <w:spacing w:line="520" w:lineRule="exact"/>
              <w:jc w:val="center"/>
              <w:rPr>
                <w:rStyle w:val="24"/>
                <w:rFonts w:ascii="楷体" w:hAnsi="楷体" w:eastAsia="楷体" w:cs="楷体"/>
                <w:b/>
                <w:color w:val="auto"/>
                <w:kern w:val="0"/>
                <w:sz w:val="24"/>
                <w:szCs w:val="24"/>
                <w:lang w:val="en-US" w:eastAsia="zh-CN" w:bidi="ar-SA"/>
              </w:rPr>
            </w:pPr>
          </w:p>
        </w:tc>
      </w:tr>
      <w:tr w14:paraId="1002F3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center"/>
          </w:tcPr>
          <w:p w14:paraId="6FDE9871">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1122" w:type="dxa"/>
            <w:noWrap w:val="0"/>
            <w:vAlign w:val="center"/>
          </w:tcPr>
          <w:p w14:paraId="6C7FD998">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1027" w:type="dxa"/>
            <w:noWrap w:val="0"/>
            <w:vAlign w:val="center"/>
          </w:tcPr>
          <w:p w14:paraId="5731E677">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1376" w:type="dxa"/>
            <w:noWrap w:val="0"/>
            <w:vAlign w:val="center"/>
          </w:tcPr>
          <w:p w14:paraId="43F441AD">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978" w:type="dxa"/>
            <w:noWrap w:val="0"/>
            <w:vAlign w:val="center"/>
          </w:tcPr>
          <w:p w14:paraId="0812070E">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783" w:type="dxa"/>
            <w:noWrap w:val="0"/>
            <w:vAlign w:val="center"/>
          </w:tcPr>
          <w:p w14:paraId="6BC85BB8">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1892" w:type="dxa"/>
            <w:noWrap w:val="0"/>
            <w:vAlign w:val="center"/>
          </w:tcPr>
          <w:p w14:paraId="07E8737F">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850" w:type="dxa"/>
            <w:noWrap w:val="0"/>
            <w:vAlign w:val="center"/>
          </w:tcPr>
          <w:p w14:paraId="395A1665">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c>
          <w:tcPr>
            <w:tcW w:w="1172" w:type="dxa"/>
            <w:noWrap w:val="0"/>
            <w:vAlign w:val="center"/>
          </w:tcPr>
          <w:p w14:paraId="4E77905F">
            <w:pPr>
              <w:pStyle w:val="69"/>
              <w:autoSpaceDE w:val="0"/>
              <w:autoSpaceDN w:val="0"/>
              <w:adjustRightInd w:val="0"/>
              <w:spacing w:line="520" w:lineRule="exact"/>
              <w:jc w:val="center"/>
              <w:rPr>
                <w:rStyle w:val="24"/>
                <w:rFonts w:ascii="楷体" w:hAnsi="楷体" w:eastAsia="楷体" w:cs="楷体"/>
                <w:color w:val="auto"/>
                <w:kern w:val="0"/>
                <w:sz w:val="24"/>
                <w:szCs w:val="24"/>
                <w:lang w:val="en-US" w:eastAsia="zh-CN" w:bidi="ar-SA"/>
              </w:rPr>
            </w:pPr>
          </w:p>
        </w:tc>
      </w:tr>
      <w:tr w14:paraId="3BA7E1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top"/>
          </w:tcPr>
          <w:p w14:paraId="423342A2">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1122" w:type="dxa"/>
            <w:noWrap w:val="0"/>
            <w:vAlign w:val="top"/>
          </w:tcPr>
          <w:p w14:paraId="5D971665">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1027" w:type="dxa"/>
            <w:noWrap w:val="0"/>
            <w:vAlign w:val="top"/>
          </w:tcPr>
          <w:p w14:paraId="272A1F77">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1376" w:type="dxa"/>
            <w:noWrap w:val="0"/>
            <w:vAlign w:val="top"/>
          </w:tcPr>
          <w:p w14:paraId="2868D4D7">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978" w:type="dxa"/>
            <w:noWrap w:val="0"/>
            <w:vAlign w:val="top"/>
          </w:tcPr>
          <w:p w14:paraId="2C24E494">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783" w:type="dxa"/>
            <w:noWrap w:val="0"/>
            <w:vAlign w:val="top"/>
          </w:tcPr>
          <w:p w14:paraId="4E82BD08">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1892" w:type="dxa"/>
            <w:noWrap w:val="0"/>
            <w:vAlign w:val="top"/>
          </w:tcPr>
          <w:p w14:paraId="6B93E556">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850" w:type="dxa"/>
            <w:noWrap w:val="0"/>
            <w:vAlign w:val="top"/>
          </w:tcPr>
          <w:p w14:paraId="4FF4986A">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c>
          <w:tcPr>
            <w:tcW w:w="1172" w:type="dxa"/>
            <w:noWrap w:val="0"/>
            <w:vAlign w:val="top"/>
          </w:tcPr>
          <w:p w14:paraId="72B71D7F">
            <w:pPr>
              <w:pStyle w:val="69"/>
              <w:autoSpaceDE w:val="0"/>
              <w:autoSpaceDN w:val="0"/>
              <w:adjustRightInd w:val="0"/>
              <w:spacing w:line="520" w:lineRule="exact"/>
              <w:jc w:val="left"/>
              <w:rPr>
                <w:rStyle w:val="24"/>
                <w:rFonts w:ascii="楷体" w:hAnsi="楷体" w:eastAsia="楷体" w:cs="楷体"/>
                <w:color w:val="auto"/>
                <w:kern w:val="0"/>
                <w:sz w:val="24"/>
                <w:szCs w:val="24"/>
                <w:lang w:val="en-US" w:eastAsia="zh-CN" w:bidi="ar-SA"/>
              </w:rPr>
            </w:pPr>
          </w:p>
        </w:tc>
      </w:tr>
      <w:tr w14:paraId="7701B0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top"/>
          </w:tcPr>
          <w:p w14:paraId="14FCD746">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22" w:type="dxa"/>
            <w:noWrap w:val="0"/>
            <w:vAlign w:val="top"/>
          </w:tcPr>
          <w:p w14:paraId="4006F68B">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027" w:type="dxa"/>
            <w:noWrap w:val="0"/>
            <w:vAlign w:val="top"/>
          </w:tcPr>
          <w:p w14:paraId="111910FF">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376" w:type="dxa"/>
            <w:noWrap w:val="0"/>
            <w:vAlign w:val="top"/>
          </w:tcPr>
          <w:p w14:paraId="2657CC38">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978" w:type="dxa"/>
            <w:noWrap w:val="0"/>
            <w:vAlign w:val="top"/>
          </w:tcPr>
          <w:p w14:paraId="33ACBF41">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783" w:type="dxa"/>
            <w:noWrap w:val="0"/>
            <w:vAlign w:val="top"/>
          </w:tcPr>
          <w:p w14:paraId="452AE296">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892" w:type="dxa"/>
            <w:noWrap w:val="0"/>
            <w:vAlign w:val="top"/>
          </w:tcPr>
          <w:p w14:paraId="700F1DB8">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850" w:type="dxa"/>
            <w:noWrap w:val="0"/>
            <w:vAlign w:val="top"/>
          </w:tcPr>
          <w:p w14:paraId="4F22194B">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72" w:type="dxa"/>
            <w:noWrap w:val="0"/>
            <w:vAlign w:val="top"/>
          </w:tcPr>
          <w:p w14:paraId="0340173A">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r>
      <w:tr w14:paraId="0D23CE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top"/>
          </w:tcPr>
          <w:p w14:paraId="1C327C3C">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22" w:type="dxa"/>
            <w:noWrap w:val="0"/>
            <w:vAlign w:val="top"/>
          </w:tcPr>
          <w:p w14:paraId="48F24815">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027" w:type="dxa"/>
            <w:noWrap w:val="0"/>
            <w:vAlign w:val="top"/>
          </w:tcPr>
          <w:p w14:paraId="59D58132">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376" w:type="dxa"/>
            <w:noWrap w:val="0"/>
            <w:vAlign w:val="top"/>
          </w:tcPr>
          <w:p w14:paraId="2DD99A6A">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978" w:type="dxa"/>
            <w:noWrap w:val="0"/>
            <w:vAlign w:val="top"/>
          </w:tcPr>
          <w:p w14:paraId="75369F4C">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783" w:type="dxa"/>
            <w:noWrap w:val="0"/>
            <w:vAlign w:val="top"/>
          </w:tcPr>
          <w:p w14:paraId="48E4F141">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892" w:type="dxa"/>
            <w:noWrap w:val="0"/>
            <w:vAlign w:val="top"/>
          </w:tcPr>
          <w:p w14:paraId="7BFF10E9">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850" w:type="dxa"/>
            <w:noWrap w:val="0"/>
            <w:vAlign w:val="top"/>
          </w:tcPr>
          <w:p w14:paraId="139F6E0A">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72" w:type="dxa"/>
            <w:noWrap w:val="0"/>
            <w:vAlign w:val="top"/>
          </w:tcPr>
          <w:p w14:paraId="69DE0F22">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r>
      <w:tr w14:paraId="5BB1B5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top"/>
          </w:tcPr>
          <w:p w14:paraId="0C49F1E8">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22" w:type="dxa"/>
            <w:noWrap w:val="0"/>
            <w:vAlign w:val="top"/>
          </w:tcPr>
          <w:p w14:paraId="4B7A2A8D">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027" w:type="dxa"/>
            <w:noWrap w:val="0"/>
            <w:vAlign w:val="top"/>
          </w:tcPr>
          <w:p w14:paraId="1AC8B433">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376" w:type="dxa"/>
            <w:noWrap w:val="0"/>
            <w:vAlign w:val="top"/>
          </w:tcPr>
          <w:p w14:paraId="3D4C264C">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978" w:type="dxa"/>
            <w:noWrap w:val="0"/>
            <w:vAlign w:val="top"/>
          </w:tcPr>
          <w:p w14:paraId="71522BDB">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783" w:type="dxa"/>
            <w:noWrap w:val="0"/>
            <w:vAlign w:val="top"/>
          </w:tcPr>
          <w:p w14:paraId="19C98330">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892" w:type="dxa"/>
            <w:noWrap w:val="0"/>
            <w:vAlign w:val="top"/>
          </w:tcPr>
          <w:p w14:paraId="61FB3902">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850" w:type="dxa"/>
            <w:noWrap w:val="0"/>
            <w:vAlign w:val="top"/>
          </w:tcPr>
          <w:p w14:paraId="323162CE">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72" w:type="dxa"/>
            <w:noWrap w:val="0"/>
            <w:vAlign w:val="top"/>
          </w:tcPr>
          <w:p w14:paraId="6A299361">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r>
      <w:tr w14:paraId="7755CF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top"/>
          </w:tcPr>
          <w:p w14:paraId="4AD64043">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22" w:type="dxa"/>
            <w:noWrap w:val="0"/>
            <w:vAlign w:val="top"/>
          </w:tcPr>
          <w:p w14:paraId="3CBB092B">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027" w:type="dxa"/>
            <w:noWrap w:val="0"/>
            <w:vAlign w:val="top"/>
          </w:tcPr>
          <w:p w14:paraId="57814DDD">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376" w:type="dxa"/>
            <w:noWrap w:val="0"/>
            <w:vAlign w:val="top"/>
          </w:tcPr>
          <w:p w14:paraId="6C3AB90E">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978" w:type="dxa"/>
            <w:noWrap w:val="0"/>
            <w:vAlign w:val="top"/>
          </w:tcPr>
          <w:p w14:paraId="1FCF76EC">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783" w:type="dxa"/>
            <w:noWrap w:val="0"/>
            <w:vAlign w:val="top"/>
          </w:tcPr>
          <w:p w14:paraId="6C4D2BC7">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892" w:type="dxa"/>
            <w:noWrap w:val="0"/>
            <w:vAlign w:val="top"/>
          </w:tcPr>
          <w:p w14:paraId="0A97D739">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850" w:type="dxa"/>
            <w:noWrap w:val="0"/>
            <w:vAlign w:val="top"/>
          </w:tcPr>
          <w:p w14:paraId="230E5103">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72" w:type="dxa"/>
            <w:noWrap w:val="0"/>
            <w:vAlign w:val="top"/>
          </w:tcPr>
          <w:p w14:paraId="03B3D479">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r>
      <w:tr w14:paraId="1B5D81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trPr>
        <w:tc>
          <w:tcPr>
            <w:tcW w:w="897" w:type="dxa"/>
            <w:noWrap w:val="0"/>
            <w:vAlign w:val="top"/>
          </w:tcPr>
          <w:p w14:paraId="302304AE">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22" w:type="dxa"/>
            <w:noWrap w:val="0"/>
            <w:vAlign w:val="top"/>
          </w:tcPr>
          <w:p w14:paraId="4128451C">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027" w:type="dxa"/>
            <w:noWrap w:val="0"/>
            <w:vAlign w:val="top"/>
          </w:tcPr>
          <w:p w14:paraId="2DC8A8FA">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376" w:type="dxa"/>
            <w:noWrap w:val="0"/>
            <w:vAlign w:val="top"/>
          </w:tcPr>
          <w:p w14:paraId="5120B57B">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978" w:type="dxa"/>
            <w:noWrap w:val="0"/>
            <w:vAlign w:val="top"/>
          </w:tcPr>
          <w:p w14:paraId="041E8E66">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783" w:type="dxa"/>
            <w:noWrap w:val="0"/>
            <w:vAlign w:val="top"/>
          </w:tcPr>
          <w:p w14:paraId="289A67D0">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892" w:type="dxa"/>
            <w:noWrap w:val="0"/>
            <w:vAlign w:val="top"/>
          </w:tcPr>
          <w:p w14:paraId="0F661C96">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850" w:type="dxa"/>
            <w:noWrap w:val="0"/>
            <w:vAlign w:val="top"/>
          </w:tcPr>
          <w:p w14:paraId="68001E0E">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72" w:type="dxa"/>
            <w:noWrap w:val="0"/>
            <w:vAlign w:val="top"/>
          </w:tcPr>
          <w:p w14:paraId="5B5139F1">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r>
      <w:tr w14:paraId="3C2A8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97" w:type="dxa"/>
            <w:noWrap w:val="0"/>
            <w:vAlign w:val="top"/>
          </w:tcPr>
          <w:p w14:paraId="5FC15D4E">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22" w:type="dxa"/>
            <w:noWrap w:val="0"/>
            <w:vAlign w:val="top"/>
          </w:tcPr>
          <w:p w14:paraId="7D27DD32">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027" w:type="dxa"/>
            <w:noWrap w:val="0"/>
            <w:vAlign w:val="top"/>
          </w:tcPr>
          <w:p w14:paraId="07B20054">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376" w:type="dxa"/>
            <w:noWrap w:val="0"/>
            <w:vAlign w:val="top"/>
          </w:tcPr>
          <w:p w14:paraId="79604CE9">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978" w:type="dxa"/>
            <w:noWrap w:val="0"/>
            <w:vAlign w:val="top"/>
          </w:tcPr>
          <w:p w14:paraId="07D24DC0">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783" w:type="dxa"/>
            <w:noWrap w:val="0"/>
            <w:vAlign w:val="top"/>
          </w:tcPr>
          <w:p w14:paraId="301A3248">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892" w:type="dxa"/>
            <w:noWrap w:val="0"/>
            <w:vAlign w:val="top"/>
          </w:tcPr>
          <w:p w14:paraId="0E950862">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850" w:type="dxa"/>
            <w:noWrap w:val="0"/>
            <w:vAlign w:val="top"/>
          </w:tcPr>
          <w:p w14:paraId="1E2A6CB4">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c>
          <w:tcPr>
            <w:tcW w:w="1172" w:type="dxa"/>
            <w:noWrap w:val="0"/>
            <w:vAlign w:val="top"/>
          </w:tcPr>
          <w:p w14:paraId="00816E84">
            <w:pPr>
              <w:pStyle w:val="69"/>
              <w:autoSpaceDE w:val="0"/>
              <w:autoSpaceDN w:val="0"/>
              <w:adjustRightInd w:val="0"/>
              <w:spacing w:line="520" w:lineRule="exact"/>
              <w:jc w:val="left"/>
              <w:rPr>
                <w:rStyle w:val="24"/>
                <w:rFonts w:ascii="宋体" w:hAnsi="宋体" w:eastAsia="宋体" w:cs="宋体"/>
                <w:color w:val="auto"/>
                <w:kern w:val="0"/>
                <w:szCs w:val="21"/>
                <w:lang w:val="en-US" w:eastAsia="zh-CN" w:bidi="ar-SA"/>
              </w:rPr>
            </w:pPr>
          </w:p>
        </w:tc>
      </w:tr>
    </w:tbl>
    <w:p w14:paraId="4339EB0F">
      <w:pPr>
        <w:rPr>
          <w:rStyle w:val="24"/>
          <w:rFonts w:hint="eastAsia" w:ascii="宋体" w:hAnsi="宋体" w:eastAsia="宋体" w:cs="Times New Roman"/>
          <w:color w:val="auto"/>
          <w:kern w:val="2"/>
          <w:sz w:val="24"/>
          <w:szCs w:val="24"/>
          <w:lang w:val="en-US" w:eastAsia="zh-CN" w:bidi="ar-SA"/>
        </w:rPr>
      </w:pPr>
      <w:r>
        <w:rPr>
          <w:rStyle w:val="24"/>
          <w:rFonts w:hint="eastAsia" w:ascii="宋体" w:hAnsi="宋体" w:eastAsia="宋体" w:cs="Times New Roman"/>
          <w:color w:val="auto"/>
          <w:kern w:val="2"/>
          <w:sz w:val="24"/>
          <w:szCs w:val="24"/>
          <w:lang w:val="en-US" w:eastAsia="zh-CN" w:bidi="ar-SA"/>
        </w:rPr>
        <w:t>注：“拟委任的项目经理资历表”应附项目经理的身份证、职称资格证书以及资格审查条件所要求的其他相关证书（如建造师注册证书、安全生产考核合格证书等），建造师注册证书、安全生产考核合格证书在政府相关部门网站上公开信息的网页截图，投标人所属社保机构出具的拟委任的项目经理的社保缴费证明或其他能够证明拟委任的项目经理参加社保的有效证明材料。</w:t>
      </w:r>
    </w:p>
    <w:p w14:paraId="72963275">
      <w:pPr>
        <w:pStyle w:val="2"/>
        <w:rPr>
          <w:rFonts w:hint="eastAsia"/>
          <w:color w:val="auto"/>
        </w:rPr>
      </w:pPr>
    </w:p>
    <w:p w14:paraId="2581DAD9">
      <w:pPr>
        <w:pStyle w:val="5"/>
        <w:pageBreakBefore w:val="0"/>
        <w:kinsoku/>
        <w:overflowPunct/>
        <w:topLinePunct w:val="0"/>
        <w:bidi w:val="0"/>
        <w:snapToGrid/>
        <w:spacing w:line="360" w:lineRule="auto"/>
        <w:ind w:firstLine="2650" w:firstLineChars="1100"/>
        <w:rPr>
          <w:rFonts w:hint="eastAsia" w:ascii="宋体" w:hAnsi="宋体" w:eastAsia="宋体" w:cs="宋体"/>
          <w:color w:val="auto"/>
        </w:rPr>
      </w:pPr>
      <w:bookmarkStart w:id="999" w:name="_Toc30521"/>
      <w:bookmarkStart w:id="1000" w:name="_Toc10969"/>
      <w:r>
        <w:rPr>
          <w:rFonts w:hint="eastAsia" w:ascii="宋体" w:hAnsi="宋体" w:eastAsia="宋体" w:cs="宋体"/>
          <w:color w:val="auto"/>
        </w:rPr>
        <w:t>（五）主要人员简历表</w:t>
      </w:r>
      <w:bookmarkEnd w:id="999"/>
      <w:bookmarkEnd w:id="1000"/>
    </w:p>
    <w:tbl>
      <w:tblPr>
        <w:tblStyle w:val="22"/>
        <w:tblW w:w="10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55"/>
        <w:gridCol w:w="378"/>
        <w:gridCol w:w="791"/>
        <w:gridCol w:w="1063"/>
        <w:gridCol w:w="1174"/>
        <w:gridCol w:w="753"/>
        <w:gridCol w:w="1393"/>
        <w:gridCol w:w="476"/>
        <w:gridCol w:w="2733"/>
      </w:tblGrid>
      <w:tr w14:paraId="314C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7" w:hRule="exact"/>
          <w:jc w:val="center"/>
        </w:trPr>
        <w:tc>
          <w:tcPr>
            <w:tcW w:w="1355" w:type="dxa"/>
            <w:shd w:val="clear" w:color="auto" w:fill="FFFFFF"/>
            <w:vAlign w:val="center"/>
          </w:tcPr>
          <w:p w14:paraId="2BD0BE53">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姓名</w:t>
            </w:r>
          </w:p>
        </w:tc>
        <w:tc>
          <w:tcPr>
            <w:tcW w:w="1169" w:type="dxa"/>
            <w:gridSpan w:val="2"/>
            <w:shd w:val="clear" w:color="auto" w:fill="FFFFFF"/>
            <w:vAlign w:val="center"/>
          </w:tcPr>
          <w:p w14:paraId="50E19303">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063" w:type="dxa"/>
            <w:shd w:val="clear" w:color="auto" w:fill="FFFFFF"/>
            <w:vAlign w:val="center"/>
          </w:tcPr>
          <w:p w14:paraId="4DF3FD2C">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年龄</w:t>
            </w:r>
          </w:p>
        </w:tc>
        <w:tc>
          <w:tcPr>
            <w:tcW w:w="1174" w:type="dxa"/>
            <w:shd w:val="clear" w:color="auto" w:fill="FFFFFF"/>
            <w:vAlign w:val="center"/>
          </w:tcPr>
          <w:p w14:paraId="2C6E438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2622" w:type="dxa"/>
            <w:gridSpan w:val="3"/>
            <w:shd w:val="clear" w:color="auto" w:fill="FFFFFF"/>
            <w:vAlign w:val="center"/>
          </w:tcPr>
          <w:p w14:paraId="08FB1B37">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执业或职业</w:t>
            </w:r>
          </w:p>
          <w:p w14:paraId="054F1D22">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资格证书名称</w:t>
            </w:r>
          </w:p>
        </w:tc>
        <w:tc>
          <w:tcPr>
            <w:tcW w:w="2733" w:type="dxa"/>
            <w:shd w:val="clear" w:color="auto" w:fill="FFFFFF"/>
            <w:vAlign w:val="center"/>
          </w:tcPr>
          <w:p w14:paraId="64376D0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16A9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exact"/>
          <w:jc w:val="center"/>
        </w:trPr>
        <w:tc>
          <w:tcPr>
            <w:tcW w:w="1355" w:type="dxa"/>
            <w:shd w:val="clear" w:color="auto" w:fill="FFFFFF"/>
            <w:vAlign w:val="center"/>
          </w:tcPr>
          <w:p w14:paraId="44246938">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职称</w:t>
            </w:r>
          </w:p>
        </w:tc>
        <w:tc>
          <w:tcPr>
            <w:tcW w:w="1169" w:type="dxa"/>
            <w:gridSpan w:val="2"/>
            <w:shd w:val="clear" w:color="auto" w:fill="FFFFFF"/>
            <w:vAlign w:val="center"/>
          </w:tcPr>
          <w:p w14:paraId="25C391CB">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063" w:type="dxa"/>
            <w:shd w:val="clear" w:color="auto" w:fill="FFFFFF"/>
            <w:vAlign w:val="center"/>
          </w:tcPr>
          <w:p w14:paraId="1A7DAF8A">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学历</w:t>
            </w:r>
          </w:p>
        </w:tc>
        <w:tc>
          <w:tcPr>
            <w:tcW w:w="1174" w:type="dxa"/>
            <w:shd w:val="clear" w:color="auto" w:fill="FFFFFF"/>
            <w:vAlign w:val="center"/>
          </w:tcPr>
          <w:p w14:paraId="56C6A19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2622" w:type="dxa"/>
            <w:gridSpan w:val="3"/>
            <w:shd w:val="clear" w:color="auto" w:fill="FFFFFF"/>
            <w:vAlign w:val="center"/>
          </w:tcPr>
          <w:p w14:paraId="190BB2D2">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拟在本项目任职</w:t>
            </w:r>
          </w:p>
        </w:tc>
        <w:tc>
          <w:tcPr>
            <w:tcW w:w="2733" w:type="dxa"/>
            <w:shd w:val="clear" w:color="auto" w:fill="FFFFFF"/>
            <w:vAlign w:val="center"/>
          </w:tcPr>
          <w:p w14:paraId="0B680085">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3130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7" w:hRule="exact"/>
          <w:jc w:val="center"/>
        </w:trPr>
        <w:tc>
          <w:tcPr>
            <w:tcW w:w="1355" w:type="dxa"/>
            <w:shd w:val="clear" w:color="auto" w:fill="FFFFFF"/>
            <w:vAlign w:val="center"/>
          </w:tcPr>
          <w:p w14:paraId="5B3BB53E">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工作年限</w:t>
            </w:r>
          </w:p>
        </w:tc>
        <w:tc>
          <w:tcPr>
            <w:tcW w:w="3406" w:type="dxa"/>
            <w:gridSpan w:val="4"/>
            <w:shd w:val="clear" w:color="auto" w:fill="FFFFFF"/>
            <w:vAlign w:val="center"/>
          </w:tcPr>
          <w:p w14:paraId="5A67D978">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2622" w:type="dxa"/>
            <w:gridSpan w:val="3"/>
            <w:shd w:val="clear" w:color="auto" w:fill="FFFFFF"/>
            <w:vAlign w:val="center"/>
          </w:tcPr>
          <w:p w14:paraId="04EEFE8F">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从事类似工作年限</w:t>
            </w:r>
          </w:p>
        </w:tc>
        <w:tc>
          <w:tcPr>
            <w:tcW w:w="2733" w:type="dxa"/>
            <w:shd w:val="clear" w:color="auto" w:fill="FFFFFF"/>
            <w:vAlign w:val="center"/>
          </w:tcPr>
          <w:p w14:paraId="3EA78C44">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0A9A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exact"/>
          <w:jc w:val="center"/>
        </w:trPr>
        <w:tc>
          <w:tcPr>
            <w:tcW w:w="1355" w:type="dxa"/>
            <w:shd w:val="clear" w:color="auto" w:fill="FFFFFF"/>
            <w:vAlign w:val="center"/>
          </w:tcPr>
          <w:p w14:paraId="1008EDC2">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毕业学校</w:t>
            </w:r>
          </w:p>
        </w:tc>
        <w:tc>
          <w:tcPr>
            <w:tcW w:w="8761" w:type="dxa"/>
            <w:gridSpan w:val="8"/>
            <w:shd w:val="clear" w:color="auto" w:fill="FFFFFF"/>
            <w:vAlign w:val="center"/>
          </w:tcPr>
          <w:p w14:paraId="76E52E51">
            <w:pPr>
              <w:pStyle w:val="35"/>
              <w:pageBreakBefore w:val="0"/>
              <w:tabs>
                <w:tab w:val="left" w:pos="2021"/>
                <w:tab w:val="left" w:pos="3341"/>
              </w:tabs>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年毕业于</w:t>
            </w:r>
            <w:r>
              <w:rPr>
                <w:rFonts w:hint="eastAsia" w:ascii="宋体" w:hAnsi="宋体" w:eastAsia="宋体" w:cs="宋体"/>
                <w:color w:val="auto"/>
                <w:sz w:val="24"/>
                <w:szCs w:val="24"/>
              </w:rPr>
              <w:tab/>
            </w:r>
            <w:r>
              <w:rPr>
                <w:rFonts w:hint="eastAsia" w:ascii="宋体" w:hAnsi="宋体" w:eastAsia="宋体" w:cs="宋体"/>
                <w:color w:val="auto"/>
                <w:sz w:val="24"/>
                <w:szCs w:val="24"/>
              </w:rPr>
              <w:t>学校</w:t>
            </w:r>
            <w:r>
              <w:rPr>
                <w:rFonts w:hint="eastAsia" w:ascii="宋体" w:hAnsi="宋体" w:eastAsia="宋体" w:cs="宋体"/>
                <w:color w:val="auto"/>
                <w:sz w:val="24"/>
                <w:szCs w:val="24"/>
              </w:rPr>
              <w:tab/>
            </w:r>
            <w:r>
              <w:rPr>
                <w:rFonts w:hint="eastAsia" w:ascii="宋体" w:hAnsi="宋体" w:eastAsia="宋体" w:cs="宋体"/>
                <w:color w:val="auto"/>
                <w:sz w:val="24"/>
                <w:szCs w:val="24"/>
              </w:rPr>
              <w:t>专业</w:t>
            </w:r>
          </w:p>
        </w:tc>
      </w:tr>
      <w:tr w14:paraId="2F20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exact"/>
          <w:jc w:val="center"/>
        </w:trPr>
        <w:tc>
          <w:tcPr>
            <w:tcW w:w="10116" w:type="dxa"/>
            <w:gridSpan w:val="9"/>
            <w:shd w:val="clear" w:color="auto" w:fill="FFFFFF"/>
            <w:vAlign w:val="center"/>
          </w:tcPr>
          <w:p w14:paraId="7C807C88">
            <w:pPr>
              <w:pStyle w:val="35"/>
              <w:pageBreakBefore w:val="0"/>
              <w:kinsoku/>
              <w:overflowPunct/>
              <w:topLinePunct w:val="0"/>
              <w:bidi w:val="0"/>
              <w:snapToGrid/>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主要工作经历</w:t>
            </w:r>
          </w:p>
        </w:tc>
      </w:tr>
      <w:tr w14:paraId="2349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exact"/>
          <w:jc w:val="center"/>
        </w:trPr>
        <w:tc>
          <w:tcPr>
            <w:tcW w:w="1733" w:type="dxa"/>
            <w:gridSpan w:val="2"/>
            <w:shd w:val="clear" w:color="auto" w:fill="FFFFFF"/>
            <w:vAlign w:val="center"/>
          </w:tcPr>
          <w:p w14:paraId="0E92806F">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时间</w:t>
            </w:r>
          </w:p>
        </w:tc>
        <w:tc>
          <w:tcPr>
            <w:tcW w:w="3781" w:type="dxa"/>
            <w:gridSpan w:val="4"/>
            <w:shd w:val="clear" w:color="auto" w:fill="FFFFFF"/>
            <w:vAlign w:val="center"/>
          </w:tcPr>
          <w:p w14:paraId="29A26760">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参加过的类似项目</w:t>
            </w:r>
          </w:p>
        </w:tc>
        <w:tc>
          <w:tcPr>
            <w:tcW w:w="1393" w:type="dxa"/>
            <w:shd w:val="clear" w:color="auto" w:fill="FFFFFF"/>
            <w:vAlign w:val="center"/>
          </w:tcPr>
          <w:p w14:paraId="1EAF475E">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担任职务</w:t>
            </w:r>
          </w:p>
        </w:tc>
        <w:tc>
          <w:tcPr>
            <w:tcW w:w="3209" w:type="dxa"/>
            <w:gridSpan w:val="2"/>
            <w:shd w:val="clear" w:color="auto" w:fill="FFFFFF"/>
            <w:vAlign w:val="center"/>
          </w:tcPr>
          <w:p w14:paraId="2535C01D">
            <w:pPr>
              <w:pStyle w:val="35"/>
              <w:pageBreakBefore w:val="0"/>
              <w:kinsoku/>
              <w:overflowPunct/>
              <w:topLinePunct w:val="0"/>
              <w:bidi w:val="0"/>
              <w:snapToGrid/>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发包人及联系电话</w:t>
            </w:r>
          </w:p>
        </w:tc>
      </w:tr>
      <w:tr w14:paraId="3118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exact"/>
          <w:jc w:val="center"/>
        </w:trPr>
        <w:tc>
          <w:tcPr>
            <w:tcW w:w="1733" w:type="dxa"/>
            <w:gridSpan w:val="2"/>
            <w:shd w:val="clear" w:color="auto" w:fill="FFFFFF"/>
            <w:vAlign w:val="center"/>
          </w:tcPr>
          <w:p w14:paraId="05CAFF2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781" w:type="dxa"/>
            <w:gridSpan w:val="4"/>
            <w:shd w:val="clear" w:color="auto" w:fill="FFFFFF"/>
            <w:vAlign w:val="center"/>
          </w:tcPr>
          <w:p w14:paraId="0ADEDBED">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393" w:type="dxa"/>
            <w:shd w:val="clear" w:color="auto" w:fill="FFFFFF"/>
            <w:vAlign w:val="center"/>
          </w:tcPr>
          <w:p w14:paraId="5588E2E9">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209" w:type="dxa"/>
            <w:gridSpan w:val="2"/>
            <w:shd w:val="clear" w:color="auto" w:fill="FFFFFF"/>
            <w:vAlign w:val="center"/>
          </w:tcPr>
          <w:p w14:paraId="20535C39">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229C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8" w:hRule="exact"/>
          <w:jc w:val="center"/>
        </w:trPr>
        <w:tc>
          <w:tcPr>
            <w:tcW w:w="1733" w:type="dxa"/>
            <w:gridSpan w:val="2"/>
            <w:shd w:val="clear" w:color="auto" w:fill="FFFFFF"/>
            <w:vAlign w:val="center"/>
          </w:tcPr>
          <w:p w14:paraId="18734328">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781" w:type="dxa"/>
            <w:gridSpan w:val="4"/>
            <w:shd w:val="clear" w:color="auto" w:fill="FFFFFF"/>
            <w:vAlign w:val="center"/>
          </w:tcPr>
          <w:p w14:paraId="49D6E6C0">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393" w:type="dxa"/>
            <w:shd w:val="clear" w:color="auto" w:fill="FFFFFF"/>
            <w:vAlign w:val="center"/>
          </w:tcPr>
          <w:p w14:paraId="62B4C3FC">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209" w:type="dxa"/>
            <w:gridSpan w:val="2"/>
            <w:shd w:val="clear" w:color="auto" w:fill="FFFFFF"/>
            <w:vAlign w:val="center"/>
          </w:tcPr>
          <w:p w14:paraId="5BAEA856">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r w14:paraId="332C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72" w:hRule="exact"/>
          <w:jc w:val="center"/>
        </w:trPr>
        <w:tc>
          <w:tcPr>
            <w:tcW w:w="1733" w:type="dxa"/>
            <w:gridSpan w:val="2"/>
            <w:shd w:val="clear" w:color="auto" w:fill="FFFFFF"/>
            <w:vAlign w:val="center"/>
          </w:tcPr>
          <w:p w14:paraId="507100C5">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781" w:type="dxa"/>
            <w:gridSpan w:val="4"/>
            <w:shd w:val="clear" w:color="auto" w:fill="FFFFFF"/>
            <w:vAlign w:val="center"/>
          </w:tcPr>
          <w:p w14:paraId="4A81466E">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1393" w:type="dxa"/>
            <w:shd w:val="clear" w:color="auto" w:fill="FFFFFF"/>
            <w:vAlign w:val="center"/>
          </w:tcPr>
          <w:p w14:paraId="54081E31">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c>
          <w:tcPr>
            <w:tcW w:w="3209" w:type="dxa"/>
            <w:gridSpan w:val="2"/>
            <w:shd w:val="clear" w:color="auto" w:fill="FFFFFF"/>
            <w:vAlign w:val="center"/>
          </w:tcPr>
          <w:p w14:paraId="193A77BA">
            <w:pPr>
              <w:pageBreakBefore w:val="0"/>
              <w:kinsoku/>
              <w:overflowPunct/>
              <w:topLinePunct w:val="0"/>
              <w:bidi w:val="0"/>
              <w:snapToGrid/>
              <w:spacing w:line="360" w:lineRule="auto"/>
              <w:jc w:val="center"/>
              <w:rPr>
                <w:rFonts w:hint="eastAsia" w:ascii="宋体" w:hAnsi="宋体" w:eastAsia="宋体" w:cs="宋体"/>
                <w:color w:val="auto"/>
                <w:sz w:val="24"/>
                <w:szCs w:val="24"/>
              </w:rPr>
            </w:pPr>
          </w:p>
        </w:tc>
      </w:tr>
    </w:tbl>
    <w:p w14:paraId="078C5A21">
      <w:pPr>
        <w:pageBreakBefore w:val="0"/>
        <w:kinsoku/>
        <w:overflowPunct/>
        <w:topLinePunct w:val="0"/>
        <w:bidi w:val="0"/>
        <w:snapToGrid/>
        <w:spacing w:line="360" w:lineRule="auto"/>
        <w:rPr>
          <w:rFonts w:hint="eastAsia" w:ascii="宋体" w:hAnsi="宋体" w:eastAsia="宋体" w:cs="宋体"/>
          <w:color w:val="auto"/>
          <w:szCs w:val="21"/>
        </w:rPr>
      </w:pPr>
      <w:r>
        <w:rPr>
          <w:rFonts w:hint="eastAsia" w:ascii="宋体" w:hAnsi="宋体" w:eastAsia="宋体" w:cs="宋体"/>
          <w:color w:val="auto"/>
          <w:szCs w:val="21"/>
        </w:rPr>
        <w:t>注：</w:t>
      </w:r>
      <w:r>
        <w:rPr>
          <w:rFonts w:hint="eastAsia" w:ascii="宋体" w:hAnsi="宋体" w:eastAsia="宋体" w:cs="宋体"/>
          <w:color w:val="auto"/>
          <w:szCs w:val="21"/>
          <w:lang w:eastAsia="zh-CN"/>
        </w:rPr>
        <w:t>询比响应人</w:t>
      </w:r>
      <w:r>
        <w:rPr>
          <w:rFonts w:hint="eastAsia" w:ascii="宋体" w:hAnsi="宋体" w:eastAsia="宋体" w:cs="宋体"/>
          <w:color w:val="auto"/>
          <w:szCs w:val="21"/>
        </w:rPr>
        <w:t>应根据</w:t>
      </w:r>
      <w:r>
        <w:rPr>
          <w:rFonts w:hint="eastAsia" w:ascii="宋体" w:hAnsi="宋体" w:eastAsia="宋体" w:cs="宋体"/>
          <w:color w:val="auto"/>
          <w:szCs w:val="21"/>
          <w:lang w:eastAsia="zh-CN"/>
        </w:rPr>
        <w:t>询比响应人</w:t>
      </w:r>
      <w:r>
        <w:rPr>
          <w:rFonts w:hint="eastAsia" w:ascii="宋体" w:hAnsi="宋体" w:eastAsia="宋体" w:cs="宋体"/>
          <w:color w:val="auto"/>
          <w:szCs w:val="21"/>
        </w:rPr>
        <w:t>须知前附表第3.5(6)项的要求在本表后附相关证明材料。</w:t>
      </w:r>
      <w:bookmarkStart w:id="1001" w:name="bookmark614"/>
      <w:bookmarkStart w:id="1002" w:name="bookmark612"/>
      <w:bookmarkStart w:id="1003" w:name="bookmark613"/>
    </w:p>
    <w:bookmarkEnd w:id="1001"/>
    <w:bookmarkEnd w:id="1002"/>
    <w:bookmarkEnd w:id="1003"/>
    <w:p w14:paraId="015946B4">
      <w:pPr>
        <w:pStyle w:val="70"/>
        <w:jc w:val="center"/>
        <w:outlineLvl w:val="2"/>
        <w:rPr>
          <w:rStyle w:val="24"/>
          <w:rFonts w:hint="eastAsia" w:ascii="宋体" w:hAnsi="宋体" w:eastAsia="宋体" w:cs="宋体"/>
          <w:color w:val="auto"/>
          <w:sz w:val="24"/>
          <w:szCs w:val="24"/>
        </w:rPr>
      </w:pPr>
      <w:bookmarkStart w:id="1004" w:name="_Toc6442"/>
      <w:bookmarkStart w:id="1005" w:name="bookmark624"/>
      <w:bookmarkStart w:id="1006" w:name="_Toc11362"/>
      <w:bookmarkStart w:id="1007" w:name="bookmark626"/>
      <w:bookmarkStart w:id="1008" w:name="bookmark625"/>
      <w:r>
        <w:rPr>
          <w:rFonts w:hint="eastAsia" w:ascii="宋体" w:hAnsi="宋体" w:eastAsia="宋体" w:cs="宋体"/>
          <w:color w:val="auto"/>
        </w:rPr>
        <w:br w:type="page"/>
      </w:r>
      <w:bookmarkStart w:id="1009" w:name="_Toc256000050"/>
      <w:r>
        <w:rPr>
          <w:rFonts w:hint="eastAsia" w:ascii="宋体" w:hAnsi="宋体" w:eastAsia="宋体" w:cs="宋体"/>
          <w:b/>
          <w:color w:val="auto"/>
          <w:kern w:val="2"/>
          <w:sz w:val="24"/>
          <w:szCs w:val="24"/>
          <w:lang w:val="en-US" w:eastAsia="zh-CN" w:bidi="ar-SA"/>
        </w:rPr>
        <w:t>(六)拟派项目经理无在建项目承诺书</w:t>
      </w:r>
      <w:bookmarkEnd w:id="1009"/>
    </w:p>
    <w:p w14:paraId="4FFEA4F2">
      <w:pPr>
        <w:pStyle w:val="71"/>
        <w:spacing w:line="520" w:lineRule="exact"/>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 xml:space="preserve"> </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（采购人名称）：</w:t>
      </w:r>
    </w:p>
    <w:p w14:paraId="1C51B565">
      <w:pPr>
        <w:pStyle w:val="71"/>
        <w:spacing w:line="520" w:lineRule="exact"/>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 xml:space="preserve">    我方在此声明，我方拟派往 </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（项目名称）标段(以下简称“本工</w:t>
      </w:r>
    </w:p>
    <w:p w14:paraId="38A973B0">
      <w:pPr>
        <w:pStyle w:val="71"/>
        <w:spacing w:line="520" w:lineRule="exact"/>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程”)的项目经理</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 xml:space="preserve"> (项目经理姓名)身份证号码:</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，注册证书号码:</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，现阶段没有担任任何在施建设工程项目的项目经理。</w:t>
      </w:r>
    </w:p>
    <w:p w14:paraId="57B96FB1">
      <w:pPr>
        <w:pStyle w:val="71"/>
        <w:spacing w:line="520" w:lineRule="exact"/>
        <w:ind w:firstLine="480" w:firstLineChars="200"/>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我方保证上述信息的真实和准确，并愿意承担因我方就此弄虚作假所引起的一切法律后果。</w:t>
      </w:r>
    </w:p>
    <w:p w14:paraId="2225C7CD">
      <w:pPr>
        <w:pStyle w:val="71"/>
        <w:spacing w:line="520" w:lineRule="exact"/>
        <w:ind w:firstLine="480" w:firstLineChars="200"/>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特此承诺。</w:t>
      </w:r>
    </w:p>
    <w:p w14:paraId="3F2C3DC7">
      <w:pPr>
        <w:pStyle w:val="71"/>
        <w:spacing w:line="520" w:lineRule="exact"/>
        <w:rPr>
          <w:rStyle w:val="24"/>
          <w:rFonts w:hint="eastAsia" w:ascii="宋体" w:hAnsi="宋体" w:eastAsia="宋体" w:cs="宋体"/>
          <w:color w:val="auto"/>
          <w:sz w:val="24"/>
          <w:szCs w:val="24"/>
          <w:lang w:val="en-US" w:eastAsia="zh-CN" w:bidi="ar-SA"/>
        </w:rPr>
      </w:pPr>
    </w:p>
    <w:p w14:paraId="0557FDB9">
      <w:pPr>
        <w:pStyle w:val="71"/>
        <w:spacing w:line="520" w:lineRule="exact"/>
        <w:ind w:firstLine="2880" w:firstLineChars="1200"/>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投标人：</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（单位公章）</w:t>
      </w:r>
    </w:p>
    <w:p w14:paraId="4E04B4FE">
      <w:pPr>
        <w:pStyle w:val="71"/>
        <w:spacing w:line="520" w:lineRule="exact"/>
        <w:ind w:firstLine="2880" w:firstLineChars="1200"/>
        <w:jc w:val="both"/>
        <w:rPr>
          <w:rStyle w:val="24"/>
          <w:rFonts w:hint="default"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项目经理：</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（签字）</w:t>
      </w:r>
    </w:p>
    <w:p w14:paraId="686441D7">
      <w:pPr>
        <w:pStyle w:val="71"/>
        <w:spacing w:line="520" w:lineRule="exact"/>
        <w:ind w:firstLine="2880" w:firstLineChars="1200"/>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法定代表人：</w:t>
      </w:r>
      <w:r>
        <w:rPr>
          <w:rStyle w:val="24"/>
          <w:rFonts w:hint="eastAsia" w:ascii="宋体" w:hAnsi="宋体" w:eastAsia="宋体" w:cs="宋体"/>
          <w:color w:val="auto"/>
          <w:sz w:val="24"/>
          <w:szCs w:val="24"/>
          <w:u w:val="single"/>
          <w:lang w:val="en-US" w:eastAsia="zh-CN" w:bidi="ar-SA"/>
        </w:rPr>
        <w:t xml:space="preserve">            </w:t>
      </w:r>
      <w:r>
        <w:rPr>
          <w:rStyle w:val="24"/>
          <w:rFonts w:hint="eastAsia" w:ascii="宋体" w:hAnsi="宋体" w:eastAsia="宋体" w:cs="宋体"/>
          <w:color w:val="auto"/>
          <w:sz w:val="24"/>
          <w:szCs w:val="24"/>
          <w:lang w:val="en-US" w:eastAsia="zh-CN" w:bidi="ar-SA"/>
        </w:rPr>
        <w:t>（签字）</w:t>
      </w:r>
    </w:p>
    <w:p w14:paraId="4DA2884C">
      <w:pPr>
        <w:pStyle w:val="71"/>
        <w:spacing w:line="520" w:lineRule="exact"/>
        <w:ind w:firstLine="4320" w:firstLineChars="1800"/>
        <w:jc w:val="both"/>
        <w:rPr>
          <w:rStyle w:val="24"/>
          <w:rFonts w:hint="eastAsia" w:ascii="宋体" w:hAnsi="宋体" w:eastAsia="宋体" w:cs="宋体"/>
          <w:color w:val="auto"/>
          <w:sz w:val="24"/>
          <w:szCs w:val="24"/>
          <w:lang w:val="en-US" w:eastAsia="zh-CN" w:bidi="ar-SA"/>
        </w:rPr>
      </w:pPr>
      <w:r>
        <w:rPr>
          <w:rStyle w:val="24"/>
          <w:rFonts w:hint="eastAsia" w:ascii="宋体" w:hAnsi="宋体" w:eastAsia="宋体" w:cs="宋体"/>
          <w:color w:val="auto"/>
          <w:sz w:val="24"/>
          <w:szCs w:val="24"/>
          <w:lang w:val="en-US" w:eastAsia="zh-CN" w:bidi="ar-SA"/>
        </w:rPr>
        <w:t>年　 月 　日</w:t>
      </w:r>
    </w:p>
    <w:p w14:paraId="2FA73A40">
      <w:pPr>
        <w:rPr>
          <w:rFonts w:hint="eastAsia" w:ascii="宋体" w:hAnsi="宋体" w:eastAsia="宋体" w:cs="宋体"/>
          <w:color w:val="auto"/>
        </w:rPr>
      </w:pPr>
    </w:p>
    <w:p w14:paraId="2E7257C9">
      <w:pPr>
        <w:rPr>
          <w:rFonts w:hint="eastAsia" w:ascii="宋体" w:hAnsi="宋体" w:eastAsia="宋体" w:cs="宋体"/>
          <w:color w:val="auto"/>
        </w:rPr>
      </w:pPr>
      <w:r>
        <w:rPr>
          <w:rFonts w:hint="eastAsia" w:ascii="宋体" w:hAnsi="宋体" w:eastAsia="宋体" w:cs="宋体"/>
          <w:color w:val="auto"/>
        </w:rPr>
        <w:br w:type="page"/>
      </w:r>
    </w:p>
    <w:p w14:paraId="28F545FF">
      <w:pPr>
        <w:pStyle w:val="4"/>
        <w:pageBreakBefore w:val="0"/>
        <w:kinsoku/>
        <w:overflowPunct/>
        <w:topLinePunct w:val="0"/>
        <w:bidi w:val="0"/>
        <w:snapToGrid/>
        <w:spacing w:line="360" w:lineRule="auto"/>
        <w:ind w:firstLine="3654" w:firstLineChars="1300"/>
        <w:jc w:val="both"/>
        <w:rPr>
          <w:rFonts w:hint="eastAsia" w:ascii="宋体" w:hAnsi="宋体" w:eastAsia="宋体" w:cs="宋体"/>
          <w:color w:val="auto"/>
        </w:rPr>
      </w:pPr>
      <w:r>
        <w:rPr>
          <w:rFonts w:hint="eastAsia" w:ascii="宋体" w:hAnsi="宋体" w:eastAsia="宋体" w:cs="宋体"/>
          <w:color w:val="auto"/>
        </w:rPr>
        <w:t>八、响应方案（A）</w:t>
      </w:r>
      <w:bookmarkEnd w:id="1004"/>
      <w:bookmarkEnd w:id="1005"/>
      <w:bookmarkEnd w:id="1006"/>
      <w:bookmarkEnd w:id="1007"/>
      <w:bookmarkEnd w:id="1008"/>
    </w:p>
    <w:p w14:paraId="57D4B3CC">
      <w:pPr>
        <w:pStyle w:val="5"/>
        <w:pageBreakBefore w:val="0"/>
        <w:kinsoku/>
        <w:overflowPunct/>
        <w:topLinePunct w:val="0"/>
        <w:bidi w:val="0"/>
        <w:snapToGrid/>
        <w:spacing w:line="360" w:lineRule="auto"/>
        <w:rPr>
          <w:rFonts w:hint="eastAsia" w:ascii="宋体" w:hAnsi="宋体" w:eastAsia="宋体" w:cs="宋体"/>
          <w:color w:val="auto"/>
        </w:rPr>
      </w:pPr>
      <w:bookmarkStart w:id="1010" w:name="_Toc1832"/>
      <w:bookmarkStart w:id="1011" w:name="_Toc10399"/>
      <w:r>
        <w:rPr>
          <w:rFonts w:hint="eastAsia" w:ascii="宋体" w:hAnsi="宋体" w:eastAsia="宋体" w:cs="宋体"/>
          <w:color w:val="auto"/>
        </w:rPr>
        <w:t>（一）施工组织设计</w:t>
      </w:r>
      <w:bookmarkEnd w:id="1010"/>
      <w:bookmarkEnd w:id="1011"/>
    </w:p>
    <w:p w14:paraId="2317F308">
      <w:pPr>
        <w:pStyle w:val="39"/>
        <w:pageBreakBefore w:val="0"/>
        <w:kinsoku/>
        <w:overflowPunct/>
        <w:topLinePunct w:val="0"/>
        <w:bidi w:val="0"/>
        <w:snapToGrid/>
        <w:spacing w:line="360" w:lineRule="auto"/>
        <w:ind w:firstLine="480"/>
        <w:rPr>
          <w:rFonts w:hint="eastAsia" w:ascii="宋体" w:hAnsi="宋体" w:eastAsia="宋体" w:cs="宋体"/>
          <w:color w:val="auto"/>
          <w:sz w:val="24"/>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编制施工组织设计的要求：编制时应釆用文字并结合图表形式说明施工方法；拟投入本项目的主要施工设备情况、拟配备本项目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4FAAADB4">
      <w:pPr>
        <w:pStyle w:val="5"/>
        <w:pageBreakBefore w:val="0"/>
        <w:kinsoku/>
        <w:overflowPunct/>
        <w:topLinePunct w:val="0"/>
        <w:bidi w:val="0"/>
        <w:snapToGrid/>
        <w:spacing w:line="360" w:lineRule="auto"/>
        <w:rPr>
          <w:rFonts w:hint="eastAsia" w:ascii="宋体" w:hAnsi="宋体" w:eastAsia="宋体" w:cs="宋体"/>
          <w:color w:val="auto"/>
          <w:sz w:val="24"/>
          <w:szCs w:val="24"/>
        </w:rPr>
      </w:pPr>
      <w:bookmarkStart w:id="1012" w:name="_Toc443467010"/>
      <w:bookmarkStart w:id="1013" w:name="_Toc15113"/>
      <w:r>
        <w:rPr>
          <w:rFonts w:hint="eastAsia" w:ascii="宋体" w:hAnsi="宋体" w:eastAsia="宋体" w:cs="宋体"/>
          <w:color w:val="auto"/>
          <w:sz w:val="24"/>
          <w:szCs w:val="24"/>
        </w:rPr>
        <w:t>附表一：拟投入本工程的主要施工设备表</w:t>
      </w:r>
      <w:bookmarkEnd w:id="1012"/>
      <w:bookmarkEnd w:id="1013"/>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247"/>
        <w:gridCol w:w="788"/>
        <w:gridCol w:w="1197"/>
        <w:gridCol w:w="832"/>
        <w:gridCol w:w="832"/>
        <w:gridCol w:w="1378"/>
        <w:gridCol w:w="1021"/>
        <w:gridCol w:w="1021"/>
        <w:gridCol w:w="894"/>
      </w:tblGrid>
      <w:tr w14:paraId="5C11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7" w:type="pct"/>
            <w:vAlign w:val="center"/>
          </w:tcPr>
          <w:p w14:paraId="05220F32">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625" w:type="pct"/>
            <w:vAlign w:val="center"/>
          </w:tcPr>
          <w:p w14:paraId="4CCF559C">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设备名称</w:t>
            </w:r>
          </w:p>
        </w:tc>
        <w:tc>
          <w:tcPr>
            <w:tcW w:w="395" w:type="pct"/>
            <w:vAlign w:val="center"/>
          </w:tcPr>
          <w:p w14:paraId="03084A3E">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型号</w:t>
            </w:r>
          </w:p>
          <w:p w14:paraId="621CF782">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规格</w:t>
            </w:r>
          </w:p>
        </w:tc>
        <w:tc>
          <w:tcPr>
            <w:tcW w:w="600" w:type="pct"/>
            <w:vAlign w:val="center"/>
          </w:tcPr>
          <w:p w14:paraId="6764086F">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417" w:type="pct"/>
            <w:vAlign w:val="center"/>
          </w:tcPr>
          <w:p w14:paraId="19713DB9">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国别</w:t>
            </w:r>
          </w:p>
          <w:p w14:paraId="16934810">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产地</w:t>
            </w:r>
          </w:p>
        </w:tc>
        <w:tc>
          <w:tcPr>
            <w:tcW w:w="417" w:type="pct"/>
            <w:vAlign w:val="center"/>
          </w:tcPr>
          <w:p w14:paraId="21359DC4">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制造</w:t>
            </w:r>
          </w:p>
          <w:p w14:paraId="2A475013">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年份</w:t>
            </w:r>
          </w:p>
        </w:tc>
        <w:tc>
          <w:tcPr>
            <w:tcW w:w="691" w:type="pct"/>
            <w:vAlign w:val="center"/>
          </w:tcPr>
          <w:p w14:paraId="7F52BA7B">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额定功率</w:t>
            </w:r>
          </w:p>
          <w:p w14:paraId="1CCF947B">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（KW）</w:t>
            </w:r>
          </w:p>
        </w:tc>
        <w:tc>
          <w:tcPr>
            <w:tcW w:w="512" w:type="pct"/>
            <w:vAlign w:val="center"/>
          </w:tcPr>
          <w:p w14:paraId="3E2C2BE1">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生产</w:t>
            </w:r>
          </w:p>
          <w:p w14:paraId="2089CDB9">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能力</w:t>
            </w:r>
          </w:p>
        </w:tc>
        <w:tc>
          <w:tcPr>
            <w:tcW w:w="512" w:type="pct"/>
            <w:vAlign w:val="center"/>
          </w:tcPr>
          <w:p w14:paraId="00CFF8D5">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用于施</w:t>
            </w:r>
          </w:p>
          <w:p w14:paraId="22CADCD2">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工部位</w:t>
            </w:r>
          </w:p>
        </w:tc>
        <w:tc>
          <w:tcPr>
            <w:tcW w:w="448" w:type="pct"/>
            <w:vAlign w:val="center"/>
          </w:tcPr>
          <w:p w14:paraId="420B72AC">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4D89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74168C8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7211A9C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72F3B99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1E8A706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255602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4F41981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5487EDE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03AEDAE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7E3E9AD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14F1A71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76AC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0E3ED45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395071E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13CC73A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7618213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42E905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F16F9D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21BFD42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576D037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2F6E183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3DF0852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321E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5E4A161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04F252A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6341EB7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6EA4CF0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28523F4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69CB047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46DBE7B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6E3D28A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09FFDE9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312B14B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7E5F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677FE76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7E0D870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4886048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7ABB057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7A8B86E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1E053BA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7F19A3E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15A2169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6DBB1C5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7B1DDF9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29D7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6610FE4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1E3561D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1823A7C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7233730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50D2BAD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61E4596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440CDF3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0CF4759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0EA8B24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43197C6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44F6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16BA493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4B017F8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1C730A3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39AC603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77009B1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50F0821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6B63FAE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3F83EEA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7AE261E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5FE1D62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0A90B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7" w:type="pct"/>
            <w:vAlign w:val="center"/>
          </w:tcPr>
          <w:p w14:paraId="19F7773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7E20FFF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77C3C02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494D2BB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2DBB741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1D4776F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62DFF71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0E5F3C9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512" w:type="pct"/>
            <w:vAlign w:val="center"/>
          </w:tcPr>
          <w:p w14:paraId="46254A4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48" w:type="pct"/>
            <w:vAlign w:val="center"/>
          </w:tcPr>
          <w:p w14:paraId="4FAD5E4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bl>
    <w:p w14:paraId="4CB931FB">
      <w:pPr>
        <w:pStyle w:val="5"/>
        <w:pageBreakBefore w:val="0"/>
        <w:kinsoku/>
        <w:overflowPunct/>
        <w:topLinePunct w:val="0"/>
        <w:bidi w:val="0"/>
        <w:snapToGrid/>
        <w:spacing w:line="360" w:lineRule="auto"/>
        <w:rPr>
          <w:rFonts w:hint="eastAsia" w:ascii="宋体" w:hAnsi="宋体" w:eastAsia="宋体" w:cs="宋体"/>
          <w:color w:val="auto"/>
          <w:sz w:val="24"/>
          <w:szCs w:val="24"/>
        </w:rPr>
      </w:pPr>
      <w:bookmarkStart w:id="1014" w:name="_Toc8925"/>
      <w:bookmarkStart w:id="1015" w:name="_Toc443467011"/>
      <w:r>
        <w:rPr>
          <w:rFonts w:hint="eastAsia" w:ascii="宋体" w:hAnsi="宋体" w:eastAsia="宋体" w:cs="宋体"/>
          <w:color w:val="auto"/>
          <w:sz w:val="24"/>
          <w:szCs w:val="24"/>
        </w:rPr>
        <w:t>附表二：拟配备本工程的试验和检测仪器设备表</w:t>
      </w:r>
      <w:bookmarkEnd w:id="1014"/>
      <w:bookmarkEnd w:id="1015"/>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246"/>
        <w:gridCol w:w="788"/>
        <w:gridCol w:w="1196"/>
        <w:gridCol w:w="831"/>
        <w:gridCol w:w="831"/>
        <w:gridCol w:w="1378"/>
        <w:gridCol w:w="1944"/>
        <w:gridCol w:w="994"/>
      </w:tblGrid>
      <w:tr w14:paraId="200C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378" w:type="pct"/>
            <w:vAlign w:val="center"/>
          </w:tcPr>
          <w:p w14:paraId="2BCFF7A0">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625" w:type="pct"/>
            <w:vAlign w:val="center"/>
          </w:tcPr>
          <w:p w14:paraId="0CF5D18E">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仪器设备名称</w:t>
            </w:r>
          </w:p>
        </w:tc>
        <w:tc>
          <w:tcPr>
            <w:tcW w:w="395" w:type="pct"/>
            <w:vAlign w:val="center"/>
          </w:tcPr>
          <w:p w14:paraId="52965848">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型号</w:t>
            </w:r>
          </w:p>
          <w:p w14:paraId="427F8618">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规格</w:t>
            </w:r>
          </w:p>
        </w:tc>
        <w:tc>
          <w:tcPr>
            <w:tcW w:w="600" w:type="pct"/>
            <w:vAlign w:val="center"/>
          </w:tcPr>
          <w:p w14:paraId="5D003474">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417" w:type="pct"/>
            <w:vAlign w:val="center"/>
          </w:tcPr>
          <w:p w14:paraId="32DEE208">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国别</w:t>
            </w:r>
          </w:p>
          <w:p w14:paraId="49301C6C">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产地</w:t>
            </w:r>
          </w:p>
        </w:tc>
        <w:tc>
          <w:tcPr>
            <w:tcW w:w="417" w:type="pct"/>
            <w:vAlign w:val="center"/>
          </w:tcPr>
          <w:p w14:paraId="29B34A7C">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制造</w:t>
            </w:r>
          </w:p>
          <w:p w14:paraId="129E81B9">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年份</w:t>
            </w:r>
          </w:p>
        </w:tc>
        <w:tc>
          <w:tcPr>
            <w:tcW w:w="691" w:type="pct"/>
            <w:vAlign w:val="center"/>
          </w:tcPr>
          <w:p w14:paraId="5C6A5A3A">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已使用台</w:t>
            </w:r>
          </w:p>
          <w:p w14:paraId="79A25B05">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时数</w:t>
            </w:r>
          </w:p>
        </w:tc>
        <w:tc>
          <w:tcPr>
            <w:tcW w:w="975" w:type="pct"/>
            <w:vAlign w:val="center"/>
          </w:tcPr>
          <w:p w14:paraId="20E5F6E0">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用途</w:t>
            </w:r>
          </w:p>
        </w:tc>
        <w:tc>
          <w:tcPr>
            <w:tcW w:w="498" w:type="pct"/>
            <w:vAlign w:val="center"/>
          </w:tcPr>
          <w:p w14:paraId="0D6DFE88">
            <w:pPr>
              <w:pageBreakBefore w:val="0"/>
              <w:kinsoku/>
              <w:overflowPunct/>
              <w:topLinePunct w:val="0"/>
              <w:bidi w:val="0"/>
              <w:snapToGrid/>
              <w:spacing w:after="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6188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3F8B665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360BBB6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2225A1B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6D3B691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6DE2708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0D886F3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7BAD9DE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4DD6004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36A2E73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B03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08BDC08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7FDE84D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081CDC4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32CE3E9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1CDD09F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07B633C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5D0501B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1BA12AF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4A381B8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DDE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4D4AFC8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19EAD6D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4739B07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66FB3C1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36A553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7F2E63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44D6E24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214F87E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6F04287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54AF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612BAB8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6888E70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0777752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72B7B35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1348AD5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05E4B16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5B99C69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0789D2A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2481413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2E8D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4879466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7C414A2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646FA2C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6EED437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45B02B5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4BC17A9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6994B20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2F69869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2A0D184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0A5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2AE52BE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6D889B7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34FB62D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2A93A95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621903D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5DF433B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1DCE410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1F96E13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2DF301F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427F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1CF31E2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037BA9A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020471F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1BEE8DF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2F8FC6A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62C01D3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082FB9A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7BC90AC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1E31B1F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3680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5702E21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43BE0A8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2FD7542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418F0A5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0D2D783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015EA0C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1E06330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72422B2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5B7D643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ED1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0D34441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33558CB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40B020C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2720E36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7810B55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56CCA9C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78B71AB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14E14C3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5C7111C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19A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4D633F1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5A92138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30D2421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739A2E4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860FEC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47435EE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723D87B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0B14AFC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5BBBB29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460E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79C4404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7D8A005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524E7A3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0B08A45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5A56953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4E552C6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3783641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3B4DFE8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35517D4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0FBD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1D07266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57B02E2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5E96247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17B4C1C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1E21D36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20B64B6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08F7D97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2710644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2E85827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0F67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643582B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28CDA40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46262BC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68EAE2F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7EC92F7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FC9E03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3F2A830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09F5102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1E4CF81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315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029D0D2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422D2B4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7431851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17D150E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51D77FB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7433AD8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0FB5F64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5604B66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76A52AA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036B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0CBC497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12A5F81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1AF5854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046F456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667B86F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0666A3F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163B2F3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0518EEA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52247E9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4A21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78" w:type="pct"/>
            <w:vAlign w:val="center"/>
          </w:tcPr>
          <w:p w14:paraId="74B4DBF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25" w:type="pct"/>
            <w:vAlign w:val="center"/>
          </w:tcPr>
          <w:p w14:paraId="1ABC634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395" w:type="pct"/>
            <w:vAlign w:val="center"/>
          </w:tcPr>
          <w:p w14:paraId="5963086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00" w:type="pct"/>
            <w:vAlign w:val="center"/>
          </w:tcPr>
          <w:p w14:paraId="398E9AF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381A4E0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17" w:type="pct"/>
            <w:vAlign w:val="center"/>
          </w:tcPr>
          <w:p w14:paraId="1A6E148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691" w:type="pct"/>
            <w:vAlign w:val="center"/>
          </w:tcPr>
          <w:p w14:paraId="71ABAD2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975" w:type="pct"/>
            <w:vAlign w:val="center"/>
          </w:tcPr>
          <w:p w14:paraId="5CD344F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498" w:type="pct"/>
            <w:vAlign w:val="center"/>
          </w:tcPr>
          <w:p w14:paraId="4492895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bl>
    <w:p w14:paraId="00A4DFC3">
      <w:pPr>
        <w:pStyle w:val="5"/>
        <w:pageBreakBefore w:val="0"/>
        <w:kinsoku/>
        <w:overflowPunct/>
        <w:topLinePunct w:val="0"/>
        <w:bidi w:val="0"/>
        <w:snapToGrid/>
        <w:spacing w:line="360" w:lineRule="auto"/>
        <w:rPr>
          <w:rFonts w:hint="eastAsia" w:ascii="宋体" w:hAnsi="宋体" w:eastAsia="宋体" w:cs="宋体"/>
          <w:color w:val="auto"/>
          <w:sz w:val="24"/>
          <w:szCs w:val="24"/>
        </w:rPr>
      </w:pPr>
      <w:bookmarkStart w:id="1016" w:name="_Toc10712"/>
      <w:bookmarkStart w:id="1017" w:name="_Toc443467012"/>
      <w:r>
        <w:rPr>
          <w:rFonts w:hint="eastAsia" w:ascii="宋体" w:hAnsi="宋体" w:eastAsia="宋体" w:cs="宋体"/>
          <w:color w:val="auto"/>
          <w:sz w:val="24"/>
          <w:szCs w:val="24"/>
        </w:rPr>
        <w:t>附表三：劳动力计划表</w:t>
      </w:r>
      <w:bookmarkEnd w:id="1016"/>
      <w:bookmarkEnd w:id="1017"/>
    </w:p>
    <w:p w14:paraId="02559975">
      <w:pPr>
        <w:pageBreakBefore w:val="0"/>
        <w:kinsoku/>
        <w:overflowPunct/>
        <w:topLinePunct w:val="0"/>
        <w:bidi w:val="0"/>
        <w:snapToGrid/>
        <w:spacing w:after="0" w:line="36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单位：   人</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661"/>
        <w:gridCol w:w="1244"/>
        <w:gridCol w:w="1244"/>
        <w:gridCol w:w="1244"/>
        <w:gridCol w:w="1244"/>
        <w:gridCol w:w="1244"/>
        <w:gridCol w:w="1253"/>
      </w:tblGrid>
      <w:tr w14:paraId="19BB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16" w:type="pct"/>
            <w:vAlign w:val="center"/>
          </w:tcPr>
          <w:p w14:paraId="11EE7533">
            <w:pPr>
              <w:pageBreakBefore w:val="0"/>
              <w:kinsoku/>
              <w:overflowPunct/>
              <w:topLinePunct w:val="0"/>
              <w:bidi w:val="0"/>
              <w:snapToGrid/>
              <w:spacing w:after="0"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工种</w:t>
            </w:r>
          </w:p>
        </w:tc>
        <w:tc>
          <w:tcPr>
            <w:tcW w:w="4583" w:type="pct"/>
            <w:gridSpan w:val="7"/>
            <w:vAlign w:val="center"/>
          </w:tcPr>
          <w:p w14:paraId="77FB712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r>
              <w:rPr>
                <w:rFonts w:hint="eastAsia" w:ascii="宋体" w:hAnsi="宋体" w:eastAsia="宋体" w:cs="宋体"/>
                <w:color w:val="auto"/>
                <w:sz w:val="24"/>
                <w:szCs w:val="24"/>
              </w:rPr>
              <w:t>按工程施工阶段投入劳动力情况</w:t>
            </w:r>
          </w:p>
        </w:tc>
      </w:tr>
      <w:tr w14:paraId="7B43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10861460">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6D7C95E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253D08E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4CD2842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6BFE209">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F6B733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ACAEA23">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3B156BA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1316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2BFC5A9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540532F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D4A249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C121D6B">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020627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13025DB">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017AD87">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60042F4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75C1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2F79CD7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2FDDBC8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2FB795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B392B3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BA1423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4434E610">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50E78F5">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6DBAECA1">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33A3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661F469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7DAC4AE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26291860">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CB3A7E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F06DA2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A0A2C2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7EB6B2A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39D7054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013A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410C97F9">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1E8B5183">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4658656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22F2319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FF55D36">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71939F0B">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5D9314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452737E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6DE5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3E3C934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3B69B23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8A6815B">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47E29AF9">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7C6C6A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1542B7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0A4ADF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7D2F95B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2E17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6D51DE4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3A7571D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1252C47">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23095C1">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7DC15CD">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41B5EE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144E7B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0ABD4C15">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38D86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11C279D1">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45A2D2C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2BF01B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213652D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5312A6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ED82D1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765FF25">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1675BC87">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3114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7C1F619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23C27039">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A2BE58B">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45FED9D6">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2A553F8B">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9144A65">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2C144F0">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68A8C94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253C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2279982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05EE5D6E">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5FCAD53">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F4F1E7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96CC46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E627B9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2F7449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57C172C6">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3FEE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0DAB51E2">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5C4E5070">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74651E9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3DCF760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0EF77737">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BA578E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731FE94">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1540588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r w14:paraId="0AA6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16" w:type="pct"/>
            <w:vAlign w:val="center"/>
          </w:tcPr>
          <w:p w14:paraId="4DA41659">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834" w:type="pct"/>
            <w:vAlign w:val="center"/>
          </w:tcPr>
          <w:p w14:paraId="1AF0715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1289C52A">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4D510598">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20A75360">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6AC5F25C">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4" w:type="pct"/>
            <w:vAlign w:val="center"/>
          </w:tcPr>
          <w:p w14:paraId="52ECC1FF">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c>
          <w:tcPr>
            <w:tcW w:w="625" w:type="pct"/>
            <w:vAlign w:val="center"/>
          </w:tcPr>
          <w:p w14:paraId="297A94B6">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p>
        </w:tc>
      </w:tr>
    </w:tbl>
    <w:p w14:paraId="56AC6E00">
      <w:pPr>
        <w:pStyle w:val="5"/>
        <w:pageBreakBefore w:val="0"/>
        <w:kinsoku/>
        <w:overflowPunct/>
        <w:topLinePunct w:val="0"/>
        <w:bidi w:val="0"/>
        <w:snapToGrid/>
        <w:spacing w:line="360" w:lineRule="auto"/>
        <w:rPr>
          <w:rFonts w:hint="eastAsia" w:ascii="宋体" w:hAnsi="宋体" w:eastAsia="宋体" w:cs="宋体"/>
          <w:color w:val="auto"/>
          <w:sz w:val="24"/>
          <w:szCs w:val="24"/>
        </w:rPr>
      </w:pPr>
      <w:bookmarkStart w:id="1018" w:name="_Toc443467013"/>
      <w:bookmarkStart w:id="1019" w:name="_Toc18035"/>
      <w:r>
        <w:rPr>
          <w:rFonts w:hint="eastAsia" w:ascii="宋体" w:hAnsi="宋体" w:eastAsia="宋体" w:cs="宋体"/>
          <w:color w:val="auto"/>
          <w:sz w:val="24"/>
          <w:szCs w:val="24"/>
        </w:rPr>
        <w:t>附表四：计划开、竣工日期和施工进度网络图</w:t>
      </w:r>
      <w:bookmarkEnd w:id="1018"/>
      <w:bookmarkEnd w:id="1019"/>
    </w:p>
    <w:p w14:paraId="613A82F1">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应递交施工进度网络图或施工进度表，说明按</w:t>
      </w:r>
      <w:r>
        <w:rPr>
          <w:rFonts w:hint="eastAsia" w:ascii="宋体" w:hAnsi="宋体" w:eastAsia="宋体" w:cs="宋体"/>
          <w:color w:val="auto"/>
          <w:sz w:val="24"/>
          <w:szCs w:val="24"/>
          <w:lang w:val="en-US" w:eastAsia="zh-CN"/>
        </w:rPr>
        <w:t>询比采购</w:t>
      </w:r>
      <w:r>
        <w:rPr>
          <w:rFonts w:hint="eastAsia" w:ascii="宋体" w:hAnsi="宋体" w:eastAsia="宋体" w:cs="宋体"/>
          <w:color w:val="auto"/>
          <w:sz w:val="24"/>
          <w:szCs w:val="24"/>
        </w:rPr>
        <w:t>文件要求的计划工期进行施工的各个关键日期。</w:t>
      </w:r>
    </w:p>
    <w:p w14:paraId="47C7B111">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r>
        <w:rPr>
          <w:rFonts w:hint="eastAsia" w:ascii="宋体" w:hAnsi="宋体" w:eastAsia="宋体" w:cs="宋体"/>
          <w:color w:val="auto"/>
          <w:sz w:val="24"/>
          <w:szCs w:val="24"/>
        </w:rPr>
        <w:t>2．施工进度表可采用网络图和（或）横道图表示。</w:t>
      </w:r>
    </w:p>
    <w:p w14:paraId="7B610CAF">
      <w:pPr>
        <w:pStyle w:val="5"/>
        <w:pageBreakBefore w:val="0"/>
        <w:kinsoku/>
        <w:overflowPunct/>
        <w:topLinePunct w:val="0"/>
        <w:bidi w:val="0"/>
        <w:snapToGrid/>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bookmarkStart w:id="1020" w:name="_Toc21803"/>
      <w:bookmarkStart w:id="1021" w:name="_Toc443467014"/>
      <w:r>
        <w:rPr>
          <w:rFonts w:hint="eastAsia" w:ascii="宋体" w:hAnsi="宋体" w:eastAsia="宋体" w:cs="宋体"/>
          <w:color w:val="auto"/>
          <w:sz w:val="24"/>
          <w:szCs w:val="24"/>
        </w:rPr>
        <w:t>附表五：施工总平面图</w:t>
      </w:r>
      <w:bookmarkEnd w:id="1020"/>
      <w:bookmarkEnd w:id="1021"/>
    </w:p>
    <w:p w14:paraId="708B9B59">
      <w:pPr>
        <w:pageBreakBefore w:val="0"/>
        <w:kinsoku/>
        <w:overflowPunct/>
        <w:topLinePunct w:val="0"/>
        <w:bidi w:val="0"/>
        <w:snapToGrid/>
        <w:spacing w:after="0" w:line="360" w:lineRule="auto"/>
        <w:ind w:firstLine="424" w:firstLineChars="177"/>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询比响应人</w:t>
      </w:r>
      <w:r>
        <w:rPr>
          <w:rFonts w:hint="eastAsia" w:ascii="宋体" w:hAnsi="宋体" w:eastAsia="宋体" w:cs="宋体"/>
          <w:color w:val="auto"/>
          <w:sz w:val="24"/>
          <w:szCs w:val="24"/>
        </w:rPr>
        <w:t>应递交一份施工总平面图，绘出现场临时设施布置图表并附文字说明，说明临时设施、加工车间、现场办公、设备及仓储、供电、供水、卫生、生活、道路、消防等设施的情况和布置。</w:t>
      </w:r>
    </w:p>
    <w:p w14:paraId="3A7A019C">
      <w:pPr>
        <w:pStyle w:val="5"/>
        <w:pageBreakBefore w:val="0"/>
        <w:kinsoku/>
        <w:overflowPunct/>
        <w:topLinePunct w:val="0"/>
        <w:bidi w:val="0"/>
        <w:snapToGrid/>
        <w:spacing w:line="360" w:lineRule="auto"/>
        <w:rPr>
          <w:rFonts w:hint="eastAsia" w:ascii="宋体" w:hAnsi="宋体" w:eastAsia="宋体" w:cs="宋体"/>
          <w:color w:val="auto"/>
          <w:sz w:val="24"/>
          <w:szCs w:val="24"/>
        </w:rPr>
      </w:pPr>
      <w:bookmarkStart w:id="1022" w:name="_Toc20437"/>
      <w:bookmarkStart w:id="1023" w:name="_Toc443467015"/>
      <w:r>
        <w:rPr>
          <w:rFonts w:hint="eastAsia" w:ascii="宋体" w:hAnsi="宋体" w:eastAsia="宋体" w:cs="宋体"/>
          <w:color w:val="auto"/>
          <w:sz w:val="24"/>
          <w:szCs w:val="24"/>
        </w:rPr>
        <w:t>附表六：临时用地表</w:t>
      </w:r>
      <w:bookmarkEnd w:id="1022"/>
      <w:bookmarkEnd w:id="1023"/>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6"/>
        <w:gridCol w:w="2435"/>
        <w:gridCol w:w="2435"/>
        <w:gridCol w:w="2436"/>
      </w:tblGrid>
      <w:tr w14:paraId="0DA6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84EAC2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r>
              <w:rPr>
                <w:rFonts w:hint="eastAsia" w:ascii="宋体" w:hAnsi="宋体" w:eastAsia="宋体" w:cs="宋体"/>
                <w:color w:val="auto"/>
                <w:sz w:val="24"/>
                <w:szCs w:val="24"/>
              </w:rPr>
              <w:t>用途</w:t>
            </w:r>
          </w:p>
        </w:tc>
        <w:tc>
          <w:tcPr>
            <w:tcW w:w="1222" w:type="pct"/>
            <w:vAlign w:val="center"/>
          </w:tcPr>
          <w:p w14:paraId="5E63AEC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r>
              <w:rPr>
                <w:rFonts w:hint="eastAsia" w:ascii="宋体" w:hAnsi="宋体" w:eastAsia="宋体" w:cs="宋体"/>
                <w:color w:val="auto"/>
                <w:sz w:val="24"/>
                <w:szCs w:val="24"/>
              </w:rPr>
              <w:t>面积（平方米）</w:t>
            </w:r>
          </w:p>
        </w:tc>
        <w:tc>
          <w:tcPr>
            <w:tcW w:w="1222" w:type="pct"/>
            <w:vAlign w:val="center"/>
          </w:tcPr>
          <w:p w14:paraId="3670589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r>
              <w:rPr>
                <w:rFonts w:hint="eastAsia" w:ascii="宋体" w:hAnsi="宋体" w:eastAsia="宋体" w:cs="宋体"/>
                <w:color w:val="auto"/>
                <w:sz w:val="24"/>
                <w:szCs w:val="24"/>
              </w:rPr>
              <w:t>位置</w:t>
            </w:r>
          </w:p>
        </w:tc>
        <w:tc>
          <w:tcPr>
            <w:tcW w:w="1222" w:type="pct"/>
            <w:vAlign w:val="center"/>
          </w:tcPr>
          <w:p w14:paraId="4CB8CE5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r>
              <w:rPr>
                <w:rFonts w:hint="eastAsia" w:ascii="宋体" w:hAnsi="宋体" w:eastAsia="宋体" w:cs="宋体"/>
                <w:color w:val="auto"/>
                <w:sz w:val="24"/>
                <w:szCs w:val="24"/>
              </w:rPr>
              <w:t>需用时间</w:t>
            </w:r>
          </w:p>
        </w:tc>
      </w:tr>
      <w:tr w14:paraId="06B8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7F4B4BD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4744D4E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5CE234B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66E066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1F6C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1E30DB9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0AD5F27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6F8F66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D62F95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78AC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EF98F6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15DB0C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9525A3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DBD01A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5E31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75B4456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2399E94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3D9AE2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0D8B793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2A5F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129BD93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596CB91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CC311D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E29B8C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342C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37C930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F6D3E7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9D04CC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B1CDBD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10A8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4441A23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7C2D8A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6ECB85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080723B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27B3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77EC0DD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296BE47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9FABF6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38E766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5E9A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2B3C2A7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D941ED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BB3F0E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980A35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4083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795883D4">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2C93AC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4AE50C79">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4DD4052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627C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0DACE97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A20C0E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81F6AF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274BE6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48C0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250182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2012010A">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AD67C3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5BEB67C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1C71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220C27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0CB1E6A8">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63FEA5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4A03A3A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377A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59E1D696">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253F515">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5524640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48E082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72B7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EE885B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F13899E">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1019B79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489EF21">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14DD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2A3F5E6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AB4343D">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58A3E83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686A890">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00510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040D27E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06E50C5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1ED6EF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BF9420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520C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74A8C6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7433D272">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3FAF16C">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5A12F2C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r w14:paraId="7209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33" w:type="pct"/>
            <w:vAlign w:val="center"/>
          </w:tcPr>
          <w:p w14:paraId="6B87B3AB">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4E6892E3">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35CE343F">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c>
          <w:tcPr>
            <w:tcW w:w="1222" w:type="pct"/>
            <w:vAlign w:val="center"/>
          </w:tcPr>
          <w:p w14:paraId="67FAB5D7">
            <w:pPr>
              <w:pageBreakBefore w:val="0"/>
              <w:kinsoku/>
              <w:overflowPunct/>
              <w:topLinePunct w:val="0"/>
              <w:bidi w:val="0"/>
              <w:snapToGrid/>
              <w:spacing w:after="0" w:line="360" w:lineRule="auto"/>
              <w:ind w:firstLine="424" w:firstLineChars="177"/>
              <w:jc w:val="center"/>
              <w:rPr>
                <w:rFonts w:hint="eastAsia" w:ascii="宋体" w:hAnsi="宋体" w:eastAsia="宋体" w:cs="宋体"/>
                <w:color w:val="auto"/>
                <w:sz w:val="24"/>
                <w:szCs w:val="24"/>
              </w:rPr>
            </w:pPr>
          </w:p>
        </w:tc>
      </w:tr>
    </w:tbl>
    <w:p w14:paraId="4E493B28">
      <w:pPr>
        <w:pStyle w:val="39"/>
        <w:pageBreakBefore w:val="0"/>
        <w:kinsoku/>
        <w:overflowPunct/>
        <w:topLinePunct w:val="0"/>
        <w:bidi w:val="0"/>
        <w:snapToGrid/>
        <w:spacing w:line="360" w:lineRule="auto"/>
        <w:ind w:firstLine="480"/>
        <w:rPr>
          <w:rFonts w:hint="eastAsia" w:ascii="宋体" w:hAnsi="宋体" w:eastAsia="宋体" w:cs="宋体"/>
          <w:color w:val="auto"/>
          <w:sz w:val="24"/>
        </w:rPr>
      </w:pPr>
    </w:p>
    <w:p w14:paraId="3A27700C">
      <w:pPr>
        <w:pStyle w:val="39"/>
        <w:pageBreakBefore w:val="0"/>
        <w:kinsoku/>
        <w:overflowPunct/>
        <w:topLinePunct w:val="0"/>
        <w:bidi w:val="0"/>
        <w:snapToGrid/>
        <w:spacing w:line="360" w:lineRule="auto"/>
        <w:ind w:firstLine="480"/>
        <w:rPr>
          <w:rFonts w:hint="eastAsia" w:ascii="宋体" w:hAnsi="宋体" w:eastAsia="宋体" w:cs="宋体"/>
          <w:color w:val="auto"/>
          <w:sz w:val="24"/>
        </w:rPr>
      </w:pPr>
    </w:p>
    <w:p w14:paraId="1B328764">
      <w:pPr>
        <w:pStyle w:val="5"/>
        <w:pageBreakBefore w:val="0"/>
        <w:kinsoku/>
        <w:overflowPunct/>
        <w:topLinePunct w:val="0"/>
        <w:bidi w:val="0"/>
        <w:snapToGrid/>
        <w:spacing w:line="360" w:lineRule="auto"/>
        <w:ind w:firstLine="2650" w:firstLineChars="1100"/>
        <w:rPr>
          <w:rFonts w:hint="eastAsia" w:ascii="宋体" w:hAnsi="宋体" w:eastAsia="宋体" w:cs="宋体"/>
          <w:color w:val="auto"/>
          <w:lang w:eastAsia="zh-CN"/>
        </w:rPr>
      </w:pPr>
      <w:bookmarkStart w:id="1024" w:name="_Toc13280"/>
      <w:bookmarkStart w:id="1025" w:name="_Toc11797"/>
      <w:r>
        <w:rPr>
          <w:rFonts w:hint="eastAsia" w:ascii="宋体" w:hAnsi="宋体" w:eastAsia="宋体" w:cs="宋体"/>
          <w:color w:val="auto"/>
        </w:rPr>
        <w:t>（二）拟分包项目情况表</w:t>
      </w:r>
      <w:bookmarkEnd w:id="1024"/>
      <w:bookmarkEnd w:id="1025"/>
      <w:r>
        <w:rPr>
          <w:rFonts w:hint="eastAsia" w:ascii="宋体" w:hAnsi="宋体" w:eastAsia="宋体" w:cs="宋体"/>
          <w:color w:val="auto"/>
          <w:lang w:eastAsia="zh-CN"/>
        </w:rPr>
        <w:t>（本项目不适用）</w:t>
      </w:r>
    </w:p>
    <w:tbl>
      <w:tblPr>
        <w:tblStyle w:val="23"/>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2535"/>
        <w:gridCol w:w="2535"/>
        <w:gridCol w:w="2535"/>
      </w:tblGrid>
      <w:tr w14:paraId="2F08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2535" w:type="dxa"/>
            <w:vAlign w:val="center"/>
          </w:tcPr>
          <w:p w14:paraId="61291148">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分包</w:t>
            </w:r>
            <w:r>
              <w:rPr>
                <w:rFonts w:hint="eastAsia" w:ascii="宋体" w:hAnsi="宋体" w:eastAsia="宋体" w:cs="宋体"/>
                <w:color w:val="auto"/>
                <w:szCs w:val="21"/>
                <w:lang w:eastAsia="zh-CN" w:bidi="en-US"/>
              </w:rPr>
              <w:t>询比响应人</w:t>
            </w:r>
            <w:r>
              <w:rPr>
                <w:rFonts w:hint="eastAsia" w:ascii="宋体" w:hAnsi="宋体" w:eastAsia="宋体" w:cs="宋体"/>
                <w:color w:val="auto"/>
                <w:szCs w:val="21"/>
                <w:lang w:bidi="en-US"/>
              </w:rPr>
              <w:t>名称</w:t>
            </w:r>
          </w:p>
        </w:tc>
        <w:tc>
          <w:tcPr>
            <w:tcW w:w="2535" w:type="dxa"/>
            <w:vAlign w:val="center"/>
          </w:tcPr>
          <w:p w14:paraId="32021669">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73A8D84A">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地址</w:t>
            </w:r>
          </w:p>
        </w:tc>
        <w:tc>
          <w:tcPr>
            <w:tcW w:w="2535" w:type="dxa"/>
            <w:vAlign w:val="center"/>
          </w:tcPr>
          <w:p w14:paraId="1389CC4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48D1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5FC53FF0">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法定代表人</w:t>
            </w:r>
          </w:p>
        </w:tc>
        <w:tc>
          <w:tcPr>
            <w:tcW w:w="2535" w:type="dxa"/>
            <w:vAlign w:val="center"/>
          </w:tcPr>
          <w:p w14:paraId="15195475">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283AC26E">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电话</w:t>
            </w:r>
          </w:p>
        </w:tc>
        <w:tc>
          <w:tcPr>
            <w:tcW w:w="2535" w:type="dxa"/>
            <w:vAlign w:val="center"/>
          </w:tcPr>
          <w:p w14:paraId="10C114CA">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358E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0ADB1DEC">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营业执照号码</w:t>
            </w:r>
          </w:p>
        </w:tc>
        <w:tc>
          <w:tcPr>
            <w:tcW w:w="2535" w:type="dxa"/>
            <w:vAlign w:val="center"/>
          </w:tcPr>
          <w:p w14:paraId="2FE1DB0E">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372D123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资质等级</w:t>
            </w:r>
          </w:p>
        </w:tc>
        <w:tc>
          <w:tcPr>
            <w:tcW w:w="2535" w:type="dxa"/>
            <w:vAlign w:val="center"/>
          </w:tcPr>
          <w:p w14:paraId="5EEBBDF5">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1210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0F41F809">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拟分包的工程项目</w:t>
            </w:r>
          </w:p>
        </w:tc>
        <w:tc>
          <w:tcPr>
            <w:tcW w:w="2535" w:type="dxa"/>
            <w:vAlign w:val="center"/>
          </w:tcPr>
          <w:p w14:paraId="6623638F">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主 要 内 容</w:t>
            </w:r>
          </w:p>
        </w:tc>
        <w:tc>
          <w:tcPr>
            <w:tcW w:w="2535" w:type="dxa"/>
            <w:vAlign w:val="center"/>
          </w:tcPr>
          <w:p w14:paraId="05486014">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预计造价（万元）</w:t>
            </w:r>
          </w:p>
        </w:tc>
        <w:tc>
          <w:tcPr>
            <w:tcW w:w="2535" w:type="dxa"/>
            <w:vAlign w:val="center"/>
          </w:tcPr>
          <w:p w14:paraId="2AB55F1E">
            <w:pPr>
              <w:pageBreakBefore w:val="0"/>
              <w:kinsoku/>
              <w:overflowPunct/>
              <w:topLinePunct w:val="0"/>
              <w:bidi w:val="0"/>
              <w:snapToGrid/>
              <w:spacing w:line="360" w:lineRule="auto"/>
              <w:jc w:val="center"/>
              <w:rPr>
                <w:rFonts w:hint="eastAsia" w:ascii="宋体" w:hAnsi="宋体" w:eastAsia="宋体" w:cs="宋体"/>
                <w:color w:val="auto"/>
                <w:szCs w:val="21"/>
                <w:lang w:bidi="en-US"/>
              </w:rPr>
            </w:pPr>
            <w:r>
              <w:rPr>
                <w:rFonts w:hint="eastAsia" w:ascii="宋体" w:hAnsi="宋体" w:eastAsia="宋体" w:cs="宋体"/>
                <w:color w:val="auto"/>
                <w:szCs w:val="21"/>
                <w:lang w:bidi="en-US"/>
              </w:rPr>
              <w:t>已经做过的类似工具</w:t>
            </w:r>
          </w:p>
        </w:tc>
      </w:tr>
      <w:tr w14:paraId="5322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495C4509">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7E5DB9D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000F8F28">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704C763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7B9B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4014577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4EF2929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40FF51C">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61F0407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4CA9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72AA519C">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47FD41D5">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F760969">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5E7B6BE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4C95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4892E58B">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4608C554">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67BD098">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35D2E105">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755C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11411DF6">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4411F5B5">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04E3409B">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08E82214">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5207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45DB3E91">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50629243">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360A326F">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48FE7912">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0689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4B9B0443">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AC92783">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57FAA87F">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7C049A8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3DAB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3A9C4B96">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23BF0592">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36EAAF4">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66D3D3F1">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1459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0A38554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6806400E">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2C638C7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5B0B3EAC">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0E6E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3B2FD9B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2E875C5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0C62E4B">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2A626199">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0C06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535" w:type="dxa"/>
            <w:vAlign w:val="center"/>
          </w:tcPr>
          <w:p w14:paraId="254E59D8">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2FF1CCD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07C02FED">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6412AF4">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r w14:paraId="67E6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535" w:type="dxa"/>
            <w:vAlign w:val="center"/>
          </w:tcPr>
          <w:p w14:paraId="713CBDF3">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389BB427">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144EDDF6">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c>
          <w:tcPr>
            <w:tcW w:w="2535" w:type="dxa"/>
            <w:vAlign w:val="center"/>
          </w:tcPr>
          <w:p w14:paraId="482CFBDA">
            <w:pPr>
              <w:pageBreakBefore w:val="0"/>
              <w:kinsoku/>
              <w:overflowPunct/>
              <w:topLinePunct w:val="0"/>
              <w:bidi w:val="0"/>
              <w:snapToGrid/>
              <w:spacing w:line="360" w:lineRule="auto"/>
              <w:jc w:val="center"/>
              <w:rPr>
                <w:rFonts w:hint="eastAsia" w:ascii="宋体" w:hAnsi="宋体" w:eastAsia="宋体" w:cs="宋体"/>
                <w:color w:val="auto"/>
                <w:szCs w:val="21"/>
                <w:lang w:bidi="en-US"/>
              </w:rPr>
            </w:pPr>
          </w:p>
        </w:tc>
      </w:tr>
    </w:tbl>
    <w:p w14:paraId="2E01DD5D">
      <w:pPr>
        <w:pageBreakBefore w:val="0"/>
        <w:kinsoku/>
        <w:overflowPunct/>
        <w:topLinePunct w:val="0"/>
        <w:bidi w:val="0"/>
        <w:snapToGrid/>
        <w:spacing w:line="360" w:lineRule="auto"/>
        <w:jc w:val="center"/>
        <w:rPr>
          <w:rFonts w:hint="eastAsia" w:ascii="宋体" w:hAnsi="宋体" w:eastAsia="宋体" w:cs="宋体"/>
          <w:color w:val="auto"/>
          <w:sz w:val="36"/>
          <w:szCs w:val="36"/>
        </w:rPr>
      </w:pPr>
      <w:bookmarkStart w:id="1026" w:name="bookmark629"/>
      <w:bookmarkStart w:id="1027" w:name="bookmark627"/>
      <w:bookmarkStart w:id="1028" w:name="bookmark628"/>
    </w:p>
    <w:bookmarkEnd w:id="1026"/>
    <w:bookmarkEnd w:id="1027"/>
    <w:bookmarkEnd w:id="1028"/>
    <w:p w14:paraId="70EFF279">
      <w:pPr>
        <w:pageBreakBefore w:val="0"/>
        <w:kinsoku/>
        <w:overflowPunct/>
        <w:topLinePunct w:val="0"/>
        <w:bidi w:val="0"/>
        <w:snapToGrid/>
        <w:spacing w:line="360" w:lineRule="auto"/>
        <w:rPr>
          <w:rFonts w:hint="eastAsia" w:ascii="宋体" w:hAnsi="宋体" w:eastAsia="宋体" w:cs="宋体"/>
          <w:color w:val="auto"/>
        </w:rPr>
      </w:pPr>
      <w:bookmarkStart w:id="1029" w:name="bookmark646"/>
      <w:bookmarkStart w:id="1030" w:name="bookmark645"/>
      <w:bookmarkStart w:id="1031" w:name="bookmark647"/>
      <w:r>
        <w:rPr>
          <w:rFonts w:hint="eastAsia" w:ascii="宋体" w:hAnsi="宋体" w:eastAsia="宋体" w:cs="宋体"/>
          <w:color w:val="auto"/>
          <w:sz w:val="36"/>
          <w:szCs w:val="36"/>
        </w:rPr>
        <w:br w:type="page"/>
      </w:r>
    </w:p>
    <w:p w14:paraId="3D63FB5E">
      <w:pPr>
        <w:pStyle w:val="4"/>
        <w:pageBreakBefore w:val="0"/>
        <w:kinsoku/>
        <w:overflowPunct/>
        <w:topLinePunct w:val="0"/>
        <w:bidi w:val="0"/>
        <w:snapToGrid/>
        <w:spacing w:line="360" w:lineRule="auto"/>
        <w:rPr>
          <w:rFonts w:hint="eastAsia" w:ascii="宋体" w:hAnsi="宋体" w:eastAsia="宋体" w:cs="宋体"/>
          <w:color w:val="auto"/>
        </w:rPr>
      </w:pPr>
      <w:bookmarkStart w:id="1032" w:name="_Toc8332"/>
      <w:bookmarkStart w:id="1033" w:name="_Toc30324"/>
      <w:r>
        <w:rPr>
          <w:rFonts w:hint="eastAsia" w:ascii="宋体" w:hAnsi="宋体" w:eastAsia="宋体" w:cs="宋体"/>
          <w:color w:val="auto"/>
        </w:rPr>
        <w:t>九、其他资料</w:t>
      </w:r>
      <w:bookmarkEnd w:id="1029"/>
      <w:bookmarkEnd w:id="1030"/>
      <w:bookmarkEnd w:id="1031"/>
      <w:bookmarkEnd w:id="1032"/>
      <w:bookmarkEnd w:id="1033"/>
    </w:p>
    <w:p w14:paraId="4C0D7CB6">
      <w:pPr>
        <w:pStyle w:val="39"/>
        <w:pageBreakBefore w:val="0"/>
        <w:tabs>
          <w:tab w:val="left" w:pos="1371"/>
        </w:tabs>
        <w:kinsoku/>
        <w:overflowPunct/>
        <w:topLinePunct w:val="0"/>
        <w:bidi w:val="0"/>
        <w:snapToGrid/>
        <w:spacing w:after="80" w:line="360" w:lineRule="auto"/>
        <w:ind w:left="840"/>
        <w:jc w:val="left"/>
        <w:rPr>
          <w:rFonts w:hint="eastAsia" w:ascii="宋体" w:hAnsi="宋体" w:eastAsia="宋体" w:cs="宋体"/>
          <w:color w:val="auto"/>
          <w:sz w:val="24"/>
        </w:rPr>
      </w:pPr>
    </w:p>
    <w:p w14:paraId="5CD3376E">
      <w:pPr>
        <w:pStyle w:val="39"/>
        <w:pageBreakBefore w:val="0"/>
        <w:tabs>
          <w:tab w:val="left" w:pos="1371"/>
        </w:tabs>
        <w:kinsoku/>
        <w:overflowPunct/>
        <w:topLinePunct w:val="0"/>
        <w:bidi w:val="0"/>
        <w:snapToGrid/>
        <w:spacing w:after="80" w:line="360" w:lineRule="auto"/>
        <w:jc w:val="left"/>
        <w:rPr>
          <w:rFonts w:hint="eastAsia" w:ascii="宋体" w:hAnsi="宋体" w:eastAsia="宋体" w:cs="宋体"/>
          <w:color w:val="auto"/>
          <w:sz w:val="24"/>
          <w:lang w:val="en-US" w:eastAsia="zh-CN"/>
        </w:rPr>
      </w:pPr>
      <w:r>
        <w:rPr>
          <w:rFonts w:hint="eastAsia" w:ascii="宋体" w:hAnsi="宋体" w:eastAsia="宋体" w:cs="宋体"/>
          <w:color w:val="auto"/>
          <w:sz w:val="24"/>
          <w:lang w:eastAsia="zh-CN"/>
        </w:rPr>
        <w:t>询比响应人</w:t>
      </w:r>
      <w:r>
        <w:rPr>
          <w:rFonts w:hint="eastAsia" w:ascii="宋体" w:hAnsi="宋体" w:eastAsia="宋体" w:cs="宋体"/>
          <w:color w:val="auto"/>
          <w:sz w:val="24"/>
        </w:rPr>
        <w:t>需提交的其他资料。</w:t>
      </w:r>
    </w:p>
    <w:sectPr>
      <w:pgSz w:w="11906" w:h="16838"/>
      <w:pgMar w:top="1440" w:right="1080" w:bottom="1440" w:left="1080" w:header="851" w:footer="992" w:gutter="0"/>
      <w:pgBorders w:offsetFrom="page">
        <w:top w:val="single" w:color="808080" w:sz="18" w:space="24"/>
        <w:left w:val="single" w:color="808080" w:sz="18" w:space="24"/>
        <w:bottom w:val="single" w:color="808080" w:sz="18" w:space="24"/>
        <w:right w:val="single" w:color="808080" w:sz="18" w:space="24"/>
      </w:pgBorders>
      <w:pgNumType w:fmt="decimal"/>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0F4AB37-F60B-4203-A79E-842522DD3DEF}"/>
  </w:font>
  <w:font w:name="Arial">
    <w:panose1 w:val="020B0604020202020204"/>
    <w:charset w:val="01"/>
    <w:family w:val="swiss"/>
    <w:pitch w:val="default"/>
    <w:sig w:usb0="E0002EFF" w:usb1="C000785B" w:usb2="00000009" w:usb3="00000000" w:csb0="400001FF" w:csb1="FFFF0000"/>
    <w:embedRegular r:id="rId2" w:fontKey="{DE092B2C-32A4-4BCD-91D7-1AD5B1EEBEB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Wingdings 2">
    <w:panose1 w:val="05020102010507070707"/>
    <w:charset w:val="02"/>
    <w:family w:val="roman"/>
    <w:pitch w:val="default"/>
    <w:sig w:usb0="00000000" w:usb1="00000000" w:usb2="00000000" w:usb3="00000000" w:csb0="80000000" w:csb1="00000000"/>
    <w:embedRegular r:id="rId3" w:fontKey="{487F3EB5-FCCB-4565-BDBD-242C3F4CE7A0}"/>
  </w:font>
  <w:font w:name="楷体">
    <w:panose1 w:val="02010609060101010101"/>
    <w:charset w:val="86"/>
    <w:family w:val="modern"/>
    <w:pitch w:val="default"/>
    <w:sig w:usb0="800002BF" w:usb1="38CF7CFA" w:usb2="00000016" w:usb3="00000000" w:csb0="00040001" w:csb1="00000000"/>
    <w:embedRegular r:id="rId4" w:fontKey="{2A352A23-65FA-440E-88D6-7057F34F4FD2}"/>
  </w:font>
  <w:font w:name="WPSEMBED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C7F79">
    <w:pPr>
      <w:pStyle w:val="14"/>
      <w:tabs>
        <w:tab w:val="left" w:pos="4881"/>
        <w:tab w:val="clear" w:pos="8306"/>
      </w:tabs>
      <w:jc w:val="both"/>
    </w:pPr>
    <w:r>
      <w:rPr>
        <w:sz w:val="18"/>
      </w:rPr>
      <w:drawing>
        <wp:inline distT="0" distB="0" distL="114300" distR="114300">
          <wp:extent cx="2123440" cy="271780"/>
          <wp:effectExtent l="0" t="0" r="10160" b="13970"/>
          <wp:docPr id="1" name="图片 6" descr="4c6f7556df56fc2ddbe1987f1b87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4c6f7556df56fc2ddbe1987f1b87c40"/>
                  <pic:cNvPicPr>
                    <a:picLocks noChangeAspect="1"/>
                  </pic:cNvPicPr>
                </pic:nvPicPr>
                <pic:blipFill>
                  <a:blip r:embed="rId1"/>
                  <a:stretch>
                    <a:fillRect/>
                  </a:stretch>
                </pic:blipFill>
                <pic:spPr>
                  <a:xfrm>
                    <a:off x="0" y="0"/>
                    <a:ext cx="2123440" cy="271780"/>
                  </a:xfrm>
                  <a:prstGeom prst="rect">
                    <a:avLst/>
                  </a:prstGeom>
                  <a:noFill/>
                  <a:ln>
                    <a:noFill/>
                  </a:ln>
                </pic:spPr>
              </pic:pic>
            </a:graphicData>
          </a:graphic>
        </wp:inline>
      </w:drawing>
    </w:r>
    <w:r>
      <w:rPr>
        <w:rFonts w:hint="eastAsia"/>
        <w:sz w:val="18"/>
        <w:lang w:eastAsia="zh-CN"/>
      </w:rPr>
      <w:tab/>
    </w:r>
    <w:r>
      <w:rPr>
        <w:rFonts w:hint="eastAsia"/>
        <w:sz w:val="18"/>
        <w:lang w:eastAsia="zh-CN"/>
      </w:rPr>
      <w:tab/>
    </w:r>
    <w:r>
      <w:rPr>
        <w:rFonts w:hint="eastAsia"/>
        <w:sz w:val="1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ADC4E">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20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415C14">
                          <w:pPr>
                            <w:pStyle w:val="1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137</w:t>
                          </w:r>
                          <w:r>
                            <w:fldChar w:fldCharType="end"/>
                          </w:r>
                          <w:r>
                            <w:t xml:space="preserve"> 页</w:t>
                          </w:r>
                        </w:p>
                      </w:txbxContent>
                    </wps:txbx>
                    <wps:bodyPr wrap="none" lIns="0" tIns="0" rIns="0" bIns="0" upright="0">
                      <a:spAutoFit/>
                    </wps:bodyPr>
                  </wps:wsp>
                </a:graphicData>
              </a:graphic>
            </wp:anchor>
          </w:drawing>
        </mc:Choice>
        <mc:Fallback>
          <w:pict>
            <v:shape id="文本框 207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CBhOnLAQAAnQMAAA4AAAAAAAAAAQAgAAAAHgEAAGRycy9lMm9E&#10;b2MueG1sUEsFBgAAAAAGAAYAWQEAAFsFAAAAAA==&#10;">
              <v:fill on="f" focussize="0,0"/>
              <v:stroke on="f"/>
              <v:imagedata o:title=""/>
              <o:lock v:ext="edit" aspectratio="f"/>
              <v:textbox inset="0mm,0mm,0mm,0mm" style="mso-fit-shape-to-text:t;">
                <w:txbxContent>
                  <w:p w14:paraId="5B415C14">
                    <w:pPr>
                      <w:pStyle w:val="1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137</w:t>
                    </w:r>
                    <w:r>
                      <w:fldChar w:fldCharType="end"/>
                    </w:r>
                    <w:r>
                      <w:t xml:space="preserve"> 页</w:t>
                    </w:r>
                  </w:p>
                </w:txbxContent>
              </v:textbox>
            </v:shape>
          </w:pict>
        </mc:Fallback>
      </mc:AlternateContent>
    </w:r>
    <w:r>
      <w:rPr>
        <w:sz w:val="18"/>
      </w:rPr>
      <w:drawing>
        <wp:inline distT="0" distB="0" distL="114300" distR="114300">
          <wp:extent cx="2123440" cy="225425"/>
          <wp:effectExtent l="0" t="0" r="10160" b="3175"/>
          <wp:docPr id="20" name="图片 20" descr="4c6f7556df56fc2ddbe1987f1b87c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c6f7556df56fc2ddbe1987f1b87c40"/>
                  <pic:cNvPicPr>
                    <a:picLocks noChangeAspect="1"/>
                  </pic:cNvPicPr>
                </pic:nvPicPr>
                <pic:blipFill>
                  <a:blip r:embed="rId1"/>
                  <a:stretch>
                    <a:fillRect/>
                  </a:stretch>
                </pic:blipFill>
                <pic:spPr>
                  <a:xfrm>
                    <a:off x="0" y="0"/>
                    <a:ext cx="2123440" cy="2254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9A2FE">
    <w:pPr>
      <w:jc w:val="left"/>
      <w:rPr>
        <w:rFonts w:hint="eastAsia" w:ascii="宋体" w:hAnsi="宋体" w:eastAsia="宋体" w:cs="宋体"/>
        <w:sz w:val="21"/>
        <w:szCs w:val="21"/>
        <w:u w:val="single"/>
      </w:rPr>
    </w:pPr>
    <w:r>
      <w:rPr>
        <w:rFonts w:hint="eastAsia" w:ascii="宋体" w:hAnsi="宋体" w:eastAsia="宋体" w:cs="宋体"/>
        <w:sz w:val="21"/>
        <w:szCs w:val="21"/>
        <w:u w:val="single"/>
        <w:lang w:eastAsia="zh-CN"/>
      </w:rPr>
      <w:t>青海民族大学修业楼2-5楼北面教室改造项目</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询比采购文件</w:t>
    </w:r>
  </w:p>
  <w:p w14:paraId="32B5F3C2">
    <w:pPr>
      <w:pStyle w:val="15"/>
    </w:pPr>
    <w:r>
      <w:rPr>
        <w:sz w:val="18"/>
      </w:rPr>
      <w:pict>
        <v:shape id="PowerPlusWaterMarkObject102197" o:spid="_x0000_s4101" o:spt="136" type="#_x0000_t136" style="position:absolute;left:0pt;height:130.15pt;width:457.1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容基招标" style="font-family:宋体;font-size:36pt;v-same-letter-heights:f;v-text-align:center;"/>
        </v:shape>
      </w:pict>
    </w:r>
    <w:r>
      <w:rPr>
        <w:rFonts w:hint="eastAsia"/>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BD964">
    <w:pPr>
      <w:jc w:val="left"/>
    </w:pPr>
    <w:r>
      <w:rPr>
        <w:rFonts w:hint="eastAsia" w:ascii="宋体" w:hAnsi="宋体" w:eastAsia="宋体" w:cs="宋体"/>
        <w:sz w:val="21"/>
        <w:szCs w:val="21"/>
        <w:u w:val="single"/>
        <w:lang w:eastAsia="zh-CN"/>
      </w:rPr>
      <w:t>青海民族大学修业楼2-5楼北面教室改造项目</w:t>
    </w:r>
    <w:r>
      <w:rPr>
        <w:rFonts w:hint="eastAsia" w:ascii="宋体" w:hAnsi="宋体" w:eastAsia="宋体" w:cs="宋体"/>
        <w:sz w:val="21"/>
        <w:szCs w:val="21"/>
        <w:u w:val="single"/>
        <w:lang w:val="en-US" w:eastAsia="zh-CN"/>
      </w:rPr>
      <w:t xml:space="preserve">                                     </w:t>
    </w:r>
    <w:r>
      <w:rPr>
        <w:rFonts w:hint="eastAsia" w:ascii="宋体" w:hAnsi="宋体"/>
        <w:szCs w:val="21"/>
        <w:u w:val="single"/>
      </w:rPr>
      <w:t>询比采购文件</w:t>
    </w:r>
    <w:r>
      <w:rPr>
        <w:sz w:val="18"/>
      </w:rPr>
      <w:pict>
        <v:shape id="_x0000_s4102" o:spid="_x0000_s4102" o:spt="136" type="#_x0000_t136" style="position:absolute;left:0pt;height:130.15pt;width:457.1pt;mso-position-horizontal:center;mso-position-horizontal-relative:margin;mso-position-vertical:center;mso-position-vertical-relative:margin;rotation:-2949120f;z-index:-251655168;mso-width-relative:page;mso-height-relative:page;" fillcolor="#C0C0C0" filled="t" stroked="f" coordsize="21600,21600" adj="10800">
          <v:path/>
          <v:fill on="t" opacity="32768f" focussize="0,0"/>
          <v:stroke on="f"/>
          <v:imagedata o:title=""/>
          <o:lock v:ext="edit" aspectratio="t"/>
          <v:textpath on="t" fitshape="t" fitpath="t" trim="t" xscale="f" string="容基招标" style="font-family:宋体;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2A4DE4"/>
    <w:multiLevelType w:val="singleLevel"/>
    <w:tmpl w:val="912A4DE4"/>
    <w:lvl w:ilvl="0" w:tentative="0">
      <w:start w:val="1"/>
      <w:numFmt w:val="decimal"/>
      <w:suff w:val="nothing"/>
      <w:lvlText w:val="（%1）"/>
      <w:lvlJc w:val="left"/>
    </w:lvl>
  </w:abstractNum>
  <w:abstractNum w:abstractNumId="1">
    <w:nsid w:val="9B19875F"/>
    <w:multiLevelType w:val="singleLevel"/>
    <w:tmpl w:val="9B19875F"/>
    <w:lvl w:ilvl="0" w:tentative="0">
      <w:start w:val="1"/>
      <w:numFmt w:val="decimal"/>
      <w:suff w:val="nothing"/>
      <w:lvlText w:val="（%1）"/>
      <w:lvlJc w:val="left"/>
    </w:lvl>
  </w:abstractNum>
  <w:abstractNum w:abstractNumId="2">
    <w:nsid w:val="9D19A101"/>
    <w:multiLevelType w:val="singleLevel"/>
    <w:tmpl w:val="9D19A101"/>
    <w:lvl w:ilvl="0" w:tentative="0">
      <w:start w:val="2"/>
      <w:numFmt w:val="decimal"/>
      <w:suff w:val="nothing"/>
      <w:lvlText w:val="（%1）"/>
      <w:lvlJc w:val="left"/>
    </w:lvl>
  </w:abstractNum>
  <w:abstractNum w:abstractNumId="3">
    <w:nsid w:val="C84F8956"/>
    <w:multiLevelType w:val="singleLevel"/>
    <w:tmpl w:val="C84F8956"/>
    <w:lvl w:ilvl="0" w:tentative="0">
      <w:start w:val="1"/>
      <w:numFmt w:val="decimal"/>
      <w:suff w:val="nothing"/>
      <w:lvlText w:val="（%1）"/>
      <w:lvlJc w:val="left"/>
    </w:lvl>
  </w:abstractNum>
  <w:abstractNum w:abstractNumId="4">
    <w:nsid w:val="EF0F09DC"/>
    <w:multiLevelType w:val="singleLevel"/>
    <w:tmpl w:val="EF0F09DC"/>
    <w:lvl w:ilvl="0" w:tentative="0">
      <w:start w:val="1"/>
      <w:numFmt w:val="decimal"/>
      <w:suff w:val="nothing"/>
      <w:lvlText w:val="（%1）"/>
      <w:lvlJc w:val="left"/>
    </w:lvl>
  </w:abstractNum>
  <w:abstractNum w:abstractNumId="5">
    <w:nsid w:val="00000006"/>
    <w:multiLevelType w:val="singleLevel"/>
    <w:tmpl w:val="00000006"/>
    <w:lvl w:ilvl="0" w:tentative="0">
      <w:start w:val="1"/>
      <w:numFmt w:val="decimal"/>
      <w:suff w:val="nothing"/>
      <w:lvlText w:val="（%1）"/>
      <w:lvlJc w:val="left"/>
    </w:lvl>
  </w:abstractNum>
  <w:abstractNum w:abstractNumId="6">
    <w:nsid w:val="0EA9BFB7"/>
    <w:multiLevelType w:val="singleLevel"/>
    <w:tmpl w:val="0EA9BFB7"/>
    <w:lvl w:ilvl="0" w:tentative="0">
      <w:start w:val="3"/>
      <w:numFmt w:val="chineseCounting"/>
      <w:suff w:val="nothing"/>
      <w:lvlText w:val="（%1）"/>
      <w:lvlJc w:val="left"/>
      <w:rPr>
        <w:rFonts w:hint="eastAsia"/>
      </w:rPr>
    </w:lvl>
  </w:abstractNum>
  <w:abstractNum w:abstractNumId="7">
    <w:nsid w:val="322D85CA"/>
    <w:multiLevelType w:val="singleLevel"/>
    <w:tmpl w:val="322D85C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abstractNum>
  <w:abstractNum w:abstractNumId="8">
    <w:nsid w:val="461BE76B"/>
    <w:multiLevelType w:val="singleLevel"/>
    <w:tmpl w:val="461BE76B"/>
    <w:lvl w:ilvl="0" w:tentative="0">
      <w:start w:val="5"/>
      <w:numFmt w:val="decimal"/>
      <w:suff w:val="nothing"/>
      <w:lvlText w:val="（%1）"/>
      <w:lvlJc w:val="left"/>
    </w:lvl>
  </w:abstractNum>
  <w:abstractNum w:abstractNumId="9">
    <w:nsid w:val="4C3D7A74"/>
    <w:multiLevelType w:val="singleLevel"/>
    <w:tmpl w:val="4C3D7A7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abstractNum>
  <w:abstractNum w:abstractNumId="10">
    <w:nsid w:val="58946D50"/>
    <w:multiLevelType w:val="multilevel"/>
    <w:tmpl w:val="58946D50"/>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70256197"/>
    <w:multiLevelType w:val="singleLevel"/>
    <w:tmpl w:val="70256197"/>
    <w:lvl w:ilvl="0" w:tentative="0">
      <w:start w:val="1"/>
      <w:numFmt w:val="decimal"/>
      <w:suff w:val="nothing"/>
      <w:lvlText w:val="%1、"/>
      <w:lvlJc w:val="left"/>
    </w:lvl>
  </w:abstractNum>
  <w:abstractNum w:abstractNumId="12">
    <w:nsid w:val="74C28B35"/>
    <w:multiLevelType w:val="singleLevel"/>
    <w:tmpl w:val="74C28B3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abstractNum>
  <w:num w:numId="1">
    <w:abstractNumId w:val="10"/>
  </w:num>
  <w:num w:numId="2">
    <w:abstractNumId w:val="2"/>
  </w:num>
  <w:num w:numId="3">
    <w:abstractNumId w:val="4"/>
  </w:num>
  <w:num w:numId="4">
    <w:abstractNumId w:val="11"/>
  </w:num>
  <w:num w:numId="5">
    <w:abstractNumId w:val="1"/>
  </w:num>
  <w:num w:numId="6">
    <w:abstractNumId w:val="0"/>
  </w:num>
  <w:num w:numId="7">
    <w:abstractNumId w:val="3"/>
  </w:num>
  <w:num w:numId="8">
    <w:abstractNumId w:val="8"/>
  </w:num>
  <w:num w:numId="9">
    <w:abstractNumId w:val="5"/>
  </w:num>
  <w:num w:numId="10">
    <w:abstractNumId w:val="6"/>
  </w:num>
  <w:num w:numId="11">
    <w:abstractNumId w:val="12"/>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1,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1YWNkYzYxYTMxZDIyMTYxNzhiZTYyYzVkZDA3YTIifQ=="/>
  </w:docVars>
  <w:rsids>
    <w:rsidRoot w:val="326937DF"/>
    <w:rsid w:val="00080941"/>
    <w:rsid w:val="00135135"/>
    <w:rsid w:val="002918E6"/>
    <w:rsid w:val="003F765F"/>
    <w:rsid w:val="00563274"/>
    <w:rsid w:val="006B6D1F"/>
    <w:rsid w:val="007756C4"/>
    <w:rsid w:val="00982B18"/>
    <w:rsid w:val="00B50C1D"/>
    <w:rsid w:val="00C345A9"/>
    <w:rsid w:val="00D140D4"/>
    <w:rsid w:val="01216CAC"/>
    <w:rsid w:val="0159387C"/>
    <w:rsid w:val="0161191E"/>
    <w:rsid w:val="01695955"/>
    <w:rsid w:val="016F2EE7"/>
    <w:rsid w:val="01777D14"/>
    <w:rsid w:val="018E5C6D"/>
    <w:rsid w:val="018F6A3E"/>
    <w:rsid w:val="01A050EF"/>
    <w:rsid w:val="01AD0F0E"/>
    <w:rsid w:val="01BA61B0"/>
    <w:rsid w:val="01E50D53"/>
    <w:rsid w:val="01E62AE7"/>
    <w:rsid w:val="01FF3C2C"/>
    <w:rsid w:val="02145195"/>
    <w:rsid w:val="021806C0"/>
    <w:rsid w:val="021E63E6"/>
    <w:rsid w:val="023A0C1C"/>
    <w:rsid w:val="023B0973"/>
    <w:rsid w:val="02416349"/>
    <w:rsid w:val="02641C78"/>
    <w:rsid w:val="02904EB1"/>
    <w:rsid w:val="02AD1871"/>
    <w:rsid w:val="02AE55E9"/>
    <w:rsid w:val="02BC63E7"/>
    <w:rsid w:val="02BF15A4"/>
    <w:rsid w:val="02C74AE8"/>
    <w:rsid w:val="02CD70D6"/>
    <w:rsid w:val="02F92D08"/>
    <w:rsid w:val="03092820"/>
    <w:rsid w:val="030D1B0E"/>
    <w:rsid w:val="0321400D"/>
    <w:rsid w:val="032D650E"/>
    <w:rsid w:val="03682234"/>
    <w:rsid w:val="039B60D8"/>
    <w:rsid w:val="03A74512"/>
    <w:rsid w:val="03E77005"/>
    <w:rsid w:val="04096F7B"/>
    <w:rsid w:val="040E6305"/>
    <w:rsid w:val="041651F4"/>
    <w:rsid w:val="04275653"/>
    <w:rsid w:val="042F62B6"/>
    <w:rsid w:val="044537D3"/>
    <w:rsid w:val="044E0E40"/>
    <w:rsid w:val="0458580D"/>
    <w:rsid w:val="046917C8"/>
    <w:rsid w:val="047C1BC9"/>
    <w:rsid w:val="04AE6738"/>
    <w:rsid w:val="04C74740"/>
    <w:rsid w:val="04E51C95"/>
    <w:rsid w:val="04E62E18"/>
    <w:rsid w:val="04F97BAD"/>
    <w:rsid w:val="050520CB"/>
    <w:rsid w:val="050F05C1"/>
    <w:rsid w:val="050F3640"/>
    <w:rsid w:val="052E656D"/>
    <w:rsid w:val="054A15F9"/>
    <w:rsid w:val="055223E2"/>
    <w:rsid w:val="05666B5C"/>
    <w:rsid w:val="05882122"/>
    <w:rsid w:val="05B11678"/>
    <w:rsid w:val="05C95480"/>
    <w:rsid w:val="05E80E12"/>
    <w:rsid w:val="05E84B26"/>
    <w:rsid w:val="05F74066"/>
    <w:rsid w:val="0600615C"/>
    <w:rsid w:val="060A22A8"/>
    <w:rsid w:val="060A3737"/>
    <w:rsid w:val="0623568E"/>
    <w:rsid w:val="06250A5D"/>
    <w:rsid w:val="06255BC2"/>
    <w:rsid w:val="06304C93"/>
    <w:rsid w:val="067108C0"/>
    <w:rsid w:val="069D1BFD"/>
    <w:rsid w:val="06A92350"/>
    <w:rsid w:val="06C05ACC"/>
    <w:rsid w:val="06C62C56"/>
    <w:rsid w:val="06E05810"/>
    <w:rsid w:val="06F2019A"/>
    <w:rsid w:val="06FA2BAB"/>
    <w:rsid w:val="072615F8"/>
    <w:rsid w:val="07302A71"/>
    <w:rsid w:val="074327A4"/>
    <w:rsid w:val="0744651C"/>
    <w:rsid w:val="076661F7"/>
    <w:rsid w:val="07AD40C1"/>
    <w:rsid w:val="07B51198"/>
    <w:rsid w:val="07BD02A3"/>
    <w:rsid w:val="07CC0430"/>
    <w:rsid w:val="07CE55BF"/>
    <w:rsid w:val="07D15ABF"/>
    <w:rsid w:val="07F13FAE"/>
    <w:rsid w:val="08047283"/>
    <w:rsid w:val="08245424"/>
    <w:rsid w:val="08273E74"/>
    <w:rsid w:val="082A5712"/>
    <w:rsid w:val="08311D88"/>
    <w:rsid w:val="08314ACC"/>
    <w:rsid w:val="08493DEA"/>
    <w:rsid w:val="084C2220"/>
    <w:rsid w:val="08551B9A"/>
    <w:rsid w:val="08650951"/>
    <w:rsid w:val="086C1887"/>
    <w:rsid w:val="0882490B"/>
    <w:rsid w:val="08925CE3"/>
    <w:rsid w:val="089D5EE4"/>
    <w:rsid w:val="08AB6853"/>
    <w:rsid w:val="08C70C8A"/>
    <w:rsid w:val="08E753B1"/>
    <w:rsid w:val="08F20AED"/>
    <w:rsid w:val="091343F8"/>
    <w:rsid w:val="099C14CE"/>
    <w:rsid w:val="099C619C"/>
    <w:rsid w:val="09AF3899"/>
    <w:rsid w:val="09CF3DFE"/>
    <w:rsid w:val="0A262284"/>
    <w:rsid w:val="0A5440F6"/>
    <w:rsid w:val="0A586566"/>
    <w:rsid w:val="0A786C09"/>
    <w:rsid w:val="0A92134D"/>
    <w:rsid w:val="0A991572"/>
    <w:rsid w:val="0ABD0ABF"/>
    <w:rsid w:val="0AC969E6"/>
    <w:rsid w:val="0AE20526"/>
    <w:rsid w:val="0AEB7050"/>
    <w:rsid w:val="0AFF2E86"/>
    <w:rsid w:val="0B013906"/>
    <w:rsid w:val="0B4150A1"/>
    <w:rsid w:val="0B461D38"/>
    <w:rsid w:val="0B472433"/>
    <w:rsid w:val="0B4D3BF1"/>
    <w:rsid w:val="0B5331D2"/>
    <w:rsid w:val="0B5A630E"/>
    <w:rsid w:val="0B607DBE"/>
    <w:rsid w:val="0BED7684"/>
    <w:rsid w:val="0BF47912"/>
    <w:rsid w:val="0C043917"/>
    <w:rsid w:val="0C110053"/>
    <w:rsid w:val="0C4455FF"/>
    <w:rsid w:val="0C460641"/>
    <w:rsid w:val="0C46687E"/>
    <w:rsid w:val="0C5646C5"/>
    <w:rsid w:val="0C594818"/>
    <w:rsid w:val="0C68491E"/>
    <w:rsid w:val="0C7D48B9"/>
    <w:rsid w:val="0C7E7DE5"/>
    <w:rsid w:val="0C8A677F"/>
    <w:rsid w:val="0CA35A93"/>
    <w:rsid w:val="0CBE467B"/>
    <w:rsid w:val="0CC339A0"/>
    <w:rsid w:val="0CD07820"/>
    <w:rsid w:val="0CDD71F7"/>
    <w:rsid w:val="0CDF434E"/>
    <w:rsid w:val="0CF6195F"/>
    <w:rsid w:val="0D0E73B0"/>
    <w:rsid w:val="0D15642A"/>
    <w:rsid w:val="0D330BC5"/>
    <w:rsid w:val="0D4E1EA3"/>
    <w:rsid w:val="0D6861FC"/>
    <w:rsid w:val="0D6A3B25"/>
    <w:rsid w:val="0D701E19"/>
    <w:rsid w:val="0D7336B7"/>
    <w:rsid w:val="0D8D1522"/>
    <w:rsid w:val="0DA8151A"/>
    <w:rsid w:val="0DB91500"/>
    <w:rsid w:val="0DBF4B4E"/>
    <w:rsid w:val="0DCE08EE"/>
    <w:rsid w:val="0E074D2D"/>
    <w:rsid w:val="0E0C321B"/>
    <w:rsid w:val="0E3626C4"/>
    <w:rsid w:val="0E545297"/>
    <w:rsid w:val="0E644D6F"/>
    <w:rsid w:val="0E7F141F"/>
    <w:rsid w:val="0E835B7C"/>
    <w:rsid w:val="0E8C2C83"/>
    <w:rsid w:val="0F211C8E"/>
    <w:rsid w:val="0F2F1860"/>
    <w:rsid w:val="0F5D461F"/>
    <w:rsid w:val="0F710825"/>
    <w:rsid w:val="0F7C60F1"/>
    <w:rsid w:val="0F7D6A6F"/>
    <w:rsid w:val="0FAA0053"/>
    <w:rsid w:val="0FC11AFA"/>
    <w:rsid w:val="0FDD39E7"/>
    <w:rsid w:val="0FE8213B"/>
    <w:rsid w:val="1001144E"/>
    <w:rsid w:val="100D1BA1"/>
    <w:rsid w:val="102E3371"/>
    <w:rsid w:val="104715F7"/>
    <w:rsid w:val="10554337"/>
    <w:rsid w:val="106B27A6"/>
    <w:rsid w:val="107A7215"/>
    <w:rsid w:val="10801CE2"/>
    <w:rsid w:val="108C51BC"/>
    <w:rsid w:val="108E533F"/>
    <w:rsid w:val="109D70D2"/>
    <w:rsid w:val="109F2611"/>
    <w:rsid w:val="10D9352D"/>
    <w:rsid w:val="10E7199E"/>
    <w:rsid w:val="10F57CC0"/>
    <w:rsid w:val="110961A7"/>
    <w:rsid w:val="11477335"/>
    <w:rsid w:val="11502863"/>
    <w:rsid w:val="118A0AC2"/>
    <w:rsid w:val="119500A0"/>
    <w:rsid w:val="11B875AE"/>
    <w:rsid w:val="11C03BEE"/>
    <w:rsid w:val="11CE710E"/>
    <w:rsid w:val="11DB182B"/>
    <w:rsid w:val="11E95D4A"/>
    <w:rsid w:val="12045226"/>
    <w:rsid w:val="120A0A9D"/>
    <w:rsid w:val="12336CC3"/>
    <w:rsid w:val="124637D9"/>
    <w:rsid w:val="125515DD"/>
    <w:rsid w:val="12687563"/>
    <w:rsid w:val="128D6FC9"/>
    <w:rsid w:val="128E7179"/>
    <w:rsid w:val="12AD31C8"/>
    <w:rsid w:val="12BC340B"/>
    <w:rsid w:val="12C549B5"/>
    <w:rsid w:val="12C64289"/>
    <w:rsid w:val="12DD5FFB"/>
    <w:rsid w:val="12FB2185"/>
    <w:rsid w:val="130059ED"/>
    <w:rsid w:val="130B37E1"/>
    <w:rsid w:val="130F2ECF"/>
    <w:rsid w:val="131B6383"/>
    <w:rsid w:val="13255454"/>
    <w:rsid w:val="133E6515"/>
    <w:rsid w:val="134018B1"/>
    <w:rsid w:val="13433B2C"/>
    <w:rsid w:val="138228A6"/>
    <w:rsid w:val="13942DCF"/>
    <w:rsid w:val="139A07F7"/>
    <w:rsid w:val="13B10A95"/>
    <w:rsid w:val="13C75E95"/>
    <w:rsid w:val="13CB7DA9"/>
    <w:rsid w:val="14016903"/>
    <w:rsid w:val="141A663B"/>
    <w:rsid w:val="141B2416"/>
    <w:rsid w:val="141F1EA3"/>
    <w:rsid w:val="142E098F"/>
    <w:rsid w:val="142E658A"/>
    <w:rsid w:val="143771ED"/>
    <w:rsid w:val="144B7A9B"/>
    <w:rsid w:val="14515DD5"/>
    <w:rsid w:val="14654E7D"/>
    <w:rsid w:val="147D5213"/>
    <w:rsid w:val="14A405FA"/>
    <w:rsid w:val="14B545B5"/>
    <w:rsid w:val="14B940A6"/>
    <w:rsid w:val="14D62EA9"/>
    <w:rsid w:val="14E97AC7"/>
    <w:rsid w:val="15174B89"/>
    <w:rsid w:val="151E2867"/>
    <w:rsid w:val="15222E14"/>
    <w:rsid w:val="15543E6B"/>
    <w:rsid w:val="155A1735"/>
    <w:rsid w:val="1562473D"/>
    <w:rsid w:val="15626554"/>
    <w:rsid w:val="156F29B6"/>
    <w:rsid w:val="156F5FC8"/>
    <w:rsid w:val="157601E9"/>
    <w:rsid w:val="15A87163"/>
    <w:rsid w:val="161812A0"/>
    <w:rsid w:val="161A5018"/>
    <w:rsid w:val="163C4F8E"/>
    <w:rsid w:val="1645729B"/>
    <w:rsid w:val="167C28ED"/>
    <w:rsid w:val="168D57EA"/>
    <w:rsid w:val="16A81E11"/>
    <w:rsid w:val="16CB1E6E"/>
    <w:rsid w:val="16CF4F12"/>
    <w:rsid w:val="16D070B0"/>
    <w:rsid w:val="171C2870"/>
    <w:rsid w:val="175037E8"/>
    <w:rsid w:val="176F3141"/>
    <w:rsid w:val="17773DA4"/>
    <w:rsid w:val="177E5132"/>
    <w:rsid w:val="1792505A"/>
    <w:rsid w:val="17B33EF9"/>
    <w:rsid w:val="17C52D61"/>
    <w:rsid w:val="17C7298E"/>
    <w:rsid w:val="17D545B4"/>
    <w:rsid w:val="17E458DD"/>
    <w:rsid w:val="17FD074D"/>
    <w:rsid w:val="181660DB"/>
    <w:rsid w:val="184F3F17"/>
    <w:rsid w:val="1853087E"/>
    <w:rsid w:val="18BC5F12"/>
    <w:rsid w:val="18C1613C"/>
    <w:rsid w:val="18D416ED"/>
    <w:rsid w:val="193A3ED9"/>
    <w:rsid w:val="193C34F7"/>
    <w:rsid w:val="19520625"/>
    <w:rsid w:val="19614D0C"/>
    <w:rsid w:val="196958C6"/>
    <w:rsid w:val="196D30A3"/>
    <w:rsid w:val="19757AB0"/>
    <w:rsid w:val="19A21525"/>
    <w:rsid w:val="19C7220C"/>
    <w:rsid w:val="19FD171B"/>
    <w:rsid w:val="1A0B151B"/>
    <w:rsid w:val="1A264812"/>
    <w:rsid w:val="1A330456"/>
    <w:rsid w:val="1A3B730B"/>
    <w:rsid w:val="1A3E0EA0"/>
    <w:rsid w:val="1A420699"/>
    <w:rsid w:val="1A4C59BC"/>
    <w:rsid w:val="1A5605E9"/>
    <w:rsid w:val="1A6000FA"/>
    <w:rsid w:val="1A6C3F09"/>
    <w:rsid w:val="1A8B64E4"/>
    <w:rsid w:val="1AE70A7C"/>
    <w:rsid w:val="1AEC1BCF"/>
    <w:rsid w:val="1AFC1190"/>
    <w:rsid w:val="1B090C0D"/>
    <w:rsid w:val="1B171E65"/>
    <w:rsid w:val="1B2304CB"/>
    <w:rsid w:val="1B2828A3"/>
    <w:rsid w:val="1B291DFC"/>
    <w:rsid w:val="1B4339BF"/>
    <w:rsid w:val="1B6355E6"/>
    <w:rsid w:val="1B6A0A74"/>
    <w:rsid w:val="1B721452"/>
    <w:rsid w:val="1B8D1798"/>
    <w:rsid w:val="1B9118D8"/>
    <w:rsid w:val="1B9238A2"/>
    <w:rsid w:val="1BC7793A"/>
    <w:rsid w:val="1BDB33E7"/>
    <w:rsid w:val="1C07705F"/>
    <w:rsid w:val="1C2F492B"/>
    <w:rsid w:val="1C550B58"/>
    <w:rsid w:val="1C630124"/>
    <w:rsid w:val="1C6E1238"/>
    <w:rsid w:val="1C734345"/>
    <w:rsid w:val="1C772B75"/>
    <w:rsid w:val="1C9B0535"/>
    <w:rsid w:val="1C9F0C85"/>
    <w:rsid w:val="1CA319A1"/>
    <w:rsid w:val="1CAC3887"/>
    <w:rsid w:val="1CB25FAA"/>
    <w:rsid w:val="1CB62D07"/>
    <w:rsid w:val="1CC45CDD"/>
    <w:rsid w:val="1CE035A1"/>
    <w:rsid w:val="1D064402"/>
    <w:rsid w:val="1D0E51AB"/>
    <w:rsid w:val="1D1722B1"/>
    <w:rsid w:val="1D183E5B"/>
    <w:rsid w:val="1D346263"/>
    <w:rsid w:val="1D3C5874"/>
    <w:rsid w:val="1D4D7A81"/>
    <w:rsid w:val="1D503C9E"/>
    <w:rsid w:val="1D7D4507"/>
    <w:rsid w:val="1D7E7C3A"/>
    <w:rsid w:val="1D9F236F"/>
    <w:rsid w:val="1DA3353F"/>
    <w:rsid w:val="1DAC261C"/>
    <w:rsid w:val="1DC02409"/>
    <w:rsid w:val="1DCE1B38"/>
    <w:rsid w:val="1DEA1774"/>
    <w:rsid w:val="1DFE521F"/>
    <w:rsid w:val="1E0679E2"/>
    <w:rsid w:val="1E23519B"/>
    <w:rsid w:val="1E377D8D"/>
    <w:rsid w:val="1E3E73CA"/>
    <w:rsid w:val="1E531E93"/>
    <w:rsid w:val="1E5E181A"/>
    <w:rsid w:val="1E701B79"/>
    <w:rsid w:val="1E8C6387"/>
    <w:rsid w:val="1E982F7E"/>
    <w:rsid w:val="1E991A4B"/>
    <w:rsid w:val="1EA27958"/>
    <w:rsid w:val="1EB710BE"/>
    <w:rsid w:val="1EB853CE"/>
    <w:rsid w:val="1EC75611"/>
    <w:rsid w:val="1ED03CDE"/>
    <w:rsid w:val="1ED16F5F"/>
    <w:rsid w:val="1EF06916"/>
    <w:rsid w:val="1EF72939"/>
    <w:rsid w:val="1F064C32"/>
    <w:rsid w:val="1F1C4761"/>
    <w:rsid w:val="1F3802BD"/>
    <w:rsid w:val="1F494278"/>
    <w:rsid w:val="1F497D4A"/>
    <w:rsid w:val="1FAC7D1C"/>
    <w:rsid w:val="1FB02549"/>
    <w:rsid w:val="1FB2006F"/>
    <w:rsid w:val="1FBC0EEE"/>
    <w:rsid w:val="1FDE2C12"/>
    <w:rsid w:val="1FEF6BCD"/>
    <w:rsid w:val="20457135"/>
    <w:rsid w:val="20476A09"/>
    <w:rsid w:val="20706D49"/>
    <w:rsid w:val="208A0FEC"/>
    <w:rsid w:val="20983709"/>
    <w:rsid w:val="20985306"/>
    <w:rsid w:val="20AE01DC"/>
    <w:rsid w:val="20B2315D"/>
    <w:rsid w:val="20E029BA"/>
    <w:rsid w:val="21336F8E"/>
    <w:rsid w:val="21345B55"/>
    <w:rsid w:val="213571AA"/>
    <w:rsid w:val="21377686"/>
    <w:rsid w:val="213A5C45"/>
    <w:rsid w:val="2150290B"/>
    <w:rsid w:val="21522180"/>
    <w:rsid w:val="2160482A"/>
    <w:rsid w:val="219C4B33"/>
    <w:rsid w:val="21A734D8"/>
    <w:rsid w:val="21AA3516"/>
    <w:rsid w:val="21B7404D"/>
    <w:rsid w:val="21BB7B13"/>
    <w:rsid w:val="21DE514B"/>
    <w:rsid w:val="21EB1616"/>
    <w:rsid w:val="21EF3C27"/>
    <w:rsid w:val="21FA31EA"/>
    <w:rsid w:val="2200396C"/>
    <w:rsid w:val="220646A2"/>
    <w:rsid w:val="221820F8"/>
    <w:rsid w:val="221907E9"/>
    <w:rsid w:val="22214C0B"/>
    <w:rsid w:val="224D73E2"/>
    <w:rsid w:val="22621E76"/>
    <w:rsid w:val="22982545"/>
    <w:rsid w:val="22A613CF"/>
    <w:rsid w:val="22D503C0"/>
    <w:rsid w:val="22DA1DB7"/>
    <w:rsid w:val="22E20C6B"/>
    <w:rsid w:val="22F6436E"/>
    <w:rsid w:val="22FD5F3A"/>
    <w:rsid w:val="23141702"/>
    <w:rsid w:val="23143753"/>
    <w:rsid w:val="233D329E"/>
    <w:rsid w:val="23502A1E"/>
    <w:rsid w:val="236B490C"/>
    <w:rsid w:val="236F0600"/>
    <w:rsid w:val="23825FAA"/>
    <w:rsid w:val="23AE2BED"/>
    <w:rsid w:val="23DA3BEC"/>
    <w:rsid w:val="23F01166"/>
    <w:rsid w:val="2408466E"/>
    <w:rsid w:val="240A589A"/>
    <w:rsid w:val="24214C86"/>
    <w:rsid w:val="24263C0E"/>
    <w:rsid w:val="243A3AB5"/>
    <w:rsid w:val="245F009A"/>
    <w:rsid w:val="247131E6"/>
    <w:rsid w:val="247973AD"/>
    <w:rsid w:val="249E623F"/>
    <w:rsid w:val="24DB07AE"/>
    <w:rsid w:val="24E44142"/>
    <w:rsid w:val="24EA4F11"/>
    <w:rsid w:val="24F3356D"/>
    <w:rsid w:val="25280912"/>
    <w:rsid w:val="252A5A7D"/>
    <w:rsid w:val="253415C0"/>
    <w:rsid w:val="253B493D"/>
    <w:rsid w:val="25455653"/>
    <w:rsid w:val="255676EF"/>
    <w:rsid w:val="25626093"/>
    <w:rsid w:val="256E67E6"/>
    <w:rsid w:val="257F3809"/>
    <w:rsid w:val="259E4566"/>
    <w:rsid w:val="25AC5561"/>
    <w:rsid w:val="25DE7D9F"/>
    <w:rsid w:val="25F44F63"/>
    <w:rsid w:val="25FB47C9"/>
    <w:rsid w:val="25FD4CE8"/>
    <w:rsid w:val="26064C71"/>
    <w:rsid w:val="260B2287"/>
    <w:rsid w:val="260E7FC9"/>
    <w:rsid w:val="261D4FF8"/>
    <w:rsid w:val="2660786E"/>
    <w:rsid w:val="2666126C"/>
    <w:rsid w:val="266A6868"/>
    <w:rsid w:val="267A0C68"/>
    <w:rsid w:val="267E0CAB"/>
    <w:rsid w:val="26873D6D"/>
    <w:rsid w:val="26B91CE3"/>
    <w:rsid w:val="26C9489D"/>
    <w:rsid w:val="26F1147D"/>
    <w:rsid w:val="26F40F6D"/>
    <w:rsid w:val="26FC1B5B"/>
    <w:rsid w:val="27084F7B"/>
    <w:rsid w:val="270A3FE0"/>
    <w:rsid w:val="270E25B0"/>
    <w:rsid w:val="272F2685"/>
    <w:rsid w:val="277A3B68"/>
    <w:rsid w:val="27A97FAA"/>
    <w:rsid w:val="27C546B8"/>
    <w:rsid w:val="27DB286E"/>
    <w:rsid w:val="27EC7EB1"/>
    <w:rsid w:val="27F31225"/>
    <w:rsid w:val="28062690"/>
    <w:rsid w:val="2837470D"/>
    <w:rsid w:val="283A2338"/>
    <w:rsid w:val="288B77C8"/>
    <w:rsid w:val="28CA2040"/>
    <w:rsid w:val="28D01566"/>
    <w:rsid w:val="28D017B1"/>
    <w:rsid w:val="29104399"/>
    <w:rsid w:val="291458F7"/>
    <w:rsid w:val="29283150"/>
    <w:rsid w:val="2936586D"/>
    <w:rsid w:val="294C3DAC"/>
    <w:rsid w:val="296B0A44"/>
    <w:rsid w:val="2973086F"/>
    <w:rsid w:val="29804D3A"/>
    <w:rsid w:val="29AF5269"/>
    <w:rsid w:val="29B17460"/>
    <w:rsid w:val="29CE019B"/>
    <w:rsid w:val="29DB25DC"/>
    <w:rsid w:val="29DE6E4D"/>
    <w:rsid w:val="29E84696"/>
    <w:rsid w:val="29F95519"/>
    <w:rsid w:val="2A003411"/>
    <w:rsid w:val="2A09628A"/>
    <w:rsid w:val="2A25469F"/>
    <w:rsid w:val="2A693A20"/>
    <w:rsid w:val="2A742763"/>
    <w:rsid w:val="2A782386"/>
    <w:rsid w:val="2A89452B"/>
    <w:rsid w:val="2AB55B96"/>
    <w:rsid w:val="2AC11AAE"/>
    <w:rsid w:val="2AC37D83"/>
    <w:rsid w:val="2ACC686A"/>
    <w:rsid w:val="2AE01F34"/>
    <w:rsid w:val="2AE60D7E"/>
    <w:rsid w:val="2AF91248"/>
    <w:rsid w:val="2B3A1F37"/>
    <w:rsid w:val="2B4029D3"/>
    <w:rsid w:val="2B54022C"/>
    <w:rsid w:val="2B61117A"/>
    <w:rsid w:val="2B6761B2"/>
    <w:rsid w:val="2B7A3C6A"/>
    <w:rsid w:val="2B7D22E3"/>
    <w:rsid w:val="2B9F3B9D"/>
    <w:rsid w:val="2BB92785"/>
    <w:rsid w:val="2BBD1DF1"/>
    <w:rsid w:val="2BC5737C"/>
    <w:rsid w:val="2BE12049"/>
    <w:rsid w:val="2BE94E19"/>
    <w:rsid w:val="2BEA3703"/>
    <w:rsid w:val="2BEB77FE"/>
    <w:rsid w:val="2BED6A6C"/>
    <w:rsid w:val="2C2C11A9"/>
    <w:rsid w:val="2C324A12"/>
    <w:rsid w:val="2C396E86"/>
    <w:rsid w:val="2C3A5674"/>
    <w:rsid w:val="2C622E1D"/>
    <w:rsid w:val="2C8D2B31"/>
    <w:rsid w:val="2C913B8F"/>
    <w:rsid w:val="2C92725E"/>
    <w:rsid w:val="2CAB6572"/>
    <w:rsid w:val="2CB43FEC"/>
    <w:rsid w:val="2CB45F5B"/>
    <w:rsid w:val="2CBD70ED"/>
    <w:rsid w:val="2D220C10"/>
    <w:rsid w:val="2D870EEB"/>
    <w:rsid w:val="2DAD14A5"/>
    <w:rsid w:val="2DB04579"/>
    <w:rsid w:val="2DB43E82"/>
    <w:rsid w:val="2DCC4132"/>
    <w:rsid w:val="2DD6761F"/>
    <w:rsid w:val="2DDA68AA"/>
    <w:rsid w:val="2DEF3D03"/>
    <w:rsid w:val="2E026666"/>
    <w:rsid w:val="2E5C3FC8"/>
    <w:rsid w:val="2E7F7F75"/>
    <w:rsid w:val="2E876B6B"/>
    <w:rsid w:val="2EA63495"/>
    <w:rsid w:val="2EC61441"/>
    <w:rsid w:val="2EE55878"/>
    <w:rsid w:val="2F1228D8"/>
    <w:rsid w:val="2F4228CB"/>
    <w:rsid w:val="2F4720C9"/>
    <w:rsid w:val="2F47724A"/>
    <w:rsid w:val="2F4C62DB"/>
    <w:rsid w:val="2F5E167A"/>
    <w:rsid w:val="2F6475B3"/>
    <w:rsid w:val="2F6824F8"/>
    <w:rsid w:val="2F6C023B"/>
    <w:rsid w:val="2F7F53A8"/>
    <w:rsid w:val="2F880DEC"/>
    <w:rsid w:val="2F93652C"/>
    <w:rsid w:val="2F94153F"/>
    <w:rsid w:val="2F9B12AC"/>
    <w:rsid w:val="2FAD69A4"/>
    <w:rsid w:val="2FDD4C94"/>
    <w:rsid w:val="2FEA73B1"/>
    <w:rsid w:val="301F59D6"/>
    <w:rsid w:val="30324129"/>
    <w:rsid w:val="30471D07"/>
    <w:rsid w:val="3058256D"/>
    <w:rsid w:val="3061698D"/>
    <w:rsid w:val="307C30B1"/>
    <w:rsid w:val="3091782D"/>
    <w:rsid w:val="30B874AF"/>
    <w:rsid w:val="30C220DC"/>
    <w:rsid w:val="30C776F3"/>
    <w:rsid w:val="31046251"/>
    <w:rsid w:val="312523A2"/>
    <w:rsid w:val="31475925"/>
    <w:rsid w:val="314A64F7"/>
    <w:rsid w:val="315513B9"/>
    <w:rsid w:val="31653193"/>
    <w:rsid w:val="317423B6"/>
    <w:rsid w:val="31864041"/>
    <w:rsid w:val="31933817"/>
    <w:rsid w:val="31AD0696"/>
    <w:rsid w:val="31F06992"/>
    <w:rsid w:val="32146967"/>
    <w:rsid w:val="32157CE1"/>
    <w:rsid w:val="321F5D40"/>
    <w:rsid w:val="322007B0"/>
    <w:rsid w:val="322546D1"/>
    <w:rsid w:val="322620F6"/>
    <w:rsid w:val="32470AEB"/>
    <w:rsid w:val="324F174E"/>
    <w:rsid w:val="326937DF"/>
    <w:rsid w:val="32841E39"/>
    <w:rsid w:val="32880B1E"/>
    <w:rsid w:val="32BB5035"/>
    <w:rsid w:val="32CB413A"/>
    <w:rsid w:val="32EB2FB9"/>
    <w:rsid w:val="32EC51EE"/>
    <w:rsid w:val="32FA2C3A"/>
    <w:rsid w:val="32FE5185"/>
    <w:rsid w:val="331548DE"/>
    <w:rsid w:val="3317670F"/>
    <w:rsid w:val="33266952"/>
    <w:rsid w:val="33323549"/>
    <w:rsid w:val="334620AA"/>
    <w:rsid w:val="335C6818"/>
    <w:rsid w:val="3381627F"/>
    <w:rsid w:val="338203EF"/>
    <w:rsid w:val="33925D96"/>
    <w:rsid w:val="33B51A8F"/>
    <w:rsid w:val="33C53BA1"/>
    <w:rsid w:val="33CB4C2F"/>
    <w:rsid w:val="33E4470D"/>
    <w:rsid w:val="33E97DB1"/>
    <w:rsid w:val="33ED121E"/>
    <w:rsid w:val="33F21E25"/>
    <w:rsid w:val="33FA50F2"/>
    <w:rsid w:val="342A738B"/>
    <w:rsid w:val="342B2C5D"/>
    <w:rsid w:val="343C0327"/>
    <w:rsid w:val="345B6845"/>
    <w:rsid w:val="34666AFC"/>
    <w:rsid w:val="34865E11"/>
    <w:rsid w:val="34897199"/>
    <w:rsid w:val="348F22D5"/>
    <w:rsid w:val="34AE3328"/>
    <w:rsid w:val="34B51AED"/>
    <w:rsid w:val="34BB5894"/>
    <w:rsid w:val="34C03EC9"/>
    <w:rsid w:val="34E85FA8"/>
    <w:rsid w:val="34FB3538"/>
    <w:rsid w:val="35024B1C"/>
    <w:rsid w:val="35373099"/>
    <w:rsid w:val="35374E47"/>
    <w:rsid w:val="35382942"/>
    <w:rsid w:val="353D7F83"/>
    <w:rsid w:val="354C5A21"/>
    <w:rsid w:val="35571045"/>
    <w:rsid w:val="3558300F"/>
    <w:rsid w:val="355F2CCD"/>
    <w:rsid w:val="3566572C"/>
    <w:rsid w:val="35750EB3"/>
    <w:rsid w:val="357E2A76"/>
    <w:rsid w:val="3590706C"/>
    <w:rsid w:val="35A818A1"/>
    <w:rsid w:val="35C91817"/>
    <w:rsid w:val="35F04FF6"/>
    <w:rsid w:val="362D1DA6"/>
    <w:rsid w:val="36343134"/>
    <w:rsid w:val="364D2448"/>
    <w:rsid w:val="36557DE0"/>
    <w:rsid w:val="366154C5"/>
    <w:rsid w:val="366E6BD7"/>
    <w:rsid w:val="367203CE"/>
    <w:rsid w:val="36825355"/>
    <w:rsid w:val="368670CA"/>
    <w:rsid w:val="36AD2EE7"/>
    <w:rsid w:val="36B10C29"/>
    <w:rsid w:val="36B67FED"/>
    <w:rsid w:val="36B874EF"/>
    <w:rsid w:val="36CC7811"/>
    <w:rsid w:val="36D37B02"/>
    <w:rsid w:val="370519A9"/>
    <w:rsid w:val="37144D14"/>
    <w:rsid w:val="37226102"/>
    <w:rsid w:val="37246F21"/>
    <w:rsid w:val="37294C63"/>
    <w:rsid w:val="3733381C"/>
    <w:rsid w:val="3749673C"/>
    <w:rsid w:val="3751701C"/>
    <w:rsid w:val="376552B2"/>
    <w:rsid w:val="377A101B"/>
    <w:rsid w:val="37A54B90"/>
    <w:rsid w:val="37A97B52"/>
    <w:rsid w:val="37AB38CA"/>
    <w:rsid w:val="37D37248"/>
    <w:rsid w:val="37D56B99"/>
    <w:rsid w:val="37EA2F93"/>
    <w:rsid w:val="380D00E1"/>
    <w:rsid w:val="38147BAD"/>
    <w:rsid w:val="381C20D2"/>
    <w:rsid w:val="383D2784"/>
    <w:rsid w:val="385E093C"/>
    <w:rsid w:val="387951E6"/>
    <w:rsid w:val="387A58E0"/>
    <w:rsid w:val="389205E6"/>
    <w:rsid w:val="38AC3DFC"/>
    <w:rsid w:val="38B90269"/>
    <w:rsid w:val="38BA02FB"/>
    <w:rsid w:val="38C21CD3"/>
    <w:rsid w:val="39000DBC"/>
    <w:rsid w:val="39015392"/>
    <w:rsid w:val="3928606A"/>
    <w:rsid w:val="3929250D"/>
    <w:rsid w:val="3930052B"/>
    <w:rsid w:val="393E57E7"/>
    <w:rsid w:val="39534219"/>
    <w:rsid w:val="39914AA0"/>
    <w:rsid w:val="39B32934"/>
    <w:rsid w:val="39B33228"/>
    <w:rsid w:val="39BB6131"/>
    <w:rsid w:val="39CE039C"/>
    <w:rsid w:val="39EB26A4"/>
    <w:rsid w:val="39ED320C"/>
    <w:rsid w:val="39F350B4"/>
    <w:rsid w:val="3A076F0D"/>
    <w:rsid w:val="3A0850FE"/>
    <w:rsid w:val="3A0A356D"/>
    <w:rsid w:val="3A176FF5"/>
    <w:rsid w:val="3A2275D2"/>
    <w:rsid w:val="3A3E08B6"/>
    <w:rsid w:val="3A5E1852"/>
    <w:rsid w:val="3A717D75"/>
    <w:rsid w:val="3A8303D3"/>
    <w:rsid w:val="3A9A6FBB"/>
    <w:rsid w:val="3A9C74FA"/>
    <w:rsid w:val="3AA54601"/>
    <w:rsid w:val="3AAC0AC2"/>
    <w:rsid w:val="3AAD6319"/>
    <w:rsid w:val="3AFE338B"/>
    <w:rsid w:val="3B032B60"/>
    <w:rsid w:val="3B1D089D"/>
    <w:rsid w:val="3B1D2C50"/>
    <w:rsid w:val="3B2133EF"/>
    <w:rsid w:val="3B217993"/>
    <w:rsid w:val="3B37429D"/>
    <w:rsid w:val="3B581673"/>
    <w:rsid w:val="3B7F2727"/>
    <w:rsid w:val="3B844B5E"/>
    <w:rsid w:val="3B8E3B7A"/>
    <w:rsid w:val="3B9627AA"/>
    <w:rsid w:val="3BE178BA"/>
    <w:rsid w:val="3C042D8C"/>
    <w:rsid w:val="3C19087E"/>
    <w:rsid w:val="3C3A346E"/>
    <w:rsid w:val="3C6415B0"/>
    <w:rsid w:val="3CF8135F"/>
    <w:rsid w:val="3D014B96"/>
    <w:rsid w:val="3D1B504E"/>
    <w:rsid w:val="3D1D4584"/>
    <w:rsid w:val="3D597924"/>
    <w:rsid w:val="3D627CB3"/>
    <w:rsid w:val="3D6F0EF6"/>
    <w:rsid w:val="3D7309E6"/>
    <w:rsid w:val="3D772F97"/>
    <w:rsid w:val="3DBF5AF1"/>
    <w:rsid w:val="3DDF7E2A"/>
    <w:rsid w:val="3DE3521F"/>
    <w:rsid w:val="3DF24001"/>
    <w:rsid w:val="3E033172"/>
    <w:rsid w:val="3E3A07E0"/>
    <w:rsid w:val="3E3E1FAF"/>
    <w:rsid w:val="3E404F7C"/>
    <w:rsid w:val="3E663482"/>
    <w:rsid w:val="3E726EF0"/>
    <w:rsid w:val="3E73010A"/>
    <w:rsid w:val="3E75253C"/>
    <w:rsid w:val="3E840D20"/>
    <w:rsid w:val="3E8427D7"/>
    <w:rsid w:val="3E9A0970"/>
    <w:rsid w:val="3EA352FB"/>
    <w:rsid w:val="3EA80B63"/>
    <w:rsid w:val="3EBC2C9C"/>
    <w:rsid w:val="3EF618CF"/>
    <w:rsid w:val="3F0A537A"/>
    <w:rsid w:val="3F201D65"/>
    <w:rsid w:val="3F5F2621"/>
    <w:rsid w:val="3F745E52"/>
    <w:rsid w:val="3F7647BE"/>
    <w:rsid w:val="3F794C5E"/>
    <w:rsid w:val="3F8844F1"/>
    <w:rsid w:val="3F935129"/>
    <w:rsid w:val="3FA05CDE"/>
    <w:rsid w:val="3FA34DD2"/>
    <w:rsid w:val="3FAC4683"/>
    <w:rsid w:val="3FE643D6"/>
    <w:rsid w:val="3FEC0081"/>
    <w:rsid w:val="40030C42"/>
    <w:rsid w:val="401365BF"/>
    <w:rsid w:val="401E438F"/>
    <w:rsid w:val="4023022C"/>
    <w:rsid w:val="402B55A8"/>
    <w:rsid w:val="40464190"/>
    <w:rsid w:val="40835C11"/>
    <w:rsid w:val="40856FC5"/>
    <w:rsid w:val="409D5D7A"/>
    <w:rsid w:val="40B76E3C"/>
    <w:rsid w:val="40CA3013"/>
    <w:rsid w:val="40D519B8"/>
    <w:rsid w:val="41207B37"/>
    <w:rsid w:val="41412BA9"/>
    <w:rsid w:val="414C3A28"/>
    <w:rsid w:val="414F3518"/>
    <w:rsid w:val="415428DD"/>
    <w:rsid w:val="415B3C6B"/>
    <w:rsid w:val="416D399E"/>
    <w:rsid w:val="41913B31"/>
    <w:rsid w:val="41962EF5"/>
    <w:rsid w:val="41EC107D"/>
    <w:rsid w:val="41F978EA"/>
    <w:rsid w:val="41FA5FDC"/>
    <w:rsid w:val="42085E1F"/>
    <w:rsid w:val="42156510"/>
    <w:rsid w:val="423E0A0A"/>
    <w:rsid w:val="4247631E"/>
    <w:rsid w:val="42674891"/>
    <w:rsid w:val="42995928"/>
    <w:rsid w:val="42A7459C"/>
    <w:rsid w:val="42B765C5"/>
    <w:rsid w:val="42BE45CD"/>
    <w:rsid w:val="42C4363D"/>
    <w:rsid w:val="42C43C59"/>
    <w:rsid w:val="42D27F5D"/>
    <w:rsid w:val="43122A4F"/>
    <w:rsid w:val="431332AD"/>
    <w:rsid w:val="433E3844"/>
    <w:rsid w:val="43762FDE"/>
    <w:rsid w:val="43911BC6"/>
    <w:rsid w:val="43B910CB"/>
    <w:rsid w:val="43BA1153"/>
    <w:rsid w:val="43C00036"/>
    <w:rsid w:val="43CB46B0"/>
    <w:rsid w:val="43CC2BFE"/>
    <w:rsid w:val="43E149BA"/>
    <w:rsid w:val="441E2CB4"/>
    <w:rsid w:val="443864E5"/>
    <w:rsid w:val="444035EC"/>
    <w:rsid w:val="44430947"/>
    <w:rsid w:val="444734DB"/>
    <w:rsid w:val="4476700E"/>
    <w:rsid w:val="44A771C7"/>
    <w:rsid w:val="44B61383"/>
    <w:rsid w:val="44C81F32"/>
    <w:rsid w:val="44E1092B"/>
    <w:rsid w:val="45050ABD"/>
    <w:rsid w:val="450B59A8"/>
    <w:rsid w:val="45237196"/>
    <w:rsid w:val="45336CAD"/>
    <w:rsid w:val="453624B9"/>
    <w:rsid w:val="45432BE4"/>
    <w:rsid w:val="45551365"/>
    <w:rsid w:val="45831B6A"/>
    <w:rsid w:val="45A26912"/>
    <w:rsid w:val="45A56DDB"/>
    <w:rsid w:val="45A81449"/>
    <w:rsid w:val="45CD18F1"/>
    <w:rsid w:val="45ED4C6E"/>
    <w:rsid w:val="45FE4FEE"/>
    <w:rsid w:val="45FE77D7"/>
    <w:rsid w:val="46217054"/>
    <w:rsid w:val="46296318"/>
    <w:rsid w:val="46492C2C"/>
    <w:rsid w:val="46672303"/>
    <w:rsid w:val="466F6E02"/>
    <w:rsid w:val="46A31D1B"/>
    <w:rsid w:val="46CB53EF"/>
    <w:rsid w:val="46D36999"/>
    <w:rsid w:val="46EE5581"/>
    <w:rsid w:val="46FC37FA"/>
    <w:rsid w:val="47213261"/>
    <w:rsid w:val="473528C2"/>
    <w:rsid w:val="47392CA0"/>
    <w:rsid w:val="476E7783"/>
    <w:rsid w:val="47906638"/>
    <w:rsid w:val="47A3215E"/>
    <w:rsid w:val="47AC26EA"/>
    <w:rsid w:val="47C36A0E"/>
    <w:rsid w:val="47D12ED9"/>
    <w:rsid w:val="47D93B3C"/>
    <w:rsid w:val="47E463C2"/>
    <w:rsid w:val="47F00E85"/>
    <w:rsid w:val="47F60B91"/>
    <w:rsid w:val="47FA3F51"/>
    <w:rsid w:val="47FE70DA"/>
    <w:rsid w:val="480A63EB"/>
    <w:rsid w:val="481728B6"/>
    <w:rsid w:val="481B05F8"/>
    <w:rsid w:val="4828061F"/>
    <w:rsid w:val="483D231C"/>
    <w:rsid w:val="485B4F92"/>
    <w:rsid w:val="485E2293"/>
    <w:rsid w:val="486518B6"/>
    <w:rsid w:val="486B52B3"/>
    <w:rsid w:val="486F624E"/>
    <w:rsid w:val="48745380"/>
    <w:rsid w:val="487D4E0F"/>
    <w:rsid w:val="48893129"/>
    <w:rsid w:val="48AA6C93"/>
    <w:rsid w:val="48CB0ECB"/>
    <w:rsid w:val="48E458B4"/>
    <w:rsid w:val="491C63D6"/>
    <w:rsid w:val="49276B29"/>
    <w:rsid w:val="49320D4E"/>
    <w:rsid w:val="493B29B5"/>
    <w:rsid w:val="497954A0"/>
    <w:rsid w:val="497A30FC"/>
    <w:rsid w:val="497D27FB"/>
    <w:rsid w:val="49A16C44"/>
    <w:rsid w:val="49A646F9"/>
    <w:rsid w:val="49B02FC2"/>
    <w:rsid w:val="49E54A1A"/>
    <w:rsid w:val="49E6043C"/>
    <w:rsid w:val="4A064990"/>
    <w:rsid w:val="4A14292E"/>
    <w:rsid w:val="4A214391"/>
    <w:rsid w:val="4A4A0D21"/>
    <w:rsid w:val="4A7933B4"/>
    <w:rsid w:val="4A812A4B"/>
    <w:rsid w:val="4ADA311C"/>
    <w:rsid w:val="4ADC453F"/>
    <w:rsid w:val="4ADF0A51"/>
    <w:rsid w:val="4AE3590F"/>
    <w:rsid w:val="4B0C247A"/>
    <w:rsid w:val="4B0F3F87"/>
    <w:rsid w:val="4B28079C"/>
    <w:rsid w:val="4B3E5B32"/>
    <w:rsid w:val="4B4F5A9A"/>
    <w:rsid w:val="4B6F6C84"/>
    <w:rsid w:val="4B736B57"/>
    <w:rsid w:val="4B8E10E1"/>
    <w:rsid w:val="4BA07381"/>
    <w:rsid w:val="4BB171F6"/>
    <w:rsid w:val="4BD9235C"/>
    <w:rsid w:val="4BDB2578"/>
    <w:rsid w:val="4BDF36EB"/>
    <w:rsid w:val="4BE810FC"/>
    <w:rsid w:val="4BED4059"/>
    <w:rsid w:val="4BFC429C"/>
    <w:rsid w:val="4C0118B3"/>
    <w:rsid w:val="4C06511B"/>
    <w:rsid w:val="4C144DCD"/>
    <w:rsid w:val="4C196BFC"/>
    <w:rsid w:val="4C547C35"/>
    <w:rsid w:val="4C9B1D07"/>
    <w:rsid w:val="4CC90623"/>
    <w:rsid w:val="4CEF795D"/>
    <w:rsid w:val="4CF11927"/>
    <w:rsid w:val="4D0273C0"/>
    <w:rsid w:val="4D186EB4"/>
    <w:rsid w:val="4D4C4DB0"/>
    <w:rsid w:val="4D626381"/>
    <w:rsid w:val="4D6F2A56"/>
    <w:rsid w:val="4D6F2A67"/>
    <w:rsid w:val="4D79622E"/>
    <w:rsid w:val="4DD728CB"/>
    <w:rsid w:val="4DE5442E"/>
    <w:rsid w:val="4E1F66F6"/>
    <w:rsid w:val="4E241889"/>
    <w:rsid w:val="4E336021"/>
    <w:rsid w:val="4E711F17"/>
    <w:rsid w:val="4E713B4F"/>
    <w:rsid w:val="4E7E2E20"/>
    <w:rsid w:val="4E9904C8"/>
    <w:rsid w:val="4E992277"/>
    <w:rsid w:val="4EB8151C"/>
    <w:rsid w:val="4EBF7F7F"/>
    <w:rsid w:val="4EEF1E97"/>
    <w:rsid w:val="4EFD32F1"/>
    <w:rsid w:val="4F02315E"/>
    <w:rsid w:val="4F292EA2"/>
    <w:rsid w:val="4F295AEE"/>
    <w:rsid w:val="4F2E3FC6"/>
    <w:rsid w:val="4F351F9F"/>
    <w:rsid w:val="4F371A84"/>
    <w:rsid w:val="4F376CC1"/>
    <w:rsid w:val="4F50502B"/>
    <w:rsid w:val="4F587A3C"/>
    <w:rsid w:val="4F6B59C1"/>
    <w:rsid w:val="4F8E493C"/>
    <w:rsid w:val="4FA35F50"/>
    <w:rsid w:val="4FA445E2"/>
    <w:rsid w:val="4FA9329B"/>
    <w:rsid w:val="4FAC4C70"/>
    <w:rsid w:val="4FD83D1C"/>
    <w:rsid w:val="4FDE3AB9"/>
    <w:rsid w:val="50051AEF"/>
    <w:rsid w:val="500A6243"/>
    <w:rsid w:val="5019366F"/>
    <w:rsid w:val="502C08C2"/>
    <w:rsid w:val="502F0608"/>
    <w:rsid w:val="50483F54"/>
    <w:rsid w:val="505205C4"/>
    <w:rsid w:val="50574197"/>
    <w:rsid w:val="507D4340"/>
    <w:rsid w:val="50836D3A"/>
    <w:rsid w:val="50CC23D3"/>
    <w:rsid w:val="50D47363"/>
    <w:rsid w:val="50E60CA6"/>
    <w:rsid w:val="50E83041"/>
    <w:rsid w:val="50F25C6E"/>
    <w:rsid w:val="514021AB"/>
    <w:rsid w:val="51514E95"/>
    <w:rsid w:val="51586419"/>
    <w:rsid w:val="51852020"/>
    <w:rsid w:val="51A94C73"/>
    <w:rsid w:val="51AA02F7"/>
    <w:rsid w:val="51B82A14"/>
    <w:rsid w:val="51D7565F"/>
    <w:rsid w:val="51F11C34"/>
    <w:rsid w:val="51F55A16"/>
    <w:rsid w:val="52081BED"/>
    <w:rsid w:val="523C1194"/>
    <w:rsid w:val="525C5A95"/>
    <w:rsid w:val="52727AEE"/>
    <w:rsid w:val="52851B3B"/>
    <w:rsid w:val="528C65B7"/>
    <w:rsid w:val="52923265"/>
    <w:rsid w:val="529F6FE1"/>
    <w:rsid w:val="52A54EF9"/>
    <w:rsid w:val="52B24867"/>
    <w:rsid w:val="52CE4E90"/>
    <w:rsid w:val="52D7511B"/>
    <w:rsid w:val="530103EA"/>
    <w:rsid w:val="530F2B07"/>
    <w:rsid w:val="531E39CD"/>
    <w:rsid w:val="532F72A0"/>
    <w:rsid w:val="533953B9"/>
    <w:rsid w:val="5340253A"/>
    <w:rsid w:val="53407165"/>
    <w:rsid w:val="536A2433"/>
    <w:rsid w:val="538C2FA4"/>
    <w:rsid w:val="5394218A"/>
    <w:rsid w:val="53A72D40"/>
    <w:rsid w:val="53A815DD"/>
    <w:rsid w:val="53AE2320"/>
    <w:rsid w:val="53C102A5"/>
    <w:rsid w:val="53D32FE0"/>
    <w:rsid w:val="53EE4E13"/>
    <w:rsid w:val="546926EB"/>
    <w:rsid w:val="547846DC"/>
    <w:rsid w:val="547B3FFD"/>
    <w:rsid w:val="5486329D"/>
    <w:rsid w:val="55052414"/>
    <w:rsid w:val="552F223C"/>
    <w:rsid w:val="555111B5"/>
    <w:rsid w:val="55627866"/>
    <w:rsid w:val="55645F42"/>
    <w:rsid w:val="55774994"/>
    <w:rsid w:val="55C0458D"/>
    <w:rsid w:val="55D72065"/>
    <w:rsid w:val="55E942F8"/>
    <w:rsid w:val="55F566B3"/>
    <w:rsid w:val="562763BA"/>
    <w:rsid w:val="563665FD"/>
    <w:rsid w:val="563F05D9"/>
    <w:rsid w:val="56660C90"/>
    <w:rsid w:val="5679005C"/>
    <w:rsid w:val="567C4958"/>
    <w:rsid w:val="567F61F6"/>
    <w:rsid w:val="56813DE2"/>
    <w:rsid w:val="56837A94"/>
    <w:rsid w:val="56855E4A"/>
    <w:rsid w:val="568630E0"/>
    <w:rsid w:val="568A543B"/>
    <w:rsid w:val="568C76D1"/>
    <w:rsid w:val="569C3177"/>
    <w:rsid w:val="56A03A70"/>
    <w:rsid w:val="56BC6B02"/>
    <w:rsid w:val="56CB31E9"/>
    <w:rsid w:val="56EF7934"/>
    <w:rsid w:val="573A1F66"/>
    <w:rsid w:val="57715B3F"/>
    <w:rsid w:val="57776D2E"/>
    <w:rsid w:val="579161E1"/>
    <w:rsid w:val="579C51F7"/>
    <w:rsid w:val="57A646D9"/>
    <w:rsid w:val="57B11DB9"/>
    <w:rsid w:val="57B40121"/>
    <w:rsid w:val="57D91936"/>
    <w:rsid w:val="57E8410D"/>
    <w:rsid w:val="57F237C5"/>
    <w:rsid w:val="580544D9"/>
    <w:rsid w:val="58160494"/>
    <w:rsid w:val="581D3817"/>
    <w:rsid w:val="5820425A"/>
    <w:rsid w:val="583E150B"/>
    <w:rsid w:val="58727DC0"/>
    <w:rsid w:val="588F6556"/>
    <w:rsid w:val="589E5E08"/>
    <w:rsid w:val="58AC2BA6"/>
    <w:rsid w:val="58B8779D"/>
    <w:rsid w:val="58CC2424"/>
    <w:rsid w:val="58DA3BB7"/>
    <w:rsid w:val="58DD50E2"/>
    <w:rsid w:val="59004AD6"/>
    <w:rsid w:val="59091DA7"/>
    <w:rsid w:val="59A044B9"/>
    <w:rsid w:val="59AB4517"/>
    <w:rsid w:val="59B83EF9"/>
    <w:rsid w:val="59D74137"/>
    <w:rsid w:val="59E2697A"/>
    <w:rsid w:val="59E92304"/>
    <w:rsid w:val="59E96E87"/>
    <w:rsid w:val="59F644A5"/>
    <w:rsid w:val="5A1D5E97"/>
    <w:rsid w:val="5A3619F5"/>
    <w:rsid w:val="5A6B79EE"/>
    <w:rsid w:val="5A742F69"/>
    <w:rsid w:val="5A89779B"/>
    <w:rsid w:val="5A974EDF"/>
    <w:rsid w:val="5ACC28C2"/>
    <w:rsid w:val="5AEE26C2"/>
    <w:rsid w:val="5B1D1B6B"/>
    <w:rsid w:val="5B2B06FA"/>
    <w:rsid w:val="5B6746B1"/>
    <w:rsid w:val="5BA76E29"/>
    <w:rsid w:val="5BCE2AEF"/>
    <w:rsid w:val="5C0C0EB5"/>
    <w:rsid w:val="5C2515ED"/>
    <w:rsid w:val="5C3D521B"/>
    <w:rsid w:val="5C5E782B"/>
    <w:rsid w:val="5C606182"/>
    <w:rsid w:val="5C626D14"/>
    <w:rsid w:val="5C700ABB"/>
    <w:rsid w:val="5CB52971"/>
    <w:rsid w:val="5CD7228E"/>
    <w:rsid w:val="5CF36FF6"/>
    <w:rsid w:val="5D021F2C"/>
    <w:rsid w:val="5D201571"/>
    <w:rsid w:val="5D4C4866"/>
    <w:rsid w:val="5D4D11CF"/>
    <w:rsid w:val="5D610403"/>
    <w:rsid w:val="5D992E9E"/>
    <w:rsid w:val="5DD13F06"/>
    <w:rsid w:val="5DDE7CA6"/>
    <w:rsid w:val="5DEA3250"/>
    <w:rsid w:val="5DEC4171"/>
    <w:rsid w:val="5DF94AE0"/>
    <w:rsid w:val="5E111E29"/>
    <w:rsid w:val="5E1C432A"/>
    <w:rsid w:val="5E207DC2"/>
    <w:rsid w:val="5E2A6A47"/>
    <w:rsid w:val="5E44774B"/>
    <w:rsid w:val="5E5808EB"/>
    <w:rsid w:val="5E8E6FD6"/>
    <w:rsid w:val="5EAA5D3D"/>
    <w:rsid w:val="5EE528FE"/>
    <w:rsid w:val="5EF157B7"/>
    <w:rsid w:val="5EFC6636"/>
    <w:rsid w:val="5EFD5959"/>
    <w:rsid w:val="5F08322C"/>
    <w:rsid w:val="5F3B4FD2"/>
    <w:rsid w:val="5F5A335C"/>
    <w:rsid w:val="5F6B6174"/>
    <w:rsid w:val="5F81706A"/>
    <w:rsid w:val="5F82539E"/>
    <w:rsid w:val="5F942D12"/>
    <w:rsid w:val="5FA15417"/>
    <w:rsid w:val="5FB23198"/>
    <w:rsid w:val="5FC452B9"/>
    <w:rsid w:val="5FC56B02"/>
    <w:rsid w:val="5FCB425A"/>
    <w:rsid w:val="5FDD7CD1"/>
    <w:rsid w:val="5FDE2401"/>
    <w:rsid w:val="5FDE3F8D"/>
    <w:rsid w:val="5FF840C4"/>
    <w:rsid w:val="5FFB4966"/>
    <w:rsid w:val="60397415"/>
    <w:rsid w:val="603D5158"/>
    <w:rsid w:val="606A457E"/>
    <w:rsid w:val="606D3691"/>
    <w:rsid w:val="60730B79"/>
    <w:rsid w:val="609E56C7"/>
    <w:rsid w:val="60A07495"/>
    <w:rsid w:val="60BF47C4"/>
    <w:rsid w:val="60CE7B5E"/>
    <w:rsid w:val="60DD2BF7"/>
    <w:rsid w:val="60DD5FF3"/>
    <w:rsid w:val="60F0737E"/>
    <w:rsid w:val="60FD4484"/>
    <w:rsid w:val="61143680"/>
    <w:rsid w:val="61357BDD"/>
    <w:rsid w:val="613A3917"/>
    <w:rsid w:val="61414714"/>
    <w:rsid w:val="61506FE6"/>
    <w:rsid w:val="61687A23"/>
    <w:rsid w:val="61733AD5"/>
    <w:rsid w:val="6180452E"/>
    <w:rsid w:val="61824AEC"/>
    <w:rsid w:val="61944F55"/>
    <w:rsid w:val="61A9517A"/>
    <w:rsid w:val="61B629BC"/>
    <w:rsid w:val="61CE1DDF"/>
    <w:rsid w:val="621C2B4B"/>
    <w:rsid w:val="626F35C2"/>
    <w:rsid w:val="62830E1C"/>
    <w:rsid w:val="62DD22DA"/>
    <w:rsid w:val="62E64F0F"/>
    <w:rsid w:val="62F35FA1"/>
    <w:rsid w:val="62FD7BDB"/>
    <w:rsid w:val="630006BE"/>
    <w:rsid w:val="630E06E5"/>
    <w:rsid w:val="63102B7E"/>
    <w:rsid w:val="632C6AB7"/>
    <w:rsid w:val="63343854"/>
    <w:rsid w:val="63514A76"/>
    <w:rsid w:val="635822A8"/>
    <w:rsid w:val="63715118"/>
    <w:rsid w:val="637349EC"/>
    <w:rsid w:val="637565D4"/>
    <w:rsid w:val="637E2DCE"/>
    <w:rsid w:val="638E1826"/>
    <w:rsid w:val="63BC55AE"/>
    <w:rsid w:val="63C360A6"/>
    <w:rsid w:val="63C46DE2"/>
    <w:rsid w:val="63C64EE6"/>
    <w:rsid w:val="63D6044B"/>
    <w:rsid w:val="64336097"/>
    <w:rsid w:val="64357EF4"/>
    <w:rsid w:val="64384B33"/>
    <w:rsid w:val="64524F4A"/>
    <w:rsid w:val="647157FA"/>
    <w:rsid w:val="647629E6"/>
    <w:rsid w:val="647933CC"/>
    <w:rsid w:val="647A1DAB"/>
    <w:rsid w:val="647C6CC8"/>
    <w:rsid w:val="64872E45"/>
    <w:rsid w:val="648844C8"/>
    <w:rsid w:val="64A21A2D"/>
    <w:rsid w:val="64AA2690"/>
    <w:rsid w:val="64AC28AC"/>
    <w:rsid w:val="64BB44E2"/>
    <w:rsid w:val="64BB6D9B"/>
    <w:rsid w:val="652C1110"/>
    <w:rsid w:val="65311F86"/>
    <w:rsid w:val="653F2FC9"/>
    <w:rsid w:val="655043DA"/>
    <w:rsid w:val="65515DE0"/>
    <w:rsid w:val="65795D5C"/>
    <w:rsid w:val="65847385"/>
    <w:rsid w:val="65887C03"/>
    <w:rsid w:val="65A205BB"/>
    <w:rsid w:val="65AC5032"/>
    <w:rsid w:val="65B60CD6"/>
    <w:rsid w:val="65C47781"/>
    <w:rsid w:val="65CA1663"/>
    <w:rsid w:val="65D40990"/>
    <w:rsid w:val="65F0449C"/>
    <w:rsid w:val="662B7800"/>
    <w:rsid w:val="663963B3"/>
    <w:rsid w:val="6663343E"/>
    <w:rsid w:val="666A1664"/>
    <w:rsid w:val="66855163"/>
    <w:rsid w:val="66AD46B9"/>
    <w:rsid w:val="66AE6FB7"/>
    <w:rsid w:val="66D2608A"/>
    <w:rsid w:val="66E17055"/>
    <w:rsid w:val="66F82677"/>
    <w:rsid w:val="67073DC9"/>
    <w:rsid w:val="67332942"/>
    <w:rsid w:val="6736645D"/>
    <w:rsid w:val="67386679"/>
    <w:rsid w:val="6759214B"/>
    <w:rsid w:val="67637417"/>
    <w:rsid w:val="6773320D"/>
    <w:rsid w:val="678D3FC9"/>
    <w:rsid w:val="67C545F1"/>
    <w:rsid w:val="67D0065F"/>
    <w:rsid w:val="67E22141"/>
    <w:rsid w:val="67E747FB"/>
    <w:rsid w:val="67FD76C1"/>
    <w:rsid w:val="67FE2104"/>
    <w:rsid w:val="68064081"/>
    <w:rsid w:val="680C223F"/>
    <w:rsid w:val="68132BC3"/>
    <w:rsid w:val="682A7CFE"/>
    <w:rsid w:val="682E6AC4"/>
    <w:rsid w:val="6853385D"/>
    <w:rsid w:val="686B1367"/>
    <w:rsid w:val="686B4ECE"/>
    <w:rsid w:val="687A05CB"/>
    <w:rsid w:val="68840BF2"/>
    <w:rsid w:val="688A2FF7"/>
    <w:rsid w:val="688E4077"/>
    <w:rsid w:val="689E7730"/>
    <w:rsid w:val="68A815DC"/>
    <w:rsid w:val="68AF2665"/>
    <w:rsid w:val="68BF2482"/>
    <w:rsid w:val="68E47B11"/>
    <w:rsid w:val="68EC14C9"/>
    <w:rsid w:val="69036813"/>
    <w:rsid w:val="69083E29"/>
    <w:rsid w:val="690A194F"/>
    <w:rsid w:val="69112CDD"/>
    <w:rsid w:val="694806C9"/>
    <w:rsid w:val="69531548"/>
    <w:rsid w:val="696077C1"/>
    <w:rsid w:val="697535F8"/>
    <w:rsid w:val="69956CD6"/>
    <w:rsid w:val="69BE2739"/>
    <w:rsid w:val="69DA7573"/>
    <w:rsid w:val="69FB7AA8"/>
    <w:rsid w:val="6A026ACA"/>
    <w:rsid w:val="6A2353BE"/>
    <w:rsid w:val="6A3A43F7"/>
    <w:rsid w:val="6A415844"/>
    <w:rsid w:val="6A9670A5"/>
    <w:rsid w:val="6A9978C4"/>
    <w:rsid w:val="6A9F72A6"/>
    <w:rsid w:val="6AEB5103"/>
    <w:rsid w:val="6AEC028B"/>
    <w:rsid w:val="6AED777A"/>
    <w:rsid w:val="6AF02DC7"/>
    <w:rsid w:val="6B102E58"/>
    <w:rsid w:val="6B104EE7"/>
    <w:rsid w:val="6B234F4A"/>
    <w:rsid w:val="6B2F7D93"/>
    <w:rsid w:val="6B576BEB"/>
    <w:rsid w:val="6B5B46E4"/>
    <w:rsid w:val="6B8F6814"/>
    <w:rsid w:val="6B9D2F4E"/>
    <w:rsid w:val="6BBB49D8"/>
    <w:rsid w:val="6BCC55E2"/>
    <w:rsid w:val="6BD02668"/>
    <w:rsid w:val="6C105E30"/>
    <w:rsid w:val="6C123478"/>
    <w:rsid w:val="6C134FBF"/>
    <w:rsid w:val="6C3A6DA7"/>
    <w:rsid w:val="6C504FFA"/>
    <w:rsid w:val="6C507FC1"/>
    <w:rsid w:val="6C5B0E67"/>
    <w:rsid w:val="6C663340"/>
    <w:rsid w:val="6C81461E"/>
    <w:rsid w:val="6C904861"/>
    <w:rsid w:val="6C982CC9"/>
    <w:rsid w:val="6CA200F0"/>
    <w:rsid w:val="6CD3284B"/>
    <w:rsid w:val="6CE81422"/>
    <w:rsid w:val="6CF748E0"/>
    <w:rsid w:val="6CF84761"/>
    <w:rsid w:val="6D4050B5"/>
    <w:rsid w:val="6D5931B2"/>
    <w:rsid w:val="6D673F07"/>
    <w:rsid w:val="6D6F091A"/>
    <w:rsid w:val="6D6F45CA"/>
    <w:rsid w:val="6D791D31"/>
    <w:rsid w:val="6D92580E"/>
    <w:rsid w:val="6DD662A4"/>
    <w:rsid w:val="6DDA2238"/>
    <w:rsid w:val="6DF66946"/>
    <w:rsid w:val="6E002F19"/>
    <w:rsid w:val="6E371C03"/>
    <w:rsid w:val="6E867CCA"/>
    <w:rsid w:val="6E886222"/>
    <w:rsid w:val="6E8A0820"/>
    <w:rsid w:val="6E8A1503"/>
    <w:rsid w:val="6EA14B04"/>
    <w:rsid w:val="6EBE7950"/>
    <w:rsid w:val="6ECE341F"/>
    <w:rsid w:val="6ED22F0F"/>
    <w:rsid w:val="6EE51CFE"/>
    <w:rsid w:val="6EF947F6"/>
    <w:rsid w:val="6F133311"/>
    <w:rsid w:val="6F1A6131"/>
    <w:rsid w:val="6F6A33C5"/>
    <w:rsid w:val="6F771D08"/>
    <w:rsid w:val="6F7C10CD"/>
    <w:rsid w:val="6FD20CED"/>
    <w:rsid w:val="6FE12600"/>
    <w:rsid w:val="70352914"/>
    <w:rsid w:val="70473489"/>
    <w:rsid w:val="704A1B36"/>
    <w:rsid w:val="706933FF"/>
    <w:rsid w:val="70862203"/>
    <w:rsid w:val="709470C4"/>
    <w:rsid w:val="70AB7605"/>
    <w:rsid w:val="70BC13D8"/>
    <w:rsid w:val="70DD3DED"/>
    <w:rsid w:val="70DE72DA"/>
    <w:rsid w:val="710F10E3"/>
    <w:rsid w:val="71102DBE"/>
    <w:rsid w:val="711C66C3"/>
    <w:rsid w:val="71257DC2"/>
    <w:rsid w:val="7169742F"/>
    <w:rsid w:val="716E100F"/>
    <w:rsid w:val="71771B4C"/>
    <w:rsid w:val="719170B1"/>
    <w:rsid w:val="71AA6394"/>
    <w:rsid w:val="71C32CFF"/>
    <w:rsid w:val="71DE606F"/>
    <w:rsid w:val="71E11B7A"/>
    <w:rsid w:val="71EC35E7"/>
    <w:rsid w:val="72153EB7"/>
    <w:rsid w:val="722F68CA"/>
    <w:rsid w:val="72323886"/>
    <w:rsid w:val="72412BBE"/>
    <w:rsid w:val="72451D88"/>
    <w:rsid w:val="724C122A"/>
    <w:rsid w:val="72541E8D"/>
    <w:rsid w:val="72557A42"/>
    <w:rsid w:val="725B76BF"/>
    <w:rsid w:val="72754FE2"/>
    <w:rsid w:val="727A7B45"/>
    <w:rsid w:val="727D22A9"/>
    <w:rsid w:val="72813B9A"/>
    <w:rsid w:val="7289154B"/>
    <w:rsid w:val="72DC1391"/>
    <w:rsid w:val="72F62F44"/>
    <w:rsid w:val="72FE3595"/>
    <w:rsid w:val="730D09BA"/>
    <w:rsid w:val="731C29AB"/>
    <w:rsid w:val="731D6723"/>
    <w:rsid w:val="73312E2A"/>
    <w:rsid w:val="73584F97"/>
    <w:rsid w:val="736600CA"/>
    <w:rsid w:val="73820344"/>
    <w:rsid w:val="73BD7CB9"/>
    <w:rsid w:val="73D2575F"/>
    <w:rsid w:val="73EA17D4"/>
    <w:rsid w:val="73EF00BF"/>
    <w:rsid w:val="73EF6311"/>
    <w:rsid w:val="740578E3"/>
    <w:rsid w:val="74066306"/>
    <w:rsid w:val="74081181"/>
    <w:rsid w:val="74281CB7"/>
    <w:rsid w:val="74343D24"/>
    <w:rsid w:val="74387057"/>
    <w:rsid w:val="7467234B"/>
    <w:rsid w:val="74730CF0"/>
    <w:rsid w:val="748968B8"/>
    <w:rsid w:val="749F1AE5"/>
    <w:rsid w:val="74A05A5F"/>
    <w:rsid w:val="74A94712"/>
    <w:rsid w:val="74B60BDD"/>
    <w:rsid w:val="74CF1C9F"/>
    <w:rsid w:val="74E514C2"/>
    <w:rsid w:val="74E90FB2"/>
    <w:rsid w:val="750F68C4"/>
    <w:rsid w:val="752B39AF"/>
    <w:rsid w:val="753F3E5A"/>
    <w:rsid w:val="753F6E24"/>
    <w:rsid w:val="754E0E15"/>
    <w:rsid w:val="75596138"/>
    <w:rsid w:val="75753A4C"/>
    <w:rsid w:val="7583416F"/>
    <w:rsid w:val="759251A6"/>
    <w:rsid w:val="75A1188D"/>
    <w:rsid w:val="75B4357D"/>
    <w:rsid w:val="75C35CA4"/>
    <w:rsid w:val="75ED062E"/>
    <w:rsid w:val="75FA6C20"/>
    <w:rsid w:val="76067942"/>
    <w:rsid w:val="76130AE5"/>
    <w:rsid w:val="762A29A9"/>
    <w:rsid w:val="76493333"/>
    <w:rsid w:val="766A7EC3"/>
    <w:rsid w:val="767D5E56"/>
    <w:rsid w:val="768B600E"/>
    <w:rsid w:val="76DF266D"/>
    <w:rsid w:val="76F65C09"/>
    <w:rsid w:val="770B3462"/>
    <w:rsid w:val="77157517"/>
    <w:rsid w:val="77183DD1"/>
    <w:rsid w:val="77324E93"/>
    <w:rsid w:val="773D21B3"/>
    <w:rsid w:val="776330BD"/>
    <w:rsid w:val="776808B4"/>
    <w:rsid w:val="77693C30"/>
    <w:rsid w:val="777555A5"/>
    <w:rsid w:val="779773CD"/>
    <w:rsid w:val="77A64F39"/>
    <w:rsid w:val="77E13964"/>
    <w:rsid w:val="77EF7591"/>
    <w:rsid w:val="77F9775E"/>
    <w:rsid w:val="77FC2DAB"/>
    <w:rsid w:val="780A4E71"/>
    <w:rsid w:val="78285DCC"/>
    <w:rsid w:val="78395381"/>
    <w:rsid w:val="78470AFB"/>
    <w:rsid w:val="78A36506"/>
    <w:rsid w:val="78A7540C"/>
    <w:rsid w:val="78AC657F"/>
    <w:rsid w:val="78EC2E1F"/>
    <w:rsid w:val="791F31F5"/>
    <w:rsid w:val="79202AC9"/>
    <w:rsid w:val="796F3B6D"/>
    <w:rsid w:val="79701CA2"/>
    <w:rsid w:val="79952EC6"/>
    <w:rsid w:val="799D05BD"/>
    <w:rsid w:val="79A05AEA"/>
    <w:rsid w:val="79B90C7E"/>
    <w:rsid w:val="79C36B97"/>
    <w:rsid w:val="79E54F49"/>
    <w:rsid w:val="79FC3541"/>
    <w:rsid w:val="7A0B5527"/>
    <w:rsid w:val="7A121799"/>
    <w:rsid w:val="7A2D7B93"/>
    <w:rsid w:val="7A401F6B"/>
    <w:rsid w:val="7A4D1FE3"/>
    <w:rsid w:val="7AA42131"/>
    <w:rsid w:val="7AD135E2"/>
    <w:rsid w:val="7AD832F6"/>
    <w:rsid w:val="7AEA0881"/>
    <w:rsid w:val="7AFD57B8"/>
    <w:rsid w:val="7B072192"/>
    <w:rsid w:val="7B171832"/>
    <w:rsid w:val="7B18325B"/>
    <w:rsid w:val="7B187EFC"/>
    <w:rsid w:val="7B3E54A4"/>
    <w:rsid w:val="7B464FD9"/>
    <w:rsid w:val="7B4909FD"/>
    <w:rsid w:val="7B6C46EB"/>
    <w:rsid w:val="7B825AB6"/>
    <w:rsid w:val="7BBC1788"/>
    <w:rsid w:val="7BE966D7"/>
    <w:rsid w:val="7C0D1A2A"/>
    <w:rsid w:val="7C2E4754"/>
    <w:rsid w:val="7C345209"/>
    <w:rsid w:val="7C5036C5"/>
    <w:rsid w:val="7C5E5E52"/>
    <w:rsid w:val="7C6D24C9"/>
    <w:rsid w:val="7C7223C7"/>
    <w:rsid w:val="7C946168"/>
    <w:rsid w:val="7C9E6B26"/>
    <w:rsid w:val="7CC7607D"/>
    <w:rsid w:val="7CE04A49"/>
    <w:rsid w:val="7CE866DE"/>
    <w:rsid w:val="7CEB2ADD"/>
    <w:rsid w:val="7D287743"/>
    <w:rsid w:val="7D3C7D45"/>
    <w:rsid w:val="7D472D1A"/>
    <w:rsid w:val="7D7D0EC6"/>
    <w:rsid w:val="7D80447E"/>
    <w:rsid w:val="7DAA5057"/>
    <w:rsid w:val="7DBD4D8A"/>
    <w:rsid w:val="7DBF0023"/>
    <w:rsid w:val="7DCD391B"/>
    <w:rsid w:val="7DCE343B"/>
    <w:rsid w:val="7DD530D2"/>
    <w:rsid w:val="7DF322F1"/>
    <w:rsid w:val="7E015CAE"/>
    <w:rsid w:val="7E0D5D12"/>
    <w:rsid w:val="7E10135E"/>
    <w:rsid w:val="7E1A55BE"/>
    <w:rsid w:val="7E1B3C0A"/>
    <w:rsid w:val="7E2D4BB1"/>
    <w:rsid w:val="7E5B7281"/>
    <w:rsid w:val="7E8B30DA"/>
    <w:rsid w:val="7EA85A3A"/>
    <w:rsid w:val="7EBA77D8"/>
    <w:rsid w:val="7EC91B47"/>
    <w:rsid w:val="7ECA3C03"/>
    <w:rsid w:val="7F0569E9"/>
    <w:rsid w:val="7F1D01D6"/>
    <w:rsid w:val="7F250E39"/>
    <w:rsid w:val="7F5D5585"/>
    <w:rsid w:val="7F6D27E0"/>
    <w:rsid w:val="7F781543"/>
    <w:rsid w:val="7F8C710A"/>
    <w:rsid w:val="7FB30878"/>
    <w:rsid w:val="7FB977D3"/>
    <w:rsid w:val="7FC24132"/>
    <w:rsid w:val="7FC42328"/>
    <w:rsid w:val="7FD840FD"/>
    <w:rsid w:val="7FF76C79"/>
    <w:rsid w:val="7FFD2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line="576" w:lineRule="auto"/>
      <w:outlineLvl w:val="0"/>
    </w:pPr>
    <w:rPr>
      <w:b/>
      <w:kern w:val="44"/>
      <w:sz w:val="44"/>
    </w:rPr>
  </w:style>
  <w:style w:type="paragraph" w:styleId="4">
    <w:name w:val="heading 2"/>
    <w:basedOn w:val="1"/>
    <w:next w:val="1"/>
    <w:autoRedefine/>
    <w:unhideWhenUsed/>
    <w:qFormat/>
    <w:uiPriority w:val="0"/>
    <w:pPr>
      <w:keepNext/>
      <w:keepLines/>
      <w:spacing w:line="413" w:lineRule="auto"/>
      <w:jc w:val="center"/>
      <w:outlineLvl w:val="1"/>
    </w:pPr>
    <w:rPr>
      <w:rFonts w:ascii="Arial" w:hAnsi="Arial" w:eastAsia="宋体"/>
      <w:b/>
      <w:sz w:val="28"/>
    </w:rPr>
  </w:style>
  <w:style w:type="paragraph" w:styleId="5">
    <w:name w:val="heading 3"/>
    <w:basedOn w:val="1"/>
    <w:next w:val="1"/>
    <w:autoRedefine/>
    <w:unhideWhenUsed/>
    <w:qFormat/>
    <w:uiPriority w:val="0"/>
    <w:pPr>
      <w:keepNext/>
      <w:keepLines/>
      <w:spacing w:line="413" w:lineRule="auto"/>
      <w:outlineLvl w:val="2"/>
    </w:pPr>
    <w:rPr>
      <w:b/>
      <w:sz w:val="24"/>
    </w:rPr>
  </w:style>
  <w:style w:type="paragraph" w:styleId="6">
    <w:name w:val="heading 4"/>
    <w:basedOn w:val="1"/>
    <w:next w:val="1"/>
    <w:autoRedefine/>
    <w:qFormat/>
    <w:uiPriority w:val="0"/>
    <w:pPr>
      <w:keepNext/>
      <w:keepLines/>
      <w:spacing w:before="280" w:beforeLines="0" w:after="290" w:afterLines="0" w:line="372" w:lineRule="auto"/>
      <w:outlineLvl w:val="3"/>
    </w:pPr>
    <w:rPr>
      <w:rFonts w:ascii="Cambria" w:hAnsi="Cambria"/>
      <w:b/>
      <w:bCs/>
      <w:sz w:val="28"/>
      <w:szCs w:val="28"/>
    </w:rPr>
  </w:style>
  <w:style w:type="paragraph" w:styleId="7">
    <w:name w:val="heading 5"/>
    <w:basedOn w:val="1"/>
    <w:next w:val="1"/>
    <w:autoRedefine/>
    <w:qFormat/>
    <w:uiPriority w:val="0"/>
    <w:pPr>
      <w:keepNext/>
      <w:keepLines/>
      <w:spacing w:before="280" w:beforeLines="0" w:after="290" w:afterLines="0" w:line="372" w:lineRule="auto"/>
      <w:outlineLvl w:val="4"/>
    </w:pPr>
    <w:rPr>
      <w:b/>
      <w:bCs/>
      <w:sz w:val="28"/>
      <w:szCs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2">
    <w:name w:val="toc 1"/>
    <w:basedOn w:val="1"/>
    <w:next w:val="1"/>
    <w:autoRedefine/>
    <w:qFormat/>
    <w:uiPriority w:val="0"/>
  </w:style>
  <w:style w:type="paragraph" w:styleId="9">
    <w:name w:val="annotation text"/>
    <w:basedOn w:val="1"/>
    <w:autoRedefine/>
    <w:qFormat/>
    <w:uiPriority w:val="0"/>
    <w:pPr>
      <w:jc w:val="left"/>
    </w:pPr>
  </w:style>
  <w:style w:type="paragraph" w:styleId="10">
    <w:name w:val="Body Text"/>
    <w:basedOn w:val="1"/>
    <w:autoRedefine/>
    <w:unhideWhenUsed/>
    <w:qFormat/>
    <w:uiPriority w:val="99"/>
    <w:pPr>
      <w:spacing w:after="120"/>
    </w:pPr>
  </w:style>
  <w:style w:type="paragraph" w:styleId="11">
    <w:name w:val="Body Text Indent"/>
    <w:basedOn w:val="1"/>
    <w:next w:val="1"/>
    <w:autoRedefine/>
    <w:unhideWhenUsed/>
    <w:qFormat/>
    <w:uiPriority w:val="99"/>
    <w:pPr>
      <w:spacing w:after="120"/>
      <w:ind w:left="420" w:leftChars="200"/>
    </w:pPr>
  </w:style>
  <w:style w:type="paragraph" w:styleId="12">
    <w:name w:val="toc 3"/>
    <w:basedOn w:val="1"/>
    <w:next w:val="1"/>
    <w:autoRedefine/>
    <w:qFormat/>
    <w:uiPriority w:val="0"/>
    <w:pPr>
      <w:ind w:left="840" w:leftChars="400"/>
    </w:pPr>
  </w:style>
  <w:style w:type="paragraph" w:styleId="13">
    <w:name w:val="Balloon Text"/>
    <w:basedOn w:val="1"/>
    <w:link w:val="57"/>
    <w:autoRedefine/>
    <w:qFormat/>
    <w:uiPriority w:val="0"/>
    <w:rPr>
      <w:sz w:val="18"/>
      <w:szCs w:val="18"/>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4"/>
    <w:basedOn w:val="1"/>
    <w:next w:val="1"/>
    <w:autoRedefine/>
    <w:qFormat/>
    <w:uiPriority w:val="0"/>
    <w:pPr>
      <w:ind w:left="1260" w:leftChars="600"/>
    </w:pPr>
  </w:style>
  <w:style w:type="paragraph" w:styleId="17">
    <w:name w:val="toc 2"/>
    <w:basedOn w:val="1"/>
    <w:next w:val="1"/>
    <w:autoRedefine/>
    <w:qFormat/>
    <w:uiPriority w:val="0"/>
    <w:pPr>
      <w:ind w:left="420" w:leftChars="200"/>
    </w:pPr>
  </w:style>
  <w:style w:type="paragraph" w:styleId="18">
    <w:name w:val="HTML Preformatted"/>
    <w:basedOn w:val="1"/>
    <w:next w:val="1"/>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9">
    <w:name w:val="Normal (Web)"/>
    <w:basedOn w:val="1"/>
    <w:autoRedefine/>
    <w:qFormat/>
    <w:uiPriority w:val="0"/>
    <w:pPr>
      <w:spacing w:beforeAutospacing="1" w:afterAutospacing="1"/>
      <w:jc w:val="left"/>
    </w:pPr>
    <w:rPr>
      <w:rFonts w:cs="Times New Roman"/>
      <w:kern w:val="0"/>
      <w:sz w:val="24"/>
    </w:rPr>
  </w:style>
  <w:style w:type="paragraph" w:styleId="20">
    <w:name w:val="Body Text First Indent"/>
    <w:basedOn w:val="10"/>
    <w:next w:val="1"/>
    <w:autoRedefine/>
    <w:qFormat/>
    <w:uiPriority w:val="0"/>
    <w:pPr>
      <w:ind w:firstLine="420" w:firstLineChars="100"/>
    </w:pPr>
  </w:style>
  <w:style w:type="paragraph" w:styleId="21">
    <w:name w:val="Body Text First Indent 2"/>
    <w:basedOn w:val="11"/>
    <w:next w:val="1"/>
    <w:autoRedefine/>
    <w:qFormat/>
    <w:uiPriority w:val="0"/>
    <w:pPr>
      <w:ind w:firstLine="420" w:firstLineChars="200"/>
    </w:pPr>
    <w:rPr>
      <w:rFonts w:ascii="Times New Roman" w:hAnsi="Times New Roman" w:eastAsia="仿宋_GB2312" w:cs="Times New Roman"/>
      <w:sz w:val="32"/>
      <w:szCs w:val="22"/>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rPr>
      <w:b/>
    </w:rPr>
  </w:style>
  <w:style w:type="character" w:styleId="26">
    <w:name w:val="FollowedHyperlink"/>
    <w:basedOn w:val="24"/>
    <w:autoRedefine/>
    <w:qFormat/>
    <w:uiPriority w:val="0"/>
    <w:rPr>
      <w:color w:val="000000"/>
      <w:u w:val="none"/>
    </w:rPr>
  </w:style>
  <w:style w:type="character" w:styleId="27">
    <w:name w:val="Hyperlink"/>
    <w:basedOn w:val="24"/>
    <w:autoRedefine/>
    <w:qFormat/>
    <w:uiPriority w:val="0"/>
    <w:rPr>
      <w:color w:val="000000"/>
      <w:u w:val="none"/>
    </w:rPr>
  </w:style>
  <w:style w:type="character" w:styleId="28">
    <w:name w:val="HTML Cite"/>
    <w:basedOn w:val="24"/>
    <w:autoRedefine/>
    <w:qFormat/>
    <w:uiPriority w:val="0"/>
  </w:style>
  <w:style w:type="paragraph" w:customStyle="1" w:styleId="29">
    <w:name w:val="标题 5（有编号）（绿盟科技）"/>
    <w:basedOn w:val="1"/>
    <w:next w:val="30"/>
    <w:autoRedefine/>
    <w:qFormat/>
    <w:uiPriority w:val="0"/>
    <w:pPr>
      <w:keepNext/>
      <w:keepLines/>
      <w:numPr>
        <w:ilvl w:val="4"/>
        <w:numId w:val="1"/>
      </w:numPr>
      <w:spacing w:before="280" w:after="156" w:line="377" w:lineRule="auto"/>
      <w:outlineLvl w:val="4"/>
    </w:pPr>
    <w:rPr>
      <w:rFonts w:eastAsia="黑体"/>
      <w:b/>
      <w:szCs w:val="28"/>
    </w:rPr>
  </w:style>
  <w:style w:type="paragraph" w:customStyle="1" w:styleId="30">
    <w:name w:val="正文（绿盟科技）"/>
    <w:next w:val="29"/>
    <w:autoRedefine/>
    <w:qFormat/>
    <w:uiPriority w:val="0"/>
    <w:pPr>
      <w:spacing w:line="300" w:lineRule="auto"/>
    </w:pPr>
    <w:rPr>
      <w:rFonts w:ascii="Times New Roman" w:hAnsi="Times New Roman" w:eastAsia="宋体" w:cs="黑体"/>
      <w:sz w:val="21"/>
      <w:szCs w:val="21"/>
      <w:lang w:val="en-US" w:eastAsia="zh-CN" w:bidi="ar-SA"/>
    </w:rPr>
  </w:style>
  <w:style w:type="paragraph" w:customStyle="1" w:styleId="31">
    <w:name w:val="一级条标题"/>
    <w:basedOn w:val="32"/>
    <w:next w:val="33"/>
    <w:autoRedefine/>
    <w:qFormat/>
    <w:uiPriority w:val="0"/>
    <w:pPr>
      <w:spacing w:line="240" w:lineRule="auto"/>
      <w:ind w:left="420"/>
      <w:outlineLvl w:val="2"/>
    </w:pPr>
  </w:style>
  <w:style w:type="paragraph" w:customStyle="1" w:styleId="32">
    <w:name w:val="章标题"/>
    <w:next w:val="1"/>
    <w:autoRedefine/>
    <w:qFormat/>
    <w:uiPriority w:val="0"/>
    <w:pPr>
      <w:spacing w:line="360" w:lineRule="auto"/>
      <w:jc w:val="both"/>
      <w:outlineLvl w:val="1"/>
    </w:pPr>
    <w:rPr>
      <w:rFonts w:ascii="黑体" w:hAnsi="Calibri" w:eastAsia="黑体" w:cs="黑体"/>
      <w:sz w:val="21"/>
      <w:szCs w:val="21"/>
      <w:lang w:val="en-US" w:eastAsia="zh-CN" w:bidi="ar-SA"/>
    </w:rPr>
  </w:style>
  <w:style w:type="paragraph" w:customStyle="1" w:styleId="33">
    <w:name w:val="段"/>
    <w:next w:val="1"/>
    <w:autoRedefine/>
    <w:qFormat/>
    <w:uiPriority w:val="0"/>
    <w:pPr>
      <w:autoSpaceDE w:val="0"/>
      <w:autoSpaceDN w:val="0"/>
      <w:ind w:firstLine="200" w:firstLineChars="200"/>
      <w:jc w:val="both"/>
    </w:pPr>
    <w:rPr>
      <w:rFonts w:ascii="宋体" w:hAnsi="Calibri" w:eastAsia="宋体" w:cs="宋体"/>
      <w:sz w:val="21"/>
      <w:szCs w:val="21"/>
      <w:lang w:val="en-US" w:eastAsia="zh-CN" w:bidi="ar-SA"/>
    </w:rPr>
  </w:style>
  <w:style w:type="paragraph" w:customStyle="1" w:styleId="34">
    <w:name w:val="Heading #2|1"/>
    <w:basedOn w:val="1"/>
    <w:autoRedefine/>
    <w:qFormat/>
    <w:uiPriority w:val="0"/>
    <w:pPr>
      <w:spacing w:before="600" w:after="500"/>
      <w:jc w:val="center"/>
      <w:outlineLvl w:val="1"/>
    </w:pPr>
    <w:rPr>
      <w:rFonts w:ascii="宋体" w:hAnsi="宋体" w:eastAsia="宋体" w:cs="宋体"/>
      <w:sz w:val="32"/>
      <w:szCs w:val="32"/>
      <w:lang w:val="zh-TW" w:eastAsia="zh-TW" w:bidi="zh-TW"/>
    </w:rPr>
  </w:style>
  <w:style w:type="paragraph" w:customStyle="1" w:styleId="35">
    <w:name w:val="Other|1"/>
    <w:basedOn w:val="1"/>
    <w:autoRedefine/>
    <w:qFormat/>
    <w:uiPriority w:val="0"/>
    <w:pPr>
      <w:spacing w:line="334" w:lineRule="auto"/>
    </w:pPr>
    <w:rPr>
      <w:rFonts w:ascii="宋体" w:hAnsi="宋体" w:eastAsia="宋体" w:cs="宋体"/>
      <w:lang w:val="zh-TW" w:eastAsia="zh-TW" w:bidi="zh-TW"/>
    </w:rPr>
  </w:style>
  <w:style w:type="paragraph" w:customStyle="1" w:styleId="36">
    <w:name w:val="Header or footer|1"/>
    <w:basedOn w:val="1"/>
    <w:autoRedefine/>
    <w:qFormat/>
    <w:uiPriority w:val="0"/>
    <w:rPr>
      <w:lang w:val="zh-TW" w:eastAsia="zh-TW" w:bidi="zh-TW"/>
    </w:rPr>
  </w:style>
  <w:style w:type="paragraph" w:customStyle="1" w:styleId="37">
    <w:name w:val="Table caption|1"/>
    <w:basedOn w:val="1"/>
    <w:autoRedefine/>
    <w:qFormat/>
    <w:uiPriority w:val="0"/>
    <w:pPr>
      <w:jc w:val="center"/>
    </w:pPr>
    <w:rPr>
      <w:rFonts w:ascii="宋体" w:hAnsi="宋体" w:eastAsia="宋体" w:cs="宋体"/>
      <w:b/>
      <w:bCs/>
      <w:sz w:val="20"/>
      <w:szCs w:val="20"/>
      <w:lang w:val="zh-TW" w:eastAsia="zh-TW" w:bidi="zh-TW"/>
    </w:rPr>
  </w:style>
  <w:style w:type="paragraph" w:customStyle="1" w:styleId="38">
    <w:name w:val="Heading #3|1"/>
    <w:basedOn w:val="1"/>
    <w:autoRedefine/>
    <w:qFormat/>
    <w:uiPriority w:val="0"/>
    <w:pPr>
      <w:spacing w:after="160"/>
      <w:outlineLvl w:val="2"/>
    </w:pPr>
    <w:rPr>
      <w:rFonts w:ascii="宋体" w:hAnsi="宋体" w:eastAsia="宋体" w:cs="宋体"/>
      <w:sz w:val="26"/>
      <w:szCs w:val="26"/>
      <w:lang w:val="zh-TW" w:eastAsia="zh-TW" w:bidi="zh-TW"/>
    </w:rPr>
  </w:style>
  <w:style w:type="paragraph" w:customStyle="1" w:styleId="39">
    <w:name w:val="Body text|1"/>
    <w:basedOn w:val="1"/>
    <w:autoRedefine/>
    <w:qFormat/>
    <w:uiPriority w:val="0"/>
    <w:pPr>
      <w:spacing w:line="334" w:lineRule="auto"/>
    </w:pPr>
    <w:rPr>
      <w:rFonts w:ascii="宋体" w:hAnsi="宋体" w:eastAsia="宋体" w:cs="宋体"/>
      <w:lang w:val="zh-TW" w:eastAsia="zh-TW" w:bidi="zh-TW"/>
    </w:rPr>
  </w:style>
  <w:style w:type="paragraph" w:customStyle="1" w:styleId="40">
    <w:name w:val="Body text|2"/>
    <w:basedOn w:val="1"/>
    <w:autoRedefine/>
    <w:qFormat/>
    <w:uiPriority w:val="0"/>
    <w:pPr>
      <w:spacing w:after="130" w:line="307" w:lineRule="exact"/>
      <w:ind w:firstLine="470"/>
    </w:pPr>
    <w:rPr>
      <w:rFonts w:ascii="宋体" w:hAnsi="宋体" w:eastAsia="宋体" w:cs="宋体"/>
      <w:sz w:val="18"/>
      <w:szCs w:val="18"/>
      <w:lang w:val="zh-TW" w:eastAsia="zh-TW" w:bidi="zh-TW"/>
    </w:rPr>
  </w:style>
  <w:style w:type="paragraph" w:customStyle="1" w:styleId="41">
    <w:name w:val="Heading #4|1"/>
    <w:basedOn w:val="1"/>
    <w:autoRedefine/>
    <w:qFormat/>
    <w:uiPriority w:val="0"/>
    <w:pPr>
      <w:spacing w:after="570"/>
      <w:jc w:val="center"/>
      <w:outlineLvl w:val="3"/>
    </w:pPr>
    <w:rPr>
      <w:rFonts w:ascii="宋体" w:hAnsi="宋体" w:eastAsia="宋体" w:cs="宋体"/>
      <w:sz w:val="32"/>
      <w:szCs w:val="32"/>
      <w:lang w:val="zh-TW" w:eastAsia="zh-TW" w:bidi="zh-TW"/>
    </w:rPr>
  </w:style>
  <w:style w:type="paragraph" w:customStyle="1" w:styleId="42">
    <w:name w:val="Body text|3"/>
    <w:basedOn w:val="1"/>
    <w:autoRedefine/>
    <w:qFormat/>
    <w:uiPriority w:val="0"/>
    <w:pPr>
      <w:spacing w:after="230"/>
      <w:jc w:val="center"/>
    </w:pPr>
    <w:rPr>
      <w:rFonts w:ascii="宋体" w:hAnsi="宋体" w:eastAsia="宋体" w:cs="宋体"/>
      <w:sz w:val="30"/>
      <w:szCs w:val="30"/>
      <w:lang w:val="zh-TW" w:eastAsia="zh-TW" w:bidi="zh-TW"/>
    </w:rPr>
  </w:style>
  <w:style w:type="paragraph" w:customStyle="1" w:styleId="43">
    <w:name w:val="Heading #5|1"/>
    <w:basedOn w:val="1"/>
    <w:autoRedefine/>
    <w:qFormat/>
    <w:uiPriority w:val="0"/>
    <w:pPr>
      <w:spacing w:after="40" w:line="385" w:lineRule="exact"/>
      <w:ind w:firstLine="280"/>
      <w:outlineLvl w:val="4"/>
    </w:pPr>
    <w:rPr>
      <w:rFonts w:ascii="宋体" w:hAnsi="宋体" w:eastAsia="宋体" w:cs="宋体"/>
      <w:sz w:val="26"/>
      <w:szCs w:val="26"/>
      <w:lang w:val="zh-TW" w:eastAsia="zh-TW" w:bidi="zh-TW"/>
    </w:rPr>
  </w:style>
  <w:style w:type="character" w:customStyle="1" w:styleId="44">
    <w:name w:val="font31"/>
    <w:basedOn w:val="24"/>
    <w:autoRedefine/>
    <w:qFormat/>
    <w:uiPriority w:val="0"/>
    <w:rPr>
      <w:rFonts w:hint="eastAsia" w:ascii="宋体" w:hAnsi="宋体" w:eastAsia="宋体" w:cs="宋体"/>
      <w:color w:val="000000"/>
      <w:sz w:val="24"/>
      <w:szCs w:val="24"/>
      <w:u w:val="none"/>
    </w:rPr>
  </w:style>
  <w:style w:type="character" w:customStyle="1" w:styleId="45">
    <w:name w:val="font71"/>
    <w:basedOn w:val="24"/>
    <w:autoRedefine/>
    <w:qFormat/>
    <w:uiPriority w:val="0"/>
    <w:rPr>
      <w:rFonts w:hint="eastAsia" w:ascii="宋体" w:hAnsi="宋体" w:eastAsia="宋体" w:cs="宋体"/>
      <w:color w:val="000000"/>
      <w:sz w:val="24"/>
      <w:szCs w:val="24"/>
      <w:u w:val="single"/>
    </w:rPr>
  </w:style>
  <w:style w:type="character" w:customStyle="1" w:styleId="46">
    <w:name w:val="font01"/>
    <w:basedOn w:val="24"/>
    <w:autoRedefine/>
    <w:qFormat/>
    <w:uiPriority w:val="0"/>
    <w:rPr>
      <w:rFonts w:hint="default" w:ascii="Arial" w:hAnsi="Arial" w:cs="Arial"/>
      <w:color w:val="000000"/>
      <w:sz w:val="24"/>
      <w:szCs w:val="24"/>
      <w:u w:val="none"/>
    </w:rPr>
  </w:style>
  <w:style w:type="character" w:customStyle="1" w:styleId="47">
    <w:name w:val="font21"/>
    <w:basedOn w:val="24"/>
    <w:autoRedefine/>
    <w:qFormat/>
    <w:uiPriority w:val="0"/>
    <w:rPr>
      <w:rFonts w:hint="default" w:ascii="Arial" w:hAnsi="Arial" w:cs="Arial"/>
      <w:color w:val="000000"/>
      <w:sz w:val="24"/>
      <w:szCs w:val="24"/>
      <w:u w:val="single"/>
    </w:rPr>
  </w:style>
  <w:style w:type="paragraph" w:customStyle="1" w:styleId="48">
    <w:name w:val="正文_1"/>
    <w:autoRedefine/>
    <w:qFormat/>
    <w:uiPriority w:val="0"/>
    <w:pPr>
      <w:widowControl w:val="0"/>
      <w:jc w:val="both"/>
    </w:pPr>
    <w:rPr>
      <w:rFonts w:ascii="Calibri" w:hAnsi="Calibri" w:eastAsia="宋体" w:cs="Times New Roman"/>
      <w:kern w:val="2"/>
      <w:sz w:val="28"/>
      <w:lang w:val="en-US" w:eastAsia="zh-CN" w:bidi="ar-SA"/>
    </w:rPr>
  </w:style>
  <w:style w:type="paragraph" w:customStyle="1" w:styleId="49">
    <w:name w:val="TOC 标题_0"/>
    <w:basedOn w:val="50"/>
    <w:next w:val="48"/>
    <w:autoRedefine/>
    <w:qFormat/>
    <w:uiPriority w:val="39"/>
    <w:pPr>
      <w:spacing w:line="576" w:lineRule="auto"/>
      <w:outlineLvl w:val="9"/>
    </w:pPr>
  </w:style>
  <w:style w:type="paragraph" w:customStyle="1" w:styleId="50">
    <w:name w:val="标题 1_0"/>
    <w:basedOn w:val="48"/>
    <w:next w:val="48"/>
    <w:autoRedefine/>
    <w:qFormat/>
    <w:uiPriority w:val="0"/>
    <w:pPr>
      <w:keepNext/>
      <w:keepLines/>
      <w:spacing w:before="340" w:after="330" w:line="578" w:lineRule="auto"/>
      <w:outlineLvl w:val="0"/>
    </w:pPr>
    <w:rPr>
      <w:b/>
      <w:bCs/>
      <w:kern w:val="44"/>
      <w:sz w:val="44"/>
      <w:szCs w:val="44"/>
    </w:rPr>
  </w:style>
  <w:style w:type="paragraph" w:customStyle="1" w:styleId="51">
    <w:name w:val="标题 3_0"/>
    <w:basedOn w:val="48"/>
    <w:next w:val="48"/>
    <w:link w:val="53"/>
    <w:autoRedefine/>
    <w:qFormat/>
    <w:uiPriority w:val="0"/>
    <w:pPr>
      <w:keepNext/>
      <w:keepLines/>
      <w:spacing w:before="260" w:after="260" w:line="416" w:lineRule="auto"/>
      <w:outlineLvl w:val="2"/>
    </w:pPr>
    <w:rPr>
      <w:b/>
      <w:bCs/>
      <w:kern w:val="0"/>
      <w:sz w:val="32"/>
      <w:szCs w:val="32"/>
    </w:rPr>
  </w:style>
  <w:style w:type="paragraph" w:customStyle="1" w:styleId="52">
    <w:name w:val="标题 4_0"/>
    <w:basedOn w:val="48"/>
    <w:next w:val="48"/>
    <w:autoRedefine/>
    <w:qFormat/>
    <w:uiPriority w:val="0"/>
    <w:pPr>
      <w:keepNext/>
      <w:keepLines/>
      <w:adjustRightInd w:val="0"/>
      <w:spacing w:before="280" w:after="290" w:line="376" w:lineRule="atLeast"/>
      <w:textAlignment w:val="baseline"/>
      <w:outlineLvl w:val="3"/>
    </w:pPr>
    <w:rPr>
      <w:rFonts w:ascii="Arial" w:hAnsi="Arial" w:eastAsia="黑体"/>
      <w:b/>
      <w:kern w:val="0"/>
    </w:rPr>
  </w:style>
  <w:style w:type="character" w:customStyle="1" w:styleId="53">
    <w:name w:val="标题 3_0 Char"/>
    <w:link w:val="51"/>
    <w:autoRedefine/>
    <w:qFormat/>
    <w:uiPriority w:val="0"/>
    <w:rPr>
      <w:b/>
      <w:bCs/>
      <w:kern w:val="0"/>
      <w:sz w:val="32"/>
      <w:szCs w:val="32"/>
    </w:rPr>
  </w:style>
  <w:style w:type="paragraph" w:customStyle="1" w:styleId="54">
    <w:name w:val="标题 2_0"/>
    <w:basedOn w:val="48"/>
    <w:next w:val="48"/>
    <w:autoRedefine/>
    <w:qFormat/>
    <w:uiPriority w:val="0"/>
    <w:pPr>
      <w:keepNext/>
      <w:keepLines/>
      <w:spacing w:before="260" w:after="260" w:line="416" w:lineRule="auto"/>
      <w:outlineLvl w:val="1"/>
    </w:pPr>
    <w:rPr>
      <w:rFonts w:ascii="Arial" w:hAnsi="Arial" w:eastAsia="黑体"/>
      <w:b/>
      <w:bCs/>
      <w:sz w:val="32"/>
      <w:szCs w:val="32"/>
    </w:rPr>
  </w:style>
  <w:style w:type="paragraph" w:customStyle="1" w:styleId="55">
    <w:name w:val="正文文本_0"/>
    <w:basedOn w:val="48"/>
    <w:autoRedefine/>
    <w:qFormat/>
    <w:uiPriority w:val="0"/>
    <w:rPr>
      <w:rFonts w:eastAsia="黑体"/>
      <w:sz w:val="36"/>
      <w:szCs w:val="24"/>
    </w:rPr>
  </w:style>
  <w:style w:type="paragraph" w:customStyle="1" w:styleId="56">
    <w:name w:val="正文文本缩进_0"/>
    <w:basedOn w:val="48"/>
    <w:autoRedefine/>
    <w:qFormat/>
    <w:uiPriority w:val="0"/>
    <w:pPr>
      <w:spacing w:line="360" w:lineRule="auto"/>
      <w:ind w:firstLine="570"/>
    </w:pPr>
    <w:rPr>
      <w:rFonts w:ascii="宋体" w:hAnsi="宋体"/>
      <w:i/>
      <w:iCs/>
    </w:rPr>
  </w:style>
  <w:style w:type="character" w:customStyle="1" w:styleId="57">
    <w:name w:val="批注框文本 Char"/>
    <w:basedOn w:val="24"/>
    <w:link w:val="13"/>
    <w:autoRedefine/>
    <w:qFormat/>
    <w:uiPriority w:val="0"/>
    <w:rPr>
      <w:rFonts w:asciiTheme="minorHAnsi" w:hAnsiTheme="minorHAnsi" w:cstheme="minorBidi"/>
      <w:kern w:val="2"/>
      <w:sz w:val="18"/>
      <w:szCs w:val="18"/>
    </w:rPr>
  </w:style>
  <w:style w:type="character" w:customStyle="1" w:styleId="58">
    <w:name w:val="blue"/>
    <w:basedOn w:val="24"/>
    <w:autoRedefine/>
    <w:qFormat/>
    <w:uiPriority w:val="0"/>
    <w:rPr>
      <w:shd w:val="clear" w:fill="53A7FF"/>
    </w:rPr>
  </w:style>
  <w:style w:type="character" w:customStyle="1" w:styleId="59">
    <w:name w:val="green"/>
    <w:basedOn w:val="24"/>
    <w:autoRedefine/>
    <w:qFormat/>
    <w:uiPriority w:val="0"/>
    <w:rPr>
      <w:shd w:val="clear" w:fill="71C033"/>
    </w:rPr>
  </w:style>
  <w:style w:type="character" w:customStyle="1" w:styleId="60">
    <w:name w:val="disabled"/>
    <w:basedOn w:val="24"/>
    <w:autoRedefine/>
    <w:qFormat/>
    <w:uiPriority w:val="0"/>
    <w:rPr>
      <w:color w:val="DDDDDD"/>
      <w:bdr w:val="single" w:color="EEEEEE" w:sz="4" w:space="0"/>
    </w:rPr>
  </w:style>
  <w:style w:type="character" w:customStyle="1" w:styleId="61">
    <w:name w:val="red"/>
    <w:basedOn w:val="24"/>
    <w:autoRedefine/>
    <w:qFormat/>
    <w:uiPriority w:val="0"/>
    <w:rPr>
      <w:shd w:val="clear" w:fill="EA5954"/>
    </w:rPr>
  </w:style>
  <w:style w:type="character" w:customStyle="1" w:styleId="62">
    <w:name w:val="yellow"/>
    <w:basedOn w:val="24"/>
    <w:autoRedefine/>
    <w:qFormat/>
    <w:uiPriority w:val="0"/>
    <w:rPr>
      <w:shd w:val="clear" w:fill="F58F00"/>
    </w:rPr>
  </w:style>
  <w:style w:type="paragraph" w:customStyle="1" w:styleId="63">
    <w:name w:val="标题 3_1"/>
    <w:basedOn w:val="48"/>
    <w:next w:val="48"/>
    <w:autoRedefine/>
    <w:qFormat/>
    <w:uiPriority w:val="0"/>
    <w:pPr>
      <w:keepNext/>
      <w:keepLines/>
      <w:spacing w:before="260" w:after="260" w:line="416" w:lineRule="auto"/>
      <w:outlineLvl w:val="2"/>
    </w:pPr>
    <w:rPr>
      <w:rFonts w:ascii="Times New Roman" w:hAnsi="Times New Roman"/>
      <w:b/>
      <w:sz w:val="32"/>
      <w:szCs w:val="20"/>
    </w:rPr>
  </w:style>
  <w:style w:type="paragraph" w:customStyle="1" w:styleId="64">
    <w:name w:val="标题 3_2"/>
    <w:basedOn w:val="65"/>
    <w:next w:val="66"/>
    <w:autoRedefine/>
    <w:qFormat/>
    <w:uiPriority w:val="0"/>
    <w:pPr>
      <w:keepNext/>
      <w:keepLines/>
      <w:spacing w:before="260" w:after="260" w:line="412" w:lineRule="auto"/>
      <w:outlineLvl w:val="2"/>
    </w:pPr>
    <w:rPr>
      <w:rFonts w:ascii="Calibri" w:hAnsi="Calibri" w:eastAsia="黑体"/>
      <w:bCs/>
      <w:sz w:val="28"/>
      <w:szCs w:val="32"/>
    </w:rPr>
  </w:style>
  <w:style w:type="paragraph" w:customStyle="1" w:styleId="6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
    <w:name w:val="标题 4_1"/>
    <w:basedOn w:val="65"/>
    <w:next w:val="65"/>
    <w:autoRedefine/>
    <w:qFormat/>
    <w:uiPriority w:val="0"/>
    <w:pPr>
      <w:keepNext/>
      <w:keepLines/>
      <w:spacing w:line="360" w:lineRule="auto"/>
      <w:outlineLvl w:val="3"/>
    </w:pPr>
    <w:rPr>
      <w:rFonts w:ascii="Arial" w:hAnsi="Arial" w:eastAsia="黑体"/>
      <w:bCs/>
      <w:sz w:val="24"/>
      <w:szCs w:val="28"/>
    </w:rPr>
  </w:style>
  <w:style w:type="paragraph" w:customStyle="1" w:styleId="67">
    <w:name w:val="Default"/>
    <w:autoRedefine/>
    <w:qFormat/>
    <w:uiPriority w:val="0"/>
    <w:pPr>
      <w:widowControl w:val="0"/>
      <w:autoSpaceDE w:val="0"/>
      <w:autoSpaceDN w:val="0"/>
      <w:adjustRightInd w:val="0"/>
    </w:pPr>
    <w:rPr>
      <w:rFonts w:ascii="Arial Black" w:hAnsi="Arial Black" w:eastAsia="宋体" w:cs="Times New Roman"/>
      <w:color w:val="000000"/>
      <w:sz w:val="24"/>
      <w:lang w:val="en-US" w:eastAsia="zh-CN" w:bidi="ar-SA"/>
    </w:rPr>
  </w:style>
  <w:style w:type="paragraph" w:customStyle="1" w:styleId="68">
    <w:name w:val="正文_7_0_0"/>
    <w:qFormat/>
    <w:uiPriority w:val="0"/>
    <w:pPr>
      <w:widowControl w:val="0"/>
      <w:jc w:val="both"/>
    </w:pPr>
    <w:rPr>
      <w:rFonts w:ascii="Calibri" w:hAnsi="Calibri" w:eastAsia="宋体" w:cs="Times New Roman"/>
      <w:kern w:val="2"/>
      <w:sz w:val="21"/>
      <w:szCs w:val="22"/>
    </w:rPr>
  </w:style>
  <w:style w:type="paragraph" w:customStyle="1" w:styleId="69">
    <w:name w:val="正文_1_0_0"/>
    <w:qFormat/>
    <w:uiPriority w:val="0"/>
    <w:pPr>
      <w:widowControl w:val="0"/>
      <w:jc w:val="both"/>
    </w:pPr>
    <w:rPr>
      <w:rFonts w:ascii="Calibri" w:hAnsi="Calibri" w:eastAsia="宋体" w:cs="Times New Roman"/>
      <w:kern w:val="2"/>
      <w:sz w:val="21"/>
      <w:szCs w:val="22"/>
    </w:rPr>
  </w:style>
  <w:style w:type="paragraph" w:customStyle="1" w:styleId="70">
    <w:name w:val="Normal_20_0"/>
    <w:qFormat/>
    <w:uiPriority w:val="0"/>
    <w:rPr>
      <w:rFonts w:ascii="Times New Roman" w:hAnsi="Times New Roman" w:eastAsia="Times New Roman" w:cs="Times New Roman"/>
      <w:sz w:val="24"/>
      <w:szCs w:val="24"/>
    </w:rPr>
  </w:style>
  <w:style w:type="paragraph" w:customStyle="1" w:styleId="71">
    <w:name w:val="Normal_32_0"/>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wmf"/><Relationship Id="rId17" Type="http://schemas.openxmlformats.org/officeDocument/2006/relationships/oleObject" Target="embeddings/oleObject5.bin"/><Relationship Id="rId16" Type="http://schemas.openxmlformats.org/officeDocument/2006/relationships/image" Target="media/image6.wmf"/><Relationship Id="rId15" Type="http://schemas.openxmlformats.org/officeDocument/2006/relationships/oleObject" Target="embeddings/oleObject4.bin"/><Relationship Id="rId14" Type="http://schemas.openxmlformats.org/officeDocument/2006/relationships/image" Target="media/image5.wmf"/><Relationship Id="rId13" Type="http://schemas.openxmlformats.org/officeDocument/2006/relationships/oleObject" Target="embeddings/oleObject3.bin"/><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1"/>
    <customShpInfo spid="_x0000_s4102"/>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194</Pages>
  <Words>93400</Words>
  <Characters>98083</Characters>
  <Lines>501</Lines>
  <Paragraphs>141</Paragraphs>
  <TotalTime>1</TotalTime>
  <ScaleCrop>false</ScaleCrop>
  <LinksUpToDate>false</LinksUpToDate>
  <CharactersWithSpaces>123300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2020-07-20T08:13:00Z</dcterms:created>
  <dc:creator>太子弹琴</dc:creator>
  <cp:lastModifiedBy>简单爱</cp:lastModifiedBy>
  <cp:lastPrinted>2023-06-15T09:37:00Z</cp:lastPrinted>
  <dcterms:modified xsi:type="dcterms:W3CDTF">2026-10-26T06:22:01Z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6955E0A4F66044F4A6A114DEED0FB82F_13</vt:lpwstr>
  </property>
  <property fmtid="{D5CDD505-2E9C-101B-9397-08002B2CF9AE}" pid="4" name="commondata">
    <vt:lpwstr>eyJoZGlkIjoiZmE3YmNkYWQwYjUwNjZlNDk4NWFlNDE5OGJiNTEyODAifQ==</vt:lpwstr>
  </property>
  <property fmtid="{D5CDD505-2E9C-101B-9397-08002B2CF9AE}" pid="5" name="KSOTemplateDocerSaveRecord">
    <vt:lpwstr>eyJoZGlkIjoiMTI3YzRhODI2OWViN2UxNDM2NWNjN2JjNTI1MzlkNDQiLCJ1c2VySWQiOiI3NTE0MjAxNjAifQ==</vt:lpwstr>
  </property>
</Properties>
</file>