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DB3E4">
      <w:pPr>
        <w:rPr>
          <w:rFonts w:ascii="仿宋" w:hAnsi="仿宋" w:eastAsia="仿宋" w:cs="仿宋"/>
          <w:color w:val="auto"/>
          <w:highlight w:val="none"/>
        </w:rPr>
      </w:pP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r>
        <w:rPr>
          <w:rFonts w:hint="eastAsia" w:ascii="仿宋" w:hAnsi="仿宋" w:eastAsia="仿宋" w:cs="仿宋"/>
          <w:color w:val="auto"/>
          <w:highlight w:val="none"/>
        </w:rPr>
        <w:tab/>
      </w:r>
    </w:p>
    <w:p w14:paraId="459894FE">
      <w:pPr>
        <w:jc w:val="center"/>
        <w:rPr>
          <w:rFonts w:ascii="仿宋" w:hAnsi="仿宋" w:eastAsia="仿宋" w:cs="仿宋"/>
          <w:b/>
          <w:bCs/>
          <w:color w:val="auto"/>
          <w:sz w:val="36"/>
          <w:szCs w:val="44"/>
          <w:highlight w:val="none"/>
        </w:rPr>
      </w:pPr>
      <w:r>
        <w:rPr>
          <w:rFonts w:hint="eastAsia" w:ascii="仿宋" w:hAnsi="仿宋" w:eastAsia="仿宋" w:cs="仿宋"/>
          <w:b/>
          <w:bCs/>
          <w:color w:val="auto"/>
          <w:sz w:val="36"/>
          <w:szCs w:val="44"/>
          <w:highlight w:val="none"/>
        </w:rPr>
        <w:t>青海民族大学南山校区高原特色资源科研创新中心建设项目全过程造价咨询服务</w:t>
      </w:r>
    </w:p>
    <w:p w14:paraId="00585890">
      <w:pPr>
        <w:jc w:val="center"/>
        <w:rPr>
          <w:rFonts w:ascii="仿宋" w:hAnsi="仿宋" w:eastAsia="仿宋" w:cs="仿宋"/>
          <w:b/>
          <w:bCs/>
          <w:color w:val="auto"/>
          <w:sz w:val="36"/>
          <w:szCs w:val="44"/>
          <w:highlight w:val="none"/>
        </w:rPr>
      </w:pPr>
    </w:p>
    <w:p w14:paraId="36D96DD2">
      <w:pPr>
        <w:rPr>
          <w:rFonts w:ascii="仿宋" w:hAnsi="仿宋" w:eastAsia="仿宋" w:cs="仿宋"/>
          <w:b/>
          <w:bCs/>
          <w:color w:val="auto"/>
          <w:sz w:val="72"/>
          <w:szCs w:val="72"/>
          <w:highlight w:val="none"/>
        </w:rPr>
      </w:pPr>
    </w:p>
    <w:p w14:paraId="7220B8EE">
      <w:pPr>
        <w:rPr>
          <w:rFonts w:ascii="仿宋" w:hAnsi="仿宋" w:eastAsia="仿宋" w:cs="仿宋"/>
          <w:b/>
          <w:bCs/>
          <w:color w:val="auto"/>
          <w:sz w:val="72"/>
          <w:szCs w:val="72"/>
          <w:highlight w:val="none"/>
        </w:rPr>
      </w:pPr>
    </w:p>
    <w:p w14:paraId="512131DE">
      <w:pPr>
        <w:jc w:val="center"/>
        <w:rPr>
          <w:rFonts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rPr>
        <w:t>询 比 采 购 文 件</w:t>
      </w:r>
    </w:p>
    <w:p w14:paraId="3527DDFA">
      <w:pPr>
        <w:ind w:firstLine="602" w:firstLineChars="200"/>
        <w:jc w:val="center"/>
        <w:rPr>
          <w:rFonts w:ascii="仿宋" w:hAnsi="仿宋" w:eastAsia="仿宋" w:cs="仿宋"/>
          <w:color w:val="auto"/>
          <w:highlight w:val="none"/>
        </w:rPr>
      </w:pPr>
      <w:r>
        <w:rPr>
          <w:rFonts w:hint="eastAsia" w:ascii="仿宋" w:hAnsi="仿宋" w:eastAsia="仿宋" w:cs="仿宋"/>
          <w:b/>
          <w:bCs/>
          <w:color w:val="auto"/>
          <w:sz w:val="30"/>
          <w:szCs w:val="30"/>
          <w:highlight w:val="none"/>
          <w:lang w:val="zh-CN"/>
        </w:rPr>
        <w:t>（</w:t>
      </w:r>
      <w:r>
        <w:rPr>
          <w:rFonts w:hint="eastAsia" w:ascii="仿宋" w:hAnsi="仿宋" w:eastAsia="仿宋" w:cs="仿宋"/>
          <w:b/>
          <w:bCs/>
          <w:color w:val="auto"/>
          <w:sz w:val="30"/>
          <w:szCs w:val="30"/>
          <w:highlight w:val="none"/>
        </w:rPr>
        <w:t>项目编号：青海联祥询比（服务）2026-108</w:t>
      </w:r>
      <w:r>
        <w:rPr>
          <w:rFonts w:hint="eastAsia" w:ascii="仿宋" w:hAnsi="仿宋" w:eastAsia="仿宋" w:cs="仿宋"/>
          <w:b/>
          <w:bCs/>
          <w:color w:val="auto"/>
          <w:sz w:val="30"/>
          <w:szCs w:val="30"/>
          <w:highlight w:val="none"/>
          <w:lang w:val="zh-CN"/>
        </w:rPr>
        <w:t>）</w:t>
      </w:r>
    </w:p>
    <w:p w14:paraId="0986A727">
      <w:pPr>
        <w:jc w:val="center"/>
        <w:rPr>
          <w:rFonts w:ascii="仿宋" w:hAnsi="仿宋" w:eastAsia="仿宋" w:cs="仿宋"/>
          <w:b/>
          <w:bCs/>
          <w:color w:val="auto"/>
          <w:sz w:val="52"/>
          <w:szCs w:val="52"/>
          <w:highlight w:val="none"/>
        </w:rPr>
      </w:pPr>
    </w:p>
    <w:p w14:paraId="79E6ACD2">
      <w:pPr>
        <w:jc w:val="center"/>
        <w:rPr>
          <w:rFonts w:ascii="仿宋" w:hAnsi="仿宋" w:eastAsia="仿宋" w:cs="仿宋"/>
          <w:b/>
          <w:bCs/>
          <w:color w:val="auto"/>
          <w:sz w:val="52"/>
          <w:szCs w:val="52"/>
          <w:highlight w:val="none"/>
        </w:rPr>
      </w:pPr>
    </w:p>
    <w:p w14:paraId="2FF4818E">
      <w:pPr>
        <w:rPr>
          <w:rFonts w:ascii="仿宋" w:hAnsi="仿宋" w:eastAsia="仿宋" w:cs="仿宋"/>
          <w:b/>
          <w:bCs/>
          <w:color w:val="auto"/>
          <w:sz w:val="52"/>
          <w:szCs w:val="52"/>
          <w:highlight w:val="none"/>
        </w:rPr>
      </w:pPr>
    </w:p>
    <w:p w14:paraId="2072CDA3">
      <w:pPr>
        <w:spacing w:line="480" w:lineRule="auto"/>
        <w:ind w:firstLine="1687" w:firstLineChars="600"/>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 xml:space="preserve">采 购 人：青海民族大学 </w:t>
      </w:r>
    </w:p>
    <w:p w14:paraId="186F4C1B">
      <w:pPr>
        <w:spacing w:line="480" w:lineRule="auto"/>
        <w:ind w:firstLine="1687" w:firstLineChars="600"/>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采购代理机构：</w:t>
      </w:r>
      <w:r>
        <w:rPr>
          <w:rFonts w:hint="eastAsia" w:ascii="仿宋" w:hAnsi="仿宋" w:eastAsia="仿宋" w:cs="仿宋"/>
          <w:b/>
          <w:color w:val="auto"/>
          <w:kern w:val="0"/>
          <w:sz w:val="28"/>
          <w:szCs w:val="28"/>
          <w:highlight w:val="none"/>
        </w:rPr>
        <w:t>青海联祥招标代理有限公司</w:t>
      </w:r>
    </w:p>
    <w:p w14:paraId="10BDAC8F">
      <w:pPr>
        <w:spacing w:line="480" w:lineRule="auto"/>
        <w:jc w:val="center"/>
        <w:rPr>
          <w:rFonts w:ascii="仿宋" w:hAnsi="仿宋" w:eastAsia="仿宋" w:cs="仿宋"/>
          <w:b/>
          <w:bCs/>
          <w:color w:val="auto"/>
          <w:sz w:val="28"/>
          <w:szCs w:val="28"/>
          <w:highlight w:val="none"/>
          <w:u w:val="single"/>
        </w:rPr>
      </w:pPr>
    </w:p>
    <w:p w14:paraId="4FDC5960">
      <w:pPr>
        <w:spacing w:line="480" w:lineRule="auto"/>
        <w:jc w:val="center"/>
        <w:rPr>
          <w:rFonts w:ascii="仿宋" w:hAnsi="仿宋" w:eastAsia="仿宋" w:cs="仿宋"/>
          <w:b/>
          <w:bCs/>
          <w:color w:val="auto"/>
          <w:sz w:val="28"/>
          <w:szCs w:val="28"/>
          <w:highlight w:val="none"/>
        </w:rPr>
        <w:sectPr>
          <w:pgSz w:w="11906" w:h="16838"/>
          <w:pgMar w:top="1440" w:right="1633" w:bottom="1440" w:left="1633" w:header="851" w:footer="992" w:gutter="0"/>
          <w:cols w:space="425" w:num="1"/>
          <w:docGrid w:type="lines" w:linePitch="312" w:charSpace="0"/>
        </w:sectPr>
      </w:pPr>
      <w:r>
        <w:rPr>
          <w:rFonts w:hint="eastAsia" w:ascii="仿宋" w:hAnsi="仿宋" w:eastAsia="仿宋" w:cs="仿宋"/>
          <w:b/>
          <w:bCs/>
          <w:color w:val="auto"/>
          <w:sz w:val="28"/>
          <w:szCs w:val="28"/>
          <w:highlight w:val="none"/>
        </w:rPr>
        <w:t>二〇二六年十月</w:t>
      </w:r>
    </w:p>
    <w:p w14:paraId="1723CD0B">
      <w:pPr>
        <w:spacing w:line="480" w:lineRule="auto"/>
        <w:jc w:val="center"/>
        <w:rPr>
          <w:rFonts w:ascii="仿宋" w:hAnsi="仿宋" w:eastAsia="仿宋" w:cs="仿宋"/>
          <w:b/>
          <w:bCs/>
          <w:color w:val="auto"/>
          <w:sz w:val="40"/>
          <w:szCs w:val="48"/>
          <w:highlight w:val="none"/>
        </w:rPr>
      </w:pPr>
      <w:r>
        <w:rPr>
          <w:rFonts w:hint="eastAsia" w:ascii="仿宋" w:hAnsi="仿宋" w:eastAsia="仿宋" w:cs="仿宋"/>
          <w:b/>
          <w:bCs/>
          <w:color w:val="auto"/>
          <w:sz w:val="40"/>
          <w:szCs w:val="48"/>
          <w:highlight w:val="none"/>
        </w:rPr>
        <w:t>目录</w:t>
      </w:r>
    </w:p>
    <w:p w14:paraId="5F4B616D">
      <w:pPr>
        <w:pStyle w:val="19"/>
        <w:tabs>
          <w:tab w:val="right" w:leader="dot" w:pos="8640"/>
        </w:tabs>
        <w:rPr>
          <w:rFonts w:ascii="仿宋" w:hAnsi="仿宋" w:eastAsia="仿宋" w:cs="仿宋"/>
          <w:color w:val="auto"/>
          <w:sz w:val="28"/>
          <w:szCs w:val="36"/>
          <w:highlight w:val="none"/>
        </w:rPr>
      </w:pPr>
      <w:r>
        <w:rPr>
          <w:rFonts w:hint="eastAsia" w:ascii="仿宋" w:hAnsi="仿宋" w:eastAsia="仿宋" w:cs="仿宋"/>
          <w:b/>
          <w:bCs/>
          <w:color w:val="auto"/>
          <w:sz w:val="36"/>
          <w:szCs w:val="36"/>
          <w:highlight w:val="none"/>
        </w:rPr>
        <w:fldChar w:fldCharType="begin"/>
      </w:r>
      <w:r>
        <w:rPr>
          <w:rFonts w:hint="eastAsia" w:ascii="仿宋" w:hAnsi="仿宋" w:eastAsia="仿宋" w:cs="仿宋"/>
          <w:b/>
          <w:bCs/>
          <w:color w:val="auto"/>
          <w:sz w:val="36"/>
          <w:szCs w:val="36"/>
          <w:highlight w:val="none"/>
        </w:rPr>
        <w:instrText xml:space="preserve">TOC \o "1-1" \h \u </w:instrText>
      </w:r>
      <w:r>
        <w:rPr>
          <w:rFonts w:hint="eastAsia" w:ascii="仿宋" w:hAnsi="仿宋" w:eastAsia="仿宋" w:cs="仿宋"/>
          <w:b/>
          <w:bCs/>
          <w:color w:val="auto"/>
          <w:sz w:val="36"/>
          <w:szCs w:val="36"/>
          <w:highlight w:val="none"/>
        </w:rPr>
        <w:fldChar w:fldCharType="separate"/>
      </w:r>
      <w:r>
        <w:rPr>
          <w:color w:val="auto"/>
          <w:highlight w:val="none"/>
        </w:rPr>
        <w:fldChar w:fldCharType="begin"/>
      </w:r>
      <w:r>
        <w:rPr>
          <w:color w:val="auto"/>
          <w:highlight w:val="none"/>
        </w:rPr>
        <w:instrText xml:space="preserve"> HYPERLINK \l "_Toc17006" </w:instrText>
      </w:r>
      <w:r>
        <w:rPr>
          <w:color w:val="auto"/>
          <w:highlight w:val="none"/>
        </w:rPr>
        <w:fldChar w:fldCharType="separate"/>
      </w:r>
      <w:r>
        <w:rPr>
          <w:rFonts w:hint="eastAsia" w:ascii="仿宋" w:hAnsi="仿宋" w:eastAsia="仿宋" w:cs="仿宋"/>
          <w:bCs/>
          <w:color w:val="auto"/>
          <w:sz w:val="28"/>
          <w:szCs w:val="56"/>
          <w:highlight w:val="none"/>
        </w:rPr>
        <w:t>第一章 询比采购公告</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PAGEREF _Toc17006 \h </w:instrText>
      </w:r>
      <w:r>
        <w:rPr>
          <w:rFonts w:hint="eastAsia" w:ascii="仿宋" w:hAnsi="仿宋" w:eastAsia="仿宋" w:cs="仿宋"/>
          <w:color w:val="auto"/>
          <w:sz w:val="28"/>
          <w:szCs w:val="36"/>
          <w:highlight w:val="none"/>
        </w:rPr>
        <w:fldChar w:fldCharType="separate"/>
      </w:r>
      <w:r>
        <w:rPr>
          <w:rFonts w:hint="eastAsia" w:ascii="仿宋" w:hAnsi="仿宋" w:eastAsia="仿宋" w:cs="仿宋"/>
          <w:color w:val="auto"/>
          <w:sz w:val="28"/>
          <w:szCs w:val="36"/>
          <w:highlight w:val="none"/>
        </w:rPr>
        <w:t>2</w:t>
      </w:r>
      <w:r>
        <w:rPr>
          <w:rFonts w:hint="eastAsia" w:ascii="仿宋" w:hAnsi="仿宋" w:eastAsia="仿宋" w:cs="仿宋"/>
          <w:color w:val="auto"/>
          <w:sz w:val="28"/>
          <w:szCs w:val="36"/>
          <w:highlight w:val="none"/>
        </w:rPr>
        <w:fldChar w:fldCharType="end"/>
      </w:r>
      <w:r>
        <w:rPr>
          <w:rFonts w:hint="eastAsia" w:ascii="仿宋" w:hAnsi="仿宋" w:eastAsia="仿宋" w:cs="仿宋"/>
          <w:color w:val="auto"/>
          <w:sz w:val="28"/>
          <w:szCs w:val="36"/>
          <w:highlight w:val="none"/>
        </w:rPr>
        <w:fldChar w:fldCharType="end"/>
      </w:r>
    </w:p>
    <w:p w14:paraId="645006BF">
      <w:pPr>
        <w:pStyle w:val="19"/>
        <w:tabs>
          <w:tab w:val="right" w:leader="dot" w:pos="8640"/>
        </w:tabs>
        <w:rPr>
          <w:rFonts w:ascii="仿宋" w:hAnsi="仿宋" w:eastAsia="仿宋" w:cs="仿宋"/>
          <w:color w:val="auto"/>
          <w:sz w:val="28"/>
          <w:szCs w:val="36"/>
          <w:highlight w:val="none"/>
        </w:rPr>
      </w:pPr>
      <w:r>
        <w:rPr>
          <w:color w:val="auto"/>
          <w:highlight w:val="none"/>
        </w:rPr>
        <w:fldChar w:fldCharType="begin"/>
      </w:r>
      <w:r>
        <w:rPr>
          <w:color w:val="auto"/>
          <w:highlight w:val="none"/>
        </w:rPr>
        <w:instrText xml:space="preserve"> HYPERLINK \l "_Toc15325" </w:instrText>
      </w:r>
      <w:r>
        <w:rPr>
          <w:color w:val="auto"/>
          <w:highlight w:val="none"/>
        </w:rPr>
        <w:fldChar w:fldCharType="separate"/>
      </w:r>
      <w:r>
        <w:rPr>
          <w:rFonts w:hint="eastAsia" w:ascii="仿宋" w:hAnsi="仿宋" w:eastAsia="仿宋" w:cs="仿宋"/>
          <w:bCs/>
          <w:color w:val="auto"/>
          <w:sz w:val="28"/>
          <w:szCs w:val="56"/>
          <w:highlight w:val="none"/>
        </w:rPr>
        <w:t>第二章 供应商须知</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PAGEREF _Toc15325 \h </w:instrText>
      </w:r>
      <w:r>
        <w:rPr>
          <w:rFonts w:hint="eastAsia" w:ascii="仿宋" w:hAnsi="仿宋" w:eastAsia="仿宋" w:cs="仿宋"/>
          <w:color w:val="auto"/>
          <w:sz w:val="28"/>
          <w:szCs w:val="36"/>
          <w:highlight w:val="none"/>
        </w:rPr>
        <w:fldChar w:fldCharType="separate"/>
      </w:r>
      <w:r>
        <w:rPr>
          <w:rFonts w:hint="eastAsia" w:ascii="仿宋" w:hAnsi="仿宋" w:eastAsia="仿宋" w:cs="仿宋"/>
          <w:color w:val="auto"/>
          <w:sz w:val="28"/>
          <w:szCs w:val="36"/>
          <w:highlight w:val="none"/>
        </w:rPr>
        <w:t>6</w:t>
      </w:r>
      <w:r>
        <w:rPr>
          <w:rFonts w:hint="eastAsia" w:ascii="仿宋" w:hAnsi="仿宋" w:eastAsia="仿宋" w:cs="仿宋"/>
          <w:color w:val="auto"/>
          <w:sz w:val="28"/>
          <w:szCs w:val="36"/>
          <w:highlight w:val="none"/>
        </w:rPr>
        <w:fldChar w:fldCharType="end"/>
      </w:r>
      <w:r>
        <w:rPr>
          <w:rFonts w:hint="eastAsia" w:ascii="仿宋" w:hAnsi="仿宋" w:eastAsia="仿宋" w:cs="仿宋"/>
          <w:color w:val="auto"/>
          <w:sz w:val="28"/>
          <w:szCs w:val="36"/>
          <w:highlight w:val="none"/>
        </w:rPr>
        <w:fldChar w:fldCharType="end"/>
      </w:r>
    </w:p>
    <w:p w14:paraId="2155D9E7">
      <w:pPr>
        <w:pStyle w:val="19"/>
        <w:tabs>
          <w:tab w:val="right" w:leader="dot" w:pos="8640"/>
        </w:tabs>
        <w:rPr>
          <w:rFonts w:ascii="仿宋" w:hAnsi="仿宋" w:eastAsia="仿宋" w:cs="仿宋"/>
          <w:color w:val="auto"/>
          <w:sz w:val="28"/>
          <w:szCs w:val="36"/>
          <w:highlight w:val="none"/>
        </w:rPr>
      </w:pPr>
      <w:r>
        <w:rPr>
          <w:color w:val="auto"/>
          <w:highlight w:val="none"/>
        </w:rPr>
        <w:fldChar w:fldCharType="begin"/>
      </w:r>
      <w:r>
        <w:rPr>
          <w:color w:val="auto"/>
          <w:highlight w:val="none"/>
        </w:rPr>
        <w:instrText xml:space="preserve"> HYPERLINK \l "_Toc8424" </w:instrText>
      </w:r>
      <w:r>
        <w:rPr>
          <w:color w:val="auto"/>
          <w:highlight w:val="none"/>
        </w:rPr>
        <w:fldChar w:fldCharType="separate"/>
      </w:r>
      <w:r>
        <w:rPr>
          <w:rFonts w:hint="eastAsia" w:ascii="仿宋" w:hAnsi="仿宋" w:eastAsia="仿宋" w:cs="仿宋"/>
          <w:bCs/>
          <w:color w:val="auto"/>
          <w:sz w:val="28"/>
          <w:szCs w:val="56"/>
          <w:highlight w:val="none"/>
        </w:rPr>
        <w:t>第三章 评审办法</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PAGEREF _Toc8424 \h </w:instrText>
      </w:r>
      <w:r>
        <w:rPr>
          <w:rFonts w:hint="eastAsia" w:ascii="仿宋" w:hAnsi="仿宋" w:eastAsia="仿宋" w:cs="仿宋"/>
          <w:color w:val="auto"/>
          <w:sz w:val="28"/>
          <w:szCs w:val="36"/>
          <w:highlight w:val="none"/>
        </w:rPr>
        <w:fldChar w:fldCharType="separate"/>
      </w:r>
      <w:r>
        <w:rPr>
          <w:rFonts w:hint="eastAsia" w:ascii="仿宋" w:hAnsi="仿宋" w:eastAsia="仿宋" w:cs="仿宋"/>
          <w:color w:val="auto"/>
          <w:sz w:val="28"/>
          <w:szCs w:val="36"/>
          <w:highlight w:val="none"/>
        </w:rPr>
        <w:t>22</w:t>
      </w:r>
      <w:r>
        <w:rPr>
          <w:rFonts w:hint="eastAsia" w:ascii="仿宋" w:hAnsi="仿宋" w:eastAsia="仿宋" w:cs="仿宋"/>
          <w:color w:val="auto"/>
          <w:sz w:val="28"/>
          <w:szCs w:val="36"/>
          <w:highlight w:val="none"/>
        </w:rPr>
        <w:fldChar w:fldCharType="end"/>
      </w:r>
      <w:r>
        <w:rPr>
          <w:rFonts w:hint="eastAsia" w:ascii="仿宋" w:hAnsi="仿宋" w:eastAsia="仿宋" w:cs="仿宋"/>
          <w:color w:val="auto"/>
          <w:sz w:val="28"/>
          <w:szCs w:val="36"/>
          <w:highlight w:val="none"/>
        </w:rPr>
        <w:fldChar w:fldCharType="end"/>
      </w:r>
    </w:p>
    <w:p w14:paraId="69765D8C">
      <w:pPr>
        <w:pStyle w:val="19"/>
        <w:tabs>
          <w:tab w:val="right" w:leader="dot" w:pos="8640"/>
        </w:tabs>
        <w:rPr>
          <w:rFonts w:ascii="仿宋" w:hAnsi="仿宋" w:eastAsia="仿宋" w:cs="仿宋"/>
          <w:color w:val="auto"/>
          <w:sz w:val="28"/>
          <w:szCs w:val="36"/>
          <w:highlight w:val="none"/>
        </w:rPr>
      </w:pPr>
      <w:r>
        <w:rPr>
          <w:color w:val="auto"/>
          <w:highlight w:val="none"/>
        </w:rPr>
        <w:fldChar w:fldCharType="begin"/>
      </w:r>
      <w:r>
        <w:rPr>
          <w:color w:val="auto"/>
          <w:highlight w:val="none"/>
        </w:rPr>
        <w:instrText xml:space="preserve"> HYPERLINK \l "_Toc4061" </w:instrText>
      </w:r>
      <w:r>
        <w:rPr>
          <w:color w:val="auto"/>
          <w:highlight w:val="none"/>
        </w:rPr>
        <w:fldChar w:fldCharType="separate"/>
      </w:r>
      <w:r>
        <w:rPr>
          <w:rFonts w:hint="eastAsia" w:ascii="仿宋" w:hAnsi="仿宋" w:eastAsia="仿宋" w:cs="仿宋"/>
          <w:bCs/>
          <w:color w:val="auto"/>
          <w:sz w:val="28"/>
          <w:szCs w:val="56"/>
          <w:highlight w:val="none"/>
        </w:rPr>
        <w:t>第四章 合同条款及格式</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PAGEREF _Toc4061 \h </w:instrText>
      </w:r>
      <w:r>
        <w:rPr>
          <w:rFonts w:hint="eastAsia" w:ascii="仿宋" w:hAnsi="仿宋" w:eastAsia="仿宋" w:cs="仿宋"/>
          <w:color w:val="auto"/>
          <w:sz w:val="28"/>
          <w:szCs w:val="36"/>
          <w:highlight w:val="none"/>
        </w:rPr>
        <w:fldChar w:fldCharType="separate"/>
      </w:r>
      <w:r>
        <w:rPr>
          <w:rFonts w:hint="eastAsia" w:ascii="仿宋" w:hAnsi="仿宋" w:eastAsia="仿宋" w:cs="仿宋"/>
          <w:color w:val="auto"/>
          <w:sz w:val="28"/>
          <w:szCs w:val="36"/>
          <w:highlight w:val="none"/>
        </w:rPr>
        <w:t>27</w:t>
      </w:r>
      <w:r>
        <w:rPr>
          <w:rFonts w:hint="eastAsia" w:ascii="仿宋" w:hAnsi="仿宋" w:eastAsia="仿宋" w:cs="仿宋"/>
          <w:color w:val="auto"/>
          <w:sz w:val="28"/>
          <w:szCs w:val="36"/>
          <w:highlight w:val="none"/>
        </w:rPr>
        <w:fldChar w:fldCharType="end"/>
      </w:r>
      <w:r>
        <w:rPr>
          <w:rFonts w:hint="eastAsia" w:ascii="仿宋" w:hAnsi="仿宋" w:eastAsia="仿宋" w:cs="仿宋"/>
          <w:color w:val="auto"/>
          <w:sz w:val="28"/>
          <w:szCs w:val="36"/>
          <w:highlight w:val="none"/>
        </w:rPr>
        <w:fldChar w:fldCharType="end"/>
      </w:r>
    </w:p>
    <w:p w14:paraId="1F4D82AC">
      <w:pPr>
        <w:pStyle w:val="19"/>
        <w:tabs>
          <w:tab w:val="right" w:leader="dot" w:pos="8640"/>
        </w:tabs>
        <w:rPr>
          <w:rFonts w:ascii="仿宋" w:hAnsi="仿宋" w:eastAsia="仿宋" w:cs="仿宋"/>
          <w:color w:val="auto"/>
          <w:sz w:val="28"/>
          <w:szCs w:val="36"/>
          <w:highlight w:val="none"/>
        </w:rPr>
      </w:pPr>
      <w:r>
        <w:rPr>
          <w:color w:val="auto"/>
          <w:highlight w:val="none"/>
        </w:rPr>
        <w:fldChar w:fldCharType="begin"/>
      </w:r>
      <w:r>
        <w:rPr>
          <w:color w:val="auto"/>
          <w:highlight w:val="none"/>
        </w:rPr>
        <w:instrText xml:space="preserve"> HYPERLINK \l "_Toc30272" </w:instrText>
      </w:r>
      <w:r>
        <w:rPr>
          <w:color w:val="auto"/>
          <w:highlight w:val="none"/>
        </w:rPr>
        <w:fldChar w:fldCharType="separate"/>
      </w:r>
      <w:r>
        <w:rPr>
          <w:rFonts w:hint="eastAsia" w:ascii="仿宋" w:hAnsi="仿宋" w:eastAsia="仿宋" w:cs="仿宋"/>
          <w:color w:val="auto"/>
          <w:sz w:val="28"/>
          <w:szCs w:val="36"/>
          <w:highlight w:val="none"/>
        </w:rPr>
        <w:t>第五章 技术标准和要求</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PAGEREF _Toc30272 \h </w:instrText>
      </w:r>
      <w:r>
        <w:rPr>
          <w:rFonts w:hint="eastAsia" w:ascii="仿宋" w:hAnsi="仿宋" w:eastAsia="仿宋" w:cs="仿宋"/>
          <w:color w:val="auto"/>
          <w:sz w:val="28"/>
          <w:szCs w:val="36"/>
          <w:highlight w:val="none"/>
        </w:rPr>
        <w:fldChar w:fldCharType="separate"/>
      </w:r>
      <w:r>
        <w:rPr>
          <w:rFonts w:hint="eastAsia" w:ascii="仿宋" w:hAnsi="仿宋" w:eastAsia="仿宋" w:cs="仿宋"/>
          <w:color w:val="auto"/>
          <w:sz w:val="28"/>
          <w:szCs w:val="36"/>
          <w:highlight w:val="none"/>
        </w:rPr>
        <w:t>34</w:t>
      </w:r>
      <w:r>
        <w:rPr>
          <w:rFonts w:hint="eastAsia" w:ascii="仿宋" w:hAnsi="仿宋" w:eastAsia="仿宋" w:cs="仿宋"/>
          <w:color w:val="auto"/>
          <w:sz w:val="28"/>
          <w:szCs w:val="36"/>
          <w:highlight w:val="none"/>
        </w:rPr>
        <w:fldChar w:fldCharType="end"/>
      </w:r>
      <w:r>
        <w:rPr>
          <w:rFonts w:hint="eastAsia" w:ascii="仿宋" w:hAnsi="仿宋" w:eastAsia="仿宋" w:cs="仿宋"/>
          <w:color w:val="auto"/>
          <w:sz w:val="28"/>
          <w:szCs w:val="36"/>
          <w:highlight w:val="none"/>
        </w:rPr>
        <w:fldChar w:fldCharType="end"/>
      </w:r>
    </w:p>
    <w:p w14:paraId="5AC09E3E">
      <w:pPr>
        <w:pStyle w:val="19"/>
        <w:tabs>
          <w:tab w:val="right" w:leader="dot" w:pos="8640"/>
        </w:tabs>
        <w:rPr>
          <w:rFonts w:ascii="仿宋" w:hAnsi="仿宋" w:eastAsia="仿宋" w:cs="仿宋"/>
          <w:color w:val="auto"/>
          <w:sz w:val="28"/>
          <w:szCs w:val="36"/>
          <w:highlight w:val="none"/>
        </w:rPr>
      </w:pPr>
      <w:r>
        <w:rPr>
          <w:color w:val="auto"/>
          <w:highlight w:val="none"/>
        </w:rPr>
        <w:fldChar w:fldCharType="begin"/>
      </w:r>
      <w:r>
        <w:rPr>
          <w:color w:val="auto"/>
          <w:highlight w:val="none"/>
        </w:rPr>
        <w:instrText xml:space="preserve"> HYPERLINK \l "_Toc20656" </w:instrText>
      </w:r>
      <w:r>
        <w:rPr>
          <w:color w:val="auto"/>
          <w:highlight w:val="none"/>
        </w:rPr>
        <w:fldChar w:fldCharType="separate"/>
      </w:r>
      <w:r>
        <w:rPr>
          <w:rFonts w:hint="eastAsia" w:ascii="仿宋" w:hAnsi="仿宋" w:eastAsia="仿宋" w:cs="仿宋"/>
          <w:bCs/>
          <w:color w:val="auto"/>
          <w:sz w:val="28"/>
          <w:szCs w:val="36"/>
          <w:highlight w:val="none"/>
        </w:rPr>
        <w:t>第六章 响应文件格式</w:t>
      </w:r>
      <w:r>
        <w:rPr>
          <w:rFonts w:hint="eastAsia" w:ascii="仿宋" w:hAnsi="仿宋" w:eastAsia="仿宋" w:cs="仿宋"/>
          <w:color w:val="auto"/>
          <w:sz w:val="28"/>
          <w:szCs w:val="36"/>
          <w:highlight w:val="none"/>
        </w:rPr>
        <w:tab/>
      </w:r>
      <w:r>
        <w:rPr>
          <w:rFonts w:hint="eastAsia" w:ascii="仿宋" w:hAnsi="仿宋" w:eastAsia="仿宋" w:cs="仿宋"/>
          <w:color w:val="auto"/>
          <w:sz w:val="28"/>
          <w:szCs w:val="36"/>
          <w:highlight w:val="none"/>
        </w:rPr>
        <w:fldChar w:fldCharType="begin"/>
      </w:r>
      <w:r>
        <w:rPr>
          <w:rFonts w:hint="eastAsia" w:ascii="仿宋" w:hAnsi="仿宋" w:eastAsia="仿宋" w:cs="仿宋"/>
          <w:color w:val="auto"/>
          <w:sz w:val="28"/>
          <w:szCs w:val="36"/>
          <w:highlight w:val="none"/>
        </w:rPr>
        <w:instrText xml:space="preserve"> PAGEREF _Toc20656 \h </w:instrText>
      </w:r>
      <w:r>
        <w:rPr>
          <w:rFonts w:hint="eastAsia" w:ascii="仿宋" w:hAnsi="仿宋" w:eastAsia="仿宋" w:cs="仿宋"/>
          <w:color w:val="auto"/>
          <w:sz w:val="28"/>
          <w:szCs w:val="36"/>
          <w:highlight w:val="none"/>
        </w:rPr>
        <w:fldChar w:fldCharType="separate"/>
      </w:r>
      <w:r>
        <w:rPr>
          <w:rFonts w:hint="eastAsia" w:ascii="仿宋" w:hAnsi="仿宋" w:eastAsia="仿宋" w:cs="仿宋"/>
          <w:color w:val="auto"/>
          <w:sz w:val="28"/>
          <w:szCs w:val="36"/>
          <w:highlight w:val="none"/>
        </w:rPr>
        <w:t>36</w:t>
      </w:r>
      <w:r>
        <w:rPr>
          <w:rFonts w:hint="eastAsia" w:ascii="仿宋" w:hAnsi="仿宋" w:eastAsia="仿宋" w:cs="仿宋"/>
          <w:color w:val="auto"/>
          <w:sz w:val="28"/>
          <w:szCs w:val="36"/>
          <w:highlight w:val="none"/>
        </w:rPr>
        <w:fldChar w:fldCharType="end"/>
      </w:r>
      <w:r>
        <w:rPr>
          <w:rFonts w:hint="eastAsia" w:ascii="仿宋" w:hAnsi="仿宋" w:eastAsia="仿宋" w:cs="仿宋"/>
          <w:color w:val="auto"/>
          <w:sz w:val="28"/>
          <w:szCs w:val="36"/>
          <w:highlight w:val="none"/>
        </w:rPr>
        <w:fldChar w:fldCharType="end"/>
      </w:r>
    </w:p>
    <w:p w14:paraId="57E77D5C">
      <w:pPr>
        <w:pStyle w:val="19"/>
        <w:tabs>
          <w:tab w:val="right" w:leader="dot" w:pos="8640"/>
        </w:tabs>
        <w:rPr>
          <w:rFonts w:ascii="仿宋" w:hAnsi="仿宋" w:eastAsia="仿宋" w:cs="仿宋"/>
          <w:color w:val="auto"/>
          <w:highlight w:val="none"/>
        </w:rPr>
      </w:pPr>
    </w:p>
    <w:p w14:paraId="34E78FC5">
      <w:pPr>
        <w:spacing w:line="480" w:lineRule="auto"/>
        <w:jc w:val="center"/>
        <w:rPr>
          <w:rFonts w:ascii="仿宋" w:hAnsi="仿宋" w:eastAsia="仿宋" w:cs="仿宋"/>
          <w:b/>
          <w:bCs/>
          <w:color w:val="auto"/>
          <w:sz w:val="24"/>
          <w:highlight w:val="none"/>
        </w:rPr>
      </w:pPr>
      <w:r>
        <w:rPr>
          <w:rFonts w:hint="eastAsia" w:ascii="仿宋" w:hAnsi="仿宋" w:eastAsia="仿宋" w:cs="仿宋"/>
          <w:bCs/>
          <w:color w:val="auto"/>
          <w:szCs w:val="36"/>
          <w:highlight w:val="none"/>
        </w:rPr>
        <w:fldChar w:fldCharType="end"/>
      </w:r>
    </w:p>
    <w:p w14:paraId="1ACDC8D6">
      <w:pPr>
        <w:jc w:val="center"/>
        <w:rPr>
          <w:rFonts w:ascii="仿宋" w:hAnsi="仿宋" w:eastAsia="仿宋" w:cs="仿宋"/>
          <w:b/>
          <w:bCs/>
          <w:color w:val="auto"/>
          <w:sz w:val="28"/>
          <w:szCs w:val="28"/>
          <w:highlight w:val="none"/>
        </w:rPr>
      </w:pPr>
    </w:p>
    <w:p w14:paraId="29A948BF">
      <w:pPr>
        <w:jc w:val="center"/>
        <w:rPr>
          <w:rFonts w:ascii="仿宋" w:hAnsi="仿宋" w:eastAsia="仿宋" w:cs="仿宋"/>
          <w:b/>
          <w:bCs/>
          <w:color w:val="auto"/>
          <w:sz w:val="28"/>
          <w:szCs w:val="28"/>
          <w:highlight w:val="none"/>
        </w:rPr>
      </w:pPr>
    </w:p>
    <w:p w14:paraId="1BFD87C8">
      <w:pPr>
        <w:jc w:val="center"/>
        <w:rPr>
          <w:rFonts w:ascii="仿宋" w:hAnsi="仿宋" w:eastAsia="仿宋" w:cs="仿宋"/>
          <w:b/>
          <w:bCs/>
          <w:color w:val="auto"/>
          <w:sz w:val="28"/>
          <w:szCs w:val="28"/>
          <w:highlight w:val="none"/>
        </w:rPr>
      </w:pPr>
    </w:p>
    <w:p w14:paraId="625084D6">
      <w:pPr>
        <w:jc w:val="center"/>
        <w:rPr>
          <w:rFonts w:ascii="仿宋" w:hAnsi="仿宋" w:eastAsia="仿宋" w:cs="仿宋"/>
          <w:b/>
          <w:bCs/>
          <w:color w:val="auto"/>
          <w:sz w:val="28"/>
          <w:szCs w:val="28"/>
          <w:highlight w:val="none"/>
        </w:rPr>
      </w:pPr>
    </w:p>
    <w:p w14:paraId="1EB32DFA">
      <w:pPr>
        <w:jc w:val="center"/>
        <w:rPr>
          <w:rFonts w:ascii="仿宋" w:hAnsi="仿宋" w:eastAsia="仿宋" w:cs="仿宋"/>
          <w:b/>
          <w:bCs/>
          <w:color w:val="auto"/>
          <w:sz w:val="28"/>
          <w:szCs w:val="28"/>
          <w:highlight w:val="none"/>
        </w:rPr>
      </w:pPr>
    </w:p>
    <w:p w14:paraId="74ADE6B9">
      <w:pPr>
        <w:jc w:val="center"/>
        <w:rPr>
          <w:rFonts w:ascii="仿宋" w:hAnsi="仿宋" w:eastAsia="仿宋" w:cs="仿宋"/>
          <w:b/>
          <w:bCs/>
          <w:color w:val="auto"/>
          <w:sz w:val="28"/>
          <w:szCs w:val="28"/>
          <w:highlight w:val="none"/>
        </w:rPr>
      </w:pPr>
    </w:p>
    <w:p w14:paraId="0CCE3481">
      <w:pPr>
        <w:jc w:val="center"/>
        <w:rPr>
          <w:rFonts w:ascii="仿宋" w:hAnsi="仿宋" w:eastAsia="仿宋" w:cs="仿宋"/>
          <w:b/>
          <w:bCs/>
          <w:color w:val="auto"/>
          <w:sz w:val="28"/>
          <w:szCs w:val="28"/>
          <w:highlight w:val="none"/>
        </w:rPr>
      </w:pPr>
    </w:p>
    <w:p w14:paraId="1AB704F7">
      <w:pPr>
        <w:jc w:val="center"/>
        <w:rPr>
          <w:rFonts w:ascii="仿宋" w:hAnsi="仿宋" w:eastAsia="仿宋" w:cs="仿宋"/>
          <w:b/>
          <w:bCs/>
          <w:color w:val="auto"/>
          <w:sz w:val="28"/>
          <w:szCs w:val="28"/>
          <w:highlight w:val="none"/>
        </w:rPr>
      </w:pPr>
    </w:p>
    <w:p w14:paraId="607F5638">
      <w:pPr>
        <w:jc w:val="center"/>
        <w:rPr>
          <w:rFonts w:ascii="仿宋" w:hAnsi="仿宋" w:eastAsia="仿宋" w:cs="仿宋"/>
          <w:b/>
          <w:bCs/>
          <w:color w:val="auto"/>
          <w:sz w:val="28"/>
          <w:szCs w:val="28"/>
          <w:highlight w:val="none"/>
        </w:rPr>
      </w:pPr>
    </w:p>
    <w:p w14:paraId="0A4E1D2A">
      <w:pPr>
        <w:jc w:val="center"/>
        <w:rPr>
          <w:rFonts w:ascii="仿宋" w:hAnsi="仿宋" w:eastAsia="仿宋" w:cs="仿宋"/>
          <w:b/>
          <w:bCs/>
          <w:color w:val="auto"/>
          <w:sz w:val="28"/>
          <w:szCs w:val="28"/>
          <w:highlight w:val="none"/>
        </w:rPr>
      </w:pPr>
    </w:p>
    <w:p w14:paraId="61CEB392">
      <w:pPr>
        <w:jc w:val="center"/>
        <w:rPr>
          <w:rFonts w:ascii="仿宋" w:hAnsi="仿宋" w:eastAsia="仿宋" w:cs="仿宋"/>
          <w:b/>
          <w:bCs/>
          <w:color w:val="auto"/>
          <w:sz w:val="28"/>
          <w:szCs w:val="28"/>
          <w:highlight w:val="none"/>
        </w:rPr>
      </w:pPr>
    </w:p>
    <w:p w14:paraId="4543C43C">
      <w:pPr>
        <w:jc w:val="center"/>
        <w:rPr>
          <w:rFonts w:ascii="仿宋" w:hAnsi="仿宋" w:eastAsia="仿宋" w:cs="仿宋"/>
          <w:b/>
          <w:bCs/>
          <w:color w:val="auto"/>
          <w:sz w:val="28"/>
          <w:szCs w:val="28"/>
          <w:highlight w:val="none"/>
        </w:rPr>
      </w:pPr>
    </w:p>
    <w:p w14:paraId="41C47796">
      <w:pPr>
        <w:jc w:val="center"/>
        <w:rPr>
          <w:rFonts w:ascii="仿宋" w:hAnsi="仿宋" w:eastAsia="仿宋" w:cs="仿宋"/>
          <w:b/>
          <w:bCs/>
          <w:color w:val="auto"/>
          <w:sz w:val="28"/>
          <w:szCs w:val="28"/>
          <w:highlight w:val="none"/>
        </w:rPr>
      </w:pPr>
    </w:p>
    <w:p w14:paraId="19DBBB6E">
      <w:pPr>
        <w:pStyle w:val="28"/>
        <w:ind w:firstLine="281"/>
        <w:rPr>
          <w:rFonts w:ascii="仿宋" w:hAnsi="仿宋" w:eastAsia="仿宋" w:cs="仿宋"/>
          <w:b/>
          <w:bCs/>
          <w:color w:val="auto"/>
          <w:sz w:val="28"/>
          <w:szCs w:val="28"/>
          <w:highlight w:val="none"/>
        </w:rPr>
        <w:sectPr>
          <w:footerReference r:id="rId3" w:type="default"/>
          <w:pgSz w:w="11906" w:h="16838"/>
          <w:pgMar w:top="1440" w:right="1633" w:bottom="1440" w:left="1633" w:header="851" w:footer="992" w:gutter="0"/>
          <w:pgNumType w:start="1"/>
          <w:cols w:space="425" w:num="1"/>
          <w:docGrid w:type="lines" w:linePitch="312" w:charSpace="0"/>
        </w:sectPr>
      </w:pPr>
    </w:p>
    <w:p w14:paraId="664C24DB">
      <w:pPr>
        <w:rPr>
          <w:color w:val="auto"/>
          <w:highlight w:val="none"/>
        </w:rPr>
      </w:pPr>
    </w:p>
    <w:p w14:paraId="0DDAF2A3">
      <w:pPr>
        <w:rPr>
          <w:rFonts w:ascii="仿宋" w:hAnsi="仿宋" w:eastAsia="仿宋" w:cs="仿宋"/>
          <w:color w:val="auto"/>
          <w:highlight w:val="none"/>
        </w:rPr>
      </w:pPr>
    </w:p>
    <w:p w14:paraId="01688C3F">
      <w:pPr>
        <w:jc w:val="center"/>
        <w:rPr>
          <w:rFonts w:ascii="仿宋" w:hAnsi="仿宋" w:eastAsia="仿宋" w:cs="仿宋"/>
          <w:b/>
          <w:bCs/>
          <w:color w:val="auto"/>
          <w:sz w:val="28"/>
          <w:szCs w:val="28"/>
          <w:highlight w:val="none"/>
        </w:rPr>
      </w:pPr>
    </w:p>
    <w:p w14:paraId="5949D255">
      <w:pPr>
        <w:jc w:val="center"/>
        <w:rPr>
          <w:rFonts w:ascii="仿宋" w:hAnsi="仿宋" w:eastAsia="仿宋" w:cs="仿宋"/>
          <w:b/>
          <w:bCs/>
          <w:color w:val="auto"/>
          <w:sz w:val="28"/>
          <w:szCs w:val="28"/>
          <w:highlight w:val="none"/>
        </w:rPr>
      </w:pPr>
    </w:p>
    <w:p w14:paraId="79C3235B">
      <w:pPr>
        <w:jc w:val="center"/>
        <w:rPr>
          <w:rFonts w:ascii="仿宋" w:hAnsi="仿宋" w:eastAsia="仿宋" w:cs="仿宋"/>
          <w:b/>
          <w:bCs/>
          <w:color w:val="auto"/>
          <w:sz w:val="44"/>
          <w:szCs w:val="44"/>
          <w:highlight w:val="none"/>
        </w:rPr>
      </w:pPr>
      <w:bookmarkStart w:id="0" w:name="_Toc135"/>
    </w:p>
    <w:p w14:paraId="25381DFD">
      <w:pPr>
        <w:pStyle w:val="8"/>
        <w:rPr>
          <w:rFonts w:ascii="仿宋" w:hAnsi="仿宋" w:eastAsia="仿宋" w:cs="仿宋"/>
          <w:b/>
          <w:bCs/>
          <w:color w:val="auto"/>
          <w:sz w:val="44"/>
          <w:szCs w:val="44"/>
          <w:highlight w:val="none"/>
        </w:rPr>
      </w:pPr>
    </w:p>
    <w:p w14:paraId="6EA9E5B0">
      <w:pPr>
        <w:pStyle w:val="11"/>
        <w:ind w:firstLine="883"/>
        <w:rPr>
          <w:rFonts w:ascii="仿宋" w:hAnsi="仿宋" w:eastAsia="仿宋" w:cs="仿宋"/>
          <w:b/>
          <w:bCs/>
          <w:color w:val="auto"/>
          <w:sz w:val="44"/>
          <w:szCs w:val="44"/>
          <w:highlight w:val="none"/>
        </w:rPr>
      </w:pPr>
    </w:p>
    <w:p w14:paraId="6DA0AB87">
      <w:pPr>
        <w:rPr>
          <w:rFonts w:ascii="仿宋" w:hAnsi="仿宋" w:eastAsia="仿宋" w:cs="仿宋"/>
          <w:b/>
          <w:bCs/>
          <w:color w:val="auto"/>
          <w:sz w:val="44"/>
          <w:szCs w:val="44"/>
          <w:highlight w:val="none"/>
        </w:rPr>
      </w:pPr>
    </w:p>
    <w:p w14:paraId="09192D73">
      <w:pPr>
        <w:pStyle w:val="8"/>
        <w:rPr>
          <w:rFonts w:ascii="仿宋" w:hAnsi="仿宋" w:eastAsia="仿宋" w:cs="仿宋"/>
          <w:b/>
          <w:bCs/>
          <w:color w:val="auto"/>
          <w:sz w:val="44"/>
          <w:szCs w:val="44"/>
          <w:highlight w:val="none"/>
        </w:rPr>
      </w:pPr>
    </w:p>
    <w:p w14:paraId="473EA53A">
      <w:pPr>
        <w:jc w:val="center"/>
        <w:outlineLvl w:val="0"/>
        <w:rPr>
          <w:rFonts w:ascii="仿宋" w:hAnsi="仿宋" w:eastAsia="仿宋" w:cs="仿宋"/>
          <w:b/>
          <w:bCs/>
          <w:color w:val="auto"/>
          <w:sz w:val="44"/>
          <w:szCs w:val="44"/>
          <w:highlight w:val="none"/>
        </w:rPr>
      </w:pPr>
      <w:bookmarkStart w:id="1" w:name="_Toc17006"/>
      <w:r>
        <w:rPr>
          <w:rFonts w:hint="eastAsia" w:ascii="仿宋" w:hAnsi="仿宋" w:eastAsia="仿宋" w:cs="仿宋"/>
          <w:b/>
          <w:bCs/>
          <w:color w:val="auto"/>
          <w:sz w:val="44"/>
          <w:szCs w:val="44"/>
          <w:highlight w:val="none"/>
        </w:rPr>
        <w:t>第一章  询比采购公告</w:t>
      </w:r>
      <w:bookmarkEnd w:id="0"/>
      <w:bookmarkEnd w:id="1"/>
    </w:p>
    <w:p w14:paraId="59FAB9D1">
      <w:pPr>
        <w:rPr>
          <w:rFonts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br w:type="page"/>
      </w:r>
    </w:p>
    <w:p w14:paraId="20FACA8D">
      <w:pPr>
        <w:jc w:val="center"/>
        <w:rPr>
          <w:rFonts w:ascii="仿宋" w:hAnsi="仿宋" w:eastAsia="仿宋" w:cs="仿宋"/>
          <w:b/>
          <w:bCs/>
          <w:color w:val="auto"/>
          <w:sz w:val="32"/>
          <w:szCs w:val="32"/>
          <w:highlight w:val="none"/>
        </w:rPr>
      </w:pPr>
      <w:bookmarkStart w:id="2" w:name="_Toc23630"/>
      <w:bookmarkStart w:id="3" w:name="_Toc1572"/>
      <w:bookmarkStart w:id="4" w:name="_Toc21170"/>
      <w:r>
        <w:rPr>
          <w:rFonts w:hint="eastAsia" w:ascii="仿宋" w:hAnsi="仿宋" w:eastAsia="仿宋" w:cs="仿宋"/>
          <w:b/>
          <w:bCs/>
          <w:color w:val="auto"/>
          <w:sz w:val="32"/>
          <w:szCs w:val="32"/>
          <w:highlight w:val="none"/>
        </w:rPr>
        <w:t>青海民族大学南山校区高原特色资源科研创新中心建设项目全过程造价咨询服务</w:t>
      </w:r>
    </w:p>
    <w:p w14:paraId="4F5E8634">
      <w:pPr>
        <w:jc w:val="center"/>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询比采购公告</w:t>
      </w:r>
      <w:bookmarkEnd w:id="2"/>
      <w:bookmarkEnd w:id="3"/>
      <w:bookmarkEnd w:id="4"/>
    </w:p>
    <w:p w14:paraId="6FF1B376">
      <w:pPr>
        <w:spacing w:line="360" w:lineRule="auto"/>
        <w:ind w:firstLine="2400" w:firstLineChars="1000"/>
        <w:rPr>
          <w:rFonts w:ascii="仿宋" w:hAnsi="仿宋" w:eastAsia="仿宋" w:cs="仿宋"/>
          <w:color w:val="auto"/>
          <w:sz w:val="24"/>
          <w:highlight w:val="none"/>
        </w:rPr>
      </w:pPr>
      <w:r>
        <w:rPr>
          <w:rFonts w:hint="eastAsia" w:ascii="仿宋" w:hAnsi="仿宋" w:eastAsia="仿宋" w:cs="仿宋"/>
          <w:color w:val="auto"/>
          <w:sz w:val="24"/>
          <w:highlight w:val="none"/>
          <w:lang w:val="zh-CN"/>
        </w:rPr>
        <w:t>（项目编号：青海联祥询比（服务）2026-108）</w:t>
      </w:r>
    </w:p>
    <w:p w14:paraId="5E7F72CC">
      <w:pPr>
        <w:numPr>
          <w:ilvl w:val="1"/>
          <w:numId w:val="0"/>
        </w:numPr>
        <w:spacing w:line="360" w:lineRule="auto"/>
        <w:ind w:firstLine="480" w:firstLineChars="200"/>
        <w:rPr>
          <w:rFonts w:ascii="仿宋" w:hAnsi="仿宋" w:eastAsia="仿宋" w:cs="仿宋"/>
          <w:b/>
          <w:color w:val="auto"/>
          <w:sz w:val="24"/>
          <w:highlight w:val="none"/>
        </w:rPr>
      </w:pPr>
      <w:bookmarkStart w:id="5" w:name="_Toc11262"/>
      <w:bookmarkStart w:id="6" w:name="_Toc19481"/>
      <w:bookmarkStart w:id="7" w:name="_Toc2432"/>
      <w:r>
        <w:rPr>
          <w:rFonts w:hint="eastAsia" w:ascii="仿宋" w:hAnsi="仿宋" w:eastAsia="仿宋" w:cs="仿宋"/>
          <w:color w:val="auto"/>
          <w:sz w:val="24"/>
          <w:highlight w:val="none"/>
        </w:rPr>
        <w:t>青海民族大学南山校区高原特色资源科研创新中心建设项目全过程造价咨询服务项目已具备采购条件，现对该项目进行询比采购，特邀请满足资格条件的潜在供应商参与本项目的投标。</w:t>
      </w:r>
    </w:p>
    <w:p w14:paraId="443ECF21">
      <w:pPr>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1采购项目简介</w:t>
      </w:r>
      <w:bookmarkEnd w:id="5"/>
      <w:bookmarkEnd w:id="6"/>
      <w:bookmarkEnd w:id="7"/>
    </w:p>
    <w:p w14:paraId="71B731A0">
      <w:pPr>
        <w:numPr>
          <w:ilvl w:val="1"/>
          <w:numId w:val="4"/>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采购项目名称：青海民族大学南山校区高原特色资源科研创新中心建设项目全过程造价咨询服务</w:t>
      </w:r>
    </w:p>
    <w:p w14:paraId="3543A0D0">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1.2 采购人：青海民族大学</w:t>
      </w:r>
    </w:p>
    <w:p w14:paraId="24E04C53">
      <w:pPr>
        <w:numPr>
          <w:ilvl w:val="1"/>
          <w:numId w:val="0"/>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 采购代理机构：青海联祥招标代理有限公司</w:t>
      </w:r>
    </w:p>
    <w:p w14:paraId="4610CB5C">
      <w:pPr>
        <w:numPr>
          <w:ilvl w:val="1"/>
          <w:numId w:val="0"/>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1.4 采购项目资金落实情况：已落实 </w:t>
      </w:r>
    </w:p>
    <w:p w14:paraId="3D53939C">
      <w:pPr>
        <w:numPr>
          <w:ilvl w:val="1"/>
          <w:numId w:val="0"/>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 采购项目概况：</w:t>
      </w:r>
    </w:p>
    <w:p w14:paraId="06F3390E">
      <w:pPr>
        <w:spacing w:line="360" w:lineRule="auto"/>
        <w:ind w:firstLine="720" w:firstLineChars="300"/>
        <w:rPr>
          <w:rFonts w:ascii="仿宋" w:hAnsi="仿宋" w:eastAsia="仿宋" w:cs="仿宋"/>
          <w:color w:val="auto"/>
          <w:sz w:val="24"/>
          <w:highlight w:val="none"/>
        </w:rPr>
      </w:pPr>
      <w:r>
        <w:rPr>
          <w:rFonts w:hint="eastAsia" w:ascii="仿宋" w:hAnsi="仿宋" w:eastAsia="仿宋" w:cs="仿宋"/>
          <w:color w:val="auto"/>
          <w:sz w:val="24"/>
          <w:highlight w:val="none"/>
        </w:rPr>
        <w:t>该项目主要为青海民族大学南山校区高原特色资源科研创新中心建设项目全过程造价咨询服务，具体详见询比采购文件。</w:t>
      </w:r>
    </w:p>
    <w:p w14:paraId="22C97B2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 采购预算：施工招标控制价的5.19‰(建安投资约为10,700.00万元)。</w:t>
      </w:r>
    </w:p>
    <w:p w14:paraId="6FB36960">
      <w:pPr>
        <w:numPr>
          <w:ilvl w:val="1"/>
          <w:numId w:val="0"/>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 成交供应商数量及成交份额</w:t>
      </w:r>
    </w:p>
    <w:p w14:paraId="6DF2B8B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 xml:space="preserve"> 一家</w:t>
      </w:r>
    </w:p>
    <w:p w14:paraId="5DB937D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家，成交份额：第一名：；第二名：；第三名：；......</w:t>
      </w:r>
    </w:p>
    <w:p w14:paraId="28FA7BF9">
      <w:pPr>
        <w:spacing w:line="360" w:lineRule="auto"/>
        <w:rPr>
          <w:rFonts w:ascii="仿宋" w:hAnsi="仿宋" w:eastAsia="仿宋" w:cs="仿宋"/>
          <w:b/>
          <w:bCs/>
          <w:color w:val="auto"/>
          <w:sz w:val="24"/>
          <w:highlight w:val="none"/>
        </w:rPr>
      </w:pPr>
      <w:bookmarkStart w:id="8" w:name="_Toc22071"/>
      <w:bookmarkStart w:id="9" w:name="_Toc5457"/>
      <w:bookmarkStart w:id="10" w:name="_Toc7633"/>
      <w:r>
        <w:rPr>
          <w:rFonts w:hint="eastAsia" w:ascii="仿宋" w:hAnsi="仿宋" w:eastAsia="仿宋" w:cs="仿宋"/>
          <w:b/>
          <w:bCs/>
          <w:color w:val="auto"/>
          <w:sz w:val="24"/>
          <w:highlight w:val="none"/>
        </w:rPr>
        <w:t>2 采购范围及相关要求</w:t>
      </w:r>
      <w:bookmarkEnd w:id="8"/>
      <w:bookmarkEnd w:id="9"/>
      <w:bookmarkEnd w:id="10"/>
    </w:p>
    <w:p w14:paraId="7E6219F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  采购范围：该项目主要为青海民族大学南山校区高原特色资源科研创新中心建设项目全过程造价咨询服务，具体详见询比采购文件。</w:t>
      </w:r>
    </w:p>
    <w:p w14:paraId="459CEBF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  服务期限：同项目实施全周期（合同签订至项目完成决算）。</w:t>
      </w:r>
    </w:p>
    <w:p w14:paraId="0E0A101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2.3  本次采购项目共划分1个包，各包要求如下：</w:t>
      </w:r>
    </w:p>
    <w:p w14:paraId="6E0ADE3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分包编号：</w:t>
      </w:r>
      <w:r>
        <w:rPr>
          <w:rFonts w:hint="eastAsia" w:ascii="仿宋" w:hAnsi="仿宋" w:eastAsia="仿宋" w:cs="仿宋"/>
          <w:color w:val="auto"/>
          <w:sz w:val="24"/>
          <w:highlight w:val="none"/>
          <w:lang w:val="zh-CN"/>
        </w:rPr>
        <w:t>青海联祥询比（服务）2026-108</w:t>
      </w:r>
    </w:p>
    <w:p w14:paraId="7D522AD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分包名称：青海民族大学南山校区高原特色资源科研创新中心建设项目全过程造价咨询服务</w:t>
      </w:r>
    </w:p>
    <w:p w14:paraId="2B7FE1B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分包内容：详见询比采购文件</w:t>
      </w:r>
    </w:p>
    <w:p w14:paraId="1A801A3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2.4实施地点：青海民族大学指定地点</w:t>
      </w:r>
    </w:p>
    <w:p w14:paraId="5A59CEF8">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2.5质量要求：满足国家现行及行业标准</w:t>
      </w:r>
    </w:p>
    <w:p w14:paraId="387FC354">
      <w:pPr>
        <w:spacing w:line="360" w:lineRule="auto"/>
        <w:rPr>
          <w:rFonts w:ascii="仿宋" w:hAnsi="仿宋" w:eastAsia="仿宋" w:cs="仿宋"/>
          <w:b/>
          <w:bCs/>
          <w:color w:val="auto"/>
          <w:sz w:val="24"/>
          <w:highlight w:val="none"/>
        </w:rPr>
      </w:pPr>
      <w:bookmarkStart w:id="11" w:name="_Toc7058"/>
      <w:bookmarkStart w:id="12" w:name="_Toc16419"/>
      <w:bookmarkStart w:id="13" w:name="_Toc32102"/>
      <w:r>
        <w:rPr>
          <w:rFonts w:hint="eastAsia" w:ascii="仿宋" w:hAnsi="仿宋" w:eastAsia="仿宋" w:cs="仿宋"/>
          <w:b/>
          <w:bCs/>
          <w:color w:val="auto"/>
          <w:sz w:val="24"/>
          <w:highlight w:val="none"/>
        </w:rPr>
        <w:t>3 供应商资格要求</w:t>
      </w:r>
      <w:bookmarkEnd w:id="11"/>
      <w:bookmarkEnd w:id="12"/>
      <w:bookmarkEnd w:id="13"/>
    </w:p>
    <w:p w14:paraId="70385293">
      <w:pPr>
        <w:spacing w:line="360" w:lineRule="auto"/>
        <w:rPr>
          <w:rFonts w:ascii="仿宋" w:hAnsi="仿宋" w:eastAsia="仿宋" w:cs="仿宋"/>
          <w:color w:val="auto"/>
          <w:sz w:val="24"/>
          <w:highlight w:val="none"/>
        </w:rPr>
      </w:pPr>
      <w:bookmarkStart w:id="14" w:name="_Toc29932"/>
      <w:r>
        <w:rPr>
          <w:rFonts w:hint="eastAsia" w:ascii="仿宋" w:hAnsi="仿宋" w:eastAsia="仿宋" w:cs="仿宋"/>
          <w:color w:val="auto"/>
          <w:sz w:val="24"/>
          <w:highlight w:val="none"/>
        </w:rPr>
        <w:t>3.1供应商依法设立且满足如下要求：</w:t>
      </w:r>
      <w:bookmarkEnd w:id="14"/>
    </w:p>
    <w:p w14:paraId="1692A9F3">
      <w:pPr>
        <w:autoSpaceDE w:val="0"/>
        <w:autoSpaceDN w:val="0"/>
        <w:spacing w:line="360" w:lineRule="auto"/>
        <w:rPr>
          <w:rFonts w:ascii="仿宋" w:hAnsi="仿宋" w:eastAsia="仿宋" w:cs="仿宋"/>
          <w:b/>
          <w:bCs/>
          <w:color w:val="auto"/>
          <w:sz w:val="24"/>
          <w:szCs w:val="32"/>
          <w:highlight w:val="none"/>
        </w:rPr>
      </w:pPr>
      <w:bookmarkStart w:id="15" w:name="_Toc17992"/>
      <w:bookmarkStart w:id="16" w:name="_Toc5550"/>
      <w:bookmarkStart w:id="17" w:name="_Toc22485"/>
      <w:r>
        <w:rPr>
          <w:rFonts w:hint="eastAsia" w:ascii="仿宋" w:hAnsi="仿宋" w:eastAsia="仿宋" w:cs="仿宋"/>
          <w:color w:val="auto"/>
          <w:sz w:val="24"/>
          <w:szCs w:val="32"/>
          <w:highlight w:val="none"/>
        </w:rPr>
        <w:t>（1）资格要求</w:t>
      </w:r>
      <w:r>
        <w:rPr>
          <w:rFonts w:hint="eastAsia" w:ascii="仿宋" w:hAnsi="仿宋" w:eastAsia="仿宋" w:cs="仿宋"/>
          <w:b/>
          <w:bCs/>
          <w:color w:val="auto"/>
          <w:sz w:val="24"/>
          <w:szCs w:val="32"/>
          <w:highlight w:val="none"/>
        </w:rPr>
        <w:t>：</w:t>
      </w:r>
      <w:bookmarkEnd w:id="15"/>
      <w:bookmarkEnd w:id="16"/>
      <w:bookmarkEnd w:id="17"/>
      <w:bookmarkStart w:id="18" w:name="EB42937d35f883478a9ca251e6cc16f35f"/>
      <w:bookmarkEnd w:id="18"/>
      <w:r>
        <w:rPr>
          <w:rFonts w:hint="eastAsia" w:ascii="仿宋" w:hAnsi="仿宋" w:eastAsia="仿宋" w:cs="仿宋"/>
          <w:b/>
          <w:bCs/>
          <w:color w:val="auto"/>
          <w:sz w:val="24"/>
          <w:szCs w:val="32"/>
          <w:highlight w:val="none"/>
        </w:rPr>
        <w:t>具备有效的营业执照，并在人员、设备、资金等方面具备相应的能力。</w:t>
      </w:r>
    </w:p>
    <w:p w14:paraId="76BA6FBC">
      <w:pPr>
        <w:spacing w:line="360" w:lineRule="auto"/>
        <w:rPr>
          <w:rFonts w:ascii="仿宋" w:hAnsi="仿宋" w:eastAsia="仿宋" w:cs="仿宋"/>
          <w:color w:val="auto"/>
          <w:sz w:val="24"/>
          <w:szCs w:val="32"/>
          <w:highlight w:val="none"/>
        </w:rPr>
      </w:pPr>
      <w:bookmarkStart w:id="19" w:name="_Toc31868"/>
      <w:bookmarkStart w:id="20" w:name="_Toc16955"/>
      <w:bookmarkStart w:id="21" w:name="_Toc6774"/>
      <w:r>
        <w:rPr>
          <w:rFonts w:hint="eastAsia" w:ascii="仿宋" w:hAnsi="仿宋" w:eastAsia="仿宋" w:cs="仿宋"/>
          <w:color w:val="auto"/>
          <w:sz w:val="24"/>
          <w:szCs w:val="32"/>
          <w:highlight w:val="none"/>
        </w:rPr>
        <w:t>（2）财务要求：</w:t>
      </w:r>
      <w:bookmarkEnd w:id="19"/>
      <w:bookmarkEnd w:id="20"/>
      <w:bookmarkEnd w:id="21"/>
      <w:bookmarkStart w:id="22" w:name="_Toc22929"/>
      <w:bookmarkStart w:id="23" w:name="_Toc24296"/>
      <w:bookmarkStart w:id="24" w:name="_Toc28054"/>
      <w:r>
        <w:rPr>
          <w:rFonts w:hint="eastAsia" w:ascii="仿宋" w:hAnsi="仿宋" w:eastAsia="仿宋" w:cs="仿宋"/>
          <w:b/>
          <w:bCs/>
          <w:color w:val="auto"/>
          <w:sz w:val="24"/>
          <w:szCs w:val="32"/>
          <w:highlight w:val="none"/>
        </w:rPr>
        <w:t>提供2025年度的会计师事务所或审计机构审计的财务会计报表，包括审计报告、资产负债表、现金流量表、利润表和财务（会计）报表附注的复印件、并提供第三方机构的营业执照、执业证书复印件。如投标人的成立时间少于投标人须知前附表规定年份的，应提供成立以来的财务状况表或开标前</w:t>
      </w:r>
      <w:r>
        <w:rPr>
          <w:rFonts w:hint="eastAsia" w:ascii="仿宋" w:hAnsi="仿宋" w:eastAsia="仿宋" w:cs="仿宋"/>
          <w:b/>
          <w:bCs/>
          <w:color w:val="auto"/>
          <w:sz w:val="24"/>
          <w:szCs w:val="32"/>
          <w:highlight w:val="none"/>
          <w:lang w:val="zh-CN"/>
        </w:rPr>
        <w:t>近三个月内出具的资信证明</w:t>
      </w:r>
      <w:r>
        <w:rPr>
          <w:rFonts w:hint="eastAsia" w:ascii="仿宋" w:hAnsi="仿宋" w:eastAsia="仿宋" w:cs="仿宋"/>
          <w:b/>
          <w:bCs/>
          <w:color w:val="auto"/>
          <w:sz w:val="24"/>
          <w:szCs w:val="32"/>
          <w:highlight w:val="none"/>
        </w:rPr>
        <w:t>。</w:t>
      </w:r>
    </w:p>
    <w:p w14:paraId="1DE6CB58">
      <w:pPr>
        <w:spacing w:line="360" w:lineRule="auto"/>
        <w:rPr>
          <w:rFonts w:ascii="仿宋" w:hAnsi="仿宋" w:eastAsia="仿宋" w:cs="仿宋"/>
          <w:b/>
          <w:bCs/>
          <w:color w:val="auto"/>
          <w:sz w:val="24"/>
          <w:szCs w:val="32"/>
          <w:highlight w:val="none"/>
          <w:lang w:val="zh-CN"/>
        </w:rPr>
      </w:pPr>
      <w:r>
        <w:rPr>
          <w:rFonts w:hint="eastAsia" w:ascii="仿宋" w:hAnsi="仿宋" w:eastAsia="仿宋" w:cs="仿宋"/>
          <w:color w:val="auto"/>
          <w:sz w:val="24"/>
          <w:szCs w:val="32"/>
          <w:highlight w:val="none"/>
        </w:rPr>
        <w:t>（3）信誉要求：</w:t>
      </w:r>
      <w:r>
        <w:rPr>
          <w:rFonts w:hint="eastAsia" w:ascii="仿宋" w:hAnsi="仿宋" w:eastAsia="仿宋" w:cs="仿宋"/>
          <w:b/>
          <w:bCs/>
          <w:color w:val="auto"/>
          <w:sz w:val="24"/>
          <w:szCs w:val="32"/>
          <w:highlight w:val="none"/>
          <w:lang w:val="zh-CN"/>
        </w:rPr>
        <w:t>经信用中国</w:t>
      </w:r>
      <w:r>
        <w:rPr>
          <w:rFonts w:hint="eastAsia" w:ascii="仿宋" w:hAnsi="仿宋" w:eastAsia="仿宋" w:cs="仿宋"/>
          <w:b/>
          <w:bCs/>
          <w:color w:val="auto"/>
          <w:sz w:val="24"/>
          <w:szCs w:val="32"/>
          <w:highlight w:val="none"/>
        </w:rPr>
        <w:t>（www.creditchina.gov.cn）</w:t>
      </w:r>
      <w:r>
        <w:rPr>
          <w:rFonts w:hint="eastAsia" w:ascii="仿宋" w:hAnsi="仿宋" w:eastAsia="仿宋" w:cs="仿宋"/>
          <w:b/>
          <w:bCs/>
          <w:color w:val="auto"/>
          <w:sz w:val="24"/>
          <w:szCs w:val="32"/>
          <w:highlight w:val="none"/>
          <w:lang w:val="zh-CN"/>
        </w:rPr>
        <w:t>渠道查询后</w:t>
      </w:r>
      <w:r>
        <w:rPr>
          <w:rFonts w:hint="eastAsia" w:ascii="仿宋" w:hAnsi="仿宋" w:eastAsia="仿宋" w:cs="仿宋"/>
          <w:b/>
          <w:bCs/>
          <w:color w:val="auto"/>
          <w:sz w:val="24"/>
          <w:szCs w:val="32"/>
          <w:highlight w:val="none"/>
        </w:rPr>
        <w:t>，</w:t>
      </w:r>
      <w:r>
        <w:rPr>
          <w:rFonts w:hint="eastAsia" w:ascii="仿宋" w:hAnsi="仿宋" w:eastAsia="仿宋" w:cs="仿宋"/>
          <w:b/>
          <w:bCs/>
          <w:color w:val="auto"/>
          <w:sz w:val="24"/>
          <w:szCs w:val="32"/>
          <w:highlight w:val="none"/>
          <w:lang w:val="zh-CN"/>
        </w:rPr>
        <w:t>列入失信被执行人、重大税收违法失信主体、政府采购严重违法失信行为记录名单的</w:t>
      </w:r>
      <w:r>
        <w:rPr>
          <w:rFonts w:hint="eastAsia" w:ascii="仿宋" w:hAnsi="仿宋" w:eastAsia="仿宋" w:cs="仿宋"/>
          <w:b/>
          <w:bCs/>
          <w:color w:val="auto"/>
          <w:sz w:val="24"/>
          <w:szCs w:val="32"/>
          <w:highlight w:val="none"/>
        </w:rPr>
        <w:t>，</w:t>
      </w:r>
      <w:r>
        <w:rPr>
          <w:rFonts w:hint="eastAsia" w:ascii="仿宋" w:hAnsi="仿宋" w:eastAsia="仿宋" w:cs="仿宋"/>
          <w:b/>
          <w:bCs/>
          <w:color w:val="auto"/>
          <w:sz w:val="24"/>
          <w:szCs w:val="32"/>
          <w:highlight w:val="none"/>
          <w:lang w:val="zh-CN"/>
        </w:rPr>
        <w:t>取消投标资格。响应人应提供</w:t>
      </w:r>
      <w:r>
        <w:rPr>
          <w:rFonts w:hint="eastAsia" w:ascii="仿宋" w:hAnsi="仿宋" w:eastAsia="仿宋" w:cs="仿宋"/>
          <w:b/>
          <w:bCs/>
          <w:color w:val="auto"/>
          <w:sz w:val="24"/>
          <w:szCs w:val="32"/>
          <w:highlight w:val="none"/>
          <w:lang w:val="en-US" w:eastAsia="zh-CN"/>
        </w:rPr>
        <w:t>信用中国</w:t>
      </w:r>
      <w:r>
        <w:rPr>
          <w:rFonts w:hint="eastAsia" w:ascii="仿宋" w:hAnsi="仿宋" w:eastAsia="仿宋" w:cs="仿宋"/>
          <w:b/>
          <w:bCs/>
          <w:color w:val="auto"/>
          <w:sz w:val="24"/>
          <w:szCs w:val="32"/>
          <w:highlight w:val="none"/>
          <w:lang w:val="zh-CN"/>
        </w:rPr>
        <w:t>查询截图。</w:t>
      </w:r>
    </w:p>
    <w:p w14:paraId="69AF953C">
      <w:pPr>
        <w:spacing w:line="360" w:lineRule="auto"/>
        <w:rPr>
          <w:rFonts w:ascii="仿宋" w:hAnsi="仿宋" w:eastAsia="仿宋" w:cs="仿宋"/>
          <w:b/>
          <w:bCs/>
          <w:color w:val="auto"/>
          <w:sz w:val="24"/>
          <w:szCs w:val="32"/>
          <w:highlight w:val="none"/>
        </w:rPr>
      </w:pPr>
      <w:r>
        <w:rPr>
          <w:rFonts w:hint="eastAsia" w:ascii="仿宋" w:hAnsi="仿宋" w:eastAsia="仿宋" w:cs="仿宋"/>
          <w:color w:val="auto"/>
          <w:sz w:val="24"/>
          <w:szCs w:val="32"/>
          <w:highlight w:val="none"/>
          <w:lang w:val="zh-CN"/>
        </w:rPr>
        <w:t>（</w:t>
      </w:r>
      <w:r>
        <w:rPr>
          <w:rFonts w:hint="eastAsia" w:ascii="仿宋" w:hAnsi="仿宋" w:eastAsia="仿宋" w:cs="仿宋"/>
          <w:color w:val="auto"/>
          <w:sz w:val="24"/>
          <w:szCs w:val="32"/>
          <w:highlight w:val="none"/>
        </w:rPr>
        <w:t>4）</w:t>
      </w:r>
      <w:r>
        <w:rPr>
          <w:rFonts w:hint="eastAsia" w:ascii="仿宋" w:hAnsi="仿宋" w:eastAsia="仿宋" w:cs="仿宋"/>
          <w:color w:val="auto"/>
          <w:sz w:val="24"/>
          <w:highlight w:val="none"/>
        </w:rPr>
        <w:t>承担本项目的主要人员要求证明材料：</w:t>
      </w:r>
      <w:r>
        <w:rPr>
          <w:rFonts w:hint="eastAsia" w:ascii="仿宋" w:hAnsi="仿宋" w:eastAsia="仿宋" w:cs="仿宋"/>
          <w:b/>
          <w:bCs/>
          <w:color w:val="auto"/>
          <w:sz w:val="24"/>
          <w:highlight w:val="none"/>
        </w:rPr>
        <w:t>项目负责人具有一级造价工程师证书（土木建筑工程）且证书注册单位与投标单位一致。</w:t>
      </w:r>
    </w:p>
    <w:p w14:paraId="3B60B11E">
      <w:pPr>
        <w:spacing w:line="360" w:lineRule="auto"/>
        <w:rPr>
          <w:rFonts w:ascii="仿宋" w:hAnsi="仿宋" w:eastAsia="仿宋" w:cs="仿宋"/>
          <w:b/>
          <w:bCs/>
          <w:color w:val="auto"/>
          <w:sz w:val="24"/>
          <w:szCs w:val="32"/>
          <w:highlight w:val="none"/>
        </w:rPr>
      </w:pPr>
      <w:r>
        <w:rPr>
          <w:rFonts w:hint="eastAsia" w:ascii="仿宋" w:hAnsi="仿宋" w:eastAsia="仿宋" w:cs="仿宋"/>
          <w:color w:val="auto"/>
          <w:sz w:val="24"/>
          <w:szCs w:val="32"/>
          <w:highlight w:val="none"/>
        </w:rPr>
        <w:t>（5）其他要求：</w:t>
      </w:r>
      <w:r>
        <w:rPr>
          <w:rFonts w:hint="eastAsia" w:ascii="仿宋" w:hAnsi="仿宋" w:eastAsia="仿宋" w:cs="仿宋"/>
          <w:b/>
          <w:bCs/>
          <w:color w:val="auto"/>
          <w:sz w:val="24"/>
          <w:szCs w:val="32"/>
          <w:highlight w:val="none"/>
        </w:rPr>
        <w:t>企业注册地不在青海省辖区内的企业，应提供青海省省外建设工程企业信息登记册。</w:t>
      </w:r>
    </w:p>
    <w:bookmarkEnd w:id="22"/>
    <w:bookmarkEnd w:id="23"/>
    <w:bookmarkEnd w:id="24"/>
    <w:p w14:paraId="6D52C6BA">
      <w:pPr>
        <w:spacing w:line="360" w:lineRule="auto"/>
        <w:rPr>
          <w:rFonts w:ascii="仿宋" w:hAnsi="仿宋" w:eastAsia="仿宋" w:cs="仿宋"/>
          <w:color w:val="auto"/>
          <w:sz w:val="24"/>
          <w:szCs w:val="32"/>
          <w:highlight w:val="none"/>
        </w:rPr>
      </w:pPr>
      <w:bookmarkStart w:id="25" w:name="_Toc27452"/>
      <w:bookmarkStart w:id="26" w:name="_Toc15278"/>
      <w:bookmarkStart w:id="27" w:name="_Toc4183"/>
      <w:bookmarkStart w:id="28" w:name="_Toc662"/>
      <w:r>
        <w:rPr>
          <w:rFonts w:hint="eastAsia" w:ascii="仿宋" w:hAnsi="仿宋" w:eastAsia="仿宋" w:cs="仿宋"/>
          <w:color w:val="auto"/>
          <w:sz w:val="24"/>
          <w:szCs w:val="32"/>
          <w:highlight w:val="none"/>
        </w:rPr>
        <w:t>3.2供应商不得存在下列情形之一：</w:t>
      </w:r>
      <w:bookmarkEnd w:id="25"/>
      <w:bookmarkEnd w:id="26"/>
      <w:bookmarkEnd w:id="27"/>
      <w:bookmarkEnd w:id="28"/>
    </w:p>
    <w:p w14:paraId="6DCC455C">
      <w:pPr>
        <w:spacing w:line="360" w:lineRule="auto"/>
        <w:ind w:firstLine="480" w:firstLineChars="200"/>
        <w:rPr>
          <w:rFonts w:ascii="仿宋" w:hAnsi="仿宋" w:eastAsia="仿宋" w:cs="仿宋"/>
          <w:color w:val="auto"/>
          <w:sz w:val="24"/>
          <w:szCs w:val="32"/>
          <w:highlight w:val="none"/>
        </w:rPr>
      </w:pPr>
      <w:bookmarkStart w:id="29" w:name="_Toc29666"/>
      <w:bookmarkStart w:id="30" w:name="_Toc15659"/>
      <w:bookmarkStart w:id="31" w:name="_Toc4203"/>
      <w:r>
        <w:rPr>
          <w:rFonts w:hint="eastAsia" w:ascii="仿宋" w:hAnsi="仿宋" w:eastAsia="仿宋" w:cs="仿宋"/>
          <w:color w:val="auto"/>
          <w:sz w:val="24"/>
          <w:szCs w:val="32"/>
          <w:highlight w:val="none"/>
        </w:rPr>
        <w:t>（1）处于被责令停产停业、暂扣或者吊销执照、暂扣或者吊销许可证、吊销资质证书状态；</w:t>
      </w:r>
      <w:bookmarkEnd w:id="29"/>
      <w:bookmarkEnd w:id="30"/>
      <w:bookmarkEnd w:id="31"/>
    </w:p>
    <w:p w14:paraId="686BD0FE">
      <w:pPr>
        <w:spacing w:line="360" w:lineRule="auto"/>
        <w:ind w:firstLine="480" w:firstLineChars="200"/>
        <w:rPr>
          <w:rFonts w:ascii="仿宋" w:hAnsi="仿宋" w:eastAsia="仿宋" w:cs="仿宋"/>
          <w:color w:val="auto"/>
          <w:sz w:val="24"/>
          <w:szCs w:val="32"/>
          <w:highlight w:val="none"/>
        </w:rPr>
      </w:pPr>
      <w:r>
        <w:rPr>
          <w:rFonts w:hint="eastAsia" w:ascii="仿宋" w:hAnsi="仿宋" w:eastAsia="仿宋" w:cs="仿宋"/>
          <w:color w:val="auto"/>
          <w:sz w:val="24"/>
          <w:szCs w:val="32"/>
          <w:highlight w:val="none"/>
        </w:rPr>
        <w:t>（2）进入清算程序，或被宣告破产，或其他丧失履约能力的情形；</w:t>
      </w:r>
    </w:p>
    <w:p w14:paraId="3AF28C6F">
      <w:pPr>
        <w:spacing w:line="360" w:lineRule="auto"/>
        <w:ind w:firstLine="480" w:firstLineChars="200"/>
        <w:rPr>
          <w:rFonts w:ascii="仿宋" w:hAnsi="仿宋" w:eastAsia="仿宋" w:cs="仿宋"/>
          <w:color w:val="auto"/>
          <w:sz w:val="24"/>
          <w:szCs w:val="32"/>
          <w:highlight w:val="none"/>
        </w:rPr>
      </w:pPr>
      <w:r>
        <w:rPr>
          <w:rFonts w:hint="eastAsia" w:ascii="仿宋" w:hAnsi="仿宋" w:eastAsia="仿宋" w:cs="仿宋"/>
          <w:color w:val="auto"/>
          <w:sz w:val="24"/>
          <w:szCs w:val="32"/>
          <w:highlight w:val="none"/>
        </w:rPr>
        <w:t>（3）其他：法律法规规定的其他情形。</w:t>
      </w:r>
    </w:p>
    <w:p w14:paraId="63BBB807">
      <w:pPr>
        <w:spacing w:line="360" w:lineRule="auto"/>
        <w:rPr>
          <w:rFonts w:ascii="仿宋" w:hAnsi="仿宋" w:eastAsia="仿宋" w:cs="仿宋"/>
          <w:color w:val="auto"/>
          <w:sz w:val="24"/>
          <w:highlight w:val="none"/>
        </w:rPr>
      </w:pPr>
      <w:bookmarkStart w:id="32" w:name="_Toc1507"/>
      <w:bookmarkStart w:id="33" w:name="_Toc21138"/>
      <w:bookmarkStart w:id="34" w:name="_Toc32294"/>
      <w:bookmarkStart w:id="35" w:name="_Toc25255"/>
      <w:r>
        <w:rPr>
          <w:rFonts w:hint="eastAsia" w:ascii="仿宋" w:hAnsi="仿宋" w:eastAsia="仿宋" w:cs="仿宋"/>
          <w:color w:val="auto"/>
          <w:sz w:val="24"/>
          <w:szCs w:val="32"/>
          <w:highlight w:val="none"/>
        </w:rPr>
        <w:t>3.3本次采购不接受联合体。</w:t>
      </w:r>
      <w:bookmarkEnd w:id="32"/>
      <w:bookmarkEnd w:id="33"/>
      <w:bookmarkEnd w:id="34"/>
      <w:bookmarkEnd w:id="35"/>
    </w:p>
    <w:p w14:paraId="48D7E95E">
      <w:pPr>
        <w:spacing w:line="360" w:lineRule="auto"/>
        <w:rPr>
          <w:rFonts w:ascii="仿宋" w:hAnsi="仿宋" w:eastAsia="仿宋" w:cs="仿宋"/>
          <w:b/>
          <w:bCs/>
          <w:color w:val="auto"/>
          <w:sz w:val="24"/>
          <w:highlight w:val="none"/>
        </w:rPr>
      </w:pPr>
      <w:bookmarkStart w:id="36" w:name="_Toc23279"/>
      <w:r>
        <w:rPr>
          <w:rFonts w:hint="eastAsia" w:ascii="仿宋" w:hAnsi="仿宋" w:eastAsia="仿宋" w:cs="仿宋"/>
          <w:b/>
          <w:bCs/>
          <w:color w:val="auto"/>
          <w:sz w:val="24"/>
          <w:highlight w:val="none"/>
        </w:rPr>
        <w:t>4 采购文件的获取</w:t>
      </w:r>
      <w:bookmarkEnd w:id="36"/>
    </w:p>
    <w:p w14:paraId="2F82461D">
      <w:pPr>
        <w:spacing w:line="360" w:lineRule="auto"/>
        <w:rPr>
          <w:rFonts w:ascii="仿宋" w:hAnsi="仿宋" w:eastAsia="仿宋" w:cs="仿宋"/>
          <w:color w:val="auto"/>
          <w:sz w:val="24"/>
          <w:highlight w:val="none"/>
        </w:rPr>
      </w:pPr>
      <w:bookmarkStart w:id="37" w:name="_Toc28457"/>
      <w:bookmarkStart w:id="38" w:name="_Toc31953"/>
      <w:bookmarkStart w:id="39" w:name="_Toc14351"/>
      <w:r>
        <w:rPr>
          <w:rFonts w:hint="eastAsia" w:ascii="仿宋" w:hAnsi="仿宋" w:eastAsia="仿宋" w:cs="仿宋"/>
          <w:color w:val="auto"/>
          <w:sz w:val="24"/>
          <w:highlight w:val="none"/>
        </w:rPr>
        <w:t>4.1</w:t>
      </w:r>
      <w:bookmarkEnd w:id="37"/>
      <w:r>
        <w:rPr>
          <w:rFonts w:hint="eastAsia" w:ascii="仿宋" w:hAnsi="仿宋" w:eastAsia="仿宋" w:cs="仿宋"/>
          <w:color w:val="auto"/>
          <w:sz w:val="24"/>
          <w:highlight w:val="none"/>
        </w:rPr>
        <w:t>有意参加询比采购活动的单位，请于</w:t>
      </w:r>
      <w:r>
        <w:rPr>
          <w:rFonts w:hint="eastAsia" w:ascii="仿宋" w:hAnsi="仿宋" w:eastAsia="仿宋" w:cs="仿宋"/>
          <w:color w:val="auto"/>
          <w:sz w:val="24"/>
          <w:highlight w:val="none"/>
          <w:u w:val="single"/>
        </w:rPr>
        <w:t>2026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10月28日</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rPr>
        <w:t>2026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10月30日</w:t>
      </w:r>
      <w:r>
        <w:rPr>
          <w:rFonts w:hint="eastAsia" w:ascii="仿宋" w:hAnsi="仿宋" w:eastAsia="仿宋" w:cs="仿宋"/>
          <w:color w:val="auto"/>
          <w:sz w:val="24"/>
          <w:highlight w:val="none"/>
        </w:rPr>
        <w:t>，每日上午</w:t>
      </w:r>
      <w:r>
        <w:rPr>
          <w:rFonts w:hint="eastAsia" w:ascii="仿宋" w:hAnsi="仿宋" w:eastAsia="仿宋" w:cs="仿宋"/>
          <w:color w:val="auto"/>
          <w:sz w:val="24"/>
          <w:highlight w:val="none"/>
          <w:u w:val="single"/>
        </w:rPr>
        <w:t>08</w:t>
      </w:r>
      <w:r>
        <w:rPr>
          <w:rFonts w:hint="eastAsia" w:ascii="仿宋" w:hAnsi="仿宋" w:eastAsia="仿宋" w:cs="仿宋"/>
          <w:color w:val="auto"/>
          <w:sz w:val="24"/>
          <w:highlight w:val="none"/>
        </w:rPr>
        <w:t>时</w:t>
      </w:r>
      <w:r>
        <w:rPr>
          <w:rFonts w:hint="eastAsia" w:ascii="仿宋" w:hAnsi="仿宋" w:eastAsia="仿宋" w:cs="仿宋"/>
          <w:color w:val="auto"/>
          <w:sz w:val="24"/>
          <w:highlight w:val="none"/>
          <w:u w:val="single"/>
        </w:rPr>
        <w:t>30</w:t>
      </w:r>
      <w:r>
        <w:rPr>
          <w:rFonts w:hint="eastAsia" w:ascii="仿宋" w:hAnsi="仿宋" w:eastAsia="仿宋" w:cs="仿宋"/>
          <w:color w:val="auto"/>
          <w:sz w:val="24"/>
          <w:highlight w:val="none"/>
        </w:rPr>
        <w:t>分至</w:t>
      </w:r>
      <w:r>
        <w:rPr>
          <w:rFonts w:hint="eastAsia" w:ascii="仿宋" w:hAnsi="仿宋" w:eastAsia="仿宋" w:cs="仿宋"/>
          <w:color w:val="auto"/>
          <w:sz w:val="24"/>
          <w:highlight w:val="none"/>
          <w:u w:val="single"/>
        </w:rPr>
        <w:t>12</w:t>
      </w:r>
      <w:r>
        <w:rPr>
          <w:rFonts w:hint="eastAsia" w:ascii="仿宋" w:hAnsi="仿宋" w:eastAsia="仿宋" w:cs="仿宋"/>
          <w:color w:val="auto"/>
          <w:sz w:val="24"/>
          <w:highlight w:val="none"/>
        </w:rPr>
        <w:t>时</w:t>
      </w:r>
      <w:r>
        <w:rPr>
          <w:rFonts w:hint="eastAsia" w:ascii="仿宋" w:hAnsi="仿宋" w:eastAsia="仿宋" w:cs="仿宋"/>
          <w:color w:val="auto"/>
          <w:sz w:val="24"/>
          <w:highlight w:val="none"/>
          <w:u w:val="single"/>
        </w:rPr>
        <w:t>00</w:t>
      </w:r>
      <w:r>
        <w:rPr>
          <w:rFonts w:hint="eastAsia" w:ascii="仿宋" w:hAnsi="仿宋" w:eastAsia="仿宋" w:cs="仿宋"/>
          <w:color w:val="auto"/>
          <w:sz w:val="24"/>
          <w:highlight w:val="none"/>
        </w:rPr>
        <w:t>分，下午</w:t>
      </w:r>
      <w:r>
        <w:rPr>
          <w:rFonts w:hint="eastAsia" w:ascii="仿宋" w:hAnsi="仿宋" w:eastAsia="仿宋" w:cs="仿宋"/>
          <w:color w:val="auto"/>
          <w:sz w:val="24"/>
          <w:highlight w:val="none"/>
          <w:u w:val="single"/>
        </w:rPr>
        <w:t>14</w:t>
      </w:r>
      <w:r>
        <w:rPr>
          <w:rFonts w:hint="eastAsia" w:ascii="仿宋" w:hAnsi="仿宋" w:eastAsia="仿宋" w:cs="仿宋"/>
          <w:color w:val="auto"/>
          <w:sz w:val="24"/>
          <w:highlight w:val="none"/>
        </w:rPr>
        <w:t>时</w:t>
      </w:r>
      <w:r>
        <w:rPr>
          <w:rFonts w:hint="eastAsia" w:ascii="仿宋" w:hAnsi="仿宋" w:eastAsia="仿宋" w:cs="仿宋"/>
          <w:color w:val="auto"/>
          <w:sz w:val="24"/>
          <w:highlight w:val="none"/>
          <w:u w:val="single"/>
        </w:rPr>
        <w:t>30</w:t>
      </w:r>
      <w:r>
        <w:rPr>
          <w:rFonts w:hint="eastAsia" w:ascii="仿宋" w:hAnsi="仿宋" w:eastAsia="仿宋" w:cs="仿宋"/>
          <w:color w:val="auto"/>
          <w:sz w:val="24"/>
          <w:highlight w:val="none"/>
        </w:rPr>
        <w:t>分至</w:t>
      </w:r>
      <w:r>
        <w:rPr>
          <w:rFonts w:hint="eastAsia" w:ascii="仿宋" w:hAnsi="仿宋" w:eastAsia="仿宋" w:cs="仿宋"/>
          <w:color w:val="auto"/>
          <w:sz w:val="24"/>
          <w:highlight w:val="none"/>
          <w:u w:val="single"/>
        </w:rPr>
        <w:t>17</w:t>
      </w:r>
      <w:r>
        <w:rPr>
          <w:rFonts w:hint="eastAsia" w:ascii="仿宋" w:hAnsi="仿宋" w:eastAsia="仿宋" w:cs="仿宋"/>
          <w:color w:val="auto"/>
          <w:sz w:val="24"/>
          <w:highlight w:val="none"/>
        </w:rPr>
        <w:t>时</w:t>
      </w:r>
      <w:r>
        <w:rPr>
          <w:rFonts w:hint="eastAsia" w:ascii="仿宋" w:hAnsi="仿宋" w:eastAsia="仿宋" w:cs="仿宋"/>
          <w:color w:val="auto"/>
          <w:sz w:val="24"/>
          <w:highlight w:val="none"/>
          <w:u w:val="single"/>
        </w:rPr>
        <w:t>30 分</w:t>
      </w:r>
      <w:r>
        <w:rPr>
          <w:rFonts w:hint="eastAsia" w:ascii="仿宋" w:hAnsi="仿宋" w:eastAsia="仿宋" w:cs="仿宋"/>
          <w:color w:val="auto"/>
          <w:sz w:val="24"/>
          <w:highlight w:val="none"/>
        </w:rPr>
        <w:t>（北京时间，节假日除外），在</w:t>
      </w:r>
      <w:bookmarkStart w:id="40" w:name="EB84296bbe57fb4738a1693adbc88ad37c"/>
      <w:r>
        <w:rPr>
          <w:rFonts w:hint="eastAsia" w:ascii="仿宋" w:hAnsi="仿宋" w:eastAsia="仿宋" w:cs="仿宋"/>
          <w:color w:val="auto"/>
          <w:sz w:val="24"/>
          <w:highlight w:val="none"/>
        </w:rPr>
        <w:t>青海联祥招标代理有限公司（</w:t>
      </w:r>
      <w:bookmarkEnd w:id="40"/>
      <w:r>
        <w:rPr>
          <w:rFonts w:hint="eastAsia" w:ascii="仿宋" w:hAnsi="仿宋" w:eastAsia="仿宋" w:cs="仿宋"/>
          <w:color w:val="auto"/>
          <w:sz w:val="24"/>
          <w:highlight w:val="none"/>
        </w:rPr>
        <w:t>地址：青海省西宁市城西区胜利路4号时代盛华写字楼13楼11304室）持公司介绍信或法定代表人授权书（附身份证复印件）。以上资料需加盖公章获取采购文件。</w:t>
      </w:r>
    </w:p>
    <w:p w14:paraId="770F1C95">
      <w:pPr>
        <w:spacing w:line="360" w:lineRule="auto"/>
        <w:rPr>
          <w:rFonts w:ascii="仿宋" w:hAnsi="仿宋" w:eastAsia="仿宋" w:cs="仿宋"/>
          <w:color w:val="auto"/>
          <w:sz w:val="24"/>
          <w:highlight w:val="none"/>
          <w:lang w:val="vi-VN"/>
        </w:rPr>
      </w:pPr>
      <w:r>
        <w:rPr>
          <w:rFonts w:hint="eastAsia" w:ascii="仿宋" w:hAnsi="仿宋" w:eastAsia="仿宋" w:cs="仿宋"/>
          <w:color w:val="auto"/>
          <w:sz w:val="24"/>
          <w:highlight w:val="none"/>
          <w:lang w:val="vi-VN"/>
        </w:rPr>
        <w:t>4.2网上获取标书的供应商应将以上材料扫描后发至我公司联系邮箱(qinghailianxiang@163.com)，在邮件中标明购买项目名称、项目编号、联系人及联系方式，并与我公司工作人员进行联系确认。</w:t>
      </w:r>
    </w:p>
    <w:bookmarkEnd w:id="38"/>
    <w:bookmarkEnd w:id="39"/>
    <w:p w14:paraId="5FCF9BCE">
      <w:pPr>
        <w:spacing w:line="360" w:lineRule="auto"/>
        <w:rPr>
          <w:rFonts w:ascii="仿宋" w:hAnsi="仿宋" w:eastAsia="仿宋" w:cs="仿宋"/>
          <w:color w:val="auto"/>
          <w:sz w:val="24"/>
          <w:highlight w:val="none"/>
        </w:rPr>
      </w:pPr>
      <w:bookmarkStart w:id="41" w:name="_Toc12599"/>
      <w:bookmarkStart w:id="42" w:name="_Toc10422"/>
      <w:bookmarkStart w:id="43" w:name="_Toc27698"/>
      <w:r>
        <w:rPr>
          <w:rFonts w:hint="eastAsia" w:ascii="仿宋" w:hAnsi="仿宋" w:eastAsia="仿宋" w:cs="仿宋"/>
          <w:color w:val="auto"/>
          <w:sz w:val="24"/>
          <w:highlight w:val="none"/>
        </w:rPr>
        <w:t>4.3询比采购文件每套售价</w:t>
      </w:r>
      <w:r>
        <w:rPr>
          <w:rFonts w:hint="eastAsia" w:ascii="仿宋" w:hAnsi="仿宋" w:eastAsia="仿宋" w:cs="仿宋"/>
          <w:color w:val="auto"/>
          <w:sz w:val="24"/>
          <w:highlight w:val="none"/>
          <w:u w:val="single"/>
        </w:rPr>
        <w:t>500</w:t>
      </w:r>
      <w:r>
        <w:rPr>
          <w:rFonts w:hint="eastAsia" w:ascii="仿宋" w:hAnsi="仿宋" w:eastAsia="仿宋" w:cs="仿宋"/>
          <w:color w:val="auto"/>
          <w:sz w:val="24"/>
          <w:highlight w:val="none"/>
        </w:rPr>
        <w:t>元，售后不退。</w:t>
      </w:r>
      <w:bookmarkEnd w:id="41"/>
      <w:bookmarkEnd w:id="42"/>
      <w:bookmarkEnd w:id="43"/>
    </w:p>
    <w:p w14:paraId="0D8BEB0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收款单位：青海联祥招标代理有限公司</w:t>
      </w:r>
    </w:p>
    <w:p w14:paraId="0F906C7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开户行：中国建设银行股份有限公司西宁城西支行</w:t>
      </w:r>
    </w:p>
    <w:p w14:paraId="11E9D6E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银行账号：63001373637050216012</w:t>
      </w:r>
    </w:p>
    <w:p w14:paraId="17B0D0D6">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4.4文件发售方式：邮箱/现场领取</w:t>
      </w:r>
    </w:p>
    <w:p w14:paraId="0A76523E">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4.5文件发售地点：青海联祥招标代理有限公司（青海省西宁市城西区胜利路4号时代盛华写字楼13楼11304室）</w:t>
      </w:r>
    </w:p>
    <w:p w14:paraId="29C66BC0">
      <w:pPr>
        <w:spacing w:line="360" w:lineRule="auto"/>
        <w:rPr>
          <w:rFonts w:ascii="仿宋" w:hAnsi="仿宋" w:eastAsia="仿宋" w:cs="仿宋"/>
          <w:b/>
          <w:bCs/>
          <w:color w:val="auto"/>
          <w:sz w:val="24"/>
          <w:highlight w:val="none"/>
        </w:rPr>
      </w:pPr>
      <w:bookmarkStart w:id="44" w:name="_Toc6863"/>
      <w:bookmarkStart w:id="45" w:name="_Toc28394"/>
      <w:bookmarkStart w:id="46" w:name="_Toc24801"/>
      <w:r>
        <w:rPr>
          <w:rFonts w:hint="eastAsia" w:ascii="仿宋" w:hAnsi="仿宋" w:eastAsia="仿宋" w:cs="仿宋"/>
          <w:b/>
          <w:bCs/>
          <w:color w:val="auto"/>
          <w:sz w:val="24"/>
          <w:highlight w:val="none"/>
        </w:rPr>
        <w:t>5 响应文件的递交</w:t>
      </w:r>
      <w:bookmarkEnd w:id="44"/>
      <w:bookmarkEnd w:id="45"/>
      <w:bookmarkEnd w:id="46"/>
    </w:p>
    <w:p w14:paraId="0B5FEDE0">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5.1响应文件递交的截止时间为2026年11月03日09时30分，地点为：青海联祥招标代理有限公司（青海省西宁市城西区胜利路4号时代盛华写字楼13楼11304室），不接受邮寄方式。</w:t>
      </w:r>
    </w:p>
    <w:p w14:paraId="23785A3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5.2逾期送达的、未送达指定地点的或未密封的响应文件，采购人将拒绝接收。</w:t>
      </w:r>
    </w:p>
    <w:p w14:paraId="3CEFEA5E">
      <w:pPr>
        <w:spacing w:line="360" w:lineRule="auto"/>
        <w:rPr>
          <w:rFonts w:ascii="仿宋" w:hAnsi="仿宋" w:eastAsia="仿宋" w:cs="仿宋"/>
          <w:b/>
          <w:bCs/>
          <w:color w:val="auto"/>
          <w:sz w:val="24"/>
          <w:highlight w:val="none"/>
        </w:rPr>
      </w:pPr>
      <w:bookmarkStart w:id="47" w:name="_Toc2801"/>
      <w:bookmarkStart w:id="48" w:name="_Toc27522"/>
      <w:bookmarkStart w:id="49" w:name="_Toc2766"/>
      <w:r>
        <w:rPr>
          <w:rFonts w:hint="eastAsia" w:ascii="仿宋" w:hAnsi="仿宋" w:eastAsia="仿宋" w:cs="仿宋"/>
          <w:b/>
          <w:bCs/>
          <w:color w:val="auto"/>
          <w:sz w:val="24"/>
          <w:highlight w:val="none"/>
        </w:rPr>
        <w:t>6 响应文件开启时间和地点</w:t>
      </w:r>
      <w:bookmarkEnd w:id="47"/>
      <w:bookmarkEnd w:id="48"/>
      <w:bookmarkEnd w:id="49"/>
    </w:p>
    <w:p w14:paraId="5FFD816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响应文件开启在响应文件递交截止时间的同一时间进行，地点为响应文件递交地点。邀请所有供应商的法定代表人（单位负责人）或其授权的代理人参加开启会议，供应商未派代表参加开启会议的，视为默认开启结果。</w:t>
      </w:r>
    </w:p>
    <w:p w14:paraId="69E59778">
      <w:pPr>
        <w:spacing w:line="360" w:lineRule="auto"/>
        <w:rPr>
          <w:rFonts w:ascii="仿宋" w:hAnsi="仿宋" w:eastAsia="仿宋" w:cs="仿宋"/>
          <w:color w:val="auto"/>
          <w:sz w:val="24"/>
          <w:highlight w:val="none"/>
        </w:rPr>
      </w:pPr>
      <w:r>
        <w:rPr>
          <w:rFonts w:hint="eastAsia" w:ascii="仿宋" w:hAnsi="仿宋" w:eastAsia="仿宋" w:cs="仿宋"/>
          <w:b/>
          <w:bCs/>
          <w:color w:val="auto"/>
          <w:sz w:val="24"/>
          <w:highlight w:val="none"/>
        </w:rPr>
        <w:t>7.发布公告的媒介</w:t>
      </w:r>
    </w:p>
    <w:p w14:paraId="2EDFC4D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本询比采购公告在《青海项目信息网》《中国采购与招标网》上发布。</w:t>
      </w:r>
    </w:p>
    <w:p w14:paraId="52C10670">
      <w:pPr>
        <w:spacing w:line="360" w:lineRule="auto"/>
        <w:rPr>
          <w:rFonts w:ascii="仿宋" w:hAnsi="仿宋" w:eastAsia="仿宋" w:cs="仿宋"/>
          <w:b/>
          <w:bCs/>
          <w:color w:val="auto"/>
          <w:sz w:val="24"/>
          <w:highlight w:val="none"/>
        </w:rPr>
      </w:pPr>
      <w:bookmarkStart w:id="50" w:name="_Toc4136"/>
      <w:bookmarkStart w:id="51" w:name="_Toc4456"/>
      <w:bookmarkStart w:id="52" w:name="_Toc11246"/>
      <w:r>
        <w:rPr>
          <w:rFonts w:hint="eastAsia" w:ascii="仿宋" w:hAnsi="仿宋" w:eastAsia="仿宋" w:cs="仿宋"/>
          <w:b/>
          <w:bCs/>
          <w:color w:val="auto"/>
          <w:sz w:val="24"/>
          <w:highlight w:val="none"/>
        </w:rPr>
        <w:t>8 联系方式</w:t>
      </w:r>
      <w:bookmarkEnd w:id="50"/>
      <w:bookmarkEnd w:id="51"/>
      <w:bookmarkEnd w:id="52"/>
    </w:p>
    <w:p w14:paraId="49C8D2E1">
      <w:pPr>
        <w:spacing w:line="360" w:lineRule="auto"/>
        <w:ind w:left="6480" w:hanging="6480" w:hangingChars="2700"/>
        <w:jc w:val="left"/>
        <w:rPr>
          <w:rFonts w:ascii="仿宋" w:hAnsi="仿宋" w:eastAsia="仿宋" w:cs="仿宋"/>
          <w:color w:val="auto"/>
          <w:sz w:val="24"/>
          <w:highlight w:val="none"/>
        </w:rPr>
      </w:pPr>
      <w:r>
        <w:rPr>
          <w:rFonts w:hint="eastAsia" w:ascii="仿宋" w:hAnsi="仿宋" w:eastAsia="仿宋" w:cs="仿宋"/>
          <w:color w:val="auto"/>
          <w:sz w:val="24"/>
          <w:highlight w:val="none"/>
        </w:rPr>
        <w:t>采购人：青海民族大学                采购代理机构：青海联祥招标代理有限公司</w:t>
      </w:r>
    </w:p>
    <w:p w14:paraId="1D78CEEA">
      <w:pPr>
        <w:spacing w:line="360" w:lineRule="auto"/>
        <w:ind w:left="5280" w:hanging="5280" w:hangingChars="2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地 址：西宁市城东区八一中路3号     地 址：青海省西宁市城西区胜利路4号时代盛华写字楼13楼11304室  </w:t>
      </w:r>
    </w:p>
    <w:p w14:paraId="5ACC060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联系人：郭老师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联系人：李女士                  </w:t>
      </w:r>
    </w:p>
    <w:p w14:paraId="7F35AE9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电 话：0971-6126471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电 话：0971-6511500</w:t>
      </w:r>
    </w:p>
    <w:p w14:paraId="52DEED93">
      <w:pPr>
        <w:pStyle w:val="8"/>
        <w:rPr>
          <w:rFonts w:ascii="仿宋" w:hAnsi="仿宋" w:eastAsia="仿宋" w:cs="仿宋"/>
          <w:color w:val="auto"/>
          <w:highlight w:val="none"/>
        </w:rPr>
      </w:pPr>
    </w:p>
    <w:p w14:paraId="74510ED8">
      <w:pPr>
        <w:spacing w:line="360" w:lineRule="auto"/>
        <w:jc w:val="right"/>
        <w:rPr>
          <w:rFonts w:ascii="仿宋" w:hAnsi="仿宋" w:eastAsia="仿宋" w:cs="仿宋"/>
          <w:color w:val="auto"/>
          <w:sz w:val="24"/>
          <w:highlight w:val="none"/>
        </w:rPr>
      </w:pPr>
      <w:r>
        <w:rPr>
          <w:rFonts w:hint="eastAsia" w:ascii="仿宋" w:hAnsi="仿宋" w:eastAsia="仿宋" w:cs="仿宋"/>
          <w:color w:val="auto"/>
          <w:sz w:val="24"/>
          <w:highlight w:val="none"/>
          <w:u w:val="single"/>
        </w:rPr>
        <w:t>2026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10月27日</w:t>
      </w:r>
    </w:p>
    <w:p w14:paraId="2BBCB6DE">
      <w:pPr>
        <w:rPr>
          <w:rFonts w:ascii="仿宋" w:hAnsi="仿宋" w:eastAsia="仿宋" w:cs="仿宋"/>
          <w:b/>
          <w:bCs/>
          <w:color w:val="auto"/>
          <w:sz w:val="44"/>
          <w:szCs w:val="44"/>
          <w:highlight w:val="none"/>
        </w:rPr>
      </w:pPr>
    </w:p>
    <w:p w14:paraId="481E844E">
      <w:pPr>
        <w:rPr>
          <w:rFonts w:ascii="仿宋" w:hAnsi="仿宋" w:eastAsia="仿宋" w:cs="仿宋"/>
          <w:b/>
          <w:bCs/>
          <w:color w:val="auto"/>
          <w:sz w:val="44"/>
          <w:szCs w:val="44"/>
          <w:highlight w:val="none"/>
        </w:rPr>
        <w:sectPr>
          <w:headerReference r:id="rId4" w:type="default"/>
          <w:footerReference r:id="rId5" w:type="default"/>
          <w:pgSz w:w="11906" w:h="16838"/>
          <w:pgMar w:top="1327" w:right="1570" w:bottom="1327" w:left="1570" w:header="851" w:footer="992" w:gutter="0"/>
          <w:cols w:space="720" w:num="1"/>
          <w:docGrid w:type="lines" w:linePitch="312" w:charSpace="0"/>
        </w:sectPr>
      </w:pPr>
    </w:p>
    <w:p w14:paraId="48CF6983">
      <w:pPr>
        <w:rPr>
          <w:rFonts w:ascii="仿宋" w:hAnsi="仿宋" w:eastAsia="仿宋" w:cs="仿宋"/>
          <w:b/>
          <w:bCs/>
          <w:color w:val="auto"/>
          <w:sz w:val="44"/>
          <w:szCs w:val="44"/>
          <w:highlight w:val="none"/>
        </w:rPr>
      </w:pPr>
    </w:p>
    <w:p w14:paraId="70FA1F25">
      <w:pPr>
        <w:jc w:val="center"/>
        <w:outlineLvl w:val="0"/>
        <w:rPr>
          <w:rFonts w:ascii="仿宋" w:hAnsi="仿宋" w:eastAsia="仿宋" w:cs="仿宋"/>
          <w:b/>
          <w:bCs/>
          <w:color w:val="auto"/>
          <w:sz w:val="44"/>
          <w:szCs w:val="44"/>
          <w:highlight w:val="none"/>
        </w:rPr>
      </w:pPr>
      <w:bookmarkStart w:id="53" w:name="_Toc15325"/>
      <w:bookmarkStart w:id="54" w:name="_Toc26315"/>
      <w:r>
        <w:rPr>
          <w:rFonts w:hint="eastAsia" w:ascii="仿宋" w:hAnsi="仿宋" w:eastAsia="仿宋" w:cs="仿宋"/>
          <w:b/>
          <w:bCs/>
          <w:color w:val="auto"/>
          <w:sz w:val="44"/>
          <w:szCs w:val="44"/>
          <w:highlight w:val="none"/>
        </w:rPr>
        <w:t>第二章  供应商须知</w:t>
      </w:r>
      <w:bookmarkEnd w:id="53"/>
      <w:bookmarkEnd w:id="54"/>
    </w:p>
    <w:p w14:paraId="58709ABF">
      <w:pPr>
        <w:jc w:val="cente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供应商须知前附表</w:t>
      </w:r>
    </w:p>
    <w:tbl>
      <w:tblPr>
        <w:tblStyle w:val="31"/>
        <w:tblW w:w="8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2413"/>
        <w:gridCol w:w="5115"/>
      </w:tblGrid>
      <w:tr w14:paraId="3970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Pr>
          <w:p w14:paraId="0A3BBC73">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条款号</w:t>
            </w:r>
          </w:p>
        </w:tc>
        <w:tc>
          <w:tcPr>
            <w:tcW w:w="2413" w:type="dxa"/>
          </w:tcPr>
          <w:p w14:paraId="7ED410EF">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条款内容</w:t>
            </w:r>
          </w:p>
        </w:tc>
        <w:tc>
          <w:tcPr>
            <w:tcW w:w="5115" w:type="dxa"/>
          </w:tcPr>
          <w:p w14:paraId="2CA89A9C">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编列内容</w:t>
            </w:r>
          </w:p>
        </w:tc>
      </w:tr>
      <w:tr w14:paraId="067A7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32BA5927">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1.7.1</w:t>
            </w:r>
          </w:p>
        </w:tc>
        <w:tc>
          <w:tcPr>
            <w:tcW w:w="2413" w:type="dxa"/>
            <w:vAlign w:val="center"/>
          </w:tcPr>
          <w:p w14:paraId="2E9778CD">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踏勘现场</w:t>
            </w:r>
          </w:p>
        </w:tc>
        <w:tc>
          <w:tcPr>
            <w:tcW w:w="5115" w:type="dxa"/>
          </w:tcPr>
          <w:p w14:paraId="11089A77">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不组织</w:t>
            </w:r>
          </w:p>
          <w:p w14:paraId="708D179A">
            <w:pPr>
              <w:spacing w:line="312" w:lineRule="auto"/>
              <w:ind w:firstLine="240" w:firstLineChars="1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组织，踏勘时间：</w:t>
            </w:r>
          </w:p>
          <w:p w14:paraId="4BE62B67">
            <w:pPr>
              <w:spacing w:line="312" w:lineRule="auto"/>
              <w:ind w:firstLine="240" w:firstLineChars="1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 xml:space="preserve">    踏勘集中地点：</w:t>
            </w:r>
          </w:p>
        </w:tc>
      </w:tr>
      <w:tr w14:paraId="28BA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3F9A6409">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1.8</w:t>
            </w:r>
          </w:p>
        </w:tc>
        <w:tc>
          <w:tcPr>
            <w:tcW w:w="2413" w:type="dxa"/>
            <w:vAlign w:val="center"/>
          </w:tcPr>
          <w:p w14:paraId="2F4CCDF9">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询比采购预备会</w:t>
            </w:r>
          </w:p>
        </w:tc>
        <w:tc>
          <w:tcPr>
            <w:tcW w:w="5115" w:type="dxa"/>
          </w:tcPr>
          <w:p w14:paraId="39765F0E">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不召开</w:t>
            </w:r>
          </w:p>
          <w:p w14:paraId="35DACE52">
            <w:pPr>
              <w:spacing w:line="312" w:lineRule="auto"/>
              <w:ind w:firstLine="240" w:firstLineChars="1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召开，召开时间：</w:t>
            </w:r>
          </w:p>
          <w:p w14:paraId="6D237D63">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          召开地点：</w:t>
            </w:r>
          </w:p>
        </w:tc>
      </w:tr>
      <w:tr w14:paraId="49EA0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1EE8AA36">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1.9</w:t>
            </w:r>
          </w:p>
        </w:tc>
        <w:tc>
          <w:tcPr>
            <w:tcW w:w="2413" w:type="dxa"/>
            <w:vAlign w:val="center"/>
          </w:tcPr>
          <w:p w14:paraId="6E8FEBDA">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分包（A、C）</w:t>
            </w:r>
          </w:p>
        </w:tc>
        <w:tc>
          <w:tcPr>
            <w:tcW w:w="5115" w:type="dxa"/>
          </w:tcPr>
          <w:p w14:paraId="6347AC71">
            <w:pPr>
              <w:spacing w:line="312" w:lineRule="auto"/>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不得分包的内容：</w:t>
            </w:r>
            <w:r>
              <w:rPr>
                <w:rFonts w:hint="eastAsia" w:ascii="仿宋" w:hAnsi="仿宋" w:eastAsia="仿宋" w:cs="仿宋"/>
                <w:color w:val="auto"/>
                <w:sz w:val="24"/>
                <w:highlight w:val="none"/>
                <w:u w:val="single"/>
              </w:rPr>
              <w:t xml:space="preserve"> 本项目不允许分包</w:t>
            </w:r>
          </w:p>
          <w:p w14:paraId="7F6B3DA4">
            <w:pPr>
              <w:spacing w:line="312" w:lineRule="auto"/>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对分包供应商的要求：</w:t>
            </w:r>
            <w:r>
              <w:rPr>
                <w:rFonts w:hint="eastAsia" w:ascii="仿宋" w:hAnsi="仿宋" w:eastAsia="仿宋" w:cs="仿宋"/>
                <w:color w:val="auto"/>
                <w:sz w:val="24"/>
                <w:highlight w:val="none"/>
                <w:u w:val="single"/>
              </w:rPr>
              <w:t xml:space="preserve"> /  </w:t>
            </w:r>
          </w:p>
        </w:tc>
      </w:tr>
      <w:tr w14:paraId="78AC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417EAECF">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1.10.2</w:t>
            </w:r>
          </w:p>
        </w:tc>
        <w:tc>
          <w:tcPr>
            <w:tcW w:w="2413" w:type="dxa"/>
            <w:vAlign w:val="center"/>
          </w:tcPr>
          <w:p w14:paraId="678551ED">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对非关键条款的偏差</w:t>
            </w:r>
          </w:p>
        </w:tc>
        <w:tc>
          <w:tcPr>
            <w:tcW w:w="5115" w:type="dxa"/>
          </w:tcPr>
          <w:p w14:paraId="3F810E41">
            <w:pPr>
              <w:spacing w:line="312" w:lineRule="auto"/>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允许偏差的范围：</w:t>
            </w:r>
            <w:r>
              <w:rPr>
                <w:rFonts w:hint="eastAsia" w:ascii="仿宋" w:hAnsi="仿宋" w:eastAsia="仿宋" w:cs="仿宋"/>
                <w:color w:val="auto"/>
                <w:sz w:val="24"/>
                <w:highlight w:val="none"/>
                <w:u w:val="single"/>
              </w:rPr>
              <w:t xml:space="preserve">  不允许偏差</w:t>
            </w:r>
          </w:p>
          <w:p w14:paraId="4B048658">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允许偏差的项数：</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项</w:t>
            </w:r>
          </w:p>
        </w:tc>
      </w:tr>
      <w:tr w14:paraId="0CF0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5DCFFB3F">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2.1（7）</w:t>
            </w:r>
          </w:p>
        </w:tc>
        <w:tc>
          <w:tcPr>
            <w:tcW w:w="2413" w:type="dxa"/>
            <w:vAlign w:val="center"/>
          </w:tcPr>
          <w:p w14:paraId="68B6B9E7">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构成采购文件</w:t>
            </w:r>
          </w:p>
          <w:p w14:paraId="68053A8B">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的其他资料</w:t>
            </w:r>
          </w:p>
        </w:tc>
        <w:tc>
          <w:tcPr>
            <w:tcW w:w="5115" w:type="dxa"/>
            <w:vAlign w:val="center"/>
          </w:tcPr>
          <w:p w14:paraId="4BB6B24E">
            <w:pPr>
              <w:spacing w:line="312"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资料名称：</w:t>
            </w:r>
            <w:r>
              <w:rPr>
                <w:rFonts w:hint="eastAsia" w:ascii="仿宋" w:hAnsi="仿宋" w:eastAsia="仿宋" w:cs="仿宋"/>
                <w:color w:val="auto"/>
                <w:sz w:val="24"/>
                <w:highlight w:val="none"/>
                <w:u w:val="single"/>
              </w:rPr>
              <w:t>供应商在评审过程中作出的符合采购文件要求的澄清、说明和补正，构成响应文件的组成部分。</w:t>
            </w:r>
          </w:p>
        </w:tc>
      </w:tr>
      <w:tr w14:paraId="7442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0D261056">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2.2.1</w:t>
            </w:r>
          </w:p>
        </w:tc>
        <w:tc>
          <w:tcPr>
            <w:tcW w:w="2413" w:type="dxa"/>
            <w:vAlign w:val="center"/>
          </w:tcPr>
          <w:p w14:paraId="7B9A1AC5">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供应商要求澄清</w:t>
            </w:r>
          </w:p>
          <w:p w14:paraId="6D0E6E16">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采购文件的时间</w:t>
            </w:r>
          </w:p>
        </w:tc>
        <w:tc>
          <w:tcPr>
            <w:tcW w:w="5115" w:type="dxa"/>
            <w:vAlign w:val="center"/>
          </w:tcPr>
          <w:p w14:paraId="0ADCC4D5">
            <w:pPr>
              <w:spacing w:line="312"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截止时间：</w:t>
            </w:r>
            <w:r>
              <w:rPr>
                <w:rFonts w:hint="eastAsia" w:ascii="仿宋" w:hAnsi="仿宋" w:eastAsia="仿宋" w:cs="仿宋"/>
                <w:color w:val="auto"/>
                <w:sz w:val="24"/>
                <w:highlight w:val="none"/>
                <w:u w:val="single"/>
              </w:rPr>
              <w:t xml:space="preserve">响应文件递交的截止时间前3日                       </w:t>
            </w:r>
          </w:p>
        </w:tc>
      </w:tr>
      <w:tr w14:paraId="428F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3A13AFF7">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2.2.3</w:t>
            </w:r>
          </w:p>
        </w:tc>
        <w:tc>
          <w:tcPr>
            <w:tcW w:w="2413" w:type="dxa"/>
            <w:vAlign w:val="center"/>
          </w:tcPr>
          <w:p w14:paraId="1AABB80B">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供应商确认收到采购文件补充文件</w:t>
            </w:r>
          </w:p>
        </w:tc>
        <w:tc>
          <w:tcPr>
            <w:tcW w:w="5115" w:type="dxa"/>
          </w:tcPr>
          <w:p w14:paraId="44EC9B5E">
            <w:pPr>
              <w:spacing w:line="312" w:lineRule="auto"/>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确认的最晚时间：</w:t>
            </w:r>
            <w:r>
              <w:rPr>
                <w:rFonts w:hint="eastAsia" w:ascii="仿宋" w:hAnsi="仿宋" w:eastAsia="仿宋" w:cs="仿宋"/>
                <w:color w:val="auto"/>
                <w:sz w:val="24"/>
                <w:highlight w:val="none"/>
                <w:u w:val="single"/>
              </w:rPr>
              <w:t>发出补充文件当天</w:t>
            </w:r>
          </w:p>
          <w:p w14:paraId="50D4938F">
            <w:pPr>
              <w:spacing w:line="312" w:lineRule="auto"/>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确认的方式：</w:t>
            </w:r>
            <w:r>
              <w:rPr>
                <w:rFonts w:hint="eastAsia" w:ascii="仿宋" w:hAnsi="仿宋" w:eastAsia="仿宋" w:cs="仿宋"/>
                <w:color w:val="auto"/>
                <w:sz w:val="24"/>
                <w:highlight w:val="none"/>
                <w:u w:val="single"/>
              </w:rPr>
              <w:t>书面形式或电子邮件的形式</w:t>
            </w:r>
          </w:p>
        </w:tc>
      </w:tr>
      <w:tr w14:paraId="3E1D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2212256F">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3.1.1（9）</w:t>
            </w:r>
          </w:p>
        </w:tc>
        <w:tc>
          <w:tcPr>
            <w:tcW w:w="2413" w:type="dxa"/>
            <w:vAlign w:val="center"/>
          </w:tcPr>
          <w:p w14:paraId="66F34DAB">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构成响应文件的</w:t>
            </w:r>
          </w:p>
          <w:p w14:paraId="76E1FA06">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其他资料</w:t>
            </w:r>
          </w:p>
        </w:tc>
        <w:tc>
          <w:tcPr>
            <w:tcW w:w="5115" w:type="dxa"/>
          </w:tcPr>
          <w:p w14:paraId="782F16B8">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资料名称：</w:t>
            </w:r>
            <w:r>
              <w:rPr>
                <w:rFonts w:hint="eastAsia" w:ascii="仿宋" w:hAnsi="仿宋" w:eastAsia="仿宋" w:cs="仿宋"/>
                <w:color w:val="auto"/>
                <w:sz w:val="24"/>
                <w:highlight w:val="none"/>
                <w:u w:val="single"/>
              </w:rPr>
              <w:t>供应商在评审过程中作出的符合采购文件要求的澄清、说明和补正，构成响应文件的组成部分。</w:t>
            </w:r>
          </w:p>
        </w:tc>
      </w:tr>
      <w:tr w14:paraId="6BF54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0CED93BE">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3.2.2</w:t>
            </w:r>
          </w:p>
        </w:tc>
        <w:tc>
          <w:tcPr>
            <w:tcW w:w="2413" w:type="dxa"/>
            <w:vAlign w:val="center"/>
          </w:tcPr>
          <w:p w14:paraId="2D033BF8">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采购标的数量</w:t>
            </w:r>
          </w:p>
          <w:p w14:paraId="0863B094">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增减幅度</w:t>
            </w:r>
          </w:p>
        </w:tc>
        <w:tc>
          <w:tcPr>
            <w:tcW w:w="5115" w:type="dxa"/>
          </w:tcPr>
          <w:p w14:paraId="28641D4C">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采购标的数量增减幅度：</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6D3B65BD">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（注：数量增减幅度通常在10%以内。）</w:t>
            </w:r>
          </w:p>
        </w:tc>
      </w:tr>
      <w:tr w14:paraId="4B5F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restart"/>
            <w:vAlign w:val="center"/>
          </w:tcPr>
          <w:p w14:paraId="2B2311B5">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3.2.3</w:t>
            </w:r>
          </w:p>
        </w:tc>
        <w:tc>
          <w:tcPr>
            <w:tcW w:w="2413" w:type="dxa"/>
            <w:vMerge w:val="restart"/>
            <w:vAlign w:val="center"/>
          </w:tcPr>
          <w:p w14:paraId="0CD5370C">
            <w:pPr>
              <w:spacing w:line="312" w:lineRule="auto"/>
              <w:ind w:firstLine="240" w:firstLineChars="100"/>
              <w:jc w:val="center"/>
              <w:rPr>
                <w:rFonts w:ascii="仿宋" w:hAnsi="仿宋" w:eastAsia="仿宋" w:cs="仿宋"/>
                <w:color w:val="auto"/>
                <w:sz w:val="24"/>
                <w:highlight w:val="none"/>
              </w:rPr>
            </w:pPr>
            <w:r>
              <w:rPr>
                <w:rFonts w:hint="eastAsia" w:ascii="仿宋" w:hAnsi="仿宋" w:eastAsia="仿宋" w:cs="仿宋"/>
                <w:color w:val="auto"/>
                <w:sz w:val="24"/>
                <w:highlight w:val="none"/>
              </w:rPr>
              <w:t>最高限价或</w:t>
            </w:r>
          </w:p>
          <w:p w14:paraId="2E8E373A">
            <w:pPr>
              <w:spacing w:line="312" w:lineRule="auto"/>
              <w:ind w:firstLine="240" w:firstLineChars="100"/>
              <w:jc w:val="center"/>
              <w:rPr>
                <w:rFonts w:ascii="仿宋" w:hAnsi="仿宋" w:eastAsia="仿宋" w:cs="仿宋"/>
                <w:color w:val="auto"/>
                <w:sz w:val="24"/>
                <w:highlight w:val="none"/>
              </w:rPr>
            </w:pPr>
            <w:r>
              <w:rPr>
                <w:rFonts w:hint="eastAsia" w:ascii="仿宋" w:hAnsi="仿宋" w:eastAsia="仿宋" w:cs="仿宋"/>
                <w:color w:val="auto"/>
                <w:sz w:val="24"/>
                <w:highlight w:val="none"/>
              </w:rPr>
              <w:t>其计算方法</w:t>
            </w:r>
          </w:p>
        </w:tc>
        <w:tc>
          <w:tcPr>
            <w:tcW w:w="5115" w:type="dxa"/>
          </w:tcPr>
          <w:p w14:paraId="5A327AD6">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无</w:t>
            </w:r>
          </w:p>
          <w:p w14:paraId="4F7EF1B3">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有，最高限价或其计算方法：</w:t>
            </w:r>
          </w:p>
        </w:tc>
      </w:tr>
      <w:tr w14:paraId="467E1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continue"/>
            <w:vAlign w:val="center"/>
          </w:tcPr>
          <w:p w14:paraId="39D2687C">
            <w:pPr>
              <w:spacing w:line="312" w:lineRule="auto"/>
              <w:jc w:val="center"/>
              <w:rPr>
                <w:rFonts w:ascii="仿宋" w:hAnsi="仿宋" w:eastAsia="仿宋" w:cs="仿宋"/>
                <w:color w:val="auto"/>
                <w:sz w:val="24"/>
                <w:highlight w:val="none"/>
              </w:rPr>
            </w:pPr>
          </w:p>
        </w:tc>
        <w:tc>
          <w:tcPr>
            <w:tcW w:w="2413" w:type="dxa"/>
            <w:vMerge w:val="continue"/>
            <w:vAlign w:val="center"/>
          </w:tcPr>
          <w:p w14:paraId="47DA0EA9">
            <w:pPr>
              <w:spacing w:line="312" w:lineRule="auto"/>
              <w:jc w:val="center"/>
              <w:rPr>
                <w:rFonts w:ascii="仿宋" w:hAnsi="仿宋" w:eastAsia="仿宋" w:cs="仿宋"/>
                <w:color w:val="auto"/>
                <w:sz w:val="24"/>
                <w:highlight w:val="none"/>
              </w:rPr>
            </w:pPr>
          </w:p>
        </w:tc>
        <w:tc>
          <w:tcPr>
            <w:tcW w:w="5115" w:type="dxa"/>
          </w:tcPr>
          <w:p w14:paraId="001C809A">
            <w:pPr>
              <w:spacing w:line="312" w:lineRule="auto"/>
              <w:jc w:val="left"/>
              <w:rPr>
                <w:rFonts w:ascii="仿宋" w:hAnsi="仿宋" w:eastAsia="仿宋" w:cs="仿宋"/>
                <w:color w:val="auto"/>
                <w:highlight w:val="none"/>
              </w:rPr>
            </w:pPr>
            <w:r>
              <w:rPr>
                <w:rFonts w:hint="eastAsia" w:ascii="仿宋" w:hAnsi="仿宋" w:eastAsia="仿宋" w:cs="仿宋"/>
                <w:color w:val="auto"/>
                <w:sz w:val="24"/>
                <w:highlight w:val="none"/>
              </w:rPr>
              <w:t>最高投标限价：施工招标控制价的5.19‰(建安投资约为10,700.00万元)</w:t>
            </w:r>
          </w:p>
        </w:tc>
      </w:tr>
      <w:tr w14:paraId="0395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2469B89E">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3.2.4</w:t>
            </w:r>
          </w:p>
        </w:tc>
        <w:tc>
          <w:tcPr>
            <w:tcW w:w="2413" w:type="dxa"/>
            <w:vAlign w:val="center"/>
          </w:tcPr>
          <w:p w14:paraId="44D7F1B3">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报价的其他要求</w:t>
            </w:r>
          </w:p>
        </w:tc>
        <w:tc>
          <w:tcPr>
            <w:tcW w:w="5115" w:type="dxa"/>
          </w:tcPr>
          <w:p w14:paraId="631B5953">
            <w:pPr>
              <w:pStyle w:val="49"/>
              <w:spacing w:line="312" w:lineRule="auto"/>
              <w:rPr>
                <w:rFonts w:ascii="仿宋" w:hAnsi="仿宋" w:eastAsia="仿宋" w:cs="仿宋"/>
                <w:color w:val="auto"/>
                <w:sz w:val="24"/>
                <w:szCs w:val="24"/>
                <w:highlight w:val="none"/>
              </w:rPr>
            </w:pPr>
            <w:r>
              <w:rPr>
                <w:rFonts w:ascii="仿宋" w:hAnsi="仿宋" w:eastAsia="仿宋" w:cs="仿宋"/>
                <w:color w:val="auto"/>
                <w:sz w:val="24"/>
                <w:szCs w:val="24"/>
                <w:highlight w:val="none"/>
              </w:rPr>
              <w:t>投标报价不得超过最高</w:t>
            </w:r>
            <w:r>
              <w:rPr>
                <w:rFonts w:hint="eastAsia" w:ascii="仿宋" w:hAnsi="仿宋" w:eastAsia="仿宋" w:cs="仿宋"/>
                <w:color w:val="auto"/>
                <w:sz w:val="24"/>
                <w:szCs w:val="24"/>
                <w:highlight w:val="none"/>
              </w:rPr>
              <w:t>投标</w:t>
            </w:r>
            <w:r>
              <w:rPr>
                <w:rFonts w:ascii="仿宋" w:hAnsi="仿宋" w:eastAsia="仿宋" w:cs="仿宋"/>
                <w:color w:val="auto"/>
                <w:sz w:val="24"/>
                <w:szCs w:val="24"/>
                <w:highlight w:val="none"/>
              </w:rPr>
              <w:t>限价</w:t>
            </w:r>
          </w:p>
        </w:tc>
      </w:tr>
      <w:tr w14:paraId="1B62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294A5D55">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3.3.1</w:t>
            </w:r>
          </w:p>
        </w:tc>
        <w:tc>
          <w:tcPr>
            <w:tcW w:w="2413" w:type="dxa"/>
            <w:vAlign w:val="center"/>
          </w:tcPr>
          <w:p w14:paraId="19CE3A8F">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响应文件有效期</w:t>
            </w:r>
          </w:p>
        </w:tc>
        <w:tc>
          <w:tcPr>
            <w:tcW w:w="5115" w:type="dxa"/>
          </w:tcPr>
          <w:p w14:paraId="21E1BF3D">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60日历天</w:t>
            </w:r>
          </w:p>
        </w:tc>
      </w:tr>
      <w:tr w14:paraId="15E1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474C1C4B">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3.4.1</w:t>
            </w:r>
          </w:p>
        </w:tc>
        <w:tc>
          <w:tcPr>
            <w:tcW w:w="2413" w:type="dxa"/>
            <w:vAlign w:val="center"/>
          </w:tcPr>
          <w:p w14:paraId="46F379DC">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响应保证金</w:t>
            </w:r>
          </w:p>
        </w:tc>
        <w:tc>
          <w:tcPr>
            <w:tcW w:w="5115" w:type="dxa"/>
          </w:tcPr>
          <w:p w14:paraId="6823B640">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不要求递交</w:t>
            </w:r>
          </w:p>
          <w:p w14:paraId="089C4E33">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要求递交</w:t>
            </w:r>
          </w:p>
          <w:p w14:paraId="7AFD629E">
            <w:pPr>
              <w:spacing w:line="312" w:lineRule="auto"/>
              <w:ind w:firstLine="480"/>
              <w:rPr>
                <w:rFonts w:ascii="仿宋" w:hAnsi="仿宋" w:eastAsia="仿宋" w:cs="仿宋"/>
                <w:color w:val="auto"/>
                <w:sz w:val="24"/>
                <w:highlight w:val="none"/>
                <w:u w:val="single"/>
              </w:rPr>
            </w:pPr>
            <w:r>
              <w:rPr>
                <w:rFonts w:hint="eastAsia" w:ascii="仿宋" w:hAnsi="仿宋" w:eastAsia="仿宋" w:cs="仿宋"/>
                <w:b/>
                <w:bCs/>
                <w:color w:val="auto"/>
                <w:sz w:val="24"/>
                <w:highlight w:val="none"/>
              </w:rPr>
              <w:t>保证金的金额：</w:t>
            </w:r>
            <w:r>
              <w:rPr>
                <w:rFonts w:hint="eastAsia" w:ascii="仿宋" w:hAnsi="仿宋" w:eastAsia="仿宋" w:cs="仿宋"/>
                <w:b/>
                <w:bCs/>
                <w:color w:val="auto"/>
                <w:sz w:val="24"/>
                <w:highlight w:val="none"/>
                <w:u w:val="single"/>
              </w:rPr>
              <w:t>3000.00元</w:t>
            </w:r>
          </w:p>
          <w:p w14:paraId="6DC3FF47">
            <w:pPr>
              <w:spacing w:line="312" w:lineRule="auto"/>
              <w:ind w:firstLine="480"/>
              <w:rPr>
                <w:rFonts w:ascii="仿宋" w:hAnsi="仿宋" w:eastAsia="仿宋" w:cs="仿宋"/>
                <w:color w:val="auto"/>
                <w:sz w:val="24"/>
                <w:highlight w:val="none"/>
              </w:rPr>
            </w:pPr>
            <w:r>
              <w:rPr>
                <w:rFonts w:hint="eastAsia" w:ascii="仿宋" w:hAnsi="仿宋" w:eastAsia="仿宋" w:cs="仿宋"/>
                <w:color w:val="auto"/>
                <w:sz w:val="24"/>
                <w:highlight w:val="none"/>
              </w:rPr>
              <w:t>保证金的形式：</w:t>
            </w:r>
            <w:r>
              <w:rPr>
                <w:rFonts w:hint="eastAsia" w:ascii="仿宋" w:hAnsi="仿宋" w:eastAsia="仿宋" w:cs="仿宋"/>
                <w:color w:val="auto"/>
                <w:sz w:val="24"/>
                <w:highlight w:val="none"/>
                <w:u w:val="single"/>
              </w:rPr>
              <w:t>银行转账（必须从企业开户银行转出）、保险保单、银行保函等非现金方式</w:t>
            </w:r>
            <w:r>
              <w:rPr>
                <w:rFonts w:hint="eastAsia" w:ascii="仿宋" w:hAnsi="仿宋" w:eastAsia="仿宋" w:cs="仿宋"/>
                <w:color w:val="auto"/>
                <w:sz w:val="24"/>
                <w:highlight w:val="none"/>
              </w:rPr>
              <w:t>；</w:t>
            </w:r>
          </w:p>
          <w:p w14:paraId="189FAACE">
            <w:pPr>
              <w:spacing w:line="312" w:lineRule="auto"/>
              <w:rPr>
                <w:rFonts w:ascii="仿宋" w:hAnsi="仿宋" w:eastAsia="仿宋" w:cs="仿宋"/>
                <w:color w:val="auto"/>
                <w:sz w:val="24"/>
                <w:highlight w:val="none"/>
              </w:rPr>
            </w:pPr>
            <w:r>
              <w:rPr>
                <w:rFonts w:hint="eastAsia" w:ascii="仿宋" w:hAnsi="仿宋" w:eastAsia="仿宋" w:cs="仿宋"/>
                <w:color w:val="auto"/>
                <w:sz w:val="24"/>
                <w:highlight w:val="none"/>
              </w:rPr>
              <w:t>递交保证金账户信息如下：</w:t>
            </w:r>
          </w:p>
          <w:p w14:paraId="552F5FE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收款单位：青海联祥招标代理有限公司</w:t>
            </w:r>
          </w:p>
          <w:p w14:paraId="7500257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开户行：中国建设银行股份有限公司西宁城西支行</w:t>
            </w:r>
          </w:p>
          <w:p w14:paraId="0201BFF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银行账号：63001373637050216012</w:t>
            </w:r>
          </w:p>
        </w:tc>
      </w:tr>
      <w:tr w14:paraId="73DF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45320922">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3.4.2</w:t>
            </w:r>
          </w:p>
        </w:tc>
        <w:tc>
          <w:tcPr>
            <w:tcW w:w="2413" w:type="dxa"/>
            <w:vAlign w:val="center"/>
          </w:tcPr>
          <w:p w14:paraId="5CCD7198">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退还响应</w:t>
            </w:r>
          </w:p>
          <w:p w14:paraId="5B63CBF7">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保证金的时间</w:t>
            </w:r>
          </w:p>
        </w:tc>
        <w:tc>
          <w:tcPr>
            <w:tcW w:w="5115" w:type="dxa"/>
          </w:tcPr>
          <w:p w14:paraId="761A6E65">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（1）通过银行转账的保证金：</w:t>
            </w:r>
          </w:p>
          <w:p w14:paraId="49A566BB">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发出成交通知书后5日内向除候选成交供应商外的其他供应商原额退还响应保证金，并在采购合同签订后5日内向成交供应商原额退还响应保证金。</w:t>
            </w:r>
          </w:p>
          <w:p w14:paraId="17D82370">
            <w:pPr>
              <w:spacing w:line="312" w:lineRule="auto"/>
              <w:jc w:val="left"/>
              <w:rPr>
                <w:rFonts w:ascii="仿宋" w:hAnsi="仿宋" w:eastAsia="仿宋" w:cs="仿宋"/>
                <w:color w:val="auto"/>
                <w:highlight w:val="none"/>
              </w:rPr>
            </w:pPr>
            <w:r>
              <w:rPr>
                <w:rFonts w:hint="eastAsia" w:ascii="仿宋" w:hAnsi="仿宋" w:eastAsia="仿宋" w:cs="仿宋"/>
                <w:color w:val="auto"/>
                <w:sz w:val="24"/>
                <w:highlight w:val="none"/>
              </w:rPr>
              <w:t>（2）询比保函：</w:t>
            </w:r>
            <w:r>
              <w:rPr>
                <w:rFonts w:hint="eastAsia" w:ascii="仿宋" w:hAnsi="仿宋" w:eastAsia="仿宋" w:cs="仿宋"/>
                <w:b/>
                <w:bCs/>
                <w:color w:val="auto"/>
                <w:sz w:val="24"/>
                <w:highlight w:val="none"/>
              </w:rPr>
              <w:t>/</w:t>
            </w:r>
          </w:p>
        </w:tc>
      </w:tr>
      <w:tr w14:paraId="02DE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65817467">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3.4.3（3）</w:t>
            </w:r>
          </w:p>
        </w:tc>
        <w:tc>
          <w:tcPr>
            <w:tcW w:w="2413" w:type="dxa"/>
            <w:vAlign w:val="center"/>
          </w:tcPr>
          <w:p w14:paraId="69067D72">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不退还响应保证金</w:t>
            </w:r>
          </w:p>
          <w:p w14:paraId="3A9024A4">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的其他情形</w:t>
            </w:r>
          </w:p>
        </w:tc>
        <w:tc>
          <w:tcPr>
            <w:tcW w:w="5115" w:type="dxa"/>
          </w:tcPr>
          <w:p w14:paraId="54AF206F">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（1）供应商在规定的响应文件有效期内撤销或修改其响应文件；</w:t>
            </w:r>
          </w:p>
          <w:p w14:paraId="6816C5DB">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（2）成交供应商在收到成交通知书后，无正当理由拒签合同协议书或未按采购文件规定提交履约担保。</w:t>
            </w:r>
          </w:p>
        </w:tc>
      </w:tr>
      <w:tr w14:paraId="0536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29FC6F17">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3.5（1）</w:t>
            </w:r>
          </w:p>
        </w:tc>
        <w:tc>
          <w:tcPr>
            <w:tcW w:w="2413" w:type="dxa"/>
            <w:vAlign w:val="center"/>
          </w:tcPr>
          <w:p w14:paraId="7153362B">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依法设立的证明材料</w:t>
            </w:r>
          </w:p>
        </w:tc>
        <w:tc>
          <w:tcPr>
            <w:tcW w:w="5115" w:type="dxa"/>
          </w:tcPr>
          <w:p w14:paraId="0F71C6D5">
            <w:pPr>
              <w:spacing w:line="312" w:lineRule="auto"/>
              <w:jc w:val="left"/>
              <w:rPr>
                <w:rFonts w:ascii="仿宋" w:hAnsi="仿宋" w:eastAsia="仿宋" w:cs="仿宋"/>
                <w:color w:val="auto"/>
                <w:sz w:val="24"/>
                <w:highlight w:val="none"/>
              </w:rPr>
            </w:pPr>
            <w:r>
              <w:rPr>
                <w:rFonts w:hint="eastAsia" w:ascii="仿宋" w:hAnsi="仿宋" w:eastAsia="仿宋" w:cs="仿宋"/>
                <w:b/>
                <w:bCs/>
                <w:color w:val="auto"/>
                <w:sz w:val="24"/>
                <w:highlight w:val="none"/>
              </w:rPr>
              <w:t>供应商应提供市场监管部门或其他行政机关颁发的可以合法开展业务的执照或证书复印件</w:t>
            </w:r>
          </w:p>
        </w:tc>
      </w:tr>
      <w:tr w14:paraId="2A072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595942F9">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3.5（2）</w:t>
            </w:r>
          </w:p>
        </w:tc>
        <w:tc>
          <w:tcPr>
            <w:tcW w:w="2413" w:type="dxa"/>
            <w:vAlign w:val="center"/>
          </w:tcPr>
          <w:p w14:paraId="04601131">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资质要求证明材料</w:t>
            </w:r>
          </w:p>
        </w:tc>
        <w:tc>
          <w:tcPr>
            <w:tcW w:w="5115" w:type="dxa"/>
          </w:tcPr>
          <w:p w14:paraId="5F28D407">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不适用</w:t>
            </w:r>
          </w:p>
          <w:p w14:paraId="20F61EA3">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适用。供应商应提供相关资质证书副本的复印件，以证明供应商具有承担本项目要求的资质。</w:t>
            </w:r>
          </w:p>
          <w:p w14:paraId="75198D0D">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资质证书包括：供应商</w:t>
            </w:r>
            <w:r>
              <w:rPr>
                <w:rFonts w:hint="eastAsia" w:ascii="仿宋" w:hAnsi="仿宋" w:eastAsia="仿宋" w:cs="仿宋"/>
                <w:b/>
                <w:bCs/>
                <w:color w:val="auto"/>
                <w:sz w:val="24"/>
                <w:highlight w:val="none"/>
              </w:rPr>
              <w:t>须具备有效营业执照。并在人员、设备、资金等方面具备相应的能力；</w:t>
            </w:r>
          </w:p>
        </w:tc>
      </w:tr>
      <w:tr w14:paraId="6F19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5BD234C1">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3.5（3）</w:t>
            </w:r>
          </w:p>
        </w:tc>
        <w:tc>
          <w:tcPr>
            <w:tcW w:w="2413" w:type="dxa"/>
            <w:vAlign w:val="center"/>
          </w:tcPr>
          <w:p w14:paraId="080F1E2A">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财务要求证明材料</w:t>
            </w:r>
          </w:p>
        </w:tc>
        <w:tc>
          <w:tcPr>
            <w:tcW w:w="5115" w:type="dxa"/>
          </w:tcPr>
          <w:p w14:paraId="5647FFFC">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不适用</w:t>
            </w:r>
          </w:p>
          <w:p w14:paraId="526FEA3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适用。</w:t>
            </w:r>
            <w:r>
              <w:rPr>
                <w:rFonts w:hint="eastAsia" w:ascii="仿宋" w:hAnsi="仿宋" w:eastAsia="仿宋" w:cs="仿宋"/>
                <w:color w:val="auto"/>
                <w:sz w:val="24"/>
                <w:szCs w:val="32"/>
                <w:highlight w:val="none"/>
              </w:rPr>
              <w:t>提供2025年度的会计师事务所或审计机构审计的财务会计报表，包括审计报告、资产负债表、现金流量表、利润表和财务（会计）报表附注的复印件、并提第三方机构的营业执照、执业证书复印件。如投标人的成立时间少于投标人须知前附表规定说年份的，应提供成立以来的财务状况表或开标前</w:t>
            </w:r>
            <w:r>
              <w:rPr>
                <w:rFonts w:hint="eastAsia" w:ascii="仿宋" w:hAnsi="仿宋" w:eastAsia="仿宋" w:cs="仿宋"/>
                <w:color w:val="auto"/>
                <w:sz w:val="24"/>
                <w:szCs w:val="32"/>
                <w:highlight w:val="none"/>
                <w:lang w:val="zh-CN"/>
              </w:rPr>
              <w:t>近三个月内出具的资信证明</w:t>
            </w:r>
            <w:r>
              <w:rPr>
                <w:rFonts w:hint="eastAsia" w:ascii="仿宋" w:hAnsi="仿宋" w:eastAsia="仿宋" w:cs="仿宋"/>
                <w:color w:val="auto"/>
                <w:sz w:val="24"/>
                <w:szCs w:val="32"/>
                <w:highlight w:val="none"/>
              </w:rPr>
              <w:t xml:space="preserve">。 </w:t>
            </w:r>
          </w:p>
        </w:tc>
      </w:tr>
      <w:tr w14:paraId="1D62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037DC3D2">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3.5（4）</w:t>
            </w:r>
          </w:p>
        </w:tc>
        <w:tc>
          <w:tcPr>
            <w:tcW w:w="2413" w:type="dxa"/>
            <w:vAlign w:val="center"/>
          </w:tcPr>
          <w:p w14:paraId="7272E051">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业绩要求证明材料</w:t>
            </w:r>
          </w:p>
        </w:tc>
        <w:tc>
          <w:tcPr>
            <w:tcW w:w="5115" w:type="dxa"/>
          </w:tcPr>
          <w:p w14:paraId="6258ACFB">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不适用</w:t>
            </w:r>
          </w:p>
          <w:p w14:paraId="1518E13F">
            <w:pPr>
              <w:spacing w:line="312" w:lineRule="auto"/>
              <w:ind w:firstLine="240" w:firstLineChars="100"/>
              <w:jc w:val="left"/>
              <w:rPr>
                <w:rFonts w:ascii="仿宋" w:hAnsi="仿宋" w:eastAsia="仿宋" w:cs="仿宋"/>
                <w:b/>
                <w:bCs/>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适用。供应商应提供近年的类似项目情况表（格式见第六章“响应文件格式”近年的类似项目情况表，以证明供应商具有承担本项目要求的业绩。近年是指：</w:t>
            </w:r>
            <w:r>
              <w:rPr>
                <w:rFonts w:hint="eastAsia" w:ascii="仿宋" w:hAnsi="仿宋" w:eastAsia="仿宋" w:cs="仿宋"/>
                <w:b/>
                <w:bCs/>
                <w:color w:val="auto"/>
                <w:sz w:val="24"/>
                <w:highlight w:val="none"/>
                <w:u w:val="single"/>
              </w:rPr>
              <w:t>2023年1月1日</w:t>
            </w:r>
            <w:r>
              <w:rPr>
                <w:rFonts w:hint="eastAsia" w:ascii="仿宋" w:hAnsi="仿宋" w:eastAsia="仿宋" w:cs="仿宋"/>
                <w:b/>
                <w:bCs/>
                <w:color w:val="auto"/>
                <w:sz w:val="24"/>
                <w:highlight w:val="none"/>
              </w:rPr>
              <w:t>至</w:t>
            </w:r>
            <w:r>
              <w:rPr>
                <w:rFonts w:hint="eastAsia" w:ascii="仿宋" w:hAnsi="仿宋" w:eastAsia="仿宋" w:cs="仿宋"/>
                <w:b/>
                <w:bCs/>
                <w:color w:val="auto"/>
                <w:sz w:val="24"/>
                <w:highlight w:val="none"/>
                <w:u w:val="single"/>
              </w:rPr>
              <w:t xml:space="preserve">询比截止时间  </w:t>
            </w:r>
          </w:p>
          <w:p w14:paraId="2DFA5D83">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业绩证明材料：</w:t>
            </w:r>
          </w:p>
          <w:p w14:paraId="7180828F">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合同/订单</w:t>
            </w:r>
          </w:p>
          <w:p w14:paraId="35C4BFDE">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中标通知书/成交通知书</w:t>
            </w:r>
          </w:p>
          <w:p w14:paraId="37B95AF0">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竣工验收报告/验收证明</w:t>
            </w:r>
          </w:p>
          <w:p w14:paraId="37DFBBC4">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业主证明</w:t>
            </w:r>
          </w:p>
          <w:p w14:paraId="74090BF1">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其他材料：</w:t>
            </w:r>
          </w:p>
          <w:p w14:paraId="32AAB002">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业绩证明材料种类要求：</w:t>
            </w:r>
          </w:p>
          <w:p w14:paraId="2631FA67">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b/>
                <w:bCs/>
                <w:color w:val="auto"/>
                <w:sz w:val="24"/>
                <w:highlight w:val="none"/>
              </w:rPr>
              <w:t>提供上述勾选的任一项证明材料即可</w:t>
            </w:r>
          </w:p>
          <w:p w14:paraId="02907CB7">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需同时提供上述勾选的所有证明材料</w:t>
            </w:r>
          </w:p>
          <w:p w14:paraId="1D0BCFB2">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其他要求：</w:t>
            </w:r>
          </w:p>
        </w:tc>
      </w:tr>
      <w:tr w14:paraId="4CB2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5D79FE05">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3.5（5）</w:t>
            </w:r>
          </w:p>
        </w:tc>
        <w:tc>
          <w:tcPr>
            <w:tcW w:w="2413" w:type="dxa"/>
            <w:vAlign w:val="center"/>
          </w:tcPr>
          <w:p w14:paraId="30083171">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信誉要求证明材料</w:t>
            </w:r>
          </w:p>
        </w:tc>
        <w:tc>
          <w:tcPr>
            <w:tcW w:w="5115" w:type="dxa"/>
          </w:tcPr>
          <w:p w14:paraId="3A0F45F9">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不适用</w:t>
            </w:r>
          </w:p>
          <w:p w14:paraId="26A1F21A">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适用。供应商应提供相关信誉情况的证明材料如下:</w:t>
            </w:r>
          </w:p>
          <w:p w14:paraId="25AD2B22">
            <w:pPr>
              <w:spacing w:line="360" w:lineRule="auto"/>
              <w:rPr>
                <w:rFonts w:ascii="仿宋" w:hAnsi="仿宋" w:eastAsia="仿宋" w:cs="仿宋"/>
                <w:color w:val="auto"/>
                <w:sz w:val="24"/>
                <w:highlight w:val="none"/>
                <w:u w:val="single"/>
              </w:rPr>
            </w:pPr>
            <w:r>
              <w:rPr>
                <w:rFonts w:hint="eastAsia" w:ascii="仿宋" w:hAnsi="仿宋" w:eastAsia="仿宋" w:cs="仿宋"/>
                <w:b/>
                <w:bCs/>
                <w:color w:val="auto"/>
                <w:sz w:val="24"/>
                <w:szCs w:val="32"/>
                <w:highlight w:val="none"/>
                <w:lang w:val="zh-CN"/>
              </w:rPr>
              <w:t>经信用中国</w:t>
            </w:r>
            <w:r>
              <w:rPr>
                <w:rFonts w:hint="eastAsia" w:ascii="仿宋" w:hAnsi="仿宋" w:eastAsia="仿宋" w:cs="仿宋"/>
                <w:b/>
                <w:bCs/>
                <w:color w:val="auto"/>
                <w:sz w:val="24"/>
                <w:szCs w:val="32"/>
                <w:highlight w:val="none"/>
              </w:rPr>
              <w:t>（www.creditchina.gov.cn）</w:t>
            </w:r>
            <w:r>
              <w:rPr>
                <w:rFonts w:hint="eastAsia" w:ascii="仿宋" w:hAnsi="仿宋" w:eastAsia="仿宋" w:cs="仿宋"/>
                <w:b/>
                <w:bCs/>
                <w:color w:val="auto"/>
                <w:sz w:val="24"/>
                <w:szCs w:val="32"/>
                <w:highlight w:val="none"/>
                <w:lang w:val="zh-CN"/>
              </w:rPr>
              <w:t>渠道查询后</w:t>
            </w:r>
            <w:r>
              <w:rPr>
                <w:rFonts w:hint="eastAsia" w:ascii="仿宋" w:hAnsi="仿宋" w:eastAsia="仿宋" w:cs="仿宋"/>
                <w:b/>
                <w:bCs/>
                <w:color w:val="auto"/>
                <w:sz w:val="24"/>
                <w:szCs w:val="32"/>
                <w:highlight w:val="none"/>
              </w:rPr>
              <w:t>，</w:t>
            </w:r>
            <w:r>
              <w:rPr>
                <w:rFonts w:hint="eastAsia" w:ascii="仿宋" w:hAnsi="仿宋" w:eastAsia="仿宋" w:cs="仿宋"/>
                <w:b/>
                <w:bCs/>
                <w:color w:val="auto"/>
                <w:sz w:val="24"/>
                <w:szCs w:val="32"/>
                <w:highlight w:val="none"/>
                <w:lang w:val="zh-CN"/>
              </w:rPr>
              <w:t>列入失信被执行人、重大税收违法失信主体、政府采购严重违法失信行为记录名单的</w:t>
            </w:r>
            <w:r>
              <w:rPr>
                <w:rFonts w:hint="eastAsia" w:ascii="仿宋" w:hAnsi="仿宋" w:eastAsia="仿宋" w:cs="仿宋"/>
                <w:b/>
                <w:bCs/>
                <w:color w:val="auto"/>
                <w:sz w:val="24"/>
                <w:szCs w:val="32"/>
                <w:highlight w:val="none"/>
              </w:rPr>
              <w:t>，</w:t>
            </w:r>
            <w:r>
              <w:rPr>
                <w:rFonts w:hint="eastAsia" w:ascii="仿宋" w:hAnsi="仿宋" w:eastAsia="仿宋" w:cs="仿宋"/>
                <w:b/>
                <w:bCs/>
                <w:color w:val="auto"/>
                <w:sz w:val="24"/>
                <w:szCs w:val="32"/>
                <w:highlight w:val="none"/>
                <w:lang w:val="zh-CN"/>
              </w:rPr>
              <w:t>取消投标资格。响应人应提供</w:t>
            </w:r>
            <w:r>
              <w:rPr>
                <w:rFonts w:hint="eastAsia" w:ascii="仿宋" w:hAnsi="仿宋" w:eastAsia="仿宋" w:cs="仿宋"/>
                <w:b/>
                <w:bCs/>
                <w:color w:val="auto"/>
                <w:sz w:val="24"/>
                <w:szCs w:val="32"/>
                <w:highlight w:val="none"/>
                <w:lang w:val="en-US" w:eastAsia="zh-CN"/>
              </w:rPr>
              <w:t>信用中国</w:t>
            </w:r>
            <w:r>
              <w:rPr>
                <w:rFonts w:hint="eastAsia" w:ascii="仿宋" w:hAnsi="仿宋" w:eastAsia="仿宋" w:cs="仿宋"/>
                <w:b/>
                <w:bCs/>
                <w:color w:val="auto"/>
                <w:sz w:val="24"/>
                <w:szCs w:val="32"/>
                <w:highlight w:val="none"/>
                <w:lang w:val="zh-CN"/>
              </w:rPr>
              <w:t>查询截图。</w:t>
            </w:r>
          </w:p>
        </w:tc>
      </w:tr>
      <w:tr w14:paraId="50699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267" w:type="dxa"/>
            <w:vAlign w:val="center"/>
          </w:tcPr>
          <w:p w14:paraId="7486DC85">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3.5（6）</w:t>
            </w:r>
          </w:p>
        </w:tc>
        <w:tc>
          <w:tcPr>
            <w:tcW w:w="2413" w:type="dxa"/>
            <w:vAlign w:val="center"/>
          </w:tcPr>
          <w:p w14:paraId="1FC64A1D">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承担本项目的主要人员要求证明材料</w:t>
            </w:r>
          </w:p>
        </w:tc>
        <w:tc>
          <w:tcPr>
            <w:tcW w:w="5115" w:type="dxa"/>
          </w:tcPr>
          <w:p w14:paraId="3B5D4A23">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不适用</w:t>
            </w:r>
          </w:p>
          <w:p w14:paraId="7D5589DE">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适用。供应商应提供拟委任的主要人员汇总表和主要人员简历表（格式见第六章“响应文件格式”资格审查资料、拟委任的主要人员汇总表）。供应商应填报满足第一章“询比采购公告/询比采购邀请书”规定的项目负责人和其他主要人员的相关信息，并按如下要求提供相关证明文件：</w:t>
            </w:r>
            <w:r>
              <w:rPr>
                <w:rFonts w:hint="eastAsia" w:ascii="仿宋" w:hAnsi="仿宋" w:eastAsia="仿宋" w:cs="仿宋"/>
                <w:b/>
                <w:bCs/>
                <w:color w:val="auto"/>
                <w:sz w:val="24"/>
                <w:highlight w:val="none"/>
              </w:rPr>
              <w:t>项目负责人具有一级造价工程师证书（土木建筑工程），且证书注册单位与投标单位一致。</w:t>
            </w:r>
          </w:p>
        </w:tc>
      </w:tr>
      <w:tr w14:paraId="1F54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4EAA50AD">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3.5（7）</w:t>
            </w:r>
          </w:p>
        </w:tc>
        <w:tc>
          <w:tcPr>
            <w:tcW w:w="2413" w:type="dxa"/>
            <w:vAlign w:val="center"/>
          </w:tcPr>
          <w:p w14:paraId="15309A69">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其他要求的证明材料</w:t>
            </w:r>
          </w:p>
        </w:tc>
        <w:tc>
          <w:tcPr>
            <w:tcW w:w="5115" w:type="dxa"/>
          </w:tcPr>
          <w:p w14:paraId="6FC6DB64">
            <w:pPr>
              <w:spacing w:line="312" w:lineRule="auto"/>
              <w:jc w:val="left"/>
              <w:rPr>
                <w:rFonts w:ascii="仿宋" w:hAnsi="仿宋" w:eastAsia="仿宋" w:cs="仿宋"/>
                <w:color w:val="auto"/>
                <w:sz w:val="24"/>
                <w:highlight w:val="none"/>
              </w:rPr>
            </w:pPr>
            <w:r>
              <w:rPr>
                <w:rFonts w:hint="eastAsia" w:ascii="仿宋" w:hAnsi="仿宋" w:eastAsia="仿宋" w:cs="仿宋"/>
                <w:b/>
                <w:bCs/>
                <w:color w:val="auto"/>
                <w:sz w:val="24"/>
                <w:szCs w:val="32"/>
                <w:highlight w:val="none"/>
              </w:rPr>
              <w:t>企业注册地不在青海省辖区内的企业，应提供青海省省外建设工程企业信息登记册。</w:t>
            </w:r>
          </w:p>
        </w:tc>
      </w:tr>
      <w:tr w14:paraId="0D06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71AFB6D7">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3.5（8）</w:t>
            </w:r>
          </w:p>
        </w:tc>
        <w:tc>
          <w:tcPr>
            <w:tcW w:w="2413" w:type="dxa"/>
            <w:vAlign w:val="center"/>
          </w:tcPr>
          <w:p w14:paraId="40BBBDF4">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供应商不存在第一章3.2款情形的证明材料</w:t>
            </w:r>
          </w:p>
        </w:tc>
        <w:tc>
          <w:tcPr>
            <w:tcW w:w="5115" w:type="dxa"/>
          </w:tcPr>
          <w:p w14:paraId="78BBEC8C">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不需提供证明材料</w:t>
            </w:r>
          </w:p>
          <w:p w14:paraId="0E51DAB6">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需要提供证明材料</w:t>
            </w:r>
          </w:p>
        </w:tc>
      </w:tr>
      <w:tr w14:paraId="4CA8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6ED87E80">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3.5（9）</w:t>
            </w:r>
          </w:p>
        </w:tc>
        <w:tc>
          <w:tcPr>
            <w:tcW w:w="2413" w:type="dxa"/>
            <w:vAlign w:val="center"/>
          </w:tcPr>
          <w:p w14:paraId="6A334A7E">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联合体要求的</w:t>
            </w:r>
          </w:p>
          <w:p w14:paraId="31A917A3">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证明材料</w:t>
            </w:r>
          </w:p>
        </w:tc>
        <w:tc>
          <w:tcPr>
            <w:tcW w:w="5115" w:type="dxa"/>
          </w:tcPr>
          <w:p w14:paraId="2490A972">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不适用</w:t>
            </w:r>
          </w:p>
          <w:p w14:paraId="4A179DD6">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适用。供应商应按照采购文件提供的格式（格式见第六章“响应文件格式”三、联合体协议书）拟订联合体协议书，并提供联合体协议书的原件。联合体协议书应明确联合体各方的分工</w:t>
            </w:r>
          </w:p>
        </w:tc>
      </w:tr>
      <w:tr w14:paraId="68BA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0C95B010">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3.6.1</w:t>
            </w:r>
          </w:p>
        </w:tc>
        <w:tc>
          <w:tcPr>
            <w:tcW w:w="2413" w:type="dxa"/>
            <w:vAlign w:val="center"/>
          </w:tcPr>
          <w:p w14:paraId="15F8B286">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对关键条款进行</w:t>
            </w:r>
          </w:p>
          <w:p w14:paraId="6CE43095">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响应的证据或</w:t>
            </w:r>
          </w:p>
          <w:p w14:paraId="4D622BA8">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证明材料要求</w:t>
            </w:r>
          </w:p>
        </w:tc>
        <w:tc>
          <w:tcPr>
            <w:tcW w:w="5115" w:type="dxa"/>
            <w:vAlign w:val="center"/>
          </w:tcPr>
          <w:p w14:paraId="0A0C41D4">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w:t>
            </w:r>
          </w:p>
        </w:tc>
      </w:tr>
      <w:tr w14:paraId="4CA49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1AB9A958">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3.7.5</w:t>
            </w:r>
          </w:p>
        </w:tc>
        <w:tc>
          <w:tcPr>
            <w:tcW w:w="2413" w:type="dxa"/>
            <w:vAlign w:val="center"/>
          </w:tcPr>
          <w:p w14:paraId="49FBCF28">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响应文件副本份数</w:t>
            </w:r>
          </w:p>
          <w:p w14:paraId="57536ED7">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及电子版要求</w:t>
            </w:r>
          </w:p>
        </w:tc>
        <w:tc>
          <w:tcPr>
            <w:tcW w:w="5115" w:type="dxa"/>
          </w:tcPr>
          <w:p w14:paraId="339AC6EF">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响应文件副本</w:t>
            </w:r>
            <w:r>
              <w:rPr>
                <w:rFonts w:hint="eastAsia" w:ascii="仿宋" w:hAnsi="仿宋" w:eastAsia="仿宋" w:cs="仿宋"/>
                <w:color w:val="auto"/>
                <w:sz w:val="24"/>
                <w:highlight w:val="none"/>
                <w:u w:val="single"/>
              </w:rPr>
              <w:t xml:space="preserve"> 2</w:t>
            </w:r>
            <w:r>
              <w:rPr>
                <w:rFonts w:hint="eastAsia" w:ascii="仿宋" w:hAnsi="仿宋" w:eastAsia="仿宋" w:cs="仿宋"/>
                <w:color w:val="auto"/>
                <w:sz w:val="24"/>
                <w:highlight w:val="none"/>
              </w:rPr>
              <w:t>份(一正二副）</w:t>
            </w:r>
          </w:p>
          <w:p w14:paraId="4445487C">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是否要求提供电子版响应文件：</w:t>
            </w:r>
          </w:p>
          <w:p w14:paraId="07FE04C3">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不要求</w:t>
            </w:r>
          </w:p>
          <w:p w14:paraId="5A04DF35">
            <w:pPr>
              <w:spacing w:line="312" w:lineRule="auto"/>
              <w:ind w:firstLine="240" w:firstLineChars="1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要求，提供电子版响应文件的形式：</w:t>
            </w:r>
            <w:r>
              <w:rPr>
                <w:rFonts w:hint="eastAsia" w:ascii="仿宋" w:hAnsi="仿宋" w:eastAsia="仿宋" w:cs="仿宋"/>
                <w:color w:val="auto"/>
                <w:sz w:val="24"/>
                <w:highlight w:val="none"/>
                <w:u w:val="single"/>
              </w:rPr>
              <w:t>正本的扫描件U盘（PDF格式内容必须和纸质投标文件正本完全一致，包括封面、页码、签字、盖章等）。</w:t>
            </w:r>
          </w:p>
        </w:tc>
      </w:tr>
      <w:tr w14:paraId="7BCE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7D394007">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3.7.6</w:t>
            </w:r>
          </w:p>
        </w:tc>
        <w:tc>
          <w:tcPr>
            <w:tcW w:w="2413" w:type="dxa"/>
            <w:vAlign w:val="center"/>
          </w:tcPr>
          <w:p w14:paraId="4044B56B">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分册装订要求</w:t>
            </w:r>
          </w:p>
        </w:tc>
        <w:tc>
          <w:tcPr>
            <w:tcW w:w="5115" w:type="dxa"/>
          </w:tcPr>
          <w:p w14:paraId="0267F383">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要求</w:t>
            </w:r>
          </w:p>
          <w:p w14:paraId="32CA3BFE">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不要求</w:t>
            </w:r>
          </w:p>
          <w:p w14:paraId="37F00A88">
            <w:pPr>
              <w:pStyle w:val="49"/>
              <w:spacing w:before="56" w:line="312" w:lineRule="auto"/>
              <w:ind w:firstLine="240" w:firstLineChars="100"/>
              <w:jc w:val="left"/>
              <w:rPr>
                <w:rFonts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响应文件用A4纸打印或复印（正本需打印，副本可以是正本的复印件），正、副本分别胶装订成册，编制目录、标注页码。</w:t>
            </w:r>
          </w:p>
        </w:tc>
      </w:tr>
      <w:tr w14:paraId="784FD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4BD615CA">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4.1.2</w:t>
            </w:r>
          </w:p>
        </w:tc>
        <w:tc>
          <w:tcPr>
            <w:tcW w:w="2413" w:type="dxa"/>
            <w:vAlign w:val="center"/>
          </w:tcPr>
          <w:p w14:paraId="544360E3">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封套上应载明的信息</w:t>
            </w:r>
          </w:p>
        </w:tc>
        <w:tc>
          <w:tcPr>
            <w:tcW w:w="5115" w:type="dxa"/>
          </w:tcPr>
          <w:p w14:paraId="5AA3F5B2">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供应商名称：</w:t>
            </w:r>
          </w:p>
          <w:p w14:paraId="5483B197">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（项目名称）响应文件  </w:t>
            </w:r>
          </w:p>
          <w:p w14:paraId="1AA594FE">
            <w:pPr>
              <w:spacing w:line="312" w:lineRule="auto"/>
              <w:ind w:firstLine="960" w:firstLineChars="400"/>
              <w:jc w:val="left"/>
              <w:rPr>
                <w:rFonts w:ascii="仿宋" w:hAnsi="仿宋" w:eastAsia="仿宋" w:cs="仿宋"/>
                <w:color w:val="auto"/>
                <w:sz w:val="24"/>
                <w:highlight w:val="none"/>
              </w:rPr>
            </w:pPr>
            <w:r>
              <w:rPr>
                <w:rFonts w:hint="eastAsia" w:ascii="仿宋" w:hAnsi="仿宋" w:eastAsia="仿宋" w:cs="仿宋"/>
                <w:color w:val="auto"/>
                <w:sz w:val="24"/>
                <w:highlight w:val="none"/>
              </w:rPr>
              <w:t>在  年  月  日时分前不得开启</w:t>
            </w:r>
          </w:p>
          <w:p w14:paraId="3CDC1D16">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注：响应文件封套严重破坏的，不予接受</w:t>
            </w:r>
          </w:p>
        </w:tc>
      </w:tr>
      <w:tr w14:paraId="7C1BE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042F3252">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4.2.1</w:t>
            </w:r>
          </w:p>
        </w:tc>
        <w:tc>
          <w:tcPr>
            <w:tcW w:w="2413" w:type="dxa"/>
            <w:vAlign w:val="center"/>
          </w:tcPr>
          <w:p w14:paraId="082C5B7D">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递交响应文件的截止时间和地点</w:t>
            </w:r>
          </w:p>
        </w:tc>
        <w:tc>
          <w:tcPr>
            <w:tcW w:w="5115" w:type="dxa"/>
          </w:tcPr>
          <w:p w14:paraId="181D87D9">
            <w:pPr>
              <w:spacing w:line="312" w:lineRule="auto"/>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截止时间：2026年11月03日09时30分</w:t>
            </w:r>
          </w:p>
          <w:p w14:paraId="00EE78C5">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递交响应文件的地点：青海联祥招标代理有限公司（青海省西宁市城西区胜利路4号时代盛华写字楼13楼11304室）</w:t>
            </w:r>
          </w:p>
        </w:tc>
      </w:tr>
      <w:tr w14:paraId="3A996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5917CA41">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4.2.2</w:t>
            </w:r>
          </w:p>
        </w:tc>
        <w:tc>
          <w:tcPr>
            <w:tcW w:w="2413" w:type="dxa"/>
            <w:vAlign w:val="center"/>
          </w:tcPr>
          <w:p w14:paraId="57F400BB">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是否退还响应文件</w:t>
            </w:r>
          </w:p>
        </w:tc>
        <w:tc>
          <w:tcPr>
            <w:tcW w:w="5115" w:type="dxa"/>
          </w:tcPr>
          <w:p w14:paraId="61253757">
            <w:pPr>
              <w:spacing w:line="312" w:lineRule="auto"/>
              <w:ind w:firstLine="240" w:firstLineChars="1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是，退还时间：</w:t>
            </w:r>
          </w:p>
          <w:p w14:paraId="45F1F5CA">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 xml:space="preserve">否 </w:t>
            </w:r>
          </w:p>
        </w:tc>
      </w:tr>
      <w:tr w14:paraId="1A77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5DF3A7BA">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4.3.3</w:t>
            </w:r>
          </w:p>
        </w:tc>
        <w:tc>
          <w:tcPr>
            <w:tcW w:w="2413" w:type="dxa"/>
            <w:vAlign w:val="center"/>
          </w:tcPr>
          <w:p w14:paraId="5DFF5130">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供应商撤回响应文件情况下退还响应保证金的时间</w:t>
            </w:r>
          </w:p>
        </w:tc>
        <w:tc>
          <w:tcPr>
            <w:tcW w:w="5115" w:type="dxa"/>
            <w:vAlign w:val="center"/>
          </w:tcPr>
          <w:p w14:paraId="722D7F84">
            <w:pPr>
              <w:spacing w:line="312"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自采购人收到供应商递交的书面通知之日起</w:t>
            </w:r>
            <w:r>
              <w:rPr>
                <w:rFonts w:hint="eastAsia" w:ascii="仿宋" w:hAnsi="仿宋" w:eastAsia="仿宋" w:cs="仿宋"/>
                <w:color w:val="auto"/>
                <w:sz w:val="24"/>
                <w:highlight w:val="none"/>
                <w:u w:val="single"/>
              </w:rPr>
              <w:t xml:space="preserve"> 5</w:t>
            </w:r>
            <w:r>
              <w:rPr>
                <w:rFonts w:hint="eastAsia" w:ascii="仿宋" w:hAnsi="仿宋" w:eastAsia="仿宋" w:cs="仿宋"/>
                <w:color w:val="auto"/>
                <w:sz w:val="24"/>
                <w:highlight w:val="none"/>
              </w:rPr>
              <w:t>日内</w:t>
            </w:r>
          </w:p>
        </w:tc>
      </w:tr>
      <w:tr w14:paraId="74B2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04A5C225">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5.2（4）</w:t>
            </w:r>
          </w:p>
        </w:tc>
        <w:tc>
          <w:tcPr>
            <w:tcW w:w="2413" w:type="dxa"/>
            <w:vAlign w:val="center"/>
          </w:tcPr>
          <w:p w14:paraId="65718F91">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开启程序</w:t>
            </w:r>
          </w:p>
        </w:tc>
        <w:tc>
          <w:tcPr>
            <w:tcW w:w="5115" w:type="dxa"/>
          </w:tcPr>
          <w:p w14:paraId="20FA3ECA">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开启顺序： </w:t>
            </w:r>
          </w:p>
          <w:p w14:paraId="006C2F48">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（1）宣布开启会议纪律；</w:t>
            </w:r>
          </w:p>
          <w:p w14:paraId="1776FA96">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（2）宣布参加开启会议的工作人员姓名；</w:t>
            </w:r>
          </w:p>
          <w:p w14:paraId="0DE7B860">
            <w:pPr>
              <w:spacing w:line="360" w:lineRule="auto"/>
              <w:ind w:firstLine="240" w:firstLineChars="100"/>
              <w:rPr>
                <w:rFonts w:ascii="仿宋" w:hAnsi="仿宋" w:eastAsia="仿宋" w:cs="仿宋"/>
                <w:color w:val="auto"/>
                <w:sz w:val="24"/>
                <w:highlight w:val="none"/>
              </w:rPr>
            </w:pPr>
            <w:r>
              <w:rPr>
                <w:rFonts w:hint="eastAsia" w:ascii="仿宋" w:hAnsi="仿宋" w:eastAsia="仿宋" w:cs="仿宋"/>
                <w:color w:val="auto"/>
                <w:sz w:val="24"/>
                <w:highlight w:val="none"/>
              </w:rPr>
              <w:t>　（3）供应商代表检查确认响应文件的密封情况；</w:t>
            </w:r>
          </w:p>
          <w:p w14:paraId="3DF1D336">
            <w:pPr>
              <w:spacing w:line="360" w:lineRule="auto"/>
              <w:ind w:firstLine="240" w:firstLineChars="100"/>
              <w:rPr>
                <w:rFonts w:ascii="仿宋" w:hAnsi="仿宋" w:eastAsia="仿宋" w:cs="仿宋"/>
                <w:color w:val="auto"/>
                <w:sz w:val="24"/>
                <w:highlight w:val="none"/>
              </w:rPr>
            </w:pPr>
            <w:r>
              <w:rPr>
                <w:rFonts w:hint="eastAsia" w:ascii="仿宋" w:hAnsi="仿宋" w:eastAsia="仿宋" w:cs="仿宋"/>
                <w:color w:val="auto"/>
                <w:sz w:val="24"/>
                <w:highlight w:val="none"/>
              </w:rPr>
              <w:t>　（4）供应商代表及相关工作人员等在响应文件开启记录上签字确认；</w:t>
            </w:r>
          </w:p>
          <w:p w14:paraId="06A0A98F">
            <w:pPr>
              <w:spacing w:line="360" w:lineRule="auto"/>
              <w:ind w:firstLine="240" w:firstLineChars="100"/>
              <w:rPr>
                <w:rFonts w:ascii="仿宋" w:hAnsi="仿宋" w:eastAsia="仿宋" w:cs="仿宋"/>
                <w:color w:val="auto"/>
                <w:sz w:val="24"/>
                <w:highlight w:val="none"/>
              </w:rPr>
            </w:pPr>
            <w:r>
              <w:rPr>
                <w:rFonts w:hint="eastAsia" w:ascii="仿宋" w:hAnsi="仿宋" w:eastAsia="仿宋" w:cs="仿宋"/>
                <w:color w:val="auto"/>
                <w:sz w:val="24"/>
                <w:highlight w:val="none"/>
              </w:rPr>
              <w:t>　（5）宣布有关注意事项；</w:t>
            </w:r>
          </w:p>
          <w:p w14:paraId="01B066C7">
            <w:pPr>
              <w:spacing w:line="360" w:lineRule="auto"/>
              <w:ind w:firstLine="240" w:firstLineChars="100"/>
              <w:rPr>
                <w:rFonts w:ascii="仿宋" w:hAnsi="仿宋" w:eastAsia="仿宋" w:cs="仿宋"/>
                <w:color w:val="auto"/>
                <w:sz w:val="24"/>
                <w:highlight w:val="none"/>
              </w:rPr>
            </w:pPr>
            <w:r>
              <w:rPr>
                <w:rFonts w:hint="eastAsia" w:ascii="仿宋" w:hAnsi="仿宋" w:eastAsia="仿宋" w:cs="仿宋"/>
                <w:color w:val="auto"/>
                <w:sz w:val="24"/>
                <w:highlight w:val="none"/>
              </w:rPr>
              <w:t>　（6）开启会议结束。</w:t>
            </w:r>
          </w:p>
          <w:p w14:paraId="1F94772B">
            <w:pPr>
              <w:spacing w:line="312" w:lineRule="auto"/>
              <w:ind w:firstLine="240" w:firstLineChars="1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其他应公布的信息：</w:t>
            </w:r>
            <w:r>
              <w:rPr>
                <w:rFonts w:hint="eastAsia" w:ascii="仿宋" w:hAnsi="仿宋" w:eastAsia="仿宋" w:cs="仿宋"/>
                <w:b/>
                <w:bCs/>
                <w:color w:val="auto"/>
                <w:sz w:val="24"/>
                <w:highlight w:val="none"/>
                <w:u w:val="single"/>
              </w:rPr>
              <w:t xml:space="preserve"> / </w:t>
            </w:r>
          </w:p>
        </w:tc>
      </w:tr>
      <w:tr w14:paraId="2A16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53E644A7">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5.3</w:t>
            </w:r>
          </w:p>
        </w:tc>
        <w:tc>
          <w:tcPr>
            <w:tcW w:w="2413" w:type="dxa"/>
            <w:vAlign w:val="center"/>
          </w:tcPr>
          <w:p w14:paraId="49B7C150">
            <w:pPr>
              <w:spacing w:line="360" w:lineRule="auto"/>
              <w:ind w:firstLine="240" w:firstLineChars="100"/>
              <w:rPr>
                <w:rFonts w:ascii="仿宋" w:hAnsi="仿宋" w:eastAsia="仿宋" w:cs="仿宋"/>
                <w:color w:val="auto"/>
                <w:sz w:val="24"/>
                <w:highlight w:val="none"/>
              </w:rPr>
            </w:pPr>
            <w:r>
              <w:rPr>
                <w:rFonts w:hint="eastAsia" w:ascii="仿宋" w:hAnsi="仿宋" w:eastAsia="仿宋" w:cs="仿宋"/>
                <w:color w:val="auto"/>
                <w:sz w:val="24"/>
                <w:highlight w:val="none"/>
              </w:rPr>
              <w:t>评审小组的组建</w:t>
            </w:r>
          </w:p>
        </w:tc>
        <w:tc>
          <w:tcPr>
            <w:tcW w:w="5115" w:type="dxa"/>
          </w:tcPr>
          <w:p w14:paraId="598CF6A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（1）评审小组构成：采购代理机构协助采购人组建评审小组。评审小组一般为3人以上单数，由采购人和（或）采购代理机构聘请外部专家参加评审小组。</w:t>
            </w:r>
          </w:p>
          <w:p w14:paraId="30686D3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（2）评标专家确定方式：外部专家由采购人或采购代理机构直接确定。</w:t>
            </w:r>
          </w:p>
        </w:tc>
      </w:tr>
      <w:tr w14:paraId="175F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6FA82C2C">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6.2.2</w:t>
            </w:r>
          </w:p>
        </w:tc>
        <w:tc>
          <w:tcPr>
            <w:tcW w:w="2413" w:type="dxa"/>
            <w:vAlign w:val="center"/>
          </w:tcPr>
          <w:p w14:paraId="1E41B45B">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推荐候选成交供应商的排序及数量</w:t>
            </w:r>
          </w:p>
        </w:tc>
        <w:tc>
          <w:tcPr>
            <w:tcW w:w="5115" w:type="dxa"/>
          </w:tcPr>
          <w:p w14:paraId="46B0EE44">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是否排序：</w:t>
            </w:r>
          </w:p>
          <w:p w14:paraId="589E680E">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排序</w:t>
            </w:r>
          </w:p>
          <w:p w14:paraId="1C82E3B1">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不排序</w:t>
            </w:r>
          </w:p>
          <w:p w14:paraId="377FF416">
            <w:pPr>
              <w:spacing w:line="312" w:lineRule="auto"/>
              <w:ind w:firstLine="240" w:firstLineChars="1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数量：</w:t>
            </w:r>
            <w:r>
              <w:rPr>
                <w:rFonts w:hint="eastAsia" w:ascii="仿宋" w:hAnsi="仿宋" w:eastAsia="仿宋" w:cs="仿宋"/>
                <w:color w:val="auto"/>
                <w:sz w:val="24"/>
                <w:highlight w:val="none"/>
                <w:u w:val="single"/>
              </w:rPr>
              <w:t xml:space="preserve"> 1-3名 </w:t>
            </w:r>
          </w:p>
        </w:tc>
      </w:tr>
      <w:tr w14:paraId="15CD1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2FBE69D0">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lang w:eastAsia="en-US"/>
              </w:rPr>
              <w:t>7.3</w:t>
            </w:r>
          </w:p>
        </w:tc>
        <w:tc>
          <w:tcPr>
            <w:tcW w:w="2413" w:type="dxa"/>
            <w:vAlign w:val="center"/>
          </w:tcPr>
          <w:p w14:paraId="54D6DA24">
            <w:pPr>
              <w:pStyle w:val="95"/>
              <w:spacing w:line="320" w:lineRule="exact"/>
              <w:jc w:val="center"/>
              <w:rPr>
                <w:rFonts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预成交结果公示</w:t>
            </w:r>
          </w:p>
        </w:tc>
        <w:tc>
          <w:tcPr>
            <w:tcW w:w="5115" w:type="dxa"/>
            <w:vAlign w:val="center"/>
          </w:tcPr>
          <w:p w14:paraId="1762E762">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公示媒介：《青海项目信息网》《中国采购与招标》</w:t>
            </w:r>
          </w:p>
          <w:p w14:paraId="7007865B">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公示期限：3日</w:t>
            </w:r>
          </w:p>
          <w:p w14:paraId="2CE986B1">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其他应公示的内容：/</w:t>
            </w:r>
          </w:p>
        </w:tc>
      </w:tr>
      <w:tr w14:paraId="2E93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7D9B2B0D">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lang w:eastAsia="en-US"/>
              </w:rPr>
              <w:t>7.5</w:t>
            </w:r>
          </w:p>
        </w:tc>
        <w:tc>
          <w:tcPr>
            <w:tcW w:w="2413" w:type="dxa"/>
            <w:vAlign w:val="center"/>
          </w:tcPr>
          <w:p w14:paraId="43AE8FBD">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发布成交公告</w:t>
            </w:r>
          </w:p>
        </w:tc>
        <w:tc>
          <w:tcPr>
            <w:tcW w:w="5115" w:type="dxa"/>
            <w:vAlign w:val="center"/>
          </w:tcPr>
          <w:p w14:paraId="6AD54E70">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公告媒介：《青海项目信息网》《中国采购与招标》</w:t>
            </w:r>
          </w:p>
          <w:p w14:paraId="0FC9B694">
            <w:pPr>
              <w:spacing w:line="312"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其他应公告的内容：/</w:t>
            </w:r>
          </w:p>
        </w:tc>
      </w:tr>
      <w:tr w14:paraId="6503D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63D22B5F">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7.6</w:t>
            </w:r>
          </w:p>
        </w:tc>
        <w:tc>
          <w:tcPr>
            <w:tcW w:w="2413" w:type="dxa"/>
            <w:vAlign w:val="center"/>
          </w:tcPr>
          <w:p w14:paraId="32C6AC0E">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履约保证金</w:t>
            </w:r>
          </w:p>
        </w:tc>
        <w:tc>
          <w:tcPr>
            <w:tcW w:w="5115" w:type="dxa"/>
          </w:tcPr>
          <w:p w14:paraId="54E5E297">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不要求递交</w:t>
            </w:r>
          </w:p>
          <w:p w14:paraId="6F19A32E">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要求递交</w:t>
            </w:r>
          </w:p>
          <w:p w14:paraId="75C4A3B2">
            <w:pPr>
              <w:spacing w:line="312" w:lineRule="auto"/>
              <w:ind w:firstLine="240" w:firstLineChars="1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 xml:space="preserve">  履约保证金金额：</w:t>
            </w:r>
          </w:p>
          <w:p w14:paraId="0FA438F7">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  履约保证金形式：</w:t>
            </w:r>
          </w:p>
          <w:p w14:paraId="08FDF840">
            <w:pPr>
              <w:spacing w:line="312"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履约保证金有效期限：</w:t>
            </w:r>
          </w:p>
          <w:p w14:paraId="0DDB81B1">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  递交时间：</w:t>
            </w:r>
          </w:p>
          <w:p w14:paraId="172F97EF">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  其他要求：/</w:t>
            </w:r>
          </w:p>
        </w:tc>
      </w:tr>
      <w:tr w14:paraId="0DE9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00783961">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7.7.4</w:t>
            </w:r>
          </w:p>
        </w:tc>
        <w:tc>
          <w:tcPr>
            <w:tcW w:w="2413" w:type="dxa"/>
            <w:vAlign w:val="center"/>
          </w:tcPr>
          <w:p w14:paraId="75AFC76A">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签约合同价</w:t>
            </w:r>
          </w:p>
        </w:tc>
        <w:tc>
          <w:tcPr>
            <w:tcW w:w="5115" w:type="dxa"/>
          </w:tcPr>
          <w:p w14:paraId="64F43B65">
            <w:pPr>
              <w:spacing w:line="312"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费率</w:t>
            </w:r>
          </w:p>
        </w:tc>
      </w:tr>
      <w:tr w14:paraId="13E39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7F3A9400">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8.1</w:t>
            </w:r>
          </w:p>
        </w:tc>
        <w:tc>
          <w:tcPr>
            <w:tcW w:w="2413" w:type="dxa"/>
            <w:vAlign w:val="center"/>
          </w:tcPr>
          <w:p w14:paraId="6055E87B">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异议渠道</w:t>
            </w:r>
          </w:p>
        </w:tc>
        <w:tc>
          <w:tcPr>
            <w:tcW w:w="5115" w:type="dxa"/>
          </w:tcPr>
          <w:p w14:paraId="5F61DDD7">
            <w:pPr>
              <w:topLinePunct/>
              <w:spacing w:line="312"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联系人：</w:t>
            </w:r>
            <w:r>
              <w:rPr>
                <w:rFonts w:hint="eastAsia" w:ascii="仿宋" w:hAnsi="仿宋" w:eastAsia="仿宋" w:cs="仿宋"/>
                <w:color w:val="auto"/>
                <w:sz w:val="24"/>
                <w:highlight w:val="none"/>
              </w:rPr>
              <w:t>青海民族大学</w:t>
            </w:r>
          </w:p>
          <w:p w14:paraId="0AE43B99">
            <w:pPr>
              <w:topLinePunct/>
              <w:spacing w:line="312" w:lineRule="auto"/>
              <w:rPr>
                <w:rFonts w:ascii="仿宋" w:hAnsi="仿宋" w:eastAsia="仿宋" w:cs="仿宋"/>
                <w:color w:val="auto"/>
                <w:sz w:val="24"/>
                <w:highlight w:val="none"/>
              </w:rPr>
            </w:pPr>
            <w:r>
              <w:rPr>
                <w:rFonts w:hint="eastAsia" w:ascii="仿宋" w:hAnsi="仿宋" w:eastAsia="仿宋" w:cs="仿宋"/>
                <w:color w:val="auto"/>
                <w:kern w:val="0"/>
                <w:sz w:val="24"/>
                <w:highlight w:val="none"/>
              </w:rPr>
              <w:t>联系电话：</w:t>
            </w:r>
            <w:r>
              <w:rPr>
                <w:rFonts w:hint="eastAsia" w:ascii="仿宋" w:hAnsi="仿宋" w:eastAsia="仿宋" w:cs="仿宋"/>
                <w:color w:val="auto"/>
                <w:sz w:val="24"/>
                <w:highlight w:val="none"/>
              </w:rPr>
              <w:t>0971-6126471</w:t>
            </w:r>
          </w:p>
          <w:p w14:paraId="3502364A">
            <w:pPr>
              <w:topLinePunct/>
              <w:spacing w:line="312"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邮箱：/</w:t>
            </w:r>
          </w:p>
          <w:p w14:paraId="4C2732DD">
            <w:pPr>
              <w:topLinePunct/>
              <w:spacing w:line="312"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通信地址：</w:t>
            </w:r>
            <w:r>
              <w:rPr>
                <w:rFonts w:hint="eastAsia" w:ascii="仿宋" w:hAnsi="仿宋" w:eastAsia="仿宋" w:cs="仿宋"/>
                <w:color w:val="auto"/>
                <w:sz w:val="24"/>
                <w:highlight w:val="none"/>
              </w:rPr>
              <w:t>西宁市城东区八一中路3号</w:t>
            </w:r>
          </w:p>
          <w:p w14:paraId="66B1BDBF">
            <w:pPr>
              <w:topLinePunct/>
              <w:spacing w:line="312" w:lineRule="auto"/>
              <w:rPr>
                <w:rFonts w:ascii="仿宋" w:hAnsi="仿宋" w:eastAsia="仿宋" w:cs="仿宋"/>
                <w:color w:val="auto"/>
                <w:sz w:val="24"/>
                <w:highlight w:val="none"/>
              </w:rPr>
            </w:pPr>
            <w:r>
              <w:rPr>
                <w:rFonts w:hint="eastAsia" w:ascii="仿宋" w:hAnsi="仿宋" w:eastAsia="仿宋" w:cs="仿宋"/>
                <w:color w:val="auto"/>
                <w:kern w:val="0"/>
                <w:sz w:val="24"/>
                <w:highlight w:val="none"/>
              </w:rPr>
              <w:t>其他：/</w:t>
            </w:r>
          </w:p>
        </w:tc>
      </w:tr>
      <w:tr w14:paraId="45E33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728410E5">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8.2</w:t>
            </w:r>
          </w:p>
        </w:tc>
        <w:tc>
          <w:tcPr>
            <w:tcW w:w="2413" w:type="dxa"/>
            <w:vAlign w:val="center"/>
          </w:tcPr>
          <w:p w14:paraId="0F076929">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可以调解异议争议的行业组织或专业咨询机构</w:t>
            </w:r>
          </w:p>
        </w:tc>
        <w:tc>
          <w:tcPr>
            <w:tcW w:w="5115" w:type="dxa"/>
            <w:vAlign w:val="center"/>
          </w:tcPr>
          <w:p w14:paraId="29841A1D">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w:t>
            </w:r>
          </w:p>
        </w:tc>
      </w:tr>
      <w:tr w14:paraId="57BA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Align w:val="center"/>
          </w:tcPr>
          <w:p w14:paraId="6989B6E0">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10.1</w:t>
            </w:r>
          </w:p>
        </w:tc>
        <w:tc>
          <w:tcPr>
            <w:tcW w:w="2413" w:type="dxa"/>
            <w:vAlign w:val="center"/>
          </w:tcPr>
          <w:p w14:paraId="286C3AD7">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采购代理服务费</w:t>
            </w:r>
          </w:p>
        </w:tc>
        <w:tc>
          <w:tcPr>
            <w:tcW w:w="5115" w:type="dxa"/>
          </w:tcPr>
          <w:p w14:paraId="67394053">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不要求承担</w:t>
            </w:r>
          </w:p>
          <w:p w14:paraId="72FFEE5D">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要求承担</w:t>
            </w:r>
          </w:p>
          <w:p w14:paraId="2E6F7A95">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费用标准或金额：5000.00元。</w:t>
            </w:r>
          </w:p>
          <w:p w14:paraId="75C061C3">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  交费时间：发布成交通知书时。</w:t>
            </w:r>
          </w:p>
          <w:p w14:paraId="5CD9627B">
            <w:pPr>
              <w:spacing w:line="312"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  交费形式：转账</w:t>
            </w:r>
          </w:p>
          <w:p w14:paraId="0D009774">
            <w:pPr>
              <w:spacing w:line="312"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交费对象：成交供应商</w:t>
            </w:r>
          </w:p>
        </w:tc>
      </w:tr>
      <w:tr w14:paraId="56B0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67" w:type="dxa"/>
            <w:vAlign w:val="center"/>
          </w:tcPr>
          <w:p w14:paraId="35CE5D1F">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10.2</w:t>
            </w:r>
          </w:p>
        </w:tc>
        <w:tc>
          <w:tcPr>
            <w:tcW w:w="2413" w:type="dxa"/>
            <w:vAlign w:val="center"/>
          </w:tcPr>
          <w:p w14:paraId="11FA0717">
            <w:pPr>
              <w:spacing w:line="312"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需要补充的其他内容</w:t>
            </w:r>
          </w:p>
        </w:tc>
        <w:tc>
          <w:tcPr>
            <w:tcW w:w="5115" w:type="dxa"/>
            <w:vAlign w:val="center"/>
          </w:tcPr>
          <w:p w14:paraId="1D528ACC">
            <w:pPr>
              <w:spacing w:line="312" w:lineRule="auto"/>
              <w:ind w:firstLine="241" w:firstLineChars="100"/>
              <w:jc w:val="left"/>
              <w:rPr>
                <w:rFonts w:ascii="仿宋" w:hAnsi="仿宋" w:eastAsia="仿宋" w:cs="仿宋"/>
                <w:color w:val="auto"/>
                <w:sz w:val="24"/>
                <w:highlight w:val="none"/>
              </w:rPr>
            </w:pPr>
            <w:r>
              <w:rPr>
                <w:rFonts w:hint="eastAsia" w:ascii="仿宋" w:hAnsi="仿宋" w:eastAsia="仿宋" w:cs="仿宋"/>
                <w:b/>
                <w:bCs/>
                <w:color w:val="auto"/>
                <w:kern w:val="0"/>
                <w:sz w:val="24"/>
                <w:highlight w:val="none"/>
              </w:rPr>
              <w:t>/</w:t>
            </w:r>
          </w:p>
        </w:tc>
      </w:tr>
    </w:tbl>
    <w:p w14:paraId="28C7AABD">
      <w:pP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br w:type="page"/>
      </w:r>
    </w:p>
    <w:p w14:paraId="752C2123">
      <w:pPr>
        <w:spacing w:line="360" w:lineRule="auto"/>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1总则</w:t>
      </w:r>
    </w:p>
    <w:p w14:paraId="0CCEFFB5">
      <w:pPr>
        <w:spacing w:line="360" w:lineRule="auto"/>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1.1 采购方式</w:t>
      </w:r>
    </w:p>
    <w:p w14:paraId="6A53052F">
      <w:pPr>
        <w:spacing w:line="360" w:lineRule="auto"/>
        <w:ind w:firstLine="480" w:firstLineChars="200"/>
        <w:jc w:val="left"/>
        <w:rPr>
          <w:rFonts w:ascii="仿宋" w:hAnsi="仿宋" w:eastAsia="仿宋" w:cs="仿宋"/>
          <w:b/>
          <w:bCs/>
          <w:color w:val="auto"/>
          <w:sz w:val="24"/>
          <w:highlight w:val="none"/>
        </w:rPr>
      </w:pPr>
      <w:r>
        <w:rPr>
          <w:rFonts w:hint="eastAsia" w:ascii="仿宋" w:hAnsi="仿宋" w:eastAsia="仿宋" w:cs="仿宋"/>
          <w:color w:val="auto"/>
          <w:sz w:val="24"/>
          <w:highlight w:val="none"/>
        </w:rPr>
        <w:t>本项目采用中国招标投标协会发布的《非招标方式采购代理服务规范》(T/CTBA001-2019)规定的询比采购方式。</w:t>
      </w:r>
    </w:p>
    <w:p w14:paraId="28CA0744">
      <w:pPr>
        <w:spacing w:line="360" w:lineRule="auto"/>
        <w:ind w:firstLine="480" w:firstLineChars="200"/>
        <w:jc w:val="left"/>
        <w:rPr>
          <w:rFonts w:ascii="仿宋" w:hAnsi="仿宋" w:eastAsia="仿宋" w:cs="仿宋"/>
          <w:b/>
          <w:bCs/>
          <w:color w:val="auto"/>
          <w:sz w:val="28"/>
          <w:szCs w:val="28"/>
          <w:highlight w:val="none"/>
        </w:rPr>
      </w:pPr>
      <w:r>
        <w:rPr>
          <w:rFonts w:hint="eastAsia" w:ascii="仿宋" w:hAnsi="仿宋" w:eastAsia="仿宋" w:cs="仿宋"/>
          <w:color w:val="auto"/>
          <w:sz w:val="24"/>
          <w:highlight w:val="none"/>
        </w:rPr>
        <w:t>询比采购是指采购人组建评审小组对响应采购的供应商按照采购文件规定的规则和时间一次递交的响应文件进行评审，采购人根据评审小组的评审结果，选择确定成交供应商的采购方式。</w:t>
      </w:r>
    </w:p>
    <w:p w14:paraId="2D4A6ED9">
      <w:pPr>
        <w:spacing w:line="360" w:lineRule="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1.2 采购项目概况和供应商资格要求</w:t>
      </w:r>
    </w:p>
    <w:p w14:paraId="4398AE1C">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采购项目概况和供应商资格要求见第一章“询比采购公告/询比采购邀请书”。</w:t>
      </w:r>
    </w:p>
    <w:p w14:paraId="1227479F">
      <w:pPr>
        <w:spacing w:line="360" w:lineRule="auto"/>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1.3 费用承担</w:t>
      </w:r>
    </w:p>
    <w:p w14:paraId="5796B0E7">
      <w:pPr>
        <w:spacing w:line="360" w:lineRule="auto"/>
        <w:ind w:firstLine="480" w:firstLineChars="200"/>
        <w:rPr>
          <w:rFonts w:ascii="仿宋" w:hAnsi="仿宋" w:eastAsia="仿宋" w:cs="仿宋"/>
          <w:b/>
          <w:bCs/>
          <w:color w:val="auto"/>
          <w:sz w:val="28"/>
          <w:szCs w:val="28"/>
          <w:highlight w:val="none"/>
        </w:rPr>
      </w:pPr>
      <w:r>
        <w:rPr>
          <w:rFonts w:hint="eastAsia" w:ascii="仿宋" w:hAnsi="仿宋" w:eastAsia="仿宋" w:cs="仿宋"/>
          <w:color w:val="auto"/>
          <w:sz w:val="24"/>
          <w:highlight w:val="none"/>
        </w:rPr>
        <w:t>供应商准备和参加询比采购活动所发生的各种费用由供应商自行承担。</w:t>
      </w:r>
    </w:p>
    <w:p w14:paraId="5796DC6D">
      <w:pPr>
        <w:spacing w:line="360" w:lineRule="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1.4 保密</w:t>
      </w:r>
    </w:p>
    <w:p w14:paraId="45C0143C">
      <w:pPr>
        <w:spacing w:line="360" w:lineRule="auto"/>
        <w:ind w:firstLine="480" w:firstLineChars="200"/>
        <w:jc w:val="left"/>
        <w:rPr>
          <w:rFonts w:ascii="仿宋" w:hAnsi="仿宋" w:eastAsia="仿宋" w:cs="仿宋"/>
          <w:b/>
          <w:bCs/>
          <w:color w:val="auto"/>
          <w:sz w:val="28"/>
          <w:szCs w:val="28"/>
          <w:highlight w:val="none"/>
        </w:rPr>
      </w:pPr>
      <w:r>
        <w:rPr>
          <w:rFonts w:hint="eastAsia" w:ascii="仿宋" w:hAnsi="仿宋" w:eastAsia="仿宋" w:cs="仿宋"/>
          <w:color w:val="auto"/>
          <w:sz w:val="24"/>
          <w:highlight w:val="none"/>
        </w:rPr>
        <w:t>参加询比采购活动的各方应对采购文件和响应文件中的商业和技术等秘密保密，否则应承担相应的法律责任。</w:t>
      </w:r>
    </w:p>
    <w:p w14:paraId="6A690A37">
      <w:pPr>
        <w:spacing w:line="360" w:lineRule="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1.5 语言文字</w:t>
      </w:r>
    </w:p>
    <w:p w14:paraId="6409DEBD">
      <w:pPr>
        <w:spacing w:line="360" w:lineRule="auto"/>
        <w:ind w:firstLine="480" w:firstLineChars="200"/>
        <w:jc w:val="left"/>
        <w:rPr>
          <w:rFonts w:ascii="仿宋" w:hAnsi="仿宋" w:eastAsia="仿宋" w:cs="仿宋"/>
          <w:b/>
          <w:bCs/>
          <w:color w:val="auto"/>
          <w:sz w:val="28"/>
          <w:szCs w:val="28"/>
          <w:highlight w:val="none"/>
        </w:rPr>
      </w:pPr>
      <w:r>
        <w:rPr>
          <w:rFonts w:hint="eastAsia" w:ascii="仿宋" w:hAnsi="仿宋" w:eastAsia="仿宋" w:cs="仿宋"/>
          <w:color w:val="auto"/>
          <w:sz w:val="24"/>
          <w:highlight w:val="none"/>
        </w:rPr>
        <w:t>采购文件和响应文件使用的语言文字为中文。专用术语使用外文的，应附有中文注释。</w:t>
      </w:r>
    </w:p>
    <w:p w14:paraId="3A677BB9">
      <w:pPr>
        <w:spacing w:line="360" w:lineRule="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1.6 计量单位</w:t>
      </w:r>
    </w:p>
    <w:p w14:paraId="33CF880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所有计量均采用中华人民共和国法定计量单位。</w:t>
      </w:r>
    </w:p>
    <w:p w14:paraId="1FD35726">
      <w:pPr>
        <w:spacing w:line="360" w:lineRule="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1.7 踏勘现场</w:t>
      </w:r>
    </w:p>
    <w:p w14:paraId="42ABB195">
      <w:pPr>
        <w:spacing w:line="360" w:lineRule="auto"/>
        <w:jc w:val="left"/>
        <w:rPr>
          <w:rFonts w:ascii="仿宋" w:hAnsi="仿宋" w:eastAsia="仿宋" w:cs="仿宋"/>
          <w:b/>
          <w:bCs/>
          <w:color w:val="auto"/>
          <w:sz w:val="28"/>
          <w:szCs w:val="28"/>
          <w:highlight w:val="none"/>
        </w:rPr>
      </w:pPr>
      <w:r>
        <w:rPr>
          <w:rFonts w:hint="eastAsia" w:ascii="仿宋" w:hAnsi="仿宋" w:eastAsia="仿宋" w:cs="仿宋"/>
          <w:color w:val="auto"/>
          <w:sz w:val="24"/>
          <w:highlight w:val="none"/>
        </w:rPr>
        <w:t>1.7.1  供应商须知前附表规定组织踏勘现场的，采购人按供应商须知前附表规定的时间、地点组织供应商踏勘项目现场。部分供应商未按时参加踏勘现场的，不影响踏勘现场的正常进行。</w:t>
      </w:r>
    </w:p>
    <w:p w14:paraId="2C8CB61F">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1.7.2  供应商可自愿参加踏勘现场活动。除采购人的原因外，采购人对供应商参加踏勘现场中所发生的人员伤亡和财产损失不承担责任。</w:t>
      </w:r>
    </w:p>
    <w:p w14:paraId="3ED9C3A2">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1.7.3  采购人在踏勘现场中介绍的工程场地和相关的周边环境情况，仅作为供应商编制响应文件的参考，采购人不对供应商据此作出的判断和决策负责。</w:t>
      </w:r>
    </w:p>
    <w:p w14:paraId="69D53051">
      <w:pPr>
        <w:spacing w:line="360" w:lineRule="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1.8询比采购预备会</w:t>
      </w:r>
    </w:p>
    <w:p w14:paraId="1BC2F3F9">
      <w:pPr>
        <w:spacing w:line="360" w:lineRule="auto"/>
        <w:ind w:firstLine="480" w:firstLineChars="200"/>
        <w:jc w:val="left"/>
        <w:rPr>
          <w:rFonts w:ascii="仿宋" w:hAnsi="仿宋" w:eastAsia="仿宋" w:cs="仿宋"/>
          <w:b/>
          <w:bCs/>
          <w:color w:val="auto"/>
          <w:sz w:val="28"/>
          <w:szCs w:val="28"/>
          <w:highlight w:val="none"/>
        </w:rPr>
      </w:pPr>
      <w:r>
        <w:rPr>
          <w:rFonts w:hint="eastAsia" w:ascii="仿宋" w:hAnsi="仿宋" w:eastAsia="仿宋" w:cs="仿宋"/>
          <w:color w:val="auto"/>
          <w:sz w:val="24"/>
          <w:highlight w:val="none"/>
        </w:rPr>
        <w:t>供应商须知前附表规定召开询比采购预备会的，采购人按供应商须知前附表规定的时间和地点召开询比采购预备会。</w:t>
      </w:r>
    </w:p>
    <w:p w14:paraId="1303F1B5">
      <w:pPr>
        <w:spacing w:line="360" w:lineRule="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1.9 分包(A、C)</w:t>
      </w:r>
    </w:p>
    <w:p w14:paraId="1791E6F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供应商拟在成交后将成交项目的部分工作进行分包的，应符合供应商须知前附表的规定，并在响应文件中作出说明。</w:t>
      </w:r>
    </w:p>
    <w:p w14:paraId="716FB54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分包供应商不得将分包项目再次分包。成交供应商应当就分包项目向采购人负责，分包供应商就分包项目承担连带责任。</w:t>
      </w:r>
    </w:p>
    <w:p w14:paraId="70BF263E">
      <w:pPr>
        <w:spacing w:line="360" w:lineRule="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1.9 主要材料和关键部件外购(B)</w:t>
      </w:r>
    </w:p>
    <w:p w14:paraId="7FA453E6">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供应商拟对主要材料和关键部件进行外购的，应符合第五章“采购需求”中提出的或允许外购的相关规定，并在响应文件中作出说明。</w:t>
      </w:r>
    </w:p>
    <w:p w14:paraId="7EF5CF6E">
      <w:pPr>
        <w:spacing w:line="360" w:lineRule="auto"/>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1.10 响应和偏差</w:t>
      </w:r>
    </w:p>
    <w:p w14:paraId="746A977F">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1.10.1 采购需求和合同条款及格式中的关键条款均以“*”符号标记。响应文件应当对采购需求和合同条款及格式中的关键条款作出满足性或更有利于采购人的响应，否则，供应商的响应文件将被视为无效。</w:t>
      </w:r>
    </w:p>
    <w:p w14:paraId="6F9E5259">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1.10.2 供应商须知前附表规定了对非关键条款允许偏差的范围和可以偏差的项数的,如响应文件存在的偏差超出上述范围或项数，将被视为无效。</w:t>
      </w:r>
    </w:p>
    <w:p w14:paraId="2B744AF0">
      <w:pPr>
        <w:spacing w:line="360" w:lineRule="auto"/>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2 采购文件</w:t>
      </w:r>
    </w:p>
    <w:p w14:paraId="5EEA9D44">
      <w:pPr>
        <w:spacing w:line="360" w:lineRule="auto"/>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2.1 采购文件的组成</w:t>
      </w:r>
    </w:p>
    <w:p w14:paraId="2C076398">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本采购文件包括:</w:t>
      </w:r>
    </w:p>
    <w:p w14:paraId="2E401A4E">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（1）询比采购公告(或询比采购邀请书);</w:t>
      </w:r>
    </w:p>
    <w:p w14:paraId="58C54FE4">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（2）供应商须知;</w:t>
      </w:r>
    </w:p>
    <w:p w14:paraId="52133198">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（3）评审办法;</w:t>
      </w:r>
    </w:p>
    <w:p w14:paraId="58C28D7F">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（4）合同</w:t>
      </w:r>
      <w:r>
        <w:rPr>
          <w:rFonts w:hint="eastAsia" w:ascii="仿宋" w:hAnsi="仿宋" w:eastAsia="仿宋" w:cs="仿宋"/>
          <w:color w:val="auto"/>
          <w:sz w:val="24"/>
          <w:highlight w:val="none"/>
          <w:lang w:val="en-US" w:eastAsia="zh-CN"/>
        </w:rPr>
        <w:t>条款及格式</w:t>
      </w:r>
      <w:r>
        <w:rPr>
          <w:rFonts w:hint="eastAsia" w:ascii="仿宋" w:hAnsi="仿宋" w:eastAsia="仿宋" w:cs="仿宋"/>
          <w:color w:val="auto"/>
          <w:sz w:val="24"/>
          <w:highlight w:val="none"/>
        </w:rPr>
        <w:t>;</w:t>
      </w:r>
    </w:p>
    <w:p w14:paraId="5048846E">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（5）技术标准和要求;</w:t>
      </w:r>
    </w:p>
    <w:p w14:paraId="607454BC">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（6）响应文件格式;</w:t>
      </w:r>
    </w:p>
    <w:p w14:paraId="52F41FCA">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采购人依照本章规定，对采购文件所作的澄清、修改，构成采购文件的组成部分。</w:t>
      </w:r>
    </w:p>
    <w:p w14:paraId="7714055D">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2.2 采购文件的澄清和修改</w:t>
      </w:r>
    </w:p>
    <w:p w14:paraId="1EE55959">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2.2.1 供应商应仔细阅读和检查采购文件的全部内容。如发现缺页或内容不全，应及时向采购人提出，以便补齐。如有疑问，应在供应商须知前附表规定的时间前，以书面形式要求采购人对采购文件予以澄清。</w:t>
      </w:r>
    </w:p>
    <w:p w14:paraId="5616421C">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2.2.2 采购人可根据供应商的要求或主动对采购文件进行澄清或修改。澄清或修改的内容以补充文件的形式发给所有获取采购文件的供应商。采购人可视具体情况在补充文件中通知供应商推迟递交响应文件的截止时间。</w:t>
      </w:r>
    </w:p>
    <w:p w14:paraId="0B8675B9">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2.2.3 供应商在收到补充文件后，应按供应商须知前附表规定的时间和方式通知采购人，确认已收到该补充文件。</w:t>
      </w:r>
    </w:p>
    <w:p w14:paraId="32721CD7">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2.2.4 除非确有必要，采购人有权拒绝回复供应商在本章第2.2.1项规定的时间后提出的任何澄清要求。</w:t>
      </w:r>
    </w:p>
    <w:p w14:paraId="3D308397">
      <w:pPr>
        <w:spacing w:line="360" w:lineRule="auto"/>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3响应文件</w:t>
      </w:r>
    </w:p>
    <w:p w14:paraId="0B0B796B">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3.1响应文件的组成</w:t>
      </w:r>
    </w:p>
    <w:p w14:paraId="41573D91">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3.1.1 响应文件应包括下列内容（详见响应文件格式）:</w:t>
      </w:r>
    </w:p>
    <w:p w14:paraId="4915F43D">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供应商在评审过程中作出的符合采购文件要求的澄清、说明和补正，构成响应文件的组成部分。</w:t>
      </w:r>
    </w:p>
    <w:p w14:paraId="28BC7821">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3.1.2 供应商的法定代表人(单位负责人)亲自签署响应文件、亲自参加询比的，响应文件不包括第3.1.1（2）目所指的授权委托书。第一章“ 询比采购公告/询比采购邀请书”规定不接受联合体的，或供应商没有组成联合体的，响应文件不包括第3.1.1（3）目所指的联合体协议书。供应商须知前附表未要求供应商递交响应保证金的，响应文件不包括第3.1.1（4）目所指的响应保证金。</w:t>
      </w:r>
    </w:p>
    <w:p w14:paraId="628F7836">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3.2 报价</w:t>
      </w:r>
    </w:p>
    <w:p w14:paraId="5EC1F2CD">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3.2.1 供应商应按采购文件提供的格式(见第六章“响应文件格式”)在响应函和报价表中进行报价。响应函中报价应为包含国家规定的增值税在内的含税价格，同时应列明不含税价格和增值税税额，采购人将根据项目情况，在第三章“评审办法”第2.2.2项中选择按照含税价格或不含税价格对供应商进行价格评审。（如有）</w:t>
      </w:r>
    </w:p>
    <w:p w14:paraId="41415A8C">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3.2.2 供应商应充分了解采购项目的总体情况以及影响报价的其他要素。对于货物和服务采购项目，采购人在签署采购合同时及合同履行过程中，有权在供应商须知前表规定的幅度内对采购标的的数量进行增加或减少。</w:t>
      </w:r>
    </w:p>
    <w:p w14:paraId="030DB6A6">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3.2.3 采购人设有最高限价的，供应商的报价不得超过最高限价。最高限价或最高价计算方法在供应商须知前附表中载明。</w:t>
      </w:r>
    </w:p>
    <w:p w14:paraId="576A14DF">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3.2.4报价的其他要求见供应商须知前附表。</w:t>
      </w:r>
    </w:p>
    <w:p w14:paraId="09B5E1DB">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3.3 响应文件有效期</w:t>
      </w:r>
    </w:p>
    <w:p w14:paraId="4D9D5AE1">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3.3.1 除供应商须知前附表另有规定外，响应文件有效期应为60日，从采购文件规定的递交响应文件的截止时间开始计算。</w:t>
      </w:r>
    </w:p>
    <w:p w14:paraId="38B93832">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3.3.2 出现特殊情况需要延长响应文件有效期的，采购人以书面形式通如所有供应商延长响应文件有效期，供应商应予以书面答复。同意延长的，应相应延长其响应保证金的有效期。但不得修改其响应文件:供应商拒绝延长的，其响应文件在原有效期届满后失效，但供应商有权收回其响应保证金。</w:t>
      </w:r>
    </w:p>
    <w:p w14:paraId="3550E7B3">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3.4响应保证金</w:t>
      </w:r>
    </w:p>
    <w:p w14:paraId="495A1099">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3.4.1 供应商须知前附表规定要求递交响应保证金的，供应商在递交响应文件的同时，应按供应商须知前附表规定的金额、形式和采购文件提供的格式(见第六章“响应文件格式”四、响应保证金)递交响应保证金，并作为其响应文件的组成部分。供应商不按要求递交响应保证金的，其响应文件将被视为无效。</w:t>
      </w:r>
    </w:p>
    <w:p w14:paraId="3D50B6A2">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3.4.2 除供应商须知前附表另有规定外，采购人将在发出成交通知书后5日内向除候选成交供应商外的其他供应商原额退还响应保证金，并在采购合同签订后5日内向成交供应商和未成交的其他候选成交供应商原额退还响应保证金。采用银行保函、担保机构担保函、保险机构保险单形式递交的响应保证金，经供应商同意后采购人可以不再退还。</w:t>
      </w:r>
    </w:p>
    <w:p w14:paraId="76FD7B7C">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3.4.3 有下列情形之的，响应保证金将不予退还:</w:t>
      </w:r>
    </w:p>
    <w:p w14:paraId="16339543">
      <w:pPr>
        <w:spacing w:line="360" w:lineRule="auto"/>
        <w:ind w:firstLine="720" w:firstLineChars="300"/>
        <w:jc w:val="left"/>
        <w:rPr>
          <w:rFonts w:ascii="仿宋" w:hAnsi="仿宋" w:eastAsia="仿宋" w:cs="仿宋"/>
          <w:color w:val="auto"/>
          <w:sz w:val="24"/>
          <w:highlight w:val="none"/>
        </w:rPr>
      </w:pPr>
      <w:r>
        <w:rPr>
          <w:rFonts w:hint="eastAsia" w:ascii="仿宋" w:hAnsi="仿宋" w:eastAsia="仿宋" w:cs="仿宋"/>
          <w:color w:val="auto"/>
          <w:sz w:val="24"/>
          <w:highlight w:val="none"/>
        </w:rPr>
        <w:t>(1)供应商在响应文件有效期内撤销响应文件;</w:t>
      </w:r>
    </w:p>
    <w:p w14:paraId="3C87164C">
      <w:pPr>
        <w:spacing w:line="360" w:lineRule="auto"/>
        <w:ind w:firstLine="720" w:firstLineChars="300"/>
        <w:jc w:val="left"/>
        <w:rPr>
          <w:rFonts w:ascii="仿宋" w:hAnsi="仿宋" w:eastAsia="仿宋" w:cs="仿宋"/>
          <w:color w:val="auto"/>
          <w:sz w:val="24"/>
          <w:highlight w:val="none"/>
        </w:rPr>
      </w:pPr>
      <w:r>
        <w:rPr>
          <w:rFonts w:hint="eastAsia" w:ascii="仿宋" w:hAnsi="仿宋" w:eastAsia="仿宋" w:cs="仿宋"/>
          <w:color w:val="auto"/>
          <w:sz w:val="24"/>
          <w:highlight w:val="none"/>
        </w:rPr>
        <w:t>(2)成交供应商在收到成交通知书后，无正当理由不与采购人订立合同，在签订合同时向采购人提出附加条件，或者不按照采购文件要求递交履约保证金；</w:t>
      </w:r>
    </w:p>
    <w:p w14:paraId="36A5B422">
      <w:pPr>
        <w:spacing w:line="360" w:lineRule="auto"/>
        <w:ind w:firstLine="720" w:firstLineChars="300"/>
        <w:jc w:val="left"/>
        <w:rPr>
          <w:rFonts w:ascii="仿宋" w:hAnsi="仿宋" w:eastAsia="仿宋" w:cs="仿宋"/>
          <w:color w:val="auto"/>
          <w:sz w:val="24"/>
          <w:highlight w:val="none"/>
        </w:rPr>
      </w:pPr>
      <w:r>
        <w:rPr>
          <w:rFonts w:hint="eastAsia" w:ascii="仿宋" w:hAnsi="仿宋" w:eastAsia="仿宋" w:cs="仿宋"/>
          <w:color w:val="auto"/>
          <w:sz w:val="24"/>
          <w:highlight w:val="none"/>
        </w:rPr>
        <w:t>(3)发生供应商须知前附表规定的其他不予退还响应保证金的情形。</w:t>
      </w:r>
    </w:p>
    <w:p w14:paraId="14870EB5">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3.5 资格审查资料</w:t>
      </w:r>
    </w:p>
    <w:p w14:paraId="166C3DA6">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供应商应提供供应商须知前附表3.5 (1) - 3.5 (9)中规定的资格审查资料，以证明其满足第一章“询比采购公告/询比采购邀请书”对供应商的各项资格要求。</w:t>
      </w:r>
    </w:p>
    <w:p w14:paraId="2DDD624A">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3.6服务方案</w:t>
      </w:r>
    </w:p>
    <w:p w14:paraId="4C07B711">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3.6.1 响应文件应当对采购文件中的实质性内容作出响应。采购需求中明确为关键条款(标记“*”)的，供应商还应按照供应商须知前附表的规定提供有关证据或证明材料。</w:t>
      </w:r>
    </w:p>
    <w:p w14:paraId="10F78707">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3.6.2 供应商只能提出唯一的响应方案。供应商在响应文件中提出多个响应方案的，其响应文件将被视为无效。</w:t>
      </w:r>
    </w:p>
    <w:p w14:paraId="4CCCA92E">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3.6.3 响应文件对采购文件的全部偏差，均应在响应文件的商务和技术偏差表中列明。响应文件偏差表中未列明的内容，将视为供应商响应采购文件的要求；但如发现响应文件的其他部分与商务和技术偏差表的描述不一致或供应商的响应缺乏支持性文件，则评审小组有权要求供应商对相关问题进行澄清，并根据澄清结果对供应商的响应文件进行评审。</w:t>
      </w:r>
    </w:p>
    <w:p w14:paraId="3CC11996">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3.7 响应文件的编制</w:t>
      </w:r>
    </w:p>
    <w:p w14:paraId="16D0D916">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3.7.1 响应文件应按第六章“响应文件格式”进行编写，如有必要，可以增加附页，作为响应文件的组成部分。</w:t>
      </w:r>
    </w:p>
    <w:p w14:paraId="65AD5C55">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3.7.2 响应文件应用不褪色的材料书写或打印。</w:t>
      </w:r>
    </w:p>
    <w:p w14:paraId="62867249">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响应函应由供应商的法定代表人(单位负责人)或其授权的代理人签字并加盖单位章。</w:t>
      </w:r>
    </w:p>
    <w:p w14:paraId="3F6701A3">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联合体协议书(如有)应由联合体各方的法定代表人(单位负责人)或其授权的代理人签字并加盖单位章。</w:t>
      </w:r>
    </w:p>
    <w:p w14:paraId="1607754D">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响应函或联合体协议书(如有)由代理人签字的，应在响应文件中附授权委托书，授权委托书应由供应商或联合体各方的法定代表人(单位负责人)签字并加盖单位章。</w:t>
      </w:r>
    </w:p>
    <w:p w14:paraId="26D184FF">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3.7.3 评审过程中供应商对响应文件的澄清、说明和补正应由供应商的法定代表人(单位负责人) 或其授权的代理人签字或加盖单位章。</w:t>
      </w:r>
    </w:p>
    <w:p w14:paraId="66C35033">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3.7.4 响应文件应尽量避免涂改、行间插字或删除。如果出现上述情况，改动之处应由供应商的法定代表人(单位负责人)或其授权的代理人签字或加盖单位章。</w:t>
      </w:r>
    </w:p>
    <w:p w14:paraId="19A9C3D6">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3.7.5 响应文件正本一份，副本份数见供应商须知前附表。正本和副本的封面右上角应清楚地标记“正本”或“副本”的字样。供应商应根据供应商须知前附表要求提供电子版文件。当副本和正本不一致或电子版文件和纸质正本文件不一致时，以纸质正本文件为准。</w:t>
      </w:r>
    </w:p>
    <w:p w14:paraId="1C7D02B1">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3.7.6 响应文件的正本与副本应分别装订，并编制目录。响应文件需分册装订的，具体分册装订要求见供应商须知前附表规定。</w:t>
      </w:r>
    </w:p>
    <w:p w14:paraId="7DDFA701">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4   响应文件的递交</w:t>
      </w:r>
    </w:p>
    <w:p w14:paraId="077F34DF">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4.1 响应文件的包装与标记</w:t>
      </w:r>
    </w:p>
    <w:p w14:paraId="00C35D6A">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4.1.1 响应文件应密封包装，未密封的响应文件，采购人将拒绝接收。</w:t>
      </w:r>
    </w:p>
    <w:p w14:paraId="7CADBE87">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4.1.2 响应文件封套上应载明的内容见供应商须知前附表。</w:t>
      </w:r>
    </w:p>
    <w:p w14:paraId="1B516C13">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4.2 响应文件的递交</w:t>
      </w:r>
    </w:p>
    <w:p w14:paraId="00C9788B">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4.2.1 供应商应在供应商须知前附表规定的递交响应文件的截止时间前，将响应文件递交到供应商须知前附表规定的地点。逾期送达的或者未送达指定地点的响应文件，采购人将拒绝接收。采购人收到响应文件后，向供应商出具接收凭证。</w:t>
      </w:r>
    </w:p>
    <w:p w14:paraId="2264D8E9">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4.2.2 除供应商须知前附表另有规定外，供应商所递交的响应文件不予退还。</w:t>
      </w:r>
    </w:p>
    <w:p w14:paraId="73E3A627">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4.3 响应文件的修改与撤回</w:t>
      </w:r>
    </w:p>
    <w:p w14:paraId="731EAA6B">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4.3.1 在本章第4.2.1项规定的递交响应文件的截止时间前，供应商可以修改或撤回已递交的响应文件，但应以书面形式通知采购人。</w:t>
      </w:r>
    </w:p>
    <w:p w14:paraId="7DBC408D">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4.3.2 响应文件的修改文件或供应商撤回已递交响应文件的书面通知应由供应商的法定代表人(单位负责人)或其授权的代理人签字并加盖单位章。采购人收到供应商修改响应文件的书面文件后，向供应商出具接收凭证；采购人收到供应商撒回响应文件的书面通知后，退回供应商的响应文件。</w:t>
      </w:r>
    </w:p>
    <w:p w14:paraId="2753EA41">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4.3.3 除供应商须知前附表另有规定外，供应商撒回响应文件的，采购人应在5日内退还已收取的响应保证金。</w:t>
      </w:r>
    </w:p>
    <w:p w14:paraId="23490E8F">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4.3.4 修改的内容为响应文件的组成部分。响应文件的修改文件应按照本章第3条、第4条的规定进行编制、包装、标记和递交，并标明“修改”字样。</w:t>
      </w:r>
    </w:p>
    <w:p w14:paraId="227989E4">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5  开启响应文件</w:t>
      </w:r>
    </w:p>
    <w:p w14:paraId="7C6C71B0">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5.1 开启响应文件的时间和地点</w:t>
      </w:r>
    </w:p>
    <w:p w14:paraId="62E7B8A0">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采购人在本章第4.2.1项规定的递交响应文件的截止时间和地点公开开启响应文件，并邀请所有供应商的法定代表人(单位负责人)或其授权的代理人参加开启会议，供应商未派代表参加的，视为默认开启结果。</w:t>
      </w:r>
    </w:p>
    <w:p w14:paraId="59C49E7C">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5.2 开启程序</w:t>
      </w:r>
    </w:p>
    <w:p w14:paraId="0D03AD5C">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　　主持人按下列程序公开开启响应文件:</w:t>
      </w:r>
    </w:p>
    <w:p w14:paraId="29978E11">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（1）宣布开启会议纪律；</w:t>
      </w:r>
    </w:p>
    <w:p w14:paraId="099083B9">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（2）宣布参加开启会议的工作人员姓名；</w:t>
      </w:r>
    </w:p>
    <w:p w14:paraId="05EDB8B0">
      <w:pPr>
        <w:spacing w:line="360"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　（3）供应商代表检查确认响应文件的密封情况；</w:t>
      </w:r>
    </w:p>
    <w:p w14:paraId="6CD6460D">
      <w:pPr>
        <w:spacing w:line="360"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　（4）供应商代表及相关工作人员等在响应文件开启记录上签字确认；</w:t>
      </w:r>
    </w:p>
    <w:p w14:paraId="50ACF24A">
      <w:pPr>
        <w:spacing w:line="360"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　（5）宣布有关注意事项；</w:t>
      </w:r>
    </w:p>
    <w:p w14:paraId="38FCD4E4">
      <w:pPr>
        <w:spacing w:line="360"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　（6）开启会议结束。</w:t>
      </w:r>
    </w:p>
    <w:p w14:paraId="6A1FA86C">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5.3 递交响应文件的供应商不足的情形</w:t>
      </w:r>
    </w:p>
    <w:p w14:paraId="2FBAAB7C">
      <w:pPr>
        <w:spacing w:line="360" w:lineRule="auto"/>
        <w:ind w:firstLine="240" w:firstLineChars="100"/>
        <w:jc w:val="left"/>
        <w:rPr>
          <w:rFonts w:ascii="仿宋" w:hAnsi="仿宋" w:eastAsia="仿宋" w:cs="仿宋"/>
          <w:color w:val="auto"/>
          <w:sz w:val="24"/>
          <w:highlight w:val="none"/>
        </w:rPr>
      </w:pPr>
      <w:r>
        <w:rPr>
          <w:rFonts w:hint="eastAsia" w:ascii="仿宋" w:hAnsi="仿宋" w:eastAsia="仿宋" w:cs="仿宋"/>
          <w:color w:val="auto"/>
          <w:sz w:val="24"/>
          <w:highlight w:val="none"/>
        </w:rPr>
        <w:t>递交响应文件的供应商数量不足三家(成交供应商为一家时)或低于供应商须知前表规定的数量(成交供应商为多家时)时，采购人可视情况继续或终止询比采购。</w:t>
      </w:r>
    </w:p>
    <w:p w14:paraId="60730FD5">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6  评审</w:t>
      </w:r>
    </w:p>
    <w:p w14:paraId="31BFCB88">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6.1 评审小组</w:t>
      </w:r>
    </w:p>
    <w:p w14:paraId="7FA4118E">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6.1.1 评审由采购人组建的评审小组负责。</w:t>
      </w:r>
    </w:p>
    <w:p w14:paraId="2328B182">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6.1.2 评审小组成员有下列情形之一的，应当回避:</w:t>
      </w:r>
    </w:p>
    <w:p w14:paraId="39FDFFD3">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　　（1）供应商主要负责人或供应商主要负责人的近亲属；</w:t>
      </w:r>
    </w:p>
    <w:p w14:paraId="6B0DDA1C">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　　（2）与供应商有经济利益关系或其他利害关系，可能影响公正评审的。</w:t>
      </w:r>
    </w:p>
    <w:p w14:paraId="3F9E579D">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6.1.3 评审小组组建后，评审小组成员共同推选或由采购人指定评审小组组长，评审小组组长负责组织评审工作。</w:t>
      </w:r>
    </w:p>
    <w:p w14:paraId="19992465">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6.1.4 在评审过程中，评审小组成员对需要共同认定的事项存在争议的，将按照少数服从多数的原则作出结论。持不同意见的评审小组成员应当在评审报告上签署不同意见及理由，否则视为同意评审报告。</w:t>
      </w:r>
    </w:p>
    <w:p w14:paraId="66A748E0">
      <w:pPr>
        <w:spacing w:line="360" w:lineRule="auto"/>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6.2 评审</w:t>
      </w:r>
    </w:p>
    <w:p w14:paraId="36E10AA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6.2.1 评审小组按照第三章“评审办法”规定的评审标准和程序对响应文件进行评审和比较。</w:t>
      </w:r>
    </w:p>
    <w:p w14:paraId="1655F6A2">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6.2.2 评审完成后，评审小组应当向采购人提交书面评审报告和候选成交供应商名单。评审小组推荐候选成交供应商的排序要求及数量见供应商须知前附表。</w:t>
      </w:r>
    </w:p>
    <w:p w14:paraId="1E420E53">
      <w:pPr>
        <w:spacing w:line="360" w:lineRule="auto"/>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7  合同授予</w:t>
      </w:r>
    </w:p>
    <w:p w14:paraId="5E4F2031">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7.1 候选成交供应商履约能力核查</w:t>
      </w:r>
    </w:p>
    <w:p w14:paraId="23E15381">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采购人可对候选成交供应商的相关证明材料原件进行核验或组织现场考察，以确认候选成交供应商的生产经营、财务等实际状况与响应文件是否一致及是否存在其他可能影响供应商履约能力的情况。核查结果将作为采购人选择确定预成交供应商的依据之一。</w:t>
      </w:r>
    </w:p>
    <w:p w14:paraId="2E227105">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7.2确定预成交供应商</w:t>
      </w:r>
    </w:p>
    <w:p w14:paraId="121ABBFF">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采购人将根据评审报告及核查结果(如有)，对候选成交供应商综合评估后从中选择确定预成交供应商。</w:t>
      </w:r>
    </w:p>
    <w:p w14:paraId="708B1C43">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7.3预成交结果公示</w:t>
      </w:r>
    </w:p>
    <w:p w14:paraId="1DDF8E35">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　　预成交供应商选定后，采购人将按照供应商须知前附表规定的公示媒介和公示期限进行公示，公示信息包括如下内容:</w:t>
      </w:r>
    </w:p>
    <w:p w14:paraId="67BB214B">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　　（1）所有候选成交供应商名称、响应价格及工期/交货期/服务期限；</w:t>
      </w:r>
    </w:p>
    <w:p w14:paraId="5669E992">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　　（2）预成交供应商名称、预成交份额(如有)及选择原因；</w:t>
      </w:r>
    </w:p>
    <w:p w14:paraId="14461E84">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　　（3）供应商须知前附表规定的其他内容。</w:t>
      </w:r>
    </w:p>
    <w:p w14:paraId="2E567974">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7.4 发出成交通知书</w:t>
      </w:r>
    </w:p>
    <w:p w14:paraId="7E925698">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公示期结束后，在本章第3.3款规定的响应文件有效期内，采购人以书面形式向预成交供应商发出成交通知书。</w:t>
      </w:r>
    </w:p>
    <w:p w14:paraId="49B7F6D7">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7.5 发布成交公告</w:t>
      </w:r>
    </w:p>
    <w:p w14:paraId="4624ECAE">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在发出成交通知书的同时，采购人将在供应商须知前附表规定的公告媒介发布成交公告，公告信息包括成交供应商名称、响应价格及工期/交货期/服务期限、成交份额(如有)及供应商须知前附表规定的其他内容。</w:t>
      </w:r>
    </w:p>
    <w:p w14:paraId="62E7E7EC">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7.6  履约保证金</w:t>
      </w:r>
    </w:p>
    <w:p w14:paraId="04FD8BE0">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供应商须知前附表规定递交履约保证金的，成交供应商应按供应商须知前附表规定的形式、有效期限和递交时间向采购人递交履约保证金。除供应商须知前附表另有规定外，履约保证金为采购合同金额的5%。</w:t>
      </w:r>
    </w:p>
    <w:p w14:paraId="46CD82D1">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7.7 签订合同</w:t>
      </w:r>
    </w:p>
    <w:p w14:paraId="5F9D142A">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7.7.1 采购人和成交供应商应当在成交通知书规定的期限内，根据采购文件和成交供应商的响应文件订立书面合同。成交供应商无正当理由拒绝签订合同，在签订合同时向采购人提出附加条件，或者不按照采购文件要求递交履约保证金的，采购人取消其成交资格，其响应保证金不予退还；给采购人造成的损失超过响应保证金数额的，成交供应商还应当对超过部分予以赔偿。</w:t>
      </w:r>
    </w:p>
    <w:p w14:paraId="0663B25F">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7.7.2 发出成交通知书后，采购人无正当理由拒绝签订合同，或者在签订合同时向成交供应商提出附加条件的，采购人向成交供应商退还响应保证金；给成交供应商造成损失的，还应当赔偿损失。</w:t>
      </w:r>
    </w:p>
    <w:p w14:paraId="6BDC1869">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7.7.3 联合体成交的，联合体各方应当共同与采购人签订合同，就成交项目向采购人承担连带责任。</w:t>
      </w:r>
    </w:p>
    <w:p w14:paraId="046C3CF6">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7.7.4 除供应商须知前附表另有规定外，按照第三章“评审办法”第2.2.3项规定对响应报价进行修正后，若修正后的响应报价小于按照第三章“评审办法”第2.2.2项规定确定的评审价格，则签订合同时以修正后的响应报价为准；若修正后的响应报价大于评审价格，则签订合同时以评审价格为准，同时按比例修正相应子目的单价或合价(采购文件不允许调整的费率和金额除外)。</w:t>
      </w:r>
    </w:p>
    <w:p w14:paraId="12B822C1">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7.8 特殊情形处理</w:t>
      </w:r>
    </w:p>
    <w:p w14:paraId="37CDA044">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因供应商对预成交结果提出异议、成交供应商无正当理由拒绝签订合同、成交供应商在签订合同时向采购人提出附加条件或者不按照采购文件要求递交履约保证金等导致采购人变更成交结果的，采购人应按照本条规定的程序重新选择确定预成交供应商、进行公示并公告。</w:t>
      </w:r>
    </w:p>
    <w:p w14:paraId="24483431">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8  异议</w:t>
      </w:r>
    </w:p>
    <w:p w14:paraId="5477A8FD">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8.1 提出异议</w:t>
      </w:r>
    </w:p>
    <w:p w14:paraId="6970966A">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供应商或者其他利害关系人可以对预成交结果提出异议。异议应在预成交结果公示期间通过供应商须知前附表规定的异议渠道提出，并递交异议函和必要的证明材料。异议函包括但不限于下列内容：</w:t>
      </w:r>
    </w:p>
    <w:p w14:paraId="7BBCF567">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(1)异议人名称、地址、邮政编码、联系人及联系电话；</w:t>
      </w:r>
    </w:p>
    <w:p w14:paraId="350CCA20">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(2)具体、明确的异议事项、事实依据及与异议事项相关的请求。</w:t>
      </w:r>
    </w:p>
    <w:p w14:paraId="1078FB5E">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异议函应由异议人的法定代表人(单位负责人)或其授权的代理人签字并加盖单位章。</w:t>
      </w:r>
    </w:p>
    <w:p w14:paraId="290B6382">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8.2 异议处理</w:t>
      </w:r>
    </w:p>
    <w:p w14:paraId="33C9BC0A">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采购人将针对异议事项进行核查，经过核查，发现异议人对相关问题理解有误的，应作出解释；发现采购活动中确实存在错误或不当行为的，应及时予以改正或补救。</w:t>
      </w:r>
    </w:p>
    <w:p w14:paraId="2F727000">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异议人与采购人对异议事项无法达成一致的，异议人可向供应商须知前附表规定的行业组织或专业咨询机构申请调解或进行反映。</w:t>
      </w:r>
    </w:p>
    <w:p w14:paraId="21048F25">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采购人认为异议不成立或不影响采购结果的，可以继续进行采购活动。</w:t>
      </w:r>
    </w:p>
    <w:p w14:paraId="104509CC">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9  纪律要求</w:t>
      </w:r>
    </w:p>
    <w:p w14:paraId="2E7FABB5">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9.1 对采购人的纪律要求</w:t>
      </w:r>
    </w:p>
    <w:p w14:paraId="358D3E4C">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采购人不得泄露询比采购活动中应当保密的情况和资料，不得与供应商串通损害国家利益、社会公共利益或者他人合法权益。</w:t>
      </w:r>
    </w:p>
    <w:p w14:paraId="35CC7682">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9.2 对供应商的纪律要求</w:t>
      </w:r>
    </w:p>
    <w:p w14:paraId="4046F372">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供应商不得相互串通或者与采购人串通，不得向采购人或者评审小组成员行贿谋取成交，不得以他人名义参加询比采购活动或者以其他方式弄虚作假骗取成交；供应商不得以任何方式干扰、影响评审工作。</w:t>
      </w:r>
    </w:p>
    <w:p w14:paraId="1BAC64CE">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9.3 对评审小组成员的纪律要求</w:t>
      </w:r>
    </w:p>
    <w:p w14:paraId="0AF2EC72">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评审小组成员不得收受他人的财物或者其他好处，不得向他人透露对响应文件的评审和比较、候选成交供应商的推荐情况以及评审有关的其他情况。在评审活动中，评审小组成员应当客观、公正地履行职责，遵守职业道德，不得擅离职守，影响评审工作正常进行，不得使用第三章“评审办法”没有规定的评审因素和标准进行评审。</w:t>
      </w:r>
    </w:p>
    <w:p w14:paraId="441E52C0">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9.4 对与询比活动有关的工作人员的纪律要求</w:t>
      </w:r>
    </w:p>
    <w:p w14:paraId="1190758D">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与询比活动有关的工作人员不得收受他人的财物或者其他好处，不得向他人透露对响应文件的评审和比较、候选成交供应商的推荐情况以及询比有关的其他情况。在询比活动中，与询比活动有关的工作人员不得擅离职守，影响评审工作正常进行。</w:t>
      </w:r>
    </w:p>
    <w:p w14:paraId="6614DF56">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10 需要补充的其他内容新应按照供应商须</w:t>
      </w:r>
    </w:p>
    <w:p w14:paraId="1296D01E">
      <w:pPr>
        <w:spacing w:line="360" w:lineRule="auto"/>
        <w:jc w:val="left"/>
        <w:rPr>
          <w:rFonts w:ascii="仿宋" w:hAnsi="仿宋" w:eastAsia="仿宋" w:cs="仿宋"/>
          <w:color w:val="auto"/>
          <w:sz w:val="24"/>
          <w:highlight w:val="none"/>
        </w:rPr>
      </w:pPr>
      <w:r>
        <w:rPr>
          <w:rFonts w:hint="eastAsia" w:ascii="仿宋" w:hAnsi="仿宋" w:eastAsia="仿宋" w:cs="仿宋"/>
          <w:b/>
          <w:bCs/>
          <w:color w:val="auto"/>
          <w:sz w:val="28"/>
          <w:szCs w:val="28"/>
          <w:highlight w:val="none"/>
        </w:rPr>
        <w:t>10.1 采购代理服务费</w:t>
      </w:r>
    </w:p>
    <w:p w14:paraId="3BD01F8A">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供应商须知前附表规定由供应商承担采购代理服务费的，供应商应按照供应商须知前附表规定的费用标准或金额、交费时间和方式向采购代理机构支付代理服务费。</w:t>
      </w:r>
    </w:p>
    <w:p w14:paraId="65A4B178">
      <w:pPr>
        <w:spacing w:line="360" w:lineRule="auto"/>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10.2 其他</w:t>
      </w:r>
    </w:p>
    <w:p w14:paraId="533546A5">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需要补充的其他内容:见供应商须知前附表。</w:t>
      </w:r>
    </w:p>
    <w:p w14:paraId="3DAD6C2B">
      <w:pPr>
        <w:pStyle w:val="28"/>
        <w:ind w:firstLine="240"/>
        <w:rPr>
          <w:rFonts w:ascii="仿宋" w:hAnsi="仿宋" w:eastAsia="仿宋" w:cs="仿宋"/>
          <w:color w:val="auto"/>
          <w:sz w:val="24"/>
          <w:highlight w:val="none"/>
        </w:rPr>
      </w:pPr>
    </w:p>
    <w:p w14:paraId="689A8B48">
      <w:pPr>
        <w:rPr>
          <w:rFonts w:ascii="仿宋" w:hAnsi="仿宋" w:eastAsia="仿宋" w:cs="仿宋"/>
          <w:color w:val="auto"/>
          <w:sz w:val="24"/>
          <w:highlight w:val="none"/>
        </w:rPr>
      </w:pPr>
    </w:p>
    <w:p w14:paraId="5F4E2204">
      <w:pPr>
        <w:rPr>
          <w:rFonts w:ascii="仿宋" w:hAnsi="仿宋" w:eastAsia="仿宋" w:cs="仿宋"/>
          <w:b/>
          <w:bCs/>
          <w:color w:val="auto"/>
          <w:sz w:val="36"/>
          <w:szCs w:val="44"/>
          <w:highlight w:val="none"/>
        </w:rPr>
      </w:pPr>
    </w:p>
    <w:p w14:paraId="164C06A0">
      <w:pPr>
        <w:ind w:left="2520"/>
        <w:outlineLvl w:val="0"/>
        <w:rPr>
          <w:rFonts w:ascii="仿宋" w:hAnsi="仿宋" w:eastAsia="仿宋" w:cs="仿宋"/>
          <w:b/>
          <w:color w:val="auto"/>
          <w:szCs w:val="21"/>
          <w:highlight w:val="none"/>
        </w:rPr>
      </w:pPr>
      <w:r>
        <w:rPr>
          <w:rFonts w:hint="eastAsia" w:ascii="仿宋" w:hAnsi="仿宋" w:eastAsia="仿宋" w:cs="仿宋"/>
          <w:b/>
          <w:bCs/>
          <w:color w:val="auto"/>
          <w:sz w:val="44"/>
          <w:szCs w:val="44"/>
          <w:highlight w:val="none"/>
        </w:rPr>
        <w:t>第三章</w:t>
      </w:r>
      <w:bookmarkStart w:id="55" w:name="_Toc2563"/>
      <w:bookmarkStart w:id="56" w:name="_Toc8424"/>
      <w:r>
        <w:rPr>
          <w:rFonts w:hint="eastAsia" w:ascii="仿宋" w:hAnsi="仿宋" w:eastAsia="仿宋" w:cs="仿宋"/>
          <w:b/>
          <w:bCs/>
          <w:color w:val="auto"/>
          <w:sz w:val="44"/>
          <w:szCs w:val="44"/>
          <w:highlight w:val="none"/>
        </w:rPr>
        <w:t xml:space="preserve">  评审办法</w:t>
      </w:r>
      <w:bookmarkEnd w:id="55"/>
      <w:bookmarkEnd w:id="56"/>
    </w:p>
    <w:p w14:paraId="37FE48EF">
      <w:pPr>
        <w:snapToGrid w:val="0"/>
        <w:spacing w:before="240" w:after="120"/>
        <w:jc w:val="center"/>
        <w:outlineLvl w:val="0"/>
        <w:rPr>
          <w:rFonts w:ascii="仿宋" w:hAnsi="仿宋" w:eastAsia="仿宋" w:cs="仿宋"/>
          <w:b/>
          <w:bCs/>
          <w:color w:val="auto"/>
          <w:sz w:val="28"/>
          <w:szCs w:val="36"/>
          <w:highlight w:val="none"/>
        </w:rPr>
      </w:pPr>
      <w:bookmarkStart w:id="57" w:name="_Toc4229"/>
      <w:bookmarkStart w:id="58" w:name="_Toc18714"/>
      <w:bookmarkStart w:id="59" w:name="_Toc533155541"/>
      <w:bookmarkStart w:id="60" w:name="_Toc8445"/>
      <w:bookmarkStart w:id="61" w:name="_Toc9569"/>
      <w:bookmarkStart w:id="62" w:name="_Toc7162863"/>
      <w:bookmarkStart w:id="63" w:name="_Toc15482"/>
      <w:bookmarkStart w:id="64" w:name="_Toc11310"/>
      <w:bookmarkStart w:id="65" w:name="_Toc13053"/>
      <w:bookmarkStart w:id="66" w:name="_Toc515347580"/>
      <w:bookmarkStart w:id="67" w:name="_Toc515347681"/>
      <w:bookmarkStart w:id="68" w:name="_Toc22750"/>
      <w:bookmarkStart w:id="69" w:name="_Toc19456"/>
      <w:bookmarkStart w:id="70" w:name="_Toc23202"/>
      <w:r>
        <w:rPr>
          <w:rFonts w:hint="eastAsia" w:ascii="仿宋" w:hAnsi="仿宋" w:eastAsia="仿宋" w:cs="仿宋"/>
          <w:b/>
          <w:bCs/>
          <w:color w:val="auto"/>
          <w:sz w:val="28"/>
          <w:szCs w:val="36"/>
          <w:highlight w:val="none"/>
        </w:rPr>
        <w:t>评审办法前附表</w:t>
      </w:r>
      <w:bookmarkEnd w:id="57"/>
      <w:bookmarkEnd w:id="58"/>
      <w:bookmarkEnd w:id="59"/>
      <w:bookmarkEnd w:id="60"/>
      <w:bookmarkEnd w:id="61"/>
      <w:bookmarkEnd w:id="62"/>
      <w:bookmarkEnd w:id="63"/>
      <w:bookmarkEnd w:id="64"/>
      <w:bookmarkEnd w:id="65"/>
      <w:bookmarkEnd w:id="66"/>
      <w:bookmarkEnd w:id="67"/>
      <w:bookmarkEnd w:id="68"/>
      <w:bookmarkEnd w:id="69"/>
      <w:bookmarkEnd w:id="70"/>
    </w:p>
    <w:tbl>
      <w:tblPr>
        <w:tblStyle w:val="30"/>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210"/>
        <w:gridCol w:w="2380"/>
        <w:gridCol w:w="5024"/>
      </w:tblGrid>
      <w:tr w14:paraId="6DD0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074" w:type="dxa"/>
            <w:gridSpan w:val="2"/>
            <w:noWrap/>
            <w:vAlign w:val="center"/>
          </w:tcPr>
          <w:p w14:paraId="6CD3CEB5">
            <w:pPr>
              <w:autoSpaceDE w:val="0"/>
              <w:autoSpaceDN w:val="0"/>
              <w:spacing w:line="240" w:lineRule="atLeast"/>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条款号及名称</w:t>
            </w:r>
          </w:p>
        </w:tc>
        <w:tc>
          <w:tcPr>
            <w:tcW w:w="2380" w:type="dxa"/>
            <w:noWrap/>
            <w:vAlign w:val="center"/>
          </w:tcPr>
          <w:p w14:paraId="647F8FA2">
            <w:pPr>
              <w:autoSpaceDE w:val="0"/>
              <w:autoSpaceDN w:val="0"/>
              <w:spacing w:line="240" w:lineRule="atLeast"/>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评审因素</w:t>
            </w:r>
          </w:p>
        </w:tc>
        <w:tc>
          <w:tcPr>
            <w:tcW w:w="5024" w:type="dxa"/>
            <w:noWrap/>
            <w:vAlign w:val="center"/>
          </w:tcPr>
          <w:p w14:paraId="5D4C64C5">
            <w:pPr>
              <w:autoSpaceDE w:val="0"/>
              <w:autoSpaceDN w:val="0"/>
              <w:spacing w:line="240" w:lineRule="atLeast"/>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评审标准</w:t>
            </w:r>
          </w:p>
        </w:tc>
      </w:tr>
      <w:tr w14:paraId="6A42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64" w:type="dxa"/>
            <w:noWrap/>
            <w:vAlign w:val="center"/>
          </w:tcPr>
          <w:p w14:paraId="62F8CC0B">
            <w:pPr>
              <w:autoSpaceDE w:val="0"/>
              <w:autoSpaceDN w:val="0"/>
              <w:spacing w:line="360" w:lineRule="auto"/>
              <w:jc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1210" w:type="dxa"/>
            <w:noWrap/>
            <w:vAlign w:val="center"/>
          </w:tcPr>
          <w:p w14:paraId="1B209B56">
            <w:pPr>
              <w:autoSpaceDE w:val="0"/>
              <w:autoSpaceDN w:val="0"/>
              <w:spacing w:line="360" w:lineRule="auto"/>
              <w:jc w:val="center"/>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评审方法</w:t>
            </w:r>
          </w:p>
        </w:tc>
        <w:tc>
          <w:tcPr>
            <w:tcW w:w="2380" w:type="dxa"/>
            <w:noWrap/>
            <w:vAlign w:val="center"/>
          </w:tcPr>
          <w:p w14:paraId="405D9E53">
            <w:pPr>
              <w:autoSpaceDE w:val="0"/>
              <w:autoSpaceDN w:val="0"/>
              <w:spacing w:line="360" w:lineRule="auto"/>
              <w:jc w:val="center"/>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评审方法</w:t>
            </w:r>
          </w:p>
        </w:tc>
        <w:tc>
          <w:tcPr>
            <w:tcW w:w="5024" w:type="dxa"/>
            <w:noWrap/>
            <w:vAlign w:val="center"/>
          </w:tcPr>
          <w:p w14:paraId="4B1C127B">
            <w:pPr>
              <w:autoSpaceDE w:val="0"/>
              <w:autoSpaceDN w:val="0"/>
              <w:spacing w:line="360" w:lineRule="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sym w:font="Wingdings" w:char="00A8"/>
            </w:r>
            <w:r>
              <w:rPr>
                <w:rFonts w:hint="eastAsia" w:ascii="仿宋" w:hAnsi="仿宋" w:eastAsia="仿宋" w:cs="仿宋"/>
                <w:color w:val="auto"/>
                <w:kern w:val="0"/>
                <w:sz w:val="24"/>
                <w:highlight w:val="none"/>
                <w:lang w:val="zh-CN"/>
              </w:rPr>
              <w:t>最低价法</w:t>
            </w:r>
          </w:p>
          <w:p w14:paraId="399FE6D7">
            <w:pPr>
              <w:autoSpaceDE w:val="0"/>
              <w:autoSpaceDN w:val="0"/>
              <w:spacing w:line="360" w:lineRule="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sym w:font="Wingdings" w:char="00FE"/>
            </w:r>
            <w:r>
              <w:rPr>
                <w:rFonts w:hint="eastAsia" w:ascii="仿宋" w:hAnsi="仿宋" w:eastAsia="仿宋" w:cs="仿宋"/>
                <w:color w:val="auto"/>
                <w:kern w:val="0"/>
                <w:sz w:val="24"/>
                <w:highlight w:val="none"/>
                <w:lang w:val="zh-CN"/>
              </w:rPr>
              <w:t>综合评分法</w:t>
            </w:r>
          </w:p>
        </w:tc>
      </w:tr>
      <w:tr w14:paraId="4D93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64" w:type="dxa"/>
            <w:vMerge w:val="restart"/>
            <w:noWrap/>
            <w:vAlign w:val="center"/>
          </w:tcPr>
          <w:p w14:paraId="628E3A5E">
            <w:pPr>
              <w:autoSpaceDE w:val="0"/>
              <w:autoSpaceDN w:val="0"/>
              <w:spacing w:line="240" w:lineRule="atLeast"/>
              <w:jc w:val="center"/>
              <w:rPr>
                <w:rFonts w:ascii="仿宋" w:hAnsi="仿宋" w:eastAsia="仿宋" w:cs="仿宋"/>
                <w:color w:val="auto"/>
                <w:highlight w:val="none"/>
              </w:rPr>
            </w:pPr>
            <w:r>
              <w:rPr>
                <w:rFonts w:hint="eastAsia" w:ascii="仿宋" w:hAnsi="仿宋" w:eastAsia="仿宋" w:cs="仿宋"/>
                <w:color w:val="auto"/>
                <w:highlight w:val="none"/>
              </w:rPr>
              <w:t>2.1.1</w:t>
            </w:r>
          </w:p>
        </w:tc>
        <w:tc>
          <w:tcPr>
            <w:tcW w:w="1210" w:type="dxa"/>
            <w:vMerge w:val="restart"/>
            <w:noWrap/>
            <w:vAlign w:val="center"/>
          </w:tcPr>
          <w:p w14:paraId="36694A27">
            <w:pPr>
              <w:autoSpaceDE w:val="0"/>
              <w:autoSpaceDN w:val="0"/>
              <w:spacing w:line="360" w:lineRule="auto"/>
              <w:jc w:val="center"/>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形式评审标准</w:t>
            </w:r>
          </w:p>
        </w:tc>
        <w:tc>
          <w:tcPr>
            <w:tcW w:w="2380" w:type="dxa"/>
            <w:noWrap/>
            <w:vAlign w:val="center"/>
          </w:tcPr>
          <w:p w14:paraId="01DC0BAE">
            <w:pPr>
              <w:jc w:val="cente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供应商名称</w:t>
            </w:r>
          </w:p>
        </w:tc>
        <w:tc>
          <w:tcPr>
            <w:tcW w:w="5024" w:type="dxa"/>
            <w:noWrap/>
            <w:vAlign w:val="center"/>
          </w:tcPr>
          <w:p w14:paraId="738013D7">
            <w:pP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与市场监管部门或其他行政机关颁发的可以合法开展业务的执照或证书一致</w:t>
            </w:r>
          </w:p>
        </w:tc>
      </w:tr>
      <w:tr w14:paraId="3BB08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vAlign w:val="center"/>
          </w:tcPr>
          <w:p w14:paraId="22DDAF6A">
            <w:pPr>
              <w:autoSpaceDE w:val="0"/>
              <w:autoSpaceDN w:val="0"/>
              <w:spacing w:line="240" w:lineRule="atLeast"/>
              <w:jc w:val="center"/>
              <w:rPr>
                <w:rFonts w:ascii="仿宋" w:hAnsi="仿宋" w:eastAsia="仿宋" w:cs="仿宋"/>
                <w:color w:val="auto"/>
                <w:highlight w:val="none"/>
              </w:rPr>
            </w:pPr>
          </w:p>
        </w:tc>
        <w:tc>
          <w:tcPr>
            <w:tcW w:w="1210" w:type="dxa"/>
            <w:vMerge w:val="continue"/>
            <w:noWrap/>
            <w:vAlign w:val="center"/>
          </w:tcPr>
          <w:p w14:paraId="029101F5">
            <w:pPr>
              <w:autoSpaceDE w:val="0"/>
              <w:autoSpaceDN w:val="0"/>
              <w:spacing w:line="360" w:lineRule="auto"/>
              <w:ind w:firstLine="480" w:firstLineChars="200"/>
              <w:jc w:val="center"/>
              <w:rPr>
                <w:rFonts w:ascii="仿宋" w:hAnsi="仿宋" w:eastAsia="仿宋" w:cs="仿宋"/>
                <w:color w:val="auto"/>
                <w:kern w:val="0"/>
                <w:sz w:val="24"/>
                <w:highlight w:val="none"/>
                <w:lang w:val="zh-CN"/>
              </w:rPr>
            </w:pPr>
          </w:p>
        </w:tc>
        <w:tc>
          <w:tcPr>
            <w:tcW w:w="2380" w:type="dxa"/>
            <w:noWrap/>
            <w:vAlign w:val="center"/>
          </w:tcPr>
          <w:p w14:paraId="78C540DA">
            <w:pPr>
              <w:jc w:val="cente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响应文件签字盖章</w:t>
            </w:r>
          </w:p>
        </w:tc>
        <w:tc>
          <w:tcPr>
            <w:tcW w:w="5024" w:type="dxa"/>
            <w:noWrap/>
            <w:vAlign w:val="center"/>
          </w:tcPr>
          <w:p w14:paraId="0494CFEA">
            <w:pP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符合第二章第３．７．２项及第３．７．３项的规定</w:t>
            </w:r>
          </w:p>
        </w:tc>
      </w:tr>
      <w:tr w14:paraId="2AC7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vAlign w:val="center"/>
          </w:tcPr>
          <w:p w14:paraId="45FDA7B6">
            <w:pPr>
              <w:autoSpaceDE w:val="0"/>
              <w:autoSpaceDN w:val="0"/>
              <w:spacing w:line="240" w:lineRule="atLeast"/>
              <w:jc w:val="center"/>
              <w:rPr>
                <w:rFonts w:ascii="仿宋" w:hAnsi="仿宋" w:eastAsia="仿宋" w:cs="仿宋"/>
                <w:color w:val="auto"/>
                <w:highlight w:val="none"/>
              </w:rPr>
            </w:pPr>
          </w:p>
        </w:tc>
        <w:tc>
          <w:tcPr>
            <w:tcW w:w="1210" w:type="dxa"/>
            <w:vMerge w:val="continue"/>
            <w:noWrap/>
            <w:vAlign w:val="center"/>
          </w:tcPr>
          <w:p w14:paraId="3702E677">
            <w:pPr>
              <w:autoSpaceDE w:val="0"/>
              <w:autoSpaceDN w:val="0"/>
              <w:spacing w:line="360" w:lineRule="auto"/>
              <w:ind w:firstLine="480" w:firstLineChars="200"/>
              <w:jc w:val="center"/>
              <w:rPr>
                <w:rFonts w:ascii="仿宋" w:hAnsi="仿宋" w:eastAsia="仿宋" w:cs="仿宋"/>
                <w:color w:val="auto"/>
                <w:kern w:val="0"/>
                <w:sz w:val="24"/>
                <w:highlight w:val="none"/>
                <w:lang w:val="zh-CN"/>
              </w:rPr>
            </w:pPr>
          </w:p>
        </w:tc>
        <w:tc>
          <w:tcPr>
            <w:tcW w:w="2380" w:type="dxa"/>
            <w:noWrap/>
            <w:vAlign w:val="center"/>
          </w:tcPr>
          <w:p w14:paraId="3A4DD9F5">
            <w:pPr>
              <w:jc w:val="cente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联合体协议书</w:t>
            </w:r>
          </w:p>
        </w:tc>
        <w:tc>
          <w:tcPr>
            <w:tcW w:w="5024" w:type="dxa"/>
            <w:noWrap/>
            <w:vAlign w:val="center"/>
          </w:tcPr>
          <w:p w14:paraId="760817C4">
            <w:pP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递交联合体协议书（不适用）</w:t>
            </w:r>
          </w:p>
        </w:tc>
      </w:tr>
      <w:tr w14:paraId="6708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864" w:type="dxa"/>
            <w:vMerge w:val="continue"/>
            <w:noWrap/>
            <w:vAlign w:val="center"/>
          </w:tcPr>
          <w:p w14:paraId="23979020">
            <w:pPr>
              <w:autoSpaceDE w:val="0"/>
              <w:autoSpaceDN w:val="0"/>
              <w:spacing w:line="240" w:lineRule="atLeast"/>
              <w:jc w:val="center"/>
              <w:rPr>
                <w:rFonts w:ascii="仿宋" w:hAnsi="仿宋" w:eastAsia="仿宋" w:cs="仿宋"/>
                <w:color w:val="auto"/>
                <w:highlight w:val="none"/>
              </w:rPr>
            </w:pPr>
          </w:p>
        </w:tc>
        <w:tc>
          <w:tcPr>
            <w:tcW w:w="1210" w:type="dxa"/>
            <w:vMerge w:val="continue"/>
            <w:noWrap/>
            <w:vAlign w:val="center"/>
          </w:tcPr>
          <w:p w14:paraId="0F555BE1">
            <w:pPr>
              <w:autoSpaceDE w:val="0"/>
              <w:autoSpaceDN w:val="0"/>
              <w:spacing w:line="360" w:lineRule="auto"/>
              <w:ind w:firstLine="480" w:firstLineChars="200"/>
              <w:jc w:val="center"/>
              <w:rPr>
                <w:rFonts w:ascii="仿宋" w:hAnsi="仿宋" w:eastAsia="仿宋" w:cs="仿宋"/>
                <w:color w:val="auto"/>
                <w:kern w:val="0"/>
                <w:sz w:val="24"/>
                <w:highlight w:val="none"/>
                <w:lang w:val="zh-CN"/>
              </w:rPr>
            </w:pPr>
          </w:p>
        </w:tc>
        <w:tc>
          <w:tcPr>
            <w:tcW w:w="2380" w:type="dxa"/>
            <w:noWrap/>
            <w:vAlign w:val="center"/>
          </w:tcPr>
          <w:p w14:paraId="03530337">
            <w:pPr>
              <w:autoSpaceDE w:val="0"/>
              <w:autoSpaceDN w:val="0"/>
              <w:spacing w:line="360" w:lineRule="auto"/>
              <w:jc w:val="center"/>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法人授权委托书情况</w:t>
            </w:r>
          </w:p>
        </w:tc>
        <w:tc>
          <w:tcPr>
            <w:tcW w:w="5024" w:type="dxa"/>
            <w:noWrap/>
            <w:vAlign w:val="center"/>
          </w:tcPr>
          <w:p w14:paraId="18A54219">
            <w:pPr>
              <w:autoSpaceDE w:val="0"/>
              <w:autoSpaceDN w:val="0"/>
              <w:spacing w:line="360" w:lineRule="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提供有效的</w:t>
            </w:r>
            <w:r>
              <w:rPr>
                <w:rFonts w:hint="eastAsia" w:ascii="仿宋" w:hAnsi="仿宋" w:eastAsia="仿宋" w:cs="仿宋"/>
                <w:color w:val="auto"/>
                <w:kern w:val="0"/>
                <w:sz w:val="24"/>
                <w:highlight w:val="none"/>
              </w:rPr>
              <w:t>法人</w:t>
            </w:r>
            <w:r>
              <w:rPr>
                <w:rFonts w:hint="eastAsia" w:ascii="仿宋" w:hAnsi="仿宋" w:eastAsia="仿宋" w:cs="仿宋"/>
                <w:color w:val="auto"/>
                <w:kern w:val="0"/>
                <w:sz w:val="24"/>
                <w:highlight w:val="none"/>
                <w:lang w:val="zh-CN"/>
              </w:rPr>
              <w:t>证明书及</w:t>
            </w:r>
            <w:r>
              <w:rPr>
                <w:rFonts w:hint="eastAsia" w:ascii="仿宋" w:hAnsi="仿宋" w:eastAsia="仿宋" w:cs="仿宋"/>
                <w:color w:val="auto"/>
                <w:kern w:val="0"/>
                <w:sz w:val="24"/>
                <w:highlight w:val="none"/>
              </w:rPr>
              <w:t>法人</w:t>
            </w:r>
            <w:r>
              <w:rPr>
                <w:rFonts w:hint="eastAsia" w:ascii="仿宋" w:hAnsi="仿宋" w:eastAsia="仿宋" w:cs="仿宋"/>
                <w:color w:val="auto"/>
                <w:kern w:val="0"/>
                <w:sz w:val="24"/>
                <w:highlight w:val="none"/>
                <w:lang w:val="zh-CN"/>
              </w:rPr>
              <w:t>授权委托书</w:t>
            </w:r>
          </w:p>
        </w:tc>
      </w:tr>
      <w:tr w14:paraId="5985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restart"/>
            <w:noWrap/>
            <w:vAlign w:val="center"/>
          </w:tcPr>
          <w:p w14:paraId="5AE0277C">
            <w:pPr>
              <w:autoSpaceDE w:val="0"/>
              <w:autoSpaceDN w:val="0"/>
              <w:spacing w:line="240" w:lineRule="atLeast"/>
              <w:jc w:val="center"/>
              <w:rPr>
                <w:rFonts w:ascii="仿宋" w:hAnsi="仿宋" w:eastAsia="仿宋" w:cs="仿宋"/>
                <w:color w:val="auto"/>
                <w:highlight w:val="none"/>
              </w:rPr>
            </w:pPr>
            <w:r>
              <w:rPr>
                <w:rFonts w:hint="eastAsia" w:ascii="仿宋" w:hAnsi="仿宋" w:eastAsia="仿宋" w:cs="仿宋"/>
                <w:color w:val="auto"/>
                <w:highlight w:val="none"/>
              </w:rPr>
              <w:t>2.1.2</w:t>
            </w:r>
          </w:p>
        </w:tc>
        <w:tc>
          <w:tcPr>
            <w:tcW w:w="1210" w:type="dxa"/>
            <w:vMerge w:val="restart"/>
            <w:noWrap/>
            <w:vAlign w:val="center"/>
          </w:tcPr>
          <w:p w14:paraId="3CE0F8DF">
            <w:pPr>
              <w:autoSpaceDE w:val="0"/>
              <w:autoSpaceDN w:val="0"/>
              <w:spacing w:line="360" w:lineRule="auto"/>
              <w:jc w:val="center"/>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资格评审标准</w:t>
            </w:r>
          </w:p>
        </w:tc>
        <w:tc>
          <w:tcPr>
            <w:tcW w:w="2380" w:type="dxa"/>
            <w:noWrap/>
            <w:vAlign w:val="center"/>
          </w:tcPr>
          <w:p w14:paraId="569F7F0D">
            <w:pPr>
              <w:jc w:val="cente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依法设立</w:t>
            </w:r>
          </w:p>
        </w:tc>
        <w:tc>
          <w:tcPr>
            <w:tcW w:w="5024" w:type="dxa"/>
            <w:noWrap/>
            <w:vAlign w:val="center"/>
          </w:tcPr>
          <w:p w14:paraId="1F910BA6">
            <w:pP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符合第一章第３．１款及供应商须知前附表第３．５（１）款规定</w:t>
            </w:r>
          </w:p>
        </w:tc>
      </w:tr>
      <w:tr w14:paraId="036C7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vAlign w:val="center"/>
          </w:tcPr>
          <w:p w14:paraId="254637E6">
            <w:pPr>
              <w:autoSpaceDE w:val="0"/>
              <w:autoSpaceDN w:val="0"/>
              <w:spacing w:line="240" w:lineRule="atLeast"/>
              <w:jc w:val="center"/>
              <w:rPr>
                <w:rFonts w:ascii="仿宋" w:hAnsi="仿宋" w:eastAsia="仿宋" w:cs="仿宋"/>
                <w:color w:val="auto"/>
                <w:highlight w:val="none"/>
              </w:rPr>
            </w:pPr>
          </w:p>
        </w:tc>
        <w:tc>
          <w:tcPr>
            <w:tcW w:w="1210" w:type="dxa"/>
            <w:vMerge w:val="continue"/>
            <w:noWrap/>
            <w:vAlign w:val="center"/>
          </w:tcPr>
          <w:p w14:paraId="485258FB">
            <w:pPr>
              <w:autoSpaceDE w:val="0"/>
              <w:autoSpaceDN w:val="0"/>
              <w:spacing w:line="360" w:lineRule="auto"/>
              <w:ind w:firstLine="480" w:firstLineChars="200"/>
              <w:jc w:val="center"/>
              <w:rPr>
                <w:rFonts w:ascii="仿宋" w:hAnsi="仿宋" w:eastAsia="仿宋" w:cs="仿宋"/>
                <w:color w:val="auto"/>
                <w:kern w:val="0"/>
                <w:sz w:val="24"/>
                <w:highlight w:val="none"/>
                <w:lang w:val="zh-CN"/>
              </w:rPr>
            </w:pPr>
          </w:p>
        </w:tc>
        <w:tc>
          <w:tcPr>
            <w:tcW w:w="2380" w:type="dxa"/>
            <w:noWrap/>
            <w:vAlign w:val="center"/>
          </w:tcPr>
          <w:p w14:paraId="0B6B9942">
            <w:pPr>
              <w:jc w:val="cente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资质要求</w:t>
            </w:r>
          </w:p>
        </w:tc>
        <w:tc>
          <w:tcPr>
            <w:tcW w:w="5024" w:type="dxa"/>
            <w:noWrap/>
            <w:vAlign w:val="center"/>
          </w:tcPr>
          <w:p w14:paraId="07C3C5D8">
            <w:pP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符合第一章第３．１款及供应商须知前附表第３．５（２）款规定</w:t>
            </w:r>
          </w:p>
        </w:tc>
      </w:tr>
      <w:tr w14:paraId="72AD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vAlign w:val="center"/>
          </w:tcPr>
          <w:p w14:paraId="7490E6E8">
            <w:pPr>
              <w:autoSpaceDE w:val="0"/>
              <w:autoSpaceDN w:val="0"/>
              <w:spacing w:line="240" w:lineRule="atLeast"/>
              <w:jc w:val="center"/>
              <w:rPr>
                <w:rFonts w:ascii="仿宋" w:hAnsi="仿宋" w:eastAsia="仿宋" w:cs="仿宋"/>
                <w:color w:val="auto"/>
                <w:highlight w:val="none"/>
              </w:rPr>
            </w:pPr>
          </w:p>
        </w:tc>
        <w:tc>
          <w:tcPr>
            <w:tcW w:w="1210" w:type="dxa"/>
            <w:vMerge w:val="continue"/>
            <w:noWrap/>
            <w:vAlign w:val="center"/>
          </w:tcPr>
          <w:p w14:paraId="4BE409C3">
            <w:pPr>
              <w:autoSpaceDE w:val="0"/>
              <w:autoSpaceDN w:val="0"/>
              <w:spacing w:line="360" w:lineRule="auto"/>
              <w:ind w:firstLine="480" w:firstLineChars="200"/>
              <w:jc w:val="center"/>
              <w:rPr>
                <w:rFonts w:ascii="仿宋" w:hAnsi="仿宋" w:eastAsia="仿宋" w:cs="仿宋"/>
                <w:color w:val="auto"/>
                <w:kern w:val="0"/>
                <w:sz w:val="24"/>
                <w:highlight w:val="none"/>
                <w:lang w:val="zh-CN"/>
              </w:rPr>
            </w:pPr>
          </w:p>
        </w:tc>
        <w:tc>
          <w:tcPr>
            <w:tcW w:w="2380" w:type="dxa"/>
            <w:noWrap/>
            <w:vAlign w:val="center"/>
          </w:tcPr>
          <w:p w14:paraId="172D9E1D">
            <w:pPr>
              <w:jc w:val="cente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财务要求</w:t>
            </w:r>
          </w:p>
        </w:tc>
        <w:tc>
          <w:tcPr>
            <w:tcW w:w="5024" w:type="dxa"/>
            <w:noWrap/>
            <w:vAlign w:val="center"/>
          </w:tcPr>
          <w:p w14:paraId="4D9945C0">
            <w:pP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符合第一章第３．１款及供应商须知前附表第３．５（３）款规定</w:t>
            </w:r>
          </w:p>
        </w:tc>
      </w:tr>
      <w:tr w14:paraId="69C85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vAlign w:val="center"/>
          </w:tcPr>
          <w:p w14:paraId="10D04893">
            <w:pPr>
              <w:autoSpaceDE w:val="0"/>
              <w:autoSpaceDN w:val="0"/>
              <w:spacing w:line="240" w:lineRule="atLeast"/>
              <w:jc w:val="center"/>
              <w:rPr>
                <w:rFonts w:ascii="仿宋" w:hAnsi="仿宋" w:eastAsia="仿宋" w:cs="仿宋"/>
                <w:color w:val="auto"/>
                <w:highlight w:val="none"/>
              </w:rPr>
            </w:pPr>
          </w:p>
        </w:tc>
        <w:tc>
          <w:tcPr>
            <w:tcW w:w="1210" w:type="dxa"/>
            <w:vMerge w:val="continue"/>
            <w:noWrap/>
            <w:vAlign w:val="center"/>
          </w:tcPr>
          <w:p w14:paraId="4066BE40">
            <w:pPr>
              <w:autoSpaceDE w:val="0"/>
              <w:autoSpaceDN w:val="0"/>
              <w:spacing w:line="360" w:lineRule="auto"/>
              <w:ind w:firstLine="480" w:firstLineChars="200"/>
              <w:jc w:val="center"/>
              <w:rPr>
                <w:rFonts w:ascii="仿宋" w:hAnsi="仿宋" w:eastAsia="仿宋" w:cs="仿宋"/>
                <w:color w:val="auto"/>
                <w:kern w:val="0"/>
                <w:sz w:val="24"/>
                <w:highlight w:val="none"/>
                <w:lang w:val="zh-CN"/>
              </w:rPr>
            </w:pPr>
          </w:p>
        </w:tc>
        <w:tc>
          <w:tcPr>
            <w:tcW w:w="2380" w:type="dxa"/>
            <w:noWrap/>
            <w:vAlign w:val="center"/>
          </w:tcPr>
          <w:p w14:paraId="107D08C4">
            <w:pPr>
              <w:jc w:val="center"/>
              <w:rPr>
                <w:rFonts w:ascii="仿宋" w:hAnsi="仿宋" w:eastAsia="仿宋" w:cs="仿宋"/>
                <w:color w:val="auto"/>
                <w:sz w:val="24"/>
                <w:highlight w:val="none"/>
              </w:rPr>
            </w:pPr>
            <w:r>
              <w:rPr>
                <w:rFonts w:hint="eastAsia" w:ascii="仿宋" w:hAnsi="仿宋" w:eastAsia="仿宋" w:cs="仿宋"/>
                <w:color w:val="auto"/>
                <w:sz w:val="24"/>
                <w:highlight w:val="none"/>
              </w:rPr>
              <w:t>业绩要求</w:t>
            </w:r>
          </w:p>
        </w:tc>
        <w:tc>
          <w:tcPr>
            <w:tcW w:w="5024" w:type="dxa"/>
            <w:noWrap/>
            <w:vAlign w:val="center"/>
          </w:tcPr>
          <w:p w14:paraId="02C3CDF2">
            <w:pPr>
              <w:rPr>
                <w:rFonts w:ascii="仿宋" w:hAnsi="仿宋" w:eastAsia="仿宋" w:cs="仿宋"/>
                <w:color w:val="auto"/>
                <w:sz w:val="24"/>
                <w:highlight w:val="none"/>
              </w:rPr>
            </w:pPr>
            <w:r>
              <w:rPr>
                <w:rFonts w:hint="eastAsia" w:ascii="仿宋" w:hAnsi="仿宋" w:eastAsia="仿宋" w:cs="仿宋"/>
                <w:color w:val="auto"/>
                <w:sz w:val="24"/>
                <w:highlight w:val="none"/>
              </w:rPr>
              <w:t>符合第一章第3.1款及供应商须知前附表第３．５（4）款规定</w:t>
            </w:r>
          </w:p>
        </w:tc>
      </w:tr>
      <w:tr w14:paraId="59FC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vAlign w:val="center"/>
          </w:tcPr>
          <w:p w14:paraId="14CE0890">
            <w:pPr>
              <w:autoSpaceDE w:val="0"/>
              <w:autoSpaceDN w:val="0"/>
              <w:spacing w:line="240" w:lineRule="atLeast"/>
              <w:jc w:val="center"/>
              <w:rPr>
                <w:rFonts w:ascii="仿宋" w:hAnsi="仿宋" w:eastAsia="仿宋" w:cs="仿宋"/>
                <w:color w:val="auto"/>
                <w:highlight w:val="none"/>
              </w:rPr>
            </w:pPr>
          </w:p>
        </w:tc>
        <w:tc>
          <w:tcPr>
            <w:tcW w:w="1210" w:type="dxa"/>
            <w:vMerge w:val="continue"/>
            <w:noWrap/>
            <w:vAlign w:val="center"/>
          </w:tcPr>
          <w:p w14:paraId="508206F9">
            <w:pPr>
              <w:autoSpaceDE w:val="0"/>
              <w:autoSpaceDN w:val="0"/>
              <w:spacing w:line="360" w:lineRule="auto"/>
              <w:ind w:firstLine="480" w:firstLineChars="200"/>
              <w:jc w:val="center"/>
              <w:rPr>
                <w:rFonts w:ascii="仿宋" w:hAnsi="仿宋" w:eastAsia="仿宋" w:cs="仿宋"/>
                <w:color w:val="auto"/>
                <w:kern w:val="0"/>
                <w:sz w:val="24"/>
                <w:highlight w:val="none"/>
                <w:lang w:val="zh-CN"/>
              </w:rPr>
            </w:pPr>
          </w:p>
        </w:tc>
        <w:tc>
          <w:tcPr>
            <w:tcW w:w="2380" w:type="dxa"/>
            <w:noWrap/>
            <w:vAlign w:val="center"/>
          </w:tcPr>
          <w:p w14:paraId="1169D851">
            <w:pPr>
              <w:jc w:val="cente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信誉要求</w:t>
            </w:r>
          </w:p>
        </w:tc>
        <w:tc>
          <w:tcPr>
            <w:tcW w:w="5024" w:type="dxa"/>
            <w:noWrap/>
            <w:vAlign w:val="center"/>
          </w:tcPr>
          <w:p w14:paraId="7C657B79">
            <w:pP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符合第一章第３．１款及供应商须知前附表第３．５（５）款规定</w:t>
            </w:r>
          </w:p>
        </w:tc>
      </w:tr>
      <w:tr w14:paraId="33224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vAlign w:val="center"/>
          </w:tcPr>
          <w:p w14:paraId="55CF0FA1">
            <w:pPr>
              <w:autoSpaceDE w:val="0"/>
              <w:autoSpaceDN w:val="0"/>
              <w:spacing w:line="240" w:lineRule="atLeast"/>
              <w:jc w:val="center"/>
              <w:rPr>
                <w:rFonts w:ascii="仿宋" w:hAnsi="仿宋" w:eastAsia="仿宋" w:cs="仿宋"/>
                <w:color w:val="auto"/>
                <w:highlight w:val="none"/>
              </w:rPr>
            </w:pPr>
          </w:p>
        </w:tc>
        <w:tc>
          <w:tcPr>
            <w:tcW w:w="1210" w:type="dxa"/>
            <w:vMerge w:val="continue"/>
            <w:noWrap/>
            <w:vAlign w:val="center"/>
          </w:tcPr>
          <w:p w14:paraId="4A32D672">
            <w:pPr>
              <w:autoSpaceDE w:val="0"/>
              <w:autoSpaceDN w:val="0"/>
              <w:spacing w:line="360" w:lineRule="auto"/>
              <w:ind w:firstLine="480" w:firstLineChars="200"/>
              <w:jc w:val="center"/>
              <w:rPr>
                <w:rFonts w:ascii="仿宋" w:hAnsi="仿宋" w:eastAsia="仿宋" w:cs="仿宋"/>
                <w:color w:val="auto"/>
                <w:kern w:val="0"/>
                <w:sz w:val="24"/>
                <w:highlight w:val="none"/>
                <w:lang w:val="zh-CN"/>
              </w:rPr>
            </w:pPr>
          </w:p>
        </w:tc>
        <w:tc>
          <w:tcPr>
            <w:tcW w:w="2380" w:type="dxa"/>
            <w:noWrap/>
            <w:vAlign w:val="center"/>
          </w:tcPr>
          <w:p w14:paraId="255932C1">
            <w:pPr>
              <w:jc w:val="cente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人员要求</w:t>
            </w:r>
          </w:p>
        </w:tc>
        <w:tc>
          <w:tcPr>
            <w:tcW w:w="5024" w:type="dxa"/>
            <w:noWrap/>
            <w:vAlign w:val="center"/>
          </w:tcPr>
          <w:p w14:paraId="3233B684">
            <w:pP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符合第一章第３．１款及供应商须知前附表第３．５（６）款规定</w:t>
            </w:r>
          </w:p>
        </w:tc>
      </w:tr>
      <w:tr w14:paraId="2679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vAlign w:val="center"/>
          </w:tcPr>
          <w:p w14:paraId="0DDE2C3F">
            <w:pPr>
              <w:autoSpaceDE w:val="0"/>
              <w:autoSpaceDN w:val="0"/>
              <w:spacing w:line="240" w:lineRule="atLeast"/>
              <w:jc w:val="center"/>
              <w:rPr>
                <w:rFonts w:ascii="仿宋" w:hAnsi="仿宋" w:eastAsia="仿宋" w:cs="仿宋"/>
                <w:color w:val="auto"/>
                <w:highlight w:val="none"/>
              </w:rPr>
            </w:pPr>
          </w:p>
        </w:tc>
        <w:tc>
          <w:tcPr>
            <w:tcW w:w="1210" w:type="dxa"/>
            <w:vMerge w:val="continue"/>
            <w:noWrap/>
            <w:vAlign w:val="center"/>
          </w:tcPr>
          <w:p w14:paraId="568C7189">
            <w:pPr>
              <w:autoSpaceDE w:val="0"/>
              <w:autoSpaceDN w:val="0"/>
              <w:spacing w:line="360" w:lineRule="auto"/>
              <w:ind w:firstLine="480" w:firstLineChars="200"/>
              <w:jc w:val="center"/>
              <w:rPr>
                <w:rFonts w:ascii="仿宋" w:hAnsi="仿宋" w:eastAsia="仿宋" w:cs="仿宋"/>
                <w:color w:val="auto"/>
                <w:kern w:val="0"/>
                <w:sz w:val="24"/>
                <w:highlight w:val="none"/>
                <w:lang w:val="zh-CN"/>
              </w:rPr>
            </w:pPr>
          </w:p>
        </w:tc>
        <w:tc>
          <w:tcPr>
            <w:tcW w:w="2380" w:type="dxa"/>
            <w:noWrap/>
            <w:vAlign w:val="center"/>
          </w:tcPr>
          <w:p w14:paraId="6E3663BF">
            <w:pPr>
              <w:jc w:val="cente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其他要求</w:t>
            </w:r>
          </w:p>
        </w:tc>
        <w:tc>
          <w:tcPr>
            <w:tcW w:w="5024" w:type="dxa"/>
            <w:noWrap/>
            <w:vAlign w:val="center"/>
          </w:tcPr>
          <w:p w14:paraId="171621A5">
            <w:pP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符合第一章第３．１款及供应商须知前附表第３．５（７）款规定</w:t>
            </w:r>
          </w:p>
        </w:tc>
      </w:tr>
      <w:tr w14:paraId="4032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vAlign w:val="center"/>
          </w:tcPr>
          <w:p w14:paraId="319ED9F9">
            <w:pPr>
              <w:autoSpaceDE w:val="0"/>
              <w:autoSpaceDN w:val="0"/>
              <w:spacing w:line="240" w:lineRule="atLeast"/>
              <w:jc w:val="center"/>
              <w:rPr>
                <w:rFonts w:ascii="仿宋" w:hAnsi="仿宋" w:eastAsia="仿宋" w:cs="仿宋"/>
                <w:color w:val="auto"/>
                <w:highlight w:val="none"/>
              </w:rPr>
            </w:pPr>
          </w:p>
        </w:tc>
        <w:tc>
          <w:tcPr>
            <w:tcW w:w="1210" w:type="dxa"/>
            <w:vMerge w:val="continue"/>
            <w:noWrap/>
            <w:vAlign w:val="center"/>
          </w:tcPr>
          <w:p w14:paraId="7508E7FC">
            <w:pPr>
              <w:autoSpaceDE w:val="0"/>
              <w:autoSpaceDN w:val="0"/>
              <w:spacing w:line="360" w:lineRule="auto"/>
              <w:ind w:firstLine="480" w:firstLineChars="200"/>
              <w:jc w:val="center"/>
              <w:rPr>
                <w:rFonts w:ascii="仿宋" w:hAnsi="仿宋" w:eastAsia="仿宋" w:cs="仿宋"/>
                <w:color w:val="auto"/>
                <w:kern w:val="0"/>
                <w:sz w:val="24"/>
                <w:highlight w:val="none"/>
                <w:lang w:val="zh-CN"/>
              </w:rPr>
            </w:pPr>
          </w:p>
        </w:tc>
        <w:tc>
          <w:tcPr>
            <w:tcW w:w="2380" w:type="dxa"/>
            <w:noWrap/>
            <w:vAlign w:val="center"/>
          </w:tcPr>
          <w:p w14:paraId="296FFE6D">
            <w:pPr>
              <w:jc w:val="center"/>
              <w:rPr>
                <w:rFonts w:ascii="仿宋" w:hAnsi="仿宋" w:eastAsia="仿宋" w:cs="仿宋"/>
                <w:color w:val="auto"/>
                <w:sz w:val="24"/>
                <w:highlight w:val="none"/>
              </w:rPr>
            </w:pPr>
            <w:r>
              <w:rPr>
                <w:rFonts w:hint="eastAsia" w:ascii="仿宋" w:hAnsi="仿宋" w:eastAsia="仿宋" w:cs="仿宋"/>
                <w:color w:val="auto"/>
                <w:sz w:val="24"/>
                <w:highlight w:val="none"/>
              </w:rPr>
              <w:t>不存在第一章</w:t>
            </w:r>
          </w:p>
          <w:p w14:paraId="4B58D46E">
            <w:pPr>
              <w:jc w:val="cente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第3.2款情形</w:t>
            </w:r>
          </w:p>
        </w:tc>
        <w:tc>
          <w:tcPr>
            <w:tcW w:w="5024" w:type="dxa"/>
            <w:noWrap/>
            <w:vAlign w:val="center"/>
          </w:tcPr>
          <w:p w14:paraId="42292F6F">
            <w:pPr>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符合第一章第３．2款及供应商须知前附表第３．５（８）款规定</w:t>
            </w:r>
          </w:p>
        </w:tc>
      </w:tr>
      <w:tr w14:paraId="39B4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restart"/>
            <w:noWrap/>
            <w:vAlign w:val="center"/>
          </w:tcPr>
          <w:p w14:paraId="2650E474">
            <w:pPr>
              <w:autoSpaceDE w:val="0"/>
              <w:autoSpaceDN w:val="0"/>
              <w:spacing w:line="240" w:lineRule="atLeast"/>
              <w:jc w:val="center"/>
              <w:rPr>
                <w:rFonts w:ascii="仿宋" w:hAnsi="仿宋" w:eastAsia="仿宋" w:cs="仿宋"/>
                <w:color w:val="auto"/>
                <w:highlight w:val="none"/>
              </w:rPr>
            </w:pPr>
            <w:r>
              <w:rPr>
                <w:rFonts w:hint="eastAsia" w:ascii="仿宋" w:hAnsi="仿宋" w:eastAsia="仿宋" w:cs="仿宋"/>
                <w:color w:val="auto"/>
                <w:highlight w:val="none"/>
              </w:rPr>
              <w:t>2.1.3</w:t>
            </w:r>
          </w:p>
        </w:tc>
        <w:tc>
          <w:tcPr>
            <w:tcW w:w="1210" w:type="dxa"/>
            <w:vMerge w:val="restart"/>
            <w:noWrap/>
            <w:vAlign w:val="center"/>
          </w:tcPr>
          <w:p w14:paraId="3DCE4179">
            <w:pPr>
              <w:autoSpaceDE w:val="0"/>
              <w:autoSpaceDN w:val="0"/>
              <w:spacing w:line="360" w:lineRule="auto"/>
              <w:jc w:val="center"/>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响应性评审标准</w:t>
            </w:r>
          </w:p>
        </w:tc>
        <w:tc>
          <w:tcPr>
            <w:tcW w:w="2380" w:type="dxa"/>
            <w:noWrap/>
            <w:vAlign w:val="center"/>
          </w:tcPr>
          <w:p w14:paraId="424DEB10">
            <w:pPr>
              <w:jc w:val="center"/>
              <w:rPr>
                <w:rFonts w:ascii="仿宋" w:hAnsi="仿宋" w:eastAsia="仿宋" w:cs="仿宋"/>
                <w:color w:val="auto"/>
                <w:sz w:val="24"/>
                <w:highlight w:val="none"/>
                <w:lang w:val="zh-CN"/>
              </w:rPr>
            </w:pPr>
            <w:r>
              <w:rPr>
                <w:rFonts w:hint="eastAsia" w:ascii="仿宋" w:hAnsi="仿宋" w:eastAsia="仿宋" w:cs="仿宋"/>
                <w:color w:val="auto"/>
                <w:sz w:val="24"/>
                <w:highlight w:val="none"/>
              </w:rPr>
              <w:t>报价</w:t>
            </w:r>
          </w:p>
        </w:tc>
        <w:tc>
          <w:tcPr>
            <w:tcW w:w="5024" w:type="dxa"/>
            <w:noWrap/>
            <w:vAlign w:val="center"/>
          </w:tcPr>
          <w:p w14:paraId="62B6D4E1">
            <w:pPr>
              <w:rPr>
                <w:rFonts w:ascii="仿宋" w:hAnsi="仿宋" w:eastAsia="仿宋" w:cs="仿宋"/>
                <w:color w:val="auto"/>
                <w:sz w:val="24"/>
                <w:highlight w:val="none"/>
                <w:lang w:val="zh-CN"/>
              </w:rPr>
            </w:pPr>
            <w:r>
              <w:rPr>
                <w:rFonts w:hint="eastAsia" w:ascii="仿宋" w:hAnsi="仿宋" w:eastAsia="仿宋" w:cs="仿宋"/>
                <w:color w:val="auto"/>
                <w:sz w:val="24"/>
                <w:highlight w:val="none"/>
              </w:rPr>
              <w:t>符合第二章第３．２款规定</w:t>
            </w:r>
          </w:p>
        </w:tc>
      </w:tr>
      <w:tr w14:paraId="70938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vAlign w:val="center"/>
          </w:tcPr>
          <w:p w14:paraId="03A2D275">
            <w:pPr>
              <w:autoSpaceDE w:val="0"/>
              <w:autoSpaceDN w:val="0"/>
              <w:spacing w:line="240" w:lineRule="atLeast"/>
              <w:jc w:val="center"/>
              <w:rPr>
                <w:rFonts w:hint="eastAsia" w:ascii="仿宋" w:hAnsi="仿宋" w:eastAsia="仿宋" w:cs="仿宋"/>
                <w:color w:val="auto"/>
                <w:highlight w:val="none"/>
              </w:rPr>
            </w:pPr>
          </w:p>
        </w:tc>
        <w:tc>
          <w:tcPr>
            <w:tcW w:w="1210" w:type="dxa"/>
            <w:vMerge w:val="continue"/>
            <w:noWrap/>
            <w:vAlign w:val="center"/>
          </w:tcPr>
          <w:p w14:paraId="655776C0">
            <w:pPr>
              <w:autoSpaceDE w:val="0"/>
              <w:autoSpaceDN w:val="0"/>
              <w:spacing w:line="360" w:lineRule="auto"/>
              <w:jc w:val="center"/>
              <w:rPr>
                <w:rFonts w:hint="eastAsia" w:ascii="仿宋" w:hAnsi="仿宋" w:eastAsia="仿宋" w:cs="仿宋"/>
                <w:color w:val="auto"/>
                <w:kern w:val="0"/>
                <w:sz w:val="24"/>
                <w:highlight w:val="none"/>
                <w:lang w:val="zh-CN"/>
              </w:rPr>
            </w:pPr>
          </w:p>
        </w:tc>
        <w:tc>
          <w:tcPr>
            <w:tcW w:w="2380" w:type="dxa"/>
            <w:noWrap/>
            <w:vAlign w:val="center"/>
          </w:tcPr>
          <w:p w14:paraId="01D15161">
            <w:pPr>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响应保证金</w:t>
            </w:r>
          </w:p>
        </w:tc>
        <w:tc>
          <w:tcPr>
            <w:tcW w:w="5024" w:type="dxa"/>
            <w:noWrap/>
            <w:vAlign w:val="center"/>
          </w:tcPr>
          <w:p w14:paraId="3A287DAF">
            <w:pPr>
              <w:rPr>
                <w:rFonts w:hint="eastAsia" w:ascii="仿宋" w:hAnsi="仿宋" w:eastAsia="仿宋" w:cs="仿宋"/>
                <w:color w:val="auto"/>
                <w:sz w:val="24"/>
                <w:highlight w:val="none"/>
              </w:rPr>
            </w:pPr>
            <w:r>
              <w:rPr>
                <w:rFonts w:hint="eastAsia" w:ascii="仿宋" w:hAnsi="仿宋" w:eastAsia="仿宋" w:cs="仿宋"/>
                <w:color w:val="auto"/>
                <w:sz w:val="24"/>
                <w:highlight w:val="none"/>
              </w:rPr>
              <w:t>符合第二章第</w:t>
            </w:r>
            <w:r>
              <w:rPr>
                <w:rFonts w:hint="eastAsia" w:ascii="仿宋" w:hAnsi="仿宋" w:eastAsia="仿宋" w:cs="仿宋"/>
                <w:color w:val="auto"/>
                <w:sz w:val="24"/>
                <w:highlight w:val="none"/>
                <w:lang w:eastAsia="en-US"/>
              </w:rPr>
              <w:t>3.4.</w:t>
            </w:r>
            <w:r>
              <w:rPr>
                <w:rFonts w:hint="eastAsia" w:ascii="仿宋" w:hAnsi="仿宋" w:eastAsia="仿宋" w:cs="仿宋"/>
                <w:color w:val="auto"/>
                <w:sz w:val="24"/>
                <w:highlight w:val="none"/>
              </w:rPr>
              <w:t>1项规定</w:t>
            </w:r>
          </w:p>
        </w:tc>
      </w:tr>
      <w:tr w14:paraId="7B28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tcPr>
          <w:p w14:paraId="5B242B0B">
            <w:pPr>
              <w:autoSpaceDE w:val="0"/>
              <w:autoSpaceDN w:val="0"/>
              <w:spacing w:line="240" w:lineRule="atLeast"/>
              <w:rPr>
                <w:rFonts w:ascii="仿宋" w:hAnsi="仿宋" w:eastAsia="仿宋" w:cs="仿宋"/>
                <w:color w:val="auto"/>
                <w:highlight w:val="none"/>
              </w:rPr>
            </w:pPr>
          </w:p>
        </w:tc>
        <w:tc>
          <w:tcPr>
            <w:tcW w:w="1210" w:type="dxa"/>
            <w:vMerge w:val="continue"/>
            <w:noWrap/>
          </w:tcPr>
          <w:p w14:paraId="6DC7E807">
            <w:pPr>
              <w:autoSpaceDE w:val="0"/>
              <w:autoSpaceDN w:val="0"/>
              <w:spacing w:line="360" w:lineRule="auto"/>
              <w:ind w:firstLine="480" w:firstLineChars="200"/>
              <w:rPr>
                <w:rFonts w:ascii="仿宋" w:hAnsi="仿宋" w:eastAsia="仿宋" w:cs="仿宋"/>
                <w:color w:val="auto"/>
                <w:kern w:val="0"/>
                <w:sz w:val="24"/>
                <w:highlight w:val="none"/>
                <w:lang w:val="zh-CN"/>
              </w:rPr>
            </w:pPr>
          </w:p>
        </w:tc>
        <w:tc>
          <w:tcPr>
            <w:tcW w:w="2380" w:type="dxa"/>
            <w:noWrap/>
            <w:vAlign w:val="center"/>
          </w:tcPr>
          <w:p w14:paraId="72D5D96B">
            <w:pPr>
              <w:jc w:val="center"/>
              <w:rPr>
                <w:rFonts w:ascii="仿宋" w:hAnsi="仿宋" w:eastAsia="仿宋" w:cs="仿宋"/>
                <w:color w:val="auto"/>
                <w:sz w:val="24"/>
                <w:highlight w:val="none"/>
                <w:lang w:val="zh-CN"/>
              </w:rPr>
            </w:pPr>
            <w:r>
              <w:rPr>
                <w:rFonts w:hint="eastAsia" w:ascii="仿宋" w:hAnsi="仿宋" w:eastAsia="仿宋" w:cs="仿宋"/>
                <w:color w:val="auto"/>
                <w:sz w:val="24"/>
                <w:highlight w:val="none"/>
              </w:rPr>
              <w:t>响应文件有效期</w:t>
            </w:r>
          </w:p>
        </w:tc>
        <w:tc>
          <w:tcPr>
            <w:tcW w:w="5024" w:type="dxa"/>
            <w:noWrap/>
            <w:vAlign w:val="center"/>
          </w:tcPr>
          <w:p w14:paraId="0A77FCB8">
            <w:pPr>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符合第二章第３．３．１项规定</w:t>
            </w:r>
          </w:p>
        </w:tc>
      </w:tr>
      <w:tr w14:paraId="28D5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tcPr>
          <w:p w14:paraId="765D3C48">
            <w:pPr>
              <w:autoSpaceDE w:val="0"/>
              <w:autoSpaceDN w:val="0"/>
              <w:spacing w:line="240" w:lineRule="atLeast"/>
              <w:rPr>
                <w:rFonts w:ascii="仿宋" w:hAnsi="仿宋" w:eastAsia="仿宋" w:cs="仿宋"/>
                <w:color w:val="auto"/>
                <w:highlight w:val="none"/>
              </w:rPr>
            </w:pPr>
          </w:p>
        </w:tc>
        <w:tc>
          <w:tcPr>
            <w:tcW w:w="1210" w:type="dxa"/>
            <w:vMerge w:val="continue"/>
            <w:noWrap/>
          </w:tcPr>
          <w:p w14:paraId="2D30B2A7">
            <w:pPr>
              <w:autoSpaceDE w:val="0"/>
              <w:autoSpaceDN w:val="0"/>
              <w:spacing w:line="360" w:lineRule="auto"/>
              <w:ind w:firstLine="480" w:firstLineChars="200"/>
              <w:rPr>
                <w:rFonts w:ascii="仿宋" w:hAnsi="仿宋" w:eastAsia="仿宋" w:cs="仿宋"/>
                <w:color w:val="auto"/>
                <w:kern w:val="0"/>
                <w:sz w:val="24"/>
                <w:highlight w:val="none"/>
                <w:lang w:val="zh-CN"/>
              </w:rPr>
            </w:pPr>
          </w:p>
        </w:tc>
        <w:tc>
          <w:tcPr>
            <w:tcW w:w="2380" w:type="dxa"/>
            <w:noWrap/>
            <w:vAlign w:val="center"/>
          </w:tcPr>
          <w:p w14:paraId="213BCA88">
            <w:pPr>
              <w:jc w:val="center"/>
              <w:rPr>
                <w:rFonts w:ascii="仿宋" w:hAnsi="仿宋" w:eastAsia="仿宋" w:cs="仿宋"/>
                <w:color w:val="auto"/>
                <w:sz w:val="24"/>
                <w:highlight w:val="none"/>
                <w:lang w:val="zh-CN"/>
              </w:rPr>
            </w:pPr>
            <w:r>
              <w:rPr>
                <w:rFonts w:hint="eastAsia" w:ascii="仿宋" w:hAnsi="仿宋" w:eastAsia="仿宋" w:cs="仿宋"/>
                <w:color w:val="auto"/>
                <w:sz w:val="24"/>
                <w:highlight w:val="none"/>
              </w:rPr>
              <w:t>服务方案</w:t>
            </w:r>
          </w:p>
        </w:tc>
        <w:tc>
          <w:tcPr>
            <w:tcW w:w="5024" w:type="dxa"/>
            <w:noWrap/>
            <w:vAlign w:val="center"/>
          </w:tcPr>
          <w:p w14:paraId="714B2602">
            <w:pPr>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符合第二章第３．６款规定</w:t>
            </w:r>
          </w:p>
        </w:tc>
      </w:tr>
      <w:tr w14:paraId="4FE6C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4" w:type="dxa"/>
            <w:vMerge w:val="continue"/>
            <w:noWrap/>
          </w:tcPr>
          <w:p w14:paraId="61CC6706">
            <w:pPr>
              <w:autoSpaceDE w:val="0"/>
              <w:autoSpaceDN w:val="0"/>
              <w:spacing w:line="240" w:lineRule="atLeast"/>
              <w:rPr>
                <w:rFonts w:ascii="仿宋" w:hAnsi="仿宋" w:eastAsia="仿宋" w:cs="仿宋"/>
                <w:color w:val="auto"/>
                <w:highlight w:val="none"/>
              </w:rPr>
            </w:pPr>
          </w:p>
        </w:tc>
        <w:tc>
          <w:tcPr>
            <w:tcW w:w="1210" w:type="dxa"/>
            <w:vMerge w:val="continue"/>
            <w:noWrap/>
          </w:tcPr>
          <w:p w14:paraId="7956FFDB">
            <w:pPr>
              <w:autoSpaceDE w:val="0"/>
              <w:autoSpaceDN w:val="0"/>
              <w:spacing w:line="360" w:lineRule="auto"/>
              <w:ind w:firstLine="480" w:firstLineChars="200"/>
              <w:rPr>
                <w:rFonts w:ascii="仿宋" w:hAnsi="仿宋" w:eastAsia="仿宋" w:cs="仿宋"/>
                <w:color w:val="auto"/>
                <w:kern w:val="0"/>
                <w:sz w:val="24"/>
                <w:highlight w:val="none"/>
                <w:lang w:val="zh-CN"/>
              </w:rPr>
            </w:pPr>
          </w:p>
        </w:tc>
        <w:tc>
          <w:tcPr>
            <w:tcW w:w="2380" w:type="dxa"/>
            <w:noWrap/>
            <w:vAlign w:val="center"/>
          </w:tcPr>
          <w:p w14:paraId="122AA433">
            <w:pPr>
              <w:jc w:val="center"/>
              <w:rPr>
                <w:rFonts w:ascii="仿宋" w:hAnsi="仿宋" w:eastAsia="仿宋" w:cs="仿宋"/>
                <w:color w:val="auto"/>
                <w:sz w:val="24"/>
                <w:highlight w:val="none"/>
              </w:rPr>
            </w:pPr>
            <w:r>
              <w:rPr>
                <w:rFonts w:hint="eastAsia" w:ascii="仿宋" w:hAnsi="仿宋" w:eastAsia="仿宋" w:cs="仿宋"/>
                <w:color w:val="auto"/>
                <w:sz w:val="24"/>
                <w:highlight w:val="none"/>
              </w:rPr>
              <w:t>质量标准</w:t>
            </w:r>
          </w:p>
        </w:tc>
        <w:tc>
          <w:tcPr>
            <w:tcW w:w="5024" w:type="dxa"/>
            <w:noWrap/>
            <w:vAlign w:val="center"/>
          </w:tcPr>
          <w:p w14:paraId="290EF3EB">
            <w:pPr>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符合第一章第２条规定</w:t>
            </w:r>
          </w:p>
        </w:tc>
      </w:tr>
      <w:tr w14:paraId="4D420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4" w:type="dxa"/>
            <w:vMerge w:val="continue"/>
            <w:noWrap/>
          </w:tcPr>
          <w:p w14:paraId="6B1339CE">
            <w:pPr>
              <w:autoSpaceDE w:val="0"/>
              <w:autoSpaceDN w:val="0"/>
              <w:spacing w:line="240" w:lineRule="atLeast"/>
              <w:rPr>
                <w:rFonts w:ascii="仿宋" w:hAnsi="仿宋" w:eastAsia="仿宋" w:cs="仿宋"/>
                <w:color w:val="auto"/>
                <w:highlight w:val="none"/>
              </w:rPr>
            </w:pPr>
          </w:p>
        </w:tc>
        <w:tc>
          <w:tcPr>
            <w:tcW w:w="1210" w:type="dxa"/>
            <w:vMerge w:val="continue"/>
            <w:noWrap/>
          </w:tcPr>
          <w:p w14:paraId="39D5674D">
            <w:pPr>
              <w:autoSpaceDE w:val="0"/>
              <w:autoSpaceDN w:val="0"/>
              <w:spacing w:line="360" w:lineRule="auto"/>
              <w:ind w:firstLine="480" w:firstLineChars="200"/>
              <w:rPr>
                <w:rFonts w:ascii="仿宋" w:hAnsi="仿宋" w:eastAsia="仿宋" w:cs="仿宋"/>
                <w:color w:val="auto"/>
                <w:kern w:val="0"/>
                <w:sz w:val="24"/>
                <w:highlight w:val="none"/>
                <w:lang w:val="zh-CN"/>
              </w:rPr>
            </w:pPr>
          </w:p>
        </w:tc>
        <w:tc>
          <w:tcPr>
            <w:tcW w:w="2380" w:type="dxa"/>
            <w:noWrap/>
            <w:vAlign w:val="center"/>
          </w:tcPr>
          <w:p w14:paraId="2ED353D0">
            <w:pPr>
              <w:jc w:val="center"/>
              <w:rPr>
                <w:rFonts w:ascii="仿宋" w:hAnsi="仿宋" w:eastAsia="仿宋" w:cs="仿宋"/>
                <w:color w:val="auto"/>
                <w:sz w:val="24"/>
                <w:highlight w:val="none"/>
                <w:lang w:val="zh-CN"/>
              </w:rPr>
            </w:pPr>
            <w:r>
              <w:rPr>
                <w:rFonts w:hint="eastAsia" w:ascii="仿宋" w:hAnsi="仿宋" w:eastAsia="仿宋" w:cs="仿宋"/>
                <w:color w:val="auto"/>
                <w:sz w:val="24"/>
                <w:highlight w:val="none"/>
              </w:rPr>
              <w:t>服务期限</w:t>
            </w:r>
          </w:p>
        </w:tc>
        <w:tc>
          <w:tcPr>
            <w:tcW w:w="5024" w:type="dxa"/>
            <w:noWrap/>
            <w:vAlign w:val="center"/>
          </w:tcPr>
          <w:p w14:paraId="0B345CB2">
            <w:pPr>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符合第一章第２条规定</w:t>
            </w:r>
          </w:p>
        </w:tc>
      </w:tr>
      <w:tr w14:paraId="48A1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4" w:type="dxa"/>
            <w:vMerge w:val="continue"/>
            <w:noWrap/>
          </w:tcPr>
          <w:p w14:paraId="21C1A3E2">
            <w:pPr>
              <w:autoSpaceDE w:val="0"/>
              <w:autoSpaceDN w:val="0"/>
              <w:spacing w:line="240" w:lineRule="atLeast"/>
              <w:rPr>
                <w:rFonts w:ascii="仿宋" w:hAnsi="仿宋" w:eastAsia="仿宋" w:cs="仿宋"/>
                <w:color w:val="auto"/>
                <w:highlight w:val="none"/>
              </w:rPr>
            </w:pPr>
          </w:p>
          <w:p w14:paraId="1F4D4ADE">
            <w:pPr>
              <w:pStyle w:val="28"/>
              <w:ind w:firstLine="210"/>
              <w:rPr>
                <w:rFonts w:ascii="仿宋" w:hAnsi="仿宋" w:eastAsia="仿宋" w:cs="仿宋"/>
                <w:color w:val="auto"/>
                <w:highlight w:val="none"/>
              </w:rPr>
            </w:pPr>
          </w:p>
        </w:tc>
        <w:tc>
          <w:tcPr>
            <w:tcW w:w="1210" w:type="dxa"/>
            <w:vMerge w:val="continue"/>
            <w:noWrap/>
          </w:tcPr>
          <w:p w14:paraId="5D471526">
            <w:pPr>
              <w:autoSpaceDE w:val="0"/>
              <w:autoSpaceDN w:val="0"/>
              <w:spacing w:line="360" w:lineRule="auto"/>
              <w:ind w:firstLine="480" w:firstLineChars="200"/>
              <w:rPr>
                <w:rFonts w:ascii="仿宋" w:hAnsi="仿宋" w:eastAsia="仿宋" w:cs="仿宋"/>
                <w:color w:val="auto"/>
                <w:kern w:val="0"/>
                <w:sz w:val="24"/>
                <w:highlight w:val="none"/>
                <w:lang w:val="zh-CN"/>
              </w:rPr>
            </w:pPr>
          </w:p>
        </w:tc>
        <w:tc>
          <w:tcPr>
            <w:tcW w:w="2380" w:type="dxa"/>
            <w:noWrap/>
            <w:vAlign w:val="center"/>
          </w:tcPr>
          <w:p w14:paraId="35BCA135">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合同条款</w:t>
            </w:r>
          </w:p>
        </w:tc>
        <w:tc>
          <w:tcPr>
            <w:tcW w:w="5024" w:type="dxa"/>
            <w:noWrap/>
            <w:vAlign w:val="center"/>
          </w:tcPr>
          <w:p w14:paraId="37FDFC74">
            <w:pPr>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符合第二章第１．１０．１项规定</w:t>
            </w:r>
          </w:p>
        </w:tc>
      </w:tr>
      <w:tr w14:paraId="33E7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4" w:type="dxa"/>
            <w:vMerge w:val="continue"/>
            <w:noWrap/>
          </w:tcPr>
          <w:p w14:paraId="0EA5C4D4">
            <w:pPr>
              <w:autoSpaceDE w:val="0"/>
              <w:autoSpaceDN w:val="0"/>
              <w:spacing w:line="240" w:lineRule="atLeast"/>
              <w:rPr>
                <w:rFonts w:ascii="仿宋" w:hAnsi="仿宋" w:eastAsia="仿宋" w:cs="仿宋"/>
                <w:color w:val="auto"/>
                <w:highlight w:val="none"/>
              </w:rPr>
            </w:pPr>
          </w:p>
        </w:tc>
        <w:tc>
          <w:tcPr>
            <w:tcW w:w="1210" w:type="dxa"/>
            <w:vMerge w:val="continue"/>
            <w:noWrap/>
          </w:tcPr>
          <w:p w14:paraId="469EADDC">
            <w:pPr>
              <w:autoSpaceDE w:val="0"/>
              <w:autoSpaceDN w:val="0"/>
              <w:spacing w:line="360" w:lineRule="auto"/>
              <w:ind w:firstLine="480" w:firstLineChars="200"/>
              <w:rPr>
                <w:rFonts w:ascii="仿宋" w:hAnsi="仿宋" w:eastAsia="仿宋" w:cs="仿宋"/>
                <w:color w:val="auto"/>
                <w:kern w:val="0"/>
                <w:sz w:val="24"/>
                <w:highlight w:val="none"/>
                <w:lang w:val="zh-CN"/>
              </w:rPr>
            </w:pPr>
          </w:p>
        </w:tc>
        <w:tc>
          <w:tcPr>
            <w:tcW w:w="2380" w:type="dxa"/>
            <w:noWrap/>
            <w:vAlign w:val="center"/>
          </w:tcPr>
          <w:p w14:paraId="781D32FF">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对非关键</w:t>
            </w:r>
          </w:p>
          <w:p w14:paraId="55685291">
            <w:pPr>
              <w:jc w:val="center"/>
              <w:rPr>
                <w:rFonts w:ascii="仿宋" w:hAnsi="仿宋" w:eastAsia="仿宋" w:cs="仿宋"/>
                <w:color w:val="auto"/>
                <w:sz w:val="24"/>
                <w:highlight w:val="none"/>
              </w:rPr>
            </w:pPr>
            <w:r>
              <w:rPr>
                <w:rFonts w:hint="eastAsia" w:ascii="仿宋" w:hAnsi="仿宋" w:eastAsia="仿宋" w:cs="仿宋"/>
                <w:color w:val="auto"/>
                <w:sz w:val="24"/>
                <w:highlight w:val="none"/>
              </w:rPr>
              <w:t>条款的偏差</w:t>
            </w:r>
          </w:p>
        </w:tc>
        <w:tc>
          <w:tcPr>
            <w:tcW w:w="5024" w:type="dxa"/>
            <w:noWrap/>
            <w:vAlign w:val="center"/>
          </w:tcPr>
          <w:p w14:paraId="0E36B012">
            <w:pPr>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偏差范围和偏差项数符合第二章１．１０．２项的规定</w:t>
            </w:r>
          </w:p>
        </w:tc>
      </w:tr>
    </w:tbl>
    <w:tbl>
      <w:tblPr>
        <w:tblStyle w:val="31"/>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1"/>
        <w:gridCol w:w="2025"/>
        <w:gridCol w:w="6224"/>
      </w:tblGrid>
      <w:tr w14:paraId="7FEA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191" w:type="dxa"/>
            <w:vAlign w:val="center"/>
          </w:tcPr>
          <w:p w14:paraId="71265E8A">
            <w:pPr>
              <w:rPr>
                <w:rFonts w:ascii="仿宋" w:hAnsi="仿宋" w:eastAsia="仿宋" w:cs="仿宋"/>
                <w:color w:val="auto"/>
                <w:sz w:val="24"/>
                <w:highlight w:val="none"/>
              </w:rPr>
            </w:pPr>
            <w:r>
              <w:rPr>
                <w:rFonts w:hint="eastAsia" w:ascii="仿宋" w:hAnsi="仿宋" w:eastAsia="仿宋" w:cs="仿宋"/>
                <w:b/>
                <w:bCs/>
                <w:color w:val="auto"/>
                <w:sz w:val="28"/>
                <w:szCs w:val="28"/>
                <w:highlight w:val="none"/>
              </w:rPr>
              <w:br w:type="page"/>
            </w:r>
            <w:r>
              <w:rPr>
                <w:rFonts w:hint="eastAsia" w:ascii="仿宋" w:hAnsi="仿宋" w:eastAsia="仿宋" w:cs="仿宋"/>
                <w:color w:val="auto"/>
                <w:sz w:val="24"/>
                <w:highlight w:val="none"/>
              </w:rPr>
              <w:t>条款号</w:t>
            </w:r>
          </w:p>
        </w:tc>
        <w:tc>
          <w:tcPr>
            <w:tcW w:w="2025" w:type="dxa"/>
            <w:vAlign w:val="center"/>
          </w:tcPr>
          <w:p w14:paraId="3ED5F4E6">
            <w:pPr>
              <w:jc w:val="center"/>
              <w:rPr>
                <w:rFonts w:ascii="仿宋" w:hAnsi="仿宋" w:eastAsia="仿宋" w:cs="仿宋"/>
                <w:color w:val="auto"/>
                <w:sz w:val="24"/>
                <w:highlight w:val="none"/>
              </w:rPr>
            </w:pPr>
            <w:r>
              <w:rPr>
                <w:rFonts w:hint="eastAsia" w:ascii="仿宋" w:hAnsi="仿宋" w:eastAsia="仿宋" w:cs="仿宋"/>
                <w:color w:val="auto"/>
                <w:sz w:val="24"/>
                <w:highlight w:val="none"/>
              </w:rPr>
              <w:t>条款价格</w:t>
            </w:r>
          </w:p>
        </w:tc>
        <w:tc>
          <w:tcPr>
            <w:tcW w:w="6224" w:type="dxa"/>
            <w:vAlign w:val="center"/>
          </w:tcPr>
          <w:p w14:paraId="3D3ADAD8">
            <w:pPr>
              <w:jc w:val="left"/>
              <w:rPr>
                <w:rFonts w:ascii="仿宋" w:hAnsi="仿宋" w:eastAsia="仿宋" w:cs="仿宋"/>
                <w:color w:val="auto"/>
                <w:sz w:val="24"/>
                <w:highlight w:val="none"/>
              </w:rPr>
            </w:pPr>
            <w:r>
              <w:rPr>
                <w:rFonts w:hint="eastAsia" w:ascii="仿宋" w:hAnsi="仿宋" w:eastAsia="仿宋" w:cs="仿宋"/>
                <w:color w:val="auto"/>
                <w:sz w:val="24"/>
                <w:highlight w:val="none"/>
              </w:rPr>
              <w:t>编制内容</w:t>
            </w:r>
          </w:p>
        </w:tc>
      </w:tr>
      <w:tr w14:paraId="2759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191" w:type="dxa"/>
            <w:vAlign w:val="center"/>
          </w:tcPr>
          <w:p w14:paraId="3E7E5A1F">
            <w:pPr>
              <w:jc w:val="center"/>
              <w:rPr>
                <w:rFonts w:ascii="仿宋" w:hAnsi="仿宋" w:eastAsia="仿宋" w:cs="仿宋"/>
                <w:color w:val="auto"/>
                <w:sz w:val="24"/>
                <w:highlight w:val="none"/>
              </w:rPr>
            </w:pPr>
            <w:bookmarkStart w:id="71" w:name="_Toc515347684"/>
            <w:bookmarkStart w:id="72" w:name="_Toc513070525"/>
            <w:bookmarkStart w:id="73" w:name="_Toc397"/>
            <w:bookmarkStart w:id="74" w:name="_Toc7162866"/>
            <w:bookmarkStart w:id="75" w:name="_Toc515347583"/>
            <w:bookmarkStart w:id="76" w:name="_Toc533155544"/>
            <w:bookmarkStart w:id="77" w:name="_Toc450489347"/>
            <w:bookmarkStart w:id="78" w:name="_Toc11824"/>
            <w:r>
              <w:rPr>
                <w:rFonts w:hint="eastAsia" w:ascii="仿宋" w:hAnsi="仿宋" w:eastAsia="仿宋" w:cs="仿宋"/>
                <w:color w:val="auto"/>
                <w:sz w:val="24"/>
                <w:highlight w:val="none"/>
              </w:rPr>
              <w:t>2.2.1</w:t>
            </w:r>
          </w:p>
        </w:tc>
        <w:tc>
          <w:tcPr>
            <w:tcW w:w="2025" w:type="dxa"/>
            <w:vAlign w:val="center"/>
          </w:tcPr>
          <w:p w14:paraId="310F1335">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分值构成</w:t>
            </w:r>
          </w:p>
          <w:p w14:paraId="5DCF4D6E">
            <w:pPr>
              <w:jc w:val="center"/>
              <w:rPr>
                <w:rFonts w:ascii="仿宋" w:hAnsi="仿宋" w:eastAsia="仿宋" w:cs="仿宋"/>
                <w:color w:val="auto"/>
                <w:sz w:val="24"/>
                <w:highlight w:val="none"/>
              </w:rPr>
            </w:pPr>
            <w:r>
              <w:rPr>
                <w:rFonts w:hint="eastAsia" w:ascii="仿宋" w:hAnsi="仿宋" w:eastAsia="仿宋" w:cs="仿宋"/>
                <w:color w:val="auto"/>
                <w:sz w:val="24"/>
                <w:highlight w:val="none"/>
              </w:rPr>
              <w:t>(总分100 分)</w:t>
            </w:r>
          </w:p>
        </w:tc>
        <w:tc>
          <w:tcPr>
            <w:tcW w:w="6224" w:type="dxa"/>
            <w:vAlign w:val="center"/>
          </w:tcPr>
          <w:p w14:paraId="498AED7B">
            <w:pPr>
              <w:jc w:val="left"/>
              <w:rPr>
                <w:rFonts w:ascii="仿宋" w:hAnsi="仿宋" w:eastAsia="仿宋" w:cs="仿宋"/>
                <w:color w:val="auto"/>
                <w:sz w:val="24"/>
                <w:highlight w:val="none"/>
              </w:rPr>
            </w:pPr>
            <w:r>
              <w:rPr>
                <w:rFonts w:hint="eastAsia" w:ascii="仿宋" w:hAnsi="仿宋" w:eastAsia="仿宋" w:cs="仿宋"/>
                <w:color w:val="auto"/>
                <w:sz w:val="24"/>
                <w:highlight w:val="none"/>
              </w:rPr>
              <w:t>一、商务评价：</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9分</w:t>
            </w:r>
          </w:p>
          <w:p w14:paraId="2A872E06">
            <w:pPr>
              <w:jc w:val="left"/>
              <w:rPr>
                <w:rFonts w:ascii="仿宋" w:hAnsi="仿宋" w:eastAsia="仿宋" w:cs="仿宋"/>
                <w:color w:val="auto"/>
                <w:sz w:val="24"/>
                <w:highlight w:val="none"/>
              </w:rPr>
            </w:pPr>
            <w:r>
              <w:rPr>
                <w:rFonts w:hint="eastAsia" w:ascii="仿宋" w:hAnsi="仿宋" w:eastAsia="仿宋" w:cs="仿宋"/>
                <w:color w:val="auto"/>
                <w:sz w:val="24"/>
                <w:highlight w:val="none"/>
              </w:rPr>
              <w:t>二、技术评分标准：71分</w:t>
            </w:r>
          </w:p>
          <w:p w14:paraId="57ADD3FC">
            <w:pPr>
              <w:jc w:val="left"/>
              <w:rPr>
                <w:rFonts w:ascii="仿宋" w:hAnsi="仿宋" w:eastAsia="仿宋" w:cs="仿宋"/>
                <w:color w:val="auto"/>
                <w:sz w:val="24"/>
                <w:highlight w:val="none"/>
              </w:rPr>
            </w:pPr>
            <w:r>
              <w:rPr>
                <w:rFonts w:hint="eastAsia" w:ascii="仿宋" w:hAnsi="仿宋" w:eastAsia="仿宋" w:cs="仿宋"/>
                <w:color w:val="auto"/>
                <w:sz w:val="24"/>
                <w:highlight w:val="none"/>
              </w:rPr>
              <w:t>三、报价分：10分</w:t>
            </w:r>
          </w:p>
        </w:tc>
      </w:tr>
      <w:bookmarkEnd w:id="71"/>
      <w:bookmarkEnd w:id="72"/>
      <w:bookmarkEnd w:id="73"/>
      <w:bookmarkEnd w:id="74"/>
      <w:bookmarkEnd w:id="75"/>
      <w:bookmarkEnd w:id="76"/>
      <w:bookmarkEnd w:id="77"/>
      <w:bookmarkEnd w:id="78"/>
    </w:tbl>
    <w:tbl>
      <w:tblPr>
        <w:tblStyle w:val="105"/>
        <w:tblW w:w="948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6"/>
        <w:gridCol w:w="1026"/>
        <w:gridCol w:w="943"/>
        <w:gridCol w:w="6272"/>
      </w:tblGrid>
      <w:tr w14:paraId="2E2FF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1246" w:type="dxa"/>
            <w:vAlign w:val="center"/>
          </w:tcPr>
          <w:p w14:paraId="6DC0C912">
            <w:pPr>
              <w:jc w:val="center"/>
              <w:rPr>
                <w:rFonts w:ascii="仿宋" w:hAnsi="仿宋" w:eastAsia="仿宋" w:cs="仿宋"/>
                <w:color w:val="auto"/>
                <w:sz w:val="24"/>
                <w:highlight w:val="none"/>
              </w:rPr>
            </w:pPr>
            <w:r>
              <w:rPr>
                <w:rFonts w:hint="eastAsia" w:ascii="仿宋" w:hAnsi="仿宋" w:eastAsia="仿宋" w:cs="仿宋"/>
                <w:color w:val="auto"/>
                <w:sz w:val="24"/>
                <w:highlight w:val="none"/>
              </w:rPr>
              <w:t>评审项目</w:t>
            </w:r>
          </w:p>
        </w:tc>
        <w:tc>
          <w:tcPr>
            <w:tcW w:w="1026" w:type="dxa"/>
            <w:vAlign w:val="center"/>
          </w:tcPr>
          <w:p w14:paraId="33ABCEB3">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内容</w:t>
            </w:r>
          </w:p>
        </w:tc>
        <w:tc>
          <w:tcPr>
            <w:tcW w:w="943" w:type="dxa"/>
            <w:vAlign w:val="center"/>
          </w:tcPr>
          <w:p w14:paraId="3CC4637E">
            <w:pPr>
              <w:jc w:val="center"/>
              <w:rPr>
                <w:rFonts w:ascii="仿宋" w:hAnsi="仿宋" w:eastAsia="仿宋" w:cs="仿宋"/>
                <w:color w:val="auto"/>
                <w:sz w:val="24"/>
                <w:highlight w:val="none"/>
              </w:rPr>
            </w:pPr>
            <w:r>
              <w:rPr>
                <w:rFonts w:hint="eastAsia" w:ascii="仿宋" w:hAnsi="仿宋" w:eastAsia="仿宋" w:cs="仿宋"/>
                <w:color w:val="auto"/>
                <w:sz w:val="24"/>
                <w:highlight w:val="none"/>
              </w:rPr>
              <w:t>满分</w:t>
            </w:r>
          </w:p>
          <w:p w14:paraId="114DB2EB">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分值</w:t>
            </w:r>
          </w:p>
        </w:tc>
        <w:tc>
          <w:tcPr>
            <w:tcW w:w="6272" w:type="dxa"/>
            <w:vAlign w:val="center"/>
          </w:tcPr>
          <w:p w14:paraId="5BF7E5E2">
            <w:pPr>
              <w:jc w:val="center"/>
              <w:rPr>
                <w:rFonts w:ascii="仿宋" w:hAnsi="仿宋" w:eastAsia="仿宋" w:cs="仿宋"/>
                <w:color w:val="auto"/>
                <w:sz w:val="24"/>
                <w:highlight w:val="none"/>
              </w:rPr>
            </w:pPr>
            <w:r>
              <w:rPr>
                <w:rFonts w:hint="eastAsia" w:ascii="仿宋" w:hAnsi="仿宋" w:eastAsia="仿宋" w:cs="仿宋"/>
                <w:color w:val="auto"/>
                <w:sz w:val="24"/>
                <w:highlight w:val="none"/>
              </w:rPr>
              <w:t>评审标准</w:t>
            </w:r>
          </w:p>
        </w:tc>
      </w:tr>
      <w:tr w14:paraId="2FDB7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7" w:hRule="atLeast"/>
          <w:jc w:val="center"/>
        </w:trPr>
        <w:tc>
          <w:tcPr>
            <w:tcW w:w="1246" w:type="dxa"/>
            <w:vAlign w:val="center"/>
          </w:tcPr>
          <w:p w14:paraId="332DD710">
            <w:pPr>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报价分</w:t>
            </w:r>
          </w:p>
        </w:tc>
        <w:tc>
          <w:tcPr>
            <w:tcW w:w="1026" w:type="dxa"/>
            <w:tcBorders>
              <w:bottom w:val="single" w:color="auto" w:sz="4" w:space="0"/>
            </w:tcBorders>
            <w:vAlign w:val="center"/>
          </w:tcPr>
          <w:p w14:paraId="7C0B78A1">
            <w:pPr>
              <w:jc w:val="center"/>
              <w:rPr>
                <w:rFonts w:ascii="仿宋" w:hAnsi="仿宋" w:eastAsia="仿宋" w:cs="仿宋"/>
                <w:color w:val="auto"/>
                <w:sz w:val="24"/>
                <w:highlight w:val="none"/>
                <w:lang w:eastAsia="en-US"/>
              </w:rPr>
            </w:pPr>
            <w:r>
              <w:rPr>
                <w:rFonts w:hint="eastAsia" w:ascii="仿宋" w:hAnsi="仿宋" w:eastAsia="仿宋" w:cs="仿宋"/>
                <w:color w:val="auto"/>
                <w:sz w:val="24"/>
                <w:highlight w:val="none"/>
                <w:lang w:eastAsia="en-US"/>
              </w:rPr>
              <w:t>报价分</w:t>
            </w:r>
          </w:p>
        </w:tc>
        <w:tc>
          <w:tcPr>
            <w:tcW w:w="943" w:type="dxa"/>
            <w:vAlign w:val="center"/>
          </w:tcPr>
          <w:p w14:paraId="185C1492">
            <w:pPr>
              <w:jc w:val="center"/>
              <w:rPr>
                <w:rFonts w:ascii="仿宋" w:hAnsi="仿宋" w:eastAsia="仿宋" w:cs="仿宋"/>
                <w:color w:val="auto"/>
                <w:sz w:val="24"/>
                <w:highlight w:val="none"/>
              </w:rPr>
            </w:pPr>
            <w:r>
              <w:rPr>
                <w:rFonts w:hint="eastAsia" w:ascii="仿宋" w:hAnsi="仿宋" w:eastAsia="仿宋" w:cs="仿宋"/>
                <w:color w:val="auto"/>
                <w:sz w:val="24"/>
                <w:highlight w:val="none"/>
              </w:rPr>
              <w:t>10</w:t>
            </w:r>
          </w:p>
        </w:tc>
        <w:tc>
          <w:tcPr>
            <w:tcW w:w="6272" w:type="dxa"/>
          </w:tcPr>
          <w:p w14:paraId="73706623">
            <w:pPr>
              <w:jc w:val="left"/>
              <w:rPr>
                <w:rFonts w:ascii="仿宋" w:hAnsi="仿宋" w:eastAsia="仿宋" w:cs="仿宋"/>
                <w:color w:val="auto"/>
                <w:sz w:val="24"/>
                <w:highlight w:val="none"/>
              </w:rPr>
            </w:pPr>
            <w:r>
              <w:rPr>
                <w:rFonts w:hint="eastAsia" w:ascii="仿宋" w:hAnsi="仿宋" w:eastAsia="仿宋" w:cs="仿宋"/>
                <w:color w:val="auto"/>
                <w:sz w:val="24"/>
                <w:highlight w:val="none"/>
              </w:rPr>
              <w:t>价格分统一采用低价优先法计算，即满足询比文件要求且报价价格最低的报价为评标基准价，其价格分为满分。其他供应商的价格分统一按照下列公式计算：报价得分=(评标基准价／报价)×价格权值×100计算分数时四舍五入取小数点后两位。</w:t>
            </w:r>
          </w:p>
        </w:tc>
      </w:tr>
      <w:tr w14:paraId="47D68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jc w:val="center"/>
        </w:trPr>
        <w:tc>
          <w:tcPr>
            <w:tcW w:w="1246" w:type="dxa"/>
            <w:vMerge w:val="restart"/>
            <w:vAlign w:val="center"/>
          </w:tcPr>
          <w:p w14:paraId="7F12F10E">
            <w:pPr>
              <w:jc w:val="center"/>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商务</w:t>
            </w:r>
          </w:p>
          <w:p w14:paraId="3FE99BC8">
            <w:pPr>
              <w:jc w:val="center"/>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评价</w:t>
            </w:r>
          </w:p>
          <w:p w14:paraId="01F17DF0">
            <w:pPr>
              <w:jc w:val="center"/>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19</w:t>
            </w:r>
            <w:r>
              <w:rPr>
                <w:rFonts w:hint="eastAsia" w:ascii="仿宋" w:hAnsi="仿宋" w:eastAsia="仿宋" w:cs="仿宋"/>
                <w:color w:val="auto"/>
                <w:sz w:val="24"/>
                <w:highlight w:val="none"/>
                <w:lang w:val="zh-CN"/>
              </w:rPr>
              <w:t>分</w:t>
            </w:r>
          </w:p>
        </w:tc>
        <w:tc>
          <w:tcPr>
            <w:tcW w:w="1026" w:type="dxa"/>
            <w:tcBorders>
              <w:bottom w:val="single" w:color="auto" w:sz="4" w:space="0"/>
            </w:tcBorders>
            <w:vAlign w:val="center"/>
          </w:tcPr>
          <w:p w14:paraId="0F5B5239">
            <w:pPr>
              <w:jc w:val="center"/>
              <w:rPr>
                <w:rFonts w:ascii="仿宋" w:hAnsi="仿宋" w:eastAsia="仿宋" w:cs="仿宋"/>
                <w:color w:val="auto"/>
                <w:sz w:val="24"/>
                <w:highlight w:val="none"/>
                <w:lang w:eastAsia="en-US"/>
              </w:rPr>
            </w:pPr>
            <w:r>
              <w:rPr>
                <w:rFonts w:hint="eastAsia" w:ascii="仿宋" w:hAnsi="仿宋" w:eastAsia="仿宋" w:cs="仿宋"/>
                <w:color w:val="auto"/>
                <w:sz w:val="24"/>
                <w:highlight w:val="none"/>
                <w:lang w:val="zh-CN" w:eastAsia="en-US"/>
              </w:rPr>
              <w:t>业绩</w:t>
            </w:r>
          </w:p>
        </w:tc>
        <w:tc>
          <w:tcPr>
            <w:tcW w:w="943" w:type="dxa"/>
            <w:vAlign w:val="center"/>
          </w:tcPr>
          <w:p w14:paraId="1B31F20A">
            <w:pPr>
              <w:jc w:val="center"/>
              <w:rPr>
                <w:rFonts w:ascii="仿宋" w:hAnsi="仿宋" w:eastAsia="仿宋" w:cs="仿宋"/>
                <w:color w:val="auto"/>
                <w:sz w:val="24"/>
                <w:highlight w:val="none"/>
              </w:rPr>
            </w:pPr>
            <w:r>
              <w:rPr>
                <w:rFonts w:hint="eastAsia" w:ascii="仿宋" w:hAnsi="仿宋" w:eastAsia="仿宋" w:cs="仿宋"/>
                <w:color w:val="auto"/>
                <w:sz w:val="24"/>
                <w:highlight w:val="none"/>
              </w:rPr>
              <w:t>10</w:t>
            </w:r>
          </w:p>
        </w:tc>
        <w:tc>
          <w:tcPr>
            <w:tcW w:w="6272" w:type="dxa"/>
            <w:vAlign w:val="center"/>
          </w:tcPr>
          <w:p w14:paraId="3EBA1782">
            <w:pPr>
              <w:jc w:val="left"/>
              <w:rPr>
                <w:rFonts w:ascii="仿宋" w:hAnsi="仿宋" w:eastAsia="仿宋" w:cs="仿宋"/>
                <w:color w:val="auto"/>
                <w:sz w:val="24"/>
                <w:highlight w:val="none"/>
              </w:rPr>
            </w:pPr>
            <w:r>
              <w:rPr>
                <w:rFonts w:hint="eastAsia" w:ascii="仿宋" w:hAnsi="仿宋" w:eastAsia="仿宋" w:cs="仿宋"/>
                <w:color w:val="auto"/>
                <w:sz w:val="24"/>
                <w:highlight w:val="none"/>
                <w:lang w:val="zh-CN"/>
              </w:rPr>
              <w:t>供应商</w:t>
            </w:r>
            <w:r>
              <w:rPr>
                <w:rFonts w:hint="eastAsia" w:ascii="仿宋" w:hAnsi="仿宋" w:eastAsia="仿宋" w:cs="仿宋"/>
                <w:color w:val="auto"/>
                <w:sz w:val="24"/>
                <w:highlight w:val="none"/>
              </w:rPr>
              <w:t>2023</w:t>
            </w:r>
            <w:r>
              <w:rPr>
                <w:rFonts w:hint="eastAsia" w:ascii="仿宋" w:hAnsi="仿宋" w:eastAsia="仿宋" w:cs="仿宋"/>
                <w:color w:val="auto"/>
                <w:sz w:val="24"/>
                <w:highlight w:val="none"/>
                <w:lang w:val="zh-CN"/>
              </w:rPr>
              <w:t>年1月1日至投标截止之日每</w:t>
            </w:r>
            <w:r>
              <w:rPr>
                <w:rFonts w:hint="eastAsia" w:ascii="仿宋" w:hAnsi="仿宋" w:eastAsia="仿宋" w:cs="仿宋"/>
                <w:color w:val="auto"/>
                <w:sz w:val="24"/>
                <w:highlight w:val="none"/>
              </w:rPr>
              <w:t>完成过一个类</w:t>
            </w:r>
            <w:r>
              <w:rPr>
                <w:rFonts w:hint="eastAsia" w:ascii="仿宋" w:hAnsi="仿宋" w:eastAsia="仿宋" w:cs="仿宋"/>
                <w:color w:val="auto"/>
                <w:sz w:val="24"/>
                <w:highlight w:val="none"/>
                <w:lang w:val="zh-CN"/>
              </w:rPr>
              <w:t>似</w:t>
            </w:r>
            <w:r>
              <w:rPr>
                <w:rFonts w:hint="eastAsia" w:ascii="仿宋" w:hAnsi="仿宋" w:eastAsia="仿宋" w:cs="仿宋"/>
                <w:color w:val="auto"/>
                <w:sz w:val="24"/>
                <w:highlight w:val="none"/>
              </w:rPr>
              <w:t>业绩</w:t>
            </w:r>
            <w:r>
              <w:rPr>
                <w:rFonts w:hint="eastAsia" w:ascii="仿宋" w:hAnsi="仿宋" w:eastAsia="仿宋" w:cs="仿宋"/>
                <w:color w:val="auto"/>
                <w:sz w:val="24"/>
                <w:highlight w:val="none"/>
                <w:lang w:val="zh-CN"/>
              </w:rPr>
              <w:t>的得</w:t>
            </w: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zh-CN"/>
              </w:rPr>
              <w:t>分,满分</w:t>
            </w:r>
            <w:r>
              <w:rPr>
                <w:rFonts w:hint="eastAsia" w:ascii="仿宋" w:hAnsi="仿宋" w:eastAsia="仿宋" w:cs="仿宋"/>
                <w:color w:val="auto"/>
                <w:sz w:val="24"/>
                <w:highlight w:val="none"/>
              </w:rPr>
              <w:t>10</w:t>
            </w:r>
            <w:r>
              <w:rPr>
                <w:rFonts w:hint="eastAsia" w:ascii="仿宋" w:hAnsi="仿宋" w:eastAsia="仿宋" w:cs="仿宋"/>
                <w:color w:val="auto"/>
                <w:sz w:val="24"/>
                <w:highlight w:val="none"/>
                <w:lang w:val="zh-CN"/>
              </w:rPr>
              <w:t>分。（须提供中标通知书或合同复印件（需提供包含合同首页、标的及金额所在页、签字盖章页的合同复印（</w:t>
            </w:r>
            <w:r>
              <w:rPr>
                <w:rFonts w:hint="eastAsia" w:ascii="仿宋" w:hAnsi="仿宋" w:eastAsia="仿宋" w:cs="仿宋"/>
                <w:color w:val="auto"/>
                <w:sz w:val="24"/>
                <w:highlight w:val="none"/>
              </w:rPr>
              <w:t>扫描</w:t>
            </w:r>
            <w:r>
              <w:rPr>
                <w:rFonts w:hint="eastAsia" w:ascii="仿宋" w:hAnsi="仿宋" w:eastAsia="仿宋" w:cs="仿宋"/>
                <w:color w:val="auto"/>
                <w:sz w:val="24"/>
                <w:highlight w:val="none"/>
                <w:lang w:val="zh-CN"/>
              </w:rPr>
              <w:t>）件））</w:t>
            </w:r>
          </w:p>
        </w:tc>
      </w:tr>
      <w:tr w14:paraId="77569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jc w:val="center"/>
        </w:trPr>
        <w:tc>
          <w:tcPr>
            <w:tcW w:w="1246" w:type="dxa"/>
            <w:vMerge w:val="continue"/>
            <w:tcBorders>
              <w:bottom w:val="single" w:color="auto" w:sz="4" w:space="0"/>
            </w:tcBorders>
            <w:vAlign w:val="center"/>
          </w:tcPr>
          <w:p w14:paraId="5F888B4A">
            <w:pPr>
              <w:jc w:val="center"/>
              <w:rPr>
                <w:rFonts w:ascii="仿宋" w:hAnsi="仿宋" w:eastAsia="仿宋" w:cs="仿宋"/>
                <w:color w:val="auto"/>
                <w:sz w:val="24"/>
                <w:highlight w:val="none"/>
              </w:rPr>
            </w:pPr>
          </w:p>
        </w:tc>
        <w:tc>
          <w:tcPr>
            <w:tcW w:w="1026" w:type="dxa"/>
            <w:tcBorders>
              <w:bottom w:val="single" w:color="auto" w:sz="4" w:space="0"/>
            </w:tcBorders>
            <w:vAlign w:val="center"/>
          </w:tcPr>
          <w:p w14:paraId="595E4659">
            <w:pPr>
              <w:jc w:val="center"/>
              <w:rPr>
                <w:rFonts w:ascii="仿宋" w:hAnsi="仿宋" w:eastAsia="仿宋" w:cs="仿宋"/>
                <w:color w:val="auto"/>
                <w:sz w:val="24"/>
                <w:highlight w:val="none"/>
                <w:lang w:val="zh-CN" w:eastAsia="en-US"/>
              </w:rPr>
            </w:pPr>
            <w:r>
              <w:rPr>
                <w:rFonts w:hint="eastAsia" w:ascii="仿宋" w:hAnsi="仿宋" w:eastAsia="仿宋" w:cs="仿宋"/>
                <w:color w:val="auto"/>
                <w:sz w:val="24"/>
                <w:highlight w:val="none"/>
                <w:lang w:val="zh-CN" w:eastAsia="en-US"/>
              </w:rPr>
              <w:t>人员配备</w:t>
            </w:r>
          </w:p>
        </w:tc>
        <w:tc>
          <w:tcPr>
            <w:tcW w:w="943" w:type="dxa"/>
            <w:vAlign w:val="center"/>
          </w:tcPr>
          <w:p w14:paraId="5557EF6A">
            <w:pPr>
              <w:jc w:val="center"/>
              <w:rPr>
                <w:rFonts w:ascii="仿宋" w:hAnsi="仿宋" w:eastAsia="仿宋" w:cs="仿宋"/>
                <w:color w:val="auto"/>
                <w:sz w:val="24"/>
                <w:highlight w:val="none"/>
              </w:rPr>
            </w:pPr>
            <w:r>
              <w:rPr>
                <w:rFonts w:hint="eastAsia" w:ascii="仿宋" w:hAnsi="仿宋" w:eastAsia="仿宋" w:cs="仿宋"/>
                <w:color w:val="auto"/>
                <w:sz w:val="24"/>
                <w:highlight w:val="none"/>
              </w:rPr>
              <w:t>9</w:t>
            </w:r>
          </w:p>
        </w:tc>
        <w:tc>
          <w:tcPr>
            <w:tcW w:w="6272" w:type="dxa"/>
            <w:vAlign w:val="center"/>
          </w:tcPr>
          <w:p w14:paraId="2EBCD59F">
            <w:pPr>
              <w:pStyle w:val="51"/>
              <w:numPr>
                <w:ilvl w:val="0"/>
                <w:numId w:val="0"/>
              </w:numPr>
              <w:ind w:leftChars="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项目负责人需具有一级造价工程师证书（土木建筑工程），同时具有高级职称的得</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分，中级职称的得2分；满分</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分。未提供</w:t>
            </w:r>
            <w:r>
              <w:rPr>
                <w:rFonts w:hint="eastAsia" w:ascii="仿宋" w:hAnsi="仿宋" w:eastAsia="仿宋" w:cs="仿宋"/>
                <w:color w:val="auto"/>
                <w:sz w:val="24"/>
                <w:highlight w:val="none"/>
                <w:lang w:val="en-US" w:eastAsia="zh-CN"/>
              </w:rPr>
              <w:t>或提供不全</w:t>
            </w:r>
            <w:r>
              <w:rPr>
                <w:rFonts w:hint="eastAsia" w:ascii="仿宋" w:hAnsi="仿宋" w:eastAsia="仿宋" w:cs="仿宋"/>
                <w:color w:val="auto"/>
                <w:sz w:val="24"/>
                <w:highlight w:val="none"/>
              </w:rPr>
              <w:t>不得分。（提供证书复印件或扫描件、劳动合同、身份证复印件或扫描件、2026年7月份以来连续3个月社会保险缴纳证明</w:t>
            </w:r>
            <w:r>
              <w:rPr>
                <w:rFonts w:hint="eastAsia" w:ascii="仿宋" w:hAnsi="仿宋" w:eastAsia="仿宋" w:cs="仿宋"/>
                <w:color w:val="auto"/>
                <w:sz w:val="24"/>
                <w:highlight w:val="none"/>
                <w:lang w:val="en-US" w:eastAsia="zh-CN"/>
              </w:rPr>
              <w:t>)。</w:t>
            </w:r>
          </w:p>
          <w:p w14:paraId="182F90B3">
            <w:pPr>
              <w:jc w:val="left"/>
              <w:rPr>
                <w:rFonts w:ascii="仿宋" w:hAnsi="仿宋" w:eastAsia="仿宋" w:cs="仿宋"/>
                <w:color w:val="auto"/>
                <w:sz w:val="24"/>
                <w:highlight w:val="none"/>
              </w:rPr>
            </w:pPr>
            <w:r>
              <w:rPr>
                <w:rFonts w:hint="eastAsia" w:ascii="仿宋" w:hAnsi="仿宋" w:eastAsia="仿宋" w:cs="仿宋"/>
                <w:color w:val="auto"/>
                <w:sz w:val="24"/>
                <w:highlight w:val="none"/>
              </w:rPr>
              <w:t>2、其他专业技术人员（不含项目负责人)，</w:t>
            </w:r>
            <w:r>
              <w:rPr>
                <w:rFonts w:hint="eastAsia" w:ascii="仿宋" w:hAnsi="仿宋" w:eastAsia="仿宋" w:cs="仿宋"/>
                <w:color w:val="auto"/>
                <w:sz w:val="24"/>
                <w:highlight w:val="none"/>
                <w:lang w:val="en-US" w:eastAsia="zh-CN"/>
              </w:rPr>
              <w:t>每提供1个</w:t>
            </w:r>
            <w:r>
              <w:rPr>
                <w:rFonts w:hint="eastAsia" w:ascii="仿宋" w:hAnsi="仿宋" w:eastAsia="仿宋" w:cs="仿宋"/>
                <w:b w:val="0"/>
                <w:bCs w:val="0"/>
                <w:color w:val="auto"/>
                <w:sz w:val="24"/>
                <w:highlight w:val="none"/>
              </w:rPr>
              <w:t>造价工程师证书</w:t>
            </w:r>
            <w:r>
              <w:rPr>
                <w:rFonts w:hint="eastAsia" w:ascii="仿宋" w:hAnsi="仿宋" w:eastAsia="仿宋" w:cs="仿宋"/>
                <w:b w:val="0"/>
                <w:bCs w:val="0"/>
                <w:color w:val="auto"/>
                <w:sz w:val="24"/>
                <w:highlight w:val="none"/>
                <w:lang w:eastAsia="zh-CN"/>
              </w:rPr>
              <w:t>，</w:t>
            </w:r>
            <w:r>
              <w:rPr>
                <w:rFonts w:hint="eastAsia" w:ascii="仿宋" w:hAnsi="仿宋" w:eastAsia="仿宋" w:cs="仿宋"/>
                <w:b w:val="0"/>
                <w:bCs w:val="0"/>
                <w:color w:val="auto"/>
                <w:sz w:val="24"/>
                <w:highlight w:val="none"/>
                <w:lang w:val="en-US" w:eastAsia="zh-CN"/>
              </w:rPr>
              <w:t>得1分</w:t>
            </w:r>
            <w:r>
              <w:rPr>
                <w:rFonts w:hint="eastAsia" w:ascii="仿宋" w:hAnsi="仿宋" w:eastAsia="仿宋" w:cs="仿宋"/>
                <w:b w:val="0"/>
                <w:bCs w:val="0"/>
                <w:color w:val="auto"/>
                <w:sz w:val="24"/>
                <w:highlight w:val="none"/>
              </w:rPr>
              <w:t>,满分</w:t>
            </w:r>
            <w:r>
              <w:rPr>
                <w:rFonts w:hint="eastAsia" w:ascii="仿宋" w:hAnsi="仿宋" w:eastAsia="仿宋" w:cs="仿宋"/>
                <w:b w:val="0"/>
                <w:bCs w:val="0"/>
                <w:color w:val="auto"/>
                <w:sz w:val="24"/>
                <w:highlight w:val="none"/>
                <w:lang w:val="en-US" w:eastAsia="zh-CN"/>
              </w:rPr>
              <w:t>4</w:t>
            </w:r>
            <w:r>
              <w:rPr>
                <w:rFonts w:hint="eastAsia" w:ascii="仿宋" w:hAnsi="仿宋" w:eastAsia="仿宋" w:cs="仿宋"/>
                <w:b w:val="0"/>
                <w:bCs w:val="0"/>
                <w:color w:val="auto"/>
                <w:sz w:val="24"/>
                <w:highlight w:val="none"/>
              </w:rPr>
              <w:t>分。未提供</w:t>
            </w:r>
            <w:r>
              <w:rPr>
                <w:rFonts w:hint="eastAsia" w:ascii="仿宋" w:hAnsi="仿宋" w:eastAsia="仿宋" w:cs="仿宋"/>
                <w:b w:val="0"/>
                <w:bCs w:val="0"/>
                <w:color w:val="auto"/>
                <w:sz w:val="24"/>
                <w:highlight w:val="none"/>
                <w:lang w:val="en-US" w:eastAsia="zh-CN"/>
              </w:rPr>
              <w:t>或提供不全</w:t>
            </w:r>
            <w:r>
              <w:rPr>
                <w:rFonts w:hint="eastAsia" w:ascii="仿宋" w:hAnsi="仿宋" w:eastAsia="仿宋" w:cs="仿宋"/>
                <w:b w:val="0"/>
                <w:bCs w:val="0"/>
                <w:color w:val="auto"/>
                <w:sz w:val="24"/>
                <w:highlight w:val="none"/>
              </w:rPr>
              <w:t>的不</w:t>
            </w:r>
            <w:r>
              <w:rPr>
                <w:rFonts w:hint="eastAsia" w:ascii="仿宋" w:hAnsi="仿宋" w:eastAsia="仿宋" w:cs="仿宋"/>
                <w:color w:val="auto"/>
                <w:sz w:val="24"/>
                <w:highlight w:val="none"/>
              </w:rPr>
              <w:t>得分。（提供证书复印件或扫描件、劳动合同、身份证复印件或扫描件、2026年7月份以来连续3个月社会保险缴纳证明）。</w:t>
            </w:r>
          </w:p>
        </w:tc>
      </w:tr>
      <w:tr w14:paraId="2F63E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jc w:val="center"/>
        </w:trPr>
        <w:tc>
          <w:tcPr>
            <w:tcW w:w="1246" w:type="dxa"/>
            <w:vMerge w:val="restart"/>
            <w:tcBorders>
              <w:top w:val="single" w:color="auto" w:sz="4" w:space="0"/>
              <w:left w:val="single" w:color="auto" w:sz="4" w:space="0"/>
            </w:tcBorders>
            <w:vAlign w:val="center"/>
          </w:tcPr>
          <w:p w14:paraId="2F5F90A8">
            <w:pPr>
              <w:jc w:val="center"/>
              <w:rPr>
                <w:rFonts w:ascii="仿宋" w:hAnsi="仿宋" w:eastAsia="仿宋" w:cs="仿宋"/>
                <w:color w:val="auto"/>
                <w:sz w:val="24"/>
                <w:highlight w:val="none"/>
              </w:rPr>
            </w:pPr>
          </w:p>
          <w:p w14:paraId="60D9A9CC">
            <w:pPr>
              <w:jc w:val="center"/>
              <w:rPr>
                <w:rFonts w:ascii="仿宋" w:hAnsi="仿宋" w:eastAsia="仿宋" w:cs="仿宋"/>
                <w:color w:val="auto"/>
                <w:sz w:val="24"/>
                <w:highlight w:val="none"/>
              </w:rPr>
            </w:pPr>
          </w:p>
          <w:p w14:paraId="5B9FB781">
            <w:pPr>
              <w:jc w:val="center"/>
              <w:rPr>
                <w:rFonts w:ascii="仿宋" w:hAnsi="仿宋" w:eastAsia="仿宋" w:cs="仿宋"/>
                <w:color w:val="auto"/>
                <w:sz w:val="24"/>
                <w:highlight w:val="none"/>
              </w:rPr>
            </w:pPr>
            <w:r>
              <w:rPr>
                <w:rFonts w:hint="eastAsia" w:ascii="仿宋" w:hAnsi="仿宋" w:eastAsia="仿宋" w:cs="仿宋"/>
                <w:color w:val="auto"/>
                <w:sz w:val="24"/>
                <w:highlight w:val="none"/>
              </w:rPr>
              <w:t>技术评分标准71分</w:t>
            </w:r>
          </w:p>
        </w:tc>
        <w:tc>
          <w:tcPr>
            <w:tcW w:w="1026" w:type="dxa"/>
            <w:tcBorders>
              <w:top w:val="single" w:color="auto" w:sz="4" w:space="0"/>
              <w:bottom w:val="single" w:color="auto" w:sz="4" w:space="0"/>
              <w:right w:val="single" w:color="auto" w:sz="4" w:space="0"/>
            </w:tcBorders>
            <w:vAlign w:val="center"/>
          </w:tcPr>
          <w:p w14:paraId="00CDA3F0">
            <w:pPr>
              <w:jc w:val="center"/>
              <w:rPr>
                <w:rFonts w:ascii="仿宋" w:hAnsi="仿宋" w:eastAsia="仿宋" w:cs="仿宋"/>
                <w:color w:val="auto"/>
                <w:sz w:val="24"/>
                <w:highlight w:val="none"/>
              </w:rPr>
            </w:pPr>
            <w:r>
              <w:rPr>
                <w:rFonts w:hint="eastAsia" w:ascii="仿宋" w:hAnsi="仿宋" w:eastAsia="仿宋" w:cs="仿宋"/>
                <w:color w:val="auto"/>
                <w:sz w:val="24"/>
                <w:highlight w:val="none"/>
                <w:lang w:val="zh-CN"/>
              </w:rPr>
              <w:t>造价咨询方案</w:t>
            </w:r>
          </w:p>
        </w:tc>
        <w:tc>
          <w:tcPr>
            <w:tcW w:w="943" w:type="dxa"/>
            <w:tcBorders>
              <w:left w:val="single" w:color="auto" w:sz="4" w:space="0"/>
              <w:bottom w:val="single" w:color="auto" w:sz="4" w:space="0"/>
            </w:tcBorders>
            <w:vAlign w:val="center"/>
          </w:tcPr>
          <w:p w14:paraId="65CE997C">
            <w:pPr>
              <w:jc w:val="center"/>
              <w:rPr>
                <w:rFonts w:ascii="仿宋" w:hAnsi="仿宋" w:eastAsia="仿宋" w:cs="仿宋"/>
                <w:color w:val="auto"/>
                <w:sz w:val="24"/>
                <w:highlight w:val="none"/>
              </w:rPr>
            </w:pPr>
            <w:r>
              <w:rPr>
                <w:rFonts w:hint="eastAsia" w:ascii="仿宋" w:hAnsi="仿宋" w:eastAsia="仿宋" w:cs="仿宋"/>
                <w:color w:val="auto"/>
                <w:sz w:val="24"/>
                <w:highlight w:val="none"/>
              </w:rPr>
              <w:t>15</w:t>
            </w:r>
          </w:p>
        </w:tc>
        <w:tc>
          <w:tcPr>
            <w:tcW w:w="6272" w:type="dxa"/>
            <w:tcBorders>
              <w:bottom w:val="single" w:color="auto" w:sz="4" w:space="0"/>
            </w:tcBorders>
            <w:vAlign w:val="center"/>
          </w:tcPr>
          <w:p w14:paraId="13CFD9B6">
            <w:pPr>
              <w:jc w:val="left"/>
              <w:rPr>
                <w:rFonts w:ascii="仿宋" w:hAnsi="仿宋" w:eastAsia="仿宋" w:cs="仿宋"/>
                <w:color w:val="auto"/>
                <w:sz w:val="24"/>
                <w:highlight w:val="none"/>
              </w:rPr>
            </w:pPr>
            <w:r>
              <w:rPr>
                <w:rFonts w:hint="eastAsia" w:ascii="仿宋" w:hAnsi="仿宋" w:eastAsia="仿宋" w:cs="仿宋"/>
                <w:color w:val="auto"/>
                <w:sz w:val="24"/>
                <w:highlight w:val="none"/>
                <w:lang w:val="zh-CN"/>
              </w:rPr>
              <w:t>方案科学性、合理性、全面性、创新性等方面综合评价。优得</w:t>
            </w:r>
            <w:r>
              <w:rPr>
                <w:rFonts w:hint="eastAsia" w:ascii="仿宋" w:hAnsi="仿宋" w:eastAsia="仿宋" w:cs="仿宋"/>
                <w:color w:val="auto"/>
                <w:sz w:val="24"/>
                <w:highlight w:val="none"/>
              </w:rPr>
              <w:t>15-10</w:t>
            </w:r>
            <w:r>
              <w:rPr>
                <w:rFonts w:hint="eastAsia" w:ascii="仿宋" w:hAnsi="仿宋" w:eastAsia="仿宋" w:cs="仿宋"/>
                <w:color w:val="auto"/>
                <w:sz w:val="24"/>
                <w:highlight w:val="none"/>
                <w:lang w:val="zh-CN"/>
              </w:rPr>
              <w:t>分，良得</w:t>
            </w:r>
            <w:r>
              <w:rPr>
                <w:rFonts w:hint="eastAsia" w:ascii="仿宋" w:hAnsi="仿宋" w:eastAsia="仿宋" w:cs="仿宋"/>
                <w:color w:val="auto"/>
                <w:sz w:val="24"/>
                <w:highlight w:val="none"/>
              </w:rPr>
              <w:t>9.9-5</w:t>
            </w:r>
            <w:r>
              <w:rPr>
                <w:rFonts w:hint="eastAsia" w:ascii="仿宋" w:hAnsi="仿宋" w:eastAsia="仿宋" w:cs="仿宋"/>
                <w:color w:val="auto"/>
                <w:sz w:val="24"/>
                <w:highlight w:val="none"/>
                <w:lang w:val="zh-CN"/>
              </w:rPr>
              <w:t>分，一般得</w:t>
            </w:r>
            <w:r>
              <w:rPr>
                <w:rFonts w:hint="eastAsia" w:ascii="仿宋" w:hAnsi="仿宋" w:eastAsia="仿宋" w:cs="仿宋"/>
                <w:color w:val="auto"/>
                <w:sz w:val="24"/>
                <w:highlight w:val="none"/>
              </w:rPr>
              <w:t>4.9-1</w:t>
            </w:r>
            <w:r>
              <w:rPr>
                <w:rFonts w:hint="eastAsia" w:ascii="仿宋" w:hAnsi="仿宋" w:eastAsia="仿宋" w:cs="仿宋"/>
                <w:color w:val="auto"/>
                <w:sz w:val="24"/>
                <w:highlight w:val="none"/>
                <w:lang w:val="zh-CN"/>
              </w:rPr>
              <w:t>分，未提供不得分，未提供不得分。</w:t>
            </w:r>
          </w:p>
        </w:tc>
      </w:tr>
      <w:tr w14:paraId="2FD21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jc w:val="center"/>
        </w:trPr>
        <w:tc>
          <w:tcPr>
            <w:tcW w:w="1246" w:type="dxa"/>
            <w:vMerge w:val="continue"/>
            <w:tcBorders>
              <w:left w:val="single" w:color="auto" w:sz="4" w:space="0"/>
            </w:tcBorders>
            <w:vAlign w:val="center"/>
          </w:tcPr>
          <w:p w14:paraId="6FDDB277">
            <w:pPr>
              <w:jc w:val="center"/>
              <w:rPr>
                <w:rFonts w:ascii="仿宋" w:hAnsi="仿宋" w:eastAsia="仿宋" w:cs="仿宋"/>
                <w:color w:val="auto"/>
                <w:sz w:val="24"/>
                <w:highlight w:val="none"/>
              </w:rPr>
            </w:pPr>
          </w:p>
        </w:tc>
        <w:tc>
          <w:tcPr>
            <w:tcW w:w="1026" w:type="dxa"/>
            <w:tcBorders>
              <w:top w:val="single" w:color="auto" w:sz="4" w:space="0"/>
              <w:bottom w:val="single" w:color="auto" w:sz="4" w:space="0"/>
              <w:right w:val="single" w:color="auto" w:sz="4" w:space="0"/>
            </w:tcBorders>
            <w:vAlign w:val="center"/>
          </w:tcPr>
          <w:p w14:paraId="6F1507CE">
            <w:pPr>
              <w:jc w:val="center"/>
              <w:rPr>
                <w:rFonts w:ascii="仿宋" w:hAnsi="仿宋" w:eastAsia="仿宋" w:cs="仿宋"/>
                <w:color w:val="auto"/>
                <w:sz w:val="24"/>
                <w:highlight w:val="none"/>
              </w:rPr>
            </w:pPr>
            <w:r>
              <w:rPr>
                <w:rFonts w:hint="eastAsia" w:ascii="仿宋" w:hAnsi="仿宋" w:eastAsia="仿宋" w:cs="仿宋"/>
                <w:color w:val="auto"/>
                <w:sz w:val="24"/>
                <w:highlight w:val="none"/>
                <w:lang w:val="zh-CN"/>
              </w:rPr>
              <w:t>造价咨询依据、工作目标</w:t>
            </w:r>
          </w:p>
        </w:tc>
        <w:tc>
          <w:tcPr>
            <w:tcW w:w="943" w:type="dxa"/>
            <w:tcBorders>
              <w:top w:val="single" w:color="auto" w:sz="4" w:space="0"/>
              <w:left w:val="single" w:color="auto" w:sz="4" w:space="0"/>
              <w:bottom w:val="single" w:color="auto" w:sz="4" w:space="0"/>
            </w:tcBorders>
            <w:vAlign w:val="center"/>
          </w:tcPr>
          <w:p w14:paraId="358AF433">
            <w:pPr>
              <w:jc w:val="center"/>
              <w:rPr>
                <w:rFonts w:ascii="仿宋" w:hAnsi="仿宋" w:eastAsia="仿宋" w:cs="仿宋"/>
                <w:color w:val="auto"/>
                <w:sz w:val="24"/>
                <w:highlight w:val="none"/>
              </w:rPr>
            </w:pPr>
            <w:r>
              <w:rPr>
                <w:rFonts w:hint="eastAsia" w:ascii="仿宋" w:hAnsi="仿宋" w:eastAsia="仿宋" w:cs="仿宋"/>
                <w:color w:val="auto"/>
                <w:sz w:val="24"/>
                <w:highlight w:val="none"/>
              </w:rPr>
              <w:t>12</w:t>
            </w:r>
          </w:p>
        </w:tc>
        <w:tc>
          <w:tcPr>
            <w:tcW w:w="6272" w:type="dxa"/>
            <w:tcBorders>
              <w:top w:val="single" w:color="auto" w:sz="4" w:space="0"/>
              <w:bottom w:val="single" w:color="auto" w:sz="4" w:space="0"/>
            </w:tcBorders>
            <w:vAlign w:val="center"/>
          </w:tcPr>
          <w:p w14:paraId="081F267D">
            <w:pPr>
              <w:jc w:val="left"/>
              <w:rPr>
                <w:rFonts w:ascii="仿宋" w:hAnsi="仿宋" w:eastAsia="仿宋" w:cs="仿宋"/>
                <w:color w:val="auto"/>
                <w:sz w:val="24"/>
                <w:highlight w:val="none"/>
              </w:rPr>
            </w:pPr>
            <w:r>
              <w:rPr>
                <w:rFonts w:hint="eastAsia" w:ascii="仿宋" w:hAnsi="仿宋" w:eastAsia="仿宋" w:cs="仿宋"/>
                <w:color w:val="auto"/>
                <w:sz w:val="24"/>
                <w:highlight w:val="none"/>
                <w:lang w:val="zh-CN"/>
              </w:rPr>
              <w:t>科学合理，优得</w:t>
            </w:r>
            <w:r>
              <w:rPr>
                <w:rFonts w:hint="eastAsia" w:ascii="仿宋" w:hAnsi="仿宋" w:eastAsia="仿宋" w:cs="仿宋"/>
                <w:color w:val="auto"/>
                <w:sz w:val="24"/>
                <w:highlight w:val="none"/>
              </w:rPr>
              <w:t>12-10</w:t>
            </w:r>
            <w:r>
              <w:rPr>
                <w:rFonts w:hint="eastAsia" w:ascii="仿宋" w:hAnsi="仿宋" w:eastAsia="仿宋" w:cs="仿宋"/>
                <w:color w:val="auto"/>
                <w:sz w:val="24"/>
                <w:highlight w:val="none"/>
                <w:lang w:val="zh-CN"/>
              </w:rPr>
              <w:t>分，良得</w:t>
            </w:r>
            <w:r>
              <w:rPr>
                <w:rFonts w:hint="eastAsia" w:ascii="仿宋" w:hAnsi="仿宋" w:eastAsia="仿宋" w:cs="仿宋"/>
                <w:color w:val="auto"/>
                <w:sz w:val="24"/>
                <w:highlight w:val="none"/>
              </w:rPr>
              <w:t>9.9-5</w:t>
            </w:r>
            <w:r>
              <w:rPr>
                <w:rFonts w:hint="eastAsia" w:ascii="仿宋" w:hAnsi="仿宋" w:eastAsia="仿宋" w:cs="仿宋"/>
                <w:color w:val="auto"/>
                <w:sz w:val="24"/>
                <w:highlight w:val="none"/>
                <w:lang w:val="zh-CN"/>
              </w:rPr>
              <w:t>分，一般得</w:t>
            </w:r>
            <w:r>
              <w:rPr>
                <w:rFonts w:hint="eastAsia" w:ascii="仿宋" w:hAnsi="仿宋" w:eastAsia="仿宋" w:cs="仿宋"/>
                <w:color w:val="auto"/>
                <w:sz w:val="24"/>
                <w:highlight w:val="none"/>
              </w:rPr>
              <w:t>4.9-1</w:t>
            </w:r>
            <w:r>
              <w:rPr>
                <w:rFonts w:hint="eastAsia" w:ascii="仿宋" w:hAnsi="仿宋" w:eastAsia="仿宋" w:cs="仿宋"/>
                <w:color w:val="auto"/>
                <w:sz w:val="24"/>
                <w:highlight w:val="none"/>
                <w:lang w:val="zh-CN"/>
              </w:rPr>
              <w:t>分，未提供不得分。</w:t>
            </w:r>
          </w:p>
        </w:tc>
      </w:tr>
      <w:tr w14:paraId="43E09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jc w:val="center"/>
        </w:trPr>
        <w:tc>
          <w:tcPr>
            <w:tcW w:w="1246" w:type="dxa"/>
            <w:vMerge w:val="continue"/>
            <w:tcBorders>
              <w:left w:val="single" w:color="auto" w:sz="4" w:space="0"/>
            </w:tcBorders>
            <w:vAlign w:val="center"/>
          </w:tcPr>
          <w:p w14:paraId="38D8A898">
            <w:pPr>
              <w:jc w:val="center"/>
              <w:rPr>
                <w:rFonts w:ascii="仿宋" w:hAnsi="仿宋" w:eastAsia="仿宋" w:cs="仿宋"/>
                <w:color w:val="auto"/>
                <w:sz w:val="24"/>
                <w:highlight w:val="none"/>
              </w:rPr>
            </w:pPr>
          </w:p>
        </w:tc>
        <w:tc>
          <w:tcPr>
            <w:tcW w:w="1026" w:type="dxa"/>
            <w:tcBorders>
              <w:top w:val="single" w:color="auto" w:sz="4" w:space="0"/>
              <w:bottom w:val="single" w:color="auto" w:sz="4" w:space="0"/>
              <w:right w:val="single" w:color="auto" w:sz="4" w:space="0"/>
            </w:tcBorders>
            <w:vAlign w:val="center"/>
          </w:tcPr>
          <w:p w14:paraId="2C274105">
            <w:pPr>
              <w:jc w:val="center"/>
              <w:rPr>
                <w:rFonts w:ascii="仿宋" w:hAnsi="仿宋" w:eastAsia="仿宋" w:cs="仿宋"/>
                <w:color w:val="auto"/>
                <w:sz w:val="24"/>
                <w:highlight w:val="none"/>
              </w:rPr>
            </w:pPr>
            <w:r>
              <w:rPr>
                <w:rFonts w:hint="eastAsia" w:ascii="仿宋" w:hAnsi="仿宋" w:eastAsia="仿宋" w:cs="仿宋"/>
                <w:color w:val="auto"/>
                <w:sz w:val="24"/>
                <w:highlight w:val="none"/>
                <w:lang w:eastAsia="en-US"/>
              </w:rPr>
              <w:t>造价咨询范围、内容</w:t>
            </w:r>
          </w:p>
        </w:tc>
        <w:tc>
          <w:tcPr>
            <w:tcW w:w="943" w:type="dxa"/>
            <w:tcBorders>
              <w:top w:val="single" w:color="auto" w:sz="4" w:space="0"/>
              <w:left w:val="single" w:color="auto" w:sz="4" w:space="0"/>
              <w:bottom w:val="single" w:color="auto" w:sz="4" w:space="0"/>
            </w:tcBorders>
            <w:vAlign w:val="center"/>
          </w:tcPr>
          <w:p w14:paraId="10106FA9">
            <w:pPr>
              <w:jc w:val="center"/>
              <w:rPr>
                <w:rFonts w:ascii="仿宋" w:hAnsi="仿宋" w:eastAsia="仿宋" w:cs="仿宋"/>
                <w:color w:val="auto"/>
                <w:sz w:val="24"/>
                <w:highlight w:val="none"/>
              </w:rPr>
            </w:pPr>
            <w:r>
              <w:rPr>
                <w:rFonts w:hint="eastAsia" w:ascii="仿宋" w:hAnsi="仿宋" w:eastAsia="仿宋" w:cs="仿宋"/>
                <w:color w:val="auto"/>
                <w:sz w:val="24"/>
                <w:highlight w:val="none"/>
              </w:rPr>
              <w:t>15</w:t>
            </w:r>
          </w:p>
        </w:tc>
        <w:tc>
          <w:tcPr>
            <w:tcW w:w="6272" w:type="dxa"/>
            <w:tcBorders>
              <w:top w:val="single" w:color="auto" w:sz="4" w:space="0"/>
              <w:bottom w:val="single" w:color="auto" w:sz="4" w:space="0"/>
            </w:tcBorders>
            <w:vAlign w:val="center"/>
          </w:tcPr>
          <w:p w14:paraId="0813EC9C">
            <w:pPr>
              <w:jc w:val="left"/>
              <w:rPr>
                <w:rFonts w:ascii="仿宋" w:hAnsi="仿宋" w:eastAsia="仿宋" w:cs="仿宋"/>
                <w:color w:val="auto"/>
                <w:sz w:val="24"/>
                <w:highlight w:val="none"/>
              </w:rPr>
            </w:pPr>
            <w:r>
              <w:rPr>
                <w:rFonts w:hint="eastAsia" w:ascii="仿宋" w:hAnsi="仿宋" w:eastAsia="仿宋" w:cs="仿宋"/>
                <w:color w:val="auto"/>
                <w:sz w:val="24"/>
                <w:highlight w:val="none"/>
              </w:rPr>
              <w:t>内容合理，优得15-10分，良得9.9-5分，一般得4.9-1分，未提供不得分。</w:t>
            </w:r>
          </w:p>
        </w:tc>
      </w:tr>
      <w:tr w14:paraId="7F5E3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0" w:hRule="atLeast"/>
          <w:jc w:val="center"/>
        </w:trPr>
        <w:tc>
          <w:tcPr>
            <w:tcW w:w="1246" w:type="dxa"/>
            <w:vMerge w:val="continue"/>
            <w:tcBorders>
              <w:left w:val="single" w:color="auto" w:sz="4" w:space="0"/>
            </w:tcBorders>
            <w:vAlign w:val="center"/>
          </w:tcPr>
          <w:p w14:paraId="38CE789C">
            <w:pPr>
              <w:jc w:val="center"/>
              <w:rPr>
                <w:rFonts w:ascii="仿宋" w:hAnsi="仿宋" w:eastAsia="仿宋" w:cs="仿宋"/>
                <w:color w:val="auto"/>
                <w:sz w:val="24"/>
                <w:highlight w:val="none"/>
              </w:rPr>
            </w:pPr>
          </w:p>
        </w:tc>
        <w:tc>
          <w:tcPr>
            <w:tcW w:w="1026" w:type="dxa"/>
            <w:tcBorders>
              <w:top w:val="single" w:color="auto" w:sz="4" w:space="0"/>
              <w:bottom w:val="single" w:color="auto" w:sz="4" w:space="0"/>
              <w:right w:val="single" w:color="auto" w:sz="4" w:space="0"/>
            </w:tcBorders>
            <w:vAlign w:val="center"/>
          </w:tcPr>
          <w:p w14:paraId="48F39F30">
            <w:pPr>
              <w:jc w:val="center"/>
              <w:rPr>
                <w:rFonts w:ascii="仿宋" w:hAnsi="仿宋" w:eastAsia="仿宋" w:cs="仿宋"/>
                <w:color w:val="auto"/>
                <w:sz w:val="24"/>
                <w:highlight w:val="none"/>
              </w:rPr>
            </w:pPr>
            <w:r>
              <w:rPr>
                <w:rFonts w:ascii="仿宋" w:hAnsi="仿宋" w:eastAsia="仿宋" w:cs="仿宋"/>
                <w:color w:val="auto"/>
                <w:sz w:val="24"/>
                <w:highlight w:val="none"/>
              </w:rPr>
              <w:t>造价咨询质量、进度等保证措施</w:t>
            </w:r>
          </w:p>
        </w:tc>
        <w:tc>
          <w:tcPr>
            <w:tcW w:w="943" w:type="dxa"/>
            <w:tcBorders>
              <w:top w:val="single" w:color="auto" w:sz="4" w:space="0"/>
              <w:left w:val="single" w:color="auto" w:sz="4" w:space="0"/>
              <w:bottom w:val="single" w:color="auto" w:sz="4" w:space="0"/>
            </w:tcBorders>
            <w:vAlign w:val="center"/>
          </w:tcPr>
          <w:p w14:paraId="40F96E0A">
            <w:pPr>
              <w:jc w:val="center"/>
              <w:rPr>
                <w:rFonts w:ascii="仿宋" w:hAnsi="仿宋" w:eastAsia="仿宋" w:cs="仿宋"/>
                <w:color w:val="auto"/>
                <w:sz w:val="24"/>
                <w:highlight w:val="none"/>
              </w:rPr>
            </w:pPr>
            <w:r>
              <w:rPr>
                <w:rFonts w:hint="eastAsia" w:ascii="仿宋" w:hAnsi="仿宋" w:eastAsia="仿宋" w:cs="仿宋"/>
                <w:color w:val="auto"/>
                <w:sz w:val="24"/>
                <w:highlight w:val="none"/>
              </w:rPr>
              <w:t>15</w:t>
            </w:r>
          </w:p>
        </w:tc>
        <w:tc>
          <w:tcPr>
            <w:tcW w:w="6272" w:type="dxa"/>
            <w:tcBorders>
              <w:top w:val="single" w:color="auto" w:sz="4" w:space="0"/>
              <w:bottom w:val="single" w:color="auto" w:sz="4" w:space="0"/>
            </w:tcBorders>
            <w:vAlign w:val="center"/>
          </w:tcPr>
          <w:p w14:paraId="6999F860">
            <w:pPr>
              <w:jc w:val="left"/>
              <w:rPr>
                <w:rFonts w:ascii="仿宋" w:hAnsi="仿宋" w:eastAsia="仿宋" w:cs="仿宋"/>
                <w:color w:val="auto"/>
                <w:sz w:val="24"/>
                <w:highlight w:val="none"/>
              </w:rPr>
            </w:pPr>
            <w:r>
              <w:rPr>
                <w:rFonts w:hint="eastAsia" w:ascii="仿宋" w:hAnsi="仿宋" w:eastAsia="仿宋" w:cs="仿宋"/>
                <w:color w:val="auto"/>
                <w:sz w:val="24"/>
                <w:highlight w:val="none"/>
              </w:rPr>
              <w:t>体系完整、进度安排合理、措施有力优得15-10分，良得9.9-5分，一般得4.9-1分，未提供不得分，未提供不得分。</w:t>
            </w:r>
          </w:p>
        </w:tc>
      </w:tr>
      <w:tr w14:paraId="52CA1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jc w:val="center"/>
        </w:trPr>
        <w:tc>
          <w:tcPr>
            <w:tcW w:w="1246" w:type="dxa"/>
            <w:vMerge w:val="continue"/>
            <w:tcBorders>
              <w:left w:val="single" w:color="auto" w:sz="4" w:space="0"/>
            </w:tcBorders>
            <w:vAlign w:val="center"/>
          </w:tcPr>
          <w:p w14:paraId="5A245651">
            <w:pPr>
              <w:jc w:val="center"/>
              <w:rPr>
                <w:rFonts w:ascii="仿宋" w:hAnsi="仿宋" w:eastAsia="仿宋" w:cs="仿宋"/>
                <w:color w:val="auto"/>
                <w:sz w:val="24"/>
                <w:highlight w:val="none"/>
              </w:rPr>
            </w:pPr>
          </w:p>
        </w:tc>
        <w:tc>
          <w:tcPr>
            <w:tcW w:w="1026" w:type="dxa"/>
            <w:tcBorders>
              <w:top w:val="single" w:color="auto" w:sz="4" w:space="0"/>
              <w:bottom w:val="single" w:color="auto" w:sz="4" w:space="0"/>
              <w:right w:val="single" w:color="auto" w:sz="4" w:space="0"/>
            </w:tcBorders>
            <w:vAlign w:val="center"/>
          </w:tcPr>
          <w:p w14:paraId="7C25259B">
            <w:pPr>
              <w:jc w:val="center"/>
              <w:rPr>
                <w:rFonts w:ascii="仿宋" w:hAnsi="仿宋" w:eastAsia="仿宋" w:cs="仿宋"/>
                <w:color w:val="auto"/>
                <w:sz w:val="24"/>
                <w:highlight w:val="none"/>
              </w:rPr>
            </w:pPr>
            <w:r>
              <w:rPr>
                <w:rFonts w:ascii="仿宋" w:hAnsi="仿宋" w:eastAsia="仿宋" w:cs="仿宋"/>
                <w:color w:val="auto"/>
                <w:sz w:val="24"/>
                <w:highlight w:val="none"/>
              </w:rPr>
              <w:t>造价咨询工作重点、难点分析</w:t>
            </w:r>
          </w:p>
        </w:tc>
        <w:tc>
          <w:tcPr>
            <w:tcW w:w="943" w:type="dxa"/>
            <w:tcBorders>
              <w:top w:val="single" w:color="auto" w:sz="4" w:space="0"/>
              <w:left w:val="single" w:color="auto" w:sz="4" w:space="0"/>
              <w:bottom w:val="single" w:color="auto" w:sz="4" w:space="0"/>
            </w:tcBorders>
            <w:vAlign w:val="center"/>
          </w:tcPr>
          <w:p w14:paraId="01069474">
            <w:pPr>
              <w:jc w:val="center"/>
              <w:rPr>
                <w:rFonts w:ascii="仿宋" w:hAnsi="仿宋" w:eastAsia="仿宋" w:cs="仿宋"/>
                <w:color w:val="auto"/>
                <w:sz w:val="24"/>
                <w:highlight w:val="none"/>
              </w:rPr>
            </w:pPr>
            <w:r>
              <w:rPr>
                <w:rFonts w:hint="eastAsia" w:ascii="仿宋" w:hAnsi="仿宋" w:eastAsia="仿宋" w:cs="仿宋"/>
                <w:color w:val="auto"/>
                <w:sz w:val="24"/>
                <w:highlight w:val="none"/>
              </w:rPr>
              <w:t>10</w:t>
            </w:r>
          </w:p>
        </w:tc>
        <w:tc>
          <w:tcPr>
            <w:tcW w:w="6272" w:type="dxa"/>
            <w:tcBorders>
              <w:top w:val="single" w:color="auto" w:sz="4" w:space="0"/>
              <w:bottom w:val="single" w:color="auto" w:sz="4" w:space="0"/>
            </w:tcBorders>
            <w:vAlign w:val="center"/>
          </w:tcPr>
          <w:p w14:paraId="481CB34D">
            <w:pPr>
              <w:jc w:val="left"/>
              <w:rPr>
                <w:rFonts w:ascii="仿宋" w:hAnsi="仿宋" w:eastAsia="仿宋" w:cs="仿宋"/>
                <w:color w:val="auto"/>
                <w:sz w:val="24"/>
                <w:highlight w:val="none"/>
              </w:rPr>
            </w:pPr>
            <w:r>
              <w:rPr>
                <w:rFonts w:hint="eastAsia" w:ascii="仿宋" w:hAnsi="仿宋" w:eastAsia="仿宋" w:cs="仿宋"/>
                <w:color w:val="auto"/>
                <w:sz w:val="24"/>
                <w:highlight w:val="none"/>
              </w:rPr>
              <w:t>工作重点、难点分析优得10-7分，良得6.9-4分，一般得3.9-1分，未提供不得分，未提供不得分。</w:t>
            </w:r>
          </w:p>
        </w:tc>
      </w:tr>
      <w:tr w14:paraId="49287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jc w:val="center"/>
        </w:trPr>
        <w:tc>
          <w:tcPr>
            <w:tcW w:w="1246" w:type="dxa"/>
            <w:vMerge w:val="continue"/>
            <w:tcBorders>
              <w:left w:val="single" w:color="auto" w:sz="4" w:space="0"/>
            </w:tcBorders>
            <w:vAlign w:val="center"/>
          </w:tcPr>
          <w:p w14:paraId="489CD560">
            <w:pPr>
              <w:jc w:val="center"/>
              <w:rPr>
                <w:rFonts w:ascii="仿宋" w:hAnsi="仿宋" w:eastAsia="仿宋" w:cs="仿宋"/>
                <w:color w:val="auto"/>
                <w:sz w:val="24"/>
                <w:highlight w:val="none"/>
              </w:rPr>
            </w:pPr>
          </w:p>
        </w:tc>
        <w:tc>
          <w:tcPr>
            <w:tcW w:w="1026" w:type="dxa"/>
            <w:tcBorders>
              <w:top w:val="single" w:color="auto" w:sz="4" w:space="0"/>
              <w:bottom w:val="single" w:color="auto" w:sz="4" w:space="0"/>
              <w:right w:val="single" w:color="auto" w:sz="4" w:space="0"/>
            </w:tcBorders>
            <w:vAlign w:val="center"/>
          </w:tcPr>
          <w:p w14:paraId="74AEA240">
            <w:pPr>
              <w:jc w:val="center"/>
              <w:rPr>
                <w:rFonts w:ascii="仿宋" w:hAnsi="仿宋" w:eastAsia="仿宋" w:cs="仿宋"/>
                <w:color w:val="auto"/>
                <w:sz w:val="24"/>
                <w:highlight w:val="none"/>
              </w:rPr>
            </w:pPr>
            <w:r>
              <w:rPr>
                <w:rFonts w:hint="eastAsia" w:ascii="仿宋" w:hAnsi="仿宋" w:eastAsia="仿宋" w:cs="仿宋"/>
                <w:color w:val="auto"/>
                <w:sz w:val="24"/>
                <w:highlight w:val="none"/>
              </w:rPr>
              <w:t>服务承诺</w:t>
            </w:r>
          </w:p>
        </w:tc>
        <w:tc>
          <w:tcPr>
            <w:tcW w:w="943" w:type="dxa"/>
            <w:tcBorders>
              <w:top w:val="single" w:color="auto" w:sz="4" w:space="0"/>
              <w:left w:val="single" w:color="auto" w:sz="4" w:space="0"/>
              <w:bottom w:val="single" w:color="auto" w:sz="4" w:space="0"/>
            </w:tcBorders>
            <w:vAlign w:val="center"/>
          </w:tcPr>
          <w:p w14:paraId="69184301">
            <w:pPr>
              <w:jc w:val="center"/>
              <w:rPr>
                <w:rFonts w:ascii="仿宋" w:hAnsi="仿宋" w:eastAsia="仿宋" w:cs="仿宋"/>
                <w:color w:val="auto"/>
                <w:sz w:val="24"/>
                <w:highlight w:val="none"/>
              </w:rPr>
            </w:pPr>
            <w:r>
              <w:rPr>
                <w:rFonts w:hint="eastAsia" w:ascii="仿宋" w:hAnsi="仿宋" w:eastAsia="仿宋" w:cs="仿宋"/>
                <w:color w:val="auto"/>
                <w:sz w:val="24"/>
                <w:highlight w:val="none"/>
              </w:rPr>
              <w:t>4</w:t>
            </w:r>
          </w:p>
        </w:tc>
        <w:tc>
          <w:tcPr>
            <w:tcW w:w="6272" w:type="dxa"/>
            <w:tcBorders>
              <w:top w:val="single" w:color="auto" w:sz="4" w:space="0"/>
            </w:tcBorders>
            <w:vAlign w:val="center"/>
          </w:tcPr>
          <w:p w14:paraId="5DE7802B">
            <w:pPr>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有无保密承诺、接到用户服务要求时为需方提供及时响应服务等承诺，有的得4分；没有的不得分。 </w:t>
            </w:r>
          </w:p>
        </w:tc>
      </w:tr>
    </w:tbl>
    <w:p w14:paraId="4E9219F9">
      <w:pPr>
        <w:spacing w:line="360" w:lineRule="auto"/>
        <w:rPr>
          <w:rFonts w:ascii="仿宋" w:hAnsi="仿宋" w:eastAsia="仿宋" w:cs="仿宋"/>
          <w:b/>
          <w:bCs/>
          <w:color w:val="auto"/>
          <w:sz w:val="28"/>
          <w:szCs w:val="28"/>
          <w:highlight w:val="none"/>
        </w:rPr>
      </w:pPr>
    </w:p>
    <w:p w14:paraId="71A54525">
      <w:pPr>
        <w:spacing w:line="360" w:lineRule="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1评审方法（综合评分法）</w:t>
      </w:r>
    </w:p>
    <w:p w14:paraId="18DF1F4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本次评审采用综合评分法。评审小组对满足采购文件实质性要求的响应文件按照本章第3条规定的评分标准进行打分，并按得分由高到低的顺序推荐候选成交侯应商。</w:t>
      </w:r>
    </w:p>
    <w:p w14:paraId="6DA75173">
      <w:pPr>
        <w:spacing w:line="360" w:lineRule="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2初步评审标准和程序</w:t>
      </w:r>
    </w:p>
    <w:p w14:paraId="11784C7C">
      <w:pPr>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2.1初步评审标准</w:t>
      </w:r>
    </w:p>
    <w:p w14:paraId="5B0EB11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2.1.1形式评审标准: 见评审办法前附表。</w:t>
      </w:r>
    </w:p>
    <w:p w14:paraId="07F0BBB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2.1.2资格评审标准:见评审办法前附表。</w:t>
      </w:r>
    </w:p>
    <w:p w14:paraId="05BAB1B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2.1.3响应性评审标准:见评审办法前附表。</w:t>
      </w:r>
    </w:p>
    <w:p w14:paraId="12121A50">
      <w:pPr>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2.2初步评审程序</w:t>
      </w:r>
    </w:p>
    <w:p w14:paraId="035C0DC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2.2.1评审小组依据本章第2.1款规定的标准对供应商递交的响应文件进行初步评审，判断响应文件的形式是否符合要求、供应商商是否符合资格条件、响应文件是否实质性响应采购文件的要求。只有以上评审合格的响应文件才可通过初步评审。</w:t>
      </w:r>
    </w:p>
    <w:p w14:paraId="394732A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2.2.2除评审办法前附表另有规定外，评审价格为供应商在响应函中填报的大写含税价格。</w:t>
      </w:r>
    </w:p>
    <w:p w14:paraId="7A810EF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评审价格若超过最高限价(如有)，其响应文件将被视为无效。</w:t>
      </w:r>
    </w:p>
    <w:p w14:paraId="7B46324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评审小组经过对供应商的报价进行比较或基于专业经验认为某一供应商的报价异常过低，可能对其履约造成影响时，应当要求该供应商作出书面说明并提供相应的证明材料，供应商不能合理说明或者不能提供相应证明材料的，其响应文件将被视为无效。</w:t>
      </w:r>
    </w:p>
    <w:p w14:paraId="24D6903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2.2.3响应文件中有含义不明确、同类问题表述不一致或有明显文字和计算错误的内容，评审小组可要求供应商在规定时间内进行澄清、说明和补正。供应商澄清、说明和补正的内容应由法定代表人(单位负责人)或其授权的代理人签字或加盖单位章。澄清、说明和补正不得超出响应文件的范围且不得改变响应文件的实质性内容，并构成响应文件的组成部分。</w:t>
      </w:r>
    </w:p>
    <w:p w14:paraId="70108D2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响应报价有算术错误及其他错误的，评审小组按以下原则要求供应商对响应报价进行修正，并要求供应商书面澄清确认。供应商拒不澄清确认的，其响应文件将被视为无效:</w:t>
      </w:r>
    </w:p>
    <w:p w14:paraId="330D3D3A">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(1)大写金额与小写金额不一致的， 以大写金额为准:</w:t>
      </w:r>
    </w:p>
    <w:p w14:paraId="34EC53DE">
      <w:pPr>
        <w:numPr>
          <w:ilvl w:val="0"/>
          <w:numId w:val="5"/>
        </w:numPr>
        <w:spacing w:line="360" w:lineRule="auto"/>
        <w:ind w:left="420"/>
        <w:rPr>
          <w:rFonts w:ascii="仿宋" w:hAnsi="仿宋" w:eastAsia="仿宋" w:cs="仿宋"/>
          <w:color w:val="auto"/>
          <w:sz w:val="24"/>
          <w:highlight w:val="none"/>
        </w:rPr>
      </w:pPr>
      <w:r>
        <w:rPr>
          <w:rFonts w:hint="eastAsia" w:ascii="仿宋" w:hAnsi="仿宋" w:eastAsia="仿宋" w:cs="仿宋"/>
          <w:color w:val="auto"/>
          <w:sz w:val="24"/>
          <w:highlight w:val="none"/>
        </w:rPr>
        <w:t>总价金额与单价金额不一致的，以单价金额为准，但单价金额小数点有明显错误的除外；</w:t>
      </w:r>
    </w:p>
    <w:p w14:paraId="668A3251">
      <w:pPr>
        <w:numPr>
          <w:ilvl w:val="0"/>
          <w:numId w:val="5"/>
        </w:numPr>
        <w:spacing w:line="360" w:lineRule="auto"/>
        <w:ind w:left="420"/>
        <w:rPr>
          <w:rFonts w:ascii="仿宋" w:hAnsi="仿宋" w:eastAsia="仿宋" w:cs="仿宋"/>
          <w:color w:val="auto"/>
          <w:sz w:val="24"/>
          <w:highlight w:val="none"/>
        </w:rPr>
      </w:pPr>
      <w:r>
        <w:rPr>
          <w:rFonts w:hint="eastAsia" w:ascii="仿宋" w:hAnsi="仿宋" w:eastAsia="仿宋" w:cs="仿宋"/>
          <w:color w:val="auto"/>
          <w:sz w:val="24"/>
          <w:highlight w:val="none"/>
        </w:rPr>
        <w:t>报价表合计报价与分项报价的合计不-致的，以各分项报价的合价累计数为准；</w:t>
      </w:r>
    </w:p>
    <w:p w14:paraId="3B9AE0C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(4)如果分项报价中存在缺漏项，且缺漏项内容不属于实质性偏差的，则视为缺漏项内容的价格已包含再其它分项报价之中。</w:t>
      </w:r>
    </w:p>
    <w:p w14:paraId="34859DF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响应报价的算数错误修正不改变评审依据的响应总报价。当修正后的总报价高于原响应报价时，视同供应商响应报价错误错误产生少漏计费用，签订合同时由供应商承担，如评审小组认为供应商无法承受少漏计费用，可以将响应报价作为异常低价处理；当修正后的总报价低于原响应报价时，签订合同时以修正后的报价为准。</w:t>
      </w:r>
    </w:p>
    <w:p w14:paraId="444CAB5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2.2.4供应商有串通、弄虚作假、行贿等违法行为的，其响应文件将被视为无效。</w:t>
      </w:r>
    </w:p>
    <w:p w14:paraId="5AD45DB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2.2.5通过初步评审的供应商不足的情形</w:t>
      </w:r>
    </w:p>
    <w:p w14:paraId="3BAA961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递交响应文件的供应商数量不足三家(成交供应商为一家时)或低于供应商须知前附表5.3款规定的数量(成交供应商为多家时)时，评审小组可视情形继续评审、直接改变采购方式按照本章第5条规定进行评审。</w:t>
      </w:r>
    </w:p>
    <w:p w14:paraId="2B5B25F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(1)继续评审</w:t>
      </w:r>
    </w:p>
    <w:p w14:paraId="0413B05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评审小组认为供应有的价格合理或供应商之间具有竞争性的，可继续评审。</w:t>
      </w:r>
    </w:p>
    <w:p w14:paraId="3C69EC1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(2)直接改变采购方式继续采购</w:t>
      </w:r>
    </w:p>
    <w:p w14:paraId="1ABFD60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评审小组认为供应商的价格不合理、竟争不充分或供应商均未通过初步评审的采购人同意，评审小组可以直接改变采购方式按照本章第5条规定进行评审。</w:t>
      </w:r>
    </w:p>
    <w:p w14:paraId="58EB41C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(3)终止采购</w:t>
      </w:r>
    </w:p>
    <w:p w14:paraId="01EFB53B">
      <w:pPr>
        <w:spacing w:line="360" w:lineRule="auto"/>
        <w:rPr>
          <w:rFonts w:ascii="仿宋" w:hAnsi="仿宋" w:eastAsia="仿宋" w:cs="仿宋"/>
          <w:b/>
          <w:bCs/>
          <w:color w:val="auto"/>
          <w:sz w:val="24"/>
          <w:highlight w:val="none"/>
        </w:rPr>
      </w:pPr>
      <w:r>
        <w:rPr>
          <w:rFonts w:hint="eastAsia" w:ascii="仿宋" w:hAnsi="仿宋" w:eastAsia="仿宋" w:cs="仿宋"/>
          <w:color w:val="auto"/>
          <w:sz w:val="24"/>
          <w:highlight w:val="none"/>
        </w:rPr>
        <w:t>评小组认为供应商的价格不合理、供应商竞争不充分、供应商均未通过初步评审或者其他不宜继续采购情形的、可以建议采购人终止采购。</w:t>
      </w:r>
      <w:r>
        <w:rPr>
          <w:rFonts w:hint="eastAsia" w:ascii="仿宋" w:hAnsi="仿宋" w:eastAsia="仿宋" w:cs="仿宋"/>
          <w:color w:val="auto"/>
          <w:sz w:val="24"/>
          <w:highlight w:val="none"/>
        </w:rPr>
        <w:br w:type="textWrapping"/>
      </w:r>
      <w:r>
        <w:rPr>
          <w:rFonts w:hint="eastAsia" w:ascii="仿宋" w:hAnsi="仿宋" w:eastAsia="仿宋" w:cs="仿宋"/>
          <w:b/>
          <w:bCs/>
          <w:color w:val="auto"/>
          <w:sz w:val="24"/>
          <w:highlight w:val="none"/>
        </w:rPr>
        <w:t>3详细评审标准和程序(综合评分法)</w:t>
      </w:r>
    </w:p>
    <w:p w14:paraId="498D9D45">
      <w:pPr>
        <w:spacing w:line="360" w:lineRule="auto"/>
        <w:rPr>
          <w:rFonts w:ascii="仿宋" w:hAnsi="仿宋" w:eastAsia="仿宋" w:cs="仿宋"/>
          <w:color w:val="auto"/>
          <w:sz w:val="24"/>
          <w:highlight w:val="none"/>
        </w:rPr>
      </w:pPr>
      <w:r>
        <w:rPr>
          <w:rFonts w:hint="eastAsia" w:ascii="仿宋" w:hAnsi="仿宋" w:eastAsia="仿宋" w:cs="仿宋"/>
          <w:b/>
          <w:bCs/>
          <w:color w:val="auto"/>
          <w:sz w:val="24"/>
          <w:highlight w:val="none"/>
        </w:rPr>
        <w:t>3.1评审价格确定</w:t>
      </w:r>
      <w:r>
        <w:rPr>
          <w:rFonts w:ascii="宋体" w:hAnsi="宋体" w:eastAsia="宋体" w:cs="宋体"/>
          <w:color w:val="auto"/>
          <w:sz w:val="28"/>
          <w:szCs w:val="28"/>
          <w:highlight w:val="none"/>
        </w:rPr>
        <w:br w:type="textWrapping"/>
      </w:r>
      <w:r>
        <w:rPr>
          <w:rFonts w:hint="eastAsia" w:ascii="仿宋" w:hAnsi="仿宋" w:eastAsia="仿宋" w:cs="仿宋"/>
          <w:color w:val="auto"/>
          <w:sz w:val="24"/>
          <w:highlight w:val="none"/>
        </w:rPr>
        <w:t>3.1.1除评审办法前附表另有规定外，评审价格统一以开启会议的响应函大写总价为准。</w:t>
      </w:r>
      <w:r>
        <w:rPr>
          <w:rFonts w:hint="eastAsia" w:ascii="仿宋" w:hAnsi="仿宋" w:eastAsia="仿宋" w:cs="仿宋"/>
          <w:color w:val="auto"/>
          <w:sz w:val="24"/>
          <w:highlight w:val="none"/>
        </w:rPr>
        <w:br w:type="textWrapping"/>
      </w:r>
      <w:r>
        <w:rPr>
          <w:rFonts w:hint="eastAsia" w:ascii="仿宋" w:hAnsi="仿宋" w:eastAsia="仿宋" w:cs="仿宋"/>
          <w:color w:val="auto"/>
          <w:sz w:val="24"/>
          <w:highlight w:val="none"/>
        </w:rPr>
        <w:t>3.1.2增值税处理。除评审办法前附表另有规定外，本项目的评审价格应为包含增值税在内的含税价格。</w:t>
      </w:r>
    </w:p>
    <w:p w14:paraId="4DE584FB">
      <w:pPr>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3.2综合评分和排序（综合评分法）</w:t>
      </w:r>
      <w:r>
        <w:rPr>
          <w:rFonts w:hint="eastAsia" w:ascii="仿宋" w:hAnsi="仿宋" w:eastAsia="仿宋" w:cs="仿宋"/>
          <w:b/>
          <w:bCs/>
          <w:color w:val="auto"/>
          <w:sz w:val="24"/>
          <w:highlight w:val="none"/>
        </w:rPr>
        <w:br w:type="textWrapping"/>
      </w:r>
      <w:r>
        <w:rPr>
          <w:rFonts w:hint="eastAsia" w:ascii="仿宋" w:hAnsi="仿宋" w:eastAsia="仿宋" w:cs="仿宋"/>
          <w:b/>
          <w:bCs/>
          <w:color w:val="auto"/>
          <w:sz w:val="24"/>
          <w:highlight w:val="none"/>
        </w:rPr>
        <w:t>3.2.1分值构成</w:t>
      </w:r>
    </w:p>
    <w:p w14:paraId="4A57871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(1)商务部分:见评审办法前附表；</w:t>
      </w:r>
    </w:p>
    <w:p w14:paraId="48CA345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(2)技术部分:见评审办法前附表；</w:t>
      </w:r>
    </w:p>
    <w:p w14:paraId="625713D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(3)报价:见评审办法前附表；</w:t>
      </w:r>
    </w:p>
    <w:p w14:paraId="365BD25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(4)其他评分因素:见评审办法前附表。</w:t>
      </w:r>
    </w:p>
    <w:p w14:paraId="5B8DF0B0">
      <w:pPr>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3.2.2评审基准价计算</w:t>
      </w:r>
    </w:p>
    <w:p w14:paraId="301DE19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(1)评审价格:评审价格为按照本章第2.2.2项规定确定的价格；</w:t>
      </w:r>
    </w:p>
    <w:p w14:paraId="2F06AC3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(2)评审基准价计算方法:</w:t>
      </w:r>
    </w:p>
    <w:p w14:paraId="41252BB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方法一:评审基准价=评审价格平均值(即通过初步评审的所有供应商评审价格的算术平均值)。</w:t>
      </w:r>
    </w:p>
    <w:p w14:paraId="0AA412B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方法二:评审基准价=评审价格平均值(即通过初步评审的所有供应商评审价格的算术平均值)x评审基准价系数，评审基准价系数的取值见评审办法前附表。</w:t>
      </w:r>
    </w:p>
    <w:p w14:paraId="52FA842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方法三:评审基准价=通过初步评审的所有供应商的最低评审价格。</w:t>
      </w:r>
    </w:p>
    <w:p w14:paraId="07CFEFA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方法四:采购人确定的其他方法。</w:t>
      </w:r>
    </w:p>
    <w:p w14:paraId="5ED21177">
      <w:pPr>
        <w:spacing w:line="360" w:lineRule="auto"/>
        <w:ind w:firstLine="480"/>
        <w:rPr>
          <w:rFonts w:ascii="仿宋" w:hAnsi="仿宋" w:eastAsia="仿宋" w:cs="仿宋"/>
          <w:color w:val="auto"/>
          <w:sz w:val="24"/>
          <w:highlight w:val="none"/>
        </w:rPr>
      </w:pPr>
      <w:r>
        <w:rPr>
          <w:rFonts w:hint="eastAsia" w:ascii="仿宋" w:hAnsi="仿宋" w:eastAsia="仿宋" w:cs="仿宋"/>
          <w:color w:val="auto"/>
          <w:sz w:val="24"/>
          <w:highlight w:val="none"/>
        </w:rPr>
        <w:t>评审基准价计算方法的选择见评审办法前附表。</w:t>
      </w:r>
    </w:p>
    <w:p w14:paraId="4C1B7EA0">
      <w:pPr>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3.3评分标准</w:t>
      </w:r>
    </w:p>
    <w:p w14:paraId="42E4E12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(1)商务评分标准:见评审办法前附表；</w:t>
      </w:r>
    </w:p>
    <w:p w14:paraId="6C47B45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(2)技术评分标准:见评审办法前附表；</w:t>
      </w:r>
    </w:p>
    <w:p w14:paraId="40EEA57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(3)报价评分标准:</w:t>
      </w:r>
    </w:p>
    <w:p w14:paraId="40914CC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报价得分可采用如下方法计算:</w:t>
      </w:r>
    </w:p>
    <w:p w14:paraId="065197F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方法一:偏差率=(供应商评审价格-评审基准价)/评审基准价*100%</w:t>
      </w:r>
    </w:p>
    <w:p w14:paraId="7FBD2557">
      <w:pPr>
        <w:numPr>
          <w:ilvl w:val="0"/>
          <w:numId w:val="6"/>
        </w:numPr>
        <w:spacing w:line="360" w:lineRule="auto"/>
        <w:ind w:left="660"/>
        <w:rPr>
          <w:rFonts w:ascii="仿宋" w:hAnsi="仿宋" w:eastAsia="仿宋" w:cs="仿宋"/>
          <w:color w:val="auto"/>
          <w:sz w:val="24"/>
          <w:highlight w:val="none"/>
        </w:rPr>
      </w:pPr>
      <w:r>
        <w:rPr>
          <w:rFonts w:hint="eastAsia" w:ascii="仿宋" w:hAnsi="仿宋" w:eastAsia="仿宋" w:cs="仿宋"/>
          <w:color w:val="auto"/>
          <w:sz w:val="24"/>
          <w:highlight w:val="none"/>
        </w:rPr>
        <w:t>如果供应商的评审价格&gt;评审基准价，则报价得分=F-偏差率*100*E</w:t>
      </w:r>
      <w:r>
        <w:rPr>
          <w:rFonts w:hint="eastAsia" w:ascii="仿宋" w:hAnsi="仿宋" w:eastAsia="仿宋" w:cs="仿宋"/>
          <w:color w:val="auto"/>
          <w:sz w:val="24"/>
          <w:highlight w:val="none"/>
          <w:vertAlign w:val="subscript"/>
        </w:rPr>
        <w:t>1</w:t>
      </w:r>
      <w:r>
        <w:rPr>
          <w:rFonts w:hint="eastAsia" w:ascii="仿宋" w:hAnsi="仿宋" w:eastAsia="仿宋" w:cs="仿宋"/>
          <w:color w:val="auto"/>
          <w:sz w:val="24"/>
          <w:highlight w:val="none"/>
        </w:rPr>
        <w:t>;</w:t>
      </w:r>
    </w:p>
    <w:p w14:paraId="6EC1B524">
      <w:pPr>
        <w:numPr>
          <w:ilvl w:val="0"/>
          <w:numId w:val="6"/>
        </w:numPr>
        <w:spacing w:line="360" w:lineRule="auto"/>
        <w:ind w:left="660"/>
        <w:rPr>
          <w:rFonts w:ascii="仿宋" w:hAnsi="仿宋" w:eastAsia="仿宋" w:cs="仿宋"/>
          <w:color w:val="auto"/>
          <w:sz w:val="24"/>
          <w:highlight w:val="none"/>
        </w:rPr>
      </w:pPr>
      <w:r>
        <w:rPr>
          <w:rFonts w:hint="eastAsia" w:ascii="仿宋" w:hAnsi="仿宋" w:eastAsia="仿宋" w:cs="仿宋"/>
          <w:color w:val="auto"/>
          <w:sz w:val="24"/>
          <w:highlight w:val="none"/>
        </w:rPr>
        <w:t>如果供应商的评审价格≦评审基准价，则报价得分=F+偏差率*100*E</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w:t>
      </w:r>
    </w:p>
    <w:p w14:paraId="76BF743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其中F为本章前附表第3.1(3)项规定的报价所占的分值; E</w:t>
      </w:r>
      <w:r>
        <w:rPr>
          <w:rFonts w:hint="eastAsia" w:ascii="仿宋" w:hAnsi="仿宋" w:eastAsia="仿宋" w:cs="仿宋"/>
          <w:color w:val="auto"/>
          <w:sz w:val="24"/>
          <w:highlight w:val="none"/>
          <w:vertAlign w:val="subscript"/>
        </w:rPr>
        <w:t>1</w:t>
      </w:r>
      <w:r>
        <w:rPr>
          <w:rFonts w:hint="eastAsia" w:ascii="仿宋" w:hAnsi="仿宋" w:eastAsia="仿宋" w:cs="仿宋"/>
          <w:color w:val="auto"/>
          <w:sz w:val="24"/>
          <w:highlight w:val="none"/>
        </w:rPr>
        <w:t>是评审价格每高于评审基准价一个百分点的扣分值、E</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是评审价格每低于评审基准价一个百分点的扣分值，E</w:t>
      </w:r>
      <w:r>
        <w:rPr>
          <w:rFonts w:hint="eastAsia" w:ascii="仿宋" w:hAnsi="仿宋" w:eastAsia="仿宋" w:cs="仿宋"/>
          <w:color w:val="auto"/>
          <w:sz w:val="24"/>
          <w:highlight w:val="none"/>
          <w:vertAlign w:val="subscript"/>
        </w:rPr>
        <w:t>1</w:t>
      </w:r>
      <w:r>
        <w:rPr>
          <w:rFonts w:hint="eastAsia" w:ascii="仿宋" w:hAnsi="仿宋" w:eastAsia="仿宋" w:cs="仿宋"/>
          <w:color w:val="auto"/>
          <w:sz w:val="24"/>
          <w:highlight w:val="none"/>
        </w:rPr>
        <w:t>可大于或等于E</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。E</w:t>
      </w:r>
      <w:r>
        <w:rPr>
          <w:rFonts w:hint="eastAsia" w:ascii="仿宋" w:hAnsi="仿宋" w:eastAsia="仿宋" w:cs="仿宋"/>
          <w:color w:val="auto"/>
          <w:sz w:val="24"/>
          <w:highlight w:val="none"/>
          <w:vertAlign w:val="subscript"/>
        </w:rPr>
        <w:t>1</w:t>
      </w:r>
      <w:r>
        <w:rPr>
          <w:rFonts w:hint="eastAsia" w:ascii="仿宋" w:hAnsi="仿宋" w:eastAsia="仿宋" w:cs="仿宋"/>
          <w:color w:val="auto"/>
          <w:sz w:val="24"/>
          <w:highlight w:val="none"/>
        </w:rPr>
        <w:t>、E</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的取值见评审办法前附表。</w:t>
      </w:r>
    </w:p>
    <w:p w14:paraId="401F924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方达二：报价得分＝(通过初步评审的所有供应商的最低评审价格/供应商评审价格) *F，F为本章前附表第3.1(3)项规定的报价所古的分值。</w:t>
      </w:r>
    </w:p>
    <w:p w14:paraId="48837B9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方法三:采购人确定的其他方法。</w:t>
      </w:r>
    </w:p>
    <w:p w14:paraId="76F9C8B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报价得分计算方法见评审办法前附表。</w:t>
      </w:r>
    </w:p>
    <w:p w14:paraId="78DE38B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(4)其他因素评分标准:见评审办法前附表。</w:t>
      </w:r>
    </w:p>
    <w:p w14:paraId="21487D9F">
      <w:pPr>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3.4评分</w:t>
      </w:r>
    </w:p>
    <w:p w14:paraId="59F6FD6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评审小组成员按照评分标准独立对供应商的商务、技术和其他因素进行评分。报价评分由评审小组统一计算。各项得分汇总后为该成员给供应商的评分总分。评分分值计算保留小数点后两位，小数点后第三位“四舍五入”。</w:t>
      </w:r>
    </w:p>
    <w:p w14:paraId="5682F8FB">
      <w:pPr>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3.5 汇总</w:t>
      </w:r>
    </w:p>
    <w:p w14:paraId="4781990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评审小组汇总每个成员对供应商的评分总分，每个供应商的评分总分的算术平均值为供应商最终得分。</w:t>
      </w:r>
    </w:p>
    <w:p w14:paraId="709EA022">
      <w:pPr>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3.6排序</w:t>
      </w:r>
    </w:p>
    <w:p w14:paraId="7CA714D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评审小组对供应商最终得分进行比较后，可以按照供应商最终得分由高到低的顺序对供应商排序。最终得分相等时，以评审价格低的优先；评审价格也相等的，以技术得分高的优先；如果技术得分也相等，按照评审办法前附表的规定确定供应商优先顺序。</w:t>
      </w:r>
    </w:p>
    <w:p w14:paraId="29B77B6B">
      <w:pPr>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3.7特殊情形处理</w:t>
      </w:r>
    </w:p>
    <w:p w14:paraId="530377A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当通过初步评审的供应商数量未超过询比采购公告/询比采购邀请书第1.6款规定的成交供应商数量、评审小组认为供应商的响应报价合理且物有所值时，不再进行详细评审，直接推荐上述供应商为候选成交供应商。</w:t>
      </w:r>
    </w:p>
    <w:p w14:paraId="25E3EAD9">
      <w:pPr>
        <w:spacing w:line="360" w:lineRule="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4评审结果</w:t>
      </w:r>
    </w:p>
    <w:p w14:paraId="2AB1776A">
      <w:pPr>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4.1提交书面评审报告</w:t>
      </w:r>
    </w:p>
    <w:p w14:paraId="77C972B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评审小组完成评审后，应当向采购人提交书面评审报告。</w:t>
      </w:r>
    </w:p>
    <w:p w14:paraId="28AB9D02">
      <w:pPr>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4.2推荐候选成交供应商排序要求及数量</w:t>
      </w:r>
    </w:p>
    <w:p w14:paraId="2925DC4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评审小组应在书面评审报告中按照供应商排列的优先顺序向采购人推荐候选成交供应商(排序或不排序)。候选成交供应商的排序要求及数量见第二章“供应商须知”。</w:t>
      </w:r>
    </w:p>
    <w:p w14:paraId="43C7E0B5">
      <w:pPr>
        <w:spacing w:line="360" w:lineRule="auto"/>
        <w:rPr>
          <w:rFonts w:ascii="仿宋" w:hAnsi="仿宋" w:eastAsia="仿宋" w:cs="仿宋"/>
          <w:b/>
          <w:bCs/>
          <w:color w:val="auto"/>
          <w:sz w:val="24"/>
          <w:highlight w:val="none"/>
        </w:rPr>
      </w:pPr>
      <w:bookmarkStart w:id="79" w:name="_Toc16728"/>
      <w:bookmarkStart w:id="80" w:name="_Toc256000023"/>
      <w:bookmarkStart w:id="81" w:name="_Toc92207694"/>
      <w:bookmarkStart w:id="82" w:name="_Toc4061"/>
      <w:r>
        <w:rPr>
          <w:rFonts w:hint="eastAsia" w:ascii="仿宋" w:hAnsi="仿宋" w:eastAsia="仿宋" w:cs="仿宋"/>
          <w:b/>
          <w:bCs/>
          <w:color w:val="auto"/>
          <w:sz w:val="24"/>
          <w:highlight w:val="none"/>
        </w:rPr>
        <w:t>5.直接改变采购方式的特殊评审程序</w:t>
      </w:r>
      <w:bookmarkEnd w:id="79"/>
    </w:p>
    <w:p w14:paraId="190D0822">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5</w:t>
      </w:r>
      <w:r>
        <w:rPr>
          <w:rFonts w:hint="eastAsia" w:ascii="仿宋" w:hAnsi="仿宋" w:eastAsia="仿宋" w:cs="仿宋"/>
          <w:color w:val="auto"/>
          <w:sz w:val="24"/>
          <w:highlight w:val="none"/>
        </w:rPr>
        <w:t>.</w:t>
      </w:r>
      <w:r>
        <w:rPr>
          <w:rFonts w:ascii="仿宋" w:hAnsi="仿宋" w:eastAsia="仿宋" w:cs="仿宋"/>
          <w:color w:val="auto"/>
          <w:sz w:val="24"/>
          <w:highlight w:val="none"/>
        </w:rPr>
        <w:t>1评审小组告知已经递交</w:t>
      </w:r>
      <w:r>
        <w:rPr>
          <w:rFonts w:hint="eastAsia" w:ascii="仿宋" w:hAnsi="仿宋" w:eastAsia="仿宋" w:cs="仿宋"/>
          <w:color w:val="auto"/>
          <w:sz w:val="24"/>
          <w:highlight w:val="none"/>
        </w:rPr>
        <w:t>响应文件但未通过初步评审的供应商（如有）未通过初步评审的原因，并要求在规定时间内对未实质性响应采购文件的内容补充完善，供应商补充和完善</w:t>
      </w:r>
      <w:r>
        <w:rPr>
          <w:rFonts w:ascii="仿宋" w:hAnsi="仿宋" w:eastAsia="仿宋" w:cs="仿宋"/>
          <w:color w:val="auto"/>
          <w:sz w:val="24"/>
          <w:highlight w:val="none"/>
        </w:rPr>
        <w:t>的内容应由</w:t>
      </w:r>
      <w:r>
        <w:rPr>
          <w:rFonts w:hint="eastAsia" w:ascii="仿宋" w:hAnsi="仿宋" w:eastAsia="仿宋" w:cs="仿宋"/>
          <w:color w:val="auto"/>
          <w:sz w:val="24"/>
          <w:highlight w:val="none"/>
        </w:rPr>
        <w:t>法定</w:t>
      </w:r>
      <w:r>
        <w:rPr>
          <w:rFonts w:ascii="仿宋" w:hAnsi="仿宋" w:eastAsia="仿宋" w:cs="仿宋"/>
          <w:color w:val="auto"/>
          <w:sz w:val="24"/>
          <w:highlight w:val="none"/>
        </w:rPr>
        <w:t>代表人</w:t>
      </w:r>
      <w:r>
        <w:rPr>
          <w:rFonts w:hint="eastAsia" w:ascii="仿宋" w:hAnsi="仿宋" w:eastAsia="仿宋" w:cs="仿宋"/>
          <w:color w:val="auto"/>
          <w:sz w:val="24"/>
          <w:highlight w:val="none"/>
        </w:rPr>
        <w:t>或其授权</w:t>
      </w:r>
      <w:r>
        <w:rPr>
          <w:rFonts w:ascii="仿宋" w:hAnsi="仿宋" w:eastAsia="仿宋" w:cs="仿宋"/>
          <w:color w:val="auto"/>
          <w:sz w:val="24"/>
          <w:highlight w:val="none"/>
        </w:rPr>
        <w:t>代表</w:t>
      </w:r>
      <w:r>
        <w:rPr>
          <w:rFonts w:hint="eastAsia" w:ascii="仿宋" w:hAnsi="仿宋" w:eastAsia="仿宋" w:cs="仿宋"/>
          <w:color w:val="auto"/>
          <w:sz w:val="24"/>
          <w:highlight w:val="none"/>
        </w:rPr>
        <w:t>人</w:t>
      </w:r>
      <w:r>
        <w:rPr>
          <w:rFonts w:ascii="仿宋" w:hAnsi="仿宋" w:eastAsia="仿宋" w:cs="仿宋"/>
          <w:color w:val="auto"/>
          <w:sz w:val="24"/>
          <w:highlight w:val="none"/>
        </w:rPr>
        <w:t>签字或加盖公章。补充和完善的内容作为</w:t>
      </w:r>
      <w:r>
        <w:rPr>
          <w:rFonts w:hint="eastAsia" w:ascii="仿宋" w:hAnsi="仿宋" w:eastAsia="仿宋" w:cs="仿宋"/>
          <w:color w:val="auto"/>
          <w:sz w:val="24"/>
          <w:highlight w:val="none"/>
        </w:rPr>
        <w:t>响应文件</w:t>
      </w:r>
      <w:r>
        <w:rPr>
          <w:rFonts w:ascii="仿宋" w:hAnsi="仿宋" w:eastAsia="仿宋" w:cs="仿宋"/>
          <w:color w:val="auto"/>
          <w:sz w:val="24"/>
          <w:highlight w:val="none"/>
        </w:rPr>
        <w:t>的组成部分</w:t>
      </w:r>
      <w:r>
        <w:rPr>
          <w:rFonts w:hint="eastAsia" w:ascii="仿宋" w:hAnsi="仿宋" w:eastAsia="仿宋" w:cs="仿宋"/>
          <w:color w:val="auto"/>
          <w:sz w:val="24"/>
          <w:highlight w:val="none"/>
        </w:rPr>
        <w:t>。评审小组应对递交</w:t>
      </w:r>
      <w:r>
        <w:rPr>
          <w:rFonts w:ascii="仿宋" w:hAnsi="仿宋" w:eastAsia="仿宋" w:cs="仿宋"/>
          <w:color w:val="auto"/>
          <w:sz w:val="24"/>
          <w:highlight w:val="none"/>
        </w:rPr>
        <w:t>补充文件的供应商重新进行初步评审，经评审仍不能通过</w:t>
      </w:r>
      <w:r>
        <w:rPr>
          <w:rFonts w:hint="eastAsia" w:ascii="仿宋" w:hAnsi="仿宋" w:eastAsia="仿宋" w:cs="仿宋"/>
          <w:color w:val="auto"/>
          <w:sz w:val="24"/>
          <w:highlight w:val="none"/>
        </w:rPr>
        <w:t>初步评审的，其响应文件做无效处理。</w:t>
      </w:r>
    </w:p>
    <w:p w14:paraId="36183B33">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5</w:t>
      </w:r>
      <w:r>
        <w:rPr>
          <w:rFonts w:hint="eastAsia" w:ascii="仿宋" w:hAnsi="仿宋" w:eastAsia="仿宋" w:cs="仿宋"/>
          <w:color w:val="auto"/>
          <w:sz w:val="24"/>
          <w:highlight w:val="none"/>
        </w:rPr>
        <w:t>.</w:t>
      </w:r>
      <w:r>
        <w:rPr>
          <w:rFonts w:ascii="仿宋" w:hAnsi="仿宋" w:eastAsia="仿宋" w:cs="仿宋"/>
          <w:color w:val="auto"/>
          <w:sz w:val="24"/>
          <w:highlight w:val="none"/>
        </w:rPr>
        <w:t>2原通过初步评审和递交补充文件后通过初步评审的供应商，合计数量高于采购</w:t>
      </w:r>
      <w:r>
        <w:rPr>
          <w:rFonts w:hint="eastAsia" w:ascii="仿宋" w:hAnsi="仿宋" w:eastAsia="仿宋" w:cs="仿宋"/>
          <w:color w:val="auto"/>
          <w:sz w:val="24"/>
          <w:highlight w:val="none"/>
        </w:rPr>
        <w:t>文件要求的成交供应商数量的改为参照谈判方式继续评审，</w:t>
      </w:r>
      <w:r>
        <w:rPr>
          <w:rFonts w:ascii="仿宋" w:hAnsi="仿宋" w:eastAsia="仿宋" w:cs="仿宋"/>
          <w:color w:val="auto"/>
          <w:sz w:val="24"/>
          <w:highlight w:val="none"/>
        </w:rPr>
        <w:t>合计数量等于采购文件要求的成交</w:t>
      </w:r>
      <w:r>
        <w:rPr>
          <w:rFonts w:hint="eastAsia" w:ascii="仿宋" w:hAnsi="仿宋" w:eastAsia="仿宋" w:cs="仿宋"/>
          <w:color w:val="auto"/>
          <w:sz w:val="24"/>
          <w:highlight w:val="none"/>
        </w:rPr>
        <w:t>供应商数量的改为参照直接采购方式继续评审。</w:t>
      </w:r>
    </w:p>
    <w:p w14:paraId="2E6618E7">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原通过初步评审和递交补充文件后通过初步评审的供应商，合计数量低于采购文件</w:t>
      </w:r>
      <w:r>
        <w:rPr>
          <w:rFonts w:hint="eastAsia" w:ascii="仿宋" w:hAnsi="仿宋" w:eastAsia="仿宋" w:cs="仿宋"/>
          <w:color w:val="auto"/>
          <w:sz w:val="24"/>
          <w:highlight w:val="none"/>
        </w:rPr>
        <w:t>要求的成交供应商数量时，采购人应终止采购。</w:t>
      </w:r>
    </w:p>
    <w:p w14:paraId="3868C6E1">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5.2.1参照谈判采购方式评审</w:t>
      </w:r>
    </w:p>
    <w:p w14:paraId="3F725386">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5.2.1.1谈判</w:t>
      </w:r>
    </w:p>
    <w:p w14:paraId="453506E5">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(1)评审小组应按照供应商递交响应文件的顺序或评审小组抽签确定的顺序与通过</w:t>
      </w:r>
      <w:r>
        <w:rPr>
          <w:rFonts w:hint="eastAsia" w:ascii="仿宋" w:hAnsi="仿宋" w:eastAsia="仿宋" w:cs="仿宋"/>
          <w:color w:val="auto"/>
          <w:sz w:val="24"/>
          <w:highlight w:val="none"/>
        </w:rPr>
        <w:t>初步评</w:t>
      </w:r>
      <w:r>
        <w:rPr>
          <w:rFonts w:ascii="仿宋" w:hAnsi="仿宋" w:eastAsia="仿宋" w:cs="仿宋"/>
          <w:color w:val="auto"/>
          <w:sz w:val="24"/>
          <w:highlight w:val="none"/>
        </w:rPr>
        <w:t>审的供应商逐一进行价格谈判。评审小组可以根据谈判情况决定谈判轮次，并给予所有参加判的供应商平等的谈判机会。</w:t>
      </w:r>
    </w:p>
    <w:p w14:paraId="12F272E0">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(2)供应商的法定代表人(单位负责人)或其授权的代理人应参加谈判。供应商的法定代表人(单位负责人)或其授权的代理人在谈判中做出的承诺构成响应文件的组成部分。</w:t>
      </w:r>
    </w:p>
    <w:p w14:paraId="317F5CDF">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(3)谈判结束后，评审小组将要求所有参加谈判的供应商在规定时间内提交最终报价。最终报价应由供应商的法定代表人(单位负责人)或其授权的代理人签字或加盖公章。最终报价是供应商响应文件的组成部分</w:t>
      </w:r>
      <w:r>
        <w:rPr>
          <w:rFonts w:hint="eastAsia" w:ascii="仿宋" w:hAnsi="仿宋" w:eastAsia="仿宋" w:cs="仿宋"/>
          <w:color w:val="auto"/>
          <w:sz w:val="24"/>
          <w:highlight w:val="none"/>
        </w:rPr>
        <w:t>。</w:t>
      </w:r>
    </w:p>
    <w:p w14:paraId="4D2F2049">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5.2.1.2公开开启最终报价</w:t>
      </w:r>
    </w:p>
    <w:p w14:paraId="1BF51705">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评审小组将在提交最终报价的截止时间公开开启最终报价，供应商未派代表参加开启会议的，视为默认开启结果</w:t>
      </w:r>
      <w:r>
        <w:rPr>
          <w:rFonts w:hint="eastAsia" w:ascii="仿宋" w:hAnsi="仿宋" w:eastAsia="仿宋" w:cs="仿宋"/>
          <w:color w:val="auto"/>
          <w:sz w:val="24"/>
          <w:highlight w:val="none"/>
        </w:rPr>
        <w:t>。</w:t>
      </w:r>
    </w:p>
    <w:p w14:paraId="27BEE02A">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5.2.1.3详细评审</w:t>
      </w:r>
    </w:p>
    <w:p w14:paraId="7BF253E6">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开始谈判前，评审小组有权对本章第3.2款规定的报价评分标准进行调整，但评审小组应在谈判开始前向供应商公布，未公布的，视为报价评分标准不做调整:详细评审标准中除报价评分标准外的其他评审标准不做调整。</w:t>
      </w:r>
    </w:p>
    <w:p w14:paraId="72290AA7">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通过谈判后评审小组认为所有供应商的最终报价仍不合理的，应向</w:t>
      </w:r>
      <w:r>
        <w:rPr>
          <w:rFonts w:hint="eastAsia" w:ascii="仿宋" w:hAnsi="仿宋" w:eastAsia="仿宋" w:cs="仿宋"/>
          <w:color w:val="auto"/>
          <w:sz w:val="24"/>
          <w:highlight w:val="none"/>
        </w:rPr>
        <w:t>采购人提出终止采购建议。</w:t>
      </w:r>
    </w:p>
    <w:p w14:paraId="236F1BA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5.2.1.4</w:t>
      </w:r>
      <w:r>
        <w:rPr>
          <w:rFonts w:ascii="仿宋" w:hAnsi="仿宋" w:eastAsia="仿宋" w:cs="仿宋"/>
          <w:color w:val="auto"/>
          <w:sz w:val="24"/>
          <w:highlight w:val="none"/>
        </w:rPr>
        <w:t>编写评审报告</w:t>
      </w:r>
    </w:p>
    <w:p w14:paraId="18DC9F34">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评审小组按本章第4.2款规定推荐候选成交供和提建议，并向</w:t>
      </w:r>
      <w:r>
        <w:rPr>
          <w:rFonts w:hint="eastAsia" w:ascii="仿宋" w:hAnsi="仿宋" w:eastAsia="仿宋" w:cs="仿宋"/>
          <w:color w:val="auto"/>
          <w:sz w:val="24"/>
          <w:highlight w:val="none"/>
        </w:rPr>
        <w:t>采购</w:t>
      </w:r>
      <w:r>
        <w:rPr>
          <w:rFonts w:ascii="仿宋" w:hAnsi="仿宋" w:eastAsia="仿宋" w:cs="仿宋"/>
          <w:color w:val="auto"/>
          <w:sz w:val="24"/>
          <w:highlight w:val="none"/>
        </w:rPr>
        <w:t>人提交书面评审报告</w:t>
      </w:r>
      <w:r>
        <w:rPr>
          <w:rFonts w:hint="eastAsia" w:ascii="仿宋" w:hAnsi="仿宋" w:eastAsia="仿宋" w:cs="仿宋"/>
          <w:color w:val="auto"/>
          <w:sz w:val="24"/>
          <w:highlight w:val="none"/>
        </w:rPr>
        <w:t>。</w:t>
      </w:r>
    </w:p>
    <w:p w14:paraId="0BCD455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5.2.2</w:t>
      </w:r>
      <w:r>
        <w:rPr>
          <w:rFonts w:ascii="仿宋" w:hAnsi="仿宋" w:eastAsia="仿宋" w:cs="仿宋"/>
          <w:color w:val="auto"/>
          <w:sz w:val="24"/>
          <w:highlight w:val="none"/>
        </w:rPr>
        <w:t>参照直接采购方式</w:t>
      </w:r>
      <w:r>
        <w:rPr>
          <w:rFonts w:hint="eastAsia" w:ascii="仿宋" w:hAnsi="仿宋" w:eastAsia="仿宋" w:cs="仿宋"/>
          <w:color w:val="auto"/>
          <w:sz w:val="24"/>
          <w:highlight w:val="none"/>
        </w:rPr>
        <w:t>评审</w:t>
      </w:r>
    </w:p>
    <w:p w14:paraId="12463DB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5.2.2.1</w:t>
      </w:r>
      <w:r>
        <w:rPr>
          <w:rFonts w:ascii="仿宋" w:hAnsi="仿宋" w:eastAsia="仿宋" w:cs="仿宋"/>
          <w:color w:val="auto"/>
          <w:sz w:val="24"/>
          <w:highlight w:val="none"/>
        </w:rPr>
        <w:t>谈判</w:t>
      </w:r>
    </w:p>
    <w:p w14:paraId="39108D64">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评审小组所有成员集中与应注行价格谈判，供应商的注定代表人或其授权的代表应参加</w:t>
      </w:r>
      <w:r>
        <w:rPr>
          <w:rFonts w:hint="eastAsia" w:ascii="仿宋" w:hAnsi="仿宋" w:eastAsia="仿宋" w:cs="仿宋"/>
          <w:color w:val="auto"/>
          <w:sz w:val="24"/>
          <w:highlight w:val="none"/>
        </w:rPr>
        <w:t>谈判</w:t>
      </w:r>
      <w:r>
        <w:rPr>
          <w:rFonts w:ascii="仿宋" w:hAnsi="仿宋" w:eastAsia="仿宋" w:cs="仿宋"/>
          <w:color w:val="auto"/>
          <w:sz w:val="24"/>
          <w:highlight w:val="none"/>
        </w:rPr>
        <w:t>，</w:t>
      </w:r>
      <w:r>
        <w:rPr>
          <w:rFonts w:hint="eastAsia" w:ascii="仿宋" w:hAnsi="仿宋" w:eastAsia="仿宋" w:cs="仿宋"/>
          <w:color w:val="auto"/>
          <w:sz w:val="24"/>
          <w:highlight w:val="none"/>
        </w:rPr>
        <w:t>谈判代表</w:t>
      </w:r>
      <w:r>
        <w:rPr>
          <w:rFonts w:ascii="仿宋" w:hAnsi="仿宋" w:eastAsia="仿宋" w:cs="仿宋"/>
          <w:color w:val="auto"/>
          <w:sz w:val="24"/>
          <w:highlight w:val="none"/>
        </w:rPr>
        <w:t>在</w:t>
      </w:r>
      <w:r>
        <w:rPr>
          <w:rFonts w:hint="eastAsia" w:ascii="仿宋" w:hAnsi="仿宋" w:eastAsia="仿宋" w:cs="仿宋"/>
          <w:color w:val="auto"/>
          <w:sz w:val="24"/>
          <w:highlight w:val="none"/>
        </w:rPr>
        <w:t>谈判</w:t>
      </w:r>
      <w:r>
        <w:rPr>
          <w:rFonts w:ascii="仿宋" w:hAnsi="仿宋" w:eastAsia="仿宋" w:cs="仿宋"/>
          <w:color w:val="auto"/>
          <w:sz w:val="24"/>
          <w:highlight w:val="none"/>
        </w:rPr>
        <w:t>中</w:t>
      </w:r>
      <w:r>
        <w:rPr>
          <w:rFonts w:hint="eastAsia" w:ascii="仿宋" w:hAnsi="仿宋" w:eastAsia="仿宋" w:cs="仿宋"/>
          <w:color w:val="auto"/>
          <w:sz w:val="24"/>
          <w:highlight w:val="none"/>
        </w:rPr>
        <w:t>作</w:t>
      </w:r>
      <w:r>
        <w:rPr>
          <w:rFonts w:ascii="仿宋" w:hAnsi="仿宋" w:eastAsia="仿宋" w:cs="仿宋"/>
          <w:color w:val="auto"/>
          <w:sz w:val="24"/>
          <w:highlight w:val="none"/>
        </w:rPr>
        <w:t>出的</w:t>
      </w:r>
      <w:r>
        <w:rPr>
          <w:rFonts w:hint="eastAsia" w:ascii="仿宋" w:hAnsi="仿宋" w:eastAsia="仿宋" w:cs="仿宋"/>
          <w:color w:val="auto"/>
          <w:sz w:val="24"/>
          <w:highlight w:val="none"/>
        </w:rPr>
        <w:t>承诺</w:t>
      </w:r>
      <w:r>
        <w:rPr>
          <w:rFonts w:ascii="仿宋" w:hAnsi="仿宋" w:eastAsia="仿宋" w:cs="仿宋"/>
          <w:color w:val="auto"/>
          <w:sz w:val="24"/>
          <w:highlight w:val="none"/>
        </w:rPr>
        <w:t>构成响应文件的组成部分，评审小组可根据需要，安排多轮</w:t>
      </w:r>
      <w:r>
        <w:rPr>
          <w:rFonts w:hint="eastAsia" w:ascii="仿宋" w:hAnsi="仿宋" w:eastAsia="仿宋" w:cs="仿宋"/>
          <w:color w:val="auto"/>
          <w:sz w:val="24"/>
          <w:highlight w:val="none"/>
        </w:rPr>
        <w:t>谈判。</w:t>
      </w:r>
    </w:p>
    <w:p w14:paraId="0F1282B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5.2.2.2</w:t>
      </w:r>
      <w:r>
        <w:rPr>
          <w:rFonts w:ascii="仿宋" w:hAnsi="仿宋" w:eastAsia="仿宋" w:cs="仿宋"/>
          <w:color w:val="auto"/>
          <w:sz w:val="24"/>
          <w:highlight w:val="none"/>
        </w:rPr>
        <w:t>详细评审</w:t>
      </w:r>
    </w:p>
    <w:p w14:paraId="36097B3B">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谈判小组通过对采购成本、供应能力、风险管控、采购目标等的分析，对拟提供标的的技术、商务进行物有所值综合评价</w:t>
      </w:r>
      <w:r>
        <w:rPr>
          <w:rFonts w:hint="eastAsia" w:ascii="仿宋" w:hAnsi="仿宋" w:eastAsia="仿宋" w:cs="仿宋"/>
          <w:color w:val="auto"/>
          <w:sz w:val="24"/>
          <w:highlight w:val="none"/>
        </w:rPr>
        <w:t>。</w:t>
      </w:r>
    </w:p>
    <w:p w14:paraId="586559F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2.2.3编写评审报告</w:t>
      </w:r>
    </w:p>
    <w:p w14:paraId="18DA6750">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谈判小组根据预期的谈判目标综合谈判纪要编写评审报告，推荐候选成交供应商或提出谈判终止建议。</w:t>
      </w:r>
    </w:p>
    <w:p w14:paraId="7065E903">
      <w:pPr>
        <w:spacing w:line="360" w:lineRule="auto"/>
        <w:rPr>
          <w:rFonts w:ascii="仿宋" w:hAnsi="仿宋" w:eastAsia="仿宋" w:cs="仿宋"/>
          <w:color w:val="auto"/>
          <w:sz w:val="24"/>
          <w:highlight w:val="none"/>
        </w:rPr>
      </w:pPr>
    </w:p>
    <w:p w14:paraId="5ECFAEC6">
      <w:pPr>
        <w:spacing w:line="360" w:lineRule="auto"/>
        <w:rPr>
          <w:rFonts w:ascii="仿宋" w:hAnsi="仿宋" w:eastAsia="仿宋" w:cs="仿宋"/>
          <w:color w:val="auto"/>
          <w:sz w:val="24"/>
          <w:highlight w:val="none"/>
        </w:rPr>
      </w:pPr>
    </w:p>
    <w:p w14:paraId="768678FB">
      <w:pPr>
        <w:spacing w:line="360" w:lineRule="auto"/>
        <w:rPr>
          <w:rFonts w:ascii="仿宋" w:hAnsi="仿宋" w:eastAsia="仿宋" w:cs="仿宋"/>
          <w:color w:val="auto"/>
          <w:sz w:val="24"/>
          <w:highlight w:val="none"/>
        </w:rPr>
      </w:pPr>
    </w:p>
    <w:p w14:paraId="5F0A31BC">
      <w:pPr>
        <w:spacing w:line="360" w:lineRule="auto"/>
        <w:rPr>
          <w:rFonts w:ascii="仿宋" w:hAnsi="仿宋" w:eastAsia="仿宋" w:cs="仿宋"/>
          <w:color w:val="auto"/>
          <w:sz w:val="24"/>
          <w:highlight w:val="none"/>
        </w:rPr>
      </w:pPr>
    </w:p>
    <w:p w14:paraId="23A6DD89">
      <w:pPr>
        <w:spacing w:line="360" w:lineRule="auto"/>
        <w:rPr>
          <w:rFonts w:ascii="仿宋" w:hAnsi="仿宋" w:eastAsia="仿宋" w:cs="仿宋"/>
          <w:color w:val="auto"/>
          <w:sz w:val="24"/>
          <w:highlight w:val="none"/>
        </w:rPr>
      </w:pPr>
    </w:p>
    <w:p w14:paraId="32DD0649">
      <w:pPr>
        <w:spacing w:line="360" w:lineRule="auto"/>
        <w:rPr>
          <w:rFonts w:ascii="仿宋" w:hAnsi="仿宋" w:eastAsia="仿宋" w:cs="仿宋"/>
          <w:color w:val="auto"/>
          <w:sz w:val="24"/>
          <w:highlight w:val="none"/>
        </w:rPr>
      </w:pPr>
    </w:p>
    <w:p w14:paraId="35D9D981">
      <w:pPr>
        <w:spacing w:line="360" w:lineRule="auto"/>
        <w:rPr>
          <w:rFonts w:ascii="仿宋" w:hAnsi="仿宋" w:eastAsia="仿宋" w:cs="仿宋"/>
          <w:color w:val="auto"/>
          <w:sz w:val="24"/>
          <w:highlight w:val="none"/>
        </w:rPr>
      </w:pPr>
    </w:p>
    <w:p w14:paraId="4B54A374">
      <w:pPr>
        <w:spacing w:line="360" w:lineRule="auto"/>
        <w:rPr>
          <w:rFonts w:ascii="仿宋" w:hAnsi="仿宋" w:eastAsia="仿宋" w:cs="仿宋"/>
          <w:color w:val="auto"/>
          <w:sz w:val="24"/>
          <w:highlight w:val="none"/>
        </w:rPr>
      </w:pPr>
    </w:p>
    <w:p w14:paraId="636E1D77">
      <w:pPr>
        <w:spacing w:line="360" w:lineRule="auto"/>
        <w:rPr>
          <w:rFonts w:ascii="仿宋" w:hAnsi="仿宋" w:eastAsia="仿宋" w:cs="仿宋"/>
          <w:color w:val="auto"/>
          <w:sz w:val="24"/>
          <w:highlight w:val="none"/>
        </w:rPr>
      </w:pPr>
    </w:p>
    <w:p w14:paraId="6D59F22C">
      <w:pPr>
        <w:spacing w:line="360" w:lineRule="auto"/>
        <w:rPr>
          <w:rFonts w:ascii="仿宋" w:hAnsi="仿宋" w:eastAsia="仿宋" w:cs="仿宋"/>
          <w:color w:val="auto"/>
          <w:sz w:val="24"/>
          <w:highlight w:val="none"/>
        </w:rPr>
      </w:pPr>
    </w:p>
    <w:p w14:paraId="3CC74C68">
      <w:pPr>
        <w:spacing w:line="360" w:lineRule="auto"/>
        <w:rPr>
          <w:rFonts w:ascii="仿宋" w:hAnsi="仿宋" w:eastAsia="仿宋" w:cs="仿宋"/>
          <w:color w:val="auto"/>
          <w:sz w:val="24"/>
          <w:highlight w:val="none"/>
        </w:rPr>
      </w:pPr>
    </w:p>
    <w:p w14:paraId="26A09EB6">
      <w:pPr>
        <w:spacing w:line="360" w:lineRule="auto"/>
        <w:rPr>
          <w:rFonts w:ascii="仿宋" w:hAnsi="仿宋" w:eastAsia="仿宋" w:cs="仿宋"/>
          <w:color w:val="auto"/>
          <w:sz w:val="24"/>
          <w:highlight w:val="none"/>
        </w:rPr>
      </w:pPr>
    </w:p>
    <w:p w14:paraId="06781FBA">
      <w:pPr>
        <w:spacing w:line="360" w:lineRule="auto"/>
        <w:rPr>
          <w:rFonts w:ascii="仿宋" w:hAnsi="仿宋" w:eastAsia="仿宋" w:cs="仿宋"/>
          <w:color w:val="auto"/>
          <w:sz w:val="24"/>
          <w:highlight w:val="none"/>
        </w:rPr>
      </w:pPr>
    </w:p>
    <w:p w14:paraId="57DFF5A2">
      <w:pPr>
        <w:spacing w:line="360" w:lineRule="auto"/>
        <w:rPr>
          <w:rFonts w:ascii="仿宋" w:hAnsi="仿宋" w:eastAsia="仿宋" w:cs="仿宋"/>
          <w:color w:val="auto"/>
          <w:sz w:val="24"/>
          <w:highlight w:val="none"/>
        </w:rPr>
      </w:pPr>
    </w:p>
    <w:p w14:paraId="45C640C6">
      <w:pPr>
        <w:spacing w:line="360" w:lineRule="auto"/>
        <w:rPr>
          <w:rFonts w:ascii="仿宋" w:hAnsi="仿宋" w:eastAsia="仿宋" w:cs="仿宋"/>
          <w:color w:val="auto"/>
          <w:sz w:val="24"/>
          <w:highlight w:val="none"/>
        </w:rPr>
      </w:pPr>
    </w:p>
    <w:p w14:paraId="1777DDC4">
      <w:pPr>
        <w:spacing w:line="360" w:lineRule="auto"/>
        <w:rPr>
          <w:rFonts w:ascii="仿宋" w:hAnsi="仿宋" w:eastAsia="仿宋" w:cs="仿宋"/>
          <w:color w:val="auto"/>
          <w:sz w:val="24"/>
          <w:highlight w:val="none"/>
        </w:rPr>
      </w:pPr>
    </w:p>
    <w:p w14:paraId="188B0D99">
      <w:pPr>
        <w:spacing w:line="360" w:lineRule="auto"/>
        <w:rPr>
          <w:rFonts w:ascii="仿宋" w:hAnsi="仿宋" w:eastAsia="仿宋" w:cs="仿宋"/>
          <w:color w:val="auto"/>
          <w:sz w:val="24"/>
          <w:highlight w:val="none"/>
        </w:rPr>
      </w:pPr>
    </w:p>
    <w:p w14:paraId="47D28311">
      <w:pPr>
        <w:spacing w:line="360" w:lineRule="auto"/>
        <w:rPr>
          <w:rFonts w:ascii="仿宋" w:hAnsi="仿宋" w:eastAsia="仿宋" w:cs="仿宋"/>
          <w:color w:val="auto"/>
          <w:sz w:val="24"/>
          <w:highlight w:val="none"/>
        </w:rPr>
      </w:pPr>
    </w:p>
    <w:p w14:paraId="4F67112B">
      <w:pPr>
        <w:spacing w:line="360" w:lineRule="auto"/>
        <w:rPr>
          <w:rFonts w:ascii="仿宋" w:hAnsi="仿宋" w:eastAsia="仿宋" w:cs="仿宋"/>
          <w:color w:val="auto"/>
          <w:sz w:val="24"/>
          <w:highlight w:val="none"/>
        </w:rPr>
      </w:pPr>
    </w:p>
    <w:p w14:paraId="7258CB18">
      <w:pPr>
        <w:pStyle w:val="2"/>
        <w:jc w:val="center"/>
        <w:rPr>
          <w:rFonts w:ascii="仿宋" w:hAnsi="仿宋" w:eastAsia="仿宋" w:cs="仿宋"/>
          <w:b w:val="0"/>
          <w:color w:val="auto"/>
          <w:sz w:val="32"/>
          <w:szCs w:val="32"/>
          <w:highlight w:val="none"/>
        </w:rPr>
      </w:pPr>
      <w:r>
        <w:rPr>
          <w:rFonts w:hint="eastAsia" w:ascii="仿宋" w:hAnsi="仿宋" w:eastAsia="仿宋" w:cs="仿宋"/>
          <w:color w:val="auto"/>
          <w:szCs w:val="28"/>
          <w:highlight w:val="none"/>
        </w:rPr>
        <w:t>第四章  合同条款及格式</w:t>
      </w:r>
      <w:bookmarkEnd w:id="80"/>
      <w:bookmarkEnd w:id="81"/>
      <w:bookmarkEnd w:id="82"/>
    </w:p>
    <w:p w14:paraId="46D61597">
      <w:pPr>
        <w:pStyle w:val="106"/>
        <w:tabs>
          <w:tab w:val="left" w:pos="2833"/>
          <w:tab w:val="center" w:pos="4442"/>
        </w:tabs>
        <w:adjustRightInd w:val="0"/>
        <w:snapToGrid w:val="0"/>
        <w:spacing w:line="576" w:lineRule="exact"/>
        <w:jc w:val="center"/>
        <w:rPr>
          <w:rFonts w:ascii="仿宋" w:hAnsi="仿宋" w:eastAsia="仿宋" w:cs="仿宋"/>
          <w:color w:val="auto"/>
          <w:sz w:val="32"/>
          <w:szCs w:val="32"/>
          <w:highlight w:val="none"/>
        </w:rPr>
      </w:pPr>
      <w:bookmarkStart w:id="83" w:name="_Toc30055"/>
      <w:bookmarkStart w:id="84" w:name="_Toc292085125"/>
      <w:bookmarkStart w:id="85" w:name="_Toc18155954"/>
      <w:bookmarkStart w:id="86" w:name="_Toc56155168"/>
      <w:bookmarkStart w:id="87" w:name="_Toc27102"/>
      <w:bookmarkStart w:id="88" w:name="_Toc312"/>
      <w:bookmarkStart w:id="89" w:name="_Toc1565917129"/>
      <w:bookmarkStart w:id="90" w:name="_Toc25766"/>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rPr>
        <w:t>仅供参考</w:t>
      </w:r>
      <w:r>
        <w:rPr>
          <w:rFonts w:hint="eastAsia" w:ascii="仿宋" w:hAnsi="仿宋" w:eastAsia="仿宋" w:cs="仿宋"/>
          <w:color w:val="auto"/>
          <w:sz w:val="32"/>
          <w:szCs w:val="32"/>
          <w:highlight w:val="none"/>
        </w:rPr>
        <w:t>）</w:t>
      </w:r>
    </w:p>
    <w:p w14:paraId="3C3FA343">
      <w:pPr>
        <w:pStyle w:val="116"/>
        <w:ind w:firstLine="643"/>
        <w:outlineLvl w:val="1"/>
        <w:rPr>
          <w:rFonts w:ascii="仿宋" w:hAnsi="仿宋" w:eastAsia="仿宋" w:cs="仿宋"/>
          <w:b w:val="0"/>
          <w:color w:val="auto"/>
          <w:highlight w:val="none"/>
        </w:rPr>
      </w:pPr>
      <w:r>
        <w:rPr>
          <w:rFonts w:hint="eastAsia" w:ascii="仿宋" w:hAnsi="仿宋" w:eastAsia="仿宋" w:cs="仿宋"/>
          <w:color w:val="auto"/>
          <w:highlight w:val="none"/>
        </w:rPr>
        <w:tab/>
      </w:r>
      <w:bookmarkEnd w:id="83"/>
      <w:bookmarkEnd w:id="84"/>
      <w:bookmarkEnd w:id="85"/>
      <w:bookmarkEnd w:id="86"/>
      <w:bookmarkEnd w:id="87"/>
      <w:bookmarkEnd w:id="88"/>
      <w:bookmarkEnd w:id="89"/>
      <w:bookmarkEnd w:id="90"/>
      <w:bookmarkStart w:id="91" w:name="_Toc25486"/>
      <w:r>
        <w:rPr>
          <w:rFonts w:hint="eastAsia" w:ascii="仿宋" w:hAnsi="仿宋" w:eastAsia="仿宋" w:cs="仿宋"/>
          <w:b w:val="0"/>
          <w:color w:val="auto"/>
          <w:highlight w:val="none"/>
        </w:rPr>
        <w:t>（此合同仅为通用样板，具体签订时应与采购人协商）</w:t>
      </w:r>
      <w:bookmarkEnd w:id="91"/>
    </w:p>
    <w:p w14:paraId="3983C8D7">
      <w:pPr>
        <w:ind w:firstLine="480"/>
        <w:rPr>
          <w:rFonts w:ascii="仿宋" w:hAnsi="仿宋" w:eastAsia="仿宋" w:cs="仿宋"/>
          <w:color w:val="auto"/>
          <w:highlight w:val="none"/>
        </w:rPr>
      </w:pPr>
    </w:p>
    <w:p w14:paraId="7EEDCD0B">
      <w:pPr>
        <w:ind w:firstLine="480"/>
        <w:rPr>
          <w:rFonts w:ascii="仿宋" w:hAnsi="仿宋" w:eastAsia="仿宋" w:cs="仿宋"/>
          <w:color w:val="auto"/>
          <w:highlight w:val="none"/>
        </w:rPr>
      </w:pPr>
    </w:p>
    <w:p w14:paraId="174D6ED2">
      <w:pPr>
        <w:spacing w:line="360" w:lineRule="auto"/>
        <w:rPr>
          <w:rFonts w:ascii="仿宋" w:hAnsi="仿宋" w:eastAsia="仿宋" w:cs="仿宋"/>
          <w:color w:val="auto"/>
          <w:sz w:val="24"/>
          <w:highlight w:val="none"/>
        </w:rPr>
      </w:pPr>
    </w:p>
    <w:p w14:paraId="3F0F2A90">
      <w:pPr>
        <w:pStyle w:val="29"/>
        <w:ind w:firstLine="480"/>
        <w:rPr>
          <w:rFonts w:ascii="仿宋" w:hAnsi="仿宋" w:eastAsia="仿宋" w:cs="仿宋"/>
          <w:color w:val="auto"/>
          <w:sz w:val="24"/>
          <w:highlight w:val="none"/>
        </w:rPr>
      </w:pPr>
    </w:p>
    <w:p w14:paraId="01140F00">
      <w:pPr>
        <w:pStyle w:val="29"/>
        <w:ind w:firstLine="480"/>
        <w:rPr>
          <w:rFonts w:ascii="仿宋" w:hAnsi="仿宋" w:eastAsia="仿宋" w:cs="仿宋"/>
          <w:color w:val="auto"/>
          <w:sz w:val="24"/>
          <w:highlight w:val="none"/>
        </w:rPr>
      </w:pPr>
    </w:p>
    <w:p w14:paraId="1859C56F">
      <w:pPr>
        <w:pStyle w:val="29"/>
        <w:ind w:firstLine="480"/>
        <w:rPr>
          <w:rFonts w:ascii="仿宋" w:hAnsi="仿宋" w:eastAsia="仿宋" w:cs="仿宋"/>
          <w:color w:val="auto"/>
          <w:sz w:val="24"/>
          <w:highlight w:val="none"/>
        </w:rPr>
      </w:pPr>
    </w:p>
    <w:p w14:paraId="583E6798">
      <w:pPr>
        <w:pStyle w:val="29"/>
        <w:ind w:firstLine="480"/>
        <w:rPr>
          <w:rFonts w:ascii="仿宋" w:hAnsi="仿宋" w:eastAsia="仿宋" w:cs="仿宋"/>
          <w:color w:val="auto"/>
          <w:sz w:val="24"/>
          <w:highlight w:val="none"/>
        </w:rPr>
      </w:pPr>
    </w:p>
    <w:p w14:paraId="6E8EB755">
      <w:pPr>
        <w:pStyle w:val="29"/>
        <w:ind w:firstLine="480"/>
        <w:rPr>
          <w:rFonts w:ascii="仿宋" w:hAnsi="仿宋" w:eastAsia="仿宋" w:cs="仿宋"/>
          <w:color w:val="auto"/>
          <w:sz w:val="24"/>
          <w:highlight w:val="none"/>
        </w:rPr>
      </w:pPr>
    </w:p>
    <w:p w14:paraId="0C183BF2">
      <w:pPr>
        <w:spacing w:line="360" w:lineRule="auto"/>
        <w:jc w:val="center"/>
        <w:rPr>
          <w:rFonts w:ascii="仿宋" w:hAnsi="仿宋" w:eastAsia="仿宋" w:cs="仿宋"/>
          <w:color w:val="auto"/>
          <w:sz w:val="48"/>
          <w:szCs w:val="48"/>
          <w:highlight w:val="none"/>
        </w:rPr>
      </w:pPr>
      <w:r>
        <w:rPr>
          <w:rFonts w:hint="eastAsia" w:ascii="仿宋" w:hAnsi="仿宋" w:eastAsia="仿宋" w:cs="仿宋"/>
          <w:color w:val="auto"/>
          <w:sz w:val="48"/>
          <w:szCs w:val="48"/>
          <w:highlight w:val="none"/>
        </w:rPr>
        <w:t>项目合同书</w:t>
      </w:r>
    </w:p>
    <w:p w14:paraId="24420AE4">
      <w:pPr>
        <w:pStyle w:val="8"/>
        <w:rPr>
          <w:rFonts w:ascii="仿宋" w:hAnsi="仿宋" w:eastAsia="仿宋" w:cs="仿宋"/>
          <w:color w:val="auto"/>
          <w:sz w:val="48"/>
          <w:szCs w:val="48"/>
          <w:highlight w:val="none"/>
        </w:rPr>
      </w:pPr>
    </w:p>
    <w:p w14:paraId="1DF866DE">
      <w:pPr>
        <w:rPr>
          <w:rFonts w:ascii="仿宋" w:hAnsi="仿宋" w:eastAsia="仿宋" w:cs="仿宋"/>
          <w:color w:val="auto"/>
          <w:sz w:val="48"/>
          <w:szCs w:val="48"/>
          <w:highlight w:val="none"/>
        </w:rPr>
      </w:pPr>
    </w:p>
    <w:p w14:paraId="6A327998">
      <w:pPr>
        <w:pStyle w:val="29"/>
        <w:ind w:firstLine="560"/>
        <w:rPr>
          <w:rFonts w:ascii="仿宋" w:hAnsi="仿宋" w:eastAsia="仿宋" w:cs="仿宋"/>
          <w:color w:val="auto"/>
          <w:highlight w:val="none"/>
        </w:rPr>
      </w:pPr>
    </w:p>
    <w:p w14:paraId="193A105D">
      <w:pPr>
        <w:rPr>
          <w:rFonts w:ascii="仿宋" w:hAnsi="仿宋" w:eastAsia="仿宋" w:cs="仿宋"/>
          <w:color w:val="auto"/>
          <w:highlight w:val="none"/>
        </w:rPr>
      </w:pPr>
    </w:p>
    <w:p w14:paraId="3CA57F90">
      <w:pPr>
        <w:widowControl/>
        <w:adjustRightInd w:val="0"/>
        <w:snapToGrid w:val="0"/>
        <w:spacing w:line="60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采购项目名称：</w:t>
      </w:r>
    </w:p>
    <w:p w14:paraId="5B09B182">
      <w:pPr>
        <w:widowControl/>
        <w:adjustRightInd w:val="0"/>
        <w:snapToGrid w:val="0"/>
        <w:spacing w:line="600" w:lineRule="exact"/>
        <w:ind w:firstLine="480" w:firstLineChars="200"/>
        <w:rPr>
          <w:rFonts w:ascii="仿宋" w:hAnsi="仿宋" w:eastAsia="仿宋" w:cs="仿宋"/>
          <w:i/>
          <w:color w:val="auto"/>
          <w:sz w:val="24"/>
          <w:highlight w:val="none"/>
          <w:u w:val="single"/>
        </w:rPr>
      </w:pPr>
      <w:r>
        <w:rPr>
          <w:rFonts w:hint="eastAsia" w:ascii="仿宋" w:hAnsi="仿宋" w:eastAsia="仿宋" w:cs="仿宋"/>
          <w:color w:val="auto"/>
          <w:sz w:val="24"/>
          <w:highlight w:val="none"/>
        </w:rPr>
        <w:t>采购合同编号：</w:t>
      </w:r>
    </w:p>
    <w:p w14:paraId="67DF6509">
      <w:pPr>
        <w:widowControl/>
        <w:adjustRightInd w:val="0"/>
        <w:snapToGrid w:val="0"/>
        <w:spacing w:line="60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合同金额（人民币）：</w:t>
      </w:r>
    </w:p>
    <w:p w14:paraId="07C840BA">
      <w:pPr>
        <w:widowControl/>
        <w:adjustRightInd w:val="0"/>
        <w:snapToGrid w:val="0"/>
        <w:spacing w:line="60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采购单位（委托方）：</w:t>
      </w:r>
    </w:p>
    <w:p w14:paraId="377FCF9A">
      <w:pPr>
        <w:widowControl/>
        <w:adjustRightInd w:val="0"/>
        <w:snapToGrid w:val="0"/>
        <w:spacing w:line="600" w:lineRule="exact"/>
        <w:ind w:firstLine="480" w:firstLineChars="2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成交供应商（受托方）：</w:t>
      </w:r>
    </w:p>
    <w:p w14:paraId="052E7024">
      <w:pPr>
        <w:widowControl/>
        <w:adjustRightInd w:val="0"/>
        <w:snapToGrid w:val="0"/>
        <w:spacing w:line="60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签订日期：</w:t>
      </w:r>
    </w:p>
    <w:p w14:paraId="461535E0">
      <w:pPr>
        <w:ind w:firstLine="482"/>
        <w:rPr>
          <w:rFonts w:ascii="仿宋" w:hAnsi="仿宋" w:eastAsia="仿宋" w:cs="仿宋"/>
          <w:color w:val="auto"/>
          <w:sz w:val="24"/>
          <w:highlight w:val="none"/>
        </w:rPr>
      </w:pPr>
    </w:p>
    <w:p w14:paraId="75D1FE8C">
      <w:pPr>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br w:type="page"/>
      </w:r>
    </w:p>
    <w:p w14:paraId="6C27DD7A">
      <w:pPr>
        <w:autoSpaceDE w:val="0"/>
        <w:autoSpaceDN w:val="0"/>
        <w:adjustRightIn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zh-CN"/>
        </w:rPr>
        <w:t>采购人（以下简称甲方）：</w:t>
      </w:r>
    </w:p>
    <w:p w14:paraId="65CC1F06">
      <w:pPr>
        <w:autoSpaceDE w:val="0"/>
        <w:autoSpaceDN w:val="0"/>
        <w:adjustRightIn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zh-CN"/>
        </w:rPr>
        <w:t>供应商（以下简称乙方）：</w:t>
      </w:r>
    </w:p>
    <w:p w14:paraId="1A2B1329">
      <w:pPr>
        <w:pStyle w:val="12"/>
        <w:tabs>
          <w:tab w:val="left" w:pos="2160"/>
        </w:tabs>
        <w:spacing w:line="360" w:lineRule="auto"/>
        <w:ind w:firstLine="24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甲、乙双方根据</w:t>
      </w:r>
      <w:r>
        <w:rPr>
          <w:rFonts w:hint="eastAsia" w:ascii="仿宋" w:hAnsi="仿宋" w:eastAsia="仿宋" w:cs="仿宋"/>
          <w:color w:val="auto"/>
          <w:sz w:val="24"/>
          <w:highlight w:val="none"/>
          <w:u w:val="single"/>
          <w:lang w:val="zh-CN"/>
        </w:rPr>
        <w:t>（</w:t>
      </w:r>
      <w:r>
        <w:rPr>
          <w:rFonts w:hint="eastAsia" w:ascii="仿宋" w:hAnsi="仿宋" w:eastAsia="仿宋" w:cs="仿宋"/>
          <w:color w:val="auto"/>
          <w:sz w:val="24"/>
          <w:highlight w:val="none"/>
          <w:u w:val="single"/>
        </w:rPr>
        <w:t>项目名称及编号</w:t>
      </w:r>
      <w:r>
        <w:rPr>
          <w:rFonts w:hint="eastAsia" w:ascii="仿宋" w:hAnsi="仿宋" w:eastAsia="仿宋" w:cs="仿宋"/>
          <w:color w:val="auto"/>
          <w:sz w:val="24"/>
          <w:highlight w:val="none"/>
          <w:u w:val="single"/>
          <w:lang w:val="zh-CN"/>
        </w:rPr>
        <w:t>）</w:t>
      </w:r>
      <w:r>
        <w:rPr>
          <w:rFonts w:hint="eastAsia" w:ascii="仿宋" w:hAnsi="仿宋" w:eastAsia="仿宋" w:cs="仿宋"/>
          <w:color w:val="auto"/>
          <w:sz w:val="24"/>
          <w:highlight w:val="none"/>
          <w:lang w:val="zh-CN"/>
        </w:rPr>
        <w:t>的询比文件要求、成交人响应文件内容及承诺和采购代理机构出具的《成交通知书》，并经双方协商一致，签订本合同协议书。</w:t>
      </w:r>
    </w:p>
    <w:p w14:paraId="52FD11DC">
      <w:pPr>
        <w:autoSpaceDE w:val="0"/>
        <w:autoSpaceDN w:val="0"/>
        <w:adjustRightInd w:val="0"/>
        <w:spacing w:line="360" w:lineRule="auto"/>
        <w:outlineLvl w:val="1"/>
        <w:rPr>
          <w:rFonts w:ascii="仿宋" w:hAnsi="仿宋" w:eastAsia="仿宋" w:cs="仿宋"/>
          <w:color w:val="auto"/>
          <w:sz w:val="24"/>
          <w:highlight w:val="none"/>
          <w:lang w:val="zh-CN"/>
        </w:rPr>
      </w:pPr>
      <w:bookmarkStart w:id="92" w:name="_Toc4301"/>
      <w:r>
        <w:rPr>
          <w:rFonts w:hint="eastAsia" w:ascii="仿宋" w:hAnsi="仿宋" w:eastAsia="仿宋" w:cs="仿宋"/>
          <w:color w:val="auto"/>
          <w:sz w:val="24"/>
          <w:highlight w:val="none"/>
          <w:lang w:val="zh-CN"/>
        </w:rPr>
        <w:t>一、签订采购合同的依据</w:t>
      </w:r>
      <w:bookmarkEnd w:id="92"/>
    </w:p>
    <w:p w14:paraId="47D7CDB6">
      <w:pPr>
        <w:autoSpaceDE w:val="0"/>
        <w:autoSpaceDN w:val="0"/>
        <w:adjustRightInd w:val="0"/>
        <w:spacing w:line="360" w:lineRule="auto"/>
        <w:ind w:firstLine="480" w:firstLineChars="20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本采购合同所附下列文件是构成本政府采购合同不可分割的部分：</w:t>
      </w:r>
    </w:p>
    <w:p w14:paraId="440750BA">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kern w:val="0"/>
          <w:sz w:val="24"/>
          <w:highlight w:val="none"/>
        </w:rPr>
        <w:t xml:space="preserve">1.询比文件； </w:t>
      </w:r>
    </w:p>
    <w:p w14:paraId="36F4CD1C">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kern w:val="0"/>
          <w:sz w:val="24"/>
          <w:highlight w:val="none"/>
        </w:rPr>
        <w:t xml:space="preserve">2.询比文件的更正、变更公告； </w:t>
      </w:r>
    </w:p>
    <w:p w14:paraId="5F4ADBFF">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kern w:val="0"/>
          <w:sz w:val="24"/>
          <w:highlight w:val="none"/>
        </w:rPr>
        <w:t xml:space="preserve">3.成交供应商提交的响应文件； </w:t>
      </w:r>
    </w:p>
    <w:p w14:paraId="04C8EF4B">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kern w:val="0"/>
          <w:sz w:val="24"/>
          <w:highlight w:val="none"/>
        </w:rPr>
        <w:t xml:space="preserve">4.询比文件中规定的合同通用条款； </w:t>
      </w:r>
    </w:p>
    <w:p w14:paraId="3D77BD06">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kern w:val="0"/>
          <w:sz w:val="24"/>
          <w:highlight w:val="none"/>
        </w:rPr>
        <w:t xml:space="preserve">5.成交通知书； </w:t>
      </w:r>
    </w:p>
    <w:p w14:paraId="5D71F6F0">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kern w:val="0"/>
          <w:sz w:val="24"/>
          <w:highlight w:val="none"/>
        </w:rPr>
        <w:t>6. 甲、乙双方签订的补充协议。</w:t>
      </w:r>
    </w:p>
    <w:p w14:paraId="693E6A37">
      <w:pPr>
        <w:autoSpaceDE w:val="0"/>
        <w:autoSpaceDN w:val="0"/>
        <w:adjustRightInd w:val="0"/>
        <w:spacing w:line="360" w:lineRule="auto"/>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二、合同标的及金额                                       单位：元</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999"/>
        <w:gridCol w:w="2308"/>
        <w:gridCol w:w="1101"/>
        <w:gridCol w:w="1287"/>
      </w:tblGrid>
      <w:tr w14:paraId="2F3B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jc w:val="center"/>
        </w:trPr>
        <w:tc>
          <w:tcPr>
            <w:tcW w:w="763" w:type="dxa"/>
            <w:noWrap/>
            <w:vAlign w:val="center"/>
          </w:tcPr>
          <w:p w14:paraId="6677D392">
            <w:pPr>
              <w:autoSpaceDE w:val="0"/>
              <w:autoSpaceDN w:val="0"/>
              <w:adjustRightInd w:val="0"/>
              <w:spacing w:line="360" w:lineRule="auto"/>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序号</w:t>
            </w:r>
          </w:p>
        </w:tc>
        <w:tc>
          <w:tcPr>
            <w:tcW w:w="2999" w:type="dxa"/>
            <w:noWrap/>
            <w:vAlign w:val="center"/>
          </w:tcPr>
          <w:p w14:paraId="1BC2B0CB">
            <w:pPr>
              <w:autoSpaceDE w:val="0"/>
              <w:autoSpaceDN w:val="0"/>
              <w:adjustRightInd w:val="0"/>
              <w:spacing w:line="360" w:lineRule="auto"/>
              <w:jc w:val="center"/>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采购服务内容名称</w:t>
            </w:r>
          </w:p>
        </w:tc>
        <w:tc>
          <w:tcPr>
            <w:tcW w:w="2308" w:type="dxa"/>
            <w:noWrap/>
            <w:vAlign w:val="center"/>
          </w:tcPr>
          <w:p w14:paraId="503086A5">
            <w:pPr>
              <w:autoSpaceDE w:val="0"/>
              <w:autoSpaceDN w:val="0"/>
              <w:adjustRightInd w:val="0"/>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lang w:val="zh-CN"/>
              </w:rPr>
              <w:t>服务</w:t>
            </w:r>
            <w:r>
              <w:rPr>
                <w:rFonts w:hint="eastAsia" w:ascii="仿宋" w:hAnsi="仿宋" w:eastAsia="仿宋" w:cs="仿宋"/>
                <w:color w:val="auto"/>
                <w:sz w:val="24"/>
                <w:highlight w:val="none"/>
              </w:rPr>
              <w:t>期限</w:t>
            </w:r>
          </w:p>
        </w:tc>
        <w:tc>
          <w:tcPr>
            <w:tcW w:w="1101" w:type="dxa"/>
            <w:noWrap/>
            <w:vAlign w:val="center"/>
          </w:tcPr>
          <w:p w14:paraId="48635106">
            <w:pPr>
              <w:autoSpaceDE w:val="0"/>
              <w:autoSpaceDN w:val="0"/>
              <w:adjustRightInd w:val="0"/>
              <w:spacing w:line="360" w:lineRule="auto"/>
              <w:jc w:val="center"/>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总价</w:t>
            </w:r>
          </w:p>
          <w:p w14:paraId="282E1580">
            <w:pPr>
              <w:autoSpaceDE w:val="0"/>
              <w:autoSpaceDN w:val="0"/>
              <w:adjustRightInd w:val="0"/>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费率)</w:t>
            </w:r>
          </w:p>
        </w:tc>
        <w:tc>
          <w:tcPr>
            <w:tcW w:w="1287" w:type="dxa"/>
            <w:noWrap/>
            <w:vAlign w:val="center"/>
          </w:tcPr>
          <w:p w14:paraId="2BFA28D5">
            <w:pPr>
              <w:autoSpaceDE w:val="0"/>
              <w:autoSpaceDN w:val="0"/>
              <w:adjustRightInd w:val="0"/>
              <w:spacing w:line="360" w:lineRule="auto"/>
              <w:jc w:val="center"/>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备注</w:t>
            </w:r>
          </w:p>
        </w:tc>
      </w:tr>
      <w:tr w14:paraId="7BDE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763" w:type="dxa"/>
            <w:noWrap/>
            <w:vAlign w:val="center"/>
          </w:tcPr>
          <w:p w14:paraId="3631CF0B">
            <w:pPr>
              <w:autoSpaceDE w:val="0"/>
              <w:autoSpaceDN w:val="0"/>
              <w:adjustRightInd w:val="0"/>
              <w:spacing w:line="360" w:lineRule="auto"/>
              <w:rPr>
                <w:rFonts w:ascii="仿宋" w:hAnsi="仿宋" w:eastAsia="仿宋" w:cs="仿宋"/>
                <w:color w:val="auto"/>
                <w:sz w:val="24"/>
                <w:highlight w:val="none"/>
                <w:lang w:val="zh-CN"/>
              </w:rPr>
            </w:pPr>
          </w:p>
        </w:tc>
        <w:tc>
          <w:tcPr>
            <w:tcW w:w="2999" w:type="dxa"/>
            <w:noWrap/>
            <w:vAlign w:val="center"/>
          </w:tcPr>
          <w:p w14:paraId="65F42FE7">
            <w:pPr>
              <w:autoSpaceDE w:val="0"/>
              <w:autoSpaceDN w:val="0"/>
              <w:adjustRightInd w:val="0"/>
              <w:spacing w:line="360" w:lineRule="auto"/>
              <w:rPr>
                <w:rFonts w:ascii="仿宋" w:hAnsi="仿宋" w:eastAsia="仿宋" w:cs="仿宋"/>
                <w:color w:val="auto"/>
                <w:sz w:val="24"/>
                <w:highlight w:val="none"/>
                <w:lang w:val="zh-CN"/>
              </w:rPr>
            </w:pPr>
          </w:p>
        </w:tc>
        <w:tc>
          <w:tcPr>
            <w:tcW w:w="2308" w:type="dxa"/>
            <w:noWrap/>
            <w:vAlign w:val="center"/>
          </w:tcPr>
          <w:p w14:paraId="27AB17AE">
            <w:pPr>
              <w:autoSpaceDE w:val="0"/>
              <w:autoSpaceDN w:val="0"/>
              <w:adjustRightInd w:val="0"/>
              <w:spacing w:line="360" w:lineRule="auto"/>
              <w:rPr>
                <w:rFonts w:ascii="仿宋" w:hAnsi="仿宋" w:eastAsia="仿宋" w:cs="仿宋"/>
                <w:color w:val="auto"/>
                <w:sz w:val="24"/>
                <w:highlight w:val="none"/>
                <w:lang w:val="zh-CN"/>
              </w:rPr>
            </w:pPr>
          </w:p>
        </w:tc>
        <w:tc>
          <w:tcPr>
            <w:tcW w:w="1101" w:type="dxa"/>
            <w:noWrap/>
            <w:vAlign w:val="center"/>
          </w:tcPr>
          <w:p w14:paraId="180A8FAA">
            <w:pPr>
              <w:autoSpaceDE w:val="0"/>
              <w:autoSpaceDN w:val="0"/>
              <w:adjustRightInd w:val="0"/>
              <w:spacing w:line="360" w:lineRule="auto"/>
              <w:rPr>
                <w:rFonts w:ascii="仿宋" w:hAnsi="仿宋" w:eastAsia="仿宋" w:cs="仿宋"/>
                <w:color w:val="auto"/>
                <w:sz w:val="24"/>
                <w:highlight w:val="none"/>
                <w:lang w:val="zh-CN"/>
              </w:rPr>
            </w:pPr>
          </w:p>
        </w:tc>
        <w:tc>
          <w:tcPr>
            <w:tcW w:w="1287" w:type="dxa"/>
            <w:noWrap/>
            <w:vAlign w:val="center"/>
          </w:tcPr>
          <w:p w14:paraId="4C764350">
            <w:pPr>
              <w:autoSpaceDE w:val="0"/>
              <w:autoSpaceDN w:val="0"/>
              <w:adjustRightInd w:val="0"/>
              <w:spacing w:line="360" w:lineRule="auto"/>
              <w:rPr>
                <w:rFonts w:ascii="仿宋" w:hAnsi="仿宋" w:eastAsia="仿宋" w:cs="仿宋"/>
                <w:color w:val="auto"/>
                <w:sz w:val="24"/>
                <w:highlight w:val="none"/>
                <w:lang w:val="zh-CN"/>
              </w:rPr>
            </w:pPr>
          </w:p>
        </w:tc>
      </w:tr>
    </w:tbl>
    <w:p w14:paraId="7E67F241">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根据上述合同文件要求，本合同的总金额（</w:t>
      </w:r>
      <w:r>
        <w:rPr>
          <w:rFonts w:hint="eastAsia" w:ascii="仿宋" w:hAnsi="仿宋" w:eastAsia="仿宋" w:cs="仿宋"/>
          <w:color w:val="auto"/>
          <w:sz w:val="24"/>
          <w:highlight w:val="none"/>
        </w:rPr>
        <w:t>费率）</w:t>
      </w:r>
      <w:r>
        <w:rPr>
          <w:rFonts w:hint="eastAsia" w:ascii="仿宋" w:hAnsi="仿宋" w:eastAsia="仿宋" w:cs="仿宋"/>
          <w:color w:val="auto"/>
          <w:sz w:val="24"/>
          <w:highlight w:val="none"/>
          <w:lang w:val="zh-CN"/>
        </w:rPr>
        <w:t>为。</w:t>
      </w:r>
    </w:p>
    <w:p w14:paraId="79B69921">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本合同以人民币进行结算，合同总价包括：服务费、</w:t>
      </w:r>
      <w:r>
        <w:rPr>
          <w:rFonts w:hint="eastAsia" w:ascii="仿宋" w:hAnsi="仿宋" w:eastAsia="仿宋" w:cs="仿宋"/>
          <w:color w:val="auto"/>
          <w:sz w:val="24"/>
          <w:highlight w:val="none"/>
        </w:rPr>
        <w:t>人员工资</w:t>
      </w:r>
      <w:r>
        <w:rPr>
          <w:rFonts w:hint="eastAsia" w:ascii="仿宋" w:hAnsi="仿宋" w:eastAsia="仿宋" w:cs="仿宋"/>
          <w:color w:val="auto"/>
          <w:sz w:val="24"/>
          <w:highlight w:val="none"/>
          <w:lang w:val="zh-CN"/>
        </w:rPr>
        <w:t>、保险费、税金及不可预见费等全部费用。</w:t>
      </w:r>
    </w:p>
    <w:p w14:paraId="76C63182">
      <w:pPr>
        <w:pStyle w:val="3"/>
        <w:keepNext w:val="0"/>
        <w:keepLines w:val="0"/>
        <w:spacing w:before="0" w:after="0" w:line="360" w:lineRule="auto"/>
        <w:rPr>
          <w:rFonts w:ascii="仿宋" w:hAnsi="仿宋" w:eastAsia="仿宋" w:cs="仿宋"/>
          <w:b w:val="0"/>
          <w:bCs w:val="0"/>
          <w:color w:val="auto"/>
          <w:sz w:val="24"/>
          <w:szCs w:val="24"/>
          <w:highlight w:val="none"/>
          <w:lang w:val="zh-CN"/>
        </w:rPr>
      </w:pPr>
      <w:bookmarkStart w:id="93" w:name="_Toc29311"/>
      <w:r>
        <w:rPr>
          <w:rFonts w:hint="eastAsia" w:ascii="仿宋" w:hAnsi="仿宋" w:eastAsia="仿宋" w:cs="仿宋"/>
          <w:b w:val="0"/>
          <w:bCs w:val="0"/>
          <w:color w:val="auto"/>
          <w:sz w:val="24"/>
          <w:szCs w:val="24"/>
          <w:highlight w:val="none"/>
          <w:lang w:val="zh-CN"/>
        </w:rPr>
        <w:t>三、服务范围及内容：</w:t>
      </w:r>
      <w:bookmarkEnd w:id="93"/>
    </w:p>
    <w:p w14:paraId="04D96811">
      <w:pPr>
        <w:pStyle w:val="3"/>
        <w:keepNext w:val="0"/>
        <w:keepLines w:val="0"/>
        <w:spacing w:before="0" w:after="0" w:line="360" w:lineRule="auto"/>
        <w:rPr>
          <w:rFonts w:ascii="仿宋" w:hAnsi="仿宋" w:eastAsia="仿宋" w:cs="仿宋"/>
          <w:b w:val="0"/>
          <w:bCs w:val="0"/>
          <w:color w:val="auto"/>
          <w:sz w:val="24"/>
          <w:szCs w:val="24"/>
          <w:highlight w:val="none"/>
          <w:lang w:val="zh-CN"/>
        </w:rPr>
      </w:pPr>
      <w:bookmarkStart w:id="94" w:name="_Toc6728"/>
      <w:r>
        <w:rPr>
          <w:rFonts w:hint="eastAsia" w:ascii="仿宋" w:hAnsi="仿宋" w:eastAsia="仿宋" w:cs="仿宋"/>
          <w:b w:val="0"/>
          <w:bCs w:val="0"/>
          <w:color w:val="auto"/>
          <w:sz w:val="24"/>
          <w:szCs w:val="24"/>
          <w:highlight w:val="none"/>
          <w:lang w:val="zh-CN"/>
        </w:rPr>
        <w:t>四、服务期限、地点和要求</w:t>
      </w:r>
      <w:bookmarkEnd w:id="94"/>
    </w:p>
    <w:p w14:paraId="07573E73">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1.服务期限：</w:t>
      </w:r>
    </w:p>
    <w:p w14:paraId="41E01447">
      <w:pPr>
        <w:autoSpaceDE w:val="0"/>
        <w:autoSpaceDN w:val="0"/>
        <w:adjustRightInd w:val="0"/>
        <w:spacing w:line="360" w:lineRule="auto"/>
        <w:ind w:firstLine="720" w:firstLineChars="30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服务地点：</w:t>
      </w:r>
    </w:p>
    <w:p w14:paraId="4DA11E27">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2.乙方提供不符合响应文件和本合同规定的服务内容，甲方有权拒绝接受。</w:t>
      </w:r>
    </w:p>
    <w:p w14:paraId="2B38051F">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3.乙方应将提供服务内容的清单及实施方案交付给甲方，甲方在乙方履约过程中进行监督。</w:t>
      </w:r>
    </w:p>
    <w:p w14:paraId="0CC6CB2E">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5. 甲方在验收过程中发现乙方有违约问题，可按招、响应文件的规定要求乙方及时予以解决。</w:t>
      </w:r>
    </w:p>
    <w:p w14:paraId="4697D91B">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6.乙方向甲方提供产品相关完税销售发票。</w:t>
      </w:r>
    </w:p>
    <w:p w14:paraId="612D3494">
      <w:pPr>
        <w:autoSpaceDE w:val="0"/>
        <w:autoSpaceDN w:val="0"/>
        <w:adjustRightInd w:val="0"/>
        <w:spacing w:line="360" w:lineRule="auto"/>
        <w:ind w:firstLine="480"/>
        <w:outlineLvl w:val="1"/>
        <w:rPr>
          <w:rFonts w:ascii="仿宋" w:hAnsi="仿宋" w:eastAsia="仿宋" w:cs="仿宋"/>
          <w:color w:val="auto"/>
          <w:sz w:val="24"/>
          <w:highlight w:val="none"/>
          <w:lang w:val="zh-CN"/>
        </w:rPr>
      </w:pPr>
      <w:bookmarkStart w:id="95" w:name="_Toc24768"/>
      <w:r>
        <w:rPr>
          <w:rFonts w:hint="eastAsia" w:ascii="仿宋" w:hAnsi="仿宋" w:eastAsia="仿宋" w:cs="仿宋"/>
          <w:color w:val="auto"/>
          <w:sz w:val="24"/>
          <w:highlight w:val="none"/>
          <w:lang w:val="zh-CN"/>
        </w:rPr>
        <w:t>五、付款方式</w:t>
      </w:r>
      <w:bookmarkEnd w:id="95"/>
    </w:p>
    <w:p w14:paraId="2B98750E">
      <w:pPr>
        <w:autoSpaceDE w:val="0"/>
        <w:autoSpaceDN w:val="0"/>
        <w:adjustRightInd w:val="0"/>
        <w:spacing w:line="360" w:lineRule="auto"/>
        <w:ind w:firstLine="480"/>
        <w:outlineLvl w:val="1"/>
        <w:rPr>
          <w:rFonts w:ascii="宋体" w:hAnsi="宋体" w:cs="宋体"/>
          <w:color w:val="auto"/>
          <w:sz w:val="24"/>
          <w:highlight w:val="none"/>
        </w:rPr>
      </w:pPr>
      <w:bookmarkStart w:id="96" w:name="_Toc9866"/>
      <w:r>
        <w:rPr>
          <w:rFonts w:hint="eastAsia" w:ascii="仿宋" w:hAnsi="仿宋" w:eastAsia="仿宋" w:cs="仿宋"/>
          <w:color w:val="auto"/>
          <w:sz w:val="24"/>
          <w:highlight w:val="none"/>
        </w:rPr>
        <w:t>合同签订后，甲乙双方自行约定。</w:t>
      </w:r>
    </w:p>
    <w:p w14:paraId="1CF6D413">
      <w:pPr>
        <w:autoSpaceDE w:val="0"/>
        <w:autoSpaceDN w:val="0"/>
        <w:adjustRightInd w:val="0"/>
        <w:spacing w:line="360" w:lineRule="auto"/>
        <w:ind w:firstLine="480"/>
        <w:outlineLvl w:val="1"/>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六、合同的变更、终止与转让</w:t>
      </w:r>
      <w:bookmarkEnd w:id="96"/>
    </w:p>
    <w:p w14:paraId="3C6C63AF">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1.除《中华人民共和国</w:t>
      </w:r>
      <w:r>
        <w:rPr>
          <w:rFonts w:hint="eastAsia" w:ascii="仿宋" w:hAnsi="仿宋" w:eastAsia="仿宋" w:cs="仿宋"/>
          <w:color w:val="auto"/>
          <w:sz w:val="24"/>
          <w:highlight w:val="none"/>
        </w:rPr>
        <w:t>招标投标法</w:t>
      </w:r>
      <w:r>
        <w:rPr>
          <w:rFonts w:hint="eastAsia" w:ascii="仿宋" w:hAnsi="仿宋" w:eastAsia="仿宋" w:cs="仿宋"/>
          <w:color w:val="auto"/>
          <w:sz w:val="24"/>
          <w:highlight w:val="none"/>
          <w:lang w:val="zh-CN"/>
        </w:rPr>
        <w:t>》规定的情形外，本合同一经签订，甲乙双方不得擅自变更、中止或终止。</w:t>
      </w:r>
    </w:p>
    <w:p w14:paraId="0ACC8918">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2.乙方不得擅自转让其应履行的合同义务。</w:t>
      </w:r>
    </w:p>
    <w:p w14:paraId="44484244">
      <w:pPr>
        <w:autoSpaceDE w:val="0"/>
        <w:autoSpaceDN w:val="0"/>
        <w:adjustRightInd w:val="0"/>
        <w:spacing w:line="360" w:lineRule="auto"/>
        <w:ind w:firstLine="480"/>
        <w:outlineLvl w:val="1"/>
        <w:rPr>
          <w:rFonts w:ascii="仿宋" w:hAnsi="仿宋" w:eastAsia="仿宋" w:cs="仿宋"/>
          <w:color w:val="auto"/>
          <w:sz w:val="24"/>
          <w:highlight w:val="none"/>
          <w:lang w:val="zh-CN"/>
        </w:rPr>
      </w:pPr>
      <w:bookmarkStart w:id="97" w:name="_Toc20873"/>
      <w:r>
        <w:rPr>
          <w:rFonts w:hint="eastAsia" w:ascii="仿宋" w:hAnsi="仿宋" w:eastAsia="仿宋" w:cs="仿宋"/>
          <w:color w:val="auto"/>
          <w:sz w:val="24"/>
          <w:highlight w:val="none"/>
          <w:lang w:val="zh-CN"/>
        </w:rPr>
        <w:t>七、违约责任</w:t>
      </w:r>
      <w:bookmarkEnd w:id="97"/>
    </w:p>
    <w:p w14:paraId="74052B45">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乙方所提供的服务内容等不合格的，应及时调整；调整不及时的，按不履行合同约定内容进行处罚；因服务内容严重不合格问题甲方不同意接收的，甲方有权终止合同，并由乙方赔偿由此引起的甲方的一切经济损失。</w:t>
      </w:r>
    </w:p>
    <w:p w14:paraId="22041DA9">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2.乙方提供服务期间如侵犯了第三方权益而引发纠纷或诉讼的，均由乙方负责交涉并承担全部责任。</w:t>
      </w:r>
    </w:p>
    <w:p w14:paraId="0CB8E421">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3.因供应商操作不当引起的甲方设备损坏，按设备原价格处罚。</w:t>
      </w:r>
    </w:p>
    <w:p w14:paraId="5D6E4654">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4.甲方无故延期接受服务和乙方逾期不履约的，每天应向对方偿付未履行服务的货款3%的违约金，但违约金累计不得超过违约货款的5%，超过 30 天对方有权解除合同，违约方承担因此给对方造成的经济损失 。</w:t>
      </w:r>
    </w:p>
    <w:p w14:paraId="7A958EEC">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5.乙方未按本合同和响应文件中规定的服务承诺提供服务的，乙方应按本合同合计金额的5%向甲方支付违约金。</w:t>
      </w:r>
    </w:p>
    <w:p w14:paraId="3E927E24">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6.其它违约行为按违约货款额5%收取违约金并赔偿经济损失。</w:t>
      </w:r>
    </w:p>
    <w:p w14:paraId="4B367A05">
      <w:pPr>
        <w:autoSpaceDE w:val="0"/>
        <w:autoSpaceDN w:val="0"/>
        <w:adjustRightInd w:val="0"/>
        <w:spacing w:line="360" w:lineRule="auto"/>
        <w:ind w:firstLine="480"/>
        <w:outlineLvl w:val="1"/>
        <w:rPr>
          <w:rFonts w:ascii="仿宋" w:hAnsi="仿宋" w:eastAsia="仿宋" w:cs="仿宋"/>
          <w:color w:val="auto"/>
          <w:sz w:val="24"/>
          <w:highlight w:val="none"/>
          <w:lang w:val="zh-CN"/>
        </w:rPr>
      </w:pPr>
      <w:bookmarkStart w:id="98" w:name="_Toc17320"/>
      <w:r>
        <w:rPr>
          <w:rFonts w:hint="eastAsia" w:ascii="仿宋" w:hAnsi="仿宋" w:eastAsia="仿宋" w:cs="仿宋"/>
          <w:color w:val="auto"/>
          <w:sz w:val="24"/>
          <w:highlight w:val="none"/>
          <w:lang w:val="zh-CN"/>
        </w:rPr>
        <w:t>八、不可抗力</w:t>
      </w:r>
      <w:bookmarkEnd w:id="98"/>
    </w:p>
    <w:p w14:paraId="0E9D3B8B">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1.不可抗力使合同的某些内容有变更必要的，双方应通过协商在 30 天内达成进一步履行合同的协议，因不可抗力致使合同不能履行的，合同终止。</w:t>
      </w:r>
    </w:p>
    <w:p w14:paraId="1C9779EF">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2.除法律、法规规定的不可抗力情形外，双方约定出现 无 情况亦视为不可抗力。</w:t>
      </w:r>
    </w:p>
    <w:p w14:paraId="704B46D5">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九、知识产权：</w:t>
      </w:r>
    </w:p>
    <w:p w14:paraId="04A38D92">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十、其他约定：</w:t>
      </w:r>
    </w:p>
    <w:p w14:paraId="1D35361E">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十一、合同争议解决</w:t>
      </w:r>
    </w:p>
    <w:p w14:paraId="1BCD6CFC">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1.因产品质量问题发生争议的，应邀请国家认可的质量检测机构进行鉴定。产品符合标准的，鉴定费由甲方承担；产品不符合标准的，鉴定费由乙方承担。</w:t>
      </w:r>
    </w:p>
    <w:p w14:paraId="1CE3EF2B">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2.因履行本合同引起的或与本合同有关的争议，甲乙双方应首先通过友好协商解决，如果协商不能解决，可向甲方所在地仲裁委员会申请仲裁或向甲方所在地人民检察院提起诉讼。</w:t>
      </w:r>
    </w:p>
    <w:p w14:paraId="54994B9C">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3.诉讼期间，本合同继续履行。</w:t>
      </w:r>
    </w:p>
    <w:p w14:paraId="4DA401F3">
      <w:pPr>
        <w:autoSpaceDE w:val="0"/>
        <w:autoSpaceDN w:val="0"/>
        <w:adjustRightInd w:val="0"/>
        <w:spacing w:line="360" w:lineRule="auto"/>
        <w:ind w:firstLine="480"/>
        <w:outlineLvl w:val="1"/>
        <w:rPr>
          <w:rFonts w:ascii="仿宋" w:hAnsi="仿宋" w:eastAsia="仿宋" w:cs="仿宋"/>
          <w:color w:val="auto"/>
          <w:sz w:val="24"/>
          <w:highlight w:val="none"/>
          <w:lang w:val="zh-CN"/>
        </w:rPr>
      </w:pPr>
      <w:bookmarkStart w:id="99" w:name="_Toc7016"/>
      <w:r>
        <w:rPr>
          <w:rFonts w:hint="eastAsia" w:ascii="仿宋" w:hAnsi="仿宋" w:eastAsia="仿宋" w:cs="仿宋"/>
          <w:color w:val="auto"/>
          <w:sz w:val="24"/>
          <w:highlight w:val="none"/>
          <w:lang w:val="zh-CN"/>
        </w:rPr>
        <w:t>十二、合同生效及其它：</w:t>
      </w:r>
      <w:bookmarkEnd w:id="99"/>
    </w:p>
    <w:p w14:paraId="1FD9C61B">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1.本合同一式六份，经双方签字，并加盖公章即为生效。</w:t>
      </w:r>
    </w:p>
    <w:p w14:paraId="0C01914F">
      <w:pPr>
        <w:autoSpaceDE w:val="0"/>
        <w:autoSpaceDN w:val="0"/>
        <w:adjustRightInd w:val="0"/>
        <w:spacing w:line="360" w:lineRule="auto"/>
        <w:ind w:firstLine="480"/>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2.本合同未尽事宜，按民法典有关规定处理。</w:t>
      </w:r>
    </w:p>
    <w:p w14:paraId="0AB99DE9">
      <w:pPr>
        <w:autoSpaceDE w:val="0"/>
        <w:autoSpaceDN w:val="0"/>
        <w:adjustRightInd w:val="0"/>
        <w:spacing w:line="360" w:lineRule="auto"/>
        <w:ind w:firstLine="480" w:firstLineChars="200"/>
        <w:rPr>
          <w:rFonts w:ascii="仿宋" w:hAnsi="仿宋" w:eastAsia="仿宋" w:cs="仿宋"/>
          <w:color w:val="auto"/>
          <w:kern w:val="0"/>
          <w:sz w:val="24"/>
          <w:highlight w:val="none"/>
          <w:lang w:val="zh-CN"/>
        </w:rPr>
      </w:pPr>
    </w:p>
    <w:p w14:paraId="050B7389">
      <w:pPr>
        <w:autoSpaceDE w:val="0"/>
        <w:autoSpaceDN w:val="0"/>
        <w:adjustRightInd w:val="0"/>
        <w:spacing w:line="360" w:lineRule="auto"/>
        <w:ind w:firstLine="480" w:firstLineChars="2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甲方（盖章）：乙方（盖章）：</w:t>
      </w:r>
    </w:p>
    <w:p w14:paraId="49238D4B">
      <w:pPr>
        <w:autoSpaceDE w:val="0"/>
        <w:autoSpaceDN w:val="0"/>
        <w:adjustRightInd w:val="0"/>
        <w:spacing w:line="360" w:lineRule="auto"/>
        <w:ind w:firstLine="480"/>
        <w:rPr>
          <w:rFonts w:ascii="仿宋" w:hAnsi="仿宋" w:eastAsia="仿宋" w:cs="仿宋"/>
          <w:color w:val="auto"/>
          <w:kern w:val="0"/>
          <w:sz w:val="24"/>
          <w:highlight w:val="none"/>
          <w:lang w:val="zh-CN"/>
        </w:rPr>
      </w:pPr>
    </w:p>
    <w:p w14:paraId="6F10985D">
      <w:pPr>
        <w:autoSpaceDE w:val="0"/>
        <w:autoSpaceDN w:val="0"/>
        <w:adjustRightInd w:val="0"/>
        <w:spacing w:line="360" w:lineRule="auto"/>
        <w:ind w:firstLine="48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法定代表人或委托代理人</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法定代表人或委托代理人</w:t>
      </w:r>
      <w:r>
        <w:rPr>
          <w:rFonts w:hint="eastAsia" w:ascii="仿宋" w:hAnsi="仿宋" w:eastAsia="仿宋" w:cs="仿宋"/>
          <w:color w:val="auto"/>
          <w:kern w:val="0"/>
          <w:sz w:val="24"/>
          <w:highlight w:val="none"/>
        </w:rPr>
        <w:t>：</w:t>
      </w:r>
    </w:p>
    <w:p w14:paraId="6B2DBA78">
      <w:pPr>
        <w:autoSpaceDE w:val="0"/>
        <w:autoSpaceDN w:val="0"/>
        <w:adjustRightInd w:val="0"/>
        <w:spacing w:line="360" w:lineRule="auto"/>
        <w:ind w:firstLine="480"/>
        <w:rPr>
          <w:rFonts w:ascii="仿宋" w:hAnsi="仿宋" w:eastAsia="仿宋" w:cs="仿宋"/>
          <w:color w:val="auto"/>
          <w:kern w:val="0"/>
          <w:sz w:val="24"/>
          <w:highlight w:val="none"/>
        </w:rPr>
      </w:pPr>
    </w:p>
    <w:p w14:paraId="18BB5D3D">
      <w:pPr>
        <w:autoSpaceDE w:val="0"/>
        <w:autoSpaceDN w:val="0"/>
        <w:adjustRightIn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联系电话：开户银行：</w:t>
      </w:r>
    </w:p>
    <w:p w14:paraId="633CF9EE">
      <w:pPr>
        <w:autoSpaceDE w:val="0"/>
        <w:autoSpaceDN w:val="0"/>
        <w:adjustRightInd w:val="0"/>
        <w:spacing w:line="360" w:lineRule="auto"/>
        <w:ind w:firstLine="480"/>
        <w:rPr>
          <w:rFonts w:ascii="仿宋" w:hAnsi="仿宋" w:eastAsia="仿宋" w:cs="仿宋"/>
          <w:color w:val="auto"/>
          <w:kern w:val="0"/>
          <w:sz w:val="24"/>
          <w:highlight w:val="none"/>
          <w:lang w:val="zh-CN"/>
        </w:rPr>
      </w:pPr>
    </w:p>
    <w:p w14:paraId="1DEA3BD9">
      <w:pPr>
        <w:autoSpaceDE w:val="0"/>
        <w:autoSpaceDN w:val="0"/>
        <w:adjustRightInd w:val="0"/>
        <w:spacing w:line="360" w:lineRule="auto"/>
        <w:ind w:firstLine="48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账号：</w:t>
      </w:r>
    </w:p>
    <w:p w14:paraId="10C958A9">
      <w:pPr>
        <w:autoSpaceDE w:val="0"/>
        <w:autoSpaceDN w:val="0"/>
        <w:adjustRightInd w:val="0"/>
        <w:spacing w:line="360" w:lineRule="auto"/>
        <w:ind w:firstLine="480"/>
        <w:rPr>
          <w:rFonts w:ascii="仿宋" w:hAnsi="仿宋" w:eastAsia="仿宋" w:cs="仿宋"/>
          <w:color w:val="auto"/>
          <w:kern w:val="0"/>
          <w:sz w:val="24"/>
          <w:highlight w:val="none"/>
        </w:rPr>
      </w:pPr>
    </w:p>
    <w:p w14:paraId="563EDF04">
      <w:pPr>
        <w:autoSpaceDE w:val="0"/>
        <w:autoSpaceDN w:val="0"/>
        <w:adjustRightInd w:val="0"/>
        <w:spacing w:line="360" w:lineRule="auto"/>
        <w:ind w:firstLine="5280" w:firstLineChars="22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联系电话：</w:t>
      </w:r>
    </w:p>
    <w:p w14:paraId="210A30D5">
      <w:pPr>
        <w:autoSpaceDE w:val="0"/>
        <w:autoSpaceDN w:val="0"/>
        <w:adjustRightInd w:val="0"/>
        <w:spacing w:line="360" w:lineRule="auto"/>
        <w:jc w:val="center"/>
        <w:rPr>
          <w:rFonts w:ascii="仿宋" w:hAnsi="仿宋" w:eastAsia="仿宋" w:cs="仿宋"/>
          <w:color w:val="auto"/>
          <w:kern w:val="0"/>
          <w:sz w:val="24"/>
          <w:highlight w:val="none"/>
          <w:lang w:val="zh-CN"/>
        </w:rPr>
      </w:pPr>
    </w:p>
    <w:p w14:paraId="3C8CB0C9">
      <w:pPr>
        <w:autoSpaceDE w:val="0"/>
        <w:autoSpaceDN w:val="0"/>
        <w:adjustRightInd w:val="0"/>
        <w:spacing w:line="360" w:lineRule="auto"/>
        <w:jc w:val="center"/>
        <w:rPr>
          <w:rFonts w:ascii="仿宋" w:hAnsi="仿宋" w:eastAsia="仿宋" w:cs="仿宋"/>
          <w:color w:val="auto"/>
          <w:kern w:val="0"/>
          <w:sz w:val="24"/>
          <w:highlight w:val="none"/>
        </w:rPr>
      </w:pPr>
    </w:p>
    <w:p w14:paraId="6B7745E4">
      <w:pPr>
        <w:spacing w:line="360" w:lineRule="auto"/>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签约时间：年月日</w:t>
      </w:r>
    </w:p>
    <w:p w14:paraId="421301D4">
      <w:pPr>
        <w:pStyle w:val="28"/>
        <w:ind w:firstLineChars="200"/>
        <w:rPr>
          <w:rFonts w:ascii="仿宋" w:hAnsi="仿宋" w:eastAsia="仿宋" w:cs="仿宋"/>
          <w:color w:val="auto"/>
          <w:highlight w:val="none"/>
        </w:rPr>
        <w:sectPr>
          <w:pgSz w:w="11906" w:h="16838"/>
          <w:pgMar w:top="1327" w:right="1570" w:bottom="1327" w:left="1570" w:header="851" w:footer="992" w:gutter="0"/>
          <w:cols w:space="720" w:num="1"/>
          <w:docGrid w:type="lines" w:linePitch="312" w:charSpace="0"/>
        </w:sectPr>
      </w:pPr>
    </w:p>
    <w:p w14:paraId="36465674">
      <w:pPr>
        <w:pStyle w:val="2"/>
        <w:spacing w:before="0" w:after="0" w:line="240" w:lineRule="auto"/>
        <w:jc w:val="center"/>
        <w:rPr>
          <w:rFonts w:ascii="仿宋" w:hAnsi="仿宋" w:eastAsia="仿宋" w:cs="仿宋"/>
          <w:color w:val="auto"/>
          <w:highlight w:val="none"/>
        </w:rPr>
      </w:pPr>
      <w:bookmarkStart w:id="100" w:name="_Toc26129"/>
      <w:bookmarkStart w:id="101" w:name="_Toc10801"/>
      <w:bookmarkStart w:id="102" w:name="_Toc25795"/>
      <w:bookmarkStart w:id="103" w:name="_Toc30272"/>
      <w:r>
        <w:rPr>
          <w:rFonts w:hint="eastAsia" w:ascii="仿宋" w:hAnsi="仿宋" w:eastAsia="仿宋" w:cs="仿宋"/>
          <w:color w:val="auto"/>
          <w:highlight w:val="none"/>
        </w:rPr>
        <w:t>第五章  技术标准和要求</w:t>
      </w:r>
      <w:bookmarkEnd w:id="100"/>
      <w:bookmarkEnd w:id="101"/>
      <w:bookmarkEnd w:id="102"/>
      <w:bookmarkEnd w:id="103"/>
    </w:p>
    <w:p w14:paraId="2769E290">
      <w:pPr>
        <w:spacing w:line="360" w:lineRule="auto"/>
        <w:ind w:firstLine="480" w:firstLineChars="200"/>
        <w:rPr>
          <w:rFonts w:ascii="仿宋" w:hAnsi="仿宋" w:eastAsia="仿宋" w:cs="仿宋"/>
          <w:color w:val="auto"/>
          <w:sz w:val="24"/>
          <w:highlight w:val="none"/>
        </w:rPr>
      </w:pPr>
      <w:bookmarkStart w:id="104" w:name="EB32b863033d5142e1bac4707c2ea8e30d"/>
      <w:r>
        <w:rPr>
          <w:rFonts w:hint="eastAsia" w:ascii="仿宋" w:hAnsi="仿宋" w:eastAsia="仿宋" w:cs="仿宋"/>
          <w:color w:val="auto"/>
          <w:sz w:val="24"/>
          <w:highlight w:val="none"/>
        </w:rPr>
        <w:t>一、基本要求</w:t>
      </w:r>
    </w:p>
    <w:p w14:paraId="40D4F9F4">
      <w:pPr>
        <w:spacing w:line="360" w:lineRule="auto"/>
        <w:ind w:left="420" w:leftChars="200"/>
        <w:rPr>
          <w:rFonts w:ascii="仿宋" w:hAnsi="仿宋" w:eastAsia="仿宋" w:cs="仿宋"/>
          <w:color w:val="auto"/>
          <w:sz w:val="24"/>
          <w:highlight w:val="none"/>
        </w:rPr>
      </w:pPr>
      <w:r>
        <w:rPr>
          <w:rFonts w:hint="eastAsia" w:ascii="仿宋" w:hAnsi="仿宋" w:eastAsia="仿宋" w:cs="仿宋"/>
          <w:color w:val="auto"/>
          <w:sz w:val="24"/>
          <w:highlight w:val="none"/>
        </w:rPr>
        <w:t>1、说明</w:t>
      </w:r>
    </w:p>
    <w:p w14:paraId="61C161CD">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1.1供应商对询比文件中所有内容必须作为一个整体进行投标，不能拆分或少报，否则投标无效。</w:t>
      </w:r>
    </w:p>
    <w:p w14:paraId="0BCAF5D7">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1.2投标报价为总价。</w:t>
      </w:r>
    </w:p>
    <w:p w14:paraId="2131339D">
      <w:pPr>
        <w:spacing w:line="360" w:lineRule="auto"/>
        <w:ind w:left="420" w:leftChars="200"/>
        <w:rPr>
          <w:rFonts w:ascii="仿宋" w:hAnsi="仿宋" w:eastAsia="仿宋" w:cs="仿宋"/>
          <w:color w:val="auto"/>
          <w:sz w:val="24"/>
          <w:highlight w:val="none"/>
        </w:rPr>
      </w:pPr>
      <w:r>
        <w:rPr>
          <w:rFonts w:hint="eastAsia" w:ascii="仿宋" w:hAnsi="仿宋" w:eastAsia="仿宋" w:cs="仿宋"/>
          <w:color w:val="auto"/>
          <w:sz w:val="24"/>
          <w:highlight w:val="none"/>
        </w:rPr>
        <w:t>2、商务要求</w:t>
      </w:r>
    </w:p>
    <w:p w14:paraId="707A4084">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2.1、服务期限：同项目实施全周期（合同签订至项目完成决算）。</w:t>
      </w:r>
    </w:p>
    <w:p w14:paraId="0E8B904C">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2.2、服务地点：青海民族大学指定地点。</w:t>
      </w:r>
    </w:p>
    <w:p w14:paraId="4B3CB62F">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2.3、服务质量标准：满足国家现行及行业标准。</w:t>
      </w:r>
    </w:p>
    <w:p w14:paraId="26533ABC">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2.4、付款方式：按合同约定执行。</w:t>
      </w:r>
    </w:p>
    <w:p w14:paraId="19281E86">
      <w:pPr>
        <w:spacing w:line="360" w:lineRule="auto"/>
        <w:ind w:left="420" w:leftChars="200" w:firstLine="480" w:firstLineChars="200"/>
        <w:rPr>
          <w:rFonts w:ascii="仿宋" w:hAnsi="仿宋" w:eastAsia="仿宋" w:cs="仿宋"/>
          <w:color w:val="auto"/>
          <w:sz w:val="24"/>
          <w:highlight w:val="none"/>
        </w:rPr>
      </w:pPr>
    </w:p>
    <w:p w14:paraId="5AC784EF">
      <w:pPr>
        <w:spacing w:line="360" w:lineRule="auto"/>
        <w:rPr>
          <w:rFonts w:ascii="仿宋" w:hAnsi="仿宋" w:eastAsia="仿宋" w:cs="仿宋"/>
          <w:color w:val="auto"/>
          <w:sz w:val="24"/>
          <w:highlight w:val="none"/>
        </w:rPr>
      </w:pPr>
    </w:p>
    <w:p w14:paraId="3F7735C5">
      <w:pPr>
        <w:spacing w:line="360" w:lineRule="auto"/>
        <w:rPr>
          <w:rFonts w:ascii="仿宋" w:hAnsi="仿宋" w:eastAsia="仿宋" w:cs="仿宋"/>
          <w:color w:val="auto"/>
          <w:sz w:val="24"/>
          <w:highlight w:val="none"/>
        </w:rPr>
      </w:pPr>
    </w:p>
    <w:p w14:paraId="0491E81D">
      <w:pPr>
        <w:spacing w:line="360" w:lineRule="auto"/>
        <w:rPr>
          <w:rFonts w:ascii="仿宋" w:hAnsi="仿宋" w:eastAsia="仿宋" w:cs="仿宋"/>
          <w:color w:val="auto"/>
          <w:sz w:val="24"/>
          <w:highlight w:val="none"/>
        </w:rPr>
      </w:pPr>
    </w:p>
    <w:p w14:paraId="38D98450">
      <w:pPr>
        <w:spacing w:line="360" w:lineRule="auto"/>
        <w:rPr>
          <w:rFonts w:ascii="仿宋" w:hAnsi="仿宋" w:eastAsia="仿宋" w:cs="仿宋"/>
          <w:color w:val="auto"/>
          <w:sz w:val="24"/>
          <w:highlight w:val="none"/>
        </w:rPr>
      </w:pPr>
    </w:p>
    <w:p w14:paraId="24806317">
      <w:pPr>
        <w:spacing w:line="360" w:lineRule="auto"/>
        <w:rPr>
          <w:rFonts w:ascii="仿宋" w:hAnsi="仿宋" w:eastAsia="仿宋" w:cs="仿宋"/>
          <w:color w:val="auto"/>
          <w:sz w:val="24"/>
          <w:highlight w:val="none"/>
        </w:rPr>
      </w:pPr>
    </w:p>
    <w:p w14:paraId="10C3848E">
      <w:pPr>
        <w:spacing w:line="360" w:lineRule="auto"/>
        <w:rPr>
          <w:rFonts w:ascii="仿宋" w:hAnsi="仿宋" w:eastAsia="仿宋" w:cs="仿宋"/>
          <w:color w:val="auto"/>
          <w:sz w:val="24"/>
          <w:highlight w:val="none"/>
        </w:rPr>
      </w:pPr>
    </w:p>
    <w:p w14:paraId="3B8AEC63">
      <w:pPr>
        <w:spacing w:line="360" w:lineRule="auto"/>
        <w:rPr>
          <w:rFonts w:ascii="仿宋" w:hAnsi="仿宋" w:eastAsia="仿宋" w:cs="仿宋"/>
          <w:color w:val="auto"/>
          <w:sz w:val="24"/>
          <w:highlight w:val="none"/>
        </w:rPr>
      </w:pPr>
    </w:p>
    <w:p w14:paraId="5D98C3AB">
      <w:pPr>
        <w:spacing w:line="360" w:lineRule="auto"/>
        <w:rPr>
          <w:rFonts w:ascii="仿宋" w:hAnsi="仿宋" w:eastAsia="仿宋" w:cs="仿宋"/>
          <w:color w:val="auto"/>
          <w:sz w:val="24"/>
          <w:highlight w:val="none"/>
        </w:rPr>
      </w:pPr>
    </w:p>
    <w:p w14:paraId="2F772970">
      <w:pPr>
        <w:spacing w:line="360" w:lineRule="auto"/>
        <w:rPr>
          <w:rFonts w:ascii="仿宋" w:hAnsi="仿宋" w:eastAsia="仿宋" w:cs="仿宋"/>
          <w:color w:val="auto"/>
          <w:sz w:val="24"/>
          <w:highlight w:val="none"/>
        </w:rPr>
      </w:pPr>
    </w:p>
    <w:p w14:paraId="6E744BC2">
      <w:pPr>
        <w:spacing w:line="360" w:lineRule="auto"/>
        <w:rPr>
          <w:rFonts w:ascii="仿宋" w:hAnsi="仿宋" w:eastAsia="仿宋" w:cs="仿宋"/>
          <w:color w:val="auto"/>
          <w:sz w:val="24"/>
          <w:highlight w:val="none"/>
        </w:rPr>
      </w:pPr>
    </w:p>
    <w:p w14:paraId="0C6078D7">
      <w:pPr>
        <w:spacing w:line="360" w:lineRule="auto"/>
        <w:rPr>
          <w:rFonts w:ascii="仿宋" w:hAnsi="仿宋" w:eastAsia="仿宋" w:cs="仿宋"/>
          <w:color w:val="auto"/>
          <w:sz w:val="24"/>
          <w:highlight w:val="none"/>
        </w:rPr>
      </w:pPr>
    </w:p>
    <w:p w14:paraId="0427A6D4">
      <w:pPr>
        <w:spacing w:line="360" w:lineRule="auto"/>
        <w:rPr>
          <w:rFonts w:ascii="仿宋" w:hAnsi="仿宋" w:eastAsia="仿宋" w:cs="仿宋"/>
          <w:color w:val="auto"/>
          <w:sz w:val="24"/>
          <w:highlight w:val="none"/>
        </w:rPr>
      </w:pPr>
    </w:p>
    <w:p w14:paraId="156B1755">
      <w:pPr>
        <w:spacing w:line="360" w:lineRule="auto"/>
        <w:rPr>
          <w:rFonts w:ascii="仿宋" w:hAnsi="仿宋" w:eastAsia="仿宋" w:cs="仿宋"/>
          <w:color w:val="auto"/>
          <w:sz w:val="24"/>
          <w:highlight w:val="none"/>
        </w:rPr>
      </w:pPr>
    </w:p>
    <w:p w14:paraId="3D44C133">
      <w:pPr>
        <w:spacing w:line="360" w:lineRule="auto"/>
        <w:rPr>
          <w:rFonts w:ascii="仿宋" w:hAnsi="仿宋" w:eastAsia="仿宋" w:cs="仿宋"/>
          <w:color w:val="auto"/>
          <w:sz w:val="24"/>
          <w:highlight w:val="none"/>
        </w:rPr>
      </w:pPr>
    </w:p>
    <w:p w14:paraId="5ED219C8">
      <w:pPr>
        <w:spacing w:line="360" w:lineRule="auto"/>
        <w:rPr>
          <w:rFonts w:ascii="仿宋" w:hAnsi="仿宋" w:eastAsia="仿宋" w:cs="仿宋"/>
          <w:color w:val="auto"/>
          <w:sz w:val="24"/>
          <w:highlight w:val="none"/>
        </w:rPr>
      </w:pPr>
    </w:p>
    <w:p w14:paraId="10C2CA0E">
      <w:pPr>
        <w:spacing w:line="360" w:lineRule="auto"/>
        <w:rPr>
          <w:rFonts w:ascii="仿宋" w:hAnsi="仿宋" w:eastAsia="仿宋" w:cs="仿宋"/>
          <w:color w:val="auto"/>
          <w:sz w:val="24"/>
          <w:highlight w:val="none"/>
        </w:rPr>
      </w:pPr>
    </w:p>
    <w:p w14:paraId="62F8ABDB">
      <w:pPr>
        <w:numPr>
          <w:ilvl w:val="0"/>
          <w:numId w:val="7"/>
        </w:num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服务内容</w:t>
      </w:r>
      <w:bookmarkEnd w:id="104"/>
      <w:r>
        <w:rPr>
          <w:rFonts w:hint="eastAsia" w:ascii="仿宋" w:hAnsi="仿宋" w:eastAsia="仿宋" w:cs="仿宋"/>
          <w:color w:val="auto"/>
          <w:sz w:val="24"/>
          <w:highlight w:val="none"/>
        </w:rPr>
        <w:t>：青海民族大学南山校区高原特色资源科研创新中心建设项目主要建设教学科研用房及附属设施，地上5层，地下1层，建筑面积约24466平方米。建安投资约为10,700.00万元。</w:t>
      </w:r>
    </w:p>
    <w:p w14:paraId="3ED12CC1">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（一）招标阶段</w:t>
      </w:r>
    </w:p>
    <w:p w14:paraId="6B4DC1E5">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编制工程量清单及招标控制价，审核招标文件，协助学校审核施工及监理合同的签订，对后期相关服务费用的咨询服务等。</w:t>
      </w:r>
    </w:p>
    <w:p w14:paraId="3EE6ED4A">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（二）施工阶段</w:t>
      </w:r>
    </w:p>
    <w:p w14:paraId="29775E6A">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1.建立合同管理台帐，实施对工程建设各项合同的全过程监控管理。</w:t>
      </w:r>
    </w:p>
    <w:p w14:paraId="787BB1D6">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2.参与工程建设资金的计划管理工作，协助学校加强建设资金的成本控制。</w:t>
      </w:r>
    </w:p>
    <w:p w14:paraId="14FFF0FC">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3.审核施工单位每月的工程量，签署支付工程款意见书（包括预付款），协助学校做好中间结算工作。</w:t>
      </w:r>
    </w:p>
    <w:p w14:paraId="36464E32">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4.实施对施工过程中出现的设计变更、二次深化设计事宜的造价确定与控制工作。</w:t>
      </w:r>
    </w:p>
    <w:p w14:paraId="4B7A2BDE">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5.实施对施工过程中出现的工程签证、工程联系单事宜的内容审核、造价确定与控制工作。</w:t>
      </w:r>
    </w:p>
    <w:p w14:paraId="72640CD4">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6.实施对施工过程中出现的索赔事宜的造价确定与控制工作。</w:t>
      </w:r>
    </w:p>
    <w:p w14:paraId="4036DA8C">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7.实施对施工过程中出现的价格调整的确定与控制工作。</w:t>
      </w:r>
    </w:p>
    <w:p w14:paraId="5EE67D6B">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8.在造价咨询全过程中为学校提供与工程建设相关的造价信息服务。</w:t>
      </w:r>
    </w:p>
    <w:p w14:paraId="3C52997C">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9.计算实际投资数据，了解投资的现状。进行计划值与实际值比较分析。发现偏差提出采取控制措施的建议。</w:t>
      </w:r>
    </w:p>
    <w:p w14:paraId="4367F481">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（三）项目竣工阶段</w:t>
      </w:r>
    </w:p>
    <w:p w14:paraId="1348A5E8">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1.完成竣工结算审核或合同清算工作。</w:t>
      </w:r>
    </w:p>
    <w:p w14:paraId="2F030539">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2.正确编制工程竣工结算等资料文件。</w:t>
      </w:r>
    </w:p>
    <w:p w14:paraId="595F5A78">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提供造价咨询的最终总结报告。工程竣工验收合格之后，根据合同中关于工程价款的规定及施工中出现的增减情况进行竣工结算及未付尾款的计算，同时编制竣工结算和合同清算报告，最终提供造价咨询的总结报告。</w:t>
      </w:r>
    </w:p>
    <w:p w14:paraId="05A7C32A">
      <w:pPr>
        <w:spacing w:line="360" w:lineRule="auto"/>
        <w:ind w:left="420" w:leftChars="20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4.配合有关部门实施的审计、专项审查等工作。</w:t>
      </w:r>
    </w:p>
    <w:p w14:paraId="571E8E3B">
      <w:pPr>
        <w:spacing w:line="360" w:lineRule="auto"/>
        <w:ind w:left="420" w:leftChars="200" w:firstLine="480" w:firstLineChars="200"/>
        <w:rPr>
          <w:color w:val="auto"/>
          <w:highlight w:val="none"/>
        </w:rPr>
      </w:pPr>
      <w:r>
        <w:rPr>
          <w:rFonts w:hint="eastAsia" w:ascii="仿宋" w:hAnsi="仿宋" w:eastAsia="仿宋" w:cs="仿宋"/>
          <w:color w:val="auto"/>
          <w:sz w:val="24"/>
          <w:highlight w:val="none"/>
        </w:rPr>
        <w:t>（四）其他。完成学校提出的其他合理的造价控制服务要求。提供全过程造价咨询相关资料。协助学校完成财务竣工决算的审核工作。</w:t>
      </w:r>
    </w:p>
    <w:p w14:paraId="0BCEFAE7">
      <w:pPr>
        <w:rPr>
          <w:color w:val="auto"/>
          <w:highlight w:val="none"/>
        </w:rPr>
        <w:sectPr>
          <w:headerReference r:id="rId7" w:type="first"/>
          <w:footerReference r:id="rId9" w:type="first"/>
          <w:headerReference r:id="rId6" w:type="default"/>
          <w:footerReference r:id="rId8" w:type="default"/>
          <w:pgSz w:w="11907" w:h="16840"/>
          <w:pgMar w:top="1701" w:right="1417" w:bottom="1701" w:left="1417" w:header="1134" w:footer="1134" w:gutter="0"/>
          <w:cols w:space="720" w:num="1"/>
          <w:titlePg/>
          <w:docGrid w:linePitch="319" w:charSpace="-630"/>
        </w:sectPr>
      </w:pPr>
    </w:p>
    <w:p w14:paraId="22C83941">
      <w:pPr>
        <w:rPr>
          <w:color w:val="auto"/>
          <w:highlight w:val="none"/>
        </w:rPr>
      </w:pPr>
    </w:p>
    <w:p w14:paraId="2303FC13">
      <w:pPr>
        <w:pStyle w:val="2"/>
        <w:ind w:firstLine="2209" w:firstLineChars="500"/>
        <w:rPr>
          <w:rStyle w:val="46"/>
          <w:rFonts w:ascii="仿宋" w:hAnsi="仿宋" w:eastAsia="仿宋" w:cs="仿宋"/>
          <w:b/>
          <w:bCs/>
          <w:color w:val="auto"/>
          <w:highlight w:val="none"/>
        </w:rPr>
      </w:pPr>
      <w:bookmarkStart w:id="105" w:name="_Toc12792"/>
      <w:bookmarkStart w:id="106" w:name="_Toc27823"/>
      <w:bookmarkStart w:id="107" w:name="_Toc13839"/>
      <w:bookmarkStart w:id="108" w:name="_Toc20656"/>
      <w:r>
        <w:rPr>
          <w:rStyle w:val="46"/>
          <w:rFonts w:hint="eastAsia" w:ascii="仿宋" w:hAnsi="仿宋" w:eastAsia="仿宋" w:cs="仿宋"/>
          <w:b/>
          <w:bCs/>
          <w:color w:val="auto"/>
          <w:highlight w:val="none"/>
        </w:rPr>
        <w:t>第六章   响应文件格式</w:t>
      </w:r>
      <w:bookmarkEnd w:id="105"/>
      <w:bookmarkEnd w:id="106"/>
      <w:bookmarkEnd w:id="107"/>
      <w:bookmarkEnd w:id="108"/>
    </w:p>
    <w:p w14:paraId="7900EA4E">
      <w:pPr>
        <w:autoSpaceDE w:val="0"/>
        <w:autoSpaceDN w:val="0"/>
        <w:adjustRightInd w:val="0"/>
        <w:rPr>
          <w:rFonts w:ascii="仿宋" w:hAnsi="仿宋" w:eastAsia="仿宋" w:cs="仿宋"/>
          <w:color w:val="auto"/>
          <w:kern w:val="0"/>
          <w:sz w:val="36"/>
          <w:szCs w:val="36"/>
          <w:highlight w:val="none"/>
        </w:rPr>
      </w:pPr>
    </w:p>
    <w:p w14:paraId="39EF35FA">
      <w:pPr>
        <w:autoSpaceDE w:val="0"/>
        <w:autoSpaceDN w:val="0"/>
        <w:adjustRightInd w:val="0"/>
        <w:rPr>
          <w:rFonts w:ascii="仿宋" w:hAnsi="仿宋" w:eastAsia="仿宋" w:cs="仿宋"/>
          <w:color w:val="auto"/>
          <w:kern w:val="0"/>
          <w:sz w:val="28"/>
          <w:szCs w:val="28"/>
          <w:highlight w:val="none"/>
        </w:rPr>
      </w:pPr>
    </w:p>
    <w:p w14:paraId="10416F27">
      <w:pPr>
        <w:pStyle w:val="24"/>
        <w:rPr>
          <w:rFonts w:ascii="仿宋" w:hAnsi="仿宋" w:eastAsia="仿宋" w:cs="仿宋"/>
          <w:b w:val="0"/>
          <w:color w:val="auto"/>
          <w:highlight w:val="none"/>
        </w:rPr>
      </w:pPr>
      <w:r>
        <w:rPr>
          <w:rFonts w:hint="eastAsia" w:ascii="仿宋" w:hAnsi="仿宋" w:eastAsia="仿宋" w:cs="仿宋"/>
          <w:b w:val="0"/>
          <w:color w:val="auto"/>
          <w:highlight w:val="none"/>
        </w:rPr>
        <w:t>（项目名称）</w:t>
      </w:r>
    </w:p>
    <w:p w14:paraId="14318D5A">
      <w:pPr>
        <w:pStyle w:val="24"/>
        <w:rPr>
          <w:rFonts w:ascii="仿宋" w:hAnsi="仿宋" w:eastAsia="仿宋" w:cs="仿宋"/>
          <w:b w:val="0"/>
          <w:color w:val="auto"/>
          <w:highlight w:val="none"/>
        </w:rPr>
      </w:pPr>
      <w:r>
        <w:rPr>
          <w:rFonts w:hint="eastAsia" w:ascii="仿宋" w:hAnsi="仿宋" w:eastAsia="仿宋" w:cs="仿宋"/>
          <w:b w:val="0"/>
          <w:color w:val="auto"/>
          <w:highlight w:val="none"/>
        </w:rPr>
        <w:t>（项目编号）</w:t>
      </w:r>
    </w:p>
    <w:p w14:paraId="3C3E0402">
      <w:pPr>
        <w:pStyle w:val="24"/>
        <w:rPr>
          <w:rFonts w:ascii="仿宋" w:hAnsi="仿宋" w:eastAsia="仿宋" w:cs="仿宋"/>
          <w:b w:val="0"/>
          <w:color w:val="auto"/>
          <w:highlight w:val="none"/>
        </w:rPr>
      </w:pPr>
    </w:p>
    <w:p w14:paraId="3D33B330">
      <w:pPr>
        <w:spacing w:line="360" w:lineRule="auto"/>
        <w:jc w:val="center"/>
        <w:rPr>
          <w:rFonts w:ascii="仿宋" w:hAnsi="仿宋" w:eastAsia="仿宋" w:cs="仿宋"/>
          <w:color w:val="auto"/>
          <w:sz w:val="72"/>
          <w:highlight w:val="none"/>
        </w:rPr>
      </w:pPr>
    </w:p>
    <w:p w14:paraId="4D1BA45F">
      <w:pPr>
        <w:spacing w:line="360" w:lineRule="auto"/>
        <w:jc w:val="center"/>
        <w:rPr>
          <w:rFonts w:ascii="仿宋" w:hAnsi="仿宋" w:eastAsia="仿宋" w:cs="仿宋"/>
          <w:color w:val="auto"/>
          <w:sz w:val="72"/>
          <w:highlight w:val="none"/>
        </w:rPr>
      </w:pPr>
      <w:r>
        <w:rPr>
          <w:rFonts w:hint="eastAsia" w:ascii="仿宋" w:hAnsi="仿宋" w:eastAsia="仿宋" w:cs="仿宋"/>
          <w:color w:val="auto"/>
          <w:sz w:val="72"/>
          <w:highlight w:val="none"/>
        </w:rPr>
        <w:t>响应文件</w:t>
      </w:r>
    </w:p>
    <w:p w14:paraId="18F0ED8B">
      <w:pPr>
        <w:spacing w:line="360" w:lineRule="auto"/>
        <w:jc w:val="center"/>
        <w:rPr>
          <w:rFonts w:ascii="仿宋" w:hAnsi="仿宋" w:eastAsia="仿宋" w:cs="仿宋"/>
          <w:color w:val="auto"/>
          <w:sz w:val="72"/>
          <w:highlight w:val="none"/>
        </w:rPr>
      </w:pPr>
    </w:p>
    <w:p w14:paraId="2FC5ABF2">
      <w:pPr>
        <w:spacing w:line="360" w:lineRule="auto"/>
        <w:jc w:val="center"/>
        <w:rPr>
          <w:rFonts w:ascii="仿宋" w:hAnsi="仿宋" w:eastAsia="仿宋" w:cs="仿宋"/>
          <w:color w:val="auto"/>
          <w:sz w:val="24"/>
          <w:highlight w:val="none"/>
        </w:rPr>
      </w:pPr>
    </w:p>
    <w:p w14:paraId="22C12A2F">
      <w:pPr>
        <w:spacing w:line="360" w:lineRule="auto"/>
        <w:jc w:val="center"/>
        <w:rPr>
          <w:rFonts w:ascii="仿宋" w:hAnsi="仿宋" w:eastAsia="仿宋" w:cs="仿宋"/>
          <w:color w:val="auto"/>
          <w:spacing w:val="8"/>
          <w:sz w:val="28"/>
          <w:highlight w:val="none"/>
        </w:rPr>
      </w:pPr>
      <w:r>
        <w:rPr>
          <w:rFonts w:hint="eastAsia" w:ascii="仿宋" w:hAnsi="仿宋" w:eastAsia="仿宋" w:cs="仿宋"/>
          <w:color w:val="auto"/>
          <w:spacing w:val="8"/>
          <w:sz w:val="28"/>
          <w:highlight w:val="none"/>
        </w:rPr>
        <w:t>供应商：</w:t>
      </w:r>
      <w:r>
        <w:rPr>
          <w:rFonts w:hint="eastAsia" w:ascii="仿宋" w:hAnsi="仿宋" w:eastAsia="仿宋" w:cs="仿宋"/>
          <w:color w:val="auto"/>
          <w:spacing w:val="8"/>
          <w:sz w:val="28"/>
          <w:highlight w:val="none"/>
          <w:lang w:val="en-US" w:eastAsia="zh-CN"/>
        </w:rPr>
        <w:t xml:space="preserve">         </w:t>
      </w:r>
      <w:r>
        <w:rPr>
          <w:rFonts w:hint="eastAsia" w:ascii="仿宋" w:hAnsi="仿宋" w:eastAsia="仿宋" w:cs="仿宋"/>
          <w:color w:val="auto"/>
          <w:spacing w:val="8"/>
          <w:sz w:val="28"/>
          <w:highlight w:val="none"/>
        </w:rPr>
        <w:t>（盖章）</w:t>
      </w:r>
    </w:p>
    <w:p w14:paraId="427AF102">
      <w:pPr>
        <w:pStyle w:val="8"/>
        <w:rPr>
          <w:rFonts w:ascii="仿宋" w:hAnsi="仿宋" w:eastAsia="仿宋" w:cs="仿宋"/>
          <w:color w:val="auto"/>
          <w:highlight w:val="none"/>
        </w:rPr>
      </w:pPr>
    </w:p>
    <w:p w14:paraId="4E87E667">
      <w:pPr>
        <w:spacing w:line="360" w:lineRule="auto"/>
        <w:ind w:firstLine="1480" w:firstLineChars="500"/>
        <w:rPr>
          <w:rFonts w:ascii="仿宋" w:hAnsi="仿宋" w:eastAsia="仿宋" w:cs="仿宋"/>
          <w:color w:val="auto"/>
          <w:spacing w:val="8"/>
          <w:sz w:val="28"/>
          <w:highlight w:val="none"/>
        </w:rPr>
      </w:pPr>
      <w:r>
        <w:rPr>
          <w:rFonts w:hint="eastAsia" w:ascii="仿宋" w:hAnsi="仿宋" w:eastAsia="仿宋" w:cs="仿宋"/>
          <w:color w:val="auto"/>
          <w:spacing w:val="8"/>
          <w:sz w:val="28"/>
          <w:highlight w:val="none"/>
        </w:rPr>
        <w:t>法定代表人或其委托代理人：</w:t>
      </w:r>
      <w:r>
        <w:rPr>
          <w:rFonts w:hint="eastAsia" w:ascii="仿宋" w:hAnsi="仿宋" w:eastAsia="仿宋" w:cs="仿宋"/>
          <w:color w:val="auto"/>
          <w:spacing w:val="8"/>
          <w:sz w:val="28"/>
          <w:highlight w:val="none"/>
          <w:lang w:val="en-US" w:eastAsia="zh-CN"/>
        </w:rPr>
        <w:t xml:space="preserve">   </w:t>
      </w:r>
      <w:r>
        <w:rPr>
          <w:rFonts w:hint="eastAsia" w:ascii="仿宋" w:hAnsi="仿宋" w:eastAsia="仿宋" w:cs="仿宋"/>
          <w:color w:val="auto"/>
          <w:spacing w:val="8"/>
          <w:sz w:val="28"/>
          <w:highlight w:val="none"/>
        </w:rPr>
        <w:t xml:space="preserve"> （签字或盖章）</w:t>
      </w:r>
    </w:p>
    <w:p w14:paraId="44920878">
      <w:pPr>
        <w:pStyle w:val="8"/>
        <w:rPr>
          <w:rFonts w:ascii="仿宋" w:hAnsi="仿宋" w:eastAsia="仿宋" w:cs="仿宋"/>
          <w:color w:val="auto"/>
          <w:highlight w:val="none"/>
        </w:rPr>
      </w:pPr>
    </w:p>
    <w:p w14:paraId="7A37D0C2">
      <w:pPr>
        <w:spacing w:line="360" w:lineRule="auto"/>
        <w:ind w:firstLine="3360" w:firstLineChars="1200"/>
        <w:rPr>
          <w:rFonts w:ascii="仿宋" w:hAnsi="仿宋" w:eastAsia="仿宋" w:cs="仿宋"/>
          <w:color w:val="auto"/>
          <w:sz w:val="28"/>
          <w:highlight w:val="none"/>
        </w:rPr>
      </w:pPr>
      <w:r>
        <w:rPr>
          <w:rFonts w:hint="eastAsia" w:ascii="仿宋" w:hAnsi="仿宋" w:eastAsia="仿宋" w:cs="仿宋"/>
          <w:color w:val="auto"/>
          <w:sz w:val="28"/>
          <w:highlight w:val="none"/>
        </w:rPr>
        <w:t>年</w:t>
      </w:r>
      <w:r>
        <w:rPr>
          <w:rFonts w:hint="eastAsia" w:ascii="仿宋" w:hAnsi="仿宋" w:eastAsia="仿宋" w:cs="仿宋"/>
          <w:color w:val="auto"/>
          <w:sz w:val="28"/>
          <w:highlight w:val="none"/>
          <w:lang w:val="en-US" w:eastAsia="zh-CN"/>
        </w:rPr>
        <w:t xml:space="preserve">  </w:t>
      </w:r>
      <w:r>
        <w:rPr>
          <w:rFonts w:hint="eastAsia" w:ascii="仿宋" w:hAnsi="仿宋" w:eastAsia="仿宋" w:cs="仿宋"/>
          <w:color w:val="auto"/>
          <w:sz w:val="28"/>
          <w:highlight w:val="none"/>
        </w:rPr>
        <w:t>月</w:t>
      </w:r>
      <w:r>
        <w:rPr>
          <w:rFonts w:hint="eastAsia" w:ascii="仿宋" w:hAnsi="仿宋" w:eastAsia="仿宋" w:cs="仿宋"/>
          <w:color w:val="auto"/>
          <w:sz w:val="28"/>
          <w:highlight w:val="none"/>
          <w:lang w:val="en-US" w:eastAsia="zh-CN"/>
        </w:rPr>
        <w:t xml:space="preserve">  </w:t>
      </w:r>
      <w:r>
        <w:rPr>
          <w:rFonts w:hint="eastAsia" w:ascii="仿宋" w:hAnsi="仿宋" w:eastAsia="仿宋" w:cs="仿宋"/>
          <w:color w:val="auto"/>
          <w:sz w:val="28"/>
          <w:highlight w:val="none"/>
        </w:rPr>
        <w:t>日</w:t>
      </w:r>
    </w:p>
    <w:p w14:paraId="50C5B960">
      <w:pPr>
        <w:autoSpaceDE w:val="0"/>
        <w:autoSpaceDN w:val="0"/>
        <w:adjustRightInd w:val="0"/>
        <w:spacing w:line="600" w:lineRule="exact"/>
        <w:jc w:val="center"/>
        <w:rPr>
          <w:rFonts w:ascii="仿宋" w:hAnsi="仿宋" w:eastAsia="仿宋" w:cs="仿宋"/>
          <w:color w:val="auto"/>
          <w:kern w:val="0"/>
          <w:sz w:val="48"/>
          <w:szCs w:val="48"/>
          <w:highlight w:val="none"/>
          <w:lang w:val="zh-CN"/>
        </w:rPr>
      </w:pPr>
    </w:p>
    <w:p w14:paraId="00712697">
      <w:pPr>
        <w:autoSpaceDE w:val="0"/>
        <w:autoSpaceDN w:val="0"/>
        <w:adjustRightInd w:val="0"/>
        <w:spacing w:line="600" w:lineRule="exact"/>
        <w:jc w:val="center"/>
        <w:rPr>
          <w:rFonts w:ascii="仿宋" w:hAnsi="仿宋" w:eastAsia="仿宋" w:cs="仿宋"/>
          <w:color w:val="auto"/>
          <w:kern w:val="0"/>
          <w:sz w:val="48"/>
          <w:szCs w:val="48"/>
          <w:highlight w:val="none"/>
          <w:lang w:val="zh-CN"/>
        </w:rPr>
      </w:pPr>
    </w:p>
    <w:p w14:paraId="752C768E">
      <w:pPr>
        <w:autoSpaceDE w:val="0"/>
        <w:autoSpaceDN w:val="0"/>
        <w:adjustRightInd w:val="0"/>
        <w:spacing w:line="600" w:lineRule="exact"/>
        <w:jc w:val="center"/>
        <w:rPr>
          <w:rFonts w:ascii="仿宋" w:hAnsi="仿宋" w:eastAsia="仿宋" w:cs="仿宋"/>
          <w:color w:val="auto"/>
          <w:kern w:val="0"/>
          <w:sz w:val="48"/>
          <w:szCs w:val="48"/>
          <w:highlight w:val="none"/>
          <w:lang w:val="zh-CN"/>
        </w:rPr>
      </w:pPr>
      <w:r>
        <w:rPr>
          <w:rFonts w:hint="eastAsia" w:ascii="仿宋" w:hAnsi="仿宋" w:eastAsia="仿宋" w:cs="仿宋"/>
          <w:color w:val="auto"/>
          <w:kern w:val="0"/>
          <w:sz w:val="48"/>
          <w:szCs w:val="48"/>
          <w:highlight w:val="none"/>
          <w:lang w:val="zh-CN"/>
        </w:rPr>
        <w:t>目录</w:t>
      </w:r>
    </w:p>
    <w:p w14:paraId="2E5D3B1E">
      <w:pPr>
        <w:pStyle w:val="109"/>
        <w:numPr>
          <w:ilvl w:val="0"/>
          <w:numId w:val="8"/>
        </w:numPr>
        <w:spacing w:line="600" w:lineRule="exact"/>
        <w:ind w:left="0" w:firstLine="0"/>
        <w:rPr>
          <w:rFonts w:ascii="仿宋" w:hAnsi="仿宋" w:eastAsia="仿宋" w:cs="仿宋"/>
          <w:b w:val="0"/>
          <w:color w:val="auto"/>
          <w:kern w:val="0"/>
          <w:sz w:val="24"/>
          <w:szCs w:val="24"/>
          <w:highlight w:val="none"/>
          <w:lang w:val="zh-CN"/>
        </w:rPr>
      </w:pPr>
      <w:r>
        <w:rPr>
          <w:rFonts w:hint="eastAsia" w:ascii="仿宋" w:hAnsi="仿宋" w:eastAsia="仿宋" w:cs="仿宋"/>
          <w:b w:val="0"/>
          <w:color w:val="auto"/>
          <w:kern w:val="0"/>
          <w:sz w:val="24"/>
          <w:szCs w:val="24"/>
          <w:highlight w:val="none"/>
          <w:lang w:val="zh-CN"/>
        </w:rPr>
        <w:t>询比响应函</w:t>
      </w:r>
    </w:p>
    <w:p w14:paraId="3DBB6B0E">
      <w:pPr>
        <w:pStyle w:val="109"/>
        <w:numPr>
          <w:ilvl w:val="0"/>
          <w:numId w:val="8"/>
        </w:numPr>
        <w:spacing w:line="600" w:lineRule="exact"/>
        <w:ind w:left="0" w:firstLine="0"/>
        <w:rPr>
          <w:rFonts w:ascii="仿宋" w:hAnsi="仿宋" w:eastAsia="仿宋" w:cs="仿宋"/>
          <w:b w:val="0"/>
          <w:color w:val="auto"/>
          <w:kern w:val="0"/>
          <w:sz w:val="24"/>
          <w:szCs w:val="24"/>
          <w:highlight w:val="none"/>
          <w:lang w:val="zh-CN"/>
        </w:rPr>
      </w:pPr>
      <w:r>
        <w:rPr>
          <w:rFonts w:hint="eastAsia" w:ascii="仿宋" w:hAnsi="仿宋" w:eastAsia="仿宋" w:cs="仿宋"/>
          <w:b w:val="0"/>
          <w:color w:val="auto"/>
          <w:kern w:val="0"/>
          <w:sz w:val="24"/>
          <w:szCs w:val="24"/>
          <w:highlight w:val="none"/>
        </w:rPr>
        <w:t>开标一览表</w:t>
      </w:r>
    </w:p>
    <w:p w14:paraId="68160C94">
      <w:pPr>
        <w:pStyle w:val="109"/>
        <w:numPr>
          <w:ilvl w:val="0"/>
          <w:numId w:val="8"/>
        </w:numPr>
        <w:spacing w:line="600" w:lineRule="exact"/>
        <w:ind w:left="0" w:firstLine="0"/>
        <w:rPr>
          <w:rFonts w:ascii="仿宋" w:hAnsi="仿宋" w:eastAsia="仿宋" w:cs="仿宋"/>
          <w:b w:val="0"/>
          <w:color w:val="auto"/>
          <w:kern w:val="0"/>
          <w:sz w:val="24"/>
          <w:szCs w:val="24"/>
          <w:highlight w:val="none"/>
          <w:lang w:val="zh-CN"/>
        </w:rPr>
      </w:pPr>
      <w:r>
        <w:rPr>
          <w:rFonts w:hint="eastAsia" w:ascii="仿宋" w:hAnsi="仿宋" w:eastAsia="仿宋" w:cs="仿宋"/>
          <w:b w:val="0"/>
          <w:color w:val="auto"/>
          <w:kern w:val="0"/>
          <w:sz w:val="24"/>
          <w:szCs w:val="24"/>
          <w:highlight w:val="none"/>
          <w:lang w:val="zh-CN"/>
        </w:rPr>
        <w:t>法定代表人证明书</w:t>
      </w:r>
    </w:p>
    <w:p w14:paraId="2ACF7B85">
      <w:pPr>
        <w:pStyle w:val="109"/>
        <w:numPr>
          <w:ilvl w:val="0"/>
          <w:numId w:val="8"/>
        </w:numPr>
        <w:spacing w:line="600" w:lineRule="exact"/>
        <w:ind w:left="0" w:firstLine="0"/>
        <w:rPr>
          <w:rFonts w:ascii="仿宋" w:hAnsi="仿宋" w:eastAsia="仿宋" w:cs="仿宋"/>
          <w:b w:val="0"/>
          <w:color w:val="auto"/>
          <w:kern w:val="0"/>
          <w:sz w:val="24"/>
          <w:szCs w:val="24"/>
          <w:highlight w:val="none"/>
          <w:lang w:val="zh-CN"/>
        </w:rPr>
      </w:pPr>
      <w:bookmarkStart w:id="109" w:name="_Toc31232"/>
      <w:bookmarkStart w:id="110" w:name="_Toc3182"/>
      <w:bookmarkStart w:id="111" w:name="_Toc29959"/>
      <w:r>
        <w:rPr>
          <w:rFonts w:hint="eastAsia" w:ascii="仿宋" w:hAnsi="仿宋" w:eastAsia="仿宋" w:cs="仿宋"/>
          <w:b w:val="0"/>
          <w:color w:val="auto"/>
          <w:kern w:val="0"/>
          <w:sz w:val="24"/>
          <w:szCs w:val="24"/>
          <w:highlight w:val="none"/>
          <w:lang w:val="zh-CN"/>
        </w:rPr>
        <w:t>法定代表人授权书</w:t>
      </w:r>
      <w:bookmarkEnd w:id="109"/>
      <w:bookmarkEnd w:id="110"/>
      <w:bookmarkEnd w:id="111"/>
    </w:p>
    <w:p w14:paraId="40860FA3">
      <w:pPr>
        <w:pStyle w:val="109"/>
        <w:numPr>
          <w:ilvl w:val="0"/>
          <w:numId w:val="8"/>
        </w:numPr>
        <w:spacing w:line="600" w:lineRule="exact"/>
        <w:ind w:left="0" w:firstLine="0"/>
        <w:rPr>
          <w:rFonts w:ascii="仿宋" w:hAnsi="仿宋" w:eastAsia="仿宋" w:cs="仿宋"/>
          <w:b w:val="0"/>
          <w:color w:val="auto"/>
          <w:kern w:val="0"/>
          <w:sz w:val="24"/>
          <w:szCs w:val="24"/>
          <w:highlight w:val="none"/>
          <w:lang w:val="zh-CN"/>
        </w:rPr>
      </w:pPr>
      <w:r>
        <w:rPr>
          <w:rFonts w:hint="eastAsia" w:ascii="仿宋" w:hAnsi="仿宋" w:eastAsia="仿宋" w:cs="仿宋"/>
          <w:b w:val="0"/>
          <w:color w:val="auto"/>
          <w:kern w:val="0"/>
          <w:sz w:val="24"/>
          <w:szCs w:val="24"/>
          <w:highlight w:val="none"/>
        </w:rPr>
        <w:t>服务</w:t>
      </w:r>
      <w:r>
        <w:rPr>
          <w:rFonts w:hint="eastAsia" w:ascii="仿宋" w:hAnsi="仿宋" w:eastAsia="仿宋" w:cs="仿宋"/>
          <w:b w:val="0"/>
          <w:color w:val="auto"/>
          <w:kern w:val="0"/>
          <w:sz w:val="24"/>
          <w:szCs w:val="24"/>
          <w:highlight w:val="none"/>
          <w:lang w:val="zh-CN"/>
        </w:rPr>
        <w:t>方案</w:t>
      </w:r>
    </w:p>
    <w:p w14:paraId="2BAB6456">
      <w:pPr>
        <w:pStyle w:val="109"/>
        <w:numPr>
          <w:ilvl w:val="0"/>
          <w:numId w:val="8"/>
        </w:numPr>
        <w:spacing w:line="600" w:lineRule="exact"/>
        <w:ind w:left="0" w:firstLine="0"/>
        <w:rPr>
          <w:rFonts w:ascii="仿宋" w:hAnsi="仿宋" w:eastAsia="仿宋" w:cs="仿宋"/>
          <w:b w:val="0"/>
          <w:color w:val="auto"/>
          <w:kern w:val="0"/>
          <w:sz w:val="24"/>
          <w:szCs w:val="24"/>
          <w:highlight w:val="none"/>
          <w:lang w:val="zh-CN"/>
        </w:rPr>
      </w:pPr>
      <w:r>
        <w:rPr>
          <w:rFonts w:hint="eastAsia" w:ascii="仿宋" w:hAnsi="仿宋" w:eastAsia="仿宋" w:cs="仿宋"/>
          <w:b w:val="0"/>
          <w:color w:val="auto"/>
          <w:kern w:val="0"/>
          <w:sz w:val="24"/>
          <w:szCs w:val="24"/>
          <w:highlight w:val="none"/>
          <w:lang w:val="zh-CN"/>
        </w:rPr>
        <w:t>项目管理机构</w:t>
      </w:r>
    </w:p>
    <w:p w14:paraId="467C670B">
      <w:pPr>
        <w:pStyle w:val="109"/>
        <w:numPr>
          <w:ilvl w:val="0"/>
          <w:numId w:val="8"/>
        </w:numPr>
        <w:spacing w:line="600" w:lineRule="exact"/>
        <w:ind w:left="0" w:firstLine="0"/>
        <w:rPr>
          <w:rFonts w:ascii="仿宋" w:hAnsi="仿宋" w:eastAsia="仿宋" w:cs="仿宋"/>
          <w:b w:val="0"/>
          <w:color w:val="auto"/>
          <w:kern w:val="0"/>
          <w:sz w:val="24"/>
          <w:szCs w:val="24"/>
          <w:highlight w:val="none"/>
          <w:lang w:val="zh-CN"/>
        </w:rPr>
      </w:pPr>
      <w:r>
        <w:rPr>
          <w:rFonts w:hint="eastAsia" w:ascii="仿宋" w:hAnsi="仿宋" w:eastAsia="仿宋" w:cs="仿宋"/>
          <w:b w:val="0"/>
          <w:color w:val="auto"/>
          <w:kern w:val="0"/>
          <w:sz w:val="24"/>
          <w:szCs w:val="24"/>
          <w:highlight w:val="none"/>
          <w:lang w:val="zh-CN"/>
        </w:rPr>
        <w:t>资格审查资料</w:t>
      </w:r>
    </w:p>
    <w:p w14:paraId="2AB78FD2">
      <w:pPr>
        <w:pStyle w:val="109"/>
        <w:numPr>
          <w:ilvl w:val="0"/>
          <w:numId w:val="8"/>
        </w:numPr>
        <w:spacing w:line="600" w:lineRule="exact"/>
        <w:ind w:left="0" w:firstLine="0"/>
        <w:rPr>
          <w:rFonts w:ascii="仿宋" w:hAnsi="仿宋" w:eastAsia="仿宋" w:cs="仿宋"/>
          <w:b w:val="0"/>
          <w:color w:val="auto"/>
          <w:kern w:val="0"/>
          <w:sz w:val="24"/>
          <w:szCs w:val="24"/>
          <w:highlight w:val="none"/>
          <w:lang w:val="zh-CN"/>
        </w:rPr>
      </w:pPr>
      <w:r>
        <w:rPr>
          <w:rFonts w:hint="eastAsia" w:ascii="仿宋" w:hAnsi="仿宋" w:eastAsia="仿宋" w:cs="仿宋"/>
          <w:b w:val="0"/>
          <w:color w:val="auto"/>
          <w:kern w:val="0"/>
          <w:sz w:val="24"/>
          <w:szCs w:val="24"/>
          <w:highlight w:val="none"/>
          <w:lang w:val="zh-CN"/>
        </w:rPr>
        <w:t>其他材料</w:t>
      </w:r>
    </w:p>
    <w:p w14:paraId="3D9697D0">
      <w:pPr>
        <w:pStyle w:val="11"/>
        <w:ind w:left="0" w:firstLine="0" w:firstLineChars="0"/>
        <w:rPr>
          <w:rFonts w:ascii="仿宋" w:hAnsi="仿宋" w:eastAsia="仿宋" w:cs="仿宋"/>
          <w:color w:val="auto"/>
          <w:sz w:val="32"/>
          <w:highlight w:val="none"/>
          <w:lang w:val="zh-CN"/>
        </w:rPr>
      </w:pPr>
    </w:p>
    <w:p w14:paraId="1A69545D">
      <w:pPr>
        <w:pStyle w:val="11"/>
        <w:ind w:left="0" w:firstLine="0" w:firstLineChars="0"/>
        <w:rPr>
          <w:rFonts w:ascii="仿宋" w:hAnsi="仿宋" w:eastAsia="仿宋" w:cs="仿宋"/>
          <w:color w:val="auto"/>
          <w:sz w:val="24"/>
          <w:highlight w:val="none"/>
          <w:lang w:val="zh-CN"/>
        </w:rPr>
      </w:pPr>
    </w:p>
    <w:p w14:paraId="26A42E6E">
      <w:pPr>
        <w:pStyle w:val="11"/>
        <w:ind w:left="0" w:firstLine="0" w:firstLineChars="0"/>
        <w:rPr>
          <w:rFonts w:ascii="仿宋" w:hAnsi="仿宋" w:eastAsia="仿宋" w:cs="仿宋"/>
          <w:color w:val="auto"/>
          <w:sz w:val="24"/>
          <w:highlight w:val="none"/>
          <w:lang w:val="zh-CN"/>
        </w:rPr>
      </w:pPr>
    </w:p>
    <w:p w14:paraId="6F01F7FB">
      <w:pPr>
        <w:pStyle w:val="11"/>
        <w:ind w:left="0" w:firstLine="0" w:firstLineChars="0"/>
        <w:rPr>
          <w:rFonts w:ascii="仿宋" w:hAnsi="仿宋" w:eastAsia="仿宋" w:cs="仿宋"/>
          <w:color w:val="auto"/>
          <w:sz w:val="24"/>
          <w:highlight w:val="none"/>
          <w:lang w:val="zh-CN"/>
        </w:rPr>
      </w:pPr>
    </w:p>
    <w:p w14:paraId="51C45B57">
      <w:pPr>
        <w:pStyle w:val="11"/>
        <w:ind w:left="0" w:firstLine="0" w:firstLineChars="0"/>
        <w:rPr>
          <w:rFonts w:ascii="仿宋" w:hAnsi="仿宋" w:eastAsia="仿宋" w:cs="仿宋"/>
          <w:color w:val="auto"/>
          <w:sz w:val="24"/>
          <w:highlight w:val="none"/>
          <w:lang w:val="zh-CN"/>
        </w:rPr>
      </w:pPr>
    </w:p>
    <w:p w14:paraId="7671E22D">
      <w:pPr>
        <w:pStyle w:val="11"/>
        <w:ind w:left="0" w:firstLine="0" w:firstLineChars="0"/>
        <w:rPr>
          <w:rFonts w:ascii="仿宋" w:hAnsi="仿宋" w:eastAsia="仿宋" w:cs="仿宋"/>
          <w:color w:val="auto"/>
          <w:sz w:val="24"/>
          <w:highlight w:val="none"/>
          <w:lang w:val="zh-CN"/>
        </w:rPr>
      </w:pPr>
    </w:p>
    <w:p w14:paraId="5E56D98C">
      <w:pPr>
        <w:pStyle w:val="11"/>
        <w:ind w:left="0" w:firstLine="0" w:firstLineChars="0"/>
        <w:rPr>
          <w:rFonts w:ascii="仿宋" w:hAnsi="仿宋" w:eastAsia="仿宋" w:cs="仿宋"/>
          <w:color w:val="auto"/>
          <w:sz w:val="24"/>
          <w:highlight w:val="none"/>
          <w:lang w:val="zh-CN"/>
        </w:rPr>
      </w:pPr>
    </w:p>
    <w:p w14:paraId="032FD3BF">
      <w:pPr>
        <w:pStyle w:val="11"/>
        <w:ind w:left="0" w:firstLine="0" w:firstLineChars="0"/>
        <w:rPr>
          <w:rFonts w:ascii="仿宋" w:hAnsi="仿宋" w:eastAsia="仿宋" w:cs="仿宋"/>
          <w:color w:val="auto"/>
          <w:sz w:val="24"/>
          <w:highlight w:val="none"/>
          <w:lang w:val="zh-CN"/>
        </w:rPr>
      </w:pPr>
    </w:p>
    <w:p w14:paraId="18376227">
      <w:pPr>
        <w:pStyle w:val="11"/>
        <w:ind w:left="0" w:firstLine="0" w:firstLineChars="0"/>
        <w:rPr>
          <w:rFonts w:ascii="仿宋" w:hAnsi="仿宋" w:eastAsia="仿宋" w:cs="仿宋"/>
          <w:color w:val="auto"/>
          <w:sz w:val="24"/>
          <w:highlight w:val="none"/>
          <w:lang w:val="zh-CN"/>
        </w:rPr>
      </w:pPr>
    </w:p>
    <w:p w14:paraId="18A6F046">
      <w:pPr>
        <w:pStyle w:val="11"/>
        <w:ind w:left="0" w:firstLine="0" w:firstLineChars="0"/>
        <w:rPr>
          <w:rFonts w:ascii="仿宋" w:hAnsi="仿宋" w:eastAsia="仿宋" w:cs="仿宋"/>
          <w:color w:val="auto"/>
          <w:sz w:val="24"/>
          <w:highlight w:val="none"/>
          <w:lang w:val="zh-CN"/>
        </w:rPr>
      </w:pPr>
    </w:p>
    <w:p w14:paraId="341D688B">
      <w:pPr>
        <w:pStyle w:val="11"/>
        <w:ind w:left="0" w:firstLine="0" w:firstLineChars="0"/>
        <w:rPr>
          <w:rFonts w:ascii="仿宋" w:hAnsi="仿宋" w:eastAsia="仿宋" w:cs="仿宋"/>
          <w:color w:val="auto"/>
          <w:sz w:val="24"/>
          <w:highlight w:val="none"/>
          <w:lang w:val="zh-CN"/>
        </w:rPr>
      </w:pPr>
    </w:p>
    <w:p w14:paraId="10D8FE58">
      <w:pPr>
        <w:pStyle w:val="11"/>
        <w:ind w:left="0" w:firstLine="0" w:firstLineChars="0"/>
        <w:rPr>
          <w:rFonts w:ascii="仿宋" w:hAnsi="仿宋" w:eastAsia="仿宋" w:cs="仿宋"/>
          <w:color w:val="auto"/>
          <w:sz w:val="24"/>
          <w:highlight w:val="none"/>
          <w:lang w:val="zh-CN"/>
        </w:rPr>
      </w:pPr>
    </w:p>
    <w:p w14:paraId="58A6C5E6">
      <w:pPr>
        <w:pStyle w:val="11"/>
        <w:ind w:left="0" w:firstLine="0" w:firstLineChars="0"/>
        <w:rPr>
          <w:rFonts w:ascii="仿宋" w:hAnsi="仿宋" w:eastAsia="仿宋" w:cs="仿宋"/>
          <w:color w:val="auto"/>
          <w:sz w:val="24"/>
          <w:highlight w:val="none"/>
          <w:lang w:val="zh-CN"/>
        </w:rPr>
      </w:pPr>
    </w:p>
    <w:p w14:paraId="51768B41">
      <w:pPr>
        <w:pStyle w:val="11"/>
        <w:ind w:left="0" w:firstLine="0" w:firstLineChars="0"/>
        <w:rPr>
          <w:rFonts w:ascii="仿宋" w:hAnsi="仿宋" w:eastAsia="仿宋" w:cs="仿宋"/>
          <w:color w:val="auto"/>
          <w:sz w:val="24"/>
          <w:highlight w:val="none"/>
          <w:lang w:val="zh-CN"/>
        </w:rPr>
      </w:pPr>
    </w:p>
    <w:p w14:paraId="079DEAAA">
      <w:pPr>
        <w:pStyle w:val="11"/>
        <w:ind w:left="0" w:firstLine="0" w:firstLineChars="0"/>
        <w:rPr>
          <w:rFonts w:ascii="仿宋" w:hAnsi="仿宋" w:eastAsia="仿宋" w:cs="仿宋"/>
          <w:color w:val="auto"/>
          <w:sz w:val="24"/>
          <w:highlight w:val="none"/>
          <w:lang w:val="zh-CN"/>
        </w:rPr>
      </w:pPr>
    </w:p>
    <w:p w14:paraId="06D15F31">
      <w:pPr>
        <w:keepNext/>
        <w:keepLines/>
        <w:rPr>
          <w:rFonts w:ascii="仿宋" w:hAnsi="仿宋" w:eastAsia="仿宋" w:cs="仿宋"/>
          <w:color w:val="auto"/>
          <w:sz w:val="32"/>
          <w:highlight w:val="none"/>
          <w:lang w:val="zh-CN"/>
        </w:rPr>
      </w:pPr>
      <w:bookmarkStart w:id="112" w:name="_Toc19550"/>
      <w:bookmarkStart w:id="113" w:name="_Toc7732"/>
      <w:bookmarkStart w:id="114" w:name="_Toc430704686"/>
      <w:bookmarkStart w:id="115" w:name="_Toc31316"/>
      <w:bookmarkStart w:id="116" w:name="_Toc7958"/>
    </w:p>
    <w:p w14:paraId="7F114ACD">
      <w:pPr>
        <w:keepNext/>
        <w:keepLines/>
        <w:rPr>
          <w:rFonts w:ascii="仿宋" w:hAnsi="仿宋" w:eastAsia="仿宋" w:cs="仿宋"/>
          <w:color w:val="auto"/>
          <w:sz w:val="32"/>
          <w:highlight w:val="none"/>
          <w:lang w:val="zh-CN"/>
        </w:rPr>
      </w:pPr>
    </w:p>
    <w:p w14:paraId="2B935FCE">
      <w:pPr>
        <w:pStyle w:val="3"/>
        <w:spacing w:before="0" w:after="0" w:line="480" w:lineRule="auto"/>
        <w:rPr>
          <w:rFonts w:ascii="仿宋" w:hAnsi="仿宋" w:eastAsia="仿宋" w:cs="仿宋"/>
          <w:b w:val="0"/>
          <w:bCs w:val="0"/>
          <w:color w:val="auto"/>
          <w:highlight w:val="none"/>
        </w:rPr>
      </w:pPr>
      <w:r>
        <w:rPr>
          <w:rFonts w:hint="eastAsia" w:ascii="仿宋" w:hAnsi="仿宋" w:eastAsia="仿宋" w:cs="仿宋"/>
          <w:b w:val="0"/>
          <w:bCs w:val="0"/>
          <w:color w:val="auto"/>
          <w:highlight w:val="none"/>
          <w:lang w:val="zh-CN"/>
        </w:rPr>
        <w:br w:type="page"/>
      </w:r>
      <w:r>
        <w:rPr>
          <w:rFonts w:hint="eastAsia" w:ascii="仿宋" w:hAnsi="仿宋" w:eastAsia="仿宋" w:cs="仿宋"/>
          <w:b w:val="0"/>
          <w:bCs w:val="0"/>
          <w:color w:val="auto"/>
          <w:highlight w:val="none"/>
          <w:lang w:val="zh-CN"/>
        </w:rPr>
        <w:t>一、</w:t>
      </w:r>
      <w:bookmarkEnd w:id="112"/>
      <w:bookmarkEnd w:id="113"/>
      <w:bookmarkEnd w:id="114"/>
      <w:r>
        <w:rPr>
          <w:rFonts w:hint="eastAsia" w:ascii="仿宋" w:hAnsi="仿宋" w:eastAsia="仿宋" w:cs="仿宋"/>
          <w:b w:val="0"/>
          <w:bCs w:val="0"/>
          <w:color w:val="auto"/>
          <w:highlight w:val="none"/>
          <w:lang w:val="zh-CN"/>
        </w:rPr>
        <w:t>询比响应函</w:t>
      </w:r>
      <w:bookmarkEnd w:id="115"/>
      <w:bookmarkEnd w:id="116"/>
    </w:p>
    <w:p w14:paraId="6200A968">
      <w:pPr>
        <w:autoSpaceDE w:val="0"/>
        <w:autoSpaceDN w:val="0"/>
        <w:adjustRightInd w:val="0"/>
        <w:spacing w:line="400" w:lineRule="exact"/>
        <w:jc w:val="center"/>
        <w:rPr>
          <w:rFonts w:ascii="仿宋" w:hAnsi="仿宋" w:eastAsia="仿宋" w:cs="仿宋"/>
          <w:color w:val="auto"/>
          <w:kern w:val="0"/>
          <w:sz w:val="36"/>
          <w:szCs w:val="36"/>
          <w:highlight w:val="none"/>
          <w:lang w:val="zh-CN"/>
        </w:rPr>
      </w:pPr>
    </w:p>
    <w:p w14:paraId="10DAC49C">
      <w:pPr>
        <w:autoSpaceDE w:val="0"/>
        <w:autoSpaceDN w:val="0"/>
        <w:adjustRightInd w:val="0"/>
        <w:spacing w:line="400" w:lineRule="exact"/>
        <w:jc w:val="center"/>
        <w:rPr>
          <w:rFonts w:ascii="仿宋" w:hAnsi="仿宋" w:eastAsia="仿宋" w:cs="仿宋"/>
          <w:color w:val="auto"/>
          <w:kern w:val="0"/>
          <w:sz w:val="36"/>
          <w:szCs w:val="36"/>
          <w:highlight w:val="none"/>
          <w:lang w:val="zh-CN"/>
        </w:rPr>
      </w:pPr>
      <w:r>
        <w:rPr>
          <w:rFonts w:hint="eastAsia" w:ascii="仿宋" w:hAnsi="仿宋" w:eastAsia="仿宋" w:cs="仿宋"/>
          <w:color w:val="auto"/>
          <w:kern w:val="0"/>
          <w:sz w:val="36"/>
          <w:szCs w:val="36"/>
          <w:highlight w:val="none"/>
          <w:lang w:val="zh-CN"/>
        </w:rPr>
        <w:t>询比响应函</w:t>
      </w:r>
    </w:p>
    <w:p w14:paraId="3046B7F6">
      <w:pPr>
        <w:autoSpaceDE w:val="0"/>
        <w:autoSpaceDN w:val="0"/>
        <w:adjustRightInd w:val="0"/>
        <w:spacing w:line="400" w:lineRule="exac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致：</w:t>
      </w:r>
      <w:r>
        <w:rPr>
          <w:rFonts w:hint="eastAsia" w:ascii="仿宋" w:hAnsi="仿宋" w:eastAsia="仿宋" w:cs="仿宋"/>
          <w:color w:val="auto"/>
          <w:kern w:val="0"/>
          <w:sz w:val="24"/>
          <w:highlight w:val="none"/>
          <w:u w:val="single"/>
        </w:rPr>
        <w:t>青海联祥招标代理有限公司</w:t>
      </w:r>
    </w:p>
    <w:p w14:paraId="1BD6A77D">
      <w:pPr>
        <w:autoSpaceDE w:val="0"/>
        <w:autoSpaceDN w:val="0"/>
        <w:adjustRightInd w:val="0"/>
        <w:spacing w:line="600" w:lineRule="exact"/>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我们收到</w:t>
      </w:r>
      <w:r>
        <w:rPr>
          <w:rFonts w:hint="eastAsia" w:ascii="仿宋" w:hAnsi="仿宋" w:eastAsia="仿宋" w:cs="仿宋"/>
          <w:color w:val="auto"/>
          <w:kern w:val="0"/>
          <w:sz w:val="24"/>
          <w:highlight w:val="none"/>
          <w:u w:val="single"/>
          <w:lang w:val="zh-CN"/>
        </w:rPr>
        <w:t xml:space="preserve"> 项目名称（项目编号）</w:t>
      </w:r>
      <w:r>
        <w:rPr>
          <w:rFonts w:hint="eastAsia" w:ascii="仿宋" w:hAnsi="仿宋" w:eastAsia="仿宋" w:cs="仿宋"/>
          <w:color w:val="auto"/>
          <w:kern w:val="0"/>
          <w:sz w:val="24"/>
          <w:highlight w:val="none"/>
        </w:rPr>
        <w:t>询比</w:t>
      </w:r>
      <w:r>
        <w:rPr>
          <w:rFonts w:hint="eastAsia" w:ascii="仿宋" w:hAnsi="仿宋" w:eastAsia="仿宋" w:cs="仿宋"/>
          <w:color w:val="auto"/>
          <w:kern w:val="0"/>
          <w:sz w:val="24"/>
          <w:highlight w:val="none"/>
          <w:lang w:val="zh-CN"/>
        </w:rPr>
        <w:t>文件，经研究，法定代表人（姓名、职务）正式授权（委托代理人姓名、职务）代表供应商（供应商名称、地址）提交响应文件。</w:t>
      </w:r>
      <w:r>
        <w:rPr>
          <w:rFonts w:hint="eastAsia" w:ascii="仿宋" w:hAnsi="仿宋" w:eastAsia="仿宋" w:cs="仿宋"/>
          <w:color w:val="auto"/>
          <w:kern w:val="0"/>
          <w:sz w:val="24"/>
          <w:highlight w:val="none"/>
        </w:rPr>
        <w:t>投标报价（费率）：</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 xml:space="preserve"> ，服务期限：</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w:t>
      </w:r>
    </w:p>
    <w:p w14:paraId="24180DCC">
      <w:pPr>
        <w:autoSpaceDE w:val="0"/>
        <w:autoSpaceDN w:val="0"/>
        <w:adjustRightInd w:val="0"/>
        <w:spacing w:line="600" w:lineRule="exact"/>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据此函，签字代表宣布同意如下：</w:t>
      </w:r>
      <w:bookmarkStart w:id="170" w:name="_GoBack"/>
      <w:bookmarkEnd w:id="170"/>
    </w:p>
    <w:p w14:paraId="1E93FE0F">
      <w:pPr>
        <w:autoSpaceDE w:val="0"/>
        <w:autoSpaceDN w:val="0"/>
        <w:adjustRightInd w:val="0"/>
        <w:spacing w:line="600" w:lineRule="exact"/>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lang w:val="zh-CN"/>
        </w:rPr>
        <w:t>.我方承诺在投标有效期内不修改、撤销响应文件。</w:t>
      </w:r>
    </w:p>
    <w:p w14:paraId="09F4C881">
      <w:pPr>
        <w:autoSpaceDE w:val="0"/>
        <w:autoSpaceDN w:val="0"/>
        <w:adjustRightInd w:val="0"/>
        <w:spacing w:line="600" w:lineRule="exact"/>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rPr>
        <w:t>2.</w:t>
      </w:r>
      <w:r>
        <w:rPr>
          <w:rFonts w:hint="eastAsia" w:ascii="仿宋" w:hAnsi="仿宋" w:eastAsia="仿宋" w:cs="仿宋"/>
          <w:color w:val="auto"/>
          <w:kern w:val="0"/>
          <w:sz w:val="24"/>
          <w:highlight w:val="none"/>
          <w:lang w:val="zh-CN"/>
        </w:rPr>
        <w:t>如我方中标：</w:t>
      </w:r>
    </w:p>
    <w:p w14:paraId="038DE7AF">
      <w:pPr>
        <w:autoSpaceDE w:val="0"/>
        <w:autoSpaceDN w:val="0"/>
        <w:adjustRightInd w:val="0"/>
        <w:spacing w:line="600" w:lineRule="exact"/>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（1）我方承诺在收到成交通知书后，在成交通知书规定的期限内与你方签订合同。</w:t>
      </w:r>
    </w:p>
    <w:p w14:paraId="5783760A">
      <w:pPr>
        <w:autoSpaceDE w:val="0"/>
        <w:autoSpaceDN w:val="0"/>
        <w:adjustRightInd w:val="0"/>
        <w:spacing w:line="600" w:lineRule="exact"/>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rPr>
        <w:t>2</w:t>
      </w:r>
      <w:r>
        <w:rPr>
          <w:rFonts w:hint="eastAsia" w:ascii="仿宋" w:hAnsi="仿宋" w:eastAsia="仿宋" w:cs="仿宋"/>
          <w:color w:val="auto"/>
          <w:kern w:val="0"/>
          <w:sz w:val="24"/>
          <w:highlight w:val="none"/>
          <w:lang w:val="zh-CN"/>
        </w:rPr>
        <w:t>）我方承诺在合同约定的期限内完成合同规定的全部义务。</w:t>
      </w:r>
    </w:p>
    <w:p w14:paraId="443281E7">
      <w:pPr>
        <w:autoSpaceDE w:val="0"/>
        <w:autoSpaceDN w:val="0"/>
        <w:adjustRightInd w:val="0"/>
        <w:spacing w:line="600" w:lineRule="exact"/>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rPr>
        <w:t>3</w:t>
      </w:r>
      <w:r>
        <w:rPr>
          <w:rFonts w:hint="eastAsia" w:ascii="仿宋" w:hAnsi="仿宋" w:eastAsia="仿宋" w:cs="仿宋"/>
          <w:color w:val="auto"/>
          <w:kern w:val="0"/>
          <w:sz w:val="24"/>
          <w:highlight w:val="none"/>
          <w:lang w:val="zh-CN"/>
        </w:rPr>
        <w:t>.我方在此声明，所递交的响应文件及有关资料内容完整、真实和准确，且不存在第二章“供应商须知”规定的任何一种情形。</w:t>
      </w:r>
    </w:p>
    <w:p w14:paraId="3E6BFB27">
      <w:pPr>
        <w:autoSpaceDE w:val="0"/>
        <w:autoSpaceDN w:val="0"/>
        <w:adjustRightInd w:val="0"/>
        <w:spacing w:line="400" w:lineRule="exact"/>
        <w:jc w:val="left"/>
        <w:rPr>
          <w:rFonts w:ascii="仿宋" w:hAnsi="仿宋" w:eastAsia="仿宋" w:cs="仿宋"/>
          <w:color w:val="auto"/>
          <w:kern w:val="0"/>
          <w:sz w:val="24"/>
          <w:highlight w:val="none"/>
          <w:lang w:val="zh-CN"/>
        </w:rPr>
      </w:pPr>
    </w:p>
    <w:p w14:paraId="465E28B4">
      <w:pPr>
        <w:autoSpaceDE w:val="0"/>
        <w:autoSpaceDN w:val="0"/>
        <w:adjustRightInd w:val="0"/>
        <w:spacing w:line="400" w:lineRule="exact"/>
        <w:ind w:firstLine="3182" w:firstLineChars="1326"/>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供应商： </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（盖章）</w:t>
      </w:r>
    </w:p>
    <w:p w14:paraId="655AA476">
      <w:pPr>
        <w:autoSpaceDE w:val="0"/>
        <w:autoSpaceDN w:val="0"/>
        <w:adjustRightInd w:val="0"/>
        <w:spacing w:line="400" w:lineRule="exact"/>
        <w:ind w:firstLine="3182" w:firstLineChars="1326"/>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法定代表人或其委托代理人： （签字</w:t>
      </w:r>
      <w:r>
        <w:rPr>
          <w:rFonts w:hint="eastAsia" w:ascii="仿宋" w:hAnsi="仿宋" w:eastAsia="仿宋" w:cs="仿宋"/>
          <w:color w:val="auto"/>
          <w:kern w:val="0"/>
          <w:sz w:val="24"/>
          <w:highlight w:val="none"/>
        </w:rPr>
        <w:t>或盖章</w:t>
      </w:r>
      <w:r>
        <w:rPr>
          <w:rFonts w:hint="eastAsia" w:ascii="仿宋" w:hAnsi="仿宋" w:eastAsia="仿宋" w:cs="仿宋"/>
          <w:color w:val="auto"/>
          <w:kern w:val="0"/>
          <w:sz w:val="24"/>
          <w:highlight w:val="none"/>
          <w:lang w:val="zh-CN"/>
        </w:rPr>
        <w:t>）</w:t>
      </w:r>
    </w:p>
    <w:p w14:paraId="4A444CEF">
      <w:pPr>
        <w:autoSpaceDE w:val="0"/>
        <w:autoSpaceDN w:val="0"/>
        <w:adjustRightInd w:val="0"/>
        <w:spacing w:line="400" w:lineRule="exact"/>
        <w:ind w:firstLine="3182" w:firstLineChars="1326"/>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地址：</w:t>
      </w:r>
    </w:p>
    <w:p w14:paraId="2456C62E">
      <w:pPr>
        <w:autoSpaceDE w:val="0"/>
        <w:autoSpaceDN w:val="0"/>
        <w:adjustRightInd w:val="0"/>
        <w:spacing w:line="400" w:lineRule="exact"/>
        <w:ind w:firstLine="3120" w:firstLineChars="13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网址：</w:t>
      </w:r>
    </w:p>
    <w:p w14:paraId="18A4A946">
      <w:pPr>
        <w:autoSpaceDE w:val="0"/>
        <w:autoSpaceDN w:val="0"/>
        <w:adjustRightInd w:val="0"/>
        <w:spacing w:line="400" w:lineRule="exact"/>
        <w:ind w:firstLine="3120" w:firstLineChars="13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电话：</w:t>
      </w:r>
    </w:p>
    <w:p w14:paraId="09379AD5">
      <w:pPr>
        <w:autoSpaceDE w:val="0"/>
        <w:autoSpaceDN w:val="0"/>
        <w:adjustRightInd w:val="0"/>
        <w:spacing w:line="400" w:lineRule="exact"/>
        <w:ind w:firstLine="3182" w:firstLineChars="1326"/>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传真：</w:t>
      </w:r>
    </w:p>
    <w:p w14:paraId="02BAB82F">
      <w:pPr>
        <w:autoSpaceDE w:val="0"/>
        <w:autoSpaceDN w:val="0"/>
        <w:adjustRightInd w:val="0"/>
        <w:spacing w:line="400" w:lineRule="exact"/>
        <w:ind w:firstLine="3182" w:firstLineChars="1326"/>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邮政编码：</w:t>
      </w:r>
    </w:p>
    <w:p w14:paraId="4DD15704">
      <w:pPr>
        <w:autoSpaceDE w:val="0"/>
        <w:autoSpaceDN w:val="0"/>
        <w:adjustRightInd w:val="0"/>
        <w:spacing w:line="400" w:lineRule="exact"/>
        <w:ind w:firstLine="5280" w:firstLineChars="2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年　 月　　 日</w:t>
      </w:r>
    </w:p>
    <w:p w14:paraId="46D1CCA0">
      <w:pPr>
        <w:pStyle w:val="3"/>
        <w:rPr>
          <w:rFonts w:ascii="仿宋" w:hAnsi="仿宋" w:eastAsia="仿宋" w:cs="仿宋"/>
          <w:b w:val="0"/>
          <w:bCs w:val="0"/>
          <w:color w:val="auto"/>
          <w:highlight w:val="none"/>
        </w:rPr>
        <w:sectPr>
          <w:pgSz w:w="11907" w:h="16840"/>
          <w:pgMar w:top="1701" w:right="1417" w:bottom="1701" w:left="1417" w:header="1134" w:footer="1134" w:gutter="0"/>
          <w:cols w:space="720" w:num="1"/>
          <w:titlePg/>
          <w:docGrid w:linePitch="319" w:charSpace="-630"/>
        </w:sectPr>
      </w:pPr>
      <w:bookmarkStart w:id="117" w:name="_Toc15640"/>
    </w:p>
    <w:bookmarkEnd w:id="117"/>
    <w:p w14:paraId="1F9084EC">
      <w:pPr>
        <w:pStyle w:val="3"/>
        <w:numPr>
          <w:ilvl w:val="0"/>
          <w:numId w:val="9"/>
        </w:numPr>
        <w:spacing w:before="0" w:after="0" w:line="480" w:lineRule="auto"/>
        <w:rPr>
          <w:rFonts w:ascii="仿宋" w:hAnsi="仿宋" w:eastAsia="仿宋" w:cs="仿宋"/>
          <w:b w:val="0"/>
          <w:bCs w:val="0"/>
          <w:color w:val="auto"/>
          <w:highlight w:val="none"/>
        </w:rPr>
      </w:pPr>
      <w:r>
        <w:rPr>
          <w:rFonts w:hint="eastAsia" w:ascii="仿宋" w:hAnsi="仿宋" w:eastAsia="仿宋" w:cs="仿宋"/>
          <w:b w:val="0"/>
          <w:bCs w:val="0"/>
          <w:color w:val="auto"/>
          <w:highlight w:val="none"/>
        </w:rPr>
        <w:t>开标一览表</w:t>
      </w:r>
    </w:p>
    <w:p w14:paraId="702121D7">
      <w:pPr>
        <w:autoSpaceDE w:val="0"/>
        <w:autoSpaceDN w:val="0"/>
        <w:adjustRightInd w:val="0"/>
        <w:spacing w:line="400" w:lineRule="exact"/>
        <w:jc w:val="center"/>
        <w:rPr>
          <w:rFonts w:ascii="仿宋" w:hAnsi="仿宋" w:eastAsia="仿宋" w:cs="仿宋"/>
          <w:color w:val="auto"/>
          <w:kern w:val="0"/>
          <w:sz w:val="36"/>
          <w:szCs w:val="36"/>
          <w:highlight w:val="none"/>
          <w:lang w:val="zh-CN"/>
        </w:rPr>
      </w:pPr>
      <w:r>
        <w:rPr>
          <w:rFonts w:hint="eastAsia" w:ascii="仿宋" w:hAnsi="仿宋" w:eastAsia="仿宋" w:cs="仿宋"/>
          <w:color w:val="auto"/>
          <w:kern w:val="0"/>
          <w:sz w:val="36"/>
          <w:szCs w:val="36"/>
          <w:highlight w:val="none"/>
        </w:rPr>
        <w:t>开标一览表</w:t>
      </w:r>
    </w:p>
    <w:p w14:paraId="5FAC360C">
      <w:pPr>
        <w:wordWrap w:val="0"/>
        <w:spacing w:line="360" w:lineRule="auto"/>
        <w:rPr>
          <w:rFonts w:ascii="仿宋" w:hAnsi="仿宋" w:eastAsia="仿宋" w:cs="仿宋"/>
          <w:color w:val="auto"/>
          <w:sz w:val="24"/>
          <w:highlight w:val="none"/>
        </w:rPr>
      </w:pPr>
    </w:p>
    <w:p w14:paraId="7458B9F4">
      <w:pPr>
        <w:pStyle w:val="111"/>
        <w:kinsoku w:val="0"/>
        <w:overflowPunct w:val="0"/>
        <w:spacing w:before="2"/>
        <w:rPr>
          <w:rFonts w:ascii="仿宋" w:hAnsi="仿宋" w:eastAsia="仿宋" w:cs="仿宋"/>
          <w:color w:val="auto"/>
          <w:sz w:val="24"/>
          <w:highlight w:val="none"/>
        </w:rPr>
      </w:pPr>
    </w:p>
    <w:tbl>
      <w:tblPr>
        <w:tblStyle w:val="30"/>
        <w:tblW w:w="4996" w:type="pct"/>
        <w:tblInd w:w="0" w:type="dxa"/>
        <w:tblLayout w:type="autofit"/>
        <w:tblCellMar>
          <w:top w:w="0" w:type="dxa"/>
          <w:left w:w="108" w:type="dxa"/>
          <w:bottom w:w="0" w:type="dxa"/>
          <w:right w:w="108" w:type="dxa"/>
        </w:tblCellMar>
      </w:tblPr>
      <w:tblGrid>
        <w:gridCol w:w="2588"/>
        <w:gridCol w:w="2104"/>
        <w:gridCol w:w="1974"/>
        <w:gridCol w:w="2616"/>
      </w:tblGrid>
      <w:tr w14:paraId="1A48D757">
        <w:tblPrEx>
          <w:tblCellMar>
            <w:top w:w="0" w:type="dxa"/>
            <w:left w:w="108" w:type="dxa"/>
            <w:bottom w:w="0" w:type="dxa"/>
            <w:right w:w="108" w:type="dxa"/>
          </w:tblCellMar>
        </w:tblPrEx>
        <w:trPr>
          <w:trHeight w:val="714" w:hRule="exact"/>
        </w:trPr>
        <w:tc>
          <w:tcPr>
            <w:tcW w:w="1486" w:type="pct"/>
            <w:tcBorders>
              <w:top w:val="single" w:color="000000" w:sz="4" w:space="0"/>
              <w:left w:val="single" w:color="000000" w:sz="4" w:space="0"/>
              <w:bottom w:val="single" w:color="000000" w:sz="4" w:space="0"/>
              <w:right w:val="single" w:color="000000" w:sz="4" w:space="0"/>
              <w:tl2br w:val="nil"/>
              <w:tr2bl w:val="nil"/>
            </w:tcBorders>
            <w:noWrap/>
          </w:tcPr>
          <w:p w14:paraId="7C6EFE4B">
            <w:pPr>
              <w:pStyle w:val="49"/>
              <w:kinsoku w:val="0"/>
              <w:overflowPunct w:val="0"/>
              <w:spacing w:before="124"/>
              <w:jc w:val="center"/>
              <w:rPr>
                <w:rFonts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项目名称</w:t>
            </w:r>
          </w:p>
        </w:tc>
        <w:tc>
          <w:tcPr>
            <w:tcW w:w="1158" w:type="pct"/>
            <w:tcBorders>
              <w:top w:val="single" w:color="000000" w:sz="4" w:space="0"/>
              <w:left w:val="single" w:color="000000" w:sz="4" w:space="0"/>
              <w:bottom w:val="single" w:color="000000" w:sz="4" w:space="0"/>
              <w:right w:val="single" w:color="000000" w:sz="4" w:space="0"/>
              <w:tl2br w:val="nil"/>
              <w:tr2bl w:val="nil"/>
            </w:tcBorders>
            <w:noWrap/>
          </w:tcPr>
          <w:p w14:paraId="276C4914">
            <w:pPr>
              <w:pStyle w:val="49"/>
              <w:kinsoku w:val="0"/>
              <w:overflowPunct w:val="0"/>
              <w:spacing w:before="124"/>
              <w:jc w:val="center"/>
              <w:rPr>
                <w:rFonts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投标报价（费率）</w:t>
            </w:r>
          </w:p>
        </w:tc>
        <w:tc>
          <w:tcPr>
            <w:tcW w:w="1223" w:type="pct"/>
            <w:tcBorders>
              <w:top w:val="single" w:color="000000" w:sz="4" w:space="0"/>
              <w:left w:val="single" w:color="000000" w:sz="4" w:space="0"/>
              <w:bottom w:val="single" w:color="000000" w:sz="4" w:space="0"/>
              <w:right w:val="single" w:color="000000" w:sz="4" w:space="0"/>
              <w:tl2br w:val="nil"/>
              <w:tr2bl w:val="nil"/>
            </w:tcBorders>
            <w:noWrap/>
          </w:tcPr>
          <w:p w14:paraId="28E31583">
            <w:pPr>
              <w:pStyle w:val="49"/>
              <w:kinsoku w:val="0"/>
              <w:overflowPunct w:val="0"/>
              <w:spacing w:before="124"/>
              <w:jc w:val="center"/>
              <w:rPr>
                <w:rFonts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服务期限</w:t>
            </w:r>
          </w:p>
        </w:tc>
        <w:tc>
          <w:tcPr>
            <w:tcW w:w="1131" w:type="pct"/>
            <w:tcBorders>
              <w:top w:val="single" w:color="000000" w:sz="4" w:space="0"/>
              <w:left w:val="single" w:color="000000" w:sz="4" w:space="0"/>
              <w:bottom w:val="single" w:color="000000" w:sz="4" w:space="0"/>
              <w:right w:val="single" w:color="000000" w:sz="4" w:space="0"/>
              <w:tl2br w:val="nil"/>
              <w:tr2bl w:val="nil"/>
            </w:tcBorders>
            <w:noWrap/>
          </w:tcPr>
          <w:p w14:paraId="2F830E6B">
            <w:pPr>
              <w:pStyle w:val="49"/>
              <w:kinsoku w:val="0"/>
              <w:overflowPunct w:val="0"/>
              <w:spacing w:before="124"/>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项目负责人及证书编号</w:t>
            </w:r>
          </w:p>
        </w:tc>
      </w:tr>
      <w:tr w14:paraId="675D1E1A">
        <w:tblPrEx>
          <w:tblCellMar>
            <w:top w:w="0" w:type="dxa"/>
            <w:left w:w="108" w:type="dxa"/>
            <w:bottom w:w="0" w:type="dxa"/>
            <w:right w:w="108" w:type="dxa"/>
          </w:tblCellMar>
        </w:tblPrEx>
        <w:trPr>
          <w:trHeight w:val="1238" w:hRule="exact"/>
        </w:trPr>
        <w:tc>
          <w:tcPr>
            <w:tcW w:w="1486" w:type="pct"/>
            <w:tcBorders>
              <w:top w:val="single" w:color="000000" w:sz="4" w:space="0"/>
              <w:left w:val="single" w:color="000000" w:sz="4" w:space="0"/>
              <w:bottom w:val="single" w:color="000000" w:sz="4" w:space="0"/>
              <w:right w:val="single" w:color="000000" w:sz="4" w:space="0"/>
              <w:tl2br w:val="nil"/>
              <w:tr2bl w:val="nil"/>
            </w:tcBorders>
            <w:noWrap/>
          </w:tcPr>
          <w:p w14:paraId="2E918FDD">
            <w:pPr>
              <w:pStyle w:val="112"/>
              <w:rPr>
                <w:rFonts w:ascii="仿宋" w:hAnsi="仿宋" w:eastAsia="仿宋" w:cs="仿宋"/>
                <w:color w:val="auto"/>
                <w:sz w:val="24"/>
                <w:szCs w:val="24"/>
                <w:highlight w:val="none"/>
              </w:rPr>
            </w:pPr>
          </w:p>
        </w:tc>
        <w:tc>
          <w:tcPr>
            <w:tcW w:w="1158" w:type="pct"/>
            <w:tcBorders>
              <w:top w:val="single" w:color="000000" w:sz="4" w:space="0"/>
              <w:left w:val="single" w:color="000000" w:sz="4" w:space="0"/>
              <w:bottom w:val="single" w:color="000000" w:sz="4" w:space="0"/>
              <w:right w:val="single" w:color="000000" w:sz="4" w:space="0"/>
              <w:tl2br w:val="nil"/>
              <w:tr2bl w:val="nil"/>
            </w:tcBorders>
            <w:noWrap/>
          </w:tcPr>
          <w:p w14:paraId="35CD1DE4">
            <w:pPr>
              <w:pStyle w:val="49"/>
              <w:kinsoku w:val="0"/>
              <w:overflowPunct w:val="0"/>
              <w:spacing w:before="86"/>
              <w:ind w:left="101"/>
              <w:rPr>
                <w:rFonts w:ascii="仿宋" w:hAnsi="仿宋" w:eastAsia="仿宋" w:cs="仿宋"/>
                <w:color w:val="auto"/>
                <w:sz w:val="24"/>
                <w:szCs w:val="24"/>
                <w:highlight w:val="none"/>
              </w:rPr>
            </w:pPr>
          </w:p>
        </w:tc>
        <w:tc>
          <w:tcPr>
            <w:tcW w:w="1223" w:type="pct"/>
            <w:tcBorders>
              <w:top w:val="single" w:color="000000" w:sz="4" w:space="0"/>
              <w:left w:val="single" w:color="000000" w:sz="4" w:space="0"/>
              <w:bottom w:val="single" w:color="000000" w:sz="4" w:space="0"/>
              <w:right w:val="single" w:color="000000" w:sz="4" w:space="0"/>
              <w:tl2br w:val="nil"/>
              <w:tr2bl w:val="nil"/>
            </w:tcBorders>
            <w:noWrap/>
          </w:tcPr>
          <w:p w14:paraId="1ABCD798">
            <w:pPr>
              <w:pStyle w:val="112"/>
              <w:rPr>
                <w:rFonts w:ascii="仿宋" w:hAnsi="仿宋" w:eastAsia="仿宋" w:cs="仿宋"/>
                <w:color w:val="auto"/>
                <w:sz w:val="24"/>
                <w:szCs w:val="24"/>
                <w:highlight w:val="none"/>
              </w:rPr>
            </w:pPr>
          </w:p>
        </w:tc>
        <w:tc>
          <w:tcPr>
            <w:tcW w:w="1131" w:type="pct"/>
            <w:tcBorders>
              <w:top w:val="single" w:color="000000" w:sz="4" w:space="0"/>
              <w:left w:val="single" w:color="000000" w:sz="4" w:space="0"/>
              <w:bottom w:val="single" w:color="000000" w:sz="4" w:space="0"/>
              <w:right w:val="single" w:color="000000" w:sz="4" w:space="0"/>
              <w:tl2br w:val="nil"/>
              <w:tr2bl w:val="nil"/>
            </w:tcBorders>
            <w:noWrap/>
          </w:tcPr>
          <w:p w14:paraId="49434D77">
            <w:pPr>
              <w:pStyle w:val="112"/>
              <w:rPr>
                <w:rFonts w:ascii="仿宋" w:hAnsi="仿宋" w:eastAsia="仿宋" w:cs="仿宋"/>
                <w:color w:val="auto"/>
                <w:sz w:val="24"/>
                <w:szCs w:val="24"/>
                <w:highlight w:val="none"/>
              </w:rPr>
            </w:pPr>
          </w:p>
        </w:tc>
      </w:tr>
      <w:tr w14:paraId="2743E8BE">
        <w:tblPrEx>
          <w:tblCellMar>
            <w:top w:w="0" w:type="dxa"/>
            <w:left w:w="108" w:type="dxa"/>
            <w:bottom w:w="0" w:type="dxa"/>
            <w:right w:w="108" w:type="dxa"/>
          </w:tblCellMar>
        </w:tblPrEx>
        <w:trPr>
          <w:trHeight w:val="1298" w:hRule="exact"/>
        </w:trPr>
        <w:tc>
          <w:tcPr>
            <w:tcW w:w="5000" w:type="pct"/>
            <w:gridSpan w:val="4"/>
            <w:tcBorders>
              <w:top w:val="single" w:color="000000" w:sz="4" w:space="0"/>
              <w:left w:val="single" w:color="000000" w:sz="4" w:space="0"/>
              <w:bottom w:val="single" w:color="000000" w:sz="4" w:space="0"/>
              <w:right w:val="single" w:color="000000" w:sz="4" w:space="0"/>
              <w:tl2br w:val="nil"/>
              <w:tr2bl w:val="nil"/>
            </w:tcBorders>
            <w:noWrap/>
          </w:tcPr>
          <w:p w14:paraId="437180FA">
            <w:pPr>
              <w:pStyle w:val="49"/>
              <w:kinsoku w:val="0"/>
              <w:overflowPunct w:val="0"/>
              <w:spacing w:before="85"/>
              <w:ind w:left="101"/>
              <w:rPr>
                <w:rFonts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优惠承诺及其他：</w:t>
            </w:r>
          </w:p>
        </w:tc>
      </w:tr>
    </w:tbl>
    <w:p w14:paraId="450BFC08">
      <w:pPr>
        <w:pStyle w:val="111"/>
        <w:kinsoku w:val="0"/>
        <w:overflowPunct w:val="0"/>
        <w:spacing w:before="6"/>
        <w:rPr>
          <w:rFonts w:ascii="仿宋" w:hAnsi="仿宋" w:eastAsia="仿宋" w:cs="仿宋"/>
          <w:color w:val="auto"/>
          <w:sz w:val="24"/>
          <w:highlight w:val="none"/>
        </w:rPr>
      </w:pPr>
    </w:p>
    <w:p w14:paraId="2B0BE5CA">
      <w:pPr>
        <w:pStyle w:val="111"/>
        <w:kinsoku w:val="0"/>
        <w:overflowPunct w:val="0"/>
        <w:spacing w:before="14" w:line="408" w:lineRule="auto"/>
        <w:ind w:right="798" w:firstLine="476" w:firstLineChars="200"/>
        <w:rPr>
          <w:rFonts w:ascii="仿宋" w:hAnsi="仿宋" w:eastAsia="仿宋" w:cs="仿宋"/>
          <w:color w:val="auto"/>
          <w:spacing w:val="-1"/>
          <w:sz w:val="24"/>
          <w:highlight w:val="none"/>
        </w:rPr>
      </w:pPr>
    </w:p>
    <w:p w14:paraId="289C4BD2">
      <w:pPr>
        <w:pStyle w:val="111"/>
        <w:kinsoku w:val="0"/>
        <w:overflowPunct w:val="0"/>
        <w:spacing w:line="408" w:lineRule="auto"/>
        <w:rPr>
          <w:rFonts w:ascii="仿宋" w:hAnsi="仿宋" w:eastAsia="仿宋" w:cs="仿宋"/>
          <w:color w:val="auto"/>
          <w:sz w:val="24"/>
          <w:highlight w:val="none"/>
        </w:rPr>
      </w:pPr>
      <w:r>
        <w:rPr>
          <w:rFonts w:hint="eastAsia" w:ascii="仿宋" w:hAnsi="仿宋" w:eastAsia="仿宋" w:cs="仿宋"/>
          <w:color w:val="auto"/>
          <w:spacing w:val="-1"/>
          <w:sz w:val="24"/>
          <w:highlight w:val="none"/>
        </w:rPr>
        <w:t>注</w:t>
      </w:r>
      <w:r>
        <w:rPr>
          <w:rFonts w:hint="eastAsia" w:ascii="仿宋" w:hAnsi="仿宋" w:eastAsia="仿宋" w:cs="仿宋"/>
          <w:color w:val="auto"/>
          <w:spacing w:val="-3"/>
          <w:sz w:val="24"/>
          <w:highlight w:val="none"/>
        </w:rPr>
        <w:t>：</w:t>
      </w:r>
      <w:r>
        <w:rPr>
          <w:rFonts w:hint="eastAsia" w:ascii="仿宋" w:hAnsi="仿宋" w:eastAsia="仿宋" w:cs="仿宋"/>
          <w:color w:val="auto"/>
          <w:spacing w:val="1"/>
          <w:sz w:val="24"/>
          <w:highlight w:val="none"/>
        </w:rPr>
        <w:t>1</w:t>
      </w:r>
      <w:r>
        <w:rPr>
          <w:rFonts w:hint="eastAsia" w:ascii="仿宋" w:hAnsi="仿宋" w:eastAsia="仿宋" w:cs="仿宋"/>
          <w:color w:val="auto"/>
          <w:spacing w:val="-1"/>
          <w:sz w:val="24"/>
          <w:highlight w:val="none"/>
        </w:rPr>
        <w:t>、</w:t>
      </w:r>
      <w:r>
        <w:rPr>
          <w:rFonts w:hint="eastAsia" w:ascii="仿宋" w:hAnsi="仿宋" w:eastAsia="仿宋" w:cs="仿宋"/>
          <w:color w:val="auto"/>
          <w:spacing w:val="-3"/>
          <w:sz w:val="24"/>
          <w:highlight w:val="none"/>
        </w:rPr>
        <w:t>填</w:t>
      </w:r>
      <w:r>
        <w:rPr>
          <w:rFonts w:hint="eastAsia" w:ascii="仿宋" w:hAnsi="仿宋" w:eastAsia="仿宋" w:cs="仿宋"/>
          <w:color w:val="auto"/>
          <w:spacing w:val="-1"/>
          <w:sz w:val="24"/>
          <w:highlight w:val="none"/>
        </w:rPr>
        <w:t>写此</w:t>
      </w:r>
      <w:r>
        <w:rPr>
          <w:rFonts w:hint="eastAsia" w:ascii="仿宋" w:hAnsi="仿宋" w:eastAsia="仿宋" w:cs="仿宋"/>
          <w:color w:val="auto"/>
          <w:spacing w:val="-3"/>
          <w:sz w:val="24"/>
          <w:highlight w:val="none"/>
        </w:rPr>
        <w:t>表</w:t>
      </w:r>
      <w:r>
        <w:rPr>
          <w:rFonts w:hint="eastAsia" w:ascii="仿宋" w:hAnsi="仿宋" w:eastAsia="仿宋" w:cs="仿宋"/>
          <w:color w:val="auto"/>
          <w:spacing w:val="-1"/>
          <w:sz w:val="24"/>
          <w:highlight w:val="none"/>
        </w:rPr>
        <w:t>时不</w:t>
      </w:r>
      <w:r>
        <w:rPr>
          <w:rFonts w:hint="eastAsia" w:ascii="仿宋" w:hAnsi="仿宋" w:eastAsia="仿宋" w:cs="仿宋"/>
          <w:color w:val="auto"/>
          <w:spacing w:val="-3"/>
          <w:sz w:val="24"/>
          <w:highlight w:val="none"/>
        </w:rPr>
        <w:t>得</w:t>
      </w:r>
      <w:r>
        <w:rPr>
          <w:rFonts w:hint="eastAsia" w:ascii="仿宋" w:hAnsi="仿宋" w:eastAsia="仿宋" w:cs="仿宋"/>
          <w:color w:val="auto"/>
          <w:spacing w:val="-1"/>
          <w:sz w:val="24"/>
          <w:highlight w:val="none"/>
        </w:rPr>
        <w:t>改变</w:t>
      </w:r>
      <w:r>
        <w:rPr>
          <w:rFonts w:hint="eastAsia" w:ascii="仿宋" w:hAnsi="仿宋" w:eastAsia="仿宋" w:cs="仿宋"/>
          <w:color w:val="auto"/>
          <w:spacing w:val="-3"/>
          <w:sz w:val="24"/>
          <w:highlight w:val="none"/>
        </w:rPr>
        <w:t>表</w:t>
      </w:r>
      <w:r>
        <w:rPr>
          <w:rFonts w:hint="eastAsia" w:ascii="仿宋" w:hAnsi="仿宋" w:eastAsia="仿宋" w:cs="仿宋"/>
          <w:color w:val="auto"/>
          <w:spacing w:val="-1"/>
          <w:sz w:val="24"/>
          <w:highlight w:val="none"/>
        </w:rPr>
        <w:t>格形</w:t>
      </w:r>
      <w:r>
        <w:rPr>
          <w:rFonts w:hint="eastAsia" w:ascii="仿宋" w:hAnsi="仿宋" w:eastAsia="仿宋" w:cs="仿宋"/>
          <w:color w:val="auto"/>
          <w:spacing w:val="-3"/>
          <w:sz w:val="24"/>
          <w:highlight w:val="none"/>
        </w:rPr>
        <w:t>式</w:t>
      </w:r>
      <w:r>
        <w:rPr>
          <w:rFonts w:hint="eastAsia" w:ascii="仿宋" w:hAnsi="仿宋" w:eastAsia="仿宋" w:cs="仿宋"/>
          <w:color w:val="auto"/>
          <w:spacing w:val="-1"/>
          <w:sz w:val="24"/>
          <w:highlight w:val="none"/>
        </w:rPr>
        <w:t>（可</w:t>
      </w:r>
      <w:r>
        <w:rPr>
          <w:rFonts w:hint="eastAsia" w:ascii="仿宋" w:hAnsi="仿宋" w:eastAsia="仿宋" w:cs="仿宋"/>
          <w:color w:val="auto"/>
          <w:spacing w:val="-3"/>
          <w:sz w:val="24"/>
          <w:highlight w:val="none"/>
        </w:rPr>
        <w:t>按</w:t>
      </w:r>
      <w:r>
        <w:rPr>
          <w:rFonts w:hint="eastAsia" w:ascii="仿宋" w:hAnsi="仿宋" w:eastAsia="仿宋" w:cs="仿宋"/>
          <w:color w:val="auto"/>
          <w:spacing w:val="-1"/>
          <w:sz w:val="24"/>
          <w:highlight w:val="none"/>
        </w:rPr>
        <w:t>所投</w:t>
      </w:r>
      <w:r>
        <w:rPr>
          <w:rFonts w:hint="eastAsia" w:ascii="仿宋" w:hAnsi="仿宋" w:eastAsia="仿宋" w:cs="仿宋"/>
          <w:color w:val="auto"/>
          <w:spacing w:val="-3"/>
          <w:sz w:val="24"/>
          <w:highlight w:val="none"/>
        </w:rPr>
        <w:t>包</w:t>
      </w:r>
      <w:r>
        <w:rPr>
          <w:rFonts w:hint="eastAsia" w:ascii="仿宋" w:hAnsi="仿宋" w:eastAsia="仿宋" w:cs="仿宋"/>
          <w:color w:val="auto"/>
          <w:spacing w:val="-1"/>
          <w:sz w:val="24"/>
          <w:highlight w:val="none"/>
        </w:rPr>
        <w:t>增加</w:t>
      </w:r>
      <w:r>
        <w:rPr>
          <w:rFonts w:hint="eastAsia" w:ascii="仿宋" w:hAnsi="仿宋" w:eastAsia="仿宋" w:cs="仿宋"/>
          <w:color w:val="auto"/>
          <w:spacing w:val="-3"/>
          <w:sz w:val="24"/>
          <w:highlight w:val="none"/>
        </w:rPr>
        <w:t>行</w:t>
      </w:r>
      <w:r>
        <w:rPr>
          <w:rFonts w:hint="eastAsia" w:ascii="仿宋" w:hAnsi="仿宋" w:eastAsia="仿宋" w:cs="仿宋"/>
          <w:color w:val="auto"/>
          <w:spacing w:val="-142"/>
          <w:sz w:val="24"/>
          <w:highlight w:val="none"/>
        </w:rPr>
        <w:t>）</w:t>
      </w:r>
      <w:r>
        <w:rPr>
          <w:rFonts w:hint="eastAsia" w:ascii="仿宋" w:hAnsi="仿宋" w:eastAsia="仿宋" w:cs="仿宋"/>
          <w:color w:val="auto"/>
          <w:spacing w:val="-3"/>
          <w:sz w:val="24"/>
          <w:highlight w:val="none"/>
        </w:rPr>
        <w:t>）。</w:t>
      </w:r>
    </w:p>
    <w:p w14:paraId="38F6684B">
      <w:pPr>
        <w:pStyle w:val="111"/>
        <w:kinsoku w:val="0"/>
        <w:overflowPunct w:val="0"/>
        <w:spacing w:before="14" w:line="408" w:lineRule="auto"/>
        <w:ind w:right="798" w:firstLine="472" w:firstLineChars="200"/>
        <w:rPr>
          <w:rFonts w:ascii="仿宋" w:hAnsi="仿宋" w:eastAsia="仿宋" w:cs="仿宋"/>
          <w:color w:val="auto"/>
          <w:sz w:val="24"/>
          <w:highlight w:val="none"/>
        </w:rPr>
      </w:pPr>
      <w:r>
        <w:rPr>
          <w:rFonts w:hint="eastAsia" w:ascii="仿宋" w:hAnsi="仿宋" w:eastAsia="仿宋" w:cs="仿宋"/>
          <w:color w:val="auto"/>
          <w:spacing w:val="-2"/>
          <w:sz w:val="24"/>
          <w:highlight w:val="none"/>
        </w:rPr>
        <w:t>2</w:t>
      </w:r>
      <w:r>
        <w:rPr>
          <w:rFonts w:hint="eastAsia" w:ascii="仿宋" w:hAnsi="仿宋" w:eastAsia="仿宋" w:cs="仿宋"/>
          <w:color w:val="auto"/>
          <w:spacing w:val="-212"/>
          <w:sz w:val="24"/>
          <w:highlight w:val="none"/>
        </w:rPr>
        <w:t>、</w:t>
      </w:r>
      <w:r>
        <w:rPr>
          <w:rFonts w:hint="eastAsia" w:ascii="仿宋" w:hAnsi="仿宋" w:eastAsia="仿宋" w:cs="仿宋"/>
          <w:color w:val="auto"/>
          <w:spacing w:val="-3"/>
          <w:sz w:val="24"/>
          <w:highlight w:val="none"/>
        </w:rPr>
        <w:t>“</w:t>
      </w:r>
      <w:r>
        <w:rPr>
          <w:rFonts w:hint="eastAsia" w:ascii="仿宋" w:hAnsi="仿宋" w:eastAsia="仿宋" w:cs="仿宋"/>
          <w:color w:val="auto"/>
          <w:spacing w:val="-1"/>
          <w:sz w:val="24"/>
          <w:highlight w:val="none"/>
        </w:rPr>
        <w:t>投</w:t>
      </w:r>
      <w:r>
        <w:rPr>
          <w:rFonts w:hint="eastAsia" w:ascii="仿宋" w:hAnsi="仿宋" w:eastAsia="仿宋" w:cs="仿宋"/>
          <w:color w:val="auto"/>
          <w:spacing w:val="-3"/>
          <w:sz w:val="24"/>
          <w:highlight w:val="none"/>
        </w:rPr>
        <w:t>标</w:t>
      </w:r>
      <w:r>
        <w:rPr>
          <w:rFonts w:hint="eastAsia" w:ascii="仿宋" w:hAnsi="仿宋" w:eastAsia="仿宋" w:cs="仿宋"/>
          <w:color w:val="auto"/>
          <w:spacing w:val="-1"/>
          <w:sz w:val="24"/>
          <w:highlight w:val="none"/>
        </w:rPr>
        <w:t>报价</w:t>
      </w:r>
      <w:r>
        <w:rPr>
          <w:rFonts w:hint="eastAsia" w:ascii="仿宋" w:hAnsi="仿宋" w:eastAsia="仿宋" w:cs="仿宋"/>
          <w:color w:val="auto"/>
          <w:spacing w:val="-73"/>
          <w:sz w:val="24"/>
          <w:highlight w:val="none"/>
        </w:rPr>
        <w:t>”</w:t>
      </w:r>
      <w:r>
        <w:rPr>
          <w:rFonts w:hint="eastAsia" w:ascii="仿宋" w:hAnsi="仿宋" w:eastAsia="仿宋" w:cs="仿宋"/>
          <w:color w:val="auto"/>
          <w:spacing w:val="-1"/>
          <w:sz w:val="24"/>
          <w:highlight w:val="none"/>
        </w:rPr>
        <w:t>为</w:t>
      </w:r>
      <w:r>
        <w:rPr>
          <w:rFonts w:hint="eastAsia" w:ascii="仿宋" w:hAnsi="仿宋" w:eastAsia="仿宋" w:cs="仿宋"/>
          <w:color w:val="auto"/>
          <w:spacing w:val="-3"/>
          <w:sz w:val="24"/>
          <w:highlight w:val="none"/>
        </w:rPr>
        <w:t>投</w:t>
      </w:r>
      <w:r>
        <w:rPr>
          <w:rFonts w:hint="eastAsia" w:ascii="仿宋" w:hAnsi="仿宋" w:eastAsia="仿宋" w:cs="仿宋"/>
          <w:color w:val="auto"/>
          <w:spacing w:val="-1"/>
          <w:sz w:val="24"/>
          <w:highlight w:val="none"/>
        </w:rPr>
        <w:t>标总</w:t>
      </w:r>
      <w:r>
        <w:rPr>
          <w:rFonts w:hint="eastAsia" w:ascii="仿宋" w:hAnsi="仿宋" w:eastAsia="仿宋" w:cs="仿宋"/>
          <w:color w:val="auto"/>
          <w:spacing w:val="-3"/>
          <w:sz w:val="24"/>
          <w:highlight w:val="none"/>
        </w:rPr>
        <w:t>价</w:t>
      </w:r>
      <w:r>
        <w:rPr>
          <w:rFonts w:hint="eastAsia" w:ascii="仿宋" w:hAnsi="仿宋" w:eastAsia="仿宋" w:cs="仿宋"/>
          <w:color w:val="auto"/>
          <w:spacing w:val="-73"/>
          <w:sz w:val="24"/>
          <w:highlight w:val="none"/>
        </w:rPr>
        <w:t>，</w:t>
      </w:r>
      <w:r>
        <w:rPr>
          <w:rFonts w:hint="eastAsia" w:ascii="仿宋" w:hAnsi="仿宋" w:eastAsia="仿宋" w:cs="仿宋"/>
          <w:color w:val="auto"/>
          <w:spacing w:val="-1"/>
          <w:sz w:val="24"/>
          <w:highlight w:val="none"/>
        </w:rPr>
        <w:t>不</w:t>
      </w:r>
      <w:r>
        <w:rPr>
          <w:rFonts w:hint="eastAsia" w:ascii="仿宋" w:hAnsi="仿宋" w:eastAsia="仿宋" w:cs="仿宋"/>
          <w:color w:val="auto"/>
          <w:spacing w:val="-3"/>
          <w:sz w:val="24"/>
          <w:highlight w:val="none"/>
        </w:rPr>
        <w:t>能</w:t>
      </w:r>
      <w:r>
        <w:rPr>
          <w:rFonts w:hint="eastAsia" w:ascii="仿宋" w:hAnsi="仿宋" w:eastAsia="仿宋" w:cs="仿宋"/>
          <w:color w:val="auto"/>
          <w:spacing w:val="-1"/>
          <w:sz w:val="24"/>
          <w:highlight w:val="none"/>
        </w:rPr>
        <w:t>有两</w:t>
      </w:r>
      <w:r>
        <w:rPr>
          <w:rFonts w:hint="eastAsia" w:ascii="仿宋" w:hAnsi="仿宋" w:eastAsia="仿宋" w:cs="仿宋"/>
          <w:color w:val="auto"/>
          <w:spacing w:val="-3"/>
          <w:sz w:val="24"/>
          <w:highlight w:val="none"/>
        </w:rPr>
        <w:t>个</w:t>
      </w:r>
      <w:r>
        <w:rPr>
          <w:rFonts w:hint="eastAsia" w:ascii="仿宋" w:hAnsi="仿宋" w:eastAsia="仿宋" w:cs="仿宋"/>
          <w:color w:val="auto"/>
          <w:spacing w:val="-1"/>
          <w:sz w:val="24"/>
          <w:highlight w:val="none"/>
        </w:rPr>
        <w:t>或两</w:t>
      </w:r>
      <w:r>
        <w:rPr>
          <w:rFonts w:hint="eastAsia" w:ascii="仿宋" w:hAnsi="仿宋" w:eastAsia="仿宋" w:cs="仿宋"/>
          <w:color w:val="auto"/>
          <w:spacing w:val="-3"/>
          <w:sz w:val="24"/>
          <w:highlight w:val="none"/>
        </w:rPr>
        <w:t>个</w:t>
      </w:r>
      <w:r>
        <w:rPr>
          <w:rFonts w:hint="eastAsia" w:ascii="仿宋" w:hAnsi="仿宋" w:eastAsia="仿宋" w:cs="仿宋"/>
          <w:color w:val="auto"/>
          <w:spacing w:val="-1"/>
          <w:sz w:val="24"/>
          <w:highlight w:val="none"/>
        </w:rPr>
        <w:t>以上</w:t>
      </w:r>
      <w:r>
        <w:rPr>
          <w:rFonts w:hint="eastAsia" w:ascii="仿宋" w:hAnsi="仿宋" w:eastAsia="仿宋" w:cs="仿宋"/>
          <w:color w:val="auto"/>
          <w:spacing w:val="-3"/>
          <w:sz w:val="24"/>
          <w:highlight w:val="none"/>
        </w:rPr>
        <w:t>的</w:t>
      </w:r>
      <w:r>
        <w:rPr>
          <w:rFonts w:hint="eastAsia" w:ascii="仿宋" w:hAnsi="仿宋" w:eastAsia="仿宋" w:cs="仿宋"/>
          <w:color w:val="auto"/>
          <w:spacing w:val="-1"/>
          <w:sz w:val="24"/>
          <w:highlight w:val="none"/>
        </w:rPr>
        <w:t>报价</w:t>
      </w:r>
      <w:r>
        <w:rPr>
          <w:rFonts w:hint="eastAsia" w:ascii="仿宋" w:hAnsi="仿宋" w:eastAsia="仿宋" w:cs="仿宋"/>
          <w:color w:val="auto"/>
          <w:spacing w:val="-3"/>
          <w:sz w:val="24"/>
          <w:highlight w:val="none"/>
        </w:rPr>
        <w:t>方</w:t>
      </w:r>
      <w:r>
        <w:rPr>
          <w:rFonts w:hint="eastAsia" w:ascii="仿宋" w:hAnsi="仿宋" w:eastAsia="仿宋" w:cs="仿宋"/>
          <w:color w:val="auto"/>
          <w:spacing w:val="-1"/>
          <w:sz w:val="24"/>
          <w:highlight w:val="none"/>
        </w:rPr>
        <w:t>案</w:t>
      </w:r>
      <w:r>
        <w:rPr>
          <w:rFonts w:hint="eastAsia" w:ascii="仿宋" w:hAnsi="仿宋" w:eastAsia="仿宋" w:cs="仿宋"/>
          <w:color w:val="auto"/>
          <w:sz w:val="24"/>
          <w:highlight w:val="none"/>
        </w:rPr>
        <w:t>。</w:t>
      </w:r>
    </w:p>
    <w:p w14:paraId="69DA311A">
      <w:pPr>
        <w:pStyle w:val="111"/>
        <w:kinsoku w:val="0"/>
        <w:overflowPunct w:val="0"/>
        <w:rPr>
          <w:rFonts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3、</w:t>
      </w:r>
      <w:r>
        <w:rPr>
          <w:rFonts w:ascii="仿宋" w:hAnsi="仿宋" w:eastAsia="仿宋" w:cs="仿宋"/>
          <w:color w:val="auto"/>
          <w:sz w:val="24"/>
          <w:highlight w:val="none"/>
        </w:rPr>
        <w:t>投标报价不得超过最高</w:t>
      </w:r>
      <w:r>
        <w:rPr>
          <w:rFonts w:hint="eastAsia" w:ascii="仿宋" w:hAnsi="仿宋" w:eastAsia="仿宋" w:cs="仿宋"/>
          <w:color w:val="auto"/>
          <w:sz w:val="24"/>
          <w:highlight w:val="none"/>
        </w:rPr>
        <w:t>投标</w:t>
      </w:r>
      <w:r>
        <w:rPr>
          <w:rFonts w:ascii="仿宋" w:hAnsi="仿宋" w:eastAsia="仿宋" w:cs="仿宋"/>
          <w:color w:val="auto"/>
          <w:sz w:val="24"/>
          <w:highlight w:val="none"/>
        </w:rPr>
        <w:t>限价</w:t>
      </w:r>
      <w:r>
        <w:rPr>
          <w:rFonts w:hint="eastAsia" w:ascii="仿宋" w:hAnsi="仿宋" w:eastAsia="仿宋" w:cs="仿宋"/>
          <w:color w:val="auto"/>
          <w:sz w:val="24"/>
          <w:highlight w:val="none"/>
        </w:rPr>
        <w:t>（施工招标控制价的5.19‰）。</w:t>
      </w:r>
    </w:p>
    <w:p w14:paraId="151D3FA5">
      <w:pPr>
        <w:pStyle w:val="111"/>
        <w:tabs>
          <w:tab w:val="left" w:pos="4764"/>
          <w:tab w:val="left" w:pos="5886"/>
          <w:tab w:val="left" w:pos="6584"/>
          <w:tab w:val="left" w:pos="7493"/>
          <w:tab w:val="left" w:pos="8400"/>
        </w:tabs>
        <w:kinsoku w:val="0"/>
        <w:overflowPunct w:val="0"/>
        <w:spacing w:line="620" w:lineRule="atLeast"/>
        <w:ind w:right="106"/>
        <w:jc w:val="right"/>
        <w:rPr>
          <w:rFonts w:ascii="仿宋" w:hAnsi="仿宋" w:eastAsia="仿宋" w:cs="仿宋"/>
          <w:color w:val="auto"/>
          <w:spacing w:val="27"/>
          <w:sz w:val="24"/>
          <w:highlight w:val="none"/>
        </w:rPr>
      </w:pPr>
      <w:r>
        <w:rPr>
          <w:rFonts w:hint="eastAsia" w:ascii="仿宋" w:hAnsi="仿宋" w:eastAsia="仿宋" w:cs="仿宋"/>
          <w:color w:val="auto"/>
          <w:spacing w:val="-2"/>
          <w:sz w:val="24"/>
          <w:highlight w:val="none"/>
        </w:rPr>
        <w:t>供应商</w:t>
      </w:r>
      <w:r>
        <w:rPr>
          <w:rFonts w:hint="eastAsia" w:ascii="仿宋" w:hAnsi="仿宋" w:eastAsia="仿宋" w:cs="仿宋"/>
          <w:color w:val="auto"/>
          <w:spacing w:val="-2"/>
          <w:sz w:val="24"/>
          <w:highlight w:val="none"/>
          <w:lang w:val="en-US" w:eastAsia="zh-CN"/>
        </w:rPr>
        <w:t xml:space="preserve">:           </w:t>
      </w:r>
      <w:r>
        <w:rPr>
          <w:rFonts w:hint="eastAsia" w:ascii="仿宋" w:hAnsi="仿宋" w:eastAsia="仿宋" w:cs="仿宋"/>
          <w:color w:val="auto"/>
          <w:spacing w:val="-2"/>
          <w:sz w:val="24"/>
          <w:highlight w:val="none"/>
        </w:rPr>
        <w:t>（盖章）</w:t>
      </w:r>
    </w:p>
    <w:p w14:paraId="52BF6A93">
      <w:pPr>
        <w:autoSpaceDE w:val="0"/>
        <w:autoSpaceDN w:val="0"/>
        <w:adjustRightInd w:val="0"/>
        <w:spacing w:line="400" w:lineRule="exact"/>
        <w:jc w:val="righ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法定代表人或其委托代理人： </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（签字</w:t>
      </w:r>
      <w:r>
        <w:rPr>
          <w:rFonts w:hint="eastAsia" w:ascii="仿宋" w:hAnsi="仿宋" w:eastAsia="仿宋" w:cs="仿宋"/>
          <w:color w:val="auto"/>
          <w:kern w:val="0"/>
          <w:sz w:val="24"/>
          <w:highlight w:val="none"/>
        </w:rPr>
        <w:t>或盖章</w:t>
      </w:r>
      <w:r>
        <w:rPr>
          <w:rFonts w:hint="eastAsia" w:ascii="仿宋" w:hAnsi="仿宋" w:eastAsia="仿宋" w:cs="仿宋"/>
          <w:color w:val="auto"/>
          <w:kern w:val="0"/>
          <w:sz w:val="24"/>
          <w:highlight w:val="none"/>
          <w:lang w:val="zh-CN"/>
        </w:rPr>
        <w:t>）</w:t>
      </w:r>
    </w:p>
    <w:p w14:paraId="5E165BB8">
      <w:pPr>
        <w:pStyle w:val="111"/>
        <w:tabs>
          <w:tab w:val="left" w:pos="4764"/>
          <w:tab w:val="left" w:pos="5886"/>
          <w:tab w:val="left" w:pos="6584"/>
          <w:tab w:val="left" w:pos="7285"/>
          <w:tab w:val="left" w:pos="7493"/>
        </w:tabs>
        <w:kinsoku w:val="0"/>
        <w:overflowPunct w:val="0"/>
        <w:spacing w:line="620" w:lineRule="atLeast"/>
        <w:ind w:left="223" w:right="937" w:hanging="224" w:hangingChars="100"/>
        <w:rPr>
          <w:rFonts w:ascii="仿宋" w:hAnsi="仿宋" w:eastAsia="仿宋" w:cs="仿宋"/>
          <w:color w:val="auto"/>
          <w:spacing w:val="-2"/>
          <w:w w:val="95"/>
          <w:sz w:val="24"/>
          <w:highlight w:val="none"/>
        </w:rPr>
      </w:pPr>
    </w:p>
    <w:p w14:paraId="15A99004">
      <w:pPr>
        <w:pStyle w:val="8"/>
        <w:jc w:val="right"/>
        <w:rPr>
          <w:rFonts w:ascii="仿宋" w:hAnsi="仿宋" w:eastAsia="仿宋" w:cs="仿宋"/>
          <w:color w:val="auto"/>
          <w:sz w:val="24"/>
          <w:highlight w:val="none"/>
        </w:rPr>
        <w:sectPr>
          <w:pgSz w:w="11907" w:h="16840"/>
          <w:pgMar w:top="1701" w:right="1417" w:bottom="1701" w:left="1417" w:header="1134" w:footer="1134" w:gutter="0"/>
          <w:cols w:space="720" w:num="1"/>
          <w:titlePg/>
          <w:docGrid w:linePitch="319" w:charSpace="-630"/>
        </w:sectPr>
      </w:pPr>
      <w:r>
        <w:rPr>
          <w:rFonts w:hint="eastAsia" w:ascii="仿宋" w:hAnsi="仿宋" w:eastAsia="仿宋" w:cs="仿宋"/>
          <w:color w:val="auto"/>
          <w:spacing w:val="-2"/>
          <w:w w:val="95"/>
          <w:sz w:val="24"/>
          <w:highlight w:val="none"/>
        </w:rPr>
        <w:t>日期：</w:t>
      </w:r>
      <w:r>
        <w:rPr>
          <w:rFonts w:hint="eastAsia" w:ascii="仿宋" w:hAnsi="仿宋" w:eastAsia="仿宋" w:cs="仿宋"/>
          <w:color w:val="auto"/>
          <w:spacing w:val="-2"/>
          <w:w w:val="95"/>
          <w:sz w:val="24"/>
          <w:highlight w:val="none"/>
          <w:lang w:val="en-US" w:eastAsia="zh-CN"/>
        </w:rPr>
        <w:t xml:space="preserve">   </w:t>
      </w:r>
      <w:r>
        <w:rPr>
          <w:rFonts w:hint="eastAsia" w:ascii="仿宋" w:hAnsi="仿宋" w:eastAsia="仿宋" w:cs="仿宋"/>
          <w:color w:val="auto"/>
          <w:spacing w:val="-4"/>
          <w:sz w:val="24"/>
          <w:highlight w:val="none"/>
        </w:rPr>
        <w:t>年</w:t>
      </w:r>
      <w:r>
        <w:rPr>
          <w:rFonts w:hint="eastAsia" w:ascii="仿宋" w:hAnsi="仿宋" w:eastAsia="仿宋" w:cs="仿宋"/>
          <w:color w:val="auto"/>
          <w:spacing w:val="-4"/>
          <w:sz w:val="24"/>
          <w:highlight w:val="none"/>
          <w:lang w:val="en-US" w:eastAsia="zh-CN"/>
        </w:rPr>
        <w:t xml:space="preserve">   </w:t>
      </w:r>
      <w:r>
        <w:rPr>
          <w:rFonts w:hint="eastAsia" w:ascii="仿宋" w:hAnsi="仿宋" w:eastAsia="仿宋" w:cs="仿宋"/>
          <w:color w:val="auto"/>
          <w:spacing w:val="-1"/>
          <w:w w:val="95"/>
          <w:sz w:val="24"/>
          <w:highlight w:val="none"/>
        </w:rPr>
        <w:t>月</w:t>
      </w:r>
      <w:r>
        <w:rPr>
          <w:rFonts w:hint="eastAsia" w:ascii="仿宋" w:hAnsi="仿宋" w:eastAsia="仿宋" w:cs="仿宋"/>
          <w:color w:val="auto"/>
          <w:spacing w:val="-1"/>
          <w:w w:val="95"/>
          <w:sz w:val="24"/>
          <w:highlight w:val="none"/>
          <w:lang w:val="en-US" w:eastAsia="zh-CN"/>
        </w:rPr>
        <w:t xml:space="preserve">   </w:t>
      </w:r>
      <w:r>
        <w:rPr>
          <w:rFonts w:hint="eastAsia" w:ascii="仿宋" w:hAnsi="仿宋" w:eastAsia="仿宋" w:cs="仿宋"/>
          <w:color w:val="auto"/>
          <w:sz w:val="24"/>
          <w:highlight w:val="none"/>
        </w:rPr>
        <w:t>日</w:t>
      </w:r>
    </w:p>
    <w:p w14:paraId="60F9A44A">
      <w:pPr>
        <w:pStyle w:val="8"/>
        <w:rPr>
          <w:rFonts w:ascii="仿宋" w:hAnsi="仿宋" w:eastAsia="仿宋" w:cs="仿宋"/>
          <w:color w:val="auto"/>
          <w:kern w:val="0"/>
          <w:sz w:val="24"/>
          <w:highlight w:val="none"/>
          <w:lang w:val="zh-CN"/>
        </w:rPr>
      </w:pPr>
    </w:p>
    <w:p w14:paraId="3DC48B27">
      <w:pPr>
        <w:pStyle w:val="3"/>
        <w:rPr>
          <w:rFonts w:ascii="仿宋" w:hAnsi="仿宋" w:eastAsia="仿宋" w:cs="仿宋"/>
          <w:b w:val="0"/>
          <w:bCs w:val="0"/>
          <w:color w:val="auto"/>
          <w:highlight w:val="none"/>
        </w:rPr>
      </w:pPr>
      <w:bookmarkStart w:id="118" w:name="_Toc6621"/>
      <w:bookmarkStart w:id="119" w:name="_Toc6125"/>
      <w:bookmarkStart w:id="120" w:name="_Toc31471"/>
      <w:bookmarkStart w:id="121" w:name="_Toc18212"/>
      <w:bookmarkStart w:id="122" w:name="_Toc6990"/>
      <w:bookmarkStart w:id="123" w:name="_Toc430704690"/>
      <w:r>
        <w:rPr>
          <w:rFonts w:hint="eastAsia" w:ascii="仿宋" w:hAnsi="仿宋" w:eastAsia="仿宋" w:cs="仿宋"/>
          <w:b w:val="0"/>
          <w:bCs w:val="0"/>
          <w:color w:val="auto"/>
          <w:highlight w:val="none"/>
        </w:rPr>
        <w:t>三</w:t>
      </w:r>
      <w:r>
        <w:rPr>
          <w:rFonts w:hint="eastAsia" w:ascii="仿宋" w:hAnsi="仿宋" w:eastAsia="仿宋" w:cs="仿宋"/>
          <w:b w:val="0"/>
          <w:bCs w:val="0"/>
          <w:color w:val="auto"/>
          <w:highlight w:val="none"/>
          <w:lang w:val="zh-CN"/>
        </w:rPr>
        <w:t>、法定代表人证明书</w:t>
      </w:r>
      <w:bookmarkEnd w:id="118"/>
      <w:bookmarkEnd w:id="119"/>
      <w:bookmarkEnd w:id="120"/>
      <w:bookmarkEnd w:id="121"/>
      <w:bookmarkEnd w:id="122"/>
      <w:bookmarkEnd w:id="123"/>
    </w:p>
    <w:p w14:paraId="6D6D968B">
      <w:pPr>
        <w:autoSpaceDE w:val="0"/>
        <w:autoSpaceDN w:val="0"/>
        <w:adjustRightInd w:val="0"/>
        <w:rPr>
          <w:rFonts w:ascii="仿宋" w:hAnsi="仿宋" w:eastAsia="仿宋" w:cs="仿宋"/>
          <w:color w:val="auto"/>
          <w:kern w:val="0"/>
          <w:sz w:val="24"/>
          <w:highlight w:val="none"/>
          <w:lang w:val="zh-CN"/>
        </w:rPr>
      </w:pPr>
    </w:p>
    <w:p w14:paraId="65A56390">
      <w:pPr>
        <w:autoSpaceDE w:val="0"/>
        <w:autoSpaceDN w:val="0"/>
        <w:adjustRightInd w:val="0"/>
        <w:spacing w:line="400" w:lineRule="exact"/>
        <w:jc w:val="center"/>
        <w:rPr>
          <w:rFonts w:ascii="仿宋" w:hAnsi="仿宋" w:eastAsia="仿宋" w:cs="仿宋"/>
          <w:color w:val="auto"/>
          <w:kern w:val="0"/>
          <w:sz w:val="36"/>
          <w:szCs w:val="36"/>
          <w:highlight w:val="none"/>
          <w:lang w:val="zh-CN"/>
        </w:rPr>
      </w:pPr>
      <w:r>
        <w:rPr>
          <w:rFonts w:hint="eastAsia" w:ascii="仿宋" w:hAnsi="仿宋" w:eastAsia="仿宋" w:cs="仿宋"/>
          <w:color w:val="auto"/>
          <w:kern w:val="0"/>
          <w:sz w:val="36"/>
          <w:szCs w:val="36"/>
          <w:highlight w:val="none"/>
          <w:lang w:val="zh-CN"/>
        </w:rPr>
        <w:t>法定代表人证明书</w:t>
      </w:r>
    </w:p>
    <w:p w14:paraId="787B114D">
      <w:pPr>
        <w:autoSpaceDE w:val="0"/>
        <w:autoSpaceDN w:val="0"/>
        <w:adjustRightInd w:val="0"/>
        <w:spacing w:line="400" w:lineRule="exac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致：</w:t>
      </w:r>
      <w:r>
        <w:rPr>
          <w:rFonts w:hint="eastAsia" w:ascii="仿宋" w:hAnsi="仿宋" w:eastAsia="仿宋" w:cs="仿宋"/>
          <w:color w:val="auto"/>
          <w:kern w:val="0"/>
          <w:sz w:val="24"/>
          <w:highlight w:val="none"/>
        </w:rPr>
        <w:t>青海联祥招标代理有限公司</w:t>
      </w:r>
    </w:p>
    <w:p w14:paraId="0FF02743">
      <w:pPr>
        <w:autoSpaceDE w:val="0"/>
        <w:autoSpaceDN w:val="0"/>
        <w:adjustRightInd w:val="0"/>
        <w:spacing w:line="400" w:lineRule="exact"/>
        <w:rPr>
          <w:rFonts w:ascii="仿宋" w:hAnsi="仿宋" w:eastAsia="仿宋" w:cs="仿宋"/>
          <w:color w:val="auto"/>
          <w:kern w:val="0"/>
          <w:sz w:val="24"/>
          <w:highlight w:val="none"/>
          <w:lang w:val="zh-CN"/>
        </w:rPr>
      </w:pPr>
    </w:p>
    <w:p w14:paraId="4EC57560">
      <w:pPr>
        <w:autoSpaceDE w:val="0"/>
        <w:autoSpaceDN w:val="0"/>
        <w:adjustRightInd w:val="0"/>
        <w:spacing w:line="400" w:lineRule="exac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lang w:val="zh-CN"/>
        </w:rPr>
        <w:t xml:space="preserve">（法定代表人姓名）  </w:t>
      </w:r>
      <w:r>
        <w:rPr>
          <w:rFonts w:hint="eastAsia" w:ascii="仿宋" w:hAnsi="仿宋" w:eastAsia="仿宋" w:cs="仿宋"/>
          <w:color w:val="auto"/>
          <w:kern w:val="0"/>
          <w:sz w:val="24"/>
          <w:highlight w:val="none"/>
          <w:lang w:val="zh-CN"/>
        </w:rPr>
        <w:t>现任我单位</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lang w:val="zh-CN"/>
        </w:rPr>
        <w:t>职务，为法定代表人，特此证明。</w:t>
      </w:r>
    </w:p>
    <w:p w14:paraId="597F1FDE">
      <w:pPr>
        <w:autoSpaceDE w:val="0"/>
        <w:autoSpaceDN w:val="0"/>
        <w:adjustRightInd w:val="0"/>
        <w:spacing w:line="400" w:lineRule="exact"/>
        <w:rPr>
          <w:rFonts w:ascii="仿宋" w:hAnsi="仿宋" w:eastAsia="仿宋" w:cs="仿宋"/>
          <w:color w:val="auto"/>
          <w:kern w:val="0"/>
          <w:sz w:val="24"/>
          <w:highlight w:val="none"/>
          <w:lang w:val="zh-CN"/>
        </w:rPr>
      </w:pPr>
    </w:p>
    <w:p w14:paraId="3882F69E">
      <w:pPr>
        <w:autoSpaceDE w:val="0"/>
        <w:autoSpaceDN w:val="0"/>
        <w:adjustRightInd w:val="0"/>
        <w:spacing w:line="400" w:lineRule="exac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法定代表人基本情况：</w:t>
      </w:r>
    </w:p>
    <w:p w14:paraId="3024F6E7">
      <w:pPr>
        <w:autoSpaceDE w:val="0"/>
        <w:autoSpaceDN w:val="0"/>
        <w:adjustRightInd w:val="0"/>
        <w:spacing w:line="400" w:lineRule="exact"/>
        <w:rPr>
          <w:rFonts w:ascii="仿宋" w:hAnsi="仿宋" w:eastAsia="仿宋" w:cs="仿宋"/>
          <w:color w:val="auto"/>
          <w:kern w:val="0"/>
          <w:sz w:val="24"/>
          <w:highlight w:val="none"/>
          <w:lang w:val="zh-CN"/>
        </w:rPr>
      </w:pPr>
    </w:p>
    <w:p w14:paraId="2A393C7D">
      <w:pPr>
        <w:autoSpaceDE w:val="0"/>
        <w:autoSpaceDN w:val="0"/>
        <w:adjustRightInd w:val="0"/>
        <w:spacing w:line="400" w:lineRule="exact"/>
        <w:rPr>
          <w:rFonts w:ascii="仿宋" w:hAnsi="仿宋" w:eastAsia="仿宋" w:cs="仿宋"/>
          <w:color w:val="auto"/>
          <w:kern w:val="0"/>
          <w:sz w:val="24"/>
          <w:highlight w:val="none"/>
          <w:u w:val="single"/>
          <w:lang w:val="zh-CN"/>
        </w:rPr>
      </w:pPr>
      <w:r>
        <w:rPr>
          <w:rFonts w:hint="eastAsia" w:ascii="仿宋" w:hAnsi="仿宋" w:eastAsia="仿宋" w:cs="仿宋"/>
          <w:color w:val="auto"/>
          <w:kern w:val="0"/>
          <w:sz w:val="24"/>
          <w:highlight w:val="none"/>
          <w:lang w:val="zh-CN"/>
        </w:rPr>
        <w:t>性别：</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 xml:space="preserve">年龄： </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民族：</w:t>
      </w:r>
    </w:p>
    <w:p w14:paraId="195BB919">
      <w:pPr>
        <w:autoSpaceDE w:val="0"/>
        <w:autoSpaceDN w:val="0"/>
        <w:adjustRightInd w:val="0"/>
        <w:spacing w:line="400" w:lineRule="exact"/>
        <w:rPr>
          <w:rFonts w:ascii="仿宋" w:hAnsi="仿宋" w:eastAsia="仿宋" w:cs="仿宋"/>
          <w:color w:val="auto"/>
          <w:kern w:val="0"/>
          <w:sz w:val="24"/>
          <w:highlight w:val="none"/>
          <w:lang w:val="zh-CN"/>
        </w:rPr>
      </w:pPr>
    </w:p>
    <w:p w14:paraId="4032DAB2">
      <w:pPr>
        <w:autoSpaceDE w:val="0"/>
        <w:autoSpaceDN w:val="0"/>
        <w:adjustRightInd w:val="0"/>
        <w:spacing w:line="400" w:lineRule="exact"/>
        <w:rPr>
          <w:rFonts w:ascii="仿宋" w:hAnsi="仿宋" w:eastAsia="仿宋" w:cs="仿宋"/>
          <w:color w:val="auto"/>
          <w:kern w:val="0"/>
          <w:sz w:val="24"/>
          <w:highlight w:val="none"/>
          <w:u w:val="single"/>
          <w:lang w:val="zh-CN"/>
        </w:rPr>
      </w:pPr>
      <w:r>
        <w:rPr>
          <w:rFonts w:hint="eastAsia" w:ascii="仿宋" w:hAnsi="仿宋" w:eastAsia="仿宋" w:cs="仿宋"/>
          <w:color w:val="auto"/>
          <w:kern w:val="0"/>
          <w:sz w:val="24"/>
          <w:highlight w:val="none"/>
          <w:lang w:val="zh-CN"/>
        </w:rPr>
        <w:t>地址：</w:t>
      </w:r>
    </w:p>
    <w:p w14:paraId="12A8975E">
      <w:pPr>
        <w:autoSpaceDE w:val="0"/>
        <w:autoSpaceDN w:val="0"/>
        <w:adjustRightInd w:val="0"/>
        <w:spacing w:line="400" w:lineRule="exact"/>
        <w:rPr>
          <w:rFonts w:ascii="仿宋" w:hAnsi="仿宋" w:eastAsia="仿宋" w:cs="仿宋"/>
          <w:color w:val="auto"/>
          <w:kern w:val="0"/>
          <w:sz w:val="24"/>
          <w:highlight w:val="none"/>
          <w:lang w:val="zh-CN"/>
        </w:rPr>
      </w:pPr>
    </w:p>
    <w:p w14:paraId="067F16DB">
      <w:pPr>
        <w:autoSpaceDE w:val="0"/>
        <w:autoSpaceDN w:val="0"/>
        <w:adjustRightInd w:val="0"/>
        <w:spacing w:line="400" w:lineRule="exac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身份证号码：</w:t>
      </w:r>
    </w:p>
    <w:p w14:paraId="6E3C1D58">
      <w:pPr>
        <w:autoSpaceDE w:val="0"/>
        <w:autoSpaceDN w:val="0"/>
        <w:adjustRightInd w:val="0"/>
        <w:spacing w:line="400" w:lineRule="exact"/>
        <w:rPr>
          <w:rFonts w:ascii="仿宋" w:hAnsi="仿宋" w:eastAsia="仿宋" w:cs="仿宋"/>
          <w:color w:val="auto"/>
          <w:kern w:val="0"/>
          <w:sz w:val="24"/>
          <w:highlight w:val="none"/>
          <w:lang w:val="zh-CN"/>
        </w:rPr>
      </w:pPr>
    </w:p>
    <w:tbl>
      <w:tblPr>
        <w:tblStyle w:val="30"/>
        <w:tblpPr w:leftFromText="180" w:rightFromText="180" w:vertAnchor="text" w:horzAnchor="page" w:tblpXSpec="center" w:tblpY="156"/>
        <w:tblW w:w="0" w:type="auto"/>
        <w:tblInd w:w="0" w:type="dxa"/>
        <w:tblBorders>
          <w:top w:val="dotDotDash" w:color="auto" w:sz="12" w:space="0"/>
          <w:left w:val="dotDotDash" w:color="auto" w:sz="12" w:space="0"/>
          <w:bottom w:val="dotDotDash" w:color="auto" w:sz="12" w:space="0"/>
          <w:right w:val="dotDotDash" w:color="auto" w:sz="12" w:space="0"/>
          <w:insideH w:val="dotDotDash" w:color="auto" w:sz="12" w:space="0"/>
          <w:insideV w:val="dotDotDash" w:color="auto" w:sz="12" w:space="0"/>
        </w:tblBorders>
        <w:tblLayout w:type="fixed"/>
        <w:tblCellMar>
          <w:top w:w="0" w:type="dxa"/>
          <w:left w:w="108" w:type="dxa"/>
          <w:bottom w:w="0" w:type="dxa"/>
          <w:right w:w="108" w:type="dxa"/>
        </w:tblCellMar>
      </w:tblPr>
      <w:tblGrid>
        <w:gridCol w:w="5488"/>
      </w:tblGrid>
      <w:tr w14:paraId="5D5569D6">
        <w:tblPrEx>
          <w:tblBorders>
            <w:top w:val="dotDotDash" w:color="auto" w:sz="12" w:space="0"/>
            <w:left w:val="dotDotDash" w:color="auto" w:sz="12" w:space="0"/>
            <w:bottom w:val="dotDotDash" w:color="auto" w:sz="12" w:space="0"/>
            <w:right w:val="dotDotDash" w:color="auto" w:sz="12" w:space="0"/>
            <w:insideH w:val="dotDotDash" w:color="auto" w:sz="12" w:space="0"/>
            <w:insideV w:val="dotDotDash" w:color="auto" w:sz="12" w:space="0"/>
          </w:tblBorders>
          <w:tblCellMar>
            <w:top w:w="0" w:type="dxa"/>
            <w:left w:w="108" w:type="dxa"/>
            <w:bottom w:w="0" w:type="dxa"/>
            <w:right w:w="108" w:type="dxa"/>
          </w:tblCellMar>
        </w:tblPrEx>
        <w:trPr>
          <w:trHeight w:val="3271" w:hRule="atLeast"/>
        </w:trPr>
        <w:tc>
          <w:tcPr>
            <w:tcW w:w="5488" w:type="dxa"/>
            <w:noWrap/>
          </w:tcPr>
          <w:p w14:paraId="2CF5E099">
            <w:pPr>
              <w:spacing w:line="440" w:lineRule="exact"/>
              <w:jc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此处附法定代表人身份证复印件</w:t>
            </w:r>
          </w:p>
        </w:tc>
      </w:tr>
    </w:tbl>
    <w:p w14:paraId="07F88C4B">
      <w:pPr>
        <w:autoSpaceDE w:val="0"/>
        <w:autoSpaceDN w:val="0"/>
        <w:adjustRightInd w:val="0"/>
        <w:spacing w:line="400" w:lineRule="exact"/>
        <w:rPr>
          <w:rFonts w:ascii="仿宋" w:hAnsi="仿宋" w:eastAsia="仿宋" w:cs="仿宋"/>
          <w:color w:val="auto"/>
          <w:kern w:val="0"/>
          <w:sz w:val="24"/>
          <w:highlight w:val="none"/>
          <w:lang w:val="zh-CN"/>
        </w:rPr>
      </w:pPr>
    </w:p>
    <w:p w14:paraId="6550FCA2">
      <w:pPr>
        <w:autoSpaceDE w:val="0"/>
        <w:autoSpaceDN w:val="0"/>
        <w:adjustRightInd w:val="0"/>
        <w:spacing w:line="400" w:lineRule="exact"/>
        <w:rPr>
          <w:rFonts w:ascii="仿宋" w:hAnsi="仿宋" w:eastAsia="仿宋" w:cs="仿宋"/>
          <w:color w:val="auto"/>
          <w:kern w:val="0"/>
          <w:sz w:val="24"/>
          <w:highlight w:val="none"/>
          <w:lang w:val="zh-CN"/>
        </w:rPr>
      </w:pPr>
    </w:p>
    <w:p w14:paraId="34BD2C20">
      <w:pPr>
        <w:autoSpaceDE w:val="0"/>
        <w:autoSpaceDN w:val="0"/>
        <w:adjustRightInd w:val="0"/>
        <w:spacing w:line="400" w:lineRule="exact"/>
        <w:rPr>
          <w:rFonts w:ascii="仿宋" w:hAnsi="仿宋" w:eastAsia="仿宋" w:cs="仿宋"/>
          <w:color w:val="auto"/>
          <w:kern w:val="0"/>
          <w:sz w:val="24"/>
          <w:highlight w:val="none"/>
          <w:lang w:val="zh-CN"/>
        </w:rPr>
      </w:pPr>
    </w:p>
    <w:p w14:paraId="02BA7005">
      <w:pPr>
        <w:autoSpaceDE w:val="0"/>
        <w:autoSpaceDN w:val="0"/>
        <w:adjustRightInd w:val="0"/>
        <w:spacing w:line="400" w:lineRule="exact"/>
        <w:rPr>
          <w:rFonts w:ascii="仿宋" w:hAnsi="仿宋" w:eastAsia="仿宋" w:cs="仿宋"/>
          <w:color w:val="auto"/>
          <w:kern w:val="0"/>
          <w:sz w:val="24"/>
          <w:highlight w:val="none"/>
          <w:lang w:val="zh-CN"/>
        </w:rPr>
      </w:pPr>
    </w:p>
    <w:p w14:paraId="20BFFA05">
      <w:pPr>
        <w:autoSpaceDE w:val="0"/>
        <w:autoSpaceDN w:val="0"/>
        <w:adjustRightInd w:val="0"/>
        <w:spacing w:line="400" w:lineRule="exact"/>
        <w:rPr>
          <w:rFonts w:ascii="仿宋" w:hAnsi="仿宋" w:eastAsia="仿宋" w:cs="仿宋"/>
          <w:color w:val="auto"/>
          <w:kern w:val="0"/>
          <w:sz w:val="24"/>
          <w:highlight w:val="none"/>
          <w:lang w:val="zh-CN"/>
        </w:rPr>
      </w:pPr>
    </w:p>
    <w:p w14:paraId="79AA2CCB">
      <w:pPr>
        <w:autoSpaceDE w:val="0"/>
        <w:autoSpaceDN w:val="0"/>
        <w:adjustRightInd w:val="0"/>
        <w:spacing w:line="400" w:lineRule="exact"/>
        <w:rPr>
          <w:rFonts w:ascii="仿宋" w:hAnsi="仿宋" w:eastAsia="仿宋" w:cs="仿宋"/>
          <w:color w:val="auto"/>
          <w:kern w:val="0"/>
          <w:sz w:val="24"/>
          <w:highlight w:val="none"/>
          <w:lang w:val="zh-CN"/>
        </w:rPr>
      </w:pPr>
    </w:p>
    <w:p w14:paraId="54FEA56B">
      <w:pPr>
        <w:autoSpaceDE w:val="0"/>
        <w:autoSpaceDN w:val="0"/>
        <w:adjustRightInd w:val="0"/>
        <w:spacing w:line="400" w:lineRule="exact"/>
        <w:rPr>
          <w:rFonts w:ascii="仿宋" w:hAnsi="仿宋" w:eastAsia="仿宋" w:cs="仿宋"/>
          <w:color w:val="auto"/>
          <w:kern w:val="0"/>
          <w:sz w:val="24"/>
          <w:highlight w:val="none"/>
          <w:lang w:val="zh-CN"/>
        </w:rPr>
      </w:pPr>
    </w:p>
    <w:p w14:paraId="2FB1F9B0">
      <w:pPr>
        <w:autoSpaceDE w:val="0"/>
        <w:autoSpaceDN w:val="0"/>
        <w:adjustRightInd w:val="0"/>
        <w:spacing w:line="400" w:lineRule="exact"/>
        <w:rPr>
          <w:rFonts w:ascii="仿宋" w:hAnsi="仿宋" w:eastAsia="仿宋" w:cs="仿宋"/>
          <w:color w:val="auto"/>
          <w:kern w:val="0"/>
          <w:sz w:val="24"/>
          <w:highlight w:val="none"/>
          <w:lang w:val="zh-CN"/>
        </w:rPr>
      </w:pPr>
    </w:p>
    <w:p w14:paraId="08C62C76">
      <w:pPr>
        <w:pStyle w:val="8"/>
        <w:rPr>
          <w:rFonts w:ascii="仿宋" w:hAnsi="仿宋" w:eastAsia="仿宋" w:cs="仿宋"/>
          <w:color w:val="auto"/>
          <w:kern w:val="0"/>
          <w:sz w:val="24"/>
          <w:highlight w:val="none"/>
          <w:lang w:val="zh-CN"/>
        </w:rPr>
      </w:pPr>
    </w:p>
    <w:p w14:paraId="01011DA3">
      <w:pPr>
        <w:pStyle w:val="8"/>
        <w:rPr>
          <w:rFonts w:ascii="仿宋" w:hAnsi="仿宋" w:eastAsia="仿宋" w:cs="仿宋"/>
          <w:color w:val="auto"/>
          <w:kern w:val="0"/>
          <w:sz w:val="24"/>
          <w:highlight w:val="none"/>
          <w:lang w:val="zh-CN"/>
        </w:rPr>
      </w:pPr>
    </w:p>
    <w:p w14:paraId="51F17E86">
      <w:pPr>
        <w:autoSpaceDE w:val="0"/>
        <w:autoSpaceDN w:val="0"/>
        <w:adjustRightInd w:val="0"/>
        <w:spacing w:line="400" w:lineRule="exact"/>
        <w:rPr>
          <w:rFonts w:ascii="仿宋" w:hAnsi="仿宋" w:eastAsia="仿宋" w:cs="仿宋"/>
          <w:color w:val="auto"/>
          <w:kern w:val="0"/>
          <w:sz w:val="24"/>
          <w:highlight w:val="none"/>
          <w:lang w:val="zh-CN"/>
        </w:rPr>
      </w:pPr>
    </w:p>
    <w:p w14:paraId="7FEAEC0A">
      <w:pPr>
        <w:autoSpaceDE w:val="0"/>
        <w:autoSpaceDN w:val="0"/>
        <w:adjustRightInd w:val="0"/>
        <w:spacing w:line="400" w:lineRule="exact"/>
        <w:ind w:firstLine="4670" w:firstLineChars="194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供应商：           （公章）</w:t>
      </w:r>
    </w:p>
    <w:p w14:paraId="38A1C888">
      <w:pPr>
        <w:autoSpaceDE w:val="0"/>
        <w:autoSpaceDN w:val="0"/>
        <w:adjustRightInd w:val="0"/>
        <w:spacing w:line="400" w:lineRule="exac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法定代表人或其委托代理人：</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（签字</w:t>
      </w:r>
      <w:r>
        <w:rPr>
          <w:rFonts w:hint="eastAsia" w:ascii="仿宋" w:hAnsi="仿宋" w:eastAsia="仿宋" w:cs="仿宋"/>
          <w:color w:val="auto"/>
          <w:kern w:val="0"/>
          <w:sz w:val="24"/>
          <w:highlight w:val="none"/>
        </w:rPr>
        <w:t>或盖章</w:t>
      </w:r>
      <w:r>
        <w:rPr>
          <w:rFonts w:hint="eastAsia" w:ascii="仿宋" w:hAnsi="仿宋" w:eastAsia="仿宋" w:cs="仿宋"/>
          <w:color w:val="auto"/>
          <w:kern w:val="0"/>
          <w:sz w:val="24"/>
          <w:highlight w:val="none"/>
          <w:lang w:val="zh-CN"/>
        </w:rPr>
        <w:t xml:space="preserve">） </w:t>
      </w:r>
    </w:p>
    <w:p w14:paraId="17DE8436">
      <w:pPr>
        <w:autoSpaceDE w:val="0"/>
        <w:autoSpaceDN w:val="0"/>
        <w:adjustRightInd w:val="0"/>
        <w:spacing w:line="400" w:lineRule="exac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年   月   日</w:t>
      </w:r>
    </w:p>
    <w:p w14:paraId="7783D8F1">
      <w:pPr>
        <w:autoSpaceDE w:val="0"/>
        <w:autoSpaceDN w:val="0"/>
        <w:adjustRightInd w:val="0"/>
        <w:jc w:val="left"/>
        <w:rPr>
          <w:rFonts w:ascii="仿宋" w:hAnsi="仿宋" w:eastAsia="仿宋" w:cs="仿宋"/>
          <w:color w:val="auto"/>
          <w:kern w:val="0"/>
          <w:sz w:val="24"/>
          <w:highlight w:val="none"/>
          <w:lang w:val="zh-CN"/>
        </w:rPr>
      </w:pPr>
    </w:p>
    <w:p w14:paraId="1E55C998">
      <w:pPr>
        <w:autoSpaceDE w:val="0"/>
        <w:autoSpaceDN w:val="0"/>
        <w:adjustRightInd w:val="0"/>
        <w:jc w:val="left"/>
        <w:rPr>
          <w:rFonts w:ascii="仿宋" w:hAnsi="仿宋" w:eastAsia="仿宋" w:cs="仿宋"/>
          <w:color w:val="auto"/>
          <w:kern w:val="0"/>
          <w:sz w:val="24"/>
          <w:highlight w:val="none"/>
          <w:lang w:val="zh-CN"/>
        </w:rPr>
      </w:pPr>
    </w:p>
    <w:p w14:paraId="7C174F65">
      <w:pPr>
        <w:pStyle w:val="8"/>
        <w:rPr>
          <w:rFonts w:ascii="仿宋" w:hAnsi="仿宋" w:eastAsia="仿宋" w:cs="仿宋"/>
          <w:color w:val="auto"/>
          <w:kern w:val="0"/>
          <w:sz w:val="24"/>
          <w:highlight w:val="none"/>
          <w:lang w:val="zh-CN"/>
        </w:rPr>
      </w:pPr>
    </w:p>
    <w:p w14:paraId="5B970980">
      <w:pPr>
        <w:pStyle w:val="8"/>
        <w:rPr>
          <w:rFonts w:ascii="仿宋" w:hAnsi="仿宋" w:eastAsia="仿宋" w:cs="仿宋"/>
          <w:color w:val="auto"/>
          <w:kern w:val="0"/>
          <w:sz w:val="24"/>
          <w:highlight w:val="none"/>
          <w:lang w:val="zh-CN"/>
        </w:rPr>
      </w:pPr>
    </w:p>
    <w:p w14:paraId="34E64C99">
      <w:pPr>
        <w:pStyle w:val="8"/>
        <w:rPr>
          <w:rFonts w:ascii="仿宋" w:hAnsi="仿宋" w:eastAsia="仿宋" w:cs="仿宋"/>
          <w:color w:val="auto"/>
          <w:kern w:val="0"/>
          <w:sz w:val="24"/>
          <w:highlight w:val="none"/>
          <w:lang w:val="zh-CN"/>
        </w:rPr>
      </w:pPr>
    </w:p>
    <w:p w14:paraId="6213AC8B">
      <w:pPr>
        <w:pStyle w:val="3"/>
        <w:rPr>
          <w:rFonts w:ascii="仿宋" w:hAnsi="仿宋" w:eastAsia="仿宋" w:cs="仿宋"/>
          <w:b w:val="0"/>
          <w:bCs w:val="0"/>
          <w:color w:val="auto"/>
          <w:highlight w:val="none"/>
          <w:lang w:val="zh-CN"/>
        </w:rPr>
      </w:pPr>
      <w:bookmarkStart w:id="124" w:name="_Toc22033"/>
      <w:bookmarkStart w:id="125" w:name="_Toc430704691"/>
      <w:bookmarkStart w:id="126" w:name="_Toc3577"/>
      <w:bookmarkStart w:id="127" w:name="_Toc20232"/>
      <w:bookmarkStart w:id="128" w:name="_Toc5520"/>
      <w:bookmarkStart w:id="129" w:name="_Toc29510"/>
      <w:r>
        <w:rPr>
          <w:rFonts w:hint="eastAsia" w:ascii="仿宋" w:hAnsi="仿宋" w:eastAsia="仿宋" w:cs="仿宋"/>
          <w:b w:val="0"/>
          <w:bCs w:val="0"/>
          <w:color w:val="auto"/>
          <w:highlight w:val="none"/>
        </w:rPr>
        <w:t>四</w:t>
      </w:r>
      <w:r>
        <w:rPr>
          <w:rFonts w:hint="eastAsia" w:ascii="仿宋" w:hAnsi="仿宋" w:eastAsia="仿宋" w:cs="仿宋"/>
          <w:b w:val="0"/>
          <w:bCs w:val="0"/>
          <w:color w:val="auto"/>
          <w:highlight w:val="none"/>
          <w:lang w:val="zh-CN"/>
        </w:rPr>
        <w:t>、法定代表人授权书</w:t>
      </w:r>
      <w:bookmarkEnd w:id="124"/>
      <w:bookmarkEnd w:id="125"/>
      <w:bookmarkEnd w:id="126"/>
      <w:bookmarkEnd w:id="127"/>
      <w:bookmarkEnd w:id="128"/>
      <w:bookmarkEnd w:id="129"/>
    </w:p>
    <w:p w14:paraId="76E34FFB">
      <w:pPr>
        <w:rPr>
          <w:rFonts w:ascii="仿宋" w:hAnsi="仿宋" w:eastAsia="仿宋" w:cs="仿宋"/>
          <w:color w:val="auto"/>
          <w:highlight w:val="none"/>
          <w:lang w:val="zh-CN"/>
        </w:rPr>
      </w:pPr>
    </w:p>
    <w:p w14:paraId="3D7C7613">
      <w:pPr>
        <w:autoSpaceDE w:val="0"/>
        <w:autoSpaceDN w:val="0"/>
        <w:adjustRightInd w:val="0"/>
        <w:spacing w:line="400" w:lineRule="exact"/>
        <w:jc w:val="center"/>
        <w:rPr>
          <w:rFonts w:ascii="仿宋" w:hAnsi="仿宋" w:eastAsia="仿宋" w:cs="仿宋"/>
          <w:color w:val="auto"/>
          <w:kern w:val="0"/>
          <w:sz w:val="36"/>
          <w:szCs w:val="36"/>
          <w:highlight w:val="none"/>
          <w:lang w:val="zh-CN"/>
        </w:rPr>
      </w:pPr>
      <w:r>
        <w:rPr>
          <w:rFonts w:hint="eastAsia" w:ascii="仿宋" w:hAnsi="仿宋" w:eastAsia="仿宋" w:cs="仿宋"/>
          <w:color w:val="auto"/>
          <w:kern w:val="0"/>
          <w:sz w:val="36"/>
          <w:szCs w:val="36"/>
          <w:highlight w:val="none"/>
          <w:lang w:val="zh-CN"/>
        </w:rPr>
        <w:t>法定代表人授权书</w:t>
      </w:r>
    </w:p>
    <w:p w14:paraId="77AF8469">
      <w:pPr>
        <w:autoSpaceDE w:val="0"/>
        <w:autoSpaceDN w:val="0"/>
        <w:adjustRightInd w:val="0"/>
        <w:spacing w:line="400" w:lineRule="exac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致：采购代理机构</w:t>
      </w:r>
    </w:p>
    <w:p w14:paraId="0F551467">
      <w:pPr>
        <w:autoSpaceDE w:val="0"/>
        <w:autoSpaceDN w:val="0"/>
        <w:adjustRightInd w:val="0"/>
        <w:spacing w:line="400" w:lineRule="exact"/>
        <w:rPr>
          <w:rFonts w:ascii="仿宋" w:hAnsi="仿宋" w:eastAsia="仿宋" w:cs="仿宋"/>
          <w:color w:val="auto"/>
          <w:kern w:val="0"/>
          <w:sz w:val="24"/>
          <w:highlight w:val="none"/>
          <w:lang w:val="zh-CN"/>
        </w:rPr>
      </w:pPr>
    </w:p>
    <w:p w14:paraId="7DDEE27D">
      <w:pPr>
        <w:keepNext w:val="0"/>
        <w:keepLines w:val="0"/>
        <w:pageBreakBefore w:val="0"/>
        <w:widowControl w:val="0"/>
        <w:kinsoku/>
        <w:wordWrap/>
        <w:overflowPunct/>
        <w:topLinePunct w:val="0"/>
        <w:autoSpaceDE w:val="0"/>
        <w:autoSpaceDN w:val="0"/>
        <w:bidi w:val="0"/>
        <w:adjustRightInd w:val="0"/>
        <w:snapToGrid/>
        <w:spacing w:line="400" w:lineRule="exact"/>
        <w:ind w:firstLine="480" w:firstLineChars="200"/>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lang w:val="zh-CN"/>
        </w:rPr>
        <w:t xml:space="preserve">（供应商名称）  </w:t>
      </w:r>
      <w:r>
        <w:rPr>
          <w:rFonts w:hint="eastAsia" w:ascii="仿宋" w:hAnsi="仿宋" w:eastAsia="仿宋" w:cs="仿宋"/>
          <w:color w:val="auto"/>
          <w:kern w:val="0"/>
          <w:sz w:val="24"/>
          <w:highlight w:val="none"/>
          <w:lang w:val="zh-CN"/>
        </w:rPr>
        <w:t>系中华人民共和国合法企业，法定地址</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lang w:val="zh-CN"/>
        </w:rPr>
        <w:t>。</w:t>
      </w:r>
    </w:p>
    <w:p w14:paraId="530AAD76">
      <w:pPr>
        <w:autoSpaceDE w:val="0"/>
        <w:autoSpaceDN w:val="0"/>
        <w:adjustRightInd w:val="0"/>
        <w:spacing w:line="400" w:lineRule="exact"/>
        <w:ind w:firstLine="480" w:firstLineChars="2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lang w:val="zh-CN"/>
        </w:rPr>
        <w:t>（法定代表人姓名）</w:t>
      </w:r>
      <w:r>
        <w:rPr>
          <w:rFonts w:hint="eastAsia" w:ascii="仿宋" w:hAnsi="仿宋" w:eastAsia="仿宋" w:cs="仿宋"/>
          <w:color w:val="auto"/>
          <w:kern w:val="0"/>
          <w:sz w:val="24"/>
          <w:highlight w:val="none"/>
          <w:lang w:val="zh-CN"/>
        </w:rPr>
        <w:t>特授权</w:t>
      </w:r>
      <w:r>
        <w:rPr>
          <w:rFonts w:hint="eastAsia" w:ascii="仿宋" w:hAnsi="仿宋" w:eastAsia="仿宋" w:cs="仿宋"/>
          <w:color w:val="auto"/>
          <w:kern w:val="0"/>
          <w:sz w:val="24"/>
          <w:highlight w:val="none"/>
          <w:u w:val="single"/>
          <w:lang w:val="zh-CN"/>
        </w:rPr>
        <w:t xml:space="preserve"> （委托代理人姓名）</w:t>
      </w:r>
      <w:r>
        <w:rPr>
          <w:rFonts w:hint="eastAsia" w:ascii="仿宋" w:hAnsi="仿宋" w:eastAsia="仿宋" w:cs="仿宋"/>
          <w:color w:val="auto"/>
          <w:kern w:val="0"/>
          <w:sz w:val="24"/>
          <w:highlight w:val="none"/>
          <w:lang w:val="zh-CN"/>
        </w:rPr>
        <w:t>代表我单位全权办理</w:t>
      </w:r>
      <w:r>
        <w:rPr>
          <w:rFonts w:hint="eastAsia" w:ascii="仿宋" w:hAnsi="仿宋" w:eastAsia="仿宋" w:cs="仿宋"/>
          <w:color w:val="auto"/>
          <w:kern w:val="0"/>
          <w:sz w:val="24"/>
          <w:highlight w:val="none"/>
          <w:u w:val="single"/>
          <w:lang w:val="zh-CN"/>
        </w:rPr>
        <w:t>（</w:t>
      </w:r>
      <w:r>
        <w:rPr>
          <w:rFonts w:hint="eastAsia" w:ascii="仿宋" w:hAnsi="仿宋" w:eastAsia="仿宋" w:cs="仿宋"/>
          <w:color w:val="auto"/>
          <w:kern w:val="0"/>
          <w:sz w:val="24"/>
          <w:highlight w:val="none"/>
          <w:u w:val="single"/>
        </w:rPr>
        <w:t>项目名称</w:t>
      </w:r>
      <w:r>
        <w:rPr>
          <w:rFonts w:hint="eastAsia" w:ascii="仿宋" w:hAnsi="仿宋" w:eastAsia="仿宋" w:cs="仿宋"/>
          <w:color w:val="auto"/>
          <w:kern w:val="0"/>
          <w:sz w:val="24"/>
          <w:highlight w:val="none"/>
          <w:u w:val="single"/>
          <w:lang w:val="zh-CN"/>
        </w:rPr>
        <w:t>）</w:t>
      </w:r>
      <w:r>
        <w:rPr>
          <w:rFonts w:hint="eastAsia" w:ascii="仿宋" w:hAnsi="仿宋" w:eastAsia="仿宋" w:cs="仿宋"/>
          <w:color w:val="auto"/>
          <w:kern w:val="0"/>
          <w:sz w:val="24"/>
          <w:highlight w:val="none"/>
          <w:lang w:val="zh-CN"/>
        </w:rPr>
        <w:t>项目的投标、答疑、签订合同和处理有关事宜等具体工作，并签署全部有关的文件、资料。</w:t>
      </w:r>
    </w:p>
    <w:p w14:paraId="7E4A992C">
      <w:pPr>
        <w:autoSpaceDE w:val="0"/>
        <w:autoSpaceDN w:val="0"/>
        <w:adjustRightInd w:val="0"/>
        <w:spacing w:line="400" w:lineRule="exact"/>
        <w:rPr>
          <w:rFonts w:ascii="仿宋" w:hAnsi="仿宋" w:eastAsia="仿宋" w:cs="仿宋"/>
          <w:color w:val="auto"/>
          <w:kern w:val="0"/>
          <w:sz w:val="24"/>
          <w:highlight w:val="none"/>
          <w:lang w:val="zh-CN"/>
        </w:rPr>
      </w:pPr>
    </w:p>
    <w:p w14:paraId="4722B366">
      <w:pPr>
        <w:autoSpaceDE w:val="0"/>
        <w:autoSpaceDN w:val="0"/>
        <w:adjustRightInd w:val="0"/>
        <w:spacing w:line="400" w:lineRule="exact"/>
        <w:ind w:firstLine="48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我单位对被授权人的签名负全部责任。</w:t>
      </w:r>
    </w:p>
    <w:p w14:paraId="259E211A">
      <w:pPr>
        <w:autoSpaceDE w:val="0"/>
        <w:autoSpaceDN w:val="0"/>
        <w:adjustRightInd w:val="0"/>
        <w:spacing w:line="400" w:lineRule="exact"/>
        <w:rPr>
          <w:rFonts w:ascii="仿宋" w:hAnsi="仿宋" w:eastAsia="仿宋" w:cs="仿宋"/>
          <w:color w:val="auto"/>
          <w:kern w:val="0"/>
          <w:sz w:val="24"/>
          <w:highlight w:val="none"/>
          <w:lang w:val="zh-CN"/>
        </w:rPr>
      </w:pPr>
    </w:p>
    <w:p w14:paraId="6E8BB00E">
      <w:pPr>
        <w:autoSpaceDE w:val="0"/>
        <w:autoSpaceDN w:val="0"/>
        <w:adjustRightInd w:val="0"/>
        <w:spacing w:line="400" w:lineRule="exact"/>
        <w:ind w:firstLine="48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在撤销授权的书面通知以前，本授权书一直有效，被授权人签署的所有文件（在授权书有效期内签署的）不因授权的撤销而失效。</w:t>
      </w:r>
    </w:p>
    <w:p w14:paraId="47A228CC">
      <w:pPr>
        <w:autoSpaceDE w:val="0"/>
        <w:autoSpaceDN w:val="0"/>
        <w:adjustRightInd w:val="0"/>
        <w:spacing w:line="400" w:lineRule="exact"/>
        <w:rPr>
          <w:rFonts w:ascii="仿宋" w:hAnsi="仿宋" w:eastAsia="仿宋" w:cs="仿宋"/>
          <w:color w:val="auto"/>
          <w:kern w:val="0"/>
          <w:sz w:val="24"/>
          <w:highlight w:val="none"/>
          <w:lang w:val="zh-CN"/>
        </w:rPr>
      </w:pPr>
    </w:p>
    <w:p w14:paraId="546EBE81">
      <w:pPr>
        <w:autoSpaceDE w:val="0"/>
        <w:autoSpaceDN w:val="0"/>
        <w:adjustRightInd w:val="0"/>
        <w:spacing w:line="400" w:lineRule="exact"/>
        <w:rPr>
          <w:rFonts w:ascii="仿宋" w:hAnsi="仿宋" w:eastAsia="仿宋" w:cs="仿宋"/>
          <w:color w:val="auto"/>
          <w:kern w:val="0"/>
          <w:sz w:val="24"/>
          <w:highlight w:val="none"/>
          <w:u w:val="single"/>
        </w:rPr>
      </w:pPr>
      <w:r>
        <w:rPr>
          <w:rFonts w:hint="eastAsia" w:ascii="仿宋" w:hAnsi="仿宋" w:eastAsia="仿宋" w:cs="仿宋"/>
          <w:color w:val="auto"/>
          <w:kern w:val="0"/>
          <w:sz w:val="24"/>
          <w:highlight w:val="none"/>
          <w:lang w:val="zh-CN"/>
        </w:rPr>
        <w:t>被授权人联系电话：</w:t>
      </w:r>
    </w:p>
    <w:p w14:paraId="1B053627">
      <w:pPr>
        <w:autoSpaceDE w:val="0"/>
        <w:autoSpaceDN w:val="0"/>
        <w:adjustRightInd w:val="0"/>
        <w:spacing w:line="400" w:lineRule="exact"/>
        <w:rPr>
          <w:rFonts w:ascii="仿宋" w:hAnsi="仿宋" w:eastAsia="仿宋" w:cs="仿宋"/>
          <w:color w:val="auto"/>
          <w:kern w:val="0"/>
          <w:sz w:val="24"/>
          <w:highlight w:val="none"/>
          <w:u w:val="single"/>
        </w:rPr>
      </w:pPr>
    </w:p>
    <w:p w14:paraId="3EDEDF2D">
      <w:pPr>
        <w:autoSpaceDE w:val="0"/>
        <w:autoSpaceDN w:val="0"/>
        <w:adjustRightInd w:val="0"/>
        <w:spacing w:line="400" w:lineRule="exact"/>
        <w:rPr>
          <w:rFonts w:ascii="仿宋" w:hAnsi="仿宋" w:eastAsia="仿宋" w:cs="仿宋"/>
          <w:color w:val="auto"/>
          <w:kern w:val="0"/>
          <w:sz w:val="24"/>
          <w:highlight w:val="none"/>
          <w:u w:val="single"/>
          <w:lang w:val="zh-CN"/>
        </w:rPr>
      </w:pPr>
      <w:r>
        <w:rPr>
          <w:rFonts w:hint="eastAsia" w:ascii="仿宋" w:hAnsi="仿宋" w:eastAsia="仿宋" w:cs="仿宋"/>
          <w:color w:val="auto"/>
          <w:kern w:val="0"/>
          <w:sz w:val="24"/>
          <w:highlight w:val="none"/>
          <w:lang w:val="zh-CN"/>
        </w:rPr>
        <w:t>被授权人（委托代理人）签字</w:t>
      </w:r>
      <w:r>
        <w:rPr>
          <w:rFonts w:hint="eastAsia" w:ascii="仿宋" w:hAnsi="仿宋" w:eastAsia="仿宋" w:cs="仿宋"/>
          <w:color w:val="auto"/>
          <w:kern w:val="0"/>
          <w:sz w:val="24"/>
          <w:highlight w:val="none"/>
        </w:rPr>
        <w:t>或盖章</w:t>
      </w:r>
      <w:r>
        <w:rPr>
          <w:rFonts w:hint="eastAsia" w:ascii="仿宋" w:hAnsi="仿宋" w:eastAsia="仿宋" w:cs="仿宋"/>
          <w:color w:val="auto"/>
          <w:kern w:val="0"/>
          <w:sz w:val="24"/>
          <w:highlight w:val="none"/>
          <w:lang w:val="zh-CN"/>
        </w:rPr>
        <w:t xml:space="preserve">：  </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授权人（法定代表人）签字</w:t>
      </w:r>
      <w:r>
        <w:rPr>
          <w:rFonts w:hint="eastAsia" w:ascii="仿宋" w:hAnsi="仿宋" w:eastAsia="仿宋" w:cs="仿宋"/>
          <w:color w:val="auto"/>
          <w:kern w:val="0"/>
          <w:sz w:val="24"/>
          <w:highlight w:val="none"/>
        </w:rPr>
        <w:t>或盖章</w:t>
      </w:r>
      <w:r>
        <w:rPr>
          <w:rFonts w:hint="eastAsia" w:ascii="仿宋" w:hAnsi="仿宋" w:eastAsia="仿宋" w:cs="仿宋"/>
          <w:color w:val="auto"/>
          <w:kern w:val="0"/>
          <w:sz w:val="24"/>
          <w:highlight w:val="none"/>
          <w:lang w:val="zh-CN"/>
        </w:rPr>
        <w:t>：</w:t>
      </w:r>
    </w:p>
    <w:p w14:paraId="1D430D34">
      <w:pPr>
        <w:autoSpaceDE w:val="0"/>
        <w:autoSpaceDN w:val="0"/>
        <w:adjustRightInd w:val="0"/>
        <w:spacing w:line="400" w:lineRule="exact"/>
        <w:rPr>
          <w:rFonts w:ascii="仿宋" w:hAnsi="仿宋" w:eastAsia="仿宋" w:cs="仿宋"/>
          <w:color w:val="auto"/>
          <w:kern w:val="0"/>
          <w:sz w:val="24"/>
          <w:highlight w:val="none"/>
          <w:u w:val="single"/>
          <w:lang w:val="zh-CN"/>
        </w:rPr>
      </w:pPr>
      <w:r>
        <w:rPr>
          <w:rFonts w:hint="eastAsia" w:ascii="仿宋" w:hAnsi="仿宋" w:eastAsia="仿宋" w:cs="仿宋"/>
          <w:color w:val="auto"/>
          <w:kern w:val="0"/>
          <w:sz w:val="24"/>
          <w:highlight w:val="none"/>
          <w:lang w:val="zh-CN"/>
        </w:rPr>
        <w:t>职务：</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职务：</w:t>
      </w:r>
    </w:p>
    <w:p w14:paraId="208C1E78">
      <w:pPr>
        <w:autoSpaceDE w:val="0"/>
        <w:autoSpaceDN w:val="0"/>
        <w:adjustRightInd w:val="0"/>
        <w:spacing w:line="400" w:lineRule="exact"/>
        <w:rPr>
          <w:rFonts w:ascii="仿宋" w:hAnsi="仿宋" w:eastAsia="仿宋" w:cs="仿宋"/>
          <w:color w:val="auto"/>
          <w:kern w:val="0"/>
          <w:sz w:val="24"/>
          <w:highlight w:val="none"/>
          <w:lang w:val="zh-CN"/>
        </w:rPr>
      </w:pPr>
    </w:p>
    <w:tbl>
      <w:tblPr>
        <w:tblStyle w:val="30"/>
        <w:tblpPr w:leftFromText="180" w:rightFromText="180" w:vertAnchor="text" w:horzAnchor="page" w:tblpX="1624" w:tblpY="156"/>
        <w:tblW w:w="0" w:type="auto"/>
        <w:tblInd w:w="0" w:type="dxa"/>
        <w:tblBorders>
          <w:top w:val="dotDotDash" w:color="auto" w:sz="12" w:space="0"/>
          <w:left w:val="dotDotDash" w:color="auto" w:sz="12" w:space="0"/>
          <w:bottom w:val="dotDotDash" w:color="auto" w:sz="12" w:space="0"/>
          <w:right w:val="dotDotDash" w:color="auto" w:sz="12" w:space="0"/>
          <w:insideH w:val="dotDotDash" w:color="auto" w:sz="12" w:space="0"/>
          <w:insideV w:val="dotDotDash" w:color="auto" w:sz="12" w:space="0"/>
        </w:tblBorders>
        <w:tblLayout w:type="fixed"/>
        <w:tblCellMar>
          <w:top w:w="0" w:type="dxa"/>
          <w:left w:w="108" w:type="dxa"/>
          <w:bottom w:w="0" w:type="dxa"/>
          <w:right w:w="108" w:type="dxa"/>
        </w:tblCellMar>
      </w:tblPr>
      <w:tblGrid>
        <w:gridCol w:w="3600"/>
      </w:tblGrid>
      <w:tr w14:paraId="2A3DC908">
        <w:tblPrEx>
          <w:tblBorders>
            <w:top w:val="dotDotDash" w:color="auto" w:sz="12" w:space="0"/>
            <w:left w:val="dotDotDash" w:color="auto" w:sz="12" w:space="0"/>
            <w:bottom w:val="dotDotDash" w:color="auto" w:sz="12" w:space="0"/>
            <w:right w:val="dotDotDash" w:color="auto" w:sz="12" w:space="0"/>
            <w:insideH w:val="dotDotDash" w:color="auto" w:sz="12" w:space="0"/>
            <w:insideV w:val="dotDotDash" w:color="auto" w:sz="12" w:space="0"/>
          </w:tblBorders>
          <w:tblCellMar>
            <w:top w:w="0" w:type="dxa"/>
            <w:left w:w="108" w:type="dxa"/>
            <w:bottom w:w="0" w:type="dxa"/>
            <w:right w:w="108" w:type="dxa"/>
          </w:tblCellMar>
        </w:tblPrEx>
        <w:trPr>
          <w:trHeight w:val="2190" w:hRule="atLeast"/>
        </w:trPr>
        <w:tc>
          <w:tcPr>
            <w:tcW w:w="3600" w:type="dxa"/>
            <w:noWrap/>
          </w:tcPr>
          <w:p w14:paraId="08B6862B">
            <w:pPr>
              <w:spacing w:line="440" w:lineRule="exact"/>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此处附法定代表人身份证复印件</w:t>
            </w:r>
          </w:p>
        </w:tc>
      </w:tr>
    </w:tbl>
    <w:tbl>
      <w:tblPr>
        <w:tblStyle w:val="30"/>
        <w:tblpPr w:leftFromText="180" w:rightFromText="180" w:vertAnchor="text" w:horzAnchor="page" w:tblpX="6484" w:tblpY="165"/>
        <w:tblW w:w="0" w:type="auto"/>
        <w:tblInd w:w="0" w:type="dxa"/>
        <w:tblBorders>
          <w:top w:val="dotDotDash" w:color="auto" w:sz="12" w:space="0"/>
          <w:left w:val="dotDotDash" w:color="auto" w:sz="12" w:space="0"/>
          <w:bottom w:val="dotDotDash" w:color="auto" w:sz="12" w:space="0"/>
          <w:right w:val="dotDotDash" w:color="auto" w:sz="12" w:space="0"/>
          <w:insideH w:val="dotDotDash" w:color="auto" w:sz="12" w:space="0"/>
          <w:insideV w:val="dotDotDash" w:color="auto" w:sz="12" w:space="0"/>
        </w:tblBorders>
        <w:tblLayout w:type="fixed"/>
        <w:tblCellMar>
          <w:top w:w="0" w:type="dxa"/>
          <w:left w:w="108" w:type="dxa"/>
          <w:bottom w:w="0" w:type="dxa"/>
          <w:right w:w="108" w:type="dxa"/>
        </w:tblCellMar>
      </w:tblPr>
      <w:tblGrid>
        <w:gridCol w:w="3600"/>
      </w:tblGrid>
      <w:tr w14:paraId="3750EEB5">
        <w:tblPrEx>
          <w:tblBorders>
            <w:top w:val="dotDotDash" w:color="auto" w:sz="12" w:space="0"/>
            <w:left w:val="dotDotDash" w:color="auto" w:sz="12" w:space="0"/>
            <w:bottom w:val="dotDotDash" w:color="auto" w:sz="12" w:space="0"/>
            <w:right w:val="dotDotDash" w:color="auto" w:sz="12" w:space="0"/>
            <w:insideH w:val="dotDotDash" w:color="auto" w:sz="12" w:space="0"/>
            <w:insideV w:val="dotDotDash" w:color="auto" w:sz="12" w:space="0"/>
          </w:tblBorders>
          <w:tblCellMar>
            <w:top w:w="0" w:type="dxa"/>
            <w:left w:w="108" w:type="dxa"/>
            <w:bottom w:w="0" w:type="dxa"/>
            <w:right w:w="108" w:type="dxa"/>
          </w:tblCellMar>
        </w:tblPrEx>
        <w:trPr>
          <w:trHeight w:val="2190" w:hRule="atLeast"/>
        </w:trPr>
        <w:tc>
          <w:tcPr>
            <w:tcW w:w="3600" w:type="dxa"/>
            <w:noWrap/>
          </w:tcPr>
          <w:p w14:paraId="4678CF94">
            <w:pPr>
              <w:spacing w:line="440" w:lineRule="exact"/>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此处附被授权人身份证复印件</w:t>
            </w:r>
          </w:p>
        </w:tc>
      </w:tr>
    </w:tbl>
    <w:tbl>
      <w:tblPr>
        <w:tblStyle w:val="30"/>
        <w:tblpPr w:leftFromText="180" w:rightFromText="180" w:vertAnchor="text" w:horzAnchor="page" w:tblpX="1624" w:tblpY="156"/>
        <w:tblW w:w="0" w:type="auto"/>
        <w:tblInd w:w="0" w:type="dxa"/>
        <w:tblBorders>
          <w:top w:val="dotDotDash" w:color="auto" w:sz="12" w:space="0"/>
          <w:left w:val="dotDotDash" w:color="auto" w:sz="12" w:space="0"/>
          <w:bottom w:val="dotDotDash" w:color="auto" w:sz="12" w:space="0"/>
          <w:right w:val="dotDotDash" w:color="auto" w:sz="12" w:space="0"/>
          <w:insideH w:val="dotDotDash" w:color="auto" w:sz="12" w:space="0"/>
          <w:insideV w:val="dotDotDash" w:color="auto" w:sz="12" w:space="0"/>
        </w:tblBorders>
        <w:tblLayout w:type="fixed"/>
        <w:tblCellMar>
          <w:top w:w="0" w:type="dxa"/>
          <w:left w:w="108" w:type="dxa"/>
          <w:bottom w:w="0" w:type="dxa"/>
          <w:right w:w="108" w:type="dxa"/>
        </w:tblCellMar>
      </w:tblPr>
      <w:tblGrid>
        <w:gridCol w:w="3600"/>
      </w:tblGrid>
      <w:tr w14:paraId="21445BCE">
        <w:tblPrEx>
          <w:tblBorders>
            <w:top w:val="dotDotDash" w:color="auto" w:sz="12" w:space="0"/>
            <w:left w:val="dotDotDash" w:color="auto" w:sz="12" w:space="0"/>
            <w:bottom w:val="dotDotDash" w:color="auto" w:sz="12" w:space="0"/>
            <w:right w:val="dotDotDash" w:color="auto" w:sz="12" w:space="0"/>
            <w:insideH w:val="dotDotDash" w:color="auto" w:sz="12" w:space="0"/>
            <w:insideV w:val="dotDotDash" w:color="auto" w:sz="12" w:space="0"/>
          </w:tblBorders>
          <w:tblCellMar>
            <w:top w:w="0" w:type="dxa"/>
            <w:left w:w="108" w:type="dxa"/>
            <w:bottom w:w="0" w:type="dxa"/>
            <w:right w:w="108" w:type="dxa"/>
          </w:tblCellMar>
        </w:tblPrEx>
        <w:trPr>
          <w:trHeight w:val="2190" w:hRule="atLeast"/>
        </w:trPr>
        <w:tc>
          <w:tcPr>
            <w:tcW w:w="3600" w:type="dxa"/>
            <w:noWrap/>
          </w:tcPr>
          <w:p w14:paraId="10F992F7">
            <w:pPr>
              <w:spacing w:line="440" w:lineRule="exact"/>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此处附法定代表人身份证复印件</w:t>
            </w:r>
          </w:p>
        </w:tc>
      </w:tr>
    </w:tbl>
    <w:p w14:paraId="58203A4E">
      <w:pPr>
        <w:autoSpaceDE w:val="0"/>
        <w:autoSpaceDN w:val="0"/>
        <w:adjustRightInd w:val="0"/>
        <w:spacing w:line="400" w:lineRule="exact"/>
        <w:rPr>
          <w:rFonts w:ascii="仿宋" w:hAnsi="仿宋" w:eastAsia="仿宋" w:cs="仿宋"/>
          <w:color w:val="auto"/>
          <w:kern w:val="0"/>
          <w:sz w:val="24"/>
          <w:highlight w:val="none"/>
          <w:lang w:val="zh-CN"/>
        </w:rPr>
      </w:pPr>
    </w:p>
    <w:p w14:paraId="189257E0">
      <w:pPr>
        <w:autoSpaceDE w:val="0"/>
        <w:autoSpaceDN w:val="0"/>
        <w:adjustRightInd w:val="0"/>
        <w:spacing w:line="400" w:lineRule="exact"/>
        <w:rPr>
          <w:rFonts w:ascii="仿宋" w:hAnsi="仿宋" w:eastAsia="仿宋" w:cs="仿宋"/>
          <w:color w:val="auto"/>
          <w:kern w:val="0"/>
          <w:sz w:val="24"/>
          <w:highlight w:val="none"/>
          <w:lang w:val="zh-CN"/>
        </w:rPr>
      </w:pPr>
    </w:p>
    <w:p w14:paraId="540B1A5B">
      <w:pPr>
        <w:autoSpaceDE w:val="0"/>
        <w:autoSpaceDN w:val="0"/>
        <w:adjustRightInd w:val="0"/>
        <w:spacing w:line="400" w:lineRule="exact"/>
        <w:rPr>
          <w:rFonts w:ascii="仿宋" w:hAnsi="仿宋" w:eastAsia="仿宋" w:cs="仿宋"/>
          <w:color w:val="auto"/>
          <w:kern w:val="0"/>
          <w:sz w:val="24"/>
          <w:highlight w:val="none"/>
          <w:lang w:val="zh-CN"/>
        </w:rPr>
      </w:pPr>
    </w:p>
    <w:p w14:paraId="09F7A232">
      <w:pPr>
        <w:autoSpaceDE w:val="0"/>
        <w:autoSpaceDN w:val="0"/>
        <w:adjustRightInd w:val="0"/>
        <w:spacing w:line="400" w:lineRule="exact"/>
        <w:ind w:firstLine="4670" w:firstLineChars="194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供</w:t>
      </w:r>
    </w:p>
    <w:p w14:paraId="582FD5B4">
      <w:pPr>
        <w:autoSpaceDE w:val="0"/>
        <w:autoSpaceDN w:val="0"/>
        <w:adjustRightInd w:val="0"/>
        <w:spacing w:line="400" w:lineRule="exact"/>
        <w:ind w:firstLine="4670" w:firstLineChars="1946"/>
        <w:rPr>
          <w:rFonts w:ascii="仿宋" w:hAnsi="仿宋" w:eastAsia="仿宋" w:cs="仿宋"/>
          <w:color w:val="auto"/>
          <w:kern w:val="0"/>
          <w:sz w:val="24"/>
          <w:highlight w:val="none"/>
          <w:lang w:val="zh-CN"/>
        </w:rPr>
      </w:pPr>
    </w:p>
    <w:p w14:paraId="132EC739">
      <w:pPr>
        <w:autoSpaceDE w:val="0"/>
        <w:autoSpaceDN w:val="0"/>
        <w:adjustRightInd w:val="0"/>
        <w:spacing w:line="400" w:lineRule="exact"/>
        <w:ind w:firstLine="4670" w:firstLineChars="1946"/>
        <w:rPr>
          <w:rFonts w:ascii="仿宋" w:hAnsi="仿宋" w:eastAsia="仿宋" w:cs="仿宋"/>
          <w:color w:val="auto"/>
          <w:kern w:val="0"/>
          <w:sz w:val="24"/>
          <w:highlight w:val="none"/>
          <w:lang w:val="zh-CN"/>
        </w:rPr>
      </w:pPr>
    </w:p>
    <w:p w14:paraId="4B972F1A">
      <w:pPr>
        <w:autoSpaceDE w:val="0"/>
        <w:autoSpaceDN w:val="0"/>
        <w:adjustRightInd w:val="0"/>
        <w:spacing w:line="400" w:lineRule="exact"/>
        <w:ind w:firstLine="4670" w:firstLineChars="1946"/>
        <w:rPr>
          <w:rFonts w:ascii="仿宋" w:hAnsi="仿宋" w:eastAsia="仿宋" w:cs="仿宋"/>
          <w:color w:val="auto"/>
          <w:kern w:val="0"/>
          <w:sz w:val="24"/>
          <w:highlight w:val="none"/>
          <w:lang w:val="zh-CN"/>
        </w:rPr>
      </w:pPr>
    </w:p>
    <w:p w14:paraId="0E2E7B55">
      <w:pPr>
        <w:autoSpaceDE w:val="0"/>
        <w:autoSpaceDN w:val="0"/>
        <w:adjustRightInd w:val="0"/>
        <w:spacing w:line="400" w:lineRule="exact"/>
        <w:ind w:firstLine="4670" w:firstLineChars="1946"/>
        <w:jc w:val="both"/>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供应商：           （公章）</w:t>
      </w:r>
    </w:p>
    <w:p w14:paraId="5251DACB">
      <w:pPr>
        <w:autoSpaceDE w:val="0"/>
        <w:autoSpaceDN w:val="0"/>
        <w:adjustRightInd w:val="0"/>
        <w:spacing w:line="400" w:lineRule="exact"/>
        <w:jc w:val="center"/>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 xml:space="preserve"> 年   月   日</w:t>
      </w:r>
    </w:p>
    <w:p w14:paraId="54F02753">
      <w:pPr>
        <w:pStyle w:val="3"/>
        <w:spacing w:before="120" w:after="120" w:line="240" w:lineRule="auto"/>
        <w:jc w:val="left"/>
        <w:rPr>
          <w:rFonts w:ascii="仿宋" w:hAnsi="仿宋" w:eastAsia="仿宋" w:cs="仿宋"/>
          <w:b w:val="0"/>
          <w:bCs w:val="0"/>
          <w:color w:val="auto"/>
          <w:highlight w:val="none"/>
        </w:rPr>
      </w:pPr>
      <w:r>
        <w:rPr>
          <w:rFonts w:hint="eastAsia" w:ascii="仿宋" w:hAnsi="仿宋" w:eastAsia="仿宋" w:cs="仿宋"/>
          <w:b w:val="0"/>
          <w:bCs w:val="0"/>
          <w:color w:val="auto"/>
          <w:kern w:val="0"/>
          <w:sz w:val="24"/>
          <w:highlight w:val="none"/>
          <w:lang w:val="zh-CN"/>
        </w:rPr>
        <w:br w:type="page"/>
      </w:r>
      <w:bookmarkStart w:id="130" w:name="_Toc23334"/>
      <w:bookmarkStart w:id="131" w:name="_Toc237"/>
      <w:r>
        <w:rPr>
          <w:rFonts w:hint="eastAsia" w:ascii="仿宋" w:hAnsi="仿宋" w:eastAsia="仿宋" w:cs="仿宋"/>
          <w:b w:val="0"/>
          <w:bCs w:val="0"/>
          <w:color w:val="auto"/>
          <w:highlight w:val="none"/>
        </w:rPr>
        <w:t>五、服务</w:t>
      </w:r>
      <w:r>
        <w:rPr>
          <w:rFonts w:hint="eastAsia" w:ascii="仿宋" w:hAnsi="仿宋" w:eastAsia="仿宋" w:cs="仿宋"/>
          <w:b w:val="0"/>
          <w:bCs w:val="0"/>
          <w:color w:val="auto"/>
          <w:highlight w:val="none"/>
          <w:lang w:val="zh-CN"/>
        </w:rPr>
        <w:t>方案</w:t>
      </w:r>
      <w:bookmarkEnd w:id="130"/>
      <w:bookmarkEnd w:id="131"/>
    </w:p>
    <w:p w14:paraId="28BFA2EB">
      <w:pPr>
        <w:pStyle w:val="8"/>
        <w:rPr>
          <w:rFonts w:ascii="仿宋" w:hAnsi="仿宋" w:eastAsia="仿宋" w:cs="仿宋"/>
          <w:color w:val="auto"/>
          <w:sz w:val="32"/>
          <w:szCs w:val="32"/>
          <w:highlight w:val="none"/>
        </w:rPr>
      </w:pPr>
    </w:p>
    <w:p w14:paraId="68CED4AB">
      <w:pPr>
        <w:pStyle w:val="8"/>
        <w:rPr>
          <w:rFonts w:ascii="仿宋" w:hAnsi="仿宋" w:eastAsia="仿宋" w:cs="仿宋"/>
          <w:color w:val="auto"/>
          <w:highlight w:val="none"/>
        </w:rPr>
      </w:pPr>
    </w:p>
    <w:p w14:paraId="5447659D">
      <w:pPr>
        <w:spacing w:before="120" w:after="120"/>
        <w:rPr>
          <w:rFonts w:ascii="仿宋" w:hAnsi="仿宋" w:eastAsia="仿宋" w:cs="仿宋"/>
          <w:color w:val="auto"/>
          <w:kern w:val="0"/>
          <w:sz w:val="28"/>
          <w:szCs w:val="28"/>
          <w:highlight w:val="none"/>
        </w:rPr>
      </w:pPr>
    </w:p>
    <w:p w14:paraId="29B8CB9F">
      <w:pPr>
        <w:spacing w:line="360" w:lineRule="auto"/>
        <w:ind w:firstLine="480" w:firstLineChars="200"/>
        <w:rPr>
          <w:rFonts w:ascii="仿宋" w:hAnsi="仿宋" w:eastAsia="仿宋" w:cs="仿宋"/>
          <w:color w:val="auto"/>
          <w:sz w:val="24"/>
          <w:highlight w:val="none"/>
        </w:rPr>
      </w:pPr>
    </w:p>
    <w:p w14:paraId="31B6555F">
      <w:pPr>
        <w:autoSpaceDE w:val="0"/>
        <w:autoSpaceDN w:val="0"/>
        <w:adjustRightInd w:val="0"/>
        <w:spacing w:line="400" w:lineRule="exact"/>
        <w:rPr>
          <w:rFonts w:ascii="仿宋" w:hAnsi="仿宋" w:eastAsia="仿宋" w:cs="仿宋"/>
          <w:color w:val="auto"/>
          <w:kern w:val="0"/>
          <w:sz w:val="24"/>
          <w:highlight w:val="none"/>
          <w:lang w:val="zh-CN"/>
        </w:rPr>
      </w:pPr>
    </w:p>
    <w:p w14:paraId="2273ED5D">
      <w:pPr>
        <w:pStyle w:val="3"/>
        <w:spacing w:line="400" w:lineRule="exact"/>
        <w:rPr>
          <w:rFonts w:ascii="仿宋" w:hAnsi="仿宋" w:eastAsia="仿宋" w:cs="仿宋"/>
          <w:b w:val="0"/>
          <w:bCs w:val="0"/>
          <w:color w:val="auto"/>
          <w:highlight w:val="none"/>
          <w:lang w:val="zh-CN"/>
        </w:rPr>
      </w:pPr>
      <w:r>
        <w:rPr>
          <w:rFonts w:hint="eastAsia" w:ascii="仿宋" w:hAnsi="仿宋" w:eastAsia="仿宋" w:cs="仿宋"/>
          <w:b w:val="0"/>
          <w:bCs w:val="0"/>
          <w:color w:val="auto"/>
          <w:highlight w:val="none"/>
          <w:lang w:val="zh-CN"/>
        </w:rPr>
        <w:br w:type="page"/>
      </w:r>
      <w:bookmarkStart w:id="132" w:name="_Toc4322"/>
      <w:bookmarkStart w:id="133" w:name="_Toc1297"/>
      <w:bookmarkStart w:id="134" w:name="_Toc24938"/>
      <w:r>
        <w:rPr>
          <w:rFonts w:hint="eastAsia" w:ascii="仿宋" w:hAnsi="仿宋" w:eastAsia="仿宋" w:cs="仿宋"/>
          <w:b w:val="0"/>
          <w:bCs w:val="0"/>
          <w:color w:val="auto"/>
          <w:highlight w:val="none"/>
        </w:rPr>
        <w:t>六</w:t>
      </w:r>
      <w:r>
        <w:rPr>
          <w:rFonts w:hint="eastAsia" w:ascii="仿宋" w:hAnsi="仿宋" w:eastAsia="仿宋" w:cs="仿宋"/>
          <w:b w:val="0"/>
          <w:bCs w:val="0"/>
          <w:color w:val="auto"/>
          <w:highlight w:val="none"/>
          <w:lang w:val="zh-CN"/>
        </w:rPr>
        <w:t>、项目管理机构</w:t>
      </w:r>
      <w:bookmarkEnd w:id="132"/>
      <w:bookmarkEnd w:id="133"/>
    </w:p>
    <w:p w14:paraId="22262CAA">
      <w:pPr>
        <w:pStyle w:val="73"/>
        <w:outlineLvl w:val="2"/>
        <w:rPr>
          <w:rFonts w:ascii="仿宋" w:hAnsi="仿宋" w:eastAsia="仿宋" w:cs="仿宋"/>
          <w:color w:val="auto"/>
          <w:highlight w:val="none"/>
        </w:rPr>
      </w:pPr>
      <w:bookmarkStart w:id="135" w:name="_Toc256000160"/>
      <w:r>
        <w:rPr>
          <w:rFonts w:hint="eastAsia" w:ascii="仿宋" w:hAnsi="仿宋" w:eastAsia="仿宋" w:cs="仿宋"/>
          <w:color w:val="auto"/>
          <w:sz w:val="28"/>
          <w:highlight w:val="none"/>
        </w:rPr>
        <w:t>(一)项目管理机构组成表</w:t>
      </w:r>
      <w:bookmarkEnd w:id="135"/>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6"/>
        <w:gridCol w:w="1004"/>
        <w:gridCol w:w="925"/>
        <w:gridCol w:w="1317"/>
        <w:gridCol w:w="785"/>
        <w:gridCol w:w="1432"/>
        <w:gridCol w:w="2050"/>
        <w:gridCol w:w="711"/>
      </w:tblGrid>
      <w:tr w14:paraId="384051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816" w:type="dxa"/>
            <w:vMerge w:val="restart"/>
            <w:noWrap/>
            <w:vAlign w:val="center"/>
          </w:tcPr>
          <w:p w14:paraId="5981A7F7">
            <w:pPr>
              <w:pStyle w:val="69"/>
              <w:autoSpaceDE w:val="0"/>
              <w:autoSpaceDN w:val="0"/>
              <w:adjustRightInd w:val="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职务</w:t>
            </w:r>
          </w:p>
        </w:tc>
        <w:tc>
          <w:tcPr>
            <w:tcW w:w="1004" w:type="dxa"/>
            <w:vMerge w:val="restart"/>
            <w:noWrap/>
            <w:vAlign w:val="center"/>
          </w:tcPr>
          <w:p w14:paraId="51F8389B">
            <w:pPr>
              <w:pStyle w:val="69"/>
              <w:autoSpaceDE w:val="0"/>
              <w:autoSpaceDN w:val="0"/>
              <w:adjustRightInd w:val="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姓名</w:t>
            </w:r>
          </w:p>
        </w:tc>
        <w:tc>
          <w:tcPr>
            <w:tcW w:w="925" w:type="dxa"/>
            <w:vMerge w:val="restart"/>
            <w:noWrap/>
            <w:vAlign w:val="center"/>
          </w:tcPr>
          <w:p w14:paraId="7DBA7477">
            <w:pPr>
              <w:pStyle w:val="69"/>
              <w:autoSpaceDE w:val="0"/>
              <w:autoSpaceDN w:val="0"/>
              <w:adjustRightInd w:val="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职称</w:t>
            </w:r>
          </w:p>
        </w:tc>
        <w:tc>
          <w:tcPr>
            <w:tcW w:w="5584" w:type="dxa"/>
            <w:gridSpan w:val="4"/>
            <w:noWrap/>
            <w:vAlign w:val="center"/>
          </w:tcPr>
          <w:p w14:paraId="3A9B5F78">
            <w:pPr>
              <w:pStyle w:val="69"/>
              <w:autoSpaceDE w:val="0"/>
              <w:autoSpaceDN w:val="0"/>
              <w:adjustRightInd w:val="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执业或职业资格证明</w:t>
            </w:r>
          </w:p>
        </w:tc>
        <w:tc>
          <w:tcPr>
            <w:tcW w:w="711" w:type="dxa"/>
            <w:vMerge w:val="restart"/>
            <w:noWrap/>
            <w:vAlign w:val="center"/>
          </w:tcPr>
          <w:p w14:paraId="60742DEC">
            <w:pPr>
              <w:pStyle w:val="69"/>
              <w:autoSpaceDE w:val="0"/>
              <w:autoSpaceDN w:val="0"/>
              <w:adjustRightInd w:val="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备注</w:t>
            </w:r>
          </w:p>
        </w:tc>
      </w:tr>
      <w:tr w14:paraId="580FF1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11" w:hRule="atLeast"/>
        </w:trPr>
        <w:tc>
          <w:tcPr>
            <w:tcW w:w="816" w:type="dxa"/>
            <w:vMerge w:val="continue"/>
            <w:noWrap/>
            <w:vAlign w:val="center"/>
          </w:tcPr>
          <w:p w14:paraId="18783E9B">
            <w:pPr>
              <w:pStyle w:val="69"/>
              <w:autoSpaceDE w:val="0"/>
              <w:autoSpaceDN w:val="0"/>
              <w:adjustRightInd w:val="0"/>
              <w:jc w:val="center"/>
              <w:rPr>
                <w:rFonts w:ascii="仿宋" w:hAnsi="仿宋" w:eastAsia="仿宋" w:cs="仿宋"/>
                <w:color w:val="auto"/>
                <w:kern w:val="0"/>
                <w:sz w:val="28"/>
                <w:szCs w:val="28"/>
                <w:highlight w:val="none"/>
              </w:rPr>
            </w:pPr>
          </w:p>
        </w:tc>
        <w:tc>
          <w:tcPr>
            <w:tcW w:w="1004" w:type="dxa"/>
            <w:vMerge w:val="continue"/>
            <w:noWrap/>
            <w:vAlign w:val="center"/>
          </w:tcPr>
          <w:p w14:paraId="394B4E2D">
            <w:pPr>
              <w:pStyle w:val="69"/>
              <w:autoSpaceDE w:val="0"/>
              <w:autoSpaceDN w:val="0"/>
              <w:adjustRightInd w:val="0"/>
              <w:jc w:val="center"/>
              <w:rPr>
                <w:rFonts w:ascii="仿宋" w:hAnsi="仿宋" w:eastAsia="仿宋" w:cs="仿宋"/>
                <w:color w:val="auto"/>
                <w:kern w:val="0"/>
                <w:sz w:val="28"/>
                <w:szCs w:val="28"/>
                <w:highlight w:val="none"/>
              </w:rPr>
            </w:pPr>
          </w:p>
        </w:tc>
        <w:tc>
          <w:tcPr>
            <w:tcW w:w="925" w:type="dxa"/>
            <w:vMerge w:val="continue"/>
            <w:noWrap/>
            <w:vAlign w:val="center"/>
          </w:tcPr>
          <w:p w14:paraId="6B54CD87">
            <w:pPr>
              <w:pStyle w:val="69"/>
              <w:autoSpaceDE w:val="0"/>
              <w:autoSpaceDN w:val="0"/>
              <w:adjustRightInd w:val="0"/>
              <w:jc w:val="center"/>
              <w:rPr>
                <w:rFonts w:ascii="仿宋" w:hAnsi="仿宋" w:eastAsia="仿宋" w:cs="仿宋"/>
                <w:color w:val="auto"/>
                <w:kern w:val="0"/>
                <w:sz w:val="28"/>
                <w:szCs w:val="28"/>
                <w:highlight w:val="none"/>
              </w:rPr>
            </w:pPr>
          </w:p>
        </w:tc>
        <w:tc>
          <w:tcPr>
            <w:tcW w:w="1317" w:type="dxa"/>
            <w:noWrap/>
            <w:vAlign w:val="center"/>
          </w:tcPr>
          <w:p w14:paraId="5B1F0D17">
            <w:pPr>
              <w:pStyle w:val="69"/>
              <w:autoSpaceDE w:val="0"/>
              <w:autoSpaceDN w:val="0"/>
              <w:adjustRightInd w:val="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证书名称</w:t>
            </w:r>
          </w:p>
        </w:tc>
        <w:tc>
          <w:tcPr>
            <w:tcW w:w="785" w:type="dxa"/>
            <w:noWrap/>
            <w:vAlign w:val="center"/>
          </w:tcPr>
          <w:p w14:paraId="65E846B8">
            <w:pPr>
              <w:pStyle w:val="69"/>
              <w:autoSpaceDE w:val="0"/>
              <w:autoSpaceDN w:val="0"/>
              <w:adjustRightInd w:val="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级别</w:t>
            </w:r>
          </w:p>
        </w:tc>
        <w:tc>
          <w:tcPr>
            <w:tcW w:w="1432" w:type="dxa"/>
            <w:noWrap/>
            <w:vAlign w:val="center"/>
          </w:tcPr>
          <w:p w14:paraId="719587F1">
            <w:pPr>
              <w:pStyle w:val="69"/>
              <w:autoSpaceDE w:val="0"/>
              <w:autoSpaceDN w:val="0"/>
              <w:adjustRightInd w:val="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证号</w:t>
            </w:r>
          </w:p>
        </w:tc>
        <w:tc>
          <w:tcPr>
            <w:tcW w:w="2050" w:type="dxa"/>
            <w:noWrap/>
            <w:vAlign w:val="center"/>
          </w:tcPr>
          <w:p w14:paraId="3FE55B0F">
            <w:pPr>
              <w:pStyle w:val="69"/>
              <w:autoSpaceDE w:val="0"/>
              <w:autoSpaceDN w:val="0"/>
              <w:adjustRightInd w:val="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专业</w:t>
            </w:r>
          </w:p>
        </w:tc>
        <w:tc>
          <w:tcPr>
            <w:tcW w:w="711" w:type="dxa"/>
            <w:vMerge w:val="continue"/>
            <w:noWrap/>
            <w:vAlign w:val="center"/>
          </w:tcPr>
          <w:p w14:paraId="07585A49">
            <w:pPr>
              <w:pStyle w:val="69"/>
              <w:autoSpaceDE w:val="0"/>
              <w:autoSpaceDN w:val="0"/>
              <w:adjustRightInd w:val="0"/>
              <w:jc w:val="center"/>
              <w:rPr>
                <w:rFonts w:ascii="仿宋" w:hAnsi="仿宋" w:eastAsia="仿宋" w:cs="仿宋"/>
                <w:color w:val="auto"/>
                <w:kern w:val="0"/>
                <w:sz w:val="28"/>
                <w:szCs w:val="28"/>
                <w:highlight w:val="none"/>
              </w:rPr>
            </w:pPr>
          </w:p>
        </w:tc>
      </w:tr>
      <w:tr w14:paraId="67F81E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11" w:hRule="atLeast"/>
        </w:trPr>
        <w:tc>
          <w:tcPr>
            <w:tcW w:w="816" w:type="dxa"/>
            <w:noWrap/>
            <w:vAlign w:val="center"/>
          </w:tcPr>
          <w:p w14:paraId="60B353B7">
            <w:pPr>
              <w:pStyle w:val="69"/>
              <w:autoSpaceDE w:val="0"/>
              <w:autoSpaceDN w:val="0"/>
              <w:adjustRightInd w:val="0"/>
              <w:jc w:val="center"/>
              <w:rPr>
                <w:rFonts w:ascii="仿宋" w:hAnsi="仿宋" w:eastAsia="仿宋" w:cs="仿宋"/>
                <w:color w:val="auto"/>
                <w:kern w:val="0"/>
                <w:sz w:val="28"/>
                <w:szCs w:val="28"/>
                <w:highlight w:val="none"/>
              </w:rPr>
            </w:pPr>
          </w:p>
        </w:tc>
        <w:tc>
          <w:tcPr>
            <w:tcW w:w="1004" w:type="dxa"/>
            <w:noWrap/>
            <w:vAlign w:val="center"/>
          </w:tcPr>
          <w:p w14:paraId="41F1F392">
            <w:pPr>
              <w:pStyle w:val="69"/>
              <w:autoSpaceDE w:val="0"/>
              <w:autoSpaceDN w:val="0"/>
              <w:adjustRightInd w:val="0"/>
              <w:jc w:val="center"/>
              <w:rPr>
                <w:rFonts w:ascii="仿宋" w:hAnsi="仿宋" w:eastAsia="仿宋" w:cs="仿宋"/>
                <w:color w:val="auto"/>
                <w:kern w:val="0"/>
                <w:sz w:val="28"/>
                <w:szCs w:val="28"/>
                <w:highlight w:val="none"/>
              </w:rPr>
            </w:pPr>
          </w:p>
        </w:tc>
        <w:tc>
          <w:tcPr>
            <w:tcW w:w="925" w:type="dxa"/>
            <w:noWrap/>
            <w:vAlign w:val="center"/>
          </w:tcPr>
          <w:p w14:paraId="4337C254">
            <w:pPr>
              <w:pStyle w:val="69"/>
              <w:autoSpaceDE w:val="0"/>
              <w:autoSpaceDN w:val="0"/>
              <w:adjustRightInd w:val="0"/>
              <w:jc w:val="center"/>
              <w:rPr>
                <w:rFonts w:ascii="仿宋" w:hAnsi="仿宋" w:eastAsia="仿宋" w:cs="仿宋"/>
                <w:color w:val="auto"/>
                <w:kern w:val="0"/>
                <w:sz w:val="28"/>
                <w:szCs w:val="28"/>
                <w:highlight w:val="none"/>
              </w:rPr>
            </w:pPr>
          </w:p>
        </w:tc>
        <w:tc>
          <w:tcPr>
            <w:tcW w:w="1317" w:type="dxa"/>
            <w:noWrap/>
            <w:vAlign w:val="center"/>
          </w:tcPr>
          <w:p w14:paraId="3C5B018F">
            <w:pPr>
              <w:pStyle w:val="69"/>
              <w:autoSpaceDE w:val="0"/>
              <w:autoSpaceDN w:val="0"/>
              <w:adjustRightInd w:val="0"/>
              <w:jc w:val="center"/>
              <w:rPr>
                <w:rFonts w:ascii="仿宋" w:hAnsi="仿宋" w:eastAsia="仿宋" w:cs="仿宋"/>
                <w:color w:val="auto"/>
                <w:kern w:val="0"/>
                <w:sz w:val="28"/>
                <w:szCs w:val="28"/>
                <w:highlight w:val="none"/>
              </w:rPr>
            </w:pPr>
          </w:p>
        </w:tc>
        <w:tc>
          <w:tcPr>
            <w:tcW w:w="785" w:type="dxa"/>
            <w:noWrap/>
            <w:vAlign w:val="center"/>
          </w:tcPr>
          <w:p w14:paraId="3EB9EB65">
            <w:pPr>
              <w:pStyle w:val="69"/>
              <w:autoSpaceDE w:val="0"/>
              <w:autoSpaceDN w:val="0"/>
              <w:adjustRightInd w:val="0"/>
              <w:jc w:val="center"/>
              <w:rPr>
                <w:rFonts w:ascii="仿宋" w:hAnsi="仿宋" w:eastAsia="仿宋" w:cs="仿宋"/>
                <w:color w:val="auto"/>
                <w:kern w:val="0"/>
                <w:sz w:val="28"/>
                <w:szCs w:val="28"/>
                <w:highlight w:val="none"/>
              </w:rPr>
            </w:pPr>
          </w:p>
        </w:tc>
        <w:tc>
          <w:tcPr>
            <w:tcW w:w="1432" w:type="dxa"/>
            <w:noWrap/>
            <w:vAlign w:val="center"/>
          </w:tcPr>
          <w:p w14:paraId="5B8F935E">
            <w:pPr>
              <w:pStyle w:val="69"/>
              <w:autoSpaceDE w:val="0"/>
              <w:autoSpaceDN w:val="0"/>
              <w:adjustRightInd w:val="0"/>
              <w:jc w:val="center"/>
              <w:rPr>
                <w:rFonts w:ascii="仿宋" w:hAnsi="仿宋" w:eastAsia="仿宋" w:cs="仿宋"/>
                <w:color w:val="auto"/>
                <w:kern w:val="0"/>
                <w:sz w:val="28"/>
                <w:szCs w:val="28"/>
                <w:highlight w:val="none"/>
              </w:rPr>
            </w:pPr>
          </w:p>
        </w:tc>
        <w:tc>
          <w:tcPr>
            <w:tcW w:w="2050" w:type="dxa"/>
            <w:noWrap/>
            <w:vAlign w:val="center"/>
          </w:tcPr>
          <w:p w14:paraId="2E767C26">
            <w:pPr>
              <w:pStyle w:val="69"/>
              <w:autoSpaceDE w:val="0"/>
              <w:autoSpaceDN w:val="0"/>
              <w:adjustRightInd w:val="0"/>
              <w:jc w:val="center"/>
              <w:rPr>
                <w:rFonts w:ascii="仿宋" w:hAnsi="仿宋" w:eastAsia="仿宋" w:cs="仿宋"/>
                <w:color w:val="auto"/>
                <w:kern w:val="0"/>
                <w:sz w:val="28"/>
                <w:szCs w:val="28"/>
                <w:highlight w:val="none"/>
              </w:rPr>
            </w:pPr>
          </w:p>
        </w:tc>
        <w:tc>
          <w:tcPr>
            <w:tcW w:w="711" w:type="dxa"/>
            <w:noWrap/>
            <w:vAlign w:val="center"/>
          </w:tcPr>
          <w:p w14:paraId="025A434E">
            <w:pPr>
              <w:pStyle w:val="69"/>
              <w:autoSpaceDE w:val="0"/>
              <w:autoSpaceDN w:val="0"/>
              <w:adjustRightInd w:val="0"/>
              <w:jc w:val="center"/>
              <w:rPr>
                <w:rFonts w:ascii="仿宋" w:hAnsi="仿宋" w:eastAsia="仿宋" w:cs="仿宋"/>
                <w:color w:val="auto"/>
                <w:kern w:val="0"/>
                <w:sz w:val="28"/>
                <w:szCs w:val="28"/>
                <w:highlight w:val="none"/>
              </w:rPr>
            </w:pPr>
          </w:p>
        </w:tc>
      </w:tr>
      <w:tr w14:paraId="5E2AEF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11" w:hRule="atLeast"/>
        </w:trPr>
        <w:tc>
          <w:tcPr>
            <w:tcW w:w="816" w:type="dxa"/>
            <w:noWrap/>
          </w:tcPr>
          <w:p w14:paraId="67972166">
            <w:pPr>
              <w:pStyle w:val="69"/>
              <w:autoSpaceDE w:val="0"/>
              <w:autoSpaceDN w:val="0"/>
              <w:adjustRightInd w:val="0"/>
              <w:jc w:val="left"/>
              <w:rPr>
                <w:rFonts w:ascii="仿宋" w:hAnsi="仿宋" w:eastAsia="仿宋" w:cs="仿宋"/>
                <w:color w:val="auto"/>
                <w:kern w:val="0"/>
                <w:sz w:val="28"/>
                <w:szCs w:val="28"/>
                <w:highlight w:val="none"/>
              </w:rPr>
            </w:pPr>
          </w:p>
        </w:tc>
        <w:tc>
          <w:tcPr>
            <w:tcW w:w="1004" w:type="dxa"/>
            <w:noWrap/>
          </w:tcPr>
          <w:p w14:paraId="6944D2FF">
            <w:pPr>
              <w:pStyle w:val="69"/>
              <w:autoSpaceDE w:val="0"/>
              <w:autoSpaceDN w:val="0"/>
              <w:adjustRightInd w:val="0"/>
              <w:jc w:val="left"/>
              <w:rPr>
                <w:rFonts w:ascii="仿宋" w:hAnsi="仿宋" w:eastAsia="仿宋" w:cs="仿宋"/>
                <w:color w:val="auto"/>
                <w:kern w:val="0"/>
                <w:sz w:val="28"/>
                <w:szCs w:val="28"/>
                <w:highlight w:val="none"/>
              </w:rPr>
            </w:pPr>
          </w:p>
        </w:tc>
        <w:tc>
          <w:tcPr>
            <w:tcW w:w="925" w:type="dxa"/>
            <w:noWrap/>
          </w:tcPr>
          <w:p w14:paraId="00096CE9">
            <w:pPr>
              <w:pStyle w:val="69"/>
              <w:autoSpaceDE w:val="0"/>
              <w:autoSpaceDN w:val="0"/>
              <w:adjustRightInd w:val="0"/>
              <w:jc w:val="left"/>
              <w:rPr>
                <w:rFonts w:ascii="仿宋" w:hAnsi="仿宋" w:eastAsia="仿宋" w:cs="仿宋"/>
                <w:color w:val="auto"/>
                <w:kern w:val="0"/>
                <w:sz w:val="28"/>
                <w:szCs w:val="28"/>
                <w:highlight w:val="none"/>
              </w:rPr>
            </w:pPr>
          </w:p>
        </w:tc>
        <w:tc>
          <w:tcPr>
            <w:tcW w:w="1317" w:type="dxa"/>
            <w:noWrap/>
          </w:tcPr>
          <w:p w14:paraId="79F997DA">
            <w:pPr>
              <w:pStyle w:val="69"/>
              <w:autoSpaceDE w:val="0"/>
              <w:autoSpaceDN w:val="0"/>
              <w:adjustRightInd w:val="0"/>
              <w:jc w:val="left"/>
              <w:rPr>
                <w:rFonts w:ascii="仿宋" w:hAnsi="仿宋" w:eastAsia="仿宋" w:cs="仿宋"/>
                <w:color w:val="auto"/>
                <w:kern w:val="0"/>
                <w:sz w:val="28"/>
                <w:szCs w:val="28"/>
                <w:highlight w:val="none"/>
              </w:rPr>
            </w:pPr>
          </w:p>
        </w:tc>
        <w:tc>
          <w:tcPr>
            <w:tcW w:w="785" w:type="dxa"/>
            <w:noWrap/>
          </w:tcPr>
          <w:p w14:paraId="2F4D2C7E">
            <w:pPr>
              <w:pStyle w:val="69"/>
              <w:autoSpaceDE w:val="0"/>
              <w:autoSpaceDN w:val="0"/>
              <w:adjustRightInd w:val="0"/>
              <w:jc w:val="left"/>
              <w:rPr>
                <w:rFonts w:ascii="仿宋" w:hAnsi="仿宋" w:eastAsia="仿宋" w:cs="仿宋"/>
                <w:color w:val="auto"/>
                <w:kern w:val="0"/>
                <w:sz w:val="28"/>
                <w:szCs w:val="28"/>
                <w:highlight w:val="none"/>
              </w:rPr>
            </w:pPr>
          </w:p>
        </w:tc>
        <w:tc>
          <w:tcPr>
            <w:tcW w:w="1432" w:type="dxa"/>
            <w:noWrap/>
          </w:tcPr>
          <w:p w14:paraId="5C3EA78C">
            <w:pPr>
              <w:pStyle w:val="69"/>
              <w:autoSpaceDE w:val="0"/>
              <w:autoSpaceDN w:val="0"/>
              <w:adjustRightInd w:val="0"/>
              <w:jc w:val="left"/>
              <w:rPr>
                <w:rFonts w:ascii="仿宋" w:hAnsi="仿宋" w:eastAsia="仿宋" w:cs="仿宋"/>
                <w:color w:val="auto"/>
                <w:kern w:val="0"/>
                <w:sz w:val="28"/>
                <w:szCs w:val="28"/>
                <w:highlight w:val="none"/>
              </w:rPr>
            </w:pPr>
          </w:p>
        </w:tc>
        <w:tc>
          <w:tcPr>
            <w:tcW w:w="2050" w:type="dxa"/>
            <w:noWrap/>
          </w:tcPr>
          <w:p w14:paraId="361108EE">
            <w:pPr>
              <w:pStyle w:val="69"/>
              <w:autoSpaceDE w:val="0"/>
              <w:autoSpaceDN w:val="0"/>
              <w:adjustRightInd w:val="0"/>
              <w:jc w:val="center"/>
              <w:rPr>
                <w:rFonts w:ascii="仿宋" w:hAnsi="仿宋" w:eastAsia="仿宋" w:cs="仿宋"/>
                <w:color w:val="auto"/>
                <w:kern w:val="0"/>
                <w:sz w:val="28"/>
                <w:szCs w:val="28"/>
                <w:highlight w:val="none"/>
              </w:rPr>
            </w:pPr>
          </w:p>
        </w:tc>
        <w:tc>
          <w:tcPr>
            <w:tcW w:w="711" w:type="dxa"/>
            <w:noWrap/>
          </w:tcPr>
          <w:p w14:paraId="61F92B5B">
            <w:pPr>
              <w:pStyle w:val="69"/>
              <w:autoSpaceDE w:val="0"/>
              <w:autoSpaceDN w:val="0"/>
              <w:adjustRightInd w:val="0"/>
              <w:jc w:val="left"/>
              <w:rPr>
                <w:rFonts w:ascii="仿宋" w:hAnsi="仿宋" w:eastAsia="仿宋" w:cs="仿宋"/>
                <w:color w:val="auto"/>
                <w:kern w:val="0"/>
                <w:sz w:val="28"/>
                <w:szCs w:val="28"/>
                <w:highlight w:val="none"/>
              </w:rPr>
            </w:pPr>
          </w:p>
        </w:tc>
      </w:tr>
      <w:tr w14:paraId="1953DF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11" w:hRule="atLeast"/>
        </w:trPr>
        <w:tc>
          <w:tcPr>
            <w:tcW w:w="816" w:type="dxa"/>
            <w:noWrap/>
          </w:tcPr>
          <w:p w14:paraId="22552077">
            <w:pPr>
              <w:pStyle w:val="69"/>
              <w:autoSpaceDE w:val="0"/>
              <w:autoSpaceDN w:val="0"/>
              <w:adjustRightInd w:val="0"/>
              <w:jc w:val="left"/>
              <w:rPr>
                <w:rFonts w:ascii="仿宋" w:hAnsi="仿宋" w:eastAsia="仿宋" w:cs="仿宋"/>
                <w:color w:val="auto"/>
                <w:kern w:val="0"/>
                <w:szCs w:val="21"/>
                <w:highlight w:val="none"/>
              </w:rPr>
            </w:pPr>
          </w:p>
        </w:tc>
        <w:tc>
          <w:tcPr>
            <w:tcW w:w="1004" w:type="dxa"/>
            <w:noWrap/>
          </w:tcPr>
          <w:p w14:paraId="2245544B">
            <w:pPr>
              <w:pStyle w:val="69"/>
              <w:autoSpaceDE w:val="0"/>
              <w:autoSpaceDN w:val="0"/>
              <w:adjustRightInd w:val="0"/>
              <w:jc w:val="left"/>
              <w:rPr>
                <w:rFonts w:ascii="仿宋" w:hAnsi="仿宋" w:eastAsia="仿宋" w:cs="仿宋"/>
                <w:color w:val="auto"/>
                <w:kern w:val="0"/>
                <w:szCs w:val="21"/>
                <w:highlight w:val="none"/>
              </w:rPr>
            </w:pPr>
          </w:p>
        </w:tc>
        <w:tc>
          <w:tcPr>
            <w:tcW w:w="925" w:type="dxa"/>
            <w:noWrap/>
          </w:tcPr>
          <w:p w14:paraId="797449D9">
            <w:pPr>
              <w:pStyle w:val="69"/>
              <w:autoSpaceDE w:val="0"/>
              <w:autoSpaceDN w:val="0"/>
              <w:adjustRightInd w:val="0"/>
              <w:jc w:val="left"/>
              <w:rPr>
                <w:rFonts w:ascii="仿宋" w:hAnsi="仿宋" w:eastAsia="仿宋" w:cs="仿宋"/>
                <w:color w:val="auto"/>
                <w:kern w:val="0"/>
                <w:szCs w:val="21"/>
                <w:highlight w:val="none"/>
              </w:rPr>
            </w:pPr>
          </w:p>
        </w:tc>
        <w:tc>
          <w:tcPr>
            <w:tcW w:w="1317" w:type="dxa"/>
            <w:noWrap/>
          </w:tcPr>
          <w:p w14:paraId="7E1CED78">
            <w:pPr>
              <w:pStyle w:val="69"/>
              <w:autoSpaceDE w:val="0"/>
              <w:autoSpaceDN w:val="0"/>
              <w:adjustRightInd w:val="0"/>
              <w:jc w:val="left"/>
              <w:rPr>
                <w:rFonts w:ascii="仿宋" w:hAnsi="仿宋" w:eastAsia="仿宋" w:cs="仿宋"/>
                <w:color w:val="auto"/>
                <w:kern w:val="0"/>
                <w:szCs w:val="21"/>
                <w:highlight w:val="none"/>
              </w:rPr>
            </w:pPr>
          </w:p>
        </w:tc>
        <w:tc>
          <w:tcPr>
            <w:tcW w:w="785" w:type="dxa"/>
            <w:noWrap/>
          </w:tcPr>
          <w:p w14:paraId="2B9AE024">
            <w:pPr>
              <w:pStyle w:val="69"/>
              <w:autoSpaceDE w:val="0"/>
              <w:autoSpaceDN w:val="0"/>
              <w:adjustRightInd w:val="0"/>
              <w:jc w:val="left"/>
              <w:rPr>
                <w:rFonts w:ascii="仿宋" w:hAnsi="仿宋" w:eastAsia="仿宋" w:cs="仿宋"/>
                <w:color w:val="auto"/>
                <w:kern w:val="0"/>
                <w:szCs w:val="21"/>
                <w:highlight w:val="none"/>
              </w:rPr>
            </w:pPr>
          </w:p>
        </w:tc>
        <w:tc>
          <w:tcPr>
            <w:tcW w:w="1432" w:type="dxa"/>
            <w:noWrap/>
          </w:tcPr>
          <w:p w14:paraId="123E2655">
            <w:pPr>
              <w:pStyle w:val="69"/>
              <w:autoSpaceDE w:val="0"/>
              <w:autoSpaceDN w:val="0"/>
              <w:adjustRightInd w:val="0"/>
              <w:jc w:val="left"/>
              <w:rPr>
                <w:rFonts w:ascii="仿宋" w:hAnsi="仿宋" w:eastAsia="仿宋" w:cs="仿宋"/>
                <w:color w:val="auto"/>
                <w:kern w:val="0"/>
                <w:szCs w:val="21"/>
                <w:highlight w:val="none"/>
              </w:rPr>
            </w:pPr>
          </w:p>
        </w:tc>
        <w:tc>
          <w:tcPr>
            <w:tcW w:w="2050" w:type="dxa"/>
            <w:noWrap/>
          </w:tcPr>
          <w:p w14:paraId="0DD6FEE4">
            <w:pPr>
              <w:pStyle w:val="69"/>
              <w:autoSpaceDE w:val="0"/>
              <w:autoSpaceDN w:val="0"/>
              <w:adjustRightInd w:val="0"/>
              <w:jc w:val="center"/>
              <w:rPr>
                <w:rFonts w:ascii="仿宋" w:hAnsi="仿宋" w:eastAsia="仿宋" w:cs="仿宋"/>
                <w:color w:val="auto"/>
                <w:kern w:val="0"/>
                <w:sz w:val="28"/>
                <w:szCs w:val="28"/>
                <w:highlight w:val="none"/>
              </w:rPr>
            </w:pPr>
          </w:p>
        </w:tc>
        <w:tc>
          <w:tcPr>
            <w:tcW w:w="711" w:type="dxa"/>
            <w:noWrap/>
          </w:tcPr>
          <w:p w14:paraId="7BD62271">
            <w:pPr>
              <w:pStyle w:val="69"/>
              <w:autoSpaceDE w:val="0"/>
              <w:autoSpaceDN w:val="0"/>
              <w:adjustRightInd w:val="0"/>
              <w:jc w:val="left"/>
              <w:rPr>
                <w:rFonts w:ascii="仿宋" w:hAnsi="仿宋" w:eastAsia="仿宋" w:cs="仿宋"/>
                <w:color w:val="auto"/>
                <w:kern w:val="0"/>
                <w:szCs w:val="21"/>
                <w:highlight w:val="none"/>
              </w:rPr>
            </w:pPr>
          </w:p>
        </w:tc>
      </w:tr>
      <w:tr w14:paraId="31D6E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11" w:hRule="atLeast"/>
        </w:trPr>
        <w:tc>
          <w:tcPr>
            <w:tcW w:w="816" w:type="dxa"/>
            <w:noWrap/>
          </w:tcPr>
          <w:p w14:paraId="3CA1EEA5">
            <w:pPr>
              <w:pStyle w:val="69"/>
              <w:autoSpaceDE w:val="0"/>
              <w:autoSpaceDN w:val="0"/>
              <w:adjustRightInd w:val="0"/>
              <w:jc w:val="left"/>
              <w:rPr>
                <w:rFonts w:ascii="仿宋" w:hAnsi="仿宋" w:eastAsia="仿宋" w:cs="仿宋"/>
                <w:color w:val="auto"/>
                <w:kern w:val="0"/>
                <w:szCs w:val="21"/>
                <w:highlight w:val="none"/>
              </w:rPr>
            </w:pPr>
          </w:p>
        </w:tc>
        <w:tc>
          <w:tcPr>
            <w:tcW w:w="1004" w:type="dxa"/>
            <w:noWrap/>
          </w:tcPr>
          <w:p w14:paraId="1EF175D2">
            <w:pPr>
              <w:pStyle w:val="69"/>
              <w:autoSpaceDE w:val="0"/>
              <w:autoSpaceDN w:val="0"/>
              <w:adjustRightInd w:val="0"/>
              <w:jc w:val="left"/>
              <w:rPr>
                <w:rFonts w:ascii="仿宋" w:hAnsi="仿宋" w:eastAsia="仿宋" w:cs="仿宋"/>
                <w:color w:val="auto"/>
                <w:kern w:val="0"/>
                <w:szCs w:val="21"/>
                <w:highlight w:val="none"/>
              </w:rPr>
            </w:pPr>
          </w:p>
        </w:tc>
        <w:tc>
          <w:tcPr>
            <w:tcW w:w="925" w:type="dxa"/>
            <w:noWrap/>
          </w:tcPr>
          <w:p w14:paraId="27F30C6E">
            <w:pPr>
              <w:pStyle w:val="69"/>
              <w:autoSpaceDE w:val="0"/>
              <w:autoSpaceDN w:val="0"/>
              <w:adjustRightInd w:val="0"/>
              <w:jc w:val="left"/>
              <w:rPr>
                <w:rFonts w:ascii="仿宋" w:hAnsi="仿宋" w:eastAsia="仿宋" w:cs="仿宋"/>
                <w:color w:val="auto"/>
                <w:kern w:val="0"/>
                <w:szCs w:val="21"/>
                <w:highlight w:val="none"/>
              </w:rPr>
            </w:pPr>
          </w:p>
        </w:tc>
        <w:tc>
          <w:tcPr>
            <w:tcW w:w="1317" w:type="dxa"/>
            <w:noWrap/>
          </w:tcPr>
          <w:p w14:paraId="5BBB3C30">
            <w:pPr>
              <w:pStyle w:val="69"/>
              <w:autoSpaceDE w:val="0"/>
              <w:autoSpaceDN w:val="0"/>
              <w:adjustRightInd w:val="0"/>
              <w:jc w:val="left"/>
              <w:rPr>
                <w:rFonts w:ascii="仿宋" w:hAnsi="仿宋" w:eastAsia="仿宋" w:cs="仿宋"/>
                <w:color w:val="auto"/>
                <w:kern w:val="0"/>
                <w:szCs w:val="21"/>
                <w:highlight w:val="none"/>
              </w:rPr>
            </w:pPr>
          </w:p>
        </w:tc>
        <w:tc>
          <w:tcPr>
            <w:tcW w:w="785" w:type="dxa"/>
            <w:noWrap/>
          </w:tcPr>
          <w:p w14:paraId="0DCC8A73">
            <w:pPr>
              <w:pStyle w:val="69"/>
              <w:autoSpaceDE w:val="0"/>
              <w:autoSpaceDN w:val="0"/>
              <w:adjustRightInd w:val="0"/>
              <w:jc w:val="left"/>
              <w:rPr>
                <w:rFonts w:ascii="仿宋" w:hAnsi="仿宋" w:eastAsia="仿宋" w:cs="仿宋"/>
                <w:color w:val="auto"/>
                <w:kern w:val="0"/>
                <w:szCs w:val="21"/>
                <w:highlight w:val="none"/>
              </w:rPr>
            </w:pPr>
          </w:p>
        </w:tc>
        <w:tc>
          <w:tcPr>
            <w:tcW w:w="1432" w:type="dxa"/>
            <w:noWrap/>
          </w:tcPr>
          <w:p w14:paraId="3B14BADC">
            <w:pPr>
              <w:pStyle w:val="69"/>
              <w:autoSpaceDE w:val="0"/>
              <w:autoSpaceDN w:val="0"/>
              <w:adjustRightInd w:val="0"/>
              <w:jc w:val="left"/>
              <w:rPr>
                <w:rFonts w:ascii="仿宋" w:hAnsi="仿宋" w:eastAsia="仿宋" w:cs="仿宋"/>
                <w:color w:val="auto"/>
                <w:kern w:val="0"/>
                <w:szCs w:val="21"/>
                <w:highlight w:val="none"/>
              </w:rPr>
            </w:pPr>
          </w:p>
        </w:tc>
        <w:tc>
          <w:tcPr>
            <w:tcW w:w="2050" w:type="dxa"/>
            <w:noWrap/>
          </w:tcPr>
          <w:p w14:paraId="1AA6A8A0">
            <w:pPr>
              <w:pStyle w:val="69"/>
              <w:autoSpaceDE w:val="0"/>
              <w:autoSpaceDN w:val="0"/>
              <w:adjustRightInd w:val="0"/>
              <w:jc w:val="center"/>
              <w:rPr>
                <w:rFonts w:ascii="仿宋" w:hAnsi="仿宋" w:eastAsia="仿宋" w:cs="仿宋"/>
                <w:color w:val="auto"/>
                <w:kern w:val="0"/>
                <w:sz w:val="28"/>
                <w:szCs w:val="28"/>
                <w:highlight w:val="none"/>
              </w:rPr>
            </w:pPr>
          </w:p>
        </w:tc>
        <w:tc>
          <w:tcPr>
            <w:tcW w:w="711" w:type="dxa"/>
            <w:noWrap/>
          </w:tcPr>
          <w:p w14:paraId="534E6167">
            <w:pPr>
              <w:pStyle w:val="69"/>
              <w:autoSpaceDE w:val="0"/>
              <w:autoSpaceDN w:val="0"/>
              <w:adjustRightInd w:val="0"/>
              <w:jc w:val="left"/>
              <w:rPr>
                <w:rFonts w:ascii="仿宋" w:hAnsi="仿宋" w:eastAsia="仿宋" w:cs="仿宋"/>
                <w:color w:val="auto"/>
                <w:kern w:val="0"/>
                <w:szCs w:val="21"/>
                <w:highlight w:val="none"/>
              </w:rPr>
            </w:pPr>
          </w:p>
        </w:tc>
      </w:tr>
      <w:tr w14:paraId="3E9C4F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11" w:hRule="atLeast"/>
        </w:trPr>
        <w:tc>
          <w:tcPr>
            <w:tcW w:w="816" w:type="dxa"/>
            <w:noWrap/>
          </w:tcPr>
          <w:p w14:paraId="72834C36">
            <w:pPr>
              <w:pStyle w:val="69"/>
              <w:autoSpaceDE w:val="0"/>
              <w:autoSpaceDN w:val="0"/>
              <w:adjustRightInd w:val="0"/>
              <w:jc w:val="left"/>
              <w:rPr>
                <w:rFonts w:ascii="仿宋" w:hAnsi="仿宋" w:eastAsia="仿宋" w:cs="仿宋"/>
                <w:color w:val="auto"/>
                <w:kern w:val="0"/>
                <w:szCs w:val="21"/>
                <w:highlight w:val="none"/>
              </w:rPr>
            </w:pPr>
          </w:p>
        </w:tc>
        <w:tc>
          <w:tcPr>
            <w:tcW w:w="1004" w:type="dxa"/>
            <w:noWrap/>
          </w:tcPr>
          <w:p w14:paraId="02E2ABBD">
            <w:pPr>
              <w:pStyle w:val="69"/>
              <w:autoSpaceDE w:val="0"/>
              <w:autoSpaceDN w:val="0"/>
              <w:adjustRightInd w:val="0"/>
              <w:jc w:val="left"/>
              <w:rPr>
                <w:rFonts w:ascii="仿宋" w:hAnsi="仿宋" w:eastAsia="仿宋" w:cs="仿宋"/>
                <w:color w:val="auto"/>
                <w:kern w:val="0"/>
                <w:szCs w:val="21"/>
                <w:highlight w:val="none"/>
              </w:rPr>
            </w:pPr>
          </w:p>
        </w:tc>
        <w:tc>
          <w:tcPr>
            <w:tcW w:w="925" w:type="dxa"/>
            <w:noWrap/>
          </w:tcPr>
          <w:p w14:paraId="4A2654FD">
            <w:pPr>
              <w:pStyle w:val="69"/>
              <w:autoSpaceDE w:val="0"/>
              <w:autoSpaceDN w:val="0"/>
              <w:adjustRightInd w:val="0"/>
              <w:jc w:val="left"/>
              <w:rPr>
                <w:rFonts w:ascii="仿宋" w:hAnsi="仿宋" w:eastAsia="仿宋" w:cs="仿宋"/>
                <w:color w:val="auto"/>
                <w:kern w:val="0"/>
                <w:szCs w:val="21"/>
                <w:highlight w:val="none"/>
              </w:rPr>
            </w:pPr>
          </w:p>
        </w:tc>
        <w:tc>
          <w:tcPr>
            <w:tcW w:w="1317" w:type="dxa"/>
            <w:noWrap/>
          </w:tcPr>
          <w:p w14:paraId="33F122CC">
            <w:pPr>
              <w:pStyle w:val="69"/>
              <w:autoSpaceDE w:val="0"/>
              <w:autoSpaceDN w:val="0"/>
              <w:adjustRightInd w:val="0"/>
              <w:jc w:val="left"/>
              <w:rPr>
                <w:rFonts w:ascii="仿宋" w:hAnsi="仿宋" w:eastAsia="仿宋" w:cs="仿宋"/>
                <w:color w:val="auto"/>
                <w:kern w:val="0"/>
                <w:szCs w:val="21"/>
                <w:highlight w:val="none"/>
              </w:rPr>
            </w:pPr>
          </w:p>
        </w:tc>
        <w:tc>
          <w:tcPr>
            <w:tcW w:w="785" w:type="dxa"/>
            <w:noWrap/>
          </w:tcPr>
          <w:p w14:paraId="5D5A2168">
            <w:pPr>
              <w:pStyle w:val="69"/>
              <w:autoSpaceDE w:val="0"/>
              <w:autoSpaceDN w:val="0"/>
              <w:adjustRightInd w:val="0"/>
              <w:jc w:val="left"/>
              <w:rPr>
                <w:rFonts w:ascii="仿宋" w:hAnsi="仿宋" w:eastAsia="仿宋" w:cs="仿宋"/>
                <w:color w:val="auto"/>
                <w:kern w:val="0"/>
                <w:szCs w:val="21"/>
                <w:highlight w:val="none"/>
              </w:rPr>
            </w:pPr>
          </w:p>
        </w:tc>
        <w:tc>
          <w:tcPr>
            <w:tcW w:w="1432" w:type="dxa"/>
            <w:noWrap/>
          </w:tcPr>
          <w:p w14:paraId="23153518">
            <w:pPr>
              <w:pStyle w:val="69"/>
              <w:autoSpaceDE w:val="0"/>
              <w:autoSpaceDN w:val="0"/>
              <w:adjustRightInd w:val="0"/>
              <w:jc w:val="left"/>
              <w:rPr>
                <w:rFonts w:ascii="仿宋" w:hAnsi="仿宋" w:eastAsia="仿宋" w:cs="仿宋"/>
                <w:color w:val="auto"/>
                <w:kern w:val="0"/>
                <w:szCs w:val="21"/>
                <w:highlight w:val="none"/>
              </w:rPr>
            </w:pPr>
          </w:p>
        </w:tc>
        <w:tc>
          <w:tcPr>
            <w:tcW w:w="2050" w:type="dxa"/>
            <w:noWrap/>
          </w:tcPr>
          <w:p w14:paraId="344A5764">
            <w:pPr>
              <w:pStyle w:val="69"/>
              <w:autoSpaceDE w:val="0"/>
              <w:autoSpaceDN w:val="0"/>
              <w:adjustRightInd w:val="0"/>
              <w:jc w:val="center"/>
              <w:rPr>
                <w:rFonts w:ascii="仿宋" w:hAnsi="仿宋" w:eastAsia="仿宋" w:cs="仿宋"/>
                <w:color w:val="auto"/>
                <w:kern w:val="0"/>
                <w:sz w:val="28"/>
                <w:szCs w:val="28"/>
                <w:highlight w:val="none"/>
              </w:rPr>
            </w:pPr>
          </w:p>
        </w:tc>
        <w:tc>
          <w:tcPr>
            <w:tcW w:w="711" w:type="dxa"/>
            <w:noWrap/>
          </w:tcPr>
          <w:p w14:paraId="29B687D1">
            <w:pPr>
              <w:pStyle w:val="69"/>
              <w:autoSpaceDE w:val="0"/>
              <w:autoSpaceDN w:val="0"/>
              <w:adjustRightInd w:val="0"/>
              <w:jc w:val="left"/>
              <w:rPr>
                <w:rFonts w:ascii="仿宋" w:hAnsi="仿宋" w:eastAsia="仿宋" w:cs="仿宋"/>
                <w:color w:val="auto"/>
                <w:kern w:val="0"/>
                <w:szCs w:val="21"/>
                <w:highlight w:val="none"/>
              </w:rPr>
            </w:pPr>
          </w:p>
        </w:tc>
      </w:tr>
      <w:tr w14:paraId="5F508F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11" w:hRule="atLeast"/>
        </w:trPr>
        <w:tc>
          <w:tcPr>
            <w:tcW w:w="816" w:type="dxa"/>
            <w:noWrap/>
          </w:tcPr>
          <w:p w14:paraId="4F2ADF40">
            <w:pPr>
              <w:pStyle w:val="69"/>
              <w:autoSpaceDE w:val="0"/>
              <w:autoSpaceDN w:val="0"/>
              <w:adjustRightInd w:val="0"/>
              <w:jc w:val="left"/>
              <w:rPr>
                <w:rFonts w:ascii="仿宋" w:hAnsi="仿宋" w:eastAsia="仿宋" w:cs="仿宋"/>
                <w:color w:val="auto"/>
                <w:kern w:val="0"/>
                <w:szCs w:val="21"/>
                <w:highlight w:val="none"/>
              </w:rPr>
            </w:pPr>
          </w:p>
        </w:tc>
        <w:tc>
          <w:tcPr>
            <w:tcW w:w="1004" w:type="dxa"/>
            <w:noWrap/>
          </w:tcPr>
          <w:p w14:paraId="0929FEC2">
            <w:pPr>
              <w:pStyle w:val="69"/>
              <w:autoSpaceDE w:val="0"/>
              <w:autoSpaceDN w:val="0"/>
              <w:adjustRightInd w:val="0"/>
              <w:jc w:val="left"/>
              <w:rPr>
                <w:rFonts w:ascii="仿宋" w:hAnsi="仿宋" w:eastAsia="仿宋" w:cs="仿宋"/>
                <w:color w:val="auto"/>
                <w:kern w:val="0"/>
                <w:szCs w:val="21"/>
                <w:highlight w:val="none"/>
              </w:rPr>
            </w:pPr>
          </w:p>
        </w:tc>
        <w:tc>
          <w:tcPr>
            <w:tcW w:w="925" w:type="dxa"/>
            <w:noWrap/>
          </w:tcPr>
          <w:p w14:paraId="57C53AE3">
            <w:pPr>
              <w:pStyle w:val="69"/>
              <w:autoSpaceDE w:val="0"/>
              <w:autoSpaceDN w:val="0"/>
              <w:adjustRightInd w:val="0"/>
              <w:jc w:val="left"/>
              <w:rPr>
                <w:rFonts w:ascii="仿宋" w:hAnsi="仿宋" w:eastAsia="仿宋" w:cs="仿宋"/>
                <w:color w:val="auto"/>
                <w:kern w:val="0"/>
                <w:szCs w:val="21"/>
                <w:highlight w:val="none"/>
              </w:rPr>
            </w:pPr>
          </w:p>
        </w:tc>
        <w:tc>
          <w:tcPr>
            <w:tcW w:w="1317" w:type="dxa"/>
            <w:noWrap/>
          </w:tcPr>
          <w:p w14:paraId="52D37E58">
            <w:pPr>
              <w:pStyle w:val="69"/>
              <w:autoSpaceDE w:val="0"/>
              <w:autoSpaceDN w:val="0"/>
              <w:adjustRightInd w:val="0"/>
              <w:jc w:val="left"/>
              <w:rPr>
                <w:rFonts w:ascii="仿宋" w:hAnsi="仿宋" w:eastAsia="仿宋" w:cs="仿宋"/>
                <w:color w:val="auto"/>
                <w:kern w:val="0"/>
                <w:szCs w:val="21"/>
                <w:highlight w:val="none"/>
              </w:rPr>
            </w:pPr>
          </w:p>
        </w:tc>
        <w:tc>
          <w:tcPr>
            <w:tcW w:w="785" w:type="dxa"/>
            <w:noWrap/>
          </w:tcPr>
          <w:p w14:paraId="3059E42E">
            <w:pPr>
              <w:pStyle w:val="69"/>
              <w:autoSpaceDE w:val="0"/>
              <w:autoSpaceDN w:val="0"/>
              <w:adjustRightInd w:val="0"/>
              <w:jc w:val="left"/>
              <w:rPr>
                <w:rFonts w:ascii="仿宋" w:hAnsi="仿宋" w:eastAsia="仿宋" w:cs="仿宋"/>
                <w:color w:val="auto"/>
                <w:kern w:val="0"/>
                <w:szCs w:val="21"/>
                <w:highlight w:val="none"/>
              </w:rPr>
            </w:pPr>
          </w:p>
        </w:tc>
        <w:tc>
          <w:tcPr>
            <w:tcW w:w="1432" w:type="dxa"/>
            <w:noWrap/>
          </w:tcPr>
          <w:p w14:paraId="7BCCB85F">
            <w:pPr>
              <w:pStyle w:val="69"/>
              <w:autoSpaceDE w:val="0"/>
              <w:autoSpaceDN w:val="0"/>
              <w:adjustRightInd w:val="0"/>
              <w:jc w:val="left"/>
              <w:rPr>
                <w:rFonts w:ascii="仿宋" w:hAnsi="仿宋" w:eastAsia="仿宋" w:cs="仿宋"/>
                <w:color w:val="auto"/>
                <w:kern w:val="0"/>
                <w:szCs w:val="21"/>
                <w:highlight w:val="none"/>
              </w:rPr>
            </w:pPr>
          </w:p>
        </w:tc>
        <w:tc>
          <w:tcPr>
            <w:tcW w:w="2050" w:type="dxa"/>
            <w:noWrap/>
          </w:tcPr>
          <w:p w14:paraId="4165FB35">
            <w:pPr>
              <w:pStyle w:val="69"/>
              <w:autoSpaceDE w:val="0"/>
              <w:autoSpaceDN w:val="0"/>
              <w:adjustRightInd w:val="0"/>
              <w:jc w:val="center"/>
              <w:rPr>
                <w:rFonts w:ascii="仿宋" w:hAnsi="仿宋" w:eastAsia="仿宋" w:cs="仿宋"/>
                <w:color w:val="auto"/>
                <w:kern w:val="0"/>
                <w:sz w:val="28"/>
                <w:szCs w:val="28"/>
                <w:highlight w:val="none"/>
              </w:rPr>
            </w:pPr>
          </w:p>
        </w:tc>
        <w:tc>
          <w:tcPr>
            <w:tcW w:w="711" w:type="dxa"/>
            <w:noWrap/>
          </w:tcPr>
          <w:p w14:paraId="5DF357CE">
            <w:pPr>
              <w:pStyle w:val="69"/>
              <w:autoSpaceDE w:val="0"/>
              <w:autoSpaceDN w:val="0"/>
              <w:adjustRightInd w:val="0"/>
              <w:jc w:val="left"/>
              <w:rPr>
                <w:rFonts w:ascii="仿宋" w:hAnsi="仿宋" w:eastAsia="仿宋" w:cs="仿宋"/>
                <w:color w:val="auto"/>
                <w:kern w:val="0"/>
                <w:szCs w:val="21"/>
                <w:highlight w:val="none"/>
              </w:rPr>
            </w:pPr>
          </w:p>
        </w:tc>
      </w:tr>
      <w:tr w14:paraId="065BB9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11" w:hRule="atLeast"/>
        </w:trPr>
        <w:tc>
          <w:tcPr>
            <w:tcW w:w="816" w:type="dxa"/>
            <w:noWrap/>
          </w:tcPr>
          <w:p w14:paraId="629A51CB">
            <w:pPr>
              <w:pStyle w:val="69"/>
              <w:autoSpaceDE w:val="0"/>
              <w:autoSpaceDN w:val="0"/>
              <w:adjustRightInd w:val="0"/>
              <w:jc w:val="left"/>
              <w:rPr>
                <w:rFonts w:ascii="仿宋" w:hAnsi="仿宋" w:eastAsia="仿宋" w:cs="仿宋"/>
                <w:color w:val="auto"/>
                <w:kern w:val="0"/>
                <w:szCs w:val="21"/>
                <w:highlight w:val="none"/>
              </w:rPr>
            </w:pPr>
          </w:p>
        </w:tc>
        <w:tc>
          <w:tcPr>
            <w:tcW w:w="1004" w:type="dxa"/>
            <w:noWrap/>
          </w:tcPr>
          <w:p w14:paraId="7C3FE70B">
            <w:pPr>
              <w:pStyle w:val="69"/>
              <w:autoSpaceDE w:val="0"/>
              <w:autoSpaceDN w:val="0"/>
              <w:adjustRightInd w:val="0"/>
              <w:jc w:val="left"/>
              <w:rPr>
                <w:rFonts w:ascii="仿宋" w:hAnsi="仿宋" w:eastAsia="仿宋" w:cs="仿宋"/>
                <w:color w:val="auto"/>
                <w:kern w:val="0"/>
                <w:szCs w:val="21"/>
                <w:highlight w:val="none"/>
              </w:rPr>
            </w:pPr>
          </w:p>
        </w:tc>
        <w:tc>
          <w:tcPr>
            <w:tcW w:w="925" w:type="dxa"/>
            <w:noWrap/>
          </w:tcPr>
          <w:p w14:paraId="582B0854">
            <w:pPr>
              <w:pStyle w:val="69"/>
              <w:autoSpaceDE w:val="0"/>
              <w:autoSpaceDN w:val="0"/>
              <w:adjustRightInd w:val="0"/>
              <w:jc w:val="left"/>
              <w:rPr>
                <w:rFonts w:ascii="仿宋" w:hAnsi="仿宋" w:eastAsia="仿宋" w:cs="仿宋"/>
                <w:color w:val="auto"/>
                <w:kern w:val="0"/>
                <w:szCs w:val="21"/>
                <w:highlight w:val="none"/>
              </w:rPr>
            </w:pPr>
          </w:p>
        </w:tc>
        <w:tc>
          <w:tcPr>
            <w:tcW w:w="1317" w:type="dxa"/>
            <w:noWrap/>
          </w:tcPr>
          <w:p w14:paraId="692613E4">
            <w:pPr>
              <w:pStyle w:val="69"/>
              <w:autoSpaceDE w:val="0"/>
              <w:autoSpaceDN w:val="0"/>
              <w:adjustRightInd w:val="0"/>
              <w:jc w:val="left"/>
              <w:rPr>
                <w:rFonts w:ascii="仿宋" w:hAnsi="仿宋" w:eastAsia="仿宋" w:cs="仿宋"/>
                <w:color w:val="auto"/>
                <w:kern w:val="0"/>
                <w:szCs w:val="21"/>
                <w:highlight w:val="none"/>
              </w:rPr>
            </w:pPr>
          </w:p>
        </w:tc>
        <w:tc>
          <w:tcPr>
            <w:tcW w:w="785" w:type="dxa"/>
            <w:noWrap/>
          </w:tcPr>
          <w:p w14:paraId="68F60FF9">
            <w:pPr>
              <w:pStyle w:val="69"/>
              <w:autoSpaceDE w:val="0"/>
              <w:autoSpaceDN w:val="0"/>
              <w:adjustRightInd w:val="0"/>
              <w:jc w:val="left"/>
              <w:rPr>
                <w:rFonts w:ascii="仿宋" w:hAnsi="仿宋" w:eastAsia="仿宋" w:cs="仿宋"/>
                <w:color w:val="auto"/>
                <w:kern w:val="0"/>
                <w:szCs w:val="21"/>
                <w:highlight w:val="none"/>
              </w:rPr>
            </w:pPr>
          </w:p>
        </w:tc>
        <w:tc>
          <w:tcPr>
            <w:tcW w:w="1432" w:type="dxa"/>
            <w:noWrap/>
          </w:tcPr>
          <w:p w14:paraId="03814CA6">
            <w:pPr>
              <w:pStyle w:val="69"/>
              <w:autoSpaceDE w:val="0"/>
              <w:autoSpaceDN w:val="0"/>
              <w:adjustRightInd w:val="0"/>
              <w:jc w:val="left"/>
              <w:rPr>
                <w:rFonts w:ascii="仿宋" w:hAnsi="仿宋" w:eastAsia="仿宋" w:cs="仿宋"/>
                <w:color w:val="auto"/>
                <w:kern w:val="0"/>
                <w:szCs w:val="21"/>
                <w:highlight w:val="none"/>
              </w:rPr>
            </w:pPr>
          </w:p>
        </w:tc>
        <w:tc>
          <w:tcPr>
            <w:tcW w:w="2050" w:type="dxa"/>
            <w:noWrap/>
          </w:tcPr>
          <w:p w14:paraId="6FE314F0">
            <w:pPr>
              <w:pStyle w:val="69"/>
              <w:autoSpaceDE w:val="0"/>
              <w:autoSpaceDN w:val="0"/>
              <w:adjustRightInd w:val="0"/>
              <w:jc w:val="center"/>
              <w:rPr>
                <w:rFonts w:ascii="仿宋" w:hAnsi="仿宋" w:eastAsia="仿宋" w:cs="仿宋"/>
                <w:color w:val="auto"/>
                <w:kern w:val="0"/>
                <w:sz w:val="28"/>
                <w:szCs w:val="28"/>
                <w:highlight w:val="none"/>
              </w:rPr>
            </w:pPr>
          </w:p>
        </w:tc>
        <w:tc>
          <w:tcPr>
            <w:tcW w:w="711" w:type="dxa"/>
            <w:noWrap/>
          </w:tcPr>
          <w:p w14:paraId="403D8ABB">
            <w:pPr>
              <w:pStyle w:val="69"/>
              <w:autoSpaceDE w:val="0"/>
              <w:autoSpaceDN w:val="0"/>
              <w:adjustRightInd w:val="0"/>
              <w:jc w:val="left"/>
              <w:rPr>
                <w:rFonts w:ascii="仿宋" w:hAnsi="仿宋" w:eastAsia="仿宋" w:cs="仿宋"/>
                <w:color w:val="auto"/>
                <w:kern w:val="0"/>
                <w:szCs w:val="21"/>
                <w:highlight w:val="none"/>
              </w:rPr>
            </w:pPr>
          </w:p>
        </w:tc>
      </w:tr>
      <w:tr w14:paraId="711805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816" w:type="dxa"/>
            <w:noWrap/>
          </w:tcPr>
          <w:p w14:paraId="7F90F915">
            <w:pPr>
              <w:pStyle w:val="69"/>
              <w:autoSpaceDE w:val="0"/>
              <w:autoSpaceDN w:val="0"/>
              <w:adjustRightInd w:val="0"/>
              <w:jc w:val="left"/>
              <w:rPr>
                <w:rFonts w:ascii="仿宋" w:hAnsi="仿宋" w:eastAsia="仿宋" w:cs="仿宋"/>
                <w:color w:val="auto"/>
                <w:kern w:val="0"/>
                <w:szCs w:val="21"/>
                <w:highlight w:val="none"/>
              </w:rPr>
            </w:pPr>
          </w:p>
        </w:tc>
        <w:tc>
          <w:tcPr>
            <w:tcW w:w="1004" w:type="dxa"/>
            <w:noWrap/>
          </w:tcPr>
          <w:p w14:paraId="01AD0160">
            <w:pPr>
              <w:pStyle w:val="69"/>
              <w:autoSpaceDE w:val="0"/>
              <w:autoSpaceDN w:val="0"/>
              <w:adjustRightInd w:val="0"/>
              <w:jc w:val="left"/>
              <w:rPr>
                <w:rFonts w:ascii="仿宋" w:hAnsi="仿宋" w:eastAsia="仿宋" w:cs="仿宋"/>
                <w:color w:val="auto"/>
                <w:kern w:val="0"/>
                <w:szCs w:val="21"/>
                <w:highlight w:val="none"/>
              </w:rPr>
            </w:pPr>
          </w:p>
        </w:tc>
        <w:tc>
          <w:tcPr>
            <w:tcW w:w="925" w:type="dxa"/>
            <w:noWrap/>
          </w:tcPr>
          <w:p w14:paraId="0AA1F0E0">
            <w:pPr>
              <w:pStyle w:val="69"/>
              <w:autoSpaceDE w:val="0"/>
              <w:autoSpaceDN w:val="0"/>
              <w:adjustRightInd w:val="0"/>
              <w:jc w:val="left"/>
              <w:rPr>
                <w:rFonts w:ascii="仿宋" w:hAnsi="仿宋" w:eastAsia="仿宋" w:cs="仿宋"/>
                <w:color w:val="auto"/>
                <w:kern w:val="0"/>
                <w:szCs w:val="21"/>
                <w:highlight w:val="none"/>
              </w:rPr>
            </w:pPr>
          </w:p>
        </w:tc>
        <w:tc>
          <w:tcPr>
            <w:tcW w:w="1317" w:type="dxa"/>
            <w:noWrap/>
          </w:tcPr>
          <w:p w14:paraId="50692C91">
            <w:pPr>
              <w:pStyle w:val="69"/>
              <w:autoSpaceDE w:val="0"/>
              <w:autoSpaceDN w:val="0"/>
              <w:adjustRightInd w:val="0"/>
              <w:jc w:val="left"/>
              <w:rPr>
                <w:rFonts w:ascii="仿宋" w:hAnsi="仿宋" w:eastAsia="仿宋" w:cs="仿宋"/>
                <w:color w:val="auto"/>
                <w:kern w:val="0"/>
                <w:szCs w:val="21"/>
                <w:highlight w:val="none"/>
              </w:rPr>
            </w:pPr>
          </w:p>
        </w:tc>
        <w:tc>
          <w:tcPr>
            <w:tcW w:w="785" w:type="dxa"/>
            <w:noWrap/>
          </w:tcPr>
          <w:p w14:paraId="71A5F4AC">
            <w:pPr>
              <w:pStyle w:val="69"/>
              <w:autoSpaceDE w:val="0"/>
              <w:autoSpaceDN w:val="0"/>
              <w:adjustRightInd w:val="0"/>
              <w:jc w:val="left"/>
              <w:rPr>
                <w:rFonts w:ascii="仿宋" w:hAnsi="仿宋" w:eastAsia="仿宋" w:cs="仿宋"/>
                <w:color w:val="auto"/>
                <w:kern w:val="0"/>
                <w:szCs w:val="21"/>
                <w:highlight w:val="none"/>
              </w:rPr>
            </w:pPr>
          </w:p>
        </w:tc>
        <w:tc>
          <w:tcPr>
            <w:tcW w:w="1432" w:type="dxa"/>
            <w:noWrap/>
          </w:tcPr>
          <w:p w14:paraId="7846A98F">
            <w:pPr>
              <w:pStyle w:val="69"/>
              <w:autoSpaceDE w:val="0"/>
              <w:autoSpaceDN w:val="0"/>
              <w:adjustRightInd w:val="0"/>
              <w:jc w:val="left"/>
              <w:rPr>
                <w:rFonts w:ascii="仿宋" w:hAnsi="仿宋" w:eastAsia="仿宋" w:cs="仿宋"/>
                <w:color w:val="auto"/>
                <w:kern w:val="0"/>
                <w:szCs w:val="21"/>
                <w:highlight w:val="none"/>
              </w:rPr>
            </w:pPr>
          </w:p>
        </w:tc>
        <w:tc>
          <w:tcPr>
            <w:tcW w:w="2050" w:type="dxa"/>
            <w:noWrap/>
          </w:tcPr>
          <w:p w14:paraId="43F471D9">
            <w:pPr>
              <w:pStyle w:val="69"/>
              <w:autoSpaceDE w:val="0"/>
              <w:autoSpaceDN w:val="0"/>
              <w:adjustRightInd w:val="0"/>
              <w:jc w:val="center"/>
              <w:rPr>
                <w:rFonts w:ascii="仿宋" w:hAnsi="仿宋" w:eastAsia="仿宋" w:cs="仿宋"/>
                <w:color w:val="auto"/>
                <w:kern w:val="0"/>
                <w:sz w:val="28"/>
                <w:szCs w:val="28"/>
                <w:highlight w:val="none"/>
              </w:rPr>
            </w:pPr>
          </w:p>
        </w:tc>
        <w:tc>
          <w:tcPr>
            <w:tcW w:w="711" w:type="dxa"/>
            <w:noWrap/>
          </w:tcPr>
          <w:p w14:paraId="255A65B5">
            <w:pPr>
              <w:pStyle w:val="69"/>
              <w:autoSpaceDE w:val="0"/>
              <w:autoSpaceDN w:val="0"/>
              <w:adjustRightInd w:val="0"/>
              <w:jc w:val="left"/>
              <w:rPr>
                <w:rFonts w:ascii="仿宋" w:hAnsi="仿宋" w:eastAsia="仿宋" w:cs="仿宋"/>
                <w:color w:val="auto"/>
                <w:kern w:val="0"/>
                <w:szCs w:val="21"/>
                <w:highlight w:val="none"/>
              </w:rPr>
            </w:pPr>
          </w:p>
        </w:tc>
      </w:tr>
    </w:tbl>
    <w:p w14:paraId="3483D3FC">
      <w:pPr>
        <w:pStyle w:val="69"/>
        <w:autoSpaceDE w:val="0"/>
        <w:autoSpaceDN w:val="0"/>
        <w:adjustRightInd w:val="0"/>
        <w:jc w:val="left"/>
        <w:rPr>
          <w:rFonts w:ascii="仿宋" w:hAnsi="仿宋" w:eastAsia="仿宋" w:cs="仿宋"/>
          <w:color w:val="auto"/>
          <w:kern w:val="0"/>
          <w:szCs w:val="21"/>
          <w:highlight w:val="none"/>
        </w:rPr>
      </w:pPr>
    </w:p>
    <w:p w14:paraId="50D1BEFA">
      <w:pPr>
        <w:pStyle w:val="75"/>
        <w:numPr>
          <w:ilvl w:val="0"/>
          <w:numId w:val="10"/>
        </w:numPr>
        <w:outlineLvl w:val="2"/>
        <w:rPr>
          <w:rFonts w:ascii="仿宋" w:hAnsi="仿宋" w:eastAsia="仿宋" w:cs="仿宋"/>
          <w:color w:val="auto"/>
          <w:sz w:val="28"/>
          <w:highlight w:val="none"/>
        </w:rPr>
      </w:pPr>
      <w:r>
        <w:rPr>
          <w:rFonts w:hint="eastAsia" w:ascii="仿宋" w:hAnsi="仿宋" w:eastAsia="仿宋" w:cs="仿宋"/>
          <w:color w:val="auto"/>
          <w:highlight w:val="none"/>
        </w:rPr>
        <w:br w:type="page"/>
      </w:r>
      <w:bookmarkStart w:id="136" w:name="_Toc256000161"/>
      <w:r>
        <w:rPr>
          <w:rFonts w:hint="eastAsia" w:ascii="仿宋" w:hAnsi="仿宋" w:eastAsia="仿宋" w:cs="仿宋"/>
          <w:color w:val="auto"/>
          <w:sz w:val="28"/>
          <w:highlight w:val="none"/>
        </w:rPr>
        <w:t>主要人员简历表</w:t>
      </w:r>
      <w:bookmarkEnd w:id="136"/>
    </w:p>
    <w:p w14:paraId="57A0A238">
      <w:pPr>
        <w:pStyle w:val="75"/>
        <w:rPr>
          <w:rFonts w:ascii="仿宋" w:hAnsi="仿宋" w:eastAsia="仿宋" w:cs="仿宋"/>
          <w:color w:val="auto"/>
          <w:sz w:val="28"/>
          <w:highlight w:val="none"/>
        </w:rPr>
      </w:pPr>
    </w:p>
    <w:tbl>
      <w:tblPr>
        <w:tblStyle w:val="30"/>
        <w:tblW w:w="9557"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241"/>
        <w:gridCol w:w="1623"/>
        <w:gridCol w:w="1144"/>
        <w:gridCol w:w="1676"/>
        <w:gridCol w:w="1927"/>
        <w:gridCol w:w="1616"/>
      </w:tblGrid>
      <w:tr w14:paraId="3AB2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330" w:type="dxa"/>
            <w:noWrap/>
            <w:vAlign w:val="center"/>
          </w:tcPr>
          <w:p w14:paraId="3B0AEA26">
            <w:pPr>
              <w:pStyle w:val="72"/>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p>
        </w:tc>
        <w:tc>
          <w:tcPr>
            <w:tcW w:w="1864" w:type="dxa"/>
            <w:gridSpan w:val="2"/>
            <w:noWrap/>
            <w:vAlign w:val="center"/>
          </w:tcPr>
          <w:p w14:paraId="65CCC882">
            <w:pPr>
              <w:pStyle w:val="72"/>
              <w:jc w:val="center"/>
              <w:rPr>
                <w:rFonts w:ascii="仿宋" w:hAnsi="仿宋" w:eastAsia="仿宋" w:cs="仿宋"/>
                <w:color w:val="auto"/>
                <w:sz w:val="28"/>
                <w:szCs w:val="28"/>
                <w:highlight w:val="none"/>
              </w:rPr>
            </w:pPr>
          </w:p>
        </w:tc>
        <w:tc>
          <w:tcPr>
            <w:tcW w:w="1144" w:type="dxa"/>
            <w:noWrap/>
            <w:vAlign w:val="center"/>
          </w:tcPr>
          <w:p w14:paraId="22A715B7">
            <w:pPr>
              <w:pStyle w:val="72"/>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年龄</w:t>
            </w:r>
          </w:p>
        </w:tc>
        <w:tc>
          <w:tcPr>
            <w:tcW w:w="1676" w:type="dxa"/>
            <w:noWrap/>
            <w:vAlign w:val="center"/>
          </w:tcPr>
          <w:p w14:paraId="5D3A1087">
            <w:pPr>
              <w:pStyle w:val="72"/>
              <w:jc w:val="center"/>
              <w:rPr>
                <w:rFonts w:ascii="仿宋" w:hAnsi="仿宋" w:eastAsia="仿宋" w:cs="仿宋"/>
                <w:color w:val="auto"/>
                <w:sz w:val="28"/>
                <w:szCs w:val="28"/>
                <w:highlight w:val="none"/>
              </w:rPr>
            </w:pPr>
          </w:p>
        </w:tc>
        <w:tc>
          <w:tcPr>
            <w:tcW w:w="1927" w:type="dxa"/>
            <w:noWrap/>
            <w:vAlign w:val="center"/>
          </w:tcPr>
          <w:p w14:paraId="11673B98">
            <w:pPr>
              <w:pStyle w:val="72"/>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学历</w:t>
            </w:r>
          </w:p>
        </w:tc>
        <w:tc>
          <w:tcPr>
            <w:tcW w:w="1616" w:type="dxa"/>
            <w:noWrap/>
            <w:vAlign w:val="center"/>
          </w:tcPr>
          <w:p w14:paraId="25C7702B">
            <w:pPr>
              <w:pStyle w:val="72"/>
              <w:jc w:val="center"/>
              <w:rPr>
                <w:rFonts w:ascii="仿宋" w:hAnsi="仿宋" w:eastAsia="仿宋" w:cs="仿宋"/>
                <w:color w:val="auto"/>
                <w:sz w:val="28"/>
                <w:szCs w:val="28"/>
                <w:highlight w:val="none"/>
              </w:rPr>
            </w:pPr>
          </w:p>
        </w:tc>
      </w:tr>
      <w:tr w14:paraId="79BE6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330" w:type="dxa"/>
            <w:noWrap/>
            <w:vAlign w:val="center"/>
          </w:tcPr>
          <w:p w14:paraId="4262938F">
            <w:pPr>
              <w:pStyle w:val="72"/>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职称</w:t>
            </w:r>
          </w:p>
        </w:tc>
        <w:tc>
          <w:tcPr>
            <w:tcW w:w="1864" w:type="dxa"/>
            <w:gridSpan w:val="2"/>
            <w:noWrap/>
            <w:vAlign w:val="center"/>
          </w:tcPr>
          <w:p w14:paraId="572D6070">
            <w:pPr>
              <w:pStyle w:val="72"/>
              <w:jc w:val="center"/>
              <w:rPr>
                <w:rFonts w:ascii="仿宋" w:hAnsi="仿宋" w:eastAsia="仿宋" w:cs="仿宋"/>
                <w:color w:val="auto"/>
                <w:sz w:val="28"/>
                <w:szCs w:val="28"/>
                <w:highlight w:val="none"/>
              </w:rPr>
            </w:pPr>
          </w:p>
        </w:tc>
        <w:tc>
          <w:tcPr>
            <w:tcW w:w="1144" w:type="dxa"/>
            <w:noWrap/>
            <w:vAlign w:val="center"/>
          </w:tcPr>
          <w:p w14:paraId="6DD1B4C8">
            <w:pPr>
              <w:pStyle w:val="72"/>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专业</w:t>
            </w:r>
          </w:p>
        </w:tc>
        <w:tc>
          <w:tcPr>
            <w:tcW w:w="1676" w:type="dxa"/>
            <w:noWrap/>
            <w:vAlign w:val="center"/>
          </w:tcPr>
          <w:p w14:paraId="4B72E443">
            <w:pPr>
              <w:pStyle w:val="72"/>
              <w:jc w:val="center"/>
              <w:rPr>
                <w:rFonts w:ascii="仿宋" w:hAnsi="仿宋" w:eastAsia="仿宋" w:cs="仿宋"/>
                <w:color w:val="auto"/>
                <w:sz w:val="28"/>
                <w:szCs w:val="28"/>
                <w:highlight w:val="none"/>
              </w:rPr>
            </w:pPr>
          </w:p>
        </w:tc>
        <w:tc>
          <w:tcPr>
            <w:tcW w:w="1927" w:type="dxa"/>
            <w:noWrap/>
            <w:vAlign w:val="center"/>
          </w:tcPr>
          <w:p w14:paraId="7845D098">
            <w:pPr>
              <w:pStyle w:val="72"/>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拟在本合同任职</w:t>
            </w:r>
          </w:p>
        </w:tc>
        <w:tc>
          <w:tcPr>
            <w:tcW w:w="1616" w:type="dxa"/>
            <w:noWrap/>
            <w:vAlign w:val="center"/>
          </w:tcPr>
          <w:p w14:paraId="25A55B3E">
            <w:pPr>
              <w:pStyle w:val="72"/>
              <w:jc w:val="center"/>
              <w:rPr>
                <w:rFonts w:ascii="仿宋" w:hAnsi="仿宋" w:eastAsia="仿宋" w:cs="仿宋"/>
                <w:color w:val="auto"/>
                <w:sz w:val="28"/>
                <w:szCs w:val="28"/>
                <w:highlight w:val="none"/>
              </w:rPr>
            </w:pPr>
          </w:p>
        </w:tc>
      </w:tr>
      <w:tr w14:paraId="2133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9557" w:type="dxa"/>
            <w:gridSpan w:val="7"/>
            <w:noWrap/>
          </w:tcPr>
          <w:p w14:paraId="2B334833">
            <w:pPr>
              <w:pStyle w:val="72"/>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主要工作经历</w:t>
            </w:r>
          </w:p>
        </w:tc>
      </w:tr>
      <w:tr w14:paraId="3D06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1571" w:type="dxa"/>
            <w:gridSpan w:val="2"/>
            <w:noWrap/>
            <w:vAlign w:val="center"/>
          </w:tcPr>
          <w:p w14:paraId="7D0268DD">
            <w:pPr>
              <w:pStyle w:val="72"/>
              <w:jc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rPr>
              <w:t>时 间</w:t>
            </w:r>
          </w:p>
        </w:tc>
        <w:tc>
          <w:tcPr>
            <w:tcW w:w="4443" w:type="dxa"/>
            <w:gridSpan w:val="3"/>
            <w:noWrap/>
            <w:vAlign w:val="center"/>
          </w:tcPr>
          <w:p w14:paraId="34365572">
            <w:pPr>
              <w:pStyle w:val="72"/>
              <w:jc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rPr>
              <w:t>参加过的类似项目</w:t>
            </w:r>
          </w:p>
        </w:tc>
        <w:tc>
          <w:tcPr>
            <w:tcW w:w="1927" w:type="dxa"/>
            <w:noWrap/>
            <w:vAlign w:val="center"/>
          </w:tcPr>
          <w:p w14:paraId="6D268E01">
            <w:pPr>
              <w:pStyle w:val="72"/>
              <w:jc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rPr>
              <w:t>担任职务</w:t>
            </w:r>
          </w:p>
        </w:tc>
        <w:tc>
          <w:tcPr>
            <w:tcW w:w="1616" w:type="dxa"/>
            <w:noWrap/>
            <w:vAlign w:val="center"/>
          </w:tcPr>
          <w:p w14:paraId="4C8FD93E">
            <w:pPr>
              <w:pStyle w:val="72"/>
              <w:jc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rPr>
              <w:t>发包人及联系电话</w:t>
            </w:r>
          </w:p>
        </w:tc>
      </w:tr>
      <w:tr w14:paraId="4BED1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571" w:type="dxa"/>
            <w:gridSpan w:val="2"/>
            <w:noWrap/>
          </w:tcPr>
          <w:p w14:paraId="32FE5624">
            <w:pPr>
              <w:pStyle w:val="72"/>
              <w:rPr>
                <w:rFonts w:ascii="仿宋" w:hAnsi="仿宋" w:eastAsia="仿宋" w:cs="仿宋"/>
                <w:color w:val="auto"/>
                <w:sz w:val="28"/>
                <w:szCs w:val="28"/>
                <w:highlight w:val="none"/>
              </w:rPr>
            </w:pPr>
          </w:p>
        </w:tc>
        <w:tc>
          <w:tcPr>
            <w:tcW w:w="4443" w:type="dxa"/>
            <w:gridSpan w:val="3"/>
            <w:noWrap/>
          </w:tcPr>
          <w:p w14:paraId="36A2492A">
            <w:pPr>
              <w:pStyle w:val="72"/>
              <w:rPr>
                <w:rFonts w:ascii="仿宋" w:hAnsi="仿宋" w:eastAsia="仿宋" w:cs="仿宋"/>
                <w:color w:val="auto"/>
                <w:sz w:val="28"/>
                <w:szCs w:val="28"/>
                <w:highlight w:val="none"/>
              </w:rPr>
            </w:pPr>
          </w:p>
        </w:tc>
        <w:tc>
          <w:tcPr>
            <w:tcW w:w="1927" w:type="dxa"/>
            <w:noWrap/>
          </w:tcPr>
          <w:p w14:paraId="5E3A0688">
            <w:pPr>
              <w:pStyle w:val="72"/>
              <w:rPr>
                <w:rFonts w:ascii="仿宋" w:hAnsi="仿宋" w:eastAsia="仿宋" w:cs="仿宋"/>
                <w:color w:val="auto"/>
                <w:sz w:val="28"/>
                <w:szCs w:val="28"/>
                <w:highlight w:val="none"/>
              </w:rPr>
            </w:pPr>
          </w:p>
        </w:tc>
        <w:tc>
          <w:tcPr>
            <w:tcW w:w="1616" w:type="dxa"/>
            <w:noWrap/>
          </w:tcPr>
          <w:p w14:paraId="2CCEDEF6">
            <w:pPr>
              <w:pStyle w:val="72"/>
              <w:rPr>
                <w:rFonts w:ascii="仿宋" w:hAnsi="仿宋" w:eastAsia="仿宋" w:cs="仿宋"/>
                <w:color w:val="auto"/>
                <w:sz w:val="28"/>
                <w:szCs w:val="28"/>
                <w:highlight w:val="none"/>
              </w:rPr>
            </w:pPr>
          </w:p>
        </w:tc>
      </w:tr>
      <w:tr w14:paraId="19BE2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571" w:type="dxa"/>
            <w:gridSpan w:val="2"/>
            <w:noWrap/>
          </w:tcPr>
          <w:p w14:paraId="0B8AB1ED">
            <w:pPr>
              <w:pStyle w:val="72"/>
              <w:rPr>
                <w:rFonts w:ascii="仿宋" w:hAnsi="仿宋" w:eastAsia="仿宋" w:cs="仿宋"/>
                <w:color w:val="auto"/>
                <w:szCs w:val="21"/>
                <w:highlight w:val="none"/>
              </w:rPr>
            </w:pPr>
          </w:p>
        </w:tc>
        <w:tc>
          <w:tcPr>
            <w:tcW w:w="4443" w:type="dxa"/>
            <w:gridSpan w:val="3"/>
            <w:noWrap/>
          </w:tcPr>
          <w:p w14:paraId="2F02ACC9">
            <w:pPr>
              <w:pStyle w:val="72"/>
              <w:rPr>
                <w:rFonts w:ascii="仿宋" w:hAnsi="仿宋" w:eastAsia="仿宋" w:cs="仿宋"/>
                <w:color w:val="auto"/>
                <w:szCs w:val="21"/>
                <w:highlight w:val="none"/>
              </w:rPr>
            </w:pPr>
          </w:p>
        </w:tc>
        <w:tc>
          <w:tcPr>
            <w:tcW w:w="1927" w:type="dxa"/>
            <w:noWrap/>
          </w:tcPr>
          <w:p w14:paraId="2D4F7088">
            <w:pPr>
              <w:pStyle w:val="72"/>
              <w:rPr>
                <w:rFonts w:ascii="仿宋" w:hAnsi="仿宋" w:eastAsia="仿宋" w:cs="仿宋"/>
                <w:color w:val="auto"/>
                <w:szCs w:val="21"/>
                <w:highlight w:val="none"/>
              </w:rPr>
            </w:pPr>
          </w:p>
        </w:tc>
        <w:tc>
          <w:tcPr>
            <w:tcW w:w="1616" w:type="dxa"/>
            <w:noWrap/>
          </w:tcPr>
          <w:p w14:paraId="19AAD9D8">
            <w:pPr>
              <w:pStyle w:val="72"/>
              <w:rPr>
                <w:rFonts w:ascii="仿宋" w:hAnsi="仿宋" w:eastAsia="仿宋" w:cs="仿宋"/>
                <w:color w:val="auto"/>
                <w:szCs w:val="21"/>
                <w:highlight w:val="none"/>
              </w:rPr>
            </w:pPr>
          </w:p>
        </w:tc>
      </w:tr>
      <w:tr w14:paraId="7217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571" w:type="dxa"/>
            <w:gridSpan w:val="2"/>
            <w:noWrap/>
          </w:tcPr>
          <w:p w14:paraId="7CA78896">
            <w:pPr>
              <w:pStyle w:val="72"/>
              <w:rPr>
                <w:rFonts w:ascii="仿宋" w:hAnsi="仿宋" w:eastAsia="仿宋" w:cs="仿宋"/>
                <w:color w:val="auto"/>
                <w:szCs w:val="21"/>
                <w:highlight w:val="none"/>
              </w:rPr>
            </w:pPr>
          </w:p>
        </w:tc>
        <w:tc>
          <w:tcPr>
            <w:tcW w:w="4443" w:type="dxa"/>
            <w:gridSpan w:val="3"/>
            <w:noWrap/>
          </w:tcPr>
          <w:p w14:paraId="18830A4C">
            <w:pPr>
              <w:pStyle w:val="72"/>
              <w:rPr>
                <w:rFonts w:ascii="仿宋" w:hAnsi="仿宋" w:eastAsia="仿宋" w:cs="仿宋"/>
                <w:color w:val="auto"/>
                <w:szCs w:val="21"/>
                <w:highlight w:val="none"/>
              </w:rPr>
            </w:pPr>
          </w:p>
        </w:tc>
        <w:tc>
          <w:tcPr>
            <w:tcW w:w="1927" w:type="dxa"/>
            <w:noWrap/>
          </w:tcPr>
          <w:p w14:paraId="3F9168D9">
            <w:pPr>
              <w:pStyle w:val="72"/>
              <w:rPr>
                <w:rFonts w:ascii="仿宋" w:hAnsi="仿宋" w:eastAsia="仿宋" w:cs="仿宋"/>
                <w:color w:val="auto"/>
                <w:szCs w:val="21"/>
                <w:highlight w:val="none"/>
              </w:rPr>
            </w:pPr>
          </w:p>
        </w:tc>
        <w:tc>
          <w:tcPr>
            <w:tcW w:w="1616" w:type="dxa"/>
            <w:noWrap/>
          </w:tcPr>
          <w:p w14:paraId="0434E3E0">
            <w:pPr>
              <w:pStyle w:val="72"/>
              <w:rPr>
                <w:rFonts w:ascii="仿宋" w:hAnsi="仿宋" w:eastAsia="仿宋" w:cs="仿宋"/>
                <w:color w:val="auto"/>
                <w:szCs w:val="21"/>
                <w:highlight w:val="none"/>
              </w:rPr>
            </w:pPr>
          </w:p>
        </w:tc>
      </w:tr>
      <w:tr w14:paraId="13941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571" w:type="dxa"/>
            <w:gridSpan w:val="2"/>
            <w:noWrap/>
          </w:tcPr>
          <w:p w14:paraId="2580C9DA">
            <w:pPr>
              <w:pStyle w:val="72"/>
              <w:rPr>
                <w:rFonts w:ascii="仿宋" w:hAnsi="仿宋" w:eastAsia="仿宋" w:cs="仿宋"/>
                <w:color w:val="auto"/>
                <w:szCs w:val="21"/>
                <w:highlight w:val="none"/>
              </w:rPr>
            </w:pPr>
          </w:p>
        </w:tc>
        <w:tc>
          <w:tcPr>
            <w:tcW w:w="4443" w:type="dxa"/>
            <w:gridSpan w:val="3"/>
            <w:noWrap/>
          </w:tcPr>
          <w:p w14:paraId="0418598C">
            <w:pPr>
              <w:pStyle w:val="72"/>
              <w:rPr>
                <w:rFonts w:ascii="仿宋" w:hAnsi="仿宋" w:eastAsia="仿宋" w:cs="仿宋"/>
                <w:color w:val="auto"/>
                <w:szCs w:val="21"/>
                <w:highlight w:val="none"/>
              </w:rPr>
            </w:pPr>
          </w:p>
        </w:tc>
        <w:tc>
          <w:tcPr>
            <w:tcW w:w="1927" w:type="dxa"/>
            <w:noWrap/>
          </w:tcPr>
          <w:p w14:paraId="6BE7CAFD">
            <w:pPr>
              <w:pStyle w:val="72"/>
              <w:rPr>
                <w:rFonts w:ascii="仿宋" w:hAnsi="仿宋" w:eastAsia="仿宋" w:cs="仿宋"/>
                <w:color w:val="auto"/>
                <w:szCs w:val="21"/>
                <w:highlight w:val="none"/>
              </w:rPr>
            </w:pPr>
          </w:p>
        </w:tc>
        <w:tc>
          <w:tcPr>
            <w:tcW w:w="1616" w:type="dxa"/>
            <w:noWrap/>
          </w:tcPr>
          <w:p w14:paraId="2FABCF52">
            <w:pPr>
              <w:pStyle w:val="72"/>
              <w:rPr>
                <w:rFonts w:ascii="仿宋" w:hAnsi="仿宋" w:eastAsia="仿宋" w:cs="仿宋"/>
                <w:color w:val="auto"/>
                <w:szCs w:val="21"/>
                <w:highlight w:val="none"/>
              </w:rPr>
            </w:pPr>
          </w:p>
        </w:tc>
      </w:tr>
      <w:tr w14:paraId="6D11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571" w:type="dxa"/>
            <w:gridSpan w:val="2"/>
            <w:noWrap/>
          </w:tcPr>
          <w:p w14:paraId="0C432C06">
            <w:pPr>
              <w:pStyle w:val="72"/>
              <w:rPr>
                <w:rFonts w:ascii="仿宋" w:hAnsi="仿宋" w:eastAsia="仿宋" w:cs="仿宋"/>
                <w:color w:val="auto"/>
                <w:szCs w:val="21"/>
                <w:highlight w:val="none"/>
              </w:rPr>
            </w:pPr>
          </w:p>
        </w:tc>
        <w:tc>
          <w:tcPr>
            <w:tcW w:w="4443" w:type="dxa"/>
            <w:gridSpan w:val="3"/>
            <w:noWrap/>
          </w:tcPr>
          <w:p w14:paraId="011541B4">
            <w:pPr>
              <w:pStyle w:val="72"/>
              <w:rPr>
                <w:rFonts w:ascii="仿宋" w:hAnsi="仿宋" w:eastAsia="仿宋" w:cs="仿宋"/>
                <w:color w:val="auto"/>
                <w:szCs w:val="21"/>
                <w:highlight w:val="none"/>
              </w:rPr>
            </w:pPr>
          </w:p>
        </w:tc>
        <w:tc>
          <w:tcPr>
            <w:tcW w:w="1927" w:type="dxa"/>
            <w:noWrap/>
          </w:tcPr>
          <w:p w14:paraId="2D498638">
            <w:pPr>
              <w:pStyle w:val="72"/>
              <w:rPr>
                <w:rFonts w:ascii="仿宋" w:hAnsi="仿宋" w:eastAsia="仿宋" w:cs="仿宋"/>
                <w:color w:val="auto"/>
                <w:szCs w:val="21"/>
                <w:highlight w:val="none"/>
              </w:rPr>
            </w:pPr>
          </w:p>
        </w:tc>
        <w:tc>
          <w:tcPr>
            <w:tcW w:w="1616" w:type="dxa"/>
            <w:noWrap/>
          </w:tcPr>
          <w:p w14:paraId="0CD41120">
            <w:pPr>
              <w:pStyle w:val="72"/>
              <w:rPr>
                <w:rFonts w:ascii="仿宋" w:hAnsi="仿宋" w:eastAsia="仿宋" w:cs="仿宋"/>
                <w:color w:val="auto"/>
                <w:szCs w:val="21"/>
                <w:highlight w:val="none"/>
              </w:rPr>
            </w:pPr>
          </w:p>
        </w:tc>
      </w:tr>
      <w:tr w14:paraId="3076F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571" w:type="dxa"/>
            <w:gridSpan w:val="2"/>
            <w:noWrap/>
          </w:tcPr>
          <w:p w14:paraId="451E1565">
            <w:pPr>
              <w:pStyle w:val="72"/>
              <w:rPr>
                <w:rFonts w:ascii="仿宋" w:hAnsi="仿宋" w:eastAsia="仿宋" w:cs="仿宋"/>
                <w:color w:val="auto"/>
                <w:szCs w:val="21"/>
                <w:highlight w:val="none"/>
              </w:rPr>
            </w:pPr>
          </w:p>
        </w:tc>
        <w:tc>
          <w:tcPr>
            <w:tcW w:w="4443" w:type="dxa"/>
            <w:gridSpan w:val="3"/>
            <w:noWrap/>
          </w:tcPr>
          <w:p w14:paraId="7004D044">
            <w:pPr>
              <w:pStyle w:val="72"/>
              <w:tabs>
                <w:tab w:val="left" w:pos="2837"/>
              </w:tabs>
              <w:rPr>
                <w:rFonts w:ascii="仿宋" w:hAnsi="仿宋" w:eastAsia="仿宋" w:cs="仿宋"/>
                <w:color w:val="auto"/>
                <w:szCs w:val="21"/>
                <w:highlight w:val="none"/>
              </w:rPr>
            </w:pPr>
            <w:r>
              <w:rPr>
                <w:rFonts w:hint="eastAsia" w:ascii="仿宋" w:hAnsi="仿宋" w:eastAsia="仿宋" w:cs="仿宋"/>
                <w:color w:val="auto"/>
                <w:szCs w:val="21"/>
                <w:highlight w:val="none"/>
              </w:rPr>
              <w:tab/>
            </w:r>
          </w:p>
        </w:tc>
        <w:tc>
          <w:tcPr>
            <w:tcW w:w="1927" w:type="dxa"/>
            <w:noWrap/>
          </w:tcPr>
          <w:p w14:paraId="600CCC39">
            <w:pPr>
              <w:pStyle w:val="72"/>
              <w:rPr>
                <w:rFonts w:ascii="仿宋" w:hAnsi="仿宋" w:eastAsia="仿宋" w:cs="仿宋"/>
                <w:color w:val="auto"/>
                <w:szCs w:val="21"/>
                <w:highlight w:val="none"/>
              </w:rPr>
            </w:pPr>
          </w:p>
        </w:tc>
        <w:tc>
          <w:tcPr>
            <w:tcW w:w="1616" w:type="dxa"/>
            <w:noWrap/>
          </w:tcPr>
          <w:p w14:paraId="26094DCB">
            <w:pPr>
              <w:pStyle w:val="72"/>
              <w:rPr>
                <w:rFonts w:ascii="仿宋" w:hAnsi="仿宋" w:eastAsia="仿宋" w:cs="仿宋"/>
                <w:color w:val="auto"/>
                <w:szCs w:val="21"/>
                <w:highlight w:val="none"/>
              </w:rPr>
            </w:pPr>
          </w:p>
        </w:tc>
      </w:tr>
      <w:tr w14:paraId="1BE9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571" w:type="dxa"/>
            <w:gridSpan w:val="2"/>
            <w:noWrap/>
          </w:tcPr>
          <w:p w14:paraId="00286E41">
            <w:pPr>
              <w:pStyle w:val="72"/>
              <w:rPr>
                <w:rFonts w:ascii="仿宋" w:hAnsi="仿宋" w:eastAsia="仿宋" w:cs="仿宋"/>
                <w:color w:val="auto"/>
                <w:szCs w:val="21"/>
                <w:highlight w:val="none"/>
              </w:rPr>
            </w:pPr>
          </w:p>
        </w:tc>
        <w:tc>
          <w:tcPr>
            <w:tcW w:w="4443" w:type="dxa"/>
            <w:gridSpan w:val="3"/>
            <w:noWrap/>
          </w:tcPr>
          <w:p w14:paraId="7044ECD5">
            <w:pPr>
              <w:pStyle w:val="72"/>
              <w:rPr>
                <w:rFonts w:ascii="仿宋" w:hAnsi="仿宋" w:eastAsia="仿宋" w:cs="仿宋"/>
                <w:color w:val="auto"/>
                <w:szCs w:val="21"/>
                <w:highlight w:val="none"/>
              </w:rPr>
            </w:pPr>
          </w:p>
        </w:tc>
        <w:tc>
          <w:tcPr>
            <w:tcW w:w="1927" w:type="dxa"/>
            <w:noWrap/>
          </w:tcPr>
          <w:p w14:paraId="1693414A">
            <w:pPr>
              <w:pStyle w:val="72"/>
              <w:rPr>
                <w:rFonts w:ascii="仿宋" w:hAnsi="仿宋" w:eastAsia="仿宋" w:cs="仿宋"/>
                <w:color w:val="auto"/>
                <w:szCs w:val="21"/>
                <w:highlight w:val="none"/>
              </w:rPr>
            </w:pPr>
          </w:p>
        </w:tc>
        <w:tc>
          <w:tcPr>
            <w:tcW w:w="1616" w:type="dxa"/>
            <w:noWrap/>
          </w:tcPr>
          <w:p w14:paraId="654B99A1">
            <w:pPr>
              <w:pStyle w:val="72"/>
              <w:rPr>
                <w:rFonts w:ascii="仿宋" w:hAnsi="仿宋" w:eastAsia="仿宋" w:cs="仿宋"/>
                <w:color w:val="auto"/>
                <w:szCs w:val="21"/>
                <w:highlight w:val="none"/>
              </w:rPr>
            </w:pPr>
          </w:p>
        </w:tc>
      </w:tr>
      <w:tr w14:paraId="0FFFB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571" w:type="dxa"/>
            <w:gridSpan w:val="2"/>
            <w:noWrap/>
          </w:tcPr>
          <w:p w14:paraId="128DD5C9">
            <w:pPr>
              <w:pStyle w:val="72"/>
              <w:rPr>
                <w:rFonts w:ascii="仿宋" w:hAnsi="仿宋" w:eastAsia="仿宋" w:cs="仿宋"/>
                <w:color w:val="auto"/>
                <w:szCs w:val="21"/>
                <w:highlight w:val="none"/>
              </w:rPr>
            </w:pPr>
          </w:p>
        </w:tc>
        <w:tc>
          <w:tcPr>
            <w:tcW w:w="4443" w:type="dxa"/>
            <w:gridSpan w:val="3"/>
            <w:noWrap/>
          </w:tcPr>
          <w:p w14:paraId="1DD4C23C">
            <w:pPr>
              <w:pStyle w:val="72"/>
              <w:rPr>
                <w:rFonts w:ascii="仿宋" w:hAnsi="仿宋" w:eastAsia="仿宋" w:cs="仿宋"/>
                <w:color w:val="auto"/>
                <w:szCs w:val="21"/>
                <w:highlight w:val="none"/>
              </w:rPr>
            </w:pPr>
          </w:p>
        </w:tc>
        <w:tc>
          <w:tcPr>
            <w:tcW w:w="1927" w:type="dxa"/>
            <w:noWrap/>
          </w:tcPr>
          <w:p w14:paraId="4B4DE9FB">
            <w:pPr>
              <w:pStyle w:val="72"/>
              <w:rPr>
                <w:rFonts w:ascii="仿宋" w:hAnsi="仿宋" w:eastAsia="仿宋" w:cs="仿宋"/>
                <w:color w:val="auto"/>
                <w:szCs w:val="21"/>
                <w:highlight w:val="none"/>
              </w:rPr>
            </w:pPr>
          </w:p>
        </w:tc>
        <w:tc>
          <w:tcPr>
            <w:tcW w:w="1616" w:type="dxa"/>
            <w:noWrap/>
          </w:tcPr>
          <w:p w14:paraId="107C9B84">
            <w:pPr>
              <w:pStyle w:val="72"/>
              <w:rPr>
                <w:rFonts w:ascii="仿宋" w:hAnsi="仿宋" w:eastAsia="仿宋" w:cs="仿宋"/>
                <w:color w:val="auto"/>
                <w:szCs w:val="21"/>
                <w:highlight w:val="none"/>
              </w:rPr>
            </w:pPr>
          </w:p>
        </w:tc>
      </w:tr>
      <w:tr w14:paraId="0629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571" w:type="dxa"/>
            <w:gridSpan w:val="2"/>
            <w:noWrap/>
          </w:tcPr>
          <w:p w14:paraId="1A7BAE65">
            <w:pPr>
              <w:pStyle w:val="72"/>
              <w:rPr>
                <w:rFonts w:ascii="仿宋" w:hAnsi="仿宋" w:eastAsia="仿宋" w:cs="仿宋"/>
                <w:color w:val="auto"/>
                <w:szCs w:val="21"/>
                <w:highlight w:val="none"/>
              </w:rPr>
            </w:pPr>
          </w:p>
        </w:tc>
        <w:tc>
          <w:tcPr>
            <w:tcW w:w="4443" w:type="dxa"/>
            <w:gridSpan w:val="3"/>
            <w:noWrap/>
          </w:tcPr>
          <w:p w14:paraId="33391D1F">
            <w:pPr>
              <w:pStyle w:val="72"/>
              <w:rPr>
                <w:rFonts w:ascii="仿宋" w:hAnsi="仿宋" w:eastAsia="仿宋" w:cs="仿宋"/>
                <w:color w:val="auto"/>
                <w:szCs w:val="21"/>
                <w:highlight w:val="none"/>
              </w:rPr>
            </w:pPr>
          </w:p>
        </w:tc>
        <w:tc>
          <w:tcPr>
            <w:tcW w:w="1927" w:type="dxa"/>
            <w:noWrap/>
          </w:tcPr>
          <w:p w14:paraId="34A5D3F7">
            <w:pPr>
              <w:pStyle w:val="72"/>
              <w:rPr>
                <w:rFonts w:ascii="仿宋" w:hAnsi="仿宋" w:eastAsia="仿宋" w:cs="仿宋"/>
                <w:color w:val="auto"/>
                <w:szCs w:val="21"/>
                <w:highlight w:val="none"/>
              </w:rPr>
            </w:pPr>
          </w:p>
        </w:tc>
        <w:tc>
          <w:tcPr>
            <w:tcW w:w="1616" w:type="dxa"/>
            <w:noWrap/>
          </w:tcPr>
          <w:p w14:paraId="5AAF0BCC">
            <w:pPr>
              <w:pStyle w:val="72"/>
              <w:rPr>
                <w:rFonts w:ascii="仿宋" w:hAnsi="仿宋" w:eastAsia="仿宋" w:cs="仿宋"/>
                <w:color w:val="auto"/>
                <w:szCs w:val="21"/>
                <w:highlight w:val="none"/>
              </w:rPr>
            </w:pPr>
          </w:p>
        </w:tc>
      </w:tr>
      <w:tr w14:paraId="162C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571" w:type="dxa"/>
            <w:gridSpan w:val="2"/>
            <w:noWrap/>
          </w:tcPr>
          <w:p w14:paraId="169D6DC2">
            <w:pPr>
              <w:pStyle w:val="72"/>
              <w:rPr>
                <w:rFonts w:ascii="仿宋" w:hAnsi="仿宋" w:eastAsia="仿宋" w:cs="仿宋"/>
                <w:color w:val="auto"/>
                <w:szCs w:val="21"/>
                <w:highlight w:val="none"/>
              </w:rPr>
            </w:pPr>
          </w:p>
        </w:tc>
        <w:tc>
          <w:tcPr>
            <w:tcW w:w="4443" w:type="dxa"/>
            <w:gridSpan w:val="3"/>
            <w:noWrap/>
          </w:tcPr>
          <w:p w14:paraId="46C6DFE9">
            <w:pPr>
              <w:pStyle w:val="72"/>
              <w:rPr>
                <w:rFonts w:ascii="仿宋" w:hAnsi="仿宋" w:eastAsia="仿宋" w:cs="仿宋"/>
                <w:color w:val="auto"/>
                <w:szCs w:val="21"/>
                <w:highlight w:val="none"/>
              </w:rPr>
            </w:pPr>
          </w:p>
        </w:tc>
        <w:tc>
          <w:tcPr>
            <w:tcW w:w="1927" w:type="dxa"/>
            <w:noWrap/>
          </w:tcPr>
          <w:p w14:paraId="3928D38A">
            <w:pPr>
              <w:pStyle w:val="72"/>
              <w:rPr>
                <w:rFonts w:ascii="仿宋" w:hAnsi="仿宋" w:eastAsia="仿宋" w:cs="仿宋"/>
                <w:color w:val="auto"/>
                <w:szCs w:val="21"/>
                <w:highlight w:val="none"/>
              </w:rPr>
            </w:pPr>
          </w:p>
        </w:tc>
        <w:tc>
          <w:tcPr>
            <w:tcW w:w="1616" w:type="dxa"/>
            <w:noWrap/>
          </w:tcPr>
          <w:p w14:paraId="2B85C5BD">
            <w:pPr>
              <w:pStyle w:val="72"/>
              <w:rPr>
                <w:rFonts w:ascii="仿宋" w:hAnsi="仿宋" w:eastAsia="仿宋" w:cs="仿宋"/>
                <w:color w:val="auto"/>
                <w:szCs w:val="21"/>
                <w:highlight w:val="none"/>
              </w:rPr>
            </w:pPr>
          </w:p>
        </w:tc>
      </w:tr>
    </w:tbl>
    <w:p w14:paraId="11A04E57">
      <w:pPr>
        <w:rPr>
          <w:rFonts w:ascii="仿宋" w:hAnsi="仿宋" w:eastAsia="仿宋" w:cs="仿宋"/>
          <w:color w:val="auto"/>
          <w:highlight w:val="none"/>
          <w:lang w:val="zh-CN"/>
        </w:rPr>
      </w:pPr>
    </w:p>
    <w:p w14:paraId="2F17BBC5">
      <w:pPr>
        <w:pStyle w:val="3"/>
        <w:spacing w:line="400" w:lineRule="exact"/>
        <w:rPr>
          <w:rFonts w:ascii="仿宋" w:hAnsi="仿宋" w:eastAsia="仿宋" w:cs="仿宋"/>
          <w:b w:val="0"/>
          <w:bCs w:val="0"/>
          <w:color w:val="auto"/>
          <w:kern w:val="0"/>
          <w:szCs w:val="21"/>
          <w:highlight w:val="none"/>
        </w:rPr>
      </w:pPr>
      <w:r>
        <w:rPr>
          <w:rFonts w:hint="eastAsia" w:ascii="仿宋" w:hAnsi="仿宋" w:eastAsia="仿宋" w:cs="仿宋"/>
          <w:b w:val="0"/>
          <w:bCs w:val="0"/>
          <w:color w:val="auto"/>
          <w:highlight w:val="none"/>
          <w:lang w:val="zh-CN"/>
        </w:rPr>
        <w:br w:type="page"/>
      </w:r>
      <w:bookmarkStart w:id="137" w:name="_Toc27503"/>
      <w:bookmarkStart w:id="138" w:name="_Toc29477"/>
      <w:bookmarkStart w:id="139" w:name="_Toc29119"/>
      <w:bookmarkStart w:id="140" w:name="_Toc9664"/>
      <w:r>
        <w:rPr>
          <w:rFonts w:hint="eastAsia" w:ascii="仿宋" w:hAnsi="仿宋" w:eastAsia="仿宋" w:cs="仿宋"/>
          <w:b w:val="0"/>
          <w:bCs w:val="0"/>
          <w:color w:val="auto"/>
          <w:highlight w:val="none"/>
        </w:rPr>
        <w:t>七</w:t>
      </w:r>
      <w:r>
        <w:rPr>
          <w:rFonts w:hint="eastAsia" w:ascii="仿宋" w:hAnsi="仿宋" w:eastAsia="仿宋" w:cs="仿宋"/>
          <w:b w:val="0"/>
          <w:bCs w:val="0"/>
          <w:color w:val="auto"/>
          <w:highlight w:val="none"/>
          <w:lang w:val="zh-CN"/>
        </w:rPr>
        <w:t>、</w:t>
      </w:r>
      <w:bookmarkStart w:id="141" w:name="_Toc396499816"/>
      <w:r>
        <w:rPr>
          <w:rFonts w:hint="eastAsia" w:ascii="仿宋" w:hAnsi="仿宋" w:eastAsia="仿宋" w:cs="仿宋"/>
          <w:b w:val="0"/>
          <w:bCs w:val="0"/>
          <w:color w:val="auto"/>
          <w:highlight w:val="none"/>
          <w:lang w:val="zh-CN"/>
        </w:rPr>
        <w:t>资格审查资料</w:t>
      </w:r>
      <w:bookmarkEnd w:id="134"/>
      <w:bookmarkEnd w:id="137"/>
      <w:bookmarkEnd w:id="138"/>
      <w:bookmarkEnd w:id="139"/>
      <w:bookmarkEnd w:id="140"/>
      <w:bookmarkEnd w:id="141"/>
    </w:p>
    <w:p w14:paraId="145E15E2">
      <w:pPr>
        <w:pStyle w:val="4"/>
        <w:spacing w:line="360" w:lineRule="auto"/>
        <w:rPr>
          <w:rFonts w:ascii="仿宋" w:hAnsi="仿宋" w:eastAsia="仿宋" w:cs="仿宋"/>
          <w:b w:val="0"/>
          <w:bCs w:val="0"/>
          <w:color w:val="auto"/>
          <w:sz w:val="28"/>
          <w:szCs w:val="28"/>
          <w:highlight w:val="none"/>
        </w:rPr>
      </w:pPr>
      <w:bookmarkStart w:id="142" w:name="_Toc119549385"/>
      <w:bookmarkStart w:id="143" w:name="_Toc119506531"/>
      <w:bookmarkStart w:id="144" w:name="_Toc256157458"/>
      <w:bookmarkStart w:id="145" w:name="_Toc43885686"/>
      <w:bookmarkStart w:id="146" w:name="_Toc9411"/>
      <w:bookmarkStart w:id="147" w:name="_Toc396499817"/>
      <w:bookmarkStart w:id="148" w:name="_Toc32262"/>
      <w:bookmarkStart w:id="149" w:name="_Toc31838"/>
      <w:bookmarkStart w:id="150" w:name="_Toc128361289"/>
      <w:bookmarkStart w:id="151" w:name="_Toc1836"/>
      <w:r>
        <w:rPr>
          <w:rFonts w:hint="eastAsia" w:ascii="仿宋" w:hAnsi="仿宋" w:eastAsia="仿宋" w:cs="仿宋"/>
          <w:b w:val="0"/>
          <w:bCs w:val="0"/>
          <w:color w:val="auto"/>
          <w:sz w:val="28"/>
          <w:szCs w:val="28"/>
          <w:highlight w:val="none"/>
        </w:rPr>
        <w:t>7.1 供应商基本情况</w:t>
      </w:r>
      <w:bookmarkEnd w:id="142"/>
      <w:bookmarkEnd w:id="143"/>
      <w:bookmarkEnd w:id="144"/>
      <w:bookmarkEnd w:id="145"/>
      <w:bookmarkEnd w:id="146"/>
      <w:bookmarkEnd w:id="147"/>
      <w:bookmarkEnd w:id="148"/>
      <w:bookmarkEnd w:id="149"/>
      <w:bookmarkEnd w:id="150"/>
      <w:bookmarkEnd w:id="151"/>
      <w:r>
        <w:rPr>
          <w:rFonts w:hint="eastAsia" w:ascii="仿宋" w:hAnsi="仿宋" w:eastAsia="仿宋" w:cs="仿宋"/>
          <w:b w:val="0"/>
          <w:bCs w:val="0"/>
          <w:color w:val="auto"/>
          <w:sz w:val="28"/>
          <w:szCs w:val="28"/>
          <w:highlight w:val="none"/>
        </w:rPr>
        <w:t>（后附营业执照）</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6"/>
        <w:gridCol w:w="959"/>
        <w:gridCol w:w="1243"/>
        <w:gridCol w:w="1278"/>
        <w:gridCol w:w="1277"/>
        <w:gridCol w:w="809"/>
        <w:gridCol w:w="1157"/>
      </w:tblGrid>
      <w:tr w14:paraId="40C8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116" w:type="dxa"/>
            <w:noWrap/>
            <w:vAlign w:val="center"/>
          </w:tcPr>
          <w:p w14:paraId="3ABC4144">
            <w:pPr>
              <w:spacing w:line="440" w:lineRule="exact"/>
              <w:jc w:val="center"/>
              <w:rPr>
                <w:rFonts w:ascii="仿宋" w:hAnsi="仿宋" w:eastAsia="仿宋" w:cs="仿宋"/>
                <w:color w:val="auto"/>
                <w:sz w:val="24"/>
                <w:highlight w:val="none"/>
              </w:rPr>
            </w:pPr>
            <w:bookmarkStart w:id="152" w:name="_Toc396499818"/>
            <w:bookmarkStart w:id="153" w:name="_Toc260298949"/>
            <w:bookmarkStart w:id="154" w:name="_Toc7879"/>
            <w:r>
              <w:rPr>
                <w:rFonts w:hint="eastAsia" w:ascii="仿宋" w:hAnsi="仿宋" w:eastAsia="仿宋" w:cs="仿宋"/>
                <w:color w:val="auto"/>
                <w:sz w:val="24"/>
                <w:highlight w:val="none"/>
              </w:rPr>
              <w:t>供应商名称</w:t>
            </w:r>
          </w:p>
        </w:tc>
        <w:tc>
          <w:tcPr>
            <w:tcW w:w="6723" w:type="dxa"/>
            <w:gridSpan w:val="6"/>
            <w:noWrap/>
            <w:vAlign w:val="center"/>
          </w:tcPr>
          <w:p w14:paraId="3906FEDF">
            <w:pPr>
              <w:spacing w:line="440" w:lineRule="exact"/>
              <w:jc w:val="center"/>
              <w:rPr>
                <w:rFonts w:ascii="仿宋" w:hAnsi="仿宋" w:eastAsia="仿宋" w:cs="仿宋"/>
                <w:color w:val="auto"/>
                <w:sz w:val="24"/>
                <w:highlight w:val="none"/>
              </w:rPr>
            </w:pPr>
          </w:p>
        </w:tc>
      </w:tr>
      <w:tr w14:paraId="33D9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116" w:type="dxa"/>
            <w:noWrap/>
            <w:vAlign w:val="center"/>
          </w:tcPr>
          <w:p w14:paraId="53E5596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注册地址</w:t>
            </w:r>
          </w:p>
        </w:tc>
        <w:tc>
          <w:tcPr>
            <w:tcW w:w="3480" w:type="dxa"/>
            <w:gridSpan w:val="3"/>
            <w:noWrap/>
            <w:vAlign w:val="center"/>
          </w:tcPr>
          <w:p w14:paraId="21E3F80D">
            <w:pPr>
              <w:spacing w:line="440" w:lineRule="exact"/>
              <w:jc w:val="center"/>
              <w:rPr>
                <w:rFonts w:ascii="仿宋" w:hAnsi="仿宋" w:eastAsia="仿宋" w:cs="仿宋"/>
                <w:color w:val="auto"/>
                <w:sz w:val="24"/>
                <w:highlight w:val="none"/>
              </w:rPr>
            </w:pPr>
          </w:p>
        </w:tc>
        <w:tc>
          <w:tcPr>
            <w:tcW w:w="1277" w:type="dxa"/>
            <w:noWrap/>
            <w:vAlign w:val="center"/>
          </w:tcPr>
          <w:p w14:paraId="0A3574E0">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邮政编码</w:t>
            </w:r>
          </w:p>
        </w:tc>
        <w:tc>
          <w:tcPr>
            <w:tcW w:w="1966" w:type="dxa"/>
            <w:gridSpan w:val="2"/>
            <w:noWrap/>
            <w:vAlign w:val="center"/>
          </w:tcPr>
          <w:p w14:paraId="78A1DB23">
            <w:pPr>
              <w:spacing w:line="440" w:lineRule="exact"/>
              <w:jc w:val="center"/>
              <w:rPr>
                <w:rFonts w:ascii="仿宋" w:hAnsi="仿宋" w:eastAsia="仿宋" w:cs="仿宋"/>
                <w:color w:val="auto"/>
                <w:sz w:val="24"/>
                <w:highlight w:val="none"/>
              </w:rPr>
            </w:pPr>
          </w:p>
        </w:tc>
      </w:tr>
      <w:tr w14:paraId="23AA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116" w:type="dxa"/>
            <w:vMerge w:val="restart"/>
            <w:noWrap/>
            <w:vAlign w:val="center"/>
          </w:tcPr>
          <w:p w14:paraId="0FC8396B">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联系方式</w:t>
            </w:r>
          </w:p>
        </w:tc>
        <w:tc>
          <w:tcPr>
            <w:tcW w:w="959" w:type="dxa"/>
            <w:noWrap/>
            <w:vAlign w:val="center"/>
          </w:tcPr>
          <w:p w14:paraId="27008705">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联系人</w:t>
            </w:r>
          </w:p>
        </w:tc>
        <w:tc>
          <w:tcPr>
            <w:tcW w:w="2521" w:type="dxa"/>
            <w:gridSpan w:val="2"/>
            <w:noWrap/>
            <w:vAlign w:val="center"/>
          </w:tcPr>
          <w:p w14:paraId="0E858841">
            <w:pPr>
              <w:spacing w:line="440" w:lineRule="exact"/>
              <w:jc w:val="center"/>
              <w:rPr>
                <w:rFonts w:ascii="仿宋" w:hAnsi="仿宋" w:eastAsia="仿宋" w:cs="仿宋"/>
                <w:color w:val="auto"/>
                <w:sz w:val="24"/>
                <w:highlight w:val="none"/>
              </w:rPr>
            </w:pPr>
          </w:p>
        </w:tc>
        <w:tc>
          <w:tcPr>
            <w:tcW w:w="1277" w:type="dxa"/>
            <w:noWrap/>
            <w:vAlign w:val="center"/>
          </w:tcPr>
          <w:p w14:paraId="062FFA2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电话</w:t>
            </w:r>
          </w:p>
        </w:tc>
        <w:tc>
          <w:tcPr>
            <w:tcW w:w="1966" w:type="dxa"/>
            <w:gridSpan w:val="2"/>
            <w:noWrap/>
            <w:vAlign w:val="center"/>
          </w:tcPr>
          <w:p w14:paraId="266BD253">
            <w:pPr>
              <w:spacing w:line="440" w:lineRule="exact"/>
              <w:jc w:val="center"/>
              <w:rPr>
                <w:rFonts w:ascii="仿宋" w:hAnsi="仿宋" w:eastAsia="仿宋" w:cs="仿宋"/>
                <w:color w:val="auto"/>
                <w:sz w:val="24"/>
                <w:highlight w:val="none"/>
              </w:rPr>
            </w:pPr>
          </w:p>
        </w:tc>
      </w:tr>
      <w:tr w14:paraId="1FFD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116" w:type="dxa"/>
            <w:vMerge w:val="continue"/>
            <w:noWrap/>
            <w:vAlign w:val="center"/>
          </w:tcPr>
          <w:p w14:paraId="48C83CC3">
            <w:pPr>
              <w:spacing w:line="440" w:lineRule="exact"/>
              <w:jc w:val="center"/>
              <w:rPr>
                <w:rFonts w:ascii="仿宋" w:hAnsi="仿宋" w:eastAsia="仿宋" w:cs="仿宋"/>
                <w:color w:val="auto"/>
                <w:sz w:val="24"/>
                <w:highlight w:val="none"/>
              </w:rPr>
            </w:pPr>
          </w:p>
        </w:tc>
        <w:tc>
          <w:tcPr>
            <w:tcW w:w="959" w:type="dxa"/>
            <w:noWrap/>
            <w:vAlign w:val="center"/>
          </w:tcPr>
          <w:p w14:paraId="13A5C10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传真</w:t>
            </w:r>
          </w:p>
        </w:tc>
        <w:tc>
          <w:tcPr>
            <w:tcW w:w="2521" w:type="dxa"/>
            <w:gridSpan w:val="2"/>
            <w:noWrap/>
            <w:vAlign w:val="center"/>
          </w:tcPr>
          <w:p w14:paraId="5B55E88B">
            <w:pPr>
              <w:spacing w:line="440" w:lineRule="exact"/>
              <w:jc w:val="center"/>
              <w:rPr>
                <w:rFonts w:ascii="仿宋" w:hAnsi="仿宋" w:eastAsia="仿宋" w:cs="仿宋"/>
                <w:color w:val="auto"/>
                <w:sz w:val="24"/>
                <w:highlight w:val="none"/>
              </w:rPr>
            </w:pPr>
          </w:p>
        </w:tc>
        <w:tc>
          <w:tcPr>
            <w:tcW w:w="1277" w:type="dxa"/>
            <w:noWrap/>
            <w:vAlign w:val="center"/>
          </w:tcPr>
          <w:p w14:paraId="269C623D">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网址</w:t>
            </w:r>
          </w:p>
        </w:tc>
        <w:tc>
          <w:tcPr>
            <w:tcW w:w="1966" w:type="dxa"/>
            <w:gridSpan w:val="2"/>
            <w:noWrap/>
            <w:vAlign w:val="center"/>
          </w:tcPr>
          <w:p w14:paraId="337F9F48">
            <w:pPr>
              <w:spacing w:line="440" w:lineRule="exact"/>
              <w:jc w:val="center"/>
              <w:rPr>
                <w:rFonts w:ascii="仿宋" w:hAnsi="仿宋" w:eastAsia="仿宋" w:cs="仿宋"/>
                <w:color w:val="auto"/>
                <w:sz w:val="24"/>
                <w:highlight w:val="none"/>
              </w:rPr>
            </w:pPr>
          </w:p>
        </w:tc>
      </w:tr>
      <w:tr w14:paraId="22F3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116" w:type="dxa"/>
            <w:noWrap/>
            <w:vAlign w:val="center"/>
          </w:tcPr>
          <w:p w14:paraId="3908C9E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法定代表人</w:t>
            </w:r>
          </w:p>
        </w:tc>
        <w:tc>
          <w:tcPr>
            <w:tcW w:w="959" w:type="dxa"/>
            <w:noWrap/>
            <w:vAlign w:val="center"/>
          </w:tcPr>
          <w:p w14:paraId="26D55BBA">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1243" w:type="dxa"/>
            <w:noWrap/>
            <w:vAlign w:val="center"/>
          </w:tcPr>
          <w:p w14:paraId="10C811C8">
            <w:pPr>
              <w:spacing w:line="440" w:lineRule="exact"/>
              <w:jc w:val="center"/>
              <w:rPr>
                <w:rFonts w:ascii="仿宋" w:hAnsi="仿宋" w:eastAsia="仿宋" w:cs="仿宋"/>
                <w:color w:val="auto"/>
                <w:sz w:val="24"/>
                <w:highlight w:val="none"/>
              </w:rPr>
            </w:pPr>
          </w:p>
        </w:tc>
        <w:tc>
          <w:tcPr>
            <w:tcW w:w="1278" w:type="dxa"/>
            <w:noWrap/>
            <w:vAlign w:val="center"/>
          </w:tcPr>
          <w:p w14:paraId="473D9D55">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技术职称</w:t>
            </w:r>
          </w:p>
        </w:tc>
        <w:tc>
          <w:tcPr>
            <w:tcW w:w="1277" w:type="dxa"/>
            <w:noWrap/>
            <w:vAlign w:val="center"/>
          </w:tcPr>
          <w:p w14:paraId="5C76AC86">
            <w:pPr>
              <w:spacing w:line="440" w:lineRule="exact"/>
              <w:jc w:val="center"/>
              <w:rPr>
                <w:rFonts w:ascii="仿宋" w:hAnsi="仿宋" w:eastAsia="仿宋" w:cs="仿宋"/>
                <w:color w:val="auto"/>
                <w:sz w:val="24"/>
                <w:highlight w:val="none"/>
              </w:rPr>
            </w:pPr>
          </w:p>
        </w:tc>
        <w:tc>
          <w:tcPr>
            <w:tcW w:w="809" w:type="dxa"/>
            <w:noWrap/>
            <w:vAlign w:val="center"/>
          </w:tcPr>
          <w:p w14:paraId="3293104E">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电话</w:t>
            </w:r>
          </w:p>
        </w:tc>
        <w:tc>
          <w:tcPr>
            <w:tcW w:w="1157" w:type="dxa"/>
            <w:noWrap/>
            <w:vAlign w:val="center"/>
          </w:tcPr>
          <w:p w14:paraId="29B8416E">
            <w:pPr>
              <w:spacing w:line="440" w:lineRule="exact"/>
              <w:jc w:val="center"/>
              <w:rPr>
                <w:rFonts w:ascii="仿宋" w:hAnsi="仿宋" w:eastAsia="仿宋" w:cs="仿宋"/>
                <w:color w:val="auto"/>
                <w:sz w:val="24"/>
                <w:highlight w:val="none"/>
              </w:rPr>
            </w:pPr>
          </w:p>
        </w:tc>
      </w:tr>
      <w:tr w14:paraId="69ED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116" w:type="dxa"/>
            <w:noWrap/>
            <w:vAlign w:val="center"/>
          </w:tcPr>
          <w:p w14:paraId="5D65DBBF">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成立时间</w:t>
            </w:r>
          </w:p>
        </w:tc>
        <w:tc>
          <w:tcPr>
            <w:tcW w:w="2202" w:type="dxa"/>
            <w:gridSpan w:val="2"/>
            <w:noWrap/>
            <w:vAlign w:val="center"/>
          </w:tcPr>
          <w:p w14:paraId="2F249E2D">
            <w:pPr>
              <w:spacing w:line="440" w:lineRule="exact"/>
              <w:jc w:val="center"/>
              <w:rPr>
                <w:rFonts w:ascii="仿宋" w:hAnsi="仿宋" w:eastAsia="仿宋" w:cs="仿宋"/>
                <w:color w:val="auto"/>
                <w:sz w:val="24"/>
                <w:highlight w:val="none"/>
              </w:rPr>
            </w:pPr>
          </w:p>
        </w:tc>
        <w:tc>
          <w:tcPr>
            <w:tcW w:w="2555" w:type="dxa"/>
            <w:gridSpan w:val="2"/>
            <w:noWrap/>
            <w:vAlign w:val="center"/>
          </w:tcPr>
          <w:p w14:paraId="1466171E">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员工总人数</w:t>
            </w:r>
          </w:p>
        </w:tc>
        <w:tc>
          <w:tcPr>
            <w:tcW w:w="1966" w:type="dxa"/>
            <w:gridSpan w:val="2"/>
            <w:noWrap/>
            <w:vAlign w:val="center"/>
          </w:tcPr>
          <w:p w14:paraId="36155FA1">
            <w:pPr>
              <w:spacing w:line="440" w:lineRule="exact"/>
              <w:jc w:val="center"/>
              <w:rPr>
                <w:rFonts w:ascii="仿宋" w:hAnsi="仿宋" w:eastAsia="仿宋" w:cs="仿宋"/>
                <w:color w:val="auto"/>
                <w:sz w:val="24"/>
                <w:highlight w:val="none"/>
              </w:rPr>
            </w:pPr>
          </w:p>
        </w:tc>
      </w:tr>
      <w:tr w14:paraId="04D77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116" w:type="dxa"/>
            <w:noWrap/>
            <w:vAlign w:val="center"/>
          </w:tcPr>
          <w:p w14:paraId="4BA4357B">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营业执照号</w:t>
            </w:r>
          </w:p>
        </w:tc>
        <w:tc>
          <w:tcPr>
            <w:tcW w:w="6723" w:type="dxa"/>
            <w:gridSpan w:val="6"/>
            <w:noWrap/>
            <w:vAlign w:val="center"/>
          </w:tcPr>
          <w:p w14:paraId="23DB3828">
            <w:pPr>
              <w:spacing w:line="440" w:lineRule="exact"/>
              <w:jc w:val="center"/>
              <w:rPr>
                <w:rFonts w:ascii="仿宋" w:hAnsi="仿宋" w:eastAsia="仿宋" w:cs="仿宋"/>
                <w:color w:val="auto"/>
                <w:sz w:val="24"/>
                <w:highlight w:val="none"/>
              </w:rPr>
            </w:pPr>
          </w:p>
        </w:tc>
      </w:tr>
      <w:tr w14:paraId="04C8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116" w:type="dxa"/>
            <w:noWrap/>
            <w:vAlign w:val="center"/>
          </w:tcPr>
          <w:p w14:paraId="61F61353">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注册资金</w:t>
            </w:r>
          </w:p>
        </w:tc>
        <w:tc>
          <w:tcPr>
            <w:tcW w:w="6723" w:type="dxa"/>
            <w:gridSpan w:val="6"/>
            <w:noWrap/>
            <w:vAlign w:val="center"/>
          </w:tcPr>
          <w:p w14:paraId="63B3AA18">
            <w:pPr>
              <w:spacing w:line="440" w:lineRule="exact"/>
              <w:jc w:val="center"/>
              <w:rPr>
                <w:rFonts w:ascii="仿宋" w:hAnsi="仿宋" w:eastAsia="仿宋" w:cs="仿宋"/>
                <w:color w:val="auto"/>
                <w:sz w:val="24"/>
                <w:highlight w:val="none"/>
              </w:rPr>
            </w:pPr>
          </w:p>
        </w:tc>
      </w:tr>
      <w:tr w14:paraId="05E2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116" w:type="dxa"/>
            <w:noWrap/>
            <w:vAlign w:val="center"/>
          </w:tcPr>
          <w:p w14:paraId="023157A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开户银行</w:t>
            </w:r>
          </w:p>
        </w:tc>
        <w:tc>
          <w:tcPr>
            <w:tcW w:w="6723" w:type="dxa"/>
            <w:gridSpan w:val="6"/>
            <w:noWrap/>
            <w:vAlign w:val="center"/>
          </w:tcPr>
          <w:p w14:paraId="64412F66">
            <w:pPr>
              <w:spacing w:line="440" w:lineRule="exact"/>
              <w:jc w:val="center"/>
              <w:rPr>
                <w:rFonts w:ascii="仿宋" w:hAnsi="仿宋" w:eastAsia="仿宋" w:cs="仿宋"/>
                <w:color w:val="auto"/>
                <w:sz w:val="24"/>
                <w:highlight w:val="none"/>
              </w:rPr>
            </w:pPr>
          </w:p>
        </w:tc>
      </w:tr>
      <w:tr w14:paraId="792E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116" w:type="dxa"/>
            <w:noWrap/>
            <w:vAlign w:val="center"/>
          </w:tcPr>
          <w:p w14:paraId="2BE37970">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账号</w:t>
            </w:r>
          </w:p>
        </w:tc>
        <w:tc>
          <w:tcPr>
            <w:tcW w:w="6723" w:type="dxa"/>
            <w:gridSpan w:val="6"/>
            <w:noWrap/>
            <w:vAlign w:val="center"/>
          </w:tcPr>
          <w:p w14:paraId="5CA068A7">
            <w:pPr>
              <w:spacing w:line="440" w:lineRule="exact"/>
              <w:jc w:val="center"/>
              <w:rPr>
                <w:rFonts w:ascii="仿宋" w:hAnsi="仿宋" w:eastAsia="仿宋" w:cs="仿宋"/>
                <w:color w:val="auto"/>
                <w:sz w:val="24"/>
                <w:highlight w:val="none"/>
              </w:rPr>
            </w:pPr>
          </w:p>
        </w:tc>
      </w:tr>
      <w:tr w14:paraId="5C6D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3" w:hRule="atLeast"/>
          <w:jc w:val="center"/>
        </w:trPr>
        <w:tc>
          <w:tcPr>
            <w:tcW w:w="2116" w:type="dxa"/>
            <w:noWrap/>
            <w:vAlign w:val="center"/>
          </w:tcPr>
          <w:p w14:paraId="4D7501A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经营范围</w:t>
            </w:r>
          </w:p>
        </w:tc>
        <w:tc>
          <w:tcPr>
            <w:tcW w:w="6723" w:type="dxa"/>
            <w:gridSpan w:val="6"/>
            <w:noWrap/>
            <w:vAlign w:val="center"/>
          </w:tcPr>
          <w:p w14:paraId="5C89DC45">
            <w:pPr>
              <w:spacing w:line="440" w:lineRule="exact"/>
              <w:jc w:val="center"/>
              <w:rPr>
                <w:rFonts w:ascii="仿宋" w:hAnsi="仿宋" w:eastAsia="仿宋" w:cs="仿宋"/>
                <w:color w:val="auto"/>
                <w:sz w:val="24"/>
                <w:highlight w:val="none"/>
              </w:rPr>
            </w:pPr>
          </w:p>
        </w:tc>
      </w:tr>
      <w:tr w14:paraId="73FC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2116" w:type="dxa"/>
            <w:noWrap/>
            <w:vAlign w:val="center"/>
          </w:tcPr>
          <w:p w14:paraId="4AFA10EF">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备注</w:t>
            </w:r>
          </w:p>
        </w:tc>
        <w:tc>
          <w:tcPr>
            <w:tcW w:w="6723" w:type="dxa"/>
            <w:gridSpan w:val="6"/>
            <w:noWrap/>
            <w:vAlign w:val="center"/>
          </w:tcPr>
          <w:p w14:paraId="63528A20">
            <w:pPr>
              <w:spacing w:line="440" w:lineRule="exact"/>
              <w:jc w:val="center"/>
              <w:rPr>
                <w:rFonts w:ascii="仿宋" w:hAnsi="仿宋" w:eastAsia="仿宋" w:cs="仿宋"/>
                <w:color w:val="auto"/>
                <w:sz w:val="24"/>
                <w:highlight w:val="none"/>
              </w:rPr>
            </w:pPr>
          </w:p>
        </w:tc>
      </w:tr>
    </w:tbl>
    <w:p w14:paraId="75E792AF">
      <w:pPr>
        <w:autoSpaceDE w:val="0"/>
        <w:autoSpaceDN w:val="0"/>
        <w:rPr>
          <w:rFonts w:ascii="仿宋" w:hAnsi="仿宋" w:eastAsia="仿宋" w:cs="仿宋"/>
          <w:color w:val="auto"/>
          <w:sz w:val="18"/>
          <w:szCs w:val="18"/>
          <w:highlight w:val="none"/>
        </w:rPr>
      </w:pPr>
    </w:p>
    <w:bookmarkEnd w:id="152"/>
    <w:bookmarkEnd w:id="153"/>
    <w:bookmarkEnd w:id="154"/>
    <w:p w14:paraId="0B6BD94D">
      <w:pPr>
        <w:pStyle w:val="4"/>
        <w:spacing w:line="360" w:lineRule="auto"/>
        <w:rPr>
          <w:rFonts w:ascii="仿宋" w:hAnsi="仿宋" w:eastAsia="仿宋" w:cs="仿宋"/>
          <w:b w:val="0"/>
          <w:bCs w:val="0"/>
          <w:color w:val="auto"/>
          <w:highlight w:val="none"/>
        </w:rPr>
      </w:pPr>
      <w:r>
        <w:rPr>
          <w:rFonts w:hint="eastAsia" w:ascii="仿宋" w:hAnsi="仿宋" w:eastAsia="仿宋" w:cs="仿宋"/>
          <w:b w:val="0"/>
          <w:bCs w:val="0"/>
          <w:color w:val="auto"/>
          <w:sz w:val="24"/>
          <w:highlight w:val="none"/>
        </w:rPr>
        <w:br w:type="page"/>
      </w:r>
      <w:bookmarkStart w:id="155" w:name="_Toc444715743"/>
      <w:bookmarkStart w:id="156" w:name="_Toc17047"/>
      <w:bookmarkStart w:id="157" w:name="_Toc475868580"/>
      <w:r>
        <w:rPr>
          <w:rFonts w:hint="eastAsia" w:ascii="仿宋" w:hAnsi="仿宋" w:eastAsia="仿宋" w:cs="仿宋"/>
          <w:b w:val="0"/>
          <w:bCs w:val="0"/>
          <w:color w:val="auto"/>
          <w:sz w:val="28"/>
          <w:szCs w:val="28"/>
          <w:highlight w:val="none"/>
        </w:rPr>
        <w:t>7.</w:t>
      </w:r>
      <w:bookmarkEnd w:id="155"/>
      <w:bookmarkEnd w:id="156"/>
      <w:bookmarkEnd w:id="157"/>
      <w:r>
        <w:rPr>
          <w:rFonts w:hint="eastAsia" w:ascii="仿宋" w:hAnsi="仿宋" w:eastAsia="仿宋" w:cs="仿宋"/>
          <w:b w:val="0"/>
          <w:bCs w:val="0"/>
          <w:color w:val="auto"/>
          <w:sz w:val="28"/>
          <w:szCs w:val="28"/>
          <w:highlight w:val="none"/>
        </w:rPr>
        <w:t>2  近年完成的类似项目情况表</w:t>
      </w:r>
    </w:p>
    <w:tbl>
      <w:tblPr>
        <w:tblStyle w:val="30"/>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5"/>
        <w:gridCol w:w="6654"/>
      </w:tblGrid>
      <w:tr w14:paraId="0B6D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2825" w:type="dxa"/>
            <w:tcBorders>
              <w:top w:val="outset" w:color="auto" w:sz="6" w:space="0"/>
              <w:left w:val="outset" w:color="auto" w:sz="6" w:space="0"/>
              <w:bottom w:val="outset" w:color="auto" w:sz="6" w:space="0"/>
              <w:right w:val="outset" w:color="auto" w:sz="6" w:space="0"/>
            </w:tcBorders>
            <w:noWrap/>
            <w:vAlign w:val="center"/>
          </w:tcPr>
          <w:p w14:paraId="26F95176">
            <w:pPr>
              <w:spacing w:line="360" w:lineRule="auto"/>
              <w:ind w:firstLine="560" w:firstLineChars="200"/>
              <w:rPr>
                <w:rFonts w:ascii="仿宋" w:hAnsi="仿宋" w:eastAsia="仿宋" w:cs="仿宋"/>
                <w:color w:val="auto"/>
                <w:sz w:val="28"/>
                <w:szCs w:val="36"/>
                <w:highlight w:val="none"/>
              </w:rPr>
            </w:pPr>
            <w:r>
              <w:rPr>
                <w:rFonts w:hint="eastAsia" w:ascii="仿宋" w:hAnsi="仿宋" w:eastAsia="仿宋" w:cs="仿宋"/>
                <w:color w:val="auto"/>
                <w:sz w:val="28"/>
                <w:szCs w:val="36"/>
                <w:highlight w:val="none"/>
              </w:rPr>
              <w:t>项目名称</w:t>
            </w:r>
          </w:p>
        </w:tc>
        <w:tc>
          <w:tcPr>
            <w:tcW w:w="6654" w:type="dxa"/>
            <w:tcBorders>
              <w:top w:val="outset" w:color="auto" w:sz="6" w:space="0"/>
              <w:left w:val="outset" w:color="auto" w:sz="6" w:space="0"/>
              <w:bottom w:val="outset" w:color="auto" w:sz="6" w:space="0"/>
            </w:tcBorders>
            <w:noWrap/>
            <w:vAlign w:val="center"/>
          </w:tcPr>
          <w:p w14:paraId="747F1617">
            <w:pPr>
              <w:spacing w:line="360" w:lineRule="auto"/>
              <w:ind w:firstLine="560" w:firstLineChars="200"/>
              <w:rPr>
                <w:rFonts w:ascii="仿宋" w:hAnsi="仿宋" w:eastAsia="仿宋" w:cs="仿宋"/>
                <w:color w:val="auto"/>
                <w:sz w:val="28"/>
                <w:szCs w:val="36"/>
                <w:highlight w:val="none"/>
              </w:rPr>
            </w:pPr>
          </w:p>
        </w:tc>
      </w:tr>
      <w:tr w14:paraId="736A3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2825" w:type="dxa"/>
            <w:tcBorders>
              <w:top w:val="outset" w:color="auto" w:sz="6" w:space="0"/>
              <w:left w:val="outset" w:color="auto" w:sz="6" w:space="0"/>
              <w:bottom w:val="outset" w:color="auto" w:sz="6" w:space="0"/>
              <w:right w:val="outset" w:color="auto" w:sz="6" w:space="0"/>
            </w:tcBorders>
            <w:noWrap/>
            <w:vAlign w:val="center"/>
          </w:tcPr>
          <w:p w14:paraId="175260D6">
            <w:pPr>
              <w:spacing w:line="360" w:lineRule="auto"/>
              <w:ind w:firstLine="560" w:firstLineChars="200"/>
              <w:rPr>
                <w:rFonts w:ascii="仿宋" w:hAnsi="仿宋" w:eastAsia="仿宋" w:cs="仿宋"/>
                <w:color w:val="auto"/>
                <w:sz w:val="28"/>
                <w:szCs w:val="36"/>
                <w:highlight w:val="none"/>
              </w:rPr>
            </w:pPr>
            <w:r>
              <w:rPr>
                <w:rFonts w:hint="eastAsia" w:ascii="仿宋" w:hAnsi="仿宋" w:eastAsia="仿宋" w:cs="仿宋"/>
                <w:color w:val="auto"/>
                <w:sz w:val="28"/>
                <w:szCs w:val="36"/>
                <w:highlight w:val="none"/>
              </w:rPr>
              <w:t>项目所在地</w:t>
            </w:r>
          </w:p>
        </w:tc>
        <w:tc>
          <w:tcPr>
            <w:tcW w:w="6654" w:type="dxa"/>
            <w:tcBorders>
              <w:top w:val="outset" w:color="auto" w:sz="6" w:space="0"/>
              <w:left w:val="outset" w:color="auto" w:sz="6" w:space="0"/>
              <w:bottom w:val="outset" w:color="auto" w:sz="6" w:space="0"/>
            </w:tcBorders>
            <w:noWrap/>
            <w:vAlign w:val="center"/>
          </w:tcPr>
          <w:p w14:paraId="610AB96F">
            <w:pPr>
              <w:spacing w:line="360" w:lineRule="auto"/>
              <w:ind w:firstLine="560" w:firstLineChars="200"/>
              <w:rPr>
                <w:rFonts w:ascii="仿宋" w:hAnsi="仿宋" w:eastAsia="仿宋" w:cs="仿宋"/>
                <w:color w:val="auto"/>
                <w:sz w:val="28"/>
                <w:szCs w:val="36"/>
                <w:highlight w:val="none"/>
              </w:rPr>
            </w:pPr>
          </w:p>
        </w:tc>
      </w:tr>
      <w:tr w14:paraId="34C8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2825" w:type="dxa"/>
            <w:tcBorders>
              <w:top w:val="outset" w:color="auto" w:sz="6" w:space="0"/>
              <w:left w:val="outset" w:color="auto" w:sz="6" w:space="0"/>
              <w:bottom w:val="outset" w:color="auto" w:sz="6" w:space="0"/>
              <w:right w:val="outset" w:color="auto" w:sz="6" w:space="0"/>
            </w:tcBorders>
            <w:noWrap/>
            <w:vAlign w:val="center"/>
          </w:tcPr>
          <w:p w14:paraId="23F33D43">
            <w:pPr>
              <w:spacing w:line="360" w:lineRule="auto"/>
              <w:ind w:firstLine="560" w:firstLineChars="200"/>
              <w:rPr>
                <w:rFonts w:ascii="仿宋" w:hAnsi="仿宋" w:eastAsia="仿宋" w:cs="仿宋"/>
                <w:color w:val="auto"/>
                <w:sz w:val="28"/>
                <w:szCs w:val="36"/>
                <w:highlight w:val="none"/>
              </w:rPr>
            </w:pPr>
            <w:r>
              <w:rPr>
                <w:rFonts w:hint="eastAsia" w:ascii="仿宋" w:hAnsi="仿宋" w:eastAsia="仿宋" w:cs="仿宋"/>
                <w:color w:val="auto"/>
                <w:sz w:val="28"/>
                <w:szCs w:val="36"/>
                <w:highlight w:val="none"/>
              </w:rPr>
              <w:t>发包人名称</w:t>
            </w:r>
          </w:p>
        </w:tc>
        <w:tc>
          <w:tcPr>
            <w:tcW w:w="6654" w:type="dxa"/>
            <w:tcBorders>
              <w:top w:val="outset" w:color="auto" w:sz="6" w:space="0"/>
              <w:left w:val="outset" w:color="auto" w:sz="6" w:space="0"/>
              <w:bottom w:val="outset" w:color="auto" w:sz="6" w:space="0"/>
            </w:tcBorders>
            <w:noWrap/>
            <w:vAlign w:val="center"/>
          </w:tcPr>
          <w:p w14:paraId="1C10E808">
            <w:pPr>
              <w:spacing w:line="360" w:lineRule="auto"/>
              <w:ind w:firstLine="560" w:firstLineChars="200"/>
              <w:rPr>
                <w:rFonts w:ascii="仿宋" w:hAnsi="仿宋" w:eastAsia="仿宋" w:cs="仿宋"/>
                <w:color w:val="auto"/>
                <w:sz w:val="28"/>
                <w:szCs w:val="36"/>
                <w:highlight w:val="none"/>
              </w:rPr>
            </w:pPr>
          </w:p>
        </w:tc>
      </w:tr>
      <w:tr w14:paraId="6F3C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2825" w:type="dxa"/>
            <w:tcBorders>
              <w:top w:val="outset" w:color="auto" w:sz="6" w:space="0"/>
              <w:left w:val="outset" w:color="auto" w:sz="6" w:space="0"/>
              <w:bottom w:val="outset" w:color="auto" w:sz="6" w:space="0"/>
              <w:right w:val="outset" w:color="auto" w:sz="6" w:space="0"/>
            </w:tcBorders>
            <w:noWrap/>
            <w:vAlign w:val="center"/>
          </w:tcPr>
          <w:p w14:paraId="47D64167">
            <w:pPr>
              <w:spacing w:line="360" w:lineRule="auto"/>
              <w:ind w:firstLine="560" w:firstLineChars="200"/>
              <w:rPr>
                <w:rFonts w:ascii="仿宋" w:hAnsi="仿宋" w:eastAsia="仿宋" w:cs="仿宋"/>
                <w:color w:val="auto"/>
                <w:sz w:val="28"/>
                <w:szCs w:val="36"/>
                <w:highlight w:val="none"/>
              </w:rPr>
            </w:pPr>
            <w:r>
              <w:rPr>
                <w:rFonts w:hint="eastAsia" w:ascii="仿宋" w:hAnsi="仿宋" w:eastAsia="仿宋" w:cs="仿宋"/>
                <w:color w:val="auto"/>
                <w:sz w:val="28"/>
                <w:szCs w:val="36"/>
                <w:highlight w:val="none"/>
              </w:rPr>
              <w:t>合同价格</w:t>
            </w:r>
          </w:p>
        </w:tc>
        <w:tc>
          <w:tcPr>
            <w:tcW w:w="6654" w:type="dxa"/>
            <w:tcBorders>
              <w:top w:val="outset" w:color="auto" w:sz="6" w:space="0"/>
              <w:left w:val="outset" w:color="auto" w:sz="6" w:space="0"/>
              <w:bottom w:val="outset" w:color="auto" w:sz="6" w:space="0"/>
            </w:tcBorders>
            <w:noWrap/>
            <w:vAlign w:val="center"/>
          </w:tcPr>
          <w:p w14:paraId="73ABB5AC">
            <w:pPr>
              <w:spacing w:line="360" w:lineRule="auto"/>
              <w:ind w:firstLine="560" w:firstLineChars="200"/>
              <w:rPr>
                <w:rFonts w:ascii="仿宋" w:hAnsi="仿宋" w:eastAsia="仿宋" w:cs="仿宋"/>
                <w:color w:val="auto"/>
                <w:sz w:val="28"/>
                <w:szCs w:val="36"/>
                <w:highlight w:val="none"/>
              </w:rPr>
            </w:pPr>
          </w:p>
        </w:tc>
      </w:tr>
      <w:tr w14:paraId="4699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2825" w:type="dxa"/>
            <w:tcBorders>
              <w:top w:val="outset" w:color="auto" w:sz="6" w:space="0"/>
              <w:left w:val="outset" w:color="auto" w:sz="6" w:space="0"/>
              <w:bottom w:val="outset" w:color="auto" w:sz="6" w:space="0"/>
              <w:right w:val="outset" w:color="auto" w:sz="6" w:space="0"/>
            </w:tcBorders>
            <w:noWrap/>
            <w:vAlign w:val="center"/>
          </w:tcPr>
          <w:p w14:paraId="23F7C3B8">
            <w:pPr>
              <w:spacing w:line="360" w:lineRule="auto"/>
              <w:ind w:firstLine="560" w:firstLineChars="200"/>
              <w:rPr>
                <w:rFonts w:ascii="仿宋" w:hAnsi="仿宋" w:eastAsia="仿宋" w:cs="仿宋"/>
                <w:color w:val="auto"/>
                <w:sz w:val="28"/>
                <w:szCs w:val="36"/>
                <w:highlight w:val="none"/>
              </w:rPr>
            </w:pPr>
            <w:r>
              <w:rPr>
                <w:rFonts w:hint="eastAsia" w:ascii="仿宋" w:hAnsi="仿宋" w:eastAsia="仿宋" w:cs="仿宋"/>
                <w:color w:val="auto"/>
                <w:sz w:val="28"/>
                <w:szCs w:val="36"/>
                <w:highlight w:val="none"/>
              </w:rPr>
              <w:t>服务期限</w:t>
            </w:r>
          </w:p>
        </w:tc>
        <w:tc>
          <w:tcPr>
            <w:tcW w:w="6654" w:type="dxa"/>
            <w:tcBorders>
              <w:top w:val="outset" w:color="auto" w:sz="6" w:space="0"/>
              <w:left w:val="outset" w:color="auto" w:sz="6" w:space="0"/>
              <w:bottom w:val="outset" w:color="auto" w:sz="6" w:space="0"/>
            </w:tcBorders>
            <w:noWrap/>
            <w:vAlign w:val="center"/>
          </w:tcPr>
          <w:p w14:paraId="045C3C91">
            <w:pPr>
              <w:spacing w:line="360" w:lineRule="auto"/>
              <w:ind w:firstLine="560" w:firstLineChars="200"/>
              <w:rPr>
                <w:rFonts w:ascii="仿宋" w:hAnsi="仿宋" w:eastAsia="仿宋" w:cs="仿宋"/>
                <w:color w:val="auto"/>
                <w:sz w:val="28"/>
                <w:szCs w:val="36"/>
                <w:highlight w:val="none"/>
              </w:rPr>
            </w:pPr>
          </w:p>
        </w:tc>
      </w:tr>
      <w:tr w14:paraId="725E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2825" w:type="dxa"/>
            <w:tcBorders>
              <w:top w:val="outset" w:color="auto" w:sz="6" w:space="0"/>
              <w:left w:val="outset" w:color="auto" w:sz="6" w:space="0"/>
              <w:bottom w:val="outset" w:color="auto" w:sz="6" w:space="0"/>
              <w:right w:val="outset" w:color="auto" w:sz="6" w:space="0"/>
            </w:tcBorders>
            <w:noWrap/>
            <w:vAlign w:val="center"/>
          </w:tcPr>
          <w:p w14:paraId="64612614">
            <w:pPr>
              <w:spacing w:line="360" w:lineRule="auto"/>
              <w:ind w:firstLine="560" w:firstLineChars="200"/>
              <w:rPr>
                <w:rFonts w:ascii="仿宋" w:hAnsi="仿宋" w:eastAsia="仿宋" w:cs="仿宋"/>
                <w:color w:val="auto"/>
                <w:sz w:val="28"/>
                <w:szCs w:val="36"/>
                <w:highlight w:val="none"/>
              </w:rPr>
            </w:pPr>
            <w:r>
              <w:rPr>
                <w:rFonts w:hint="eastAsia" w:ascii="仿宋" w:hAnsi="仿宋" w:eastAsia="仿宋" w:cs="仿宋"/>
                <w:color w:val="auto"/>
                <w:sz w:val="28"/>
                <w:szCs w:val="36"/>
                <w:highlight w:val="none"/>
              </w:rPr>
              <w:t>承担的工作</w:t>
            </w:r>
          </w:p>
        </w:tc>
        <w:tc>
          <w:tcPr>
            <w:tcW w:w="6654" w:type="dxa"/>
            <w:tcBorders>
              <w:top w:val="outset" w:color="auto" w:sz="6" w:space="0"/>
              <w:left w:val="outset" w:color="auto" w:sz="6" w:space="0"/>
              <w:bottom w:val="outset" w:color="auto" w:sz="6" w:space="0"/>
            </w:tcBorders>
            <w:noWrap/>
            <w:vAlign w:val="center"/>
          </w:tcPr>
          <w:p w14:paraId="6D6FE4A7">
            <w:pPr>
              <w:spacing w:line="360" w:lineRule="auto"/>
              <w:ind w:firstLine="560" w:firstLineChars="200"/>
              <w:rPr>
                <w:rFonts w:ascii="仿宋" w:hAnsi="仿宋" w:eastAsia="仿宋" w:cs="仿宋"/>
                <w:color w:val="auto"/>
                <w:sz w:val="28"/>
                <w:szCs w:val="36"/>
                <w:highlight w:val="none"/>
              </w:rPr>
            </w:pPr>
          </w:p>
        </w:tc>
      </w:tr>
      <w:tr w14:paraId="3EFC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2825" w:type="dxa"/>
            <w:tcBorders>
              <w:top w:val="outset" w:color="auto" w:sz="6" w:space="0"/>
              <w:left w:val="outset" w:color="auto" w:sz="6" w:space="0"/>
              <w:bottom w:val="outset" w:color="auto" w:sz="6" w:space="0"/>
              <w:right w:val="outset" w:color="auto" w:sz="6" w:space="0"/>
            </w:tcBorders>
            <w:noWrap/>
            <w:vAlign w:val="center"/>
          </w:tcPr>
          <w:p w14:paraId="238FA55E">
            <w:pPr>
              <w:spacing w:line="360" w:lineRule="auto"/>
              <w:ind w:firstLine="560" w:firstLineChars="200"/>
              <w:rPr>
                <w:rFonts w:ascii="仿宋" w:hAnsi="仿宋" w:eastAsia="仿宋" w:cs="仿宋"/>
                <w:color w:val="auto"/>
                <w:sz w:val="28"/>
                <w:szCs w:val="36"/>
                <w:highlight w:val="none"/>
              </w:rPr>
            </w:pPr>
            <w:r>
              <w:rPr>
                <w:rFonts w:hint="eastAsia" w:ascii="仿宋" w:hAnsi="仿宋" w:eastAsia="仿宋" w:cs="仿宋"/>
                <w:color w:val="auto"/>
                <w:sz w:val="28"/>
                <w:szCs w:val="36"/>
                <w:highlight w:val="none"/>
              </w:rPr>
              <w:t>项目负责人</w:t>
            </w:r>
          </w:p>
        </w:tc>
        <w:tc>
          <w:tcPr>
            <w:tcW w:w="6654" w:type="dxa"/>
            <w:tcBorders>
              <w:top w:val="outset" w:color="auto" w:sz="6" w:space="0"/>
              <w:left w:val="outset" w:color="auto" w:sz="6" w:space="0"/>
              <w:bottom w:val="outset" w:color="auto" w:sz="6" w:space="0"/>
            </w:tcBorders>
            <w:noWrap/>
            <w:vAlign w:val="center"/>
          </w:tcPr>
          <w:p w14:paraId="19F9B52F">
            <w:pPr>
              <w:spacing w:line="360" w:lineRule="auto"/>
              <w:ind w:firstLine="560" w:firstLineChars="200"/>
              <w:rPr>
                <w:rFonts w:ascii="仿宋" w:hAnsi="仿宋" w:eastAsia="仿宋" w:cs="仿宋"/>
                <w:color w:val="auto"/>
                <w:sz w:val="28"/>
                <w:szCs w:val="36"/>
                <w:highlight w:val="none"/>
              </w:rPr>
            </w:pPr>
          </w:p>
        </w:tc>
      </w:tr>
      <w:tr w14:paraId="2D89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5" w:hRule="atLeast"/>
          <w:jc w:val="center"/>
        </w:trPr>
        <w:tc>
          <w:tcPr>
            <w:tcW w:w="2825" w:type="dxa"/>
            <w:tcBorders>
              <w:top w:val="outset" w:color="auto" w:sz="6" w:space="0"/>
              <w:left w:val="outset" w:color="auto" w:sz="6" w:space="0"/>
              <w:bottom w:val="outset" w:color="auto" w:sz="6" w:space="0"/>
              <w:right w:val="outset" w:color="auto" w:sz="6" w:space="0"/>
            </w:tcBorders>
            <w:noWrap/>
            <w:vAlign w:val="center"/>
          </w:tcPr>
          <w:p w14:paraId="1CF93244">
            <w:pPr>
              <w:spacing w:line="360" w:lineRule="auto"/>
              <w:ind w:firstLine="560" w:firstLineChars="200"/>
              <w:rPr>
                <w:rFonts w:ascii="仿宋" w:hAnsi="仿宋" w:eastAsia="仿宋" w:cs="仿宋"/>
                <w:color w:val="auto"/>
                <w:sz w:val="28"/>
                <w:szCs w:val="36"/>
                <w:highlight w:val="none"/>
              </w:rPr>
            </w:pPr>
            <w:r>
              <w:rPr>
                <w:rFonts w:hint="eastAsia" w:ascii="仿宋" w:hAnsi="仿宋" w:eastAsia="仿宋" w:cs="仿宋"/>
                <w:color w:val="auto"/>
                <w:sz w:val="28"/>
                <w:szCs w:val="36"/>
                <w:highlight w:val="none"/>
              </w:rPr>
              <w:t>项目描述</w:t>
            </w:r>
          </w:p>
        </w:tc>
        <w:tc>
          <w:tcPr>
            <w:tcW w:w="6654" w:type="dxa"/>
            <w:tcBorders>
              <w:top w:val="outset" w:color="auto" w:sz="6" w:space="0"/>
              <w:left w:val="outset" w:color="auto" w:sz="6" w:space="0"/>
              <w:bottom w:val="outset" w:color="auto" w:sz="6" w:space="0"/>
            </w:tcBorders>
            <w:noWrap/>
            <w:vAlign w:val="center"/>
          </w:tcPr>
          <w:p w14:paraId="2B521AAB">
            <w:pPr>
              <w:spacing w:line="360" w:lineRule="auto"/>
              <w:ind w:firstLine="560" w:firstLineChars="200"/>
              <w:rPr>
                <w:rFonts w:ascii="仿宋" w:hAnsi="仿宋" w:eastAsia="仿宋" w:cs="仿宋"/>
                <w:color w:val="auto"/>
                <w:sz w:val="28"/>
                <w:szCs w:val="36"/>
                <w:highlight w:val="none"/>
              </w:rPr>
            </w:pPr>
          </w:p>
        </w:tc>
      </w:tr>
      <w:tr w14:paraId="2F4B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1" w:hRule="atLeast"/>
          <w:jc w:val="center"/>
        </w:trPr>
        <w:tc>
          <w:tcPr>
            <w:tcW w:w="2825" w:type="dxa"/>
            <w:tcBorders>
              <w:top w:val="outset" w:color="auto" w:sz="6" w:space="0"/>
              <w:left w:val="outset" w:color="auto" w:sz="6" w:space="0"/>
              <w:right w:val="outset" w:color="auto" w:sz="6" w:space="0"/>
            </w:tcBorders>
            <w:noWrap/>
            <w:vAlign w:val="center"/>
          </w:tcPr>
          <w:p w14:paraId="7DB1DF51">
            <w:pPr>
              <w:spacing w:line="360" w:lineRule="auto"/>
              <w:ind w:firstLine="560" w:firstLineChars="200"/>
              <w:rPr>
                <w:rFonts w:ascii="仿宋" w:hAnsi="仿宋" w:eastAsia="仿宋" w:cs="仿宋"/>
                <w:color w:val="auto"/>
                <w:sz w:val="28"/>
                <w:szCs w:val="36"/>
                <w:highlight w:val="none"/>
              </w:rPr>
            </w:pPr>
            <w:r>
              <w:rPr>
                <w:rFonts w:hint="eastAsia" w:ascii="仿宋" w:hAnsi="仿宋" w:eastAsia="仿宋" w:cs="仿宋"/>
                <w:color w:val="auto"/>
                <w:sz w:val="28"/>
                <w:szCs w:val="36"/>
                <w:highlight w:val="none"/>
              </w:rPr>
              <w:t>备注</w:t>
            </w:r>
          </w:p>
        </w:tc>
        <w:tc>
          <w:tcPr>
            <w:tcW w:w="6654" w:type="dxa"/>
            <w:tcBorders>
              <w:top w:val="outset" w:color="auto" w:sz="6" w:space="0"/>
              <w:left w:val="outset" w:color="auto" w:sz="6" w:space="0"/>
            </w:tcBorders>
            <w:noWrap/>
            <w:vAlign w:val="center"/>
          </w:tcPr>
          <w:p w14:paraId="288458B3">
            <w:pPr>
              <w:spacing w:line="360" w:lineRule="auto"/>
              <w:ind w:firstLine="560" w:firstLineChars="200"/>
              <w:rPr>
                <w:rFonts w:ascii="仿宋" w:hAnsi="仿宋" w:eastAsia="仿宋" w:cs="仿宋"/>
                <w:color w:val="auto"/>
                <w:sz w:val="28"/>
                <w:szCs w:val="36"/>
                <w:highlight w:val="none"/>
              </w:rPr>
            </w:pPr>
          </w:p>
        </w:tc>
      </w:tr>
    </w:tbl>
    <w:p w14:paraId="463B2516">
      <w:pPr>
        <w:pStyle w:val="22"/>
        <w:spacing w:before="0" w:after="0" w:line="360" w:lineRule="auto"/>
        <w:jc w:val="left"/>
        <w:outlineLvl w:val="9"/>
        <w:rPr>
          <w:rFonts w:ascii="仿宋" w:hAnsi="仿宋" w:eastAsia="仿宋" w:cs="仿宋"/>
          <w:b w:val="0"/>
          <w:bCs w:val="0"/>
          <w:color w:val="auto"/>
          <w:highlight w:val="none"/>
        </w:rPr>
      </w:pPr>
    </w:p>
    <w:p w14:paraId="6EF08779">
      <w:pPr>
        <w:autoSpaceDE w:val="0"/>
        <w:autoSpaceDN w:val="0"/>
        <w:adjustRightInd w:val="0"/>
        <w:spacing w:line="360" w:lineRule="auto"/>
        <w:rPr>
          <w:rFonts w:ascii="仿宋" w:hAnsi="仿宋" w:eastAsia="仿宋" w:cs="仿宋"/>
          <w:color w:val="auto"/>
          <w:kern w:val="0"/>
          <w:sz w:val="24"/>
          <w:highlight w:val="none"/>
          <w:lang w:val="zh-CN"/>
        </w:rPr>
      </w:pPr>
    </w:p>
    <w:p w14:paraId="747B2831">
      <w:pPr>
        <w:rPr>
          <w:rFonts w:ascii="仿宋" w:hAnsi="仿宋" w:eastAsia="仿宋" w:cs="仿宋"/>
          <w:color w:val="auto"/>
          <w:kern w:val="0"/>
          <w:sz w:val="24"/>
          <w:highlight w:val="none"/>
          <w:lang w:val="zh-CN"/>
        </w:rPr>
      </w:pPr>
    </w:p>
    <w:p w14:paraId="75673199">
      <w:pPr>
        <w:pStyle w:val="8"/>
        <w:rPr>
          <w:rFonts w:ascii="仿宋" w:hAnsi="仿宋" w:eastAsia="仿宋" w:cs="仿宋"/>
          <w:color w:val="auto"/>
          <w:sz w:val="24"/>
          <w:highlight w:val="none"/>
        </w:rPr>
      </w:pPr>
      <w:bookmarkStart w:id="158" w:name="_Toc260298952"/>
      <w:bookmarkStart w:id="159" w:name="_Toc396499820"/>
      <w:bookmarkStart w:id="160" w:name="_Toc22648"/>
      <w:bookmarkStart w:id="161" w:name="_Toc16498"/>
    </w:p>
    <w:p w14:paraId="2A0A30FB">
      <w:pPr>
        <w:pStyle w:val="4"/>
        <w:spacing w:line="360" w:lineRule="auto"/>
        <w:rPr>
          <w:rFonts w:ascii="仿宋" w:hAnsi="仿宋" w:eastAsia="仿宋" w:cs="仿宋"/>
          <w:color w:val="auto"/>
          <w:sz w:val="24"/>
          <w:highlight w:val="none"/>
        </w:rPr>
      </w:pPr>
      <w:bookmarkStart w:id="162" w:name="_Toc16031"/>
      <w:bookmarkStart w:id="163" w:name="_Toc12485"/>
      <w:bookmarkStart w:id="164" w:name="_Toc3564"/>
      <w:r>
        <w:rPr>
          <w:rFonts w:hint="eastAsia" w:ascii="仿宋" w:hAnsi="仿宋" w:eastAsia="仿宋" w:cs="仿宋"/>
          <w:b w:val="0"/>
          <w:bCs w:val="0"/>
          <w:color w:val="auto"/>
          <w:sz w:val="24"/>
          <w:highlight w:val="none"/>
        </w:rPr>
        <w:br w:type="page"/>
      </w:r>
      <w:r>
        <w:rPr>
          <w:rFonts w:hint="eastAsia" w:ascii="仿宋" w:hAnsi="仿宋" w:eastAsia="仿宋" w:cs="仿宋"/>
          <w:b w:val="0"/>
          <w:bCs w:val="0"/>
          <w:color w:val="auto"/>
          <w:sz w:val="28"/>
          <w:szCs w:val="28"/>
          <w:highlight w:val="none"/>
        </w:rPr>
        <w:t>7.3</w:t>
      </w:r>
      <w:bookmarkEnd w:id="158"/>
      <w:bookmarkEnd w:id="159"/>
      <w:bookmarkEnd w:id="160"/>
      <w:bookmarkEnd w:id="161"/>
      <w:bookmarkEnd w:id="162"/>
      <w:bookmarkEnd w:id="163"/>
      <w:bookmarkEnd w:id="164"/>
      <w:r>
        <w:rPr>
          <w:rFonts w:hint="eastAsia" w:ascii="仿宋" w:hAnsi="仿宋" w:eastAsia="仿宋" w:cs="仿宋"/>
          <w:b w:val="0"/>
          <w:bCs w:val="0"/>
          <w:color w:val="auto"/>
          <w:sz w:val="28"/>
          <w:szCs w:val="28"/>
          <w:highlight w:val="none"/>
        </w:rPr>
        <w:t>　财务要求</w:t>
      </w:r>
    </w:p>
    <w:p w14:paraId="51C10D46">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提供2025年度的会计师事务所或审计机构审计的财务会计报表，包括审计报告、资产负债表、现金流量表、利润表和财务（会计）报表附注的复印件、并提供第三方机构的营业执照、执业证书复印件。如投标人的成立时间少于投标人须知前附表规定年份的，应提供成立以来的财务状况表或开标前</w:t>
      </w:r>
      <w:r>
        <w:rPr>
          <w:rFonts w:hint="eastAsia" w:ascii="仿宋" w:hAnsi="仿宋" w:eastAsia="仿宋" w:cs="仿宋"/>
          <w:color w:val="auto"/>
          <w:sz w:val="24"/>
          <w:highlight w:val="none"/>
          <w:lang w:val="zh-CN"/>
        </w:rPr>
        <w:t>近三个月内出具的资信证明</w:t>
      </w:r>
      <w:r>
        <w:rPr>
          <w:rFonts w:hint="eastAsia" w:ascii="仿宋" w:hAnsi="仿宋" w:eastAsia="仿宋" w:cs="仿宋"/>
          <w:color w:val="auto"/>
          <w:sz w:val="24"/>
          <w:highlight w:val="none"/>
        </w:rPr>
        <w:t>。</w:t>
      </w:r>
    </w:p>
    <w:p w14:paraId="32F1B1D7">
      <w:pPr>
        <w:spacing w:line="440" w:lineRule="exact"/>
        <w:jc w:val="center"/>
        <w:rPr>
          <w:rFonts w:ascii="仿宋" w:hAnsi="仿宋" w:eastAsia="仿宋" w:cs="仿宋"/>
          <w:color w:val="auto"/>
          <w:sz w:val="24"/>
          <w:highlight w:val="none"/>
        </w:rPr>
        <w:sectPr>
          <w:footerReference r:id="rId10" w:type="default"/>
          <w:pgSz w:w="11906" w:h="16838"/>
          <w:pgMar w:top="1247" w:right="1474" w:bottom="1247" w:left="1474" w:header="851" w:footer="567" w:gutter="0"/>
          <w:cols w:space="720" w:num="1"/>
          <w:docGrid w:linePitch="312" w:charSpace="0"/>
        </w:sectPr>
      </w:pPr>
      <w:r>
        <w:rPr>
          <w:rFonts w:hint="eastAsia" w:ascii="仿宋" w:hAnsi="仿宋" w:eastAsia="仿宋" w:cs="仿宋"/>
          <w:color w:val="auto"/>
          <w:sz w:val="24"/>
          <w:highlight w:val="none"/>
        </w:rPr>
        <w:t>　</w:t>
      </w:r>
    </w:p>
    <w:p w14:paraId="3786E905">
      <w:pPr>
        <w:pStyle w:val="3"/>
        <w:rPr>
          <w:rFonts w:ascii="仿宋" w:hAnsi="仿宋" w:eastAsia="仿宋" w:cs="仿宋"/>
          <w:b w:val="0"/>
          <w:bCs w:val="0"/>
          <w:color w:val="auto"/>
          <w:highlight w:val="none"/>
        </w:rPr>
      </w:pPr>
      <w:bookmarkStart w:id="165" w:name="_Toc9800"/>
      <w:bookmarkStart w:id="166" w:name="_Toc31142"/>
      <w:bookmarkStart w:id="167" w:name="_Toc21164"/>
      <w:bookmarkStart w:id="168" w:name="_Toc441077961"/>
      <w:bookmarkStart w:id="169" w:name="_Toc5740"/>
      <w:r>
        <w:rPr>
          <w:rFonts w:hint="eastAsia" w:ascii="仿宋" w:hAnsi="仿宋" w:eastAsia="仿宋" w:cs="仿宋"/>
          <w:b w:val="0"/>
          <w:bCs w:val="0"/>
          <w:color w:val="auto"/>
          <w:highlight w:val="none"/>
        </w:rPr>
        <w:t>八、其他材料</w:t>
      </w:r>
      <w:bookmarkEnd w:id="165"/>
      <w:bookmarkEnd w:id="166"/>
      <w:bookmarkEnd w:id="167"/>
      <w:bookmarkEnd w:id="168"/>
      <w:bookmarkEnd w:id="169"/>
    </w:p>
    <w:p w14:paraId="1089A1F2">
      <w:pPr>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1、信用中国</w:t>
      </w:r>
    </w:p>
    <w:p w14:paraId="6329A9BF">
      <w:pPr>
        <w:pStyle w:val="109"/>
        <w:numPr>
          <w:ilvl w:val="0"/>
          <w:numId w:val="0"/>
        </w:numPr>
        <w:ind w:left="993"/>
        <w:rPr>
          <w:rFonts w:ascii="仿宋" w:hAnsi="仿宋" w:eastAsia="仿宋" w:cs="仿宋"/>
          <w:b w:val="0"/>
          <w:color w:val="auto"/>
          <w:highlight w:val="none"/>
        </w:rPr>
      </w:pPr>
    </w:p>
    <w:p w14:paraId="3F474D3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2、供应商在参加本项目投标中根据询比文件的要求认为需要说明的事项，如没有说明事项，此项可忽略。（格式可自定）</w:t>
      </w:r>
    </w:p>
    <w:p w14:paraId="33394613">
      <w:pPr>
        <w:spacing w:line="360" w:lineRule="auto"/>
        <w:rPr>
          <w:rFonts w:hint="eastAsia" w:ascii="仿宋" w:hAnsi="仿宋" w:eastAsia="仿宋" w:cs="仿宋"/>
          <w:color w:val="auto"/>
          <w:sz w:val="28"/>
          <w:szCs w:val="28"/>
          <w:highlight w:val="none"/>
          <w:lang w:val="en-US" w:eastAsia="zh-CN"/>
        </w:rPr>
      </w:pPr>
    </w:p>
    <w:p w14:paraId="0F750A76">
      <w:pPr>
        <w:spacing w:line="360" w:lineRule="auto"/>
        <w:rPr>
          <w:rFonts w:hint="eastAsia" w:ascii="仿宋" w:hAnsi="仿宋" w:eastAsia="仿宋" w:cs="仿宋"/>
          <w:color w:val="auto"/>
          <w:sz w:val="28"/>
          <w:szCs w:val="28"/>
          <w:highlight w:val="none"/>
          <w:lang w:val="en-US" w:eastAsia="zh-CN"/>
        </w:rPr>
      </w:pPr>
    </w:p>
    <w:p w14:paraId="7A7B785F">
      <w:pPr>
        <w:spacing w:line="360" w:lineRule="auto"/>
        <w:rPr>
          <w:rFonts w:hint="eastAsia" w:ascii="仿宋" w:hAnsi="仿宋" w:eastAsia="仿宋" w:cs="仿宋"/>
          <w:color w:val="auto"/>
          <w:sz w:val="28"/>
          <w:szCs w:val="28"/>
          <w:highlight w:val="none"/>
          <w:lang w:val="en-US" w:eastAsia="zh-CN"/>
        </w:rPr>
      </w:pPr>
    </w:p>
    <w:p w14:paraId="0FEF6DA7">
      <w:pPr>
        <w:spacing w:line="360" w:lineRule="auto"/>
        <w:rPr>
          <w:rFonts w:hint="eastAsia" w:ascii="仿宋" w:hAnsi="仿宋" w:eastAsia="仿宋" w:cs="仿宋"/>
          <w:color w:val="auto"/>
          <w:sz w:val="28"/>
          <w:szCs w:val="28"/>
          <w:highlight w:val="none"/>
          <w:lang w:val="en-US" w:eastAsia="zh-CN"/>
        </w:rPr>
      </w:pPr>
    </w:p>
    <w:p w14:paraId="398918CC">
      <w:pPr>
        <w:spacing w:line="360" w:lineRule="auto"/>
        <w:rPr>
          <w:rFonts w:hint="eastAsia" w:ascii="仿宋" w:hAnsi="仿宋" w:eastAsia="仿宋" w:cs="仿宋"/>
          <w:color w:val="auto"/>
          <w:sz w:val="28"/>
          <w:szCs w:val="28"/>
          <w:highlight w:val="none"/>
          <w:lang w:val="en-US" w:eastAsia="zh-CN"/>
        </w:rPr>
      </w:pPr>
    </w:p>
    <w:p w14:paraId="6B75F71B">
      <w:pPr>
        <w:spacing w:line="360" w:lineRule="auto"/>
        <w:rPr>
          <w:rFonts w:hint="eastAsia" w:ascii="仿宋" w:hAnsi="仿宋" w:eastAsia="仿宋" w:cs="仿宋"/>
          <w:color w:val="auto"/>
          <w:sz w:val="28"/>
          <w:szCs w:val="28"/>
          <w:highlight w:val="none"/>
          <w:lang w:val="en-US" w:eastAsia="zh-CN"/>
        </w:rPr>
      </w:pPr>
    </w:p>
    <w:p w14:paraId="22937734">
      <w:pPr>
        <w:spacing w:line="360" w:lineRule="auto"/>
        <w:rPr>
          <w:rFonts w:hint="eastAsia" w:ascii="仿宋" w:hAnsi="仿宋" w:eastAsia="仿宋" w:cs="仿宋"/>
          <w:color w:val="auto"/>
          <w:sz w:val="28"/>
          <w:szCs w:val="28"/>
          <w:highlight w:val="none"/>
          <w:lang w:val="en-US" w:eastAsia="zh-CN"/>
        </w:rPr>
      </w:pPr>
    </w:p>
    <w:p w14:paraId="6B6372A1">
      <w:pPr>
        <w:spacing w:line="360" w:lineRule="auto"/>
        <w:rPr>
          <w:rFonts w:hint="eastAsia" w:ascii="仿宋" w:hAnsi="仿宋" w:eastAsia="仿宋" w:cs="仿宋"/>
          <w:color w:val="auto"/>
          <w:sz w:val="28"/>
          <w:szCs w:val="28"/>
          <w:highlight w:val="none"/>
          <w:lang w:val="en-US" w:eastAsia="zh-CN"/>
        </w:rPr>
      </w:pPr>
    </w:p>
    <w:p w14:paraId="3A9E43FF">
      <w:pPr>
        <w:spacing w:line="360" w:lineRule="auto"/>
        <w:rPr>
          <w:rFonts w:hint="eastAsia" w:ascii="仿宋" w:hAnsi="仿宋" w:eastAsia="仿宋" w:cs="仿宋"/>
          <w:color w:val="auto"/>
          <w:sz w:val="28"/>
          <w:szCs w:val="28"/>
          <w:highlight w:val="none"/>
          <w:lang w:val="en-US" w:eastAsia="zh-CN"/>
        </w:rPr>
      </w:pPr>
    </w:p>
    <w:p w14:paraId="2BC9874C">
      <w:pPr>
        <w:spacing w:line="360" w:lineRule="auto"/>
        <w:rPr>
          <w:rFonts w:hint="eastAsia" w:ascii="仿宋" w:hAnsi="仿宋" w:eastAsia="仿宋" w:cs="仿宋"/>
          <w:color w:val="auto"/>
          <w:sz w:val="28"/>
          <w:szCs w:val="28"/>
          <w:highlight w:val="none"/>
          <w:lang w:val="en-US" w:eastAsia="zh-CN"/>
        </w:rPr>
      </w:pPr>
    </w:p>
    <w:p w14:paraId="23BE13D9">
      <w:pPr>
        <w:spacing w:line="360" w:lineRule="auto"/>
        <w:rPr>
          <w:rFonts w:hint="eastAsia" w:ascii="仿宋" w:hAnsi="仿宋" w:eastAsia="仿宋" w:cs="仿宋"/>
          <w:color w:val="auto"/>
          <w:sz w:val="28"/>
          <w:szCs w:val="28"/>
          <w:highlight w:val="none"/>
          <w:lang w:val="en-US" w:eastAsia="zh-CN"/>
        </w:rPr>
      </w:pPr>
    </w:p>
    <w:p w14:paraId="69285244">
      <w:pPr>
        <w:spacing w:line="360" w:lineRule="auto"/>
        <w:rPr>
          <w:rFonts w:hint="eastAsia" w:ascii="仿宋" w:hAnsi="仿宋" w:eastAsia="仿宋" w:cs="仿宋"/>
          <w:color w:val="auto"/>
          <w:sz w:val="28"/>
          <w:szCs w:val="28"/>
          <w:highlight w:val="none"/>
          <w:lang w:val="en-US" w:eastAsia="zh-CN"/>
        </w:rPr>
      </w:pPr>
    </w:p>
    <w:p w14:paraId="0FE9FCC1">
      <w:pPr>
        <w:spacing w:line="360" w:lineRule="auto"/>
        <w:rPr>
          <w:rFonts w:hint="eastAsia" w:ascii="仿宋" w:hAnsi="仿宋" w:eastAsia="仿宋" w:cs="仿宋"/>
          <w:color w:val="auto"/>
          <w:sz w:val="28"/>
          <w:szCs w:val="28"/>
          <w:highlight w:val="none"/>
          <w:lang w:val="en-US" w:eastAsia="zh-CN"/>
        </w:rPr>
      </w:pPr>
    </w:p>
    <w:p w14:paraId="7F332531">
      <w:pPr>
        <w:spacing w:line="360" w:lineRule="auto"/>
        <w:rPr>
          <w:rFonts w:hint="eastAsia" w:ascii="仿宋" w:hAnsi="仿宋" w:eastAsia="仿宋" w:cs="仿宋"/>
          <w:color w:val="auto"/>
          <w:sz w:val="28"/>
          <w:szCs w:val="28"/>
          <w:highlight w:val="none"/>
          <w:lang w:val="en-US" w:eastAsia="zh-CN"/>
        </w:rPr>
      </w:pPr>
    </w:p>
    <w:p w14:paraId="5C493458">
      <w:pPr>
        <w:spacing w:line="360" w:lineRule="auto"/>
        <w:rPr>
          <w:rFonts w:hint="eastAsia" w:ascii="仿宋" w:hAnsi="仿宋" w:eastAsia="仿宋" w:cs="仿宋"/>
          <w:color w:val="auto"/>
          <w:sz w:val="28"/>
          <w:szCs w:val="28"/>
          <w:highlight w:val="none"/>
          <w:lang w:val="en-US" w:eastAsia="zh-CN"/>
        </w:rPr>
      </w:pPr>
    </w:p>
    <w:p w14:paraId="7FF653FF">
      <w:pPr>
        <w:spacing w:line="360" w:lineRule="auto"/>
        <w:rPr>
          <w:rFonts w:hint="eastAsia" w:ascii="仿宋" w:hAnsi="仿宋" w:eastAsia="仿宋" w:cs="仿宋"/>
          <w:color w:val="auto"/>
          <w:sz w:val="28"/>
          <w:szCs w:val="28"/>
          <w:highlight w:val="none"/>
          <w:lang w:val="en-US" w:eastAsia="zh-CN"/>
        </w:rPr>
      </w:pPr>
    </w:p>
    <w:p w14:paraId="120B7824">
      <w:pPr>
        <w:spacing w:line="360" w:lineRule="auto"/>
        <w:rPr>
          <w:rFonts w:hint="eastAsia" w:ascii="仿宋" w:hAnsi="仿宋" w:eastAsia="仿宋" w:cs="仿宋"/>
          <w:color w:val="auto"/>
          <w:sz w:val="28"/>
          <w:szCs w:val="28"/>
          <w:highlight w:val="none"/>
          <w:lang w:val="en-US" w:eastAsia="zh-CN"/>
        </w:rPr>
      </w:pPr>
    </w:p>
    <w:p w14:paraId="12DBB3B4">
      <w:pPr>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3、响应保证金</w:t>
      </w:r>
    </w:p>
    <w:p w14:paraId="1754ED8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采用转账方式的，供应商应在此提供转账凭证复印件。</w:t>
      </w:r>
    </w:p>
    <w:p w14:paraId="1E22A95E">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采用支票、汇票等方式的，供应商应在此提供支票、汇票等的复印件，原件应单独</w:t>
      </w:r>
      <w:r>
        <w:rPr>
          <w:rFonts w:hint="eastAsia" w:ascii="仿宋" w:hAnsi="仿宋" w:eastAsia="仿宋" w:cs="仿宋"/>
          <w:color w:val="auto"/>
          <w:sz w:val="24"/>
          <w:highlight w:val="none"/>
          <w:lang w:val="en-US" w:eastAsia="zh-CN"/>
        </w:rPr>
        <w:t>递交。</w:t>
      </w:r>
    </w:p>
    <w:p w14:paraId="7D7AE7E0">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采用银行或担保机构担保函方式的，</w:t>
      </w:r>
      <w:r>
        <w:rPr>
          <w:rFonts w:hint="eastAsia" w:ascii="仿宋" w:hAnsi="仿宋" w:eastAsia="仿宋" w:cs="仿宋"/>
          <w:color w:val="auto"/>
          <w:sz w:val="24"/>
          <w:highlight w:val="none"/>
          <w:lang w:val="en-US" w:eastAsia="zh-CN"/>
        </w:rPr>
        <w:t>提供保函。</w:t>
      </w:r>
    </w:p>
    <w:p w14:paraId="29B54285">
      <w:pPr>
        <w:spacing w:line="360" w:lineRule="auto"/>
        <w:ind w:firstLine="480" w:firstLineChars="200"/>
        <w:rPr>
          <w:rFonts w:hint="eastAsia" w:ascii="仿宋" w:hAnsi="仿宋" w:eastAsia="仿宋" w:cs="仿宋"/>
          <w:color w:val="auto"/>
          <w:sz w:val="24"/>
          <w:highlight w:val="none"/>
          <w:lang w:val="en-US"/>
        </w:rPr>
      </w:pPr>
      <w:r>
        <w:rPr>
          <w:rFonts w:hint="eastAsia" w:ascii="仿宋" w:hAnsi="仿宋" w:eastAsia="仿宋" w:cs="仿宋"/>
          <w:color w:val="auto"/>
          <w:sz w:val="24"/>
          <w:highlight w:val="none"/>
          <w:lang w:val="en-US" w:eastAsia="zh-CN"/>
        </w:rPr>
        <w:t>（4）提供供应商账号信息</w:t>
      </w:r>
    </w:p>
    <w:tbl>
      <w:tblPr>
        <w:tblStyle w:val="31"/>
        <w:tblpPr w:leftFromText="180" w:rightFromText="180" w:vertAnchor="text" w:horzAnchor="page" w:tblpX="2719" w:tblpY="34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1"/>
        <w:gridCol w:w="4619"/>
      </w:tblGrid>
      <w:tr w14:paraId="4FFC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861" w:type="dxa"/>
          </w:tcPr>
          <w:p w14:paraId="310D669B">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收款单位</w:t>
            </w:r>
          </w:p>
        </w:tc>
        <w:tc>
          <w:tcPr>
            <w:tcW w:w="4619" w:type="dxa"/>
          </w:tcPr>
          <w:p w14:paraId="7D3323BD">
            <w:pPr>
              <w:rPr>
                <w:rFonts w:hint="eastAsia" w:ascii="仿宋" w:hAnsi="仿宋" w:eastAsia="仿宋" w:cs="仿宋"/>
                <w:color w:val="auto"/>
                <w:sz w:val="24"/>
                <w:highlight w:val="none"/>
                <w:vertAlign w:val="baseline"/>
                <w:lang w:val="en-US" w:eastAsia="zh-CN"/>
              </w:rPr>
            </w:pPr>
          </w:p>
        </w:tc>
      </w:tr>
      <w:tr w14:paraId="59745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861" w:type="dxa"/>
          </w:tcPr>
          <w:p w14:paraId="3197CB0C">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开户行</w:t>
            </w:r>
          </w:p>
        </w:tc>
        <w:tc>
          <w:tcPr>
            <w:tcW w:w="4619" w:type="dxa"/>
          </w:tcPr>
          <w:p w14:paraId="6414A738">
            <w:pPr>
              <w:rPr>
                <w:rFonts w:hint="eastAsia" w:ascii="仿宋" w:hAnsi="仿宋" w:eastAsia="仿宋" w:cs="仿宋"/>
                <w:color w:val="auto"/>
                <w:sz w:val="24"/>
                <w:highlight w:val="none"/>
                <w:vertAlign w:val="baseline"/>
                <w:lang w:val="en-US" w:eastAsia="zh-CN"/>
              </w:rPr>
            </w:pPr>
          </w:p>
        </w:tc>
      </w:tr>
      <w:tr w14:paraId="5014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861" w:type="dxa"/>
          </w:tcPr>
          <w:p w14:paraId="39B98CF9">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银行账号</w:t>
            </w:r>
          </w:p>
        </w:tc>
        <w:tc>
          <w:tcPr>
            <w:tcW w:w="4619" w:type="dxa"/>
          </w:tcPr>
          <w:p w14:paraId="67AC21C8">
            <w:pPr>
              <w:rPr>
                <w:rFonts w:hint="eastAsia" w:ascii="仿宋" w:hAnsi="仿宋" w:eastAsia="仿宋" w:cs="仿宋"/>
                <w:color w:val="auto"/>
                <w:sz w:val="24"/>
                <w:highlight w:val="none"/>
                <w:vertAlign w:val="baseline"/>
                <w:lang w:val="en-US" w:eastAsia="zh-CN"/>
              </w:rPr>
            </w:pPr>
          </w:p>
        </w:tc>
      </w:tr>
    </w:tbl>
    <w:p w14:paraId="2B60645C">
      <w:pPr>
        <w:rPr>
          <w:rFonts w:hint="default" w:ascii="仿宋" w:hAnsi="仿宋" w:eastAsia="仿宋" w:cs="仿宋"/>
          <w:color w:val="auto"/>
          <w:sz w:val="24"/>
          <w:highlight w:val="none"/>
          <w:lang w:val="en-US" w:eastAsia="zh-CN"/>
        </w:rPr>
      </w:pPr>
    </w:p>
    <w:sectPr>
      <w:headerReference r:id="rId11" w:type="default"/>
      <w:footerReference r:id="rId12" w:type="default"/>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宋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1D4EE">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3BC9E">
    <w:pPr>
      <w:pStyle w:val="17"/>
      <w:rPr>
        <w:rFonts w:eastAsia="仿宋_GB2312"/>
        <w:sz w:val="24"/>
      </w:rPr>
    </w:pPr>
    <w:r>
      <w:rPr>
        <w:sz w:val="24"/>
      </w:rP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path/>
          <v:fill on="f" focussize="0,0"/>
          <v:stroke on="f" weight="0.5pt" joinstyle="miter"/>
          <v:imagedata o:title=""/>
          <o:lock v:ext="edit"/>
          <v:textbox inset="0mm,0mm,0mm,0mm" style="mso-fit-shape-to-text:t;">
            <w:txbxContent>
              <w:p w14:paraId="6015A4FA">
                <w:pPr>
                  <w:pStyle w:val="17"/>
                </w:pPr>
                <w:r>
                  <w:t xml:space="preserve">第 </w:t>
                </w:r>
                <w:r>
                  <w:fldChar w:fldCharType="begin"/>
                </w:r>
                <w:r>
                  <w:instrText xml:space="preserve"> PAGE  \* MERGEFORMAT </w:instrText>
                </w:r>
                <w:r>
                  <w:fldChar w:fldCharType="separate"/>
                </w:r>
                <w:r>
                  <w:t>23</w:t>
                </w:r>
                <w:r>
                  <w:fldChar w:fldCharType="end"/>
                </w:r>
                <w:r>
                  <w:t xml:space="preserve"> 页</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C54AA">
    <w:pPr>
      <w:pStyle w:val="17"/>
    </w:pPr>
    <w:r>
      <w:pict>
        <v:shape id="_x0000_s1029" o:spid="_x0000_s102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14:paraId="28209574">
                <w:pPr>
                  <w:pStyle w:val="17"/>
                </w:pPr>
                <w:r>
                  <w:t xml:space="preserve">第 </w:t>
                </w:r>
                <w:r>
                  <w:fldChar w:fldCharType="begin"/>
                </w:r>
                <w:r>
                  <w:instrText xml:space="preserve"> PAGE  \* MERGEFORMAT </w:instrText>
                </w:r>
                <w:r>
                  <w:fldChar w:fldCharType="separate"/>
                </w:r>
                <w:r>
                  <w:t>35</w:t>
                </w:r>
                <w:r>
                  <w:fldChar w:fldCharType="end"/>
                </w:r>
                <w:r>
                  <w:t xml:space="preserve"> 页</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36460">
    <w:pPr>
      <w:pStyle w:val="17"/>
      <w:ind w:firstLine="360"/>
    </w:pPr>
    <w:r>
      <w:pict>
        <v:shape id="_x0000_s1030" o:spid="_x0000_s1030"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path/>
          <v:fill on="f" focussize="0,0"/>
          <v:stroke on="f" weight="0.5pt" joinstyle="miter"/>
          <v:imagedata o:title=""/>
          <o:lock v:ext="edit"/>
          <v:textbox inset="0mm,0mm,0mm,0mm" style="mso-fit-shape-to-text:t;">
            <w:txbxContent>
              <w:p w14:paraId="19EABDA4">
                <w:pPr>
                  <w:pStyle w:val="17"/>
                </w:pPr>
                <w:r>
                  <w:t xml:space="preserve">第 </w:t>
                </w:r>
                <w:r>
                  <w:fldChar w:fldCharType="begin"/>
                </w:r>
                <w:r>
                  <w:instrText xml:space="preserve"> PAGE  \* MERGEFORMAT </w:instrText>
                </w:r>
                <w:r>
                  <w:fldChar w:fldCharType="separate"/>
                </w:r>
                <w:r>
                  <w:t>34</w:t>
                </w:r>
                <w:r>
                  <w:fldChar w:fldCharType="end"/>
                </w:r>
                <w:r>
                  <w:t xml:space="preserve"> 页</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12161">
    <w:pPr>
      <w:pStyle w:val="17"/>
    </w:pPr>
    <w:r>
      <w:pict>
        <v:shape id="_x0000_s1028" o:spid="_x0000_s1028"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path/>
          <v:fill on="f" focussize="0,0"/>
          <v:stroke on="f" weight="0.5pt" joinstyle="miter"/>
          <v:imagedata o:title=""/>
          <o:lock v:ext="edit"/>
          <v:textbox inset="0mm,0mm,0mm,0mm" style="mso-fit-shape-to-text:t;">
            <w:txbxContent>
              <w:p w14:paraId="3A2EBCEE">
                <w:pPr>
                  <w:pStyle w:val="17"/>
                </w:pPr>
                <w:r>
                  <w:t xml:space="preserve">第 </w:t>
                </w:r>
                <w:r>
                  <w:fldChar w:fldCharType="begin"/>
                </w:r>
                <w:r>
                  <w:instrText xml:space="preserve"> PAGE  \* MERGEFORMAT </w:instrText>
                </w:r>
                <w:r>
                  <w:fldChar w:fldCharType="separate"/>
                </w:r>
                <w:r>
                  <w:t>47</w:t>
                </w:r>
                <w:r>
                  <w:fldChar w:fldCharType="end"/>
                </w:r>
                <w:r>
                  <w:t xml:space="preserve"> 页</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14739">
    <w:pPr>
      <w:pStyle w:val="17"/>
      <w:rPr>
        <w:rFonts w:eastAsia="仿宋_GB2312"/>
        <w:sz w:val="24"/>
      </w:rPr>
    </w:pPr>
    <w:r>
      <w:rPr>
        <w:sz w:val="24"/>
      </w:rPr>
      <w:pict>
        <v:shape id="_x0000_s1027" o:spid="_x0000_s1027"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path/>
          <v:fill on="f" focussize="0,0"/>
          <v:stroke on="f" weight="0.5pt" joinstyle="miter"/>
          <v:imagedata o:title=""/>
          <o:lock v:ext="edit"/>
          <v:textbox inset="0mm,0mm,0mm,0mm" style="mso-fit-shape-to-text:t;">
            <w:txbxContent>
              <w:p w14:paraId="14CD1C14">
                <w:pPr>
                  <w:pStyle w:val="17"/>
                </w:pPr>
                <w:r>
                  <w:t xml:space="preserve">第 </w:t>
                </w:r>
                <w:r>
                  <w:fldChar w:fldCharType="begin"/>
                </w:r>
                <w:r>
                  <w:instrText xml:space="preserve"> PAGE  \* MERGEFORMAT </w:instrText>
                </w:r>
                <w:r>
                  <w:fldChar w:fldCharType="separate"/>
                </w:r>
                <w:r>
                  <w:t>49</w:t>
                </w:r>
                <w:r>
                  <w:fldChar w:fldCharType="end"/>
                </w:r>
                <w: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A2D05">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C27B1">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C806">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866DE">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EB66F"/>
    <w:multiLevelType w:val="singleLevel"/>
    <w:tmpl w:val="CBCEB66F"/>
    <w:lvl w:ilvl="0" w:tentative="0">
      <w:start w:val="2"/>
      <w:numFmt w:val="chineseCounting"/>
      <w:suff w:val="nothing"/>
      <w:lvlText w:val="%1、"/>
      <w:lvlJc w:val="left"/>
      <w:rPr>
        <w:rFonts w:hint="eastAsia"/>
      </w:rPr>
    </w:lvl>
  </w:abstractNum>
  <w:abstractNum w:abstractNumId="1">
    <w:nsid w:val="CF3D9A73"/>
    <w:multiLevelType w:val="singleLevel"/>
    <w:tmpl w:val="CF3D9A73"/>
    <w:lvl w:ilvl="0" w:tentative="0">
      <w:start w:val="2"/>
      <w:numFmt w:val="chineseCounting"/>
      <w:suff w:val="nothing"/>
      <w:lvlText w:val="%1、"/>
      <w:lvlJc w:val="left"/>
      <w:rPr>
        <w:rFonts w:hint="eastAsia"/>
      </w:rPr>
    </w:lvl>
  </w:abstractNum>
  <w:abstractNum w:abstractNumId="2">
    <w:nsid w:val="F3A3477A"/>
    <w:multiLevelType w:val="singleLevel"/>
    <w:tmpl w:val="F3A3477A"/>
    <w:lvl w:ilvl="0" w:tentative="0">
      <w:start w:val="2"/>
      <w:numFmt w:val="chineseCounting"/>
      <w:lvlText w:val="(%1)"/>
      <w:lvlJc w:val="left"/>
      <w:pPr>
        <w:tabs>
          <w:tab w:val="left" w:pos="312"/>
        </w:tabs>
      </w:pPr>
      <w:rPr>
        <w:rFonts w:hint="eastAsia"/>
      </w:rPr>
    </w:lvl>
  </w:abstractNum>
  <w:abstractNum w:abstractNumId="3">
    <w:nsid w:val="0000000E"/>
    <w:multiLevelType w:val="multilevel"/>
    <w:tmpl w:val="0000000E"/>
    <w:lvl w:ilvl="0" w:tentative="0">
      <w:start w:val="1"/>
      <w:numFmt w:val="chineseCountingThousand"/>
      <w:pStyle w:val="107"/>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
    <w:nsid w:val="04247E1C"/>
    <w:multiLevelType w:val="multilevel"/>
    <w:tmpl w:val="04247E1C"/>
    <w:lvl w:ilvl="0" w:tentative="0">
      <w:start w:val="1"/>
      <w:numFmt w:val="decimal"/>
      <w:lvlText w:val="（%1）"/>
      <w:lvlJc w:val="left"/>
      <w:pPr>
        <w:ind w:left="987" w:hanging="420"/>
      </w:pPr>
      <w:rPr>
        <w:rFonts w:hint="eastAsia" w:cs="Times New Roman"/>
      </w:rPr>
    </w:lvl>
    <w:lvl w:ilvl="1" w:tentative="0">
      <w:start w:val="1"/>
      <w:numFmt w:val="lowerLetter"/>
      <w:pStyle w:val="109"/>
      <w:lvlText w:val="%2)"/>
      <w:lvlJc w:val="left"/>
      <w:pPr>
        <w:ind w:left="1271" w:hanging="420"/>
      </w:pPr>
      <w:rPr>
        <w:rFonts w:cs="Times New Roman"/>
      </w:rPr>
    </w:lvl>
    <w:lvl w:ilvl="2" w:tentative="0">
      <w:start w:val="1"/>
      <w:numFmt w:val="lowerRoman"/>
      <w:lvlText w:val="%3."/>
      <w:lvlJc w:val="right"/>
      <w:pPr>
        <w:ind w:left="1827" w:hanging="420"/>
      </w:pPr>
      <w:rPr>
        <w:rFonts w:cs="Times New Roman"/>
      </w:rPr>
    </w:lvl>
    <w:lvl w:ilvl="3" w:tentative="0">
      <w:start w:val="1"/>
      <w:numFmt w:val="decimal"/>
      <w:lvlText w:val="%4."/>
      <w:lvlJc w:val="left"/>
      <w:pPr>
        <w:ind w:left="2247" w:hanging="420"/>
      </w:pPr>
      <w:rPr>
        <w:rFonts w:cs="Times New Roman"/>
      </w:rPr>
    </w:lvl>
    <w:lvl w:ilvl="4" w:tentative="0">
      <w:start w:val="1"/>
      <w:numFmt w:val="lowerLetter"/>
      <w:lvlText w:val="%5)"/>
      <w:lvlJc w:val="left"/>
      <w:pPr>
        <w:ind w:left="2667" w:hanging="420"/>
      </w:pPr>
      <w:rPr>
        <w:rFonts w:cs="Times New Roman"/>
      </w:rPr>
    </w:lvl>
    <w:lvl w:ilvl="5" w:tentative="0">
      <w:start w:val="1"/>
      <w:numFmt w:val="lowerRoman"/>
      <w:lvlText w:val="%6."/>
      <w:lvlJc w:val="right"/>
      <w:pPr>
        <w:ind w:left="3087" w:hanging="420"/>
      </w:pPr>
      <w:rPr>
        <w:rFonts w:cs="Times New Roman"/>
      </w:rPr>
    </w:lvl>
    <w:lvl w:ilvl="6" w:tentative="0">
      <w:start w:val="1"/>
      <w:numFmt w:val="decimal"/>
      <w:lvlText w:val="%7."/>
      <w:lvlJc w:val="left"/>
      <w:pPr>
        <w:ind w:left="3507" w:hanging="420"/>
      </w:pPr>
      <w:rPr>
        <w:rFonts w:cs="Times New Roman"/>
      </w:rPr>
    </w:lvl>
    <w:lvl w:ilvl="7" w:tentative="0">
      <w:start w:val="1"/>
      <w:numFmt w:val="lowerLetter"/>
      <w:lvlText w:val="%8)"/>
      <w:lvlJc w:val="left"/>
      <w:pPr>
        <w:ind w:left="3927" w:hanging="420"/>
      </w:pPr>
      <w:rPr>
        <w:rFonts w:cs="Times New Roman"/>
      </w:rPr>
    </w:lvl>
    <w:lvl w:ilvl="8" w:tentative="0">
      <w:start w:val="1"/>
      <w:numFmt w:val="lowerRoman"/>
      <w:lvlText w:val="%9."/>
      <w:lvlJc w:val="right"/>
      <w:pPr>
        <w:ind w:left="4347" w:hanging="420"/>
      </w:pPr>
      <w:rPr>
        <w:rFonts w:cs="Times New Roman"/>
      </w:rPr>
    </w:lvl>
  </w:abstractNum>
  <w:abstractNum w:abstractNumId="5">
    <w:nsid w:val="466956A4"/>
    <w:multiLevelType w:val="singleLevel"/>
    <w:tmpl w:val="466956A4"/>
    <w:lvl w:ilvl="0" w:tentative="0">
      <w:start w:val="1"/>
      <w:numFmt w:val="chineseCounting"/>
      <w:suff w:val="nothing"/>
      <w:lvlText w:val="%1、"/>
      <w:lvlJc w:val="left"/>
      <w:rPr>
        <w:rFonts w:hint="eastAsia"/>
      </w:rPr>
    </w:lvl>
  </w:abstractNum>
  <w:abstractNum w:abstractNumId="6">
    <w:nsid w:val="66068CB4"/>
    <w:multiLevelType w:val="singleLevel"/>
    <w:tmpl w:val="66068CB4"/>
    <w:lvl w:ilvl="0" w:tentative="0">
      <w:start w:val="2"/>
      <w:numFmt w:val="decimal"/>
      <w:lvlText w:val="(%1)"/>
      <w:lvlJc w:val="left"/>
      <w:pPr>
        <w:tabs>
          <w:tab w:val="left" w:pos="312"/>
        </w:tabs>
      </w:pPr>
    </w:lvl>
  </w:abstractNum>
  <w:abstractNum w:abstractNumId="7">
    <w:nsid w:val="722706F2"/>
    <w:multiLevelType w:val="multilevel"/>
    <w:tmpl w:val="722706F2"/>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8">
    <w:nsid w:val="748D16CD"/>
    <w:multiLevelType w:val="multilevel"/>
    <w:tmpl w:val="748D16CD"/>
    <w:lvl w:ilvl="0" w:tentative="0">
      <w:start w:val="1"/>
      <w:numFmt w:val="decimal"/>
      <w:pStyle w:val="110"/>
      <w:lvlText w:val="（%1）"/>
      <w:lvlJc w:val="left"/>
      <w:pPr>
        <w:tabs>
          <w:tab w:val="left" w:pos="1200"/>
        </w:tabs>
        <w:ind w:left="1200" w:hanging="72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79BFAF1F"/>
    <w:multiLevelType w:val="singleLevel"/>
    <w:tmpl w:val="79BFAF1F"/>
    <w:lvl w:ilvl="0" w:tentative="0">
      <w:start w:val="1"/>
      <w:numFmt w:val="decimalEnclosedCircleChinese"/>
      <w:suff w:val="nothing"/>
      <w:lvlText w:val="%1　"/>
      <w:lvlJc w:val="left"/>
      <w:pPr>
        <w:ind w:left="240" w:firstLine="0"/>
      </w:pPr>
      <w:rPr>
        <w:rFonts w:hint="eastAsia"/>
      </w:rPr>
    </w:lvl>
  </w:abstractNum>
  <w:num w:numId="1">
    <w:abstractNumId w:val="3"/>
  </w:num>
  <w:num w:numId="2">
    <w:abstractNumId w:val="4"/>
  </w:num>
  <w:num w:numId="3">
    <w:abstractNumId w:val="8"/>
  </w:num>
  <w:num w:numId="4">
    <w:abstractNumId w:val="7"/>
  </w:num>
  <w:num w:numId="5">
    <w:abstractNumId w:val="6"/>
  </w:num>
  <w:num w:numId="6">
    <w:abstractNumId w:val="9"/>
  </w:num>
  <w:num w:numId="7">
    <w:abstractNumId w:val="1"/>
  </w:num>
  <w:num w:numId="8">
    <w:abstractNumId w:val="5"/>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GRhNDAwMDMxNzcxYjM4ZGY1NGE2MDAyODk4Mzg5ZmEifQ=="/>
  </w:docVars>
  <w:rsids>
    <w:rsidRoot w:val="2F3A0726"/>
    <w:rsid w:val="0000497F"/>
    <w:rsid w:val="00177C71"/>
    <w:rsid w:val="001D1557"/>
    <w:rsid w:val="00292A6F"/>
    <w:rsid w:val="00345032"/>
    <w:rsid w:val="0038613C"/>
    <w:rsid w:val="00444330"/>
    <w:rsid w:val="00481283"/>
    <w:rsid w:val="004E2611"/>
    <w:rsid w:val="005E3F3E"/>
    <w:rsid w:val="0068511B"/>
    <w:rsid w:val="006B4F71"/>
    <w:rsid w:val="007A1658"/>
    <w:rsid w:val="007C0F2D"/>
    <w:rsid w:val="00866964"/>
    <w:rsid w:val="008953F8"/>
    <w:rsid w:val="009332EE"/>
    <w:rsid w:val="00AD06F3"/>
    <w:rsid w:val="00B577B1"/>
    <w:rsid w:val="00B87A8B"/>
    <w:rsid w:val="00DE1BE7"/>
    <w:rsid w:val="00E20AE8"/>
    <w:rsid w:val="00F52A8D"/>
    <w:rsid w:val="00FC3E1B"/>
    <w:rsid w:val="00FF2AEA"/>
    <w:rsid w:val="01086C64"/>
    <w:rsid w:val="01350DD7"/>
    <w:rsid w:val="015341A8"/>
    <w:rsid w:val="01722C8D"/>
    <w:rsid w:val="019E4ED3"/>
    <w:rsid w:val="01A6718A"/>
    <w:rsid w:val="01AC75F0"/>
    <w:rsid w:val="01B82438"/>
    <w:rsid w:val="01BD430B"/>
    <w:rsid w:val="01CE6E78"/>
    <w:rsid w:val="01DD2D09"/>
    <w:rsid w:val="01F17692"/>
    <w:rsid w:val="02057EFB"/>
    <w:rsid w:val="021E50DF"/>
    <w:rsid w:val="022950E4"/>
    <w:rsid w:val="022E26FA"/>
    <w:rsid w:val="0241242E"/>
    <w:rsid w:val="0246559F"/>
    <w:rsid w:val="02A76443"/>
    <w:rsid w:val="02AF3948"/>
    <w:rsid w:val="02B1180D"/>
    <w:rsid w:val="02C40969"/>
    <w:rsid w:val="02D00703"/>
    <w:rsid w:val="02D25553"/>
    <w:rsid w:val="02D56A08"/>
    <w:rsid w:val="02DA30E7"/>
    <w:rsid w:val="02DC5CB3"/>
    <w:rsid w:val="02E37041"/>
    <w:rsid w:val="02F61A03"/>
    <w:rsid w:val="02F671A8"/>
    <w:rsid w:val="02F8179E"/>
    <w:rsid w:val="03061053"/>
    <w:rsid w:val="030B5751"/>
    <w:rsid w:val="033E78B8"/>
    <w:rsid w:val="034D71E3"/>
    <w:rsid w:val="034E6A66"/>
    <w:rsid w:val="035905AF"/>
    <w:rsid w:val="036613DF"/>
    <w:rsid w:val="03676684"/>
    <w:rsid w:val="036A1E8A"/>
    <w:rsid w:val="03710FFD"/>
    <w:rsid w:val="039A0555"/>
    <w:rsid w:val="03AA5DB1"/>
    <w:rsid w:val="03B51A0B"/>
    <w:rsid w:val="03C431E6"/>
    <w:rsid w:val="03E939D9"/>
    <w:rsid w:val="03FF6518"/>
    <w:rsid w:val="0413074F"/>
    <w:rsid w:val="044E1561"/>
    <w:rsid w:val="04566303"/>
    <w:rsid w:val="04842AA6"/>
    <w:rsid w:val="048D413D"/>
    <w:rsid w:val="04964BDF"/>
    <w:rsid w:val="04BD1B14"/>
    <w:rsid w:val="04DE2C54"/>
    <w:rsid w:val="04F10843"/>
    <w:rsid w:val="04FC6AE0"/>
    <w:rsid w:val="050B1E84"/>
    <w:rsid w:val="05162EE3"/>
    <w:rsid w:val="051E1EEF"/>
    <w:rsid w:val="052B3234"/>
    <w:rsid w:val="0539563E"/>
    <w:rsid w:val="053A6629"/>
    <w:rsid w:val="055410F2"/>
    <w:rsid w:val="055C36E7"/>
    <w:rsid w:val="05793C8D"/>
    <w:rsid w:val="05816FE5"/>
    <w:rsid w:val="059850C2"/>
    <w:rsid w:val="05A056BD"/>
    <w:rsid w:val="05BD64CC"/>
    <w:rsid w:val="05FD550C"/>
    <w:rsid w:val="060D63B5"/>
    <w:rsid w:val="062A7152"/>
    <w:rsid w:val="062E0F1B"/>
    <w:rsid w:val="06456265"/>
    <w:rsid w:val="06494056"/>
    <w:rsid w:val="066443B4"/>
    <w:rsid w:val="06656CCB"/>
    <w:rsid w:val="06694D24"/>
    <w:rsid w:val="067F4BF6"/>
    <w:rsid w:val="068362AE"/>
    <w:rsid w:val="06CC483B"/>
    <w:rsid w:val="06F07F7E"/>
    <w:rsid w:val="06FC2DC7"/>
    <w:rsid w:val="0716617D"/>
    <w:rsid w:val="07194C01"/>
    <w:rsid w:val="073233E0"/>
    <w:rsid w:val="07344F4E"/>
    <w:rsid w:val="074C65B6"/>
    <w:rsid w:val="07500A1D"/>
    <w:rsid w:val="07504EC1"/>
    <w:rsid w:val="075270FB"/>
    <w:rsid w:val="07632E46"/>
    <w:rsid w:val="07634BF4"/>
    <w:rsid w:val="078818D8"/>
    <w:rsid w:val="07B90CB8"/>
    <w:rsid w:val="07BD4711"/>
    <w:rsid w:val="07CD4764"/>
    <w:rsid w:val="07DA3499"/>
    <w:rsid w:val="07E01DA1"/>
    <w:rsid w:val="07FE66CB"/>
    <w:rsid w:val="080721CE"/>
    <w:rsid w:val="08422A5C"/>
    <w:rsid w:val="084F411E"/>
    <w:rsid w:val="084F6C22"/>
    <w:rsid w:val="08536A17"/>
    <w:rsid w:val="0860185F"/>
    <w:rsid w:val="08687FE8"/>
    <w:rsid w:val="086D37E6"/>
    <w:rsid w:val="08866B06"/>
    <w:rsid w:val="08AF09BD"/>
    <w:rsid w:val="08FA63F1"/>
    <w:rsid w:val="09096A80"/>
    <w:rsid w:val="09100F06"/>
    <w:rsid w:val="09124754"/>
    <w:rsid w:val="095300CB"/>
    <w:rsid w:val="095F67F0"/>
    <w:rsid w:val="09721268"/>
    <w:rsid w:val="0975272E"/>
    <w:rsid w:val="09931095"/>
    <w:rsid w:val="099E1F14"/>
    <w:rsid w:val="09C15C02"/>
    <w:rsid w:val="09D17D03"/>
    <w:rsid w:val="09E24143"/>
    <w:rsid w:val="09EF6C13"/>
    <w:rsid w:val="09F3128D"/>
    <w:rsid w:val="09F87828"/>
    <w:rsid w:val="09FA5902"/>
    <w:rsid w:val="09FC126C"/>
    <w:rsid w:val="0A064A7C"/>
    <w:rsid w:val="0A0D6E08"/>
    <w:rsid w:val="0A0D7099"/>
    <w:rsid w:val="0A1C03F1"/>
    <w:rsid w:val="0A232419"/>
    <w:rsid w:val="0A3D5931"/>
    <w:rsid w:val="0A4C37EA"/>
    <w:rsid w:val="0A504CF3"/>
    <w:rsid w:val="0A592C4E"/>
    <w:rsid w:val="0A5F6677"/>
    <w:rsid w:val="0A622F41"/>
    <w:rsid w:val="0A7113D6"/>
    <w:rsid w:val="0A89129B"/>
    <w:rsid w:val="0A8C5B98"/>
    <w:rsid w:val="0A984BB5"/>
    <w:rsid w:val="0AB404D9"/>
    <w:rsid w:val="0AB55B6E"/>
    <w:rsid w:val="0ABD1B95"/>
    <w:rsid w:val="0ACE6829"/>
    <w:rsid w:val="0B1701D0"/>
    <w:rsid w:val="0B266665"/>
    <w:rsid w:val="0B3E1071"/>
    <w:rsid w:val="0B796210"/>
    <w:rsid w:val="0B8741C9"/>
    <w:rsid w:val="0B8F6081"/>
    <w:rsid w:val="0B9510F4"/>
    <w:rsid w:val="0BAB4DCA"/>
    <w:rsid w:val="0C1F538A"/>
    <w:rsid w:val="0C257429"/>
    <w:rsid w:val="0C360608"/>
    <w:rsid w:val="0C3A6197"/>
    <w:rsid w:val="0C4C3EA9"/>
    <w:rsid w:val="0C741652"/>
    <w:rsid w:val="0C8C05E4"/>
    <w:rsid w:val="0C9A1EC0"/>
    <w:rsid w:val="0CA535B9"/>
    <w:rsid w:val="0CAF4438"/>
    <w:rsid w:val="0CD43E9E"/>
    <w:rsid w:val="0CDE2244"/>
    <w:rsid w:val="0CE57E5A"/>
    <w:rsid w:val="0CED3040"/>
    <w:rsid w:val="0D0779E8"/>
    <w:rsid w:val="0D390473"/>
    <w:rsid w:val="0D523741"/>
    <w:rsid w:val="0D5D4D41"/>
    <w:rsid w:val="0D600878"/>
    <w:rsid w:val="0D605732"/>
    <w:rsid w:val="0D613984"/>
    <w:rsid w:val="0D6E7E4F"/>
    <w:rsid w:val="0D731909"/>
    <w:rsid w:val="0D946B32"/>
    <w:rsid w:val="0DB948BB"/>
    <w:rsid w:val="0DC32170"/>
    <w:rsid w:val="0DF51223"/>
    <w:rsid w:val="0E0C1B97"/>
    <w:rsid w:val="0E165D44"/>
    <w:rsid w:val="0E1A1D85"/>
    <w:rsid w:val="0E35379C"/>
    <w:rsid w:val="0E6A1F98"/>
    <w:rsid w:val="0E8D07A9"/>
    <w:rsid w:val="0EC04822"/>
    <w:rsid w:val="0ED91C40"/>
    <w:rsid w:val="0ED95498"/>
    <w:rsid w:val="0EF3163C"/>
    <w:rsid w:val="0F0D5EA1"/>
    <w:rsid w:val="0F1C4DE5"/>
    <w:rsid w:val="0F4D659A"/>
    <w:rsid w:val="0F4E7F38"/>
    <w:rsid w:val="0F706100"/>
    <w:rsid w:val="0F724064"/>
    <w:rsid w:val="0F8B1F01"/>
    <w:rsid w:val="0F8B4CE8"/>
    <w:rsid w:val="0F8B7E05"/>
    <w:rsid w:val="0FA678B1"/>
    <w:rsid w:val="0FB73D2F"/>
    <w:rsid w:val="0FC401FA"/>
    <w:rsid w:val="0FCE2E27"/>
    <w:rsid w:val="0FD50659"/>
    <w:rsid w:val="0FEE5277"/>
    <w:rsid w:val="0FFE4719"/>
    <w:rsid w:val="102644BB"/>
    <w:rsid w:val="103E1D5B"/>
    <w:rsid w:val="10507CE0"/>
    <w:rsid w:val="106756AD"/>
    <w:rsid w:val="10831E63"/>
    <w:rsid w:val="108700D6"/>
    <w:rsid w:val="109A2ACF"/>
    <w:rsid w:val="109D1D2D"/>
    <w:rsid w:val="109D76D9"/>
    <w:rsid w:val="109F74BE"/>
    <w:rsid w:val="10A8697B"/>
    <w:rsid w:val="10B20503"/>
    <w:rsid w:val="10B95885"/>
    <w:rsid w:val="10CB3A28"/>
    <w:rsid w:val="10CE44D2"/>
    <w:rsid w:val="10D46BEA"/>
    <w:rsid w:val="10F114A8"/>
    <w:rsid w:val="10FD63DA"/>
    <w:rsid w:val="11076DE6"/>
    <w:rsid w:val="110A069A"/>
    <w:rsid w:val="110C00AB"/>
    <w:rsid w:val="112A6783"/>
    <w:rsid w:val="115A7068"/>
    <w:rsid w:val="115B2DE0"/>
    <w:rsid w:val="11665A0D"/>
    <w:rsid w:val="11832975"/>
    <w:rsid w:val="118C2F9A"/>
    <w:rsid w:val="118C4D48"/>
    <w:rsid w:val="11930040"/>
    <w:rsid w:val="11B23BBA"/>
    <w:rsid w:val="11BB562D"/>
    <w:rsid w:val="11CA0D5B"/>
    <w:rsid w:val="11D8317B"/>
    <w:rsid w:val="11DA5CD1"/>
    <w:rsid w:val="11F528ED"/>
    <w:rsid w:val="120B4734"/>
    <w:rsid w:val="12195EE7"/>
    <w:rsid w:val="121E62E8"/>
    <w:rsid w:val="12371157"/>
    <w:rsid w:val="12485112"/>
    <w:rsid w:val="125D0492"/>
    <w:rsid w:val="126301D3"/>
    <w:rsid w:val="12786986"/>
    <w:rsid w:val="127D137D"/>
    <w:rsid w:val="1292638E"/>
    <w:rsid w:val="12AE4CAB"/>
    <w:rsid w:val="12B21A21"/>
    <w:rsid w:val="12D539B7"/>
    <w:rsid w:val="130579A4"/>
    <w:rsid w:val="133313BA"/>
    <w:rsid w:val="13354F8F"/>
    <w:rsid w:val="134F427F"/>
    <w:rsid w:val="13525B1D"/>
    <w:rsid w:val="137A7333"/>
    <w:rsid w:val="138C251F"/>
    <w:rsid w:val="139E0D62"/>
    <w:rsid w:val="13A445CA"/>
    <w:rsid w:val="13C62793"/>
    <w:rsid w:val="13EE2B54"/>
    <w:rsid w:val="13F33819"/>
    <w:rsid w:val="141C15BA"/>
    <w:rsid w:val="141C29B1"/>
    <w:rsid w:val="141F28DC"/>
    <w:rsid w:val="142B0F9E"/>
    <w:rsid w:val="144933C4"/>
    <w:rsid w:val="14522278"/>
    <w:rsid w:val="148368D6"/>
    <w:rsid w:val="14A625C4"/>
    <w:rsid w:val="14AC2319"/>
    <w:rsid w:val="14C842BC"/>
    <w:rsid w:val="14DA401C"/>
    <w:rsid w:val="14E54E9B"/>
    <w:rsid w:val="14FA1A35"/>
    <w:rsid w:val="15085353"/>
    <w:rsid w:val="150C5819"/>
    <w:rsid w:val="150D11AE"/>
    <w:rsid w:val="151412DC"/>
    <w:rsid w:val="15175270"/>
    <w:rsid w:val="151B4EE0"/>
    <w:rsid w:val="153C24F1"/>
    <w:rsid w:val="15445381"/>
    <w:rsid w:val="1570267C"/>
    <w:rsid w:val="157419CC"/>
    <w:rsid w:val="15902BAD"/>
    <w:rsid w:val="15AF1A3F"/>
    <w:rsid w:val="15D968D8"/>
    <w:rsid w:val="160F750C"/>
    <w:rsid w:val="162A4C50"/>
    <w:rsid w:val="163F682C"/>
    <w:rsid w:val="16426AE5"/>
    <w:rsid w:val="16442095"/>
    <w:rsid w:val="164C2CF7"/>
    <w:rsid w:val="16574435"/>
    <w:rsid w:val="166149F5"/>
    <w:rsid w:val="169A5128"/>
    <w:rsid w:val="16A06FE8"/>
    <w:rsid w:val="16BC1C2B"/>
    <w:rsid w:val="16BD0A63"/>
    <w:rsid w:val="16CA1706"/>
    <w:rsid w:val="16DF3A8E"/>
    <w:rsid w:val="16E91CD9"/>
    <w:rsid w:val="16EB45FF"/>
    <w:rsid w:val="16F84D75"/>
    <w:rsid w:val="17032494"/>
    <w:rsid w:val="170C5BEF"/>
    <w:rsid w:val="17173305"/>
    <w:rsid w:val="173503D8"/>
    <w:rsid w:val="173C0FBE"/>
    <w:rsid w:val="17591B70"/>
    <w:rsid w:val="17650515"/>
    <w:rsid w:val="17691333"/>
    <w:rsid w:val="1770197C"/>
    <w:rsid w:val="17712A16"/>
    <w:rsid w:val="17716EB9"/>
    <w:rsid w:val="17732447"/>
    <w:rsid w:val="17843C3B"/>
    <w:rsid w:val="179E33A4"/>
    <w:rsid w:val="17A54DB5"/>
    <w:rsid w:val="17B45398"/>
    <w:rsid w:val="17B46C9D"/>
    <w:rsid w:val="17B51800"/>
    <w:rsid w:val="18027B12"/>
    <w:rsid w:val="181514C0"/>
    <w:rsid w:val="184620F4"/>
    <w:rsid w:val="18570CAF"/>
    <w:rsid w:val="188E5709"/>
    <w:rsid w:val="189866C8"/>
    <w:rsid w:val="18AC49F5"/>
    <w:rsid w:val="18B26869"/>
    <w:rsid w:val="18BF2ED2"/>
    <w:rsid w:val="18C01B9C"/>
    <w:rsid w:val="18E45469"/>
    <w:rsid w:val="18EB0593"/>
    <w:rsid w:val="18F953B8"/>
    <w:rsid w:val="19020982"/>
    <w:rsid w:val="192A5572"/>
    <w:rsid w:val="193440BB"/>
    <w:rsid w:val="193B6665"/>
    <w:rsid w:val="19434886"/>
    <w:rsid w:val="19524AC9"/>
    <w:rsid w:val="195E3524"/>
    <w:rsid w:val="196229FF"/>
    <w:rsid w:val="198D78AF"/>
    <w:rsid w:val="199D433D"/>
    <w:rsid w:val="199E1ABC"/>
    <w:rsid w:val="19B306C2"/>
    <w:rsid w:val="19E94F2E"/>
    <w:rsid w:val="19FD3173"/>
    <w:rsid w:val="1A002777"/>
    <w:rsid w:val="1A0062D3"/>
    <w:rsid w:val="1A1275E2"/>
    <w:rsid w:val="1A163D48"/>
    <w:rsid w:val="1A2163F7"/>
    <w:rsid w:val="1A43313F"/>
    <w:rsid w:val="1A48666A"/>
    <w:rsid w:val="1A6751A7"/>
    <w:rsid w:val="1A844933"/>
    <w:rsid w:val="1A8A2877"/>
    <w:rsid w:val="1A8B1D70"/>
    <w:rsid w:val="1A9941E3"/>
    <w:rsid w:val="1AA749A0"/>
    <w:rsid w:val="1ABE7431"/>
    <w:rsid w:val="1AD5150D"/>
    <w:rsid w:val="1ADF7B50"/>
    <w:rsid w:val="1AF51BB0"/>
    <w:rsid w:val="1AFA5AD4"/>
    <w:rsid w:val="1B010E34"/>
    <w:rsid w:val="1B065B6B"/>
    <w:rsid w:val="1B124510"/>
    <w:rsid w:val="1B1F4DBC"/>
    <w:rsid w:val="1B236D1C"/>
    <w:rsid w:val="1B334891"/>
    <w:rsid w:val="1B3D1939"/>
    <w:rsid w:val="1B4870D2"/>
    <w:rsid w:val="1B522A46"/>
    <w:rsid w:val="1B7C5E2D"/>
    <w:rsid w:val="1B9922E7"/>
    <w:rsid w:val="1BF12377"/>
    <w:rsid w:val="1BFA6AC3"/>
    <w:rsid w:val="1C1979AC"/>
    <w:rsid w:val="1C471B96"/>
    <w:rsid w:val="1C4F1A9A"/>
    <w:rsid w:val="1C5B1EE6"/>
    <w:rsid w:val="1C676ADD"/>
    <w:rsid w:val="1C694DE7"/>
    <w:rsid w:val="1C6F7740"/>
    <w:rsid w:val="1C8256C5"/>
    <w:rsid w:val="1C8D0C3A"/>
    <w:rsid w:val="1C962F1E"/>
    <w:rsid w:val="1C9F0025"/>
    <w:rsid w:val="1CA94A00"/>
    <w:rsid w:val="1CAD00E3"/>
    <w:rsid w:val="1CB7246C"/>
    <w:rsid w:val="1CBC03CA"/>
    <w:rsid w:val="1CC63804"/>
    <w:rsid w:val="1CC950A2"/>
    <w:rsid w:val="1CD5442F"/>
    <w:rsid w:val="1CF3211F"/>
    <w:rsid w:val="1CF814E3"/>
    <w:rsid w:val="1D0B7468"/>
    <w:rsid w:val="1D2951E3"/>
    <w:rsid w:val="1D3E2916"/>
    <w:rsid w:val="1D3E41B7"/>
    <w:rsid w:val="1D6D1ED1"/>
    <w:rsid w:val="1D6E17A5"/>
    <w:rsid w:val="1D6E6517"/>
    <w:rsid w:val="1D7602A9"/>
    <w:rsid w:val="1DA46C6C"/>
    <w:rsid w:val="1DAF24EA"/>
    <w:rsid w:val="1DAF636A"/>
    <w:rsid w:val="1DCC0ABE"/>
    <w:rsid w:val="1DCF2C50"/>
    <w:rsid w:val="1DE50DAA"/>
    <w:rsid w:val="1DEA6D79"/>
    <w:rsid w:val="1DF26722"/>
    <w:rsid w:val="1DF95513"/>
    <w:rsid w:val="1E0D175D"/>
    <w:rsid w:val="1E270BA6"/>
    <w:rsid w:val="1E567348"/>
    <w:rsid w:val="1E713795"/>
    <w:rsid w:val="1E880DDE"/>
    <w:rsid w:val="1E8F1470"/>
    <w:rsid w:val="1E9B0CC0"/>
    <w:rsid w:val="1EA96F39"/>
    <w:rsid w:val="1EC21DA9"/>
    <w:rsid w:val="1ED406A0"/>
    <w:rsid w:val="1EE77A61"/>
    <w:rsid w:val="1EFB191D"/>
    <w:rsid w:val="1EFD54D7"/>
    <w:rsid w:val="1F0146F7"/>
    <w:rsid w:val="1F085CFB"/>
    <w:rsid w:val="1F332808"/>
    <w:rsid w:val="1F3552B5"/>
    <w:rsid w:val="1F356E13"/>
    <w:rsid w:val="1F42113B"/>
    <w:rsid w:val="1F442ACC"/>
    <w:rsid w:val="1F4A03FA"/>
    <w:rsid w:val="1F5275D0"/>
    <w:rsid w:val="1F572E39"/>
    <w:rsid w:val="1F5901E1"/>
    <w:rsid w:val="1F962C63"/>
    <w:rsid w:val="1F9C68BE"/>
    <w:rsid w:val="1FA616CA"/>
    <w:rsid w:val="1FA6240D"/>
    <w:rsid w:val="1FAF2A31"/>
    <w:rsid w:val="1FCA02B8"/>
    <w:rsid w:val="1FE30229"/>
    <w:rsid w:val="1FF85644"/>
    <w:rsid w:val="202A5BD2"/>
    <w:rsid w:val="20482782"/>
    <w:rsid w:val="20541126"/>
    <w:rsid w:val="205B27D3"/>
    <w:rsid w:val="20651585"/>
    <w:rsid w:val="206733F1"/>
    <w:rsid w:val="206828C7"/>
    <w:rsid w:val="206C2808"/>
    <w:rsid w:val="207402A9"/>
    <w:rsid w:val="207E43F5"/>
    <w:rsid w:val="20987265"/>
    <w:rsid w:val="20A161EF"/>
    <w:rsid w:val="20B34C6B"/>
    <w:rsid w:val="20D81D57"/>
    <w:rsid w:val="20E922CD"/>
    <w:rsid w:val="20ED4742"/>
    <w:rsid w:val="20F2746A"/>
    <w:rsid w:val="21154D5A"/>
    <w:rsid w:val="21182154"/>
    <w:rsid w:val="213304EC"/>
    <w:rsid w:val="213A064C"/>
    <w:rsid w:val="21442587"/>
    <w:rsid w:val="214F1389"/>
    <w:rsid w:val="21523364"/>
    <w:rsid w:val="216435EB"/>
    <w:rsid w:val="216E0257"/>
    <w:rsid w:val="217038B5"/>
    <w:rsid w:val="217C1E40"/>
    <w:rsid w:val="21821CC3"/>
    <w:rsid w:val="219326E4"/>
    <w:rsid w:val="21D342CD"/>
    <w:rsid w:val="21D4251F"/>
    <w:rsid w:val="22123047"/>
    <w:rsid w:val="221C2118"/>
    <w:rsid w:val="222D68E0"/>
    <w:rsid w:val="223E208E"/>
    <w:rsid w:val="2241018F"/>
    <w:rsid w:val="22471982"/>
    <w:rsid w:val="22493318"/>
    <w:rsid w:val="22601235"/>
    <w:rsid w:val="2272068A"/>
    <w:rsid w:val="22917A1E"/>
    <w:rsid w:val="22941CAE"/>
    <w:rsid w:val="22A55C69"/>
    <w:rsid w:val="22A770EE"/>
    <w:rsid w:val="22DD5403"/>
    <w:rsid w:val="22FD685D"/>
    <w:rsid w:val="2309735E"/>
    <w:rsid w:val="232079E6"/>
    <w:rsid w:val="23403BE4"/>
    <w:rsid w:val="234731C4"/>
    <w:rsid w:val="234E7A30"/>
    <w:rsid w:val="23735D67"/>
    <w:rsid w:val="23843AD1"/>
    <w:rsid w:val="238B6662"/>
    <w:rsid w:val="23935416"/>
    <w:rsid w:val="23BC14BC"/>
    <w:rsid w:val="23C03DF0"/>
    <w:rsid w:val="23D60DFA"/>
    <w:rsid w:val="23D700A4"/>
    <w:rsid w:val="23EE3640"/>
    <w:rsid w:val="23F1104C"/>
    <w:rsid w:val="23FD54BE"/>
    <w:rsid w:val="241E1FEF"/>
    <w:rsid w:val="244042D6"/>
    <w:rsid w:val="24572B1C"/>
    <w:rsid w:val="24752465"/>
    <w:rsid w:val="248144B4"/>
    <w:rsid w:val="24B401BC"/>
    <w:rsid w:val="24B71C84"/>
    <w:rsid w:val="24CF32FF"/>
    <w:rsid w:val="24D10F97"/>
    <w:rsid w:val="24D171E9"/>
    <w:rsid w:val="24D64800"/>
    <w:rsid w:val="24E94533"/>
    <w:rsid w:val="24FF3D57"/>
    <w:rsid w:val="25214E93"/>
    <w:rsid w:val="253432D4"/>
    <w:rsid w:val="253572B9"/>
    <w:rsid w:val="25494FD2"/>
    <w:rsid w:val="258B55EA"/>
    <w:rsid w:val="258B7398"/>
    <w:rsid w:val="25A20B86"/>
    <w:rsid w:val="25A55F80"/>
    <w:rsid w:val="25AF320D"/>
    <w:rsid w:val="25C52D1E"/>
    <w:rsid w:val="25CD1596"/>
    <w:rsid w:val="25CD3C3C"/>
    <w:rsid w:val="25E20F82"/>
    <w:rsid w:val="25E940BF"/>
    <w:rsid w:val="260E62E5"/>
    <w:rsid w:val="264054F6"/>
    <w:rsid w:val="268B161A"/>
    <w:rsid w:val="26977FBF"/>
    <w:rsid w:val="26D5699F"/>
    <w:rsid w:val="26E35EB4"/>
    <w:rsid w:val="26EA23DA"/>
    <w:rsid w:val="27041B2B"/>
    <w:rsid w:val="270B3419"/>
    <w:rsid w:val="2714160F"/>
    <w:rsid w:val="27162487"/>
    <w:rsid w:val="271B299E"/>
    <w:rsid w:val="27230F84"/>
    <w:rsid w:val="273C2EA0"/>
    <w:rsid w:val="2758774E"/>
    <w:rsid w:val="275B00EE"/>
    <w:rsid w:val="27653CD0"/>
    <w:rsid w:val="278247CB"/>
    <w:rsid w:val="27856069"/>
    <w:rsid w:val="27933C55"/>
    <w:rsid w:val="27BA6268"/>
    <w:rsid w:val="27C22FB0"/>
    <w:rsid w:val="27C36ADC"/>
    <w:rsid w:val="27D36DD5"/>
    <w:rsid w:val="27DA63B5"/>
    <w:rsid w:val="27DF5779"/>
    <w:rsid w:val="281C077C"/>
    <w:rsid w:val="282B0EF2"/>
    <w:rsid w:val="285142BB"/>
    <w:rsid w:val="2859311D"/>
    <w:rsid w:val="285D2CF5"/>
    <w:rsid w:val="286970FD"/>
    <w:rsid w:val="288A1967"/>
    <w:rsid w:val="288E24F1"/>
    <w:rsid w:val="289C7B0E"/>
    <w:rsid w:val="28A97544"/>
    <w:rsid w:val="28B21253"/>
    <w:rsid w:val="28F00EE7"/>
    <w:rsid w:val="28F9286B"/>
    <w:rsid w:val="291E5AD3"/>
    <w:rsid w:val="294714B3"/>
    <w:rsid w:val="29525C7F"/>
    <w:rsid w:val="297939AC"/>
    <w:rsid w:val="29A32C7B"/>
    <w:rsid w:val="29B175E9"/>
    <w:rsid w:val="29BD26AB"/>
    <w:rsid w:val="29C1183B"/>
    <w:rsid w:val="29C84736"/>
    <w:rsid w:val="29D477B9"/>
    <w:rsid w:val="29D564EC"/>
    <w:rsid w:val="29DB3570"/>
    <w:rsid w:val="29E049EA"/>
    <w:rsid w:val="29EE439A"/>
    <w:rsid w:val="2A091203"/>
    <w:rsid w:val="2A2D3D38"/>
    <w:rsid w:val="2A6849E8"/>
    <w:rsid w:val="2A7B70E1"/>
    <w:rsid w:val="2A7D27C2"/>
    <w:rsid w:val="2A810D6A"/>
    <w:rsid w:val="2AA84549"/>
    <w:rsid w:val="2AC3031C"/>
    <w:rsid w:val="2ADC41F2"/>
    <w:rsid w:val="2AE96353"/>
    <w:rsid w:val="2AED63FF"/>
    <w:rsid w:val="2AF74982"/>
    <w:rsid w:val="2B047F5B"/>
    <w:rsid w:val="2B1E0CAF"/>
    <w:rsid w:val="2B1E2A5D"/>
    <w:rsid w:val="2B224B08"/>
    <w:rsid w:val="2B2A7653"/>
    <w:rsid w:val="2B34402E"/>
    <w:rsid w:val="2B4F33D6"/>
    <w:rsid w:val="2B8B0A09"/>
    <w:rsid w:val="2BA72430"/>
    <w:rsid w:val="2BA83FDC"/>
    <w:rsid w:val="2BB44AC4"/>
    <w:rsid w:val="2BBA3A72"/>
    <w:rsid w:val="2BBE59FC"/>
    <w:rsid w:val="2BCF6C85"/>
    <w:rsid w:val="2BD55811"/>
    <w:rsid w:val="2BD870AF"/>
    <w:rsid w:val="2BFF288E"/>
    <w:rsid w:val="2C2632ED"/>
    <w:rsid w:val="2C3703D9"/>
    <w:rsid w:val="2C433C58"/>
    <w:rsid w:val="2C65089E"/>
    <w:rsid w:val="2C6D47A8"/>
    <w:rsid w:val="2C723060"/>
    <w:rsid w:val="2C801F12"/>
    <w:rsid w:val="2C864DE9"/>
    <w:rsid w:val="2CB56D90"/>
    <w:rsid w:val="2CC66F08"/>
    <w:rsid w:val="2CCD34BB"/>
    <w:rsid w:val="2CD806ED"/>
    <w:rsid w:val="2CEC70C3"/>
    <w:rsid w:val="2D0B7011"/>
    <w:rsid w:val="2D1C2FCC"/>
    <w:rsid w:val="2D2F71A3"/>
    <w:rsid w:val="2D524C40"/>
    <w:rsid w:val="2D6412CF"/>
    <w:rsid w:val="2D6D3827"/>
    <w:rsid w:val="2D7626DC"/>
    <w:rsid w:val="2D905ACF"/>
    <w:rsid w:val="2DA01B9B"/>
    <w:rsid w:val="2DA03BFD"/>
    <w:rsid w:val="2DB17A3D"/>
    <w:rsid w:val="2DBB0A37"/>
    <w:rsid w:val="2DC31699"/>
    <w:rsid w:val="2DF5067B"/>
    <w:rsid w:val="2E474078"/>
    <w:rsid w:val="2E5A58DF"/>
    <w:rsid w:val="2E7F7D43"/>
    <w:rsid w:val="2E884DBD"/>
    <w:rsid w:val="2E9017E9"/>
    <w:rsid w:val="2EA50EA1"/>
    <w:rsid w:val="2EAD4823"/>
    <w:rsid w:val="2EC65434"/>
    <w:rsid w:val="2ECC42C7"/>
    <w:rsid w:val="2ED17FB6"/>
    <w:rsid w:val="2EE61AE3"/>
    <w:rsid w:val="2EF55327"/>
    <w:rsid w:val="2F1C7E9A"/>
    <w:rsid w:val="2F1E127D"/>
    <w:rsid w:val="2F3A0726"/>
    <w:rsid w:val="2F3C6B82"/>
    <w:rsid w:val="2F3F40B9"/>
    <w:rsid w:val="2F416D1A"/>
    <w:rsid w:val="2F4D498F"/>
    <w:rsid w:val="2F6C28FA"/>
    <w:rsid w:val="2F7A1A4C"/>
    <w:rsid w:val="2F805A94"/>
    <w:rsid w:val="2F8C268B"/>
    <w:rsid w:val="2FAF45CB"/>
    <w:rsid w:val="2FB11929"/>
    <w:rsid w:val="2FC55B9D"/>
    <w:rsid w:val="2FE30F5F"/>
    <w:rsid w:val="2FE73D65"/>
    <w:rsid w:val="300721D5"/>
    <w:rsid w:val="30163AD2"/>
    <w:rsid w:val="301660A1"/>
    <w:rsid w:val="302C4297"/>
    <w:rsid w:val="3030640B"/>
    <w:rsid w:val="30403912"/>
    <w:rsid w:val="304A60A2"/>
    <w:rsid w:val="307628A2"/>
    <w:rsid w:val="308C623F"/>
    <w:rsid w:val="308E41E1"/>
    <w:rsid w:val="3098505F"/>
    <w:rsid w:val="30BB2AFC"/>
    <w:rsid w:val="30E42053"/>
    <w:rsid w:val="30E65DCB"/>
    <w:rsid w:val="30FA28BB"/>
    <w:rsid w:val="30FA6AEB"/>
    <w:rsid w:val="311A0438"/>
    <w:rsid w:val="31666F0B"/>
    <w:rsid w:val="318F4D33"/>
    <w:rsid w:val="31A83080"/>
    <w:rsid w:val="31AD3D8D"/>
    <w:rsid w:val="31B60070"/>
    <w:rsid w:val="31B73303"/>
    <w:rsid w:val="31B825BF"/>
    <w:rsid w:val="31D64091"/>
    <w:rsid w:val="31DF69F8"/>
    <w:rsid w:val="31E367AE"/>
    <w:rsid w:val="31E700F2"/>
    <w:rsid w:val="320E0D4A"/>
    <w:rsid w:val="32192C67"/>
    <w:rsid w:val="32382813"/>
    <w:rsid w:val="32417CA3"/>
    <w:rsid w:val="325425A3"/>
    <w:rsid w:val="325E636C"/>
    <w:rsid w:val="326E7E26"/>
    <w:rsid w:val="3276707E"/>
    <w:rsid w:val="327772A2"/>
    <w:rsid w:val="329A0AD5"/>
    <w:rsid w:val="32A4700A"/>
    <w:rsid w:val="32AC6BA0"/>
    <w:rsid w:val="32B141B6"/>
    <w:rsid w:val="32B20681"/>
    <w:rsid w:val="32D939C7"/>
    <w:rsid w:val="32D94CDA"/>
    <w:rsid w:val="32F636DD"/>
    <w:rsid w:val="3301513E"/>
    <w:rsid w:val="3307027A"/>
    <w:rsid w:val="33296757"/>
    <w:rsid w:val="33353650"/>
    <w:rsid w:val="3361798A"/>
    <w:rsid w:val="33684649"/>
    <w:rsid w:val="336B0809"/>
    <w:rsid w:val="33A15FD9"/>
    <w:rsid w:val="33A25557"/>
    <w:rsid w:val="33B201E6"/>
    <w:rsid w:val="33B351A5"/>
    <w:rsid w:val="33E12662"/>
    <w:rsid w:val="33E82D51"/>
    <w:rsid w:val="33ED2D76"/>
    <w:rsid w:val="33FE42F0"/>
    <w:rsid w:val="34011C67"/>
    <w:rsid w:val="340D7B7D"/>
    <w:rsid w:val="34192013"/>
    <w:rsid w:val="341A688D"/>
    <w:rsid w:val="34384E78"/>
    <w:rsid w:val="345117AD"/>
    <w:rsid w:val="34667800"/>
    <w:rsid w:val="349D49F2"/>
    <w:rsid w:val="349E1EE2"/>
    <w:rsid w:val="34B7576A"/>
    <w:rsid w:val="34BD0DD0"/>
    <w:rsid w:val="34DD55EC"/>
    <w:rsid w:val="35064C8D"/>
    <w:rsid w:val="35134CB4"/>
    <w:rsid w:val="352B64A2"/>
    <w:rsid w:val="35447564"/>
    <w:rsid w:val="35546DDC"/>
    <w:rsid w:val="355D28CA"/>
    <w:rsid w:val="357F4DAD"/>
    <w:rsid w:val="35831E3A"/>
    <w:rsid w:val="358A3201"/>
    <w:rsid w:val="359C73A0"/>
    <w:rsid w:val="35AB62C0"/>
    <w:rsid w:val="35BC6EFA"/>
    <w:rsid w:val="35C6441D"/>
    <w:rsid w:val="35D73F34"/>
    <w:rsid w:val="35DA2256"/>
    <w:rsid w:val="35DC24C8"/>
    <w:rsid w:val="35E410B7"/>
    <w:rsid w:val="360E0C2C"/>
    <w:rsid w:val="361149DA"/>
    <w:rsid w:val="364609F5"/>
    <w:rsid w:val="36513CE6"/>
    <w:rsid w:val="36624145"/>
    <w:rsid w:val="36637F1B"/>
    <w:rsid w:val="367040D8"/>
    <w:rsid w:val="367D56D1"/>
    <w:rsid w:val="369B2C7A"/>
    <w:rsid w:val="36A93678"/>
    <w:rsid w:val="36AE56E9"/>
    <w:rsid w:val="37080417"/>
    <w:rsid w:val="37392D65"/>
    <w:rsid w:val="373A0C1E"/>
    <w:rsid w:val="373C7E12"/>
    <w:rsid w:val="374B6A79"/>
    <w:rsid w:val="376F2908"/>
    <w:rsid w:val="379522F8"/>
    <w:rsid w:val="37B07132"/>
    <w:rsid w:val="37B91565"/>
    <w:rsid w:val="37DC5A1F"/>
    <w:rsid w:val="37E961A0"/>
    <w:rsid w:val="37F32C13"/>
    <w:rsid w:val="380B25BB"/>
    <w:rsid w:val="38172D0E"/>
    <w:rsid w:val="38176009"/>
    <w:rsid w:val="381B0A50"/>
    <w:rsid w:val="381E3168"/>
    <w:rsid w:val="38234B8E"/>
    <w:rsid w:val="38342E31"/>
    <w:rsid w:val="384719E0"/>
    <w:rsid w:val="386753EF"/>
    <w:rsid w:val="3874587B"/>
    <w:rsid w:val="38783101"/>
    <w:rsid w:val="38815F59"/>
    <w:rsid w:val="388A7983"/>
    <w:rsid w:val="389D1465"/>
    <w:rsid w:val="38B14665"/>
    <w:rsid w:val="38F17A02"/>
    <w:rsid w:val="390239BE"/>
    <w:rsid w:val="39046A84"/>
    <w:rsid w:val="3907358F"/>
    <w:rsid w:val="39161217"/>
    <w:rsid w:val="39475874"/>
    <w:rsid w:val="394915ED"/>
    <w:rsid w:val="39731D27"/>
    <w:rsid w:val="39784106"/>
    <w:rsid w:val="399B7AFA"/>
    <w:rsid w:val="39A14F3A"/>
    <w:rsid w:val="39BD3A49"/>
    <w:rsid w:val="39D0561F"/>
    <w:rsid w:val="39D54C2E"/>
    <w:rsid w:val="39DC7D6B"/>
    <w:rsid w:val="39FD20B6"/>
    <w:rsid w:val="39FF3A59"/>
    <w:rsid w:val="3A12378C"/>
    <w:rsid w:val="3A295681"/>
    <w:rsid w:val="3A3F2977"/>
    <w:rsid w:val="3A540249"/>
    <w:rsid w:val="3A597AE6"/>
    <w:rsid w:val="3A5E2E76"/>
    <w:rsid w:val="3A5F274A"/>
    <w:rsid w:val="3A813CA0"/>
    <w:rsid w:val="3A920D71"/>
    <w:rsid w:val="3AA479A0"/>
    <w:rsid w:val="3AC727C9"/>
    <w:rsid w:val="3ACA31AA"/>
    <w:rsid w:val="3AD96738"/>
    <w:rsid w:val="3AE77F14"/>
    <w:rsid w:val="3AFB5AD0"/>
    <w:rsid w:val="3B07350D"/>
    <w:rsid w:val="3B0A330F"/>
    <w:rsid w:val="3B0E4EA8"/>
    <w:rsid w:val="3B141786"/>
    <w:rsid w:val="3B414F64"/>
    <w:rsid w:val="3B4262F3"/>
    <w:rsid w:val="3B4D500E"/>
    <w:rsid w:val="3B5A5A20"/>
    <w:rsid w:val="3B5B73B5"/>
    <w:rsid w:val="3B6A4D76"/>
    <w:rsid w:val="3B7265B6"/>
    <w:rsid w:val="3B9823B7"/>
    <w:rsid w:val="3BAB20EB"/>
    <w:rsid w:val="3BB87AAB"/>
    <w:rsid w:val="3BC43710"/>
    <w:rsid w:val="3BC66F24"/>
    <w:rsid w:val="3BF06DA5"/>
    <w:rsid w:val="3C011D0B"/>
    <w:rsid w:val="3C045097"/>
    <w:rsid w:val="3C096E11"/>
    <w:rsid w:val="3C156E2A"/>
    <w:rsid w:val="3C243581"/>
    <w:rsid w:val="3C270B87"/>
    <w:rsid w:val="3C426DE8"/>
    <w:rsid w:val="3C614E5D"/>
    <w:rsid w:val="3C6630A4"/>
    <w:rsid w:val="3C8773D8"/>
    <w:rsid w:val="3CDF610D"/>
    <w:rsid w:val="3CEF2041"/>
    <w:rsid w:val="3CFD6976"/>
    <w:rsid w:val="3CFF5858"/>
    <w:rsid w:val="3D0B47F2"/>
    <w:rsid w:val="3D1A0C86"/>
    <w:rsid w:val="3D3D5119"/>
    <w:rsid w:val="3D486CF0"/>
    <w:rsid w:val="3D513814"/>
    <w:rsid w:val="3D6D5424"/>
    <w:rsid w:val="3D7D2F06"/>
    <w:rsid w:val="3D8222DA"/>
    <w:rsid w:val="3D8434A5"/>
    <w:rsid w:val="3D87116F"/>
    <w:rsid w:val="3D8C5B98"/>
    <w:rsid w:val="3D9170BE"/>
    <w:rsid w:val="3D9B1CEB"/>
    <w:rsid w:val="3DD72E27"/>
    <w:rsid w:val="3DDF2113"/>
    <w:rsid w:val="3DEF4F9D"/>
    <w:rsid w:val="3DF01D04"/>
    <w:rsid w:val="3DF1535C"/>
    <w:rsid w:val="3E0755D2"/>
    <w:rsid w:val="3E0907F1"/>
    <w:rsid w:val="3E0C1A42"/>
    <w:rsid w:val="3E18158D"/>
    <w:rsid w:val="3E1C3F30"/>
    <w:rsid w:val="3E1E09C1"/>
    <w:rsid w:val="3E263CAA"/>
    <w:rsid w:val="3E34523F"/>
    <w:rsid w:val="3E42660A"/>
    <w:rsid w:val="3E453F74"/>
    <w:rsid w:val="3E491747"/>
    <w:rsid w:val="3E4D45C0"/>
    <w:rsid w:val="3E5B3179"/>
    <w:rsid w:val="3E7C1B1C"/>
    <w:rsid w:val="3E95405E"/>
    <w:rsid w:val="3E9C1E20"/>
    <w:rsid w:val="3EA80B63"/>
    <w:rsid w:val="3EBF398A"/>
    <w:rsid w:val="3EC31153"/>
    <w:rsid w:val="3ED348DA"/>
    <w:rsid w:val="3EF738FE"/>
    <w:rsid w:val="3F010F2F"/>
    <w:rsid w:val="3F364E7E"/>
    <w:rsid w:val="3F3F790E"/>
    <w:rsid w:val="3F52287D"/>
    <w:rsid w:val="3F5D588F"/>
    <w:rsid w:val="3F620D12"/>
    <w:rsid w:val="3F752465"/>
    <w:rsid w:val="3F863C81"/>
    <w:rsid w:val="3F8652F4"/>
    <w:rsid w:val="3FC50DE2"/>
    <w:rsid w:val="3FE206D5"/>
    <w:rsid w:val="3FE45BCB"/>
    <w:rsid w:val="3FF83425"/>
    <w:rsid w:val="40041A48"/>
    <w:rsid w:val="401D2E8B"/>
    <w:rsid w:val="40247A79"/>
    <w:rsid w:val="40356427"/>
    <w:rsid w:val="40457F4D"/>
    <w:rsid w:val="40512B35"/>
    <w:rsid w:val="405C7E57"/>
    <w:rsid w:val="408B31F4"/>
    <w:rsid w:val="40B3374E"/>
    <w:rsid w:val="40BA692C"/>
    <w:rsid w:val="40BB61AC"/>
    <w:rsid w:val="40C61775"/>
    <w:rsid w:val="40D04410"/>
    <w:rsid w:val="40E96452"/>
    <w:rsid w:val="40EB0C8E"/>
    <w:rsid w:val="4106047D"/>
    <w:rsid w:val="41126768"/>
    <w:rsid w:val="41406E31"/>
    <w:rsid w:val="41682533"/>
    <w:rsid w:val="416A6007"/>
    <w:rsid w:val="416D2590"/>
    <w:rsid w:val="416F5968"/>
    <w:rsid w:val="417608C7"/>
    <w:rsid w:val="417A1C6A"/>
    <w:rsid w:val="41A52431"/>
    <w:rsid w:val="41A963D7"/>
    <w:rsid w:val="41C82B5F"/>
    <w:rsid w:val="41CC6917"/>
    <w:rsid w:val="41DA45B1"/>
    <w:rsid w:val="41DB1250"/>
    <w:rsid w:val="41ED0B7A"/>
    <w:rsid w:val="41F06F3B"/>
    <w:rsid w:val="41F51C8E"/>
    <w:rsid w:val="421D3616"/>
    <w:rsid w:val="425A3EF7"/>
    <w:rsid w:val="425D60B8"/>
    <w:rsid w:val="426C39C2"/>
    <w:rsid w:val="427E2307"/>
    <w:rsid w:val="42A003AC"/>
    <w:rsid w:val="42DA32B5"/>
    <w:rsid w:val="42F04887"/>
    <w:rsid w:val="42FC147E"/>
    <w:rsid w:val="43023801"/>
    <w:rsid w:val="430D0C90"/>
    <w:rsid w:val="43200890"/>
    <w:rsid w:val="43277FF5"/>
    <w:rsid w:val="43333DA9"/>
    <w:rsid w:val="434370AD"/>
    <w:rsid w:val="435412BA"/>
    <w:rsid w:val="43697B1B"/>
    <w:rsid w:val="437D63A9"/>
    <w:rsid w:val="439B4A96"/>
    <w:rsid w:val="43AA712C"/>
    <w:rsid w:val="43DD12AF"/>
    <w:rsid w:val="43F3616B"/>
    <w:rsid w:val="43F3657B"/>
    <w:rsid w:val="44551A18"/>
    <w:rsid w:val="44670B79"/>
    <w:rsid w:val="446E40CF"/>
    <w:rsid w:val="44735158"/>
    <w:rsid w:val="4473751E"/>
    <w:rsid w:val="447510CE"/>
    <w:rsid w:val="447A2AD1"/>
    <w:rsid w:val="448320CC"/>
    <w:rsid w:val="44844BF9"/>
    <w:rsid w:val="4488746D"/>
    <w:rsid w:val="44957494"/>
    <w:rsid w:val="44BF1A14"/>
    <w:rsid w:val="44C04B82"/>
    <w:rsid w:val="44ED459F"/>
    <w:rsid w:val="450B0993"/>
    <w:rsid w:val="450E5498"/>
    <w:rsid w:val="450F1C2E"/>
    <w:rsid w:val="45156827"/>
    <w:rsid w:val="45202C09"/>
    <w:rsid w:val="452627E2"/>
    <w:rsid w:val="452C5582"/>
    <w:rsid w:val="452F5B3A"/>
    <w:rsid w:val="45612A25"/>
    <w:rsid w:val="456F5F37"/>
    <w:rsid w:val="45703A5D"/>
    <w:rsid w:val="458F1FD6"/>
    <w:rsid w:val="459F17DC"/>
    <w:rsid w:val="45A2455E"/>
    <w:rsid w:val="45F26332"/>
    <w:rsid w:val="46034DCF"/>
    <w:rsid w:val="460F4B8F"/>
    <w:rsid w:val="46151CD6"/>
    <w:rsid w:val="461940F5"/>
    <w:rsid w:val="46283B24"/>
    <w:rsid w:val="46341209"/>
    <w:rsid w:val="464350BF"/>
    <w:rsid w:val="46463112"/>
    <w:rsid w:val="464672D0"/>
    <w:rsid w:val="46470C62"/>
    <w:rsid w:val="464D3D8A"/>
    <w:rsid w:val="466B74CB"/>
    <w:rsid w:val="46713F31"/>
    <w:rsid w:val="468C64C8"/>
    <w:rsid w:val="46BF4086"/>
    <w:rsid w:val="46C774AF"/>
    <w:rsid w:val="46D74C89"/>
    <w:rsid w:val="46ED3B48"/>
    <w:rsid w:val="47057685"/>
    <w:rsid w:val="47060B1D"/>
    <w:rsid w:val="471C5C4A"/>
    <w:rsid w:val="472A50B2"/>
    <w:rsid w:val="473F5DDD"/>
    <w:rsid w:val="4751520E"/>
    <w:rsid w:val="47565BB1"/>
    <w:rsid w:val="4783216D"/>
    <w:rsid w:val="478C0C8B"/>
    <w:rsid w:val="479271AB"/>
    <w:rsid w:val="4794500D"/>
    <w:rsid w:val="47C16705"/>
    <w:rsid w:val="47D54855"/>
    <w:rsid w:val="47DB6143"/>
    <w:rsid w:val="47ED1AEB"/>
    <w:rsid w:val="47F171FF"/>
    <w:rsid w:val="481B4154"/>
    <w:rsid w:val="48267D4B"/>
    <w:rsid w:val="48352E87"/>
    <w:rsid w:val="4845401E"/>
    <w:rsid w:val="48584254"/>
    <w:rsid w:val="486D6CB0"/>
    <w:rsid w:val="486E4BDA"/>
    <w:rsid w:val="48890E9D"/>
    <w:rsid w:val="48A169FD"/>
    <w:rsid w:val="48AA188E"/>
    <w:rsid w:val="48AE6D76"/>
    <w:rsid w:val="48B63B78"/>
    <w:rsid w:val="48B87BF5"/>
    <w:rsid w:val="48E90410"/>
    <w:rsid w:val="490823AF"/>
    <w:rsid w:val="490A38A3"/>
    <w:rsid w:val="49156DF5"/>
    <w:rsid w:val="49165572"/>
    <w:rsid w:val="492F72A2"/>
    <w:rsid w:val="49523BA5"/>
    <w:rsid w:val="4961347E"/>
    <w:rsid w:val="496438D9"/>
    <w:rsid w:val="496D6C31"/>
    <w:rsid w:val="497608C7"/>
    <w:rsid w:val="497F7FCC"/>
    <w:rsid w:val="4981092F"/>
    <w:rsid w:val="498633E7"/>
    <w:rsid w:val="49DB7A8B"/>
    <w:rsid w:val="4A3F1A0D"/>
    <w:rsid w:val="4A4572F7"/>
    <w:rsid w:val="4A4F4589"/>
    <w:rsid w:val="4A5F2F79"/>
    <w:rsid w:val="4A6B5DDA"/>
    <w:rsid w:val="4A981A8C"/>
    <w:rsid w:val="4A9C2C2D"/>
    <w:rsid w:val="4AA77F21"/>
    <w:rsid w:val="4AD131F0"/>
    <w:rsid w:val="4AD52CE0"/>
    <w:rsid w:val="4AD827D0"/>
    <w:rsid w:val="4AED5F5A"/>
    <w:rsid w:val="4AEE3DA2"/>
    <w:rsid w:val="4AFD1A7D"/>
    <w:rsid w:val="4B173350"/>
    <w:rsid w:val="4B182BCD"/>
    <w:rsid w:val="4B192B60"/>
    <w:rsid w:val="4B415FB5"/>
    <w:rsid w:val="4B685902"/>
    <w:rsid w:val="4B733D7C"/>
    <w:rsid w:val="4B833FE7"/>
    <w:rsid w:val="4B8A0F82"/>
    <w:rsid w:val="4B9366F7"/>
    <w:rsid w:val="4BA54C6F"/>
    <w:rsid w:val="4BC878A0"/>
    <w:rsid w:val="4BEB6533"/>
    <w:rsid w:val="4C1C659D"/>
    <w:rsid w:val="4C1E60FD"/>
    <w:rsid w:val="4C2555A1"/>
    <w:rsid w:val="4C2D7545"/>
    <w:rsid w:val="4C3E2B07"/>
    <w:rsid w:val="4C516396"/>
    <w:rsid w:val="4C59524B"/>
    <w:rsid w:val="4C5D473E"/>
    <w:rsid w:val="4C637B85"/>
    <w:rsid w:val="4C912C37"/>
    <w:rsid w:val="4CB307A0"/>
    <w:rsid w:val="4CC254E6"/>
    <w:rsid w:val="4CC90623"/>
    <w:rsid w:val="4CDA2830"/>
    <w:rsid w:val="4CDD5E7C"/>
    <w:rsid w:val="4D0206EF"/>
    <w:rsid w:val="4D034DF7"/>
    <w:rsid w:val="4D072EF9"/>
    <w:rsid w:val="4D0B2CA0"/>
    <w:rsid w:val="4D0F1DAD"/>
    <w:rsid w:val="4D135177"/>
    <w:rsid w:val="4D6A7124"/>
    <w:rsid w:val="4D6B792C"/>
    <w:rsid w:val="4DAA7A22"/>
    <w:rsid w:val="4DB459E6"/>
    <w:rsid w:val="4DE80F7C"/>
    <w:rsid w:val="4E261AA5"/>
    <w:rsid w:val="4E3E44F9"/>
    <w:rsid w:val="4E433CEC"/>
    <w:rsid w:val="4E45017D"/>
    <w:rsid w:val="4E53410E"/>
    <w:rsid w:val="4E5F086C"/>
    <w:rsid w:val="4E7D5E3A"/>
    <w:rsid w:val="4E844AD0"/>
    <w:rsid w:val="4EAB606C"/>
    <w:rsid w:val="4EB17C65"/>
    <w:rsid w:val="4EDE3DED"/>
    <w:rsid w:val="4F0040A4"/>
    <w:rsid w:val="4F03034B"/>
    <w:rsid w:val="4F041DE6"/>
    <w:rsid w:val="4F1E452A"/>
    <w:rsid w:val="4F37170C"/>
    <w:rsid w:val="4F3C26B1"/>
    <w:rsid w:val="4F4C50C9"/>
    <w:rsid w:val="4F780DF4"/>
    <w:rsid w:val="4F7A4432"/>
    <w:rsid w:val="4F8C3149"/>
    <w:rsid w:val="4F9273F2"/>
    <w:rsid w:val="4FA606C6"/>
    <w:rsid w:val="4FAE7D3E"/>
    <w:rsid w:val="4FBB7B53"/>
    <w:rsid w:val="4FCE1C1C"/>
    <w:rsid w:val="4FD32054"/>
    <w:rsid w:val="4FD63842"/>
    <w:rsid w:val="4FF260E2"/>
    <w:rsid w:val="4FF54764"/>
    <w:rsid w:val="500002EC"/>
    <w:rsid w:val="50267B3A"/>
    <w:rsid w:val="5031648D"/>
    <w:rsid w:val="50577CF3"/>
    <w:rsid w:val="507A2CD6"/>
    <w:rsid w:val="50852AB2"/>
    <w:rsid w:val="50A11AE9"/>
    <w:rsid w:val="50C92078"/>
    <w:rsid w:val="50CE26AB"/>
    <w:rsid w:val="50E538A7"/>
    <w:rsid w:val="51034A67"/>
    <w:rsid w:val="510A49CC"/>
    <w:rsid w:val="51383025"/>
    <w:rsid w:val="51656440"/>
    <w:rsid w:val="51711289"/>
    <w:rsid w:val="51714DE5"/>
    <w:rsid w:val="517263D6"/>
    <w:rsid w:val="51796EB8"/>
    <w:rsid w:val="51B2428C"/>
    <w:rsid w:val="51BF443D"/>
    <w:rsid w:val="51C35022"/>
    <w:rsid w:val="51CB6BEB"/>
    <w:rsid w:val="51D04201"/>
    <w:rsid w:val="51D458A9"/>
    <w:rsid w:val="51F34835"/>
    <w:rsid w:val="51F35FFC"/>
    <w:rsid w:val="51F577C4"/>
    <w:rsid w:val="520675FB"/>
    <w:rsid w:val="5209095F"/>
    <w:rsid w:val="5221680B"/>
    <w:rsid w:val="52240FF4"/>
    <w:rsid w:val="522D42F3"/>
    <w:rsid w:val="5253273C"/>
    <w:rsid w:val="525A3ACB"/>
    <w:rsid w:val="52603A7F"/>
    <w:rsid w:val="52976FFA"/>
    <w:rsid w:val="529C40E3"/>
    <w:rsid w:val="52A1794C"/>
    <w:rsid w:val="52A5743C"/>
    <w:rsid w:val="52AF02BB"/>
    <w:rsid w:val="52C5363A"/>
    <w:rsid w:val="52D715BF"/>
    <w:rsid w:val="530A54F1"/>
    <w:rsid w:val="53150204"/>
    <w:rsid w:val="532450C7"/>
    <w:rsid w:val="534C5D9D"/>
    <w:rsid w:val="53520304"/>
    <w:rsid w:val="53556A11"/>
    <w:rsid w:val="5361723D"/>
    <w:rsid w:val="5362532D"/>
    <w:rsid w:val="536634F1"/>
    <w:rsid w:val="539671A1"/>
    <w:rsid w:val="53A46A72"/>
    <w:rsid w:val="53AB6CD4"/>
    <w:rsid w:val="53AE448D"/>
    <w:rsid w:val="53BC2C8F"/>
    <w:rsid w:val="53C05963"/>
    <w:rsid w:val="53C50E5C"/>
    <w:rsid w:val="53EA29C7"/>
    <w:rsid w:val="53EB5322"/>
    <w:rsid w:val="53ED01C1"/>
    <w:rsid w:val="5411465D"/>
    <w:rsid w:val="54220BE8"/>
    <w:rsid w:val="544E60BC"/>
    <w:rsid w:val="545254D7"/>
    <w:rsid w:val="54534906"/>
    <w:rsid w:val="545D0C30"/>
    <w:rsid w:val="545F21A9"/>
    <w:rsid w:val="54A247BC"/>
    <w:rsid w:val="54B74005"/>
    <w:rsid w:val="54BA72F9"/>
    <w:rsid w:val="54C870BC"/>
    <w:rsid w:val="55067F3A"/>
    <w:rsid w:val="55320D2F"/>
    <w:rsid w:val="5532153A"/>
    <w:rsid w:val="556128F7"/>
    <w:rsid w:val="5563713A"/>
    <w:rsid w:val="55706774"/>
    <w:rsid w:val="5576640E"/>
    <w:rsid w:val="559E519B"/>
    <w:rsid w:val="55CE071D"/>
    <w:rsid w:val="55D1679A"/>
    <w:rsid w:val="55D63DC4"/>
    <w:rsid w:val="55E03DCD"/>
    <w:rsid w:val="55EE2EA8"/>
    <w:rsid w:val="55F36710"/>
    <w:rsid w:val="55F67FAE"/>
    <w:rsid w:val="560079AE"/>
    <w:rsid w:val="56066443"/>
    <w:rsid w:val="562B5EAA"/>
    <w:rsid w:val="563C38EF"/>
    <w:rsid w:val="56400BAE"/>
    <w:rsid w:val="56570A4D"/>
    <w:rsid w:val="565A053D"/>
    <w:rsid w:val="565C42B5"/>
    <w:rsid w:val="565E4380"/>
    <w:rsid w:val="56791F5C"/>
    <w:rsid w:val="56951575"/>
    <w:rsid w:val="56C97471"/>
    <w:rsid w:val="56CD0D0F"/>
    <w:rsid w:val="56D07A6B"/>
    <w:rsid w:val="56EB0BF5"/>
    <w:rsid w:val="56ED176F"/>
    <w:rsid w:val="56FC699D"/>
    <w:rsid w:val="570127F8"/>
    <w:rsid w:val="570A1F63"/>
    <w:rsid w:val="570D3224"/>
    <w:rsid w:val="5715598F"/>
    <w:rsid w:val="573248A8"/>
    <w:rsid w:val="574645D1"/>
    <w:rsid w:val="57511940"/>
    <w:rsid w:val="57516297"/>
    <w:rsid w:val="575516E1"/>
    <w:rsid w:val="575B4DA3"/>
    <w:rsid w:val="576C5323"/>
    <w:rsid w:val="577748B6"/>
    <w:rsid w:val="578C2978"/>
    <w:rsid w:val="57A211DE"/>
    <w:rsid w:val="57AA2DFF"/>
    <w:rsid w:val="57B43C7D"/>
    <w:rsid w:val="57BD720F"/>
    <w:rsid w:val="57BE5D7F"/>
    <w:rsid w:val="57C139BF"/>
    <w:rsid w:val="57C96D99"/>
    <w:rsid w:val="57CB6BCB"/>
    <w:rsid w:val="57E17FBA"/>
    <w:rsid w:val="580478E4"/>
    <w:rsid w:val="5838448A"/>
    <w:rsid w:val="58690F0C"/>
    <w:rsid w:val="588E44CE"/>
    <w:rsid w:val="58AB51D8"/>
    <w:rsid w:val="58BF28DA"/>
    <w:rsid w:val="58CE3EC6"/>
    <w:rsid w:val="58EB432F"/>
    <w:rsid w:val="58F1515B"/>
    <w:rsid w:val="590E31C8"/>
    <w:rsid w:val="591056B3"/>
    <w:rsid w:val="594C5A9D"/>
    <w:rsid w:val="5963595B"/>
    <w:rsid w:val="597C17A8"/>
    <w:rsid w:val="597E47CE"/>
    <w:rsid w:val="598F32DA"/>
    <w:rsid w:val="59AB071E"/>
    <w:rsid w:val="59BD2904"/>
    <w:rsid w:val="59EB64B1"/>
    <w:rsid w:val="59F6057D"/>
    <w:rsid w:val="5A025EE6"/>
    <w:rsid w:val="5A1D1FAE"/>
    <w:rsid w:val="5A201A9E"/>
    <w:rsid w:val="5A2F4F20"/>
    <w:rsid w:val="5A380B96"/>
    <w:rsid w:val="5A4D5C6C"/>
    <w:rsid w:val="5A542B0D"/>
    <w:rsid w:val="5A5939ED"/>
    <w:rsid w:val="5A602821"/>
    <w:rsid w:val="5A7410D7"/>
    <w:rsid w:val="5A865DA5"/>
    <w:rsid w:val="5A8A37AF"/>
    <w:rsid w:val="5AE8436A"/>
    <w:rsid w:val="5AEA3386"/>
    <w:rsid w:val="5B0B1E06"/>
    <w:rsid w:val="5B0C73C3"/>
    <w:rsid w:val="5B1A1983"/>
    <w:rsid w:val="5B215ACE"/>
    <w:rsid w:val="5B465534"/>
    <w:rsid w:val="5B4812AC"/>
    <w:rsid w:val="5B6A7475"/>
    <w:rsid w:val="5B9919BC"/>
    <w:rsid w:val="5BAA5AC3"/>
    <w:rsid w:val="5BC30D7D"/>
    <w:rsid w:val="5BC8496B"/>
    <w:rsid w:val="5BCC1679"/>
    <w:rsid w:val="5BE479B8"/>
    <w:rsid w:val="5BF71C31"/>
    <w:rsid w:val="5BF835F8"/>
    <w:rsid w:val="5C036742"/>
    <w:rsid w:val="5C136209"/>
    <w:rsid w:val="5C1D44E7"/>
    <w:rsid w:val="5C3D2493"/>
    <w:rsid w:val="5C3E52E3"/>
    <w:rsid w:val="5C4E4C03"/>
    <w:rsid w:val="5C55794A"/>
    <w:rsid w:val="5C5D0D87"/>
    <w:rsid w:val="5C67213C"/>
    <w:rsid w:val="5C6A5252"/>
    <w:rsid w:val="5C7727E6"/>
    <w:rsid w:val="5CA05F81"/>
    <w:rsid w:val="5CAD7061"/>
    <w:rsid w:val="5CDF179C"/>
    <w:rsid w:val="5CF81D6D"/>
    <w:rsid w:val="5CFB309E"/>
    <w:rsid w:val="5D0E056E"/>
    <w:rsid w:val="5D1551BE"/>
    <w:rsid w:val="5D30024A"/>
    <w:rsid w:val="5D373386"/>
    <w:rsid w:val="5D3A638B"/>
    <w:rsid w:val="5D437F7D"/>
    <w:rsid w:val="5D44540D"/>
    <w:rsid w:val="5D57347C"/>
    <w:rsid w:val="5D5F5577"/>
    <w:rsid w:val="5D663C6C"/>
    <w:rsid w:val="5D6C16D9"/>
    <w:rsid w:val="5D7E41B2"/>
    <w:rsid w:val="5D870870"/>
    <w:rsid w:val="5DA537E8"/>
    <w:rsid w:val="5DC27BD6"/>
    <w:rsid w:val="5DC310BE"/>
    <w:rsid w:val="5DED1C97"/>
    <w:rsid w:val="5DEF1EB3"/>
    <w:rsid w:val="5DFC1EDA"/>
    <w:rsid w:val="5E0D40E7"/>
    <w:rsid w:val="5E251431"/>
    <w:rsid w:val="5E6A778C"/>
    <w:rsid w:val="5E766130"/>
    <w:rsid w:val="5E7D74BF"/>
    <w:rsid w:val="5E887289"/>
    <w:rsid w:val="5E9860A7"/>
    <w:rsid w:val="5E9E2730"/>
    <w:rsid w:val="5EAD52D1"/>
    <w:rsid w:val="5ECA4F30"/>
    <w:rsid w:val="5EDF4BE8"/>
    <w:rsid w:val="5EE62CED"/>
    <w:rsid w:val="5EFD23AE"/>
    <w:rsid w:val="5F042A70"/>
    <w:rsid w:val="5F100333"/>
    <w:rsid w:val="5F3202A9"/>
    <w:rsid w:val="5F386538"/>
    <w:rsid w:val="5F724EEB"/>
    <w:rsid w:val="5F782EAD"/>
    <w:rsid w:val="5F9F1447"/>
    <w:rsid w:val="5FA12740"/>
    <w:rsid w:val="5FAA42E4"/>
    <w:rsid w:val="5FB40CBE"/>
    <w:rsid w:val="5FCD57DA"/>
    <w:rsid w:val="5FCF3CA0"/>
    <w:rsid w:val="5FD0361E"/>
    <w:rsid w:val="5FD43787"/>
    <w:rsid w:val="5FED36D9"/>
    <w:rsid w:val="5FF315BE"/>
    <w:rsid w:val="5FF4278B"/>
    <w:rsid w:val="5FFD11C4"/>
    <w:rsid w:val="60082DB8"/>
    <w:rsid w:val="60196606"/>
    <w:rsid w:val="601B2CE9"/>
    <w:rsid w:val="602F2A3B"/>
    <w:rsid w:val="60433DF0"/>
    <w:rsid w:val="604F32A9"/>
    <w:rsid w:val="605A2B4D"/>
    <w:rsid w:val="606C77EB"/>
    <w:rsid w:val="606F2E37"/>
    <w:rsid w:val="60BD3825"/>
    <w:rsid w:val="60F84563"/>
    <w:rsid w:val="60FE457C"/>
    <w:rsid w:val="60FF6A7E"/>
    <w:rsid w:val="60FF7EBF"/>
    <w:rsid w:val="6109328C"/>
    <w:rsid w:val="611834CF"/>
    <w:rsid w:val="6171498D"/>
    <w:rsid w:val="61722BDF"/>
    <w:rsid w:val="617A5F38"/>
    <w:rsid w:val="61821CF5"/>
    <w:rsid w:val="61955945"/>
    <w:rsid w:val="619C4100"/>
    <w:rsid w:val="61A145D6"/>
    <w:rsid w:val="61A60ADB"/>
    <w:rsid w:val="61D70C94"/>
    <w:rsid w:val="61F87F02"/>
    <w:rsid w:val="62195750"/>
    <w:rsid w:val="624A3B5C"/>
    <w:rsid w:val="625A4142"/>
    <w:rsid w:val="626A1AB8"/>
    <w:rsid w:val="62740596"/>
    <w:rsid w:val="62764951"/>
    <w:rsid w:val="62864468"/>
    <w:rsid w:val="629B7F14"/>
    <w:rsid w:val="62A019CE"/>
    <w:rsid w:val="62A51985"/>
    <w:rsid w:val="62A96AD4"/>
    <w:rsid w:val="62B86507"/>
    <w:rsid w:val="62BC63BC"/>
    <w:rsid w:val="62C23C2F"/>
    <w:rsid w:val="62C80FB8"/>
    <w:rsid w:val="62CA1E1D"/>
    <w:rsid w:val="62E42E31"/>
    <w:rsid w:val="62EC3974"/>
    <w:rsid w:val="63035AB9"/>
    <w:rsid w:val="63042292"/>
    <w:rsid w:val="63160D25"/>
    <w:rsid w:val="63165EF4"/>
    <w:rsid w:val="63190B0F"/>
    <w:rsid w:val="631B1054"/>
    <w:rsid w:val="6320568B"/>
    <w:rsid w:val="632E5743"/>
    <w:rsid w:val="637756D0"/>
    <w:rsid w:val="63886376"/>
    <w:rsid w:val="63981C47"/>
    <w:rsid w:val="63A84648"/>
    <w:rsid w:val="63AE1EC8"/>
    <w:rsid w:val="63B67F98"/>
    <w:rsid w:val="63C90AB0"/>
    <w:rsid w:val="63D701A9"/>
    <w:rsid w:val="63F0603D"/>
    <w:rsid w:val="63F518A5"/>
    <w:rsid w:val="640E290A"/>
    <w:rsid w:val="6418064D"/>
    <w:rsid w:val="641E2BAA"/>
    <w:rsid w:val="64263DED"/>
    <w:rsid w:val="644D7F2D"/>
    <w:rsid w:val="64625850"/>
    <w:rsid w:val="647B5FF0"/>
    <w:rsid w:val="647B624F"/>
    <w:rsid w:val="64824575"/>
    <w:rsid w:val="64896611"/>
    <w:rsid w:val="648F5B18"/>
    <w:rsid w:val="64925346"/>
    <w:rsid w:val="649E2847"/>
    <w:rsid w:val="64A31301"/>
    <w:rsid w:val="64B13F23"/>
    <w:rsid w:val="64B17EC2"/>
    <w:rsid w:val="64BC23C3"/>
    <w:rsid w:val="64D07607"/>
    <w:rsid w:val="64E75692"/>
    <w:rsid w:val="64EA5182"/>
    <w:rsid w:val="65044496"/>
    <w:rsid w:val="650F6997"/>
    <w:rsid w:val="652201F3"/>
    <w:rsid w:val="65622F6B"/>
    <w:rsid w:val="6562740E"/>
    <w:rsid w:val="656774E1"/>
    <w:rsid w:val="657A6D3B"/>
    <w:rsid w:val="658742FD"/>
    <w:rsid w:val="65881777"/>
    <w:rsid w:val="658C6239"/>
    <w:rsid w:val="659375C8"/>
    <w:rsid w:val="659F41BF"/>
    <w:rsid w:val="65B03ADF"/>
    <w:rsid w:val="65B23EF2"/>
    <w:rsid w:val="65B65064"/>
    <w:rsid w:val="65FC33BF"/>
    <w:rsid w:val="661028BE"/>
    <w:rsid w:val="66236749"/>
    <w:rsid w:val="663743F7"/>
    <w:rsid w:val="66430FEE"/>
    <w:rsid w:val="66524D8D"/>
    <w:rsid w:val="66635524"/>
    <w:rsid w:val="66740B4E"/>
    <w:rsid w:val="668F1B3D"/>
    <w:rsid w:val="66902F9A"/>
    <w:rsid w:val="66AC3176"/>
    <w:rsid w:val="66BA21D2"/>
    <w:rsid w:val="66CF321C"/>
    <w:rsid w:val="66E06E33"/>
    <w:rsid w:val="66E47D4B"/>
    <w:rsid w:val="66E856F1"/>
    <w:rsid w:val="66EC3434"/>
    <w:rsid w:val="66FD119D"/>
    <w:rsid w:val="67153048"/>
    <w:rsid w:val="673426E5"/>
    <w:rsid w:val="673E681D"/>
    <w:rsid w:val="6748775B"/>
    <w:rsid w:val="674A1F08"/>
    <w:rsid w:val="67705E13"/>
    <w:rsid w:val="677A0590"/>
    <w:rsid w:val="67892A30"/>
    <w:rsid w:val="67A23AF2"/>
    <w:rsid w:val="67B918F5"/>
    <w:rsid w:val="67FE7FC3"/>
    <w:rsid w:val="681A3FD0"/>
    <w:rsid w:val="68425D5E"/>
    <w:rsid w:val="68555FA5"/>
    <w:rsid w:val="685E210F"/>
    <w:rsid w:val="68646674"/>
    <w:rsid w:val="687763BE"/>
    <w:rsid w:val="687D47E2"/>
    <w:rsid w:val="689C6793"/>
    <w:rsid w:val="68A654D5"/>
    <w:rsid w:val="68AA0BDE"/>
    <w:rsid w:val="68AF66E6"/>
    <w:rsid w:val="68CA77A4"/>
    <w:rsid w:val="68F468B6"/>
    <w:rsid w:val="68F6059A"/>
    <w:rsid w:val="68F62348"/>
    <w:rsid w:val="68FB2C27"/>
    <w:rsid w:val="690A59CE"/>
    <w:rsid w:val="69112CDD"/>
    <w:rsid w:val="69197DE4"/>
    <w:rsid w:val="692844CB"/>
    <w:rsid w:val="6942733B"/>
    <w:rsid w:val="694330B3"/>
    <w:rsid w:val="695E1C9B"/>
    <w:rsid w:val="69657295"/>
    <w:rsid w:val="696F50E8"/>
    <w:rsid w:val="69872FA0"/>
    <w:rsid w:val="698931BC"/>
    <w:rsid w:val="699523D6"/>
    <w:rsid w:val="699D6C67"/>
    <w:rsid w:val="69AE5AFC"/>
    <w:rsid w:val="69B47B0D"/>
    <w:rsid w:val="69BC58DA"/>
    <w:rsid w:val="69C75A92"/>
    <w:rsid w:val="6A18111B"/>
    <w:rsid w:val="6A1F142A"/>
    <w:rsid w:val="6A4C56AD"/>
    <w:rsid w:val="6A682DD1"/>
    <w:rsid w:val="6A6E5F0E"/>
    <w:rsid w:val="6A941E18"/>
    <w:rsid w:val="6AA13425"/>
    <w:rsid w:val="6AA17CA0"/>
    <w:rsid w:val="6AC957E0"/>
    <w:rsid w:val="6AFC53DE"/>
    <w:rsid w:val="6AFC5C0F"/>
    <w:rsid w:val="6B0D141C"/>
    <w:rsid w:val="6B0E7E45"/>
    <w:rsid w:val="6B1A36F1"/>
    <w:rsid w:val="6B59096C"/>
    <w:rsid w:val="6B5C220A"/>
    <w:rsid w:val="6B5C5E11"/>
    <w:rsid w:val="6B8005EE"/>
    <w:rsid w:val="6B8E04D1"/>
    <w:rsid w:val="6BAA566B"/>
    <w:rsid w:val="6BAD3FAD"/>
    <w:rsid w:val="6BFC37B3"/>
    <w:rsid w:val="6C001B0D"/>
    <w:rsid w:val="6C2F16BF"/>
    <w:rsid w:val="6C3311BD"/>
    <w:rsid w:val="6C3D64DF"/>
    <w:rsid w:val="6C401511"/>
    <w:rsid w:val="6C4773AA"/>
    <w:rsid w:val="6C507B7A"/>
    <w:rsid w:val="6C6C4AF3"/>
    <w:rsid w:val="6C7170E0"/>
    <w:rsid w:val="6C7C0DB6"/>
    <w:rsid w:val="6C967E80"/>
    <w:rsid w:val="6CAD71C1"/>
    <w:rsid w:val="6CB71FBE"/>
    <w:rsid w:val="6CC356A2"/>
    <w:rsid w:val="6CC462B9"/>
    <w:rsid w:val="6CD8449D"/>
    <w:rsid w:val="6CDB1EFD"/>
    <w:rsid w:val="6CE06343"/>
    <w:rsid w:val="6CE150BD"/>
    <w:rsid w:val="6D003795"/>
    <w:rsid w:val="6D1B5456"/>
    <w:rsid w:val="6D25144D"/>
    <w:rsid w:val="6D3755E4"/>
    <w:rsid w:val="6D486EEA"/>
    <w:rsid w:val="6D53592D"/>
    <w:rsid w:val="6D567859"/>
    <w:rsid w:val="6D6E7C26"/>
    <w:rsid w:val="6D7137FA"/>
    <w:rsid w:val="6D8031CA"/>
    <w:rsid w:val="6D830B86"/>
    <w:rsid w:val="6D8F2D6B"/>
    <w:rsid w:val="6D9D4B34"/>
    <w:rsid w:val="6DB8406F"/>
    <w:rsid w:val="6DBD1686"/>
    <w:rsid w:val="6DE4116A"/>
    <w:rsid w:val="6DE704B1"/>
    <w:rsid w:val="6E041474"/>
    <w:rsid w:val="6E146DCC"/>
    <w:rsid w:val="6E1A66EB"/>
    <w:rsid w:val="6E1F5E9D"/>
    <w:rsid w:val="6E2B2A93"/>
    <w:rsid w:val="6E4175A7"/>
    <w:rsid w:val="6E54667B"/>
    <w:rsid w:val="6E9739AC"/>
    <w:rsid w:val="6E9E14B7"/>
    <w:rsid w:val="6EA63EC8"/>
    <w:rsid w:val="6EAA7A8F"/>
    <w:rsid w:val="6EBF31DC"/>
    <w:rsid w:val="6EC24A7A"/>
    <w:rsid w:val="6EC84F2F"/>
    <w:rsid w:val="6F1352D6"/>
    <w:rsid w:val="6F1754F6"/>
    <w:rsid w:val="6F366681"/>
    <w:rsid w:val="6F410095"/>
    <w:rsid w:val="6F486E66"/>
    <w:rsid w:val="6F865AA7"/>
    <w:rsid w:val="6F991C7F"/>
    <w:rsid w:val="6F9B7903"/>
    <w:rsid w:val="6F9D7B1E"/>
    <w:rsid w:val="6FA2190E"/>
    <w:rsid w:val="6FA305FB"/>
    <w:rsid w:val="6FC158E4"/>
    <w:rsid w:val="6FC764BF"/>
    <w:rsid w:val="6FCF56A0"/>
    <w:rsid w:val="6FCF744E"/>
    <w:rsid w:val="6FEF1CBA"/>
    <w:rsid w:val="6FF04B68"/>
    <w:rsid w:val="70170C34"/>
    <w:rsid w:val="701B3D98"/>
    <w:rsid w:val="70293181"/>
    <w:rsid w:val="702A5D52"/>
    <w:rsid w:val="703674CE"/>
    <w:rsid w:val="703849C9"/>
    <w:rsid w:val="70422316"/>
    <w:rsid w:val="70457711"/>
    <w:rsid w:val="704E0CBB"/>
    <w:rsid w:val="704E2A69"/>
    <w:rsid w:val="70575E63"/>
    <w:rsid w:val="705C33D8"/>
    <w:rsid w:val="708B7819"/>
    <w:rsid w:val="70BC1343"/>
    <w:rsid w:val="70D16EF2"/>
    <w:rsid w:val="70FC0717"/>
    <w:rsid w:val="71025602"/>
    <w:rsid w:val="710E5AEC"/>
    <w:rsid w:val="710F06DC"/>
    <w:rsid w:val="71125845"/>
    <w:rsid w:val="711A294B"/>
    <w:rsid w:val="711A6D17"/>
    <w:rsid w:val="71233EF6"/>
    <w:rsid w:val="71333A0D"/>
    <w:rsid w:val="7136662E"/>
    <w:rsid w:val="71390C18"/>
    <w:rsid w:val="714526BB"/>
    <w:rsid w:val="71516D76"/>
    <w:rsid w:val="71582827"/>
    <w:rsid w:val="71791D68"/>
    <w:rsid w:val="717C16DC"/>
    <w:rsid w:val="718A7AD1"/>
    <w:rsid w:val="719F25AA"/>
    <w:rsid w:val="71A24560"/>
    <w:rsid w:val="71C074D5"/>
    <w:rsid w:val="71D23CE5"/>
    <w:rsid w:val="71E371E1"/>
    <w:rsid w:val="71E50A39"/>
    <w:rsid w:val="71E82A49"/>
    <w:rsid w:val="71EE3E76"/>
    <w:rsid w:val="71F24C78"/>
    <w:rsid w:val="71F350F9"/>
    <w:rsid w:val="721336B3"/>
    <w:rsid w:val="721D5ECE"/>
    <w:rsid w:val="72243ADD"/>
    <w:rsid w:val="723219DD"/>
    <w:rsid w:val="72397C5D"/>
    <w:rsid w:val="72440FF0"/>
    <w:rsid w:val="72672C4C"/>
    <w:rsid w:val="728B1C02"/>
    <w:rsid w:val="72AF7157"/>
    <w:rsid w:val="72BD7A32"/>
    <w:rsid w:val="72BF41FF"/>
    <w:rsid w:val="72BF7C4E"/>
    <w:rsid w:val="72CA780F"/>
    <w:rsid w:val="72D8486C"/>
    <w:rsid w:val="72DC25AE"/>
    <w:rsid w:val="72EE0533"/>
    <w:rsid w:val="72F53670"/>
    <w:rsid w:val="72F5541E"/>
    <w:rsid w:val="73010267"/>
    <w:rsid w:val="730114D3"/>
    <w:rsid w:val="730126D3"/>
    <w:rsid w:val="730F4B82"/>
    <w:rsid w:val="732D180B"/>
    <w:rsid w:val="7339134F"/>
    <w:rsid w:val="737C6F54"/>
    <w:rsid w:val="73970283"/>
    <w:rsid w:val="739C1D3D"/>
    <w:rsid w:val="73DE5640"/>
    <w:rsid w:val="73F92CEC"/>
    <w:rsid w:val="73FF187C"/>
    <w:rsid w:val="7414425C"/>
    <w:rsid w:val="742D334E"/>
    <w:rsid w:val="745D0C66"/>
    <w:rsid w:val="7467738C"/>
    <w:rsid w:val="74865ED4"/>
    <w:rsid w:val="74AA230A"/>
    <w:rsid w:val="74B60BDD"/>
    <w:rsid w:val="74BB3D00"/>
    <w:rsid w:val="74C837A8"/>
    <w:rsid w:val="74C93121"/>
    <w:rsid w:val="74E17CB9"/>
    <w:rsid w:val="74E6402C"/>
    <w:rsid w:val="74FA4F6E"/>
    <w:rsid w:val="75054603"/>
    <w:rsid w:val="75213D7E"/>
    <w:rsid w:val="75226272"/>
    <w:rsid w:val="753D30AC"/>
    <w:rsid w:val="7541494A"/>
    <w:rsid w:val="7548217D"/>
    <w:rsid w:val="75596138"/>
    <w:rsid w:val="75941AB8"/>
    <w:rsid w:val="75952577"/>
    <w:rsid w:val="75B33CB4"/>
    <w:rsid w:val="75CE1F56"/>
    <w:rsid w:val="75DE488F"/>
    <w:rsid w:val="75FC4797"/>
    <w:rsid w:val="762B73A9"/>
    <w:rsid w:val="76385D9D"/>
    <w:rsid w:val="7641067B"/>
    <w:rsid w:val="764C7A4B"/>
    <w:rsid w:val="76524935"/>
    <w:rsid w:val="76854D0B"/>
    <w:rsid w:val="76876CD5"/>
    <w:rsid w:val="76CC0B8C"/>
    <w:rsid w:val="77030129"/>
    <w:rsid w:val="770F43AD"/>
    <w:rsid w:val="7756401C"/>
    <w:rsid w:val="77646121"/>
    <w:rsid w:val="77731007"/>
    <w:rsid w:val="778D55FC"/>
    <w:rsid w:val="77901B44"/>
    <w:rsid w:val="77925931"/>
    <w:rsid w:val="77C1381C"/>
    <w:rsid w:val="77C875A5"/>
    <w:rsid w:val="77D71596"/>
    <w:rsid w:val="77DC427B"/>
    <w:rsid w:val="77DD1FBC"/>
    <w:rsid w:val="77EF4AF4"/>
    <w:rsid w:val="77FC2DAB"/>
    <w:rsid w:val="780B0FF0"/>
    <w:rsid w:val="78250553"/>
    <w:rsid w:val="784B5AE0"/>
    <w:rsid w:val="7872306D"/>
    <w:rsid w:val="78802C29"/>
    <w:rsid w:val="78AE0498"/>
    <w:rsid w:val="78AF606F"/>
    <w:rsid w:val="78DB3193"/>
    <w:rsid w:val="78F47F26"/>
    <w:rsid w:val="790540C6"/>
    <w:rsid w:val="79077C59"/>
    <w:rsid w:val="79081880"/>
    <w:rsid w:val="792B170A"/>
    <w:rsid w:val="79322EE8"/>
    <w:rsid w:val="79387337"/>
    <w:rsid w:val="793A1DDD"/>
    <w:rsid w:val="794C5FB4"/>
    <w:rsid w:val="795F5CE7"/>
    <w:rsid w:val="796230E1"/>
    <w:rsid w:val="796403FA"/>
    <w:rsid w:val="79865022"/>
    <w:rsid w:val="798968C0"/>
    <w:rsid w:val="798F198E"/>
    <w:rsid w:val="79C478F8"/>
    <w:rsid w:val="79C974F4"/>
    <w:rsid w:val="79D50AC0"/>
    <w:rsid w:val="79E44F47"/>
    <w:rsid w:val="79E612E9"/>
    <w:rsid w:val="79EC35EA"/>
    <w:rsid w:val="79FE5549"/>
    <w:rsid w:val="7A0321B0"/>
    <w:rsid w:val="7A0A5C53"/>
    <w:rsid w:val="7A0F14BB"/>
    <w:rsid w:val="7A102B3D"/>
    <w:rsid w:val="7A1A1271"/>
    <w:rsid w:val="7A1B7E60"/>
    <w:rsid w:val="7A41719B"/>
    <w:rsid w:val="7A4D1FE3"/>
    <w:rsid w:val="7A4F7B0A"/>
    <w:rsid w:val="7A5073DE"/>
    <w:rsid w:val="7A603AC5"/>
    <w:rsid w:val="7A7509B3"/>
    <w:rsid w:val="7A7A31B9"/>
    <w:rsid w:val="7A7A3E9F"/>
    <w:rsid w:val="7AA350CE"/>
    <w:rsid w:val="7AD36BA5"/>
    <w:rsid w:val="7AD53DE9"/>
    <w:rsid w:val="7AE2272C"/>
    <w:rsid w:val="7B14665D"/>
    <w:rsid w:val="7B2C61E2"/>
    <w:rsid w:val="7B363CBC"/>
    <w:rsid w:val="7B3F674B"/>
    <w:rsid w:val="7B4473D8"/>
    <w:rsid w:val="7B4C342D"/>
    <w:rsid w:val="7B4D638B"/>
    <w:rsid w:val="7B6273C9"/>
    <w:rsid w:val="7B7D67DD"/>
    <w:rsid w:val="7B803CF3"/>
    <w:rsid w:val="7B8D48DE"/>
    <w:rsid w:val="7B900207"/>
    <w:rsid w:val="7B963D9A"/>
    <w:rsid w:val="7B9F16C3"/>
    <w:rsid w:val="7BBA5457"/>
    <w:rsid w:val="7BBB2A32"/>
    <w:rsid w:val="7BD837B9"/>
    <w:rsid w:val="7BEF703F"/>
    <w:rsid w:val="7C02295A"/>
    <w:rsid w:val="7C10203D"/>
    <w:rsid w:val="7C1733C2"/>
    <w:rsid w:val="7C6D2839"/>
    <w:rsid w:val="7C7E46D6"/>
    <w:rsid w:val="7C80044E"/>
    <w:rsid w:val="7C8A4E31"/>
    <w:rsid w:val="7CA552F2"/>
    <w:rsid w:val="7CA72E2B"/>
    <w:rsid w:val="7CB93023"/>
    <w:rsid w:val="7CD04806"/>
    <w:rsid w:val="7CD82038"/>
    <w:rsid w:val="7CDE7EA5"/>
    <w:rsid w:val="7CF02526"/>
    <w:rsid w:val="7D1B3CD3"/>
    <w:rsid w:val="7D3F67F0"/>
    <w:rsid w:val="7D575C62"/>
    <w:rsid w:val="7D584F27"/>
    <w:rsid w:val="7D621902"/>
    <w:rsid w:val="7D6531A0"/>
    <w:rsid w:val="7D796200"/>
    <w:rsid w:val="7DB36601"/>
    <w:rsid w:val="7DC26D66"/>
    <w:rsid w:val="7DD47968"/>
    <w:rsid w:val="7DE577C5"/>
    <w:rsid w:val="7DEF2514"/>
    <w:rsid w:val="7DF804B8"/>
    <w:rsid w:val="7E121D12"/>
    <w:rsid w:val="7E157F3A"/>
    <w:rsid w:val="7E210C26"/>
    <w:rsid w:val="7E394D59"/>
    <w:rsid w:val="7E3B79D0"/>
    <w:rsid w:val="7E3D753D"/>
    <w:rsid w:val="7E5A5C53"/>
    <w:rsid w:val="7E775595"/>
    <w:rsid w:val="7E7C01A9"/>
    <w:rsid w:val="7E7F0A31"/>
    <w:rsid w:val="7E9714F3"/>
    <w:rsid w:val="7EAA3474"/>
    <w:rsid w:val="7EB929C7"/>
    <w:rsid w:val="7EBB1EDC"/>
    <w:rsid w:val="7EC64112"/>
    <w:rsid w:val="7ED5708F"/>
    <w:rsid w:val="7EE04C2E"/>
    <w:rsid w:val="7EEB3B79"/>
    <w:rsid w:val="7EF76EAF"/>
    <w:rsid w:val="7F004654"/>
    <w:rsid w:val="7F0C6B14"/>
    <w:rsid w:val="7F101ADF"/>
    <w:rsid w:val="7F21759B"/>
    <w:rsid w:val="7F2C56C1"/>
    <w:rsid w:val="7F3B6F6D"/>
    <w:rsid w:val="7F5F1DCA"/>
    <w:rsid w:val="7F7B21D1"/>
    <w:rsid w:val="7F912A60"/>
    <w:rsid w:val="7F9671D8"/>
    <w:rsid w:val="7FA109C8"/>
    <w:rsid w:val="7FB639BB"/>
    <w:rsid w:val="7FB83B63"/>
    <w:rsid w:val="7FBB6153"/>
    <w:rsid w:val="7FC34141"/>
    <w:rsid w:val="7FDC64DC"/>
    <w:rsid w:val="7FEE5EDC"/>
    <w:rsid w:val="7FF27A6D"/>
    <w:rsid w:val="7FF55D3F"/>
    <w:rsid w:val="7FFD1DB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92"/>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7"/>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outlineLvl w:val="3"/>
    </w:pPr>
    <w:rPr>
      <w:sz w:val="28"/>
      <w:szCs w:val="20"/>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szCs w:val="20"/>
    </w:rPr>
  </w:style>
  <w:style w:type="paragraph" w:styleId="7">
    <w:name w:val="annotation text"/>
    <w:basedOn w:val="1"/>
    <w:autoRedefine/>
    <w:qFormat/>
    <w:uiPriority w:val="99"/>
    <w:pPr>
      <w:jc w:val="left"/>
    </w:pPr>
    <w:rPr>
      <w:szCs w:val="22"/>
    </w:rPr>
  </w:style>
  <w:style w:type="paragraph" w:styleId="8">
    <w:name w:val="Body Text"/>
    <w:basedOn w:val="1"/>
    <w:next w:val="9"/>
    <w:autoRedefine/>
    <w:qFormat/>
    <w:uiPriority w:val="0"/>
  </w:style>
  <w:style w:type="paragraph" w:customStyle="1" w:styleId="9">
    <w:name w:val="一级条标题"/>
    <w:basedOn w:val="10"/>
    <w:next w:val="11"/>
    <w:autoRedefine/>
    <w:qFormat/>
    <w:uiPriority w:val="99"/>
    <w:pPr>
      <w:ind w:left="420"/>
      <w:outlineLvl w:val="2"/>
    </w:pPr>
  </w:style>
  <w:style w:type="paragraph" w:customStyle="1" w:styleId="10">
    <w:name w:val="章标题"/>
    <w:next w:val="1"/>
    <w:autoRedefine/>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11">
    <w:name w:val="段"/>
    <w:next w:val="1"/>
    <w:qFormat/>
    <w:uiPriority w:val="99"/>
    <w:pPr>
      <w:ind w:left="840" w:firstLine="200" w:firstLineChars="200"/>
      <w:jc w:val="both"/>
    </w:pPr>
    <w:rPr>
      <w:rFonts w:ascii="宋体" w:hAnsi="Times New Roman" w:eastAsia="宋体" w:cs="Times New Roman"/>
      <w:sz w:val="21"/>
      <w:szCs w:val="22"/>
      <w:lang w:val="en-US" w:eastAsia="zh-CN" w:bidi="ar-SA"/>
    </w:rPr>
  </w:style>
  <w:style w:type="paragraph" w:styleId="12">
    <w:name w:val="Body Text Indent"/>
    <w:basedOn w:val="1"/>
    <w:next w:val="5"/>
    <w:autoRedefine/>
    <w:qFormat/>
    <w:uiPriority w:val="0"/>
    <w:pPr>
      <w:autoSpaceDE w:val="0"/>
      <w:autoSpaceDN w:val="0"/>
      <w:adjustRightInd w:val="0"/>
      <w:ind w:firstLine="280" w:firstLineChars="100"/>
    </w:pPr>
    <w:rPr>
      <w:rFonts w:ascii="宋体" w:eastAsia="宋体"/>
      <w:sz w:val="28"/>
    </w:rPr>
  </w:style>
  <w:style w:type="paragraph" w:styleId="13">
    <w:name w:val="toc 3"/>
    <w:basedOn w:val="1"/>
    <w:next w:val="1"/>
    <w:autoRedefine/>
    <w:qFormat/>
    <w:uiPriority w:val="0"/>
    <w:pPr>
      <w:ind w:left="840" w:leftChars="400"/>
    </w:pPr>
  </w:style>
  <w:style w:type="paragraph" w:styleId="14">
    <w:name w:val="Date"/>
    <w:basedOn w:val="1"/>
    <w:next w:val="1"/>
    <w:autoRedefine/>
    <w:qFormat/>
    <w:uiPriority w:val="0"/>
    <w:pPr>
      <w:ind w:left="100" w:leftChars="2500"/>
    </w:pPr>
    <w:rPr>
      <w:rFonts w:ascii="黑体" w:eastAsia="黑体"/>
      <w:sz w:val="36"/>
    </w:rPr>
  </w:style>
  <w:style w:type="paragraph" w:styleId="15">
    <w:name w:val="Body Text Indent 2"/>
    <w:basedOn w:val="1"/>
    <w:autoRedefine/>
    <w:qFormat/>
    <w:uiPriority w:val="0"/>
    <w:pPr>
      <w:spacing w:line="480" w:lineRule="auto"/>
      <w:ind w:firstLine="480" w:firstLineChars="200"/>
    </w:pPr>
    <w:rPr>
      <w:rFonts w:ascii="仿宋_GB2312" w:hAnsi="宋体" w:eastAsia="仿宋_GB2312"/>
      <w:sz w:val="24"/>
    </w:rPr>
  </w:style>
  <w:style w:type="paragraph" w:styleId="16">
    <w:name w:val="Balloon Text"/>
    <w:basedOn w:val="1"/>
    <w:link w:val="117"/>
    <w:qFormat/>
    <w:uiPriority w:val="0"/>
    <w:rPr>
      <w:sz w:val="18"/>
      <w:szCs w:val="18"/>
    </w:rPr>
  </w:style>
  <w:style w:type="paragraph" w:styleId="17">
    <w:name w:val="footer"/>
    <w:basedOn w:val="1"/>
    <w:autoRedefine/>
    <w:qFormat/>
    <w:uiPriority w:val="0"/>
    <w:pPr>
      <w:tabs>
        <w:tab w:val="center" w:pos="4153"/>
        <w:tab w:val="right" w:pos="8306"/>
      </w:tabs>
      <w:snapToGrid w:val="0"/>
      <w:jc w:val="left"/>
    </w:pPr>
    <w:rPr>
      <w:sz w:val="18"/>
    </w:rPr>
  </w:style>
  <w:style w:type="paragraph" w:styleId="1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9">
    <w:name w:val="toc 1"/>
    <w:basedOn w:val="1"/>
    <w:next w:val="1"/>
    <w:autoRedefine/>
    <w:qFormat/>
    <w:uiPriority w:val="0"/>
  </w:style>
  <w:style w:type="paragraph" w:styleId="20">
    <w:name w:val="index heading"/>
    <w:basedOn w:val="1"/>
    <w:next w:val="21"/>
    <w:autoRedefine/>
    <w:qFormat/>
    <w:uiPriority w:val="0"/>
    <w:rPr>
      <w:sz w:val="28"/>
      <w:szCs w:val="20"/>
    </w:rPr>
  </w:style>
  <w:style w:type="paragraph" w:styleId="21">
    <w:name w:val="index 1"/>
    <w:basedOn w:val="1"/>
    <w:next w:val="1"/>
    <w:autoRedefine/>
    <w:semiHidden/>
    <w:qFormat/>
    <w:uiPriority w:val="0"/>
  </w:style>
  <w:style w:type="paragraph" w:styleId="22">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23">
    <w:name w:val="toc 2"/>
    <w:basedOn w:val="1"/>
    <w:next w:val="1"/>
    <w:autoRedefine/>
    <w:qFormat/>
    <w:uiPriority w:val="0"/>
    <w:pPr>
      <w:ind w:left="420" w:leftChars="200"/>
    </w:pPr>
  </w:style>
  <w:style w:type="paragraph" w:styleId="24">
    <w:name w:val="Body Text 2"/>
    <w:basedOn w:val="1"/>
    <w:qFormat/>
    <w:uiPriority w:val="0"/>
    <w:pPr>
      <w:spacing w:line="900" w:lineRule="exact"/>
      <w:jc w:val="center"/>
    </w:pPr>
    <w:rPr>
      <w:rFonts w:eastAsia="楷体_GB2312"/>
      <w:b/>
      <w:sz w:val="36"/>
    </w:rPr>
  </w:style>
  <w:style w:type="paragraph" w:styleId="25">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26">
    <w:name w:val="Normal (Web)"/>
    <w:basedOn w:val="1"/>
    <w:autoRedefine/>
    <w:qFormat/>
    <w:uiPriority w:val="0"/>
    <w:pPr>
      <w:jc w:val="left"/>
    </w:pPr>
    <w:rPr>
      <w:rFonts w:cs="Times New Roman"/>
      <w:kern w:val="0"/>
      <w:sz w:val="24"/>
    </w:rPr>
  </w:style>
  <w:style w:type="paragraph" w:styleId="27">
    <w:name w:val="Title"/>
    <w:basedOn w:val="1"/>
    <w:next w:val="1"/>
    <w:autoRedefine/>
    <w:qFormat/>
    <w:uiPriority w:val="10"/>
    <w:pPr>
      <w:spacing w:before="240" w:after="60"/>
      <w:jc w:val="center"/>
      <w:outlineLvl w:val="0"/>
    </w:pPr>
    <w:rPr>
      <w:rFonts w:ascii="Cambria" w:hAnsi="Cambria"/>
      <w:b/>
      <w:bCs/>
      <w:sz w:val="36"/>
      <w:szCs w:val="32"/>
    </w:rPr>
  </w:style>
  <w:style w:type="paragraph" w:styleId="28">
    <w:name w:val="Body Text First Indent"/>
    <w:basedOn w:val="8"/>
    <w:next w:val="1"/>
    <w:autoRedefine/>
    <w:qFormat/>
    <w:uiPriority w:val="0"/>
    <w:pPr>
      <w:spacing w:after="120"/>
      <w:ind w:firstLine="420" w:firstLineChars="100"/>
    </w:pPr>
    <w:rPr>
      <w:rFonts w:eastAsia="宋体"/>
    </w:rPr>
  </w:style>
  <w:style w:type="paragraph" w:styleId="29">
    <w:name w:val="Body Text First Indent 2"/>
    <w:basedOn w:val="12"/>
    <w:autoRedefine/>
    <w:qFormat/>
    <w:uiPriority w:val="0"/>
    <w:pPr>
      <w:ind w:firstLine="420" w:firstLineChars="200"/>
    </w:pPr>
  </w:style>
  <w:style w:type="table" w:styleId="31">
    <w:name w:val="Table Grid"/>
    <w:basedOn w:val="3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basedOn w:val="32"/>
    <w:autoRedefine/>
    <w:qFormat/>
    <w:uiPriority w:val="0"/>
  </w:style>
  <w:style w:type="character" w:styleId="34">
    <w:name w:val="FollowedHyperlink"/>
    <w:basedOn w:val="32"/>
    <w:autoRedefine/>
    <w:qFormat/>
    <w:uiPriority w:val="0"/>
    <w:rPr>
      <w:color w:val="800080"/>
      <w:u w:val="none"/>
    </w:rPr>
  </w:style>
  <w:style w:type="character" w:styleId="35">
    <w:name w:val="Emphasis"/>
    <w:basedOn w:val="32"/>
    <w:autoRedefine/>
    <w:qFormat/>
    <w:uiPriority w:val="0"/>
    <w:rPr>
      <w:b/>
    </w:rPr>
  </w:style>
  <w:style w:type="character" w:styleId="36">
    <w:name w:val="HTML Definition"/>
    <w:basedOn w:val="32"/>
    <w:autoRedefine/>
    <w:qFormat/>
    <w:uiPriority w:val="0"/>
  </w:style>
  <w:style w:type="character" w:styleId="37">
    <w:name w:val="HTML Typewriter"/>
    <w:basedOn w:val="32"/>
    <w:autoRedefine/>
    <w:qFormat/>
    <w:uiPriority w:val="0"/>
    <w:rPr>
      <w:rFonts w:ascii="monospace" w:hAnsi="monospace" w:eastAsia="monospace" w:cs="monospace"/>
      <w:sz w:val="20"/>
    </w:rPr>
  </w:style>
  <w:style w:type="character" w:styleId="38">
    <w:name w:val="HTML Acronym"/>
    <w:basedOn w:val="32"/>
    <w:autoRedefine/>
    <w:qFormat/>
    <w:uiPriority w:val="0"/>
  </w:style>
  <w:style w:type="character" w:styleId="39">
    <w:name w:val="HTML Variable"/>
    <w:basedOn w:val="32"/>
    <w:autoRedefine/>
    <w:qFormat/>
    <w:uiPriority w:val="0"/>
  </w:style>
  <w:style w:type="character" w:styleId="40">
    <w:name w:val="Hyperlink"/>
    <w:basedOn w:val="32"/>
    <w:autoRedefine/>
    <w:qFormat/>
    <w:uiPriority w:val="0"/>
    <w:rPr>
      <w:color w:val="0000FF"/>
      <w:u w:val="single"/>
    </w:rPr>
  </w:style>
  <w:style w:type="character" w:styleId="41">
    <w:name w:val="HTML Code"/>
    <w:basedOn w:val="32"/>
    <w:autoRedefine/>
    <w:qFormat/>
    <w:uiPriority w:val="0"/>
    <w:rPr>
      <w:rFonts w:hint="default" w:ascii="monospace" w:hAnsi="monospace" w:eastAsia="monospace" w:cs="monospace"/>
      <w:sz w:val="20"/>
    </w:rPr>
  </w:style>
  <w:style w:type="character" w:styleId="42">
    <w:name w:val="annotation reference"/>
    <w:basedOn w:val="32"/>
    <w:qFormat/>
    <w:uiPriority w:val="0"/>
    <w:rPr>
      <w:sz w:val="21"/>
      <w:szCs w:val="21"/>
    </w:rPr>
  </w:style>
  <w:style w:type="character" w:styleId="43">
    <w:name w:val="HTML Cite"/>
    <w:basedOn w:val="32"/>
    <w:autoRedefine/>
    <w:qFormat/>
    <w:uiPriority w:val="0"/>
  </w:style>
  <w:style w:type="character" w:styleId="44">
    <w:name w:val="HTML Keyboard"/>
    <w:basedOn w:val="32"/>
    <w:autoRedefine/>
    <w:qFormat/>
    <w:uiPriority w:val="0"/>
    <w:rPr>
      <w:rFonts w:hint="default" w:ascii="monospace" w:hAnsi="monospace" w:eastAsia="monospace" w:cs="monospace"/>
      <w:sz w:val="20"/>
      <w:bdr w:val="single" w:color="D6D6D6" w:sz="4" w:space="0"/>
      <w:shd w:val="clear" w:color="auto" w:fill="FFFFFF"/>
    </w:rPr>
  </w:style>
  <w:style w:type="character" w:styleId="45">
    <w:name w:val="HTML Sample"/>
    <w:basedOn w:val="32"/>
    <w:autoRedefine/>
    <w:qFormat/>
    <w:uiPriority w:val="0"/>
    <w:rPr>
      <w:rFonts w:hint="default" w:ascii="monospace" w:hAnsi="monospace" w:eastAsia="monospace" w:cs="monospace"/>
      <w:sz w:val="0"/>
      <w:szCs w:val="0"/>
      <w:bdr w:val="single" w:color="auto" w:sz="2" w:space="0"/>
    </w:rPr>
  </w:style>
  <w:style w:type="character" w:customStyle="1" w:styleId="46">
    <w:name w:val="标题 1 Char"/>
    <w:link w:val="2"/>
    <w:autoRedefine/>
    <w:qFormat/>
    <w:uiPriority w:val="0"/>
    <w:rPr>
      <w:b/>
      <w:bCs/>
      <w:kern w:val="44"/>
      <w:sz w:val="44"/>
      <w:szCs w:val="44"/>
    </w:rPr>
  </w:style>
  <w:style w:type="character" w:customStyle="1" w:styleId="47">
    <w:name w:val="标题 2 Char"/>
    <w:link w:val="3"/>
    <w:autoRedefine/>
    <w:qFormat/>
    <w:uiPriority w:val="9"/>
    <w:rPr>
      <w:rFonts w:ascii="Arial" w:hAnsi="Arial" w:eastAsia="黑体"/>
      <w:b/>
      <w:bCs/>
      <w:sz w:val="32"/>
      <w:szCs w:val="32"/>
    </w:rPr>
  </w:style>
  <w:style w:type="paragraph" w:customStyle="1" w:styleId="48">
    <w:name w:val="Normal_0"/>
    <w:autoRedefine/>
    <w:qFormat/>
    <w:uiPriority w:val="0"/>
    <w:rPr>
      <w:rFonts w:ascii="Times New Roman" w:hAnsi="Times New Roman" w:eastAsia="Times New Roman" w:cs="Times New Roman"/>
      <w:sz w:val="24"/>
      <w:szCs w:val="24"/>
      <w:lang w:val="en-US" w:eastAsia="zh-CN" w:bidi="ar-SA"/>
    </w:rPr>
  </w:style>
  <w:style w:type="paragraph" w:customStyle="1" w:styleId="49">
    <w:name w:val="Table Paragraph"/>
    <w:basedOn w:val="50"/>
    <w:autoRedefine/>
    <w:qFormat/>
    <w:uiPriority w:val="1"/>
  </w:style>
  <w:style w:type="paragraph" w:customStyle="1" w:styleId="50">
    <w:name w:val="正文_2_1"/>
    <w:qFormat/>
    <w:uiPriority w:val="0"/>
    <w:pPr>
      <w:widowControl w:val="0"/>
      <w:jc w:val="both"/>
    </w:pPr>
    <w:rPr>
      <w:rFonts w:ascii="Calibri" w:hAnsi="Calibri" w:eastAsia="宋体" w:cs="Times New Roman"/>
      <w:kern w:val="2"/>
      <w:sz w:val="21"/>
      <w:szCs w:val="22"/>
      <w:lang w:val="en-US" w:eastAsia="zh-CN" w:bidi="ar-SA"/>
    </w:rPr>
  </w:style>
  <w:style w:type="paragraph" w:styleId="51">
    <w:name w:val="List Paragraph"/>
    <w:basedOn w:val="1"/>
    <w:autoRedefine/>
    <w:qFormat/>
    <w:uiPriority w:val="34"/>
    <w:pPr>
      <w:ind w:firstLine="420" w:firstLineChars="200"/>
    </w:pPr>
    <w:rPr>
      <w:rFonts w:ascii="Calibri" w:hAnsi="Calibri"/>
      <w:szCs w:val="22"/>
    </w:rPr>
  </w:style>
  <w:style w:type="character" w:customStyle="1" w:styleId="52">
    <w:name w:val="mini-outputtext1"/>
    <w:basedOn w:val="32"/>
    <w:autoRedefine/>
    <w:qFormat/>
    <w:uiPriority w:val="0"/>
  </w:style>
  <w:style w:type="character" w:customStyle="1" w:styleId="53">
    <w:name w:val="font11"/>
    <w:basedOn w:val="32"/>
    <w:autoRedefine/>
    <w:qFormat/>
    <w:uiPriority w:val="0"/>
    <w:rPr>
      <w:rFonts w:hint="eastAsia" w:ascii="宋体" w:hAnsi="宋体" w:eastAsia="宋体" w:cs="宋体"/>
      <w:color w:val="000000"/>
      <w:sz w:val="24"/>
      <w:szCs w:val="24"/>
      <w:u w:val="none"/>
      <w:vertAlign w:val="superscript"/>
    </w:rPr>
  </w:style>
  <w:style w:type="paragraph" w:customStyle="1" w:styleId="54">
    <w:name w:val="正文_1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
    <w:name w:val="Normal_16"/>
    <w:autoRedefine/>
    <w:qFormat/>
    <w:uiPriority w:val="0"/>
    <w:rPr>
      <w:rFonts w:ascii="Times New Roman" w:hAnsi="Times New Roman" w:eastAsia="Times New Roman" w:cs="Times New Roman"/>
      <w:sz w:val="24"/>
      <w:szCs w:val="24"/>
      <w:lang w:val="en-US" w:eastAsia="zh-CN" w:bidi="ar-SA"/>
    </w:rPr>
  </w:style>
  <w:style w:type="paragraph" w:customStyle="1" w:styleId="56">
    <w:name w:val="Normal_0_0"/>
    <w:autoRedefine/>
    <w:qFormat/>
    <w:uiPriority w:val="0"/>
    <w:rPr>
      <w:rFonts w:ascii="Times New Roman" w:hAnsi="Times New Roman" w:eastAsia="Times New Roman" w:cs="Times New Roman"/>
      <w:sz w:val="24"/>
      <w:szCs w:val="24"/>
      <w:lang w:val="en-US" w:eastAsia="zh-CN" w:bidi="ar-SA"/>
    </w:rPr>
  </w:style>
  <w:style w:type="paragraph" w:customStyle="1" w:styleId="57">
    <w:name w:val="标题 3_2"/>
    <w:basedOn w:val="58"/>
    <w:next w:val="58"/>
    <w:autoRedefine/>
    <w:qFormat/>
    <w:uiPriority w:val="0"/>
    <w:pPr>
      <w:keepNext/>
      <w:keepLines/>
      <w:spacing w:before="260" w:after="260" w:line="412" w:lineRule="auto"/>
      <w:ind w:firstLine="49" w:firstLineChars="49"/>
      <w:outlineLvl w:val="2"/>
    </w:pPr>
    <w:rPr>
      <w:rFonts w:ascii="黑体" w:eastAsia="黑体"/>
      <w:kern w:val="0"/>
      <w:sz w:val="28"/>
      <w:szCs w:val="20"/>
    </w:rPr>
  </w:style>
  <w:style w:type="paragraph" w:customStyle="1" w:styleId="58">
    <w:name w:val="正文_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
    <w:name w:val="正文文本 3_0"/>
    <w:basedOn w:val="58"/>
    <w:autoRedefine/>
    <w:qFormat/>
    <w:uiPriority w:val="0"/>
    <w:rPr>
      <w:rFonts w:ascii="宋体"/>
      <w:kern w:val="0"/>
      <w:sz w:val="24"/>
      <w:szCs w:val="20"/>
    </w:rPr>
  </w:style>
  <w:style w:type="paragraph" w:customStyle="1" w:styleId="60">
    <w:name w:val="Normal_1_0"/>
    <w:autoRedefine/>
    <w:qFormat/>
    <w:uiPriority w:val="0"/>
    <w:rPr>
      <w:rFonts w:ascii="Times New Roman" w:hAnsi="Times New Roman" w:eastAsia="Times New Roman" w:cs="Times New Roman"/>
      <w:sz w:val="24"/>
      <w:szCs w:val="24"/>
      <w:lang w:val="en-US" w:eastAsia="zh-CN" w:bidi="ar-SA"/>
    </w:rPr>
  </w:style>
  <w:style w:type="paragraph" w:customStyle="1" w:styleId="61">
    <w:name w:val="正文_0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
    <w:name w:val="Normal_2_0"/>
    <w:autoRedefine/>
    <w:qFormat/>
    <w:uiPriority w:val="0"/>
    <w:rPr>
      <w:rFonts w:ascii="Times New Roman" w:hAnsi="Times New Roman" w:eastAsia="Times New Roman" w:cs="Times New Roman"/>
      <w:sz w:val="24"/>
      <w:szCs w:val="24"/>
      <w:lang w:val="en-US" w:eastAsia="zh-CN" w:bidi="ar-SA"/>
    </w:rPr>
  </w:style>
  <w:style w:type="paragraph" w:customStyle="1" w:styleId="63">
    <w:name w:val="正文_1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
    <w:name w:val="Normal_3"/>
    <w:autoRedefine/>
    <w:qFormat/>
    <w:uiPriority w:val="0"/>
    <w:rPr>
      <w:rFonts w:ascii="Times New Roman" w:hAnsi="Times New Roman" w:eastAsia="Times New Roman" w:cs="Times New Roman"/>
      <w:sz w:val="24"/>
      <w:szCs w:val="24"/>
      <w:lang w:val="en-US" w:eastAsia="zh-CN" w:bidi="ar-SA"/>
    </w:rPr>
  </w:style>
  <w:style w:type="paragraph" w:customStyle="1" w:styleId="65">
    <w:name w:val="正文_2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6">
    <w:name w:val="Normal_4"/>
    <w:autoRedefine/>
    <w:qFormat/>
    <w:uiPriority w:val="0"/>
    <w:rPr>
      <w:rFonts w:ascii="Times New Roman" w:hAnsi="Times New Roman" w:eastAsia="Times New Roman" w:cs="Times New Roman"/>
      <w:sz w:val="24"/>
      <w:szCs w:val="24"/>
      <w:lang w:val="en-US" w:eastAsia="zh-CN" w:bidi="ar-SA"/>
    </w:rPr>
  </w:style>
  <w:style w:type="paragraph" w:customStyle="1" w:styleId="67">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
    <w:name w:val="Normal_5"/>
    <w:autoRedefine/>
    <w:qFormat/>
    <w:uiPriority w:val="0"/>
    <w:rPr>
      <w:rFonts w:ascii="Times New Roman" w:hAnsi="Times New Roman" w:eastAsia="Times New Roman" w:cs="Times New Roman"/>
      <w:sz w:val="24"/>
      <w:szCs w:val="24"/>
      <w:lang w:val="en-US" w:eastAsia="zh-CN" w:bidi="ar-SA"/>
    </w:rPr>
  </w:style>
  <w:style w:type="paragraph" w:customStyle="1" w:styleId="69">
    <w:name w:val="正文_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
    <w:name w:val="Normal_6"/>
    <w:autoRedefine/>
    <w:qFormat/>
    <w:uiPriority w:val="0"/>
    <w:rPr>
      <w:rFonts w:ascii="Times New Roman" w:hAnsi="Times New Roman" w:eastAsia="Times New Roman" w:cs="Times New Roman"/>
      <w:sz w:val="24"/>
      <w:szCs w:val="24"/>
      <w:lang w:val="en-US" w:eastAsia="zh-CN" w:bidi="ar-SA"/>
    </w:rPr>
  </w:style>
  <w:style w:type="paragraph" w:customStyle="1" w:styleId="71">
    <w:name w:val="Normal_7"/>
    <w:autoRedefine/>
    <w:qFormat/>
    <w:uiPriority w:val="0"/>
    <w:rPr>
      <w:rFonts w:ascii="Times New Roman" w:hAnsi="Times New Roman" w:eastAsia="Times New Roman" w:cs="Times New Roman"/>
      <w:sz w:val="24"/>
      <w:szCs w:val="24"/>
      <w:lang w:val="en-US" w:eastAsia="zh-CN" w:bidi="ar-SA"/>
    </w:rPr>
  </w:style>
  <w:style w:type="paragraph" w:customStyle="1" w:styleId="72">
    <w:name w:val="正文_5"/>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
    <w:name w:val="Normal_8"/>
    <w:autoRedefine/>
    <w:qFormat/>
    <w:uiPriority w:val="0"/>
    <w:rPr>
      <w:rFonts w:ascii="Times New Roman" w:hAnsi="Times New Roman" w:eastAsia="Times New Roman" w:cs="Times New Roman"/>
      <w:sz w:val="24"/>
      <w:szCs w:val="24"/>
      <w:lang w:val="en-US" w:eastAsia="zh-CN" w:bidi="ar-SA"/>
    </w:rPr>
  </w:style>
  <w:style w:type="paragraph" w:customStyle="1" w:styleId="74">
    <w:name w:val="正文_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
    <w:name w:val="Normal_9"/>
    <w:autoRedefine/>
    <w:qFormat/>
    <w:uiPriority w:val="0"/>
    <w:rPr>
      <w:rFonts w:ascii="Times New Roman" w:hAnsi="Times New Roman" w:eastAsia="Times New Roman" w:cs="Times New Roman"/>
      <w:sz w:val="24"/>
      <w:szCs w:val="24"/>
      <w:lang w:val="en-US" w:eastAsia="zh-CN" w:bidi="ar-SA"/>
    </w:rPr>
  </w:style>
  <w:style w:type="paragraph" w:customStyle="1" w:styleId="76">
    <w:name w:val="正文_7"/>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
    <w:name w:val="Normal_10"/>
    <w:autoRedefine/>
    <w:qFormat/>
    <w:uiPriority w:val="0"/>
    <w:rPr>
      <w:rFonts w:ascii="Times New Roman" w:hAnsi="Times New Roman" w:eastAsia="Times New Roman" w:cs="Times New Roman"/>
      <w:sz w:val="24"/>
      <w:szCs w:val="24"/>
      <w:lang w:val="en-US" w:eastAsia="zh-CN" w:bidi="ar-SA"/>
    </w:rPr>
  </w:style>
  <w:style w:type="paragraph" w:customStyle="1" w:styleId="78">
    <w:name w:val="正文_8"/>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
    <w:name w:val="Normal_11"/>
    <w:autoRedefine/>
    <w:qFormat/>
    <w:uiPriority w:val="0"/>
    <w:rPr>
      <w:rFonts w:ascii="Times New Roman" w:hAnsi="Times New Roman" w:eastAsia="Times New Roman" w:cs="Times New Roman"/>
      <w:sz w:val="24"/>
      <w:szCs w:val="24"/>
      <w:lang w:val="en-US" w:eastAsia="zh-CN" w:bidi="ar-SA"/>
    </w:rPr>
  </w:style>
  <w:style w:type="paragraph" w:customStyle="1" w:styleId="80">
    <w:name w:val="正文_9"/>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
    <w:name w:val="Normal_12"/>
    <w:autoRedefine/>
    <w:qFormat/>
    <w:uiPriority w:val="0"/>
    <w:rPr>
      <w:rFonts w:ascii="Times New Roman" w:hAnsi="Times New Roman" w:eastAsia="Times New Roman" w:cs="Times New Roman"/>
      <w:sz w:val="24"/>
      <w:szCs w:val="24"/>
      <w:lang w:val="en-US" w:eastAsia="zh-CN" w:bidi="ar-SA"/>
    </w:rPr>
  </w:style>
  <w:style w:type="paragraph" w:customStyle="1" w:styleId="82">
    <w:name w:val="正文_1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
    <w:name w:val="Normal_13"/>
    <w:autoRedefine/>
    <w:qFormat/>
    <w:uiPriority w:val="0"/>
    <w:rPr>
      <w:rFonts w:ascii="Times New Roman" w:hAnsi="Times New Roman" w:eastAsia="Times New Roman" w:cs="Times New Roman"/>
      <w:sz w:val="24"/>
      <w:szCs w:val="24"/>
      <w:lang w:val="en-US" w:eastAsia="zh-CN" w:bidi="ar-SA"/>
    </w:rPr>
  </w:style>
  <w:style w:type="paragraph" w:customStyle="1" w:styleId="84">
    <w:name w:val="正文_1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
    <w:name w:val="Normal_14"/>
    <w:autoRedefine/>
    <w:qFormat/>
    <w:uiPriority w:val="0"/>
    <w:rPr>
      <w:rFonts w:ascii="Times New Roman" w:hAnsi="Times New Roman" w:eastAsia="Times New Roman" w:cs="Times New Roman"/>
      <w:sz w:val="24"/>
      <w:szCs w:val="24"/>
      <w:lang w:val="en-US" w:eastAsia="zh-CN" w:bidi="ar-SA"/>
    </w:rPr>
  </w:style>
  <w:style w:type="paragraph" w:customStyle="1" w:styleId="86">
    <w:name w:val="正文_1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7">
    <w:name w:val="Normal_15"/>
    <w:autoRedefine/>
    <w:qFormat/>
    <w:uiPriority w:val="0"/>
    <w:rPr>
      <w:rFonts w:ascii="Times New Roman" w:hAnsi="Times New Roman" w:eastAsia="Times New Roman" w:cs="Times New Roman"/>
      <w:sz w:val="24"/>
      <w:szCs w:val="24"/>
      <w:lang w:val="en-US" w:eastAsia="zh-CN" w:bidi="ar-SA"/>
    </w:rPr>
  </w:style>
  <w:style w:type="paragraph" w:customStyle="1" w:styleId="88">
    <w:name w:val="正文_1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
    <w:name w:val="标题 2_1"/>
    <w:basedOn w:val="90"/>
    <w:next w:val="90"/>
    <w:autoRedefine/>
    <w:qFormat/>
    <w:uiPriority w:val="0"/>
    <w:pPr>
      <w:keepNext/>
      <w:keepLines/>
      <w:spacing w:before="260" w:after="260" w:line="412" w:lineRule="auto"/>
      <w:outlineLvl w:val="1"/>
    </w:pPr>
    <w:rPr>
      <w:rFonts w:ascii="Arial" w:hAnsi="Arial" w:eastAsia="黑体"/>
      <w:b/>
      <w:kern w:val="0"/>
      <w:sz w:val="32"/>
      <w:szCs w:val="20"/>
    </w:rPr>
  </w:style>
  <w:style w:type="paragraph" w:customStyle="1" w:styleId="90">
    <w:name w:val="正文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
    <w:name w:val="_Style 6"/>
    <w:basedOn w:val="2"/>
    <w:next w:val="1"/>
    <w:autoRedefine/>
    <w:qFormat/>
    <w:uiPriority w:val="39"/>
    <w:pPr>
      <w:spacing w:line="576" w:lineRule="auto"/>
      <w:outlineLvl w:val="9"/>
    </w:pPr>
    <w:rPr>
      <w:rFonts w:ascii="Calibri" w:hAnsi="Calibri"/>
    </w:rPr>
  </w:style>
  <w:style w:type="character" w:customStyle="1" w:styleId="92">
    <w:name w:val="标题 1 Char1"/>
    <w:link w:val="2"/>
    <w:autoRedefine/>
    <w:qFormat/>
    <w:uiPriority w:val="0"/>
    <w:rPr>
      <w:b/>
      <w:bCs/>
      <w:kern w:val="44"/>
      <w:sz w:val="44"/>
      <w:szCs w:val="44"/>
    </w:rPr>
  </w:style>
  <w:style w:type="paragraph" w:customStyle="1" w:styleId="93">
    <w:name w:val="WPSOffice手动目录 1"/>
    <w:autoRedefine/>
    <w:qFormat/>
    <w:uiPriority w:val="0"/>
    <w:rPr>
      <w:rFonts w:ascii="Calibri" w:hAnsi="Calibri" w:eastAsia="宋体" w:cs="Times New Roman"/>
      <w:lang w:val="en-US" w:eastAsia="zh-CN" w:bidi="ar-SA"/>
    </w:rPr>
  </w:style>
  <w:style w:type="paragraph" w:customStyle="1" w:styleId="94">
    <w:name w:val="Body text|1"/>
    <w:basedOn w:val="1"/>
    <w:autoRedefine/>
    <w:qFormat/>
    <w:uiPriority w:val="0"/>
    <w:pPr>
      <w:spacing w:line="422" w:lineRule="auto"/>
      <w:ind w:firstLine="300"/>
    </w:pPr>
    <w:rPr>
      <w:rFonts w:ascii="宋体" w:hAnsi="宋体" w:eastAsia="宋体" w:cs="宋体"/>
      <w:sz w:val="20"/>
      <w:szCs w:val="20"/>
      <w:lang w:val="zh-TW" w:eastAsia="zh-TW" w:bidi="zh-TW"/>
    </w:rPr>
  </w:style>
  <w:style w:type="paragraph" w:customStyle="1" w:styleId="95">
    <w:name w:val="Other|1"/>
    <w:basedOn w:val="1"/>
    <w:autoRedefine/>
    <w:qFormat/>
    <w:uiPriority w:val="0"/>
    <w:rPr>
      <w:rFonts w:ascii="MingLiU" w:hAnsi="MingLiU" w:eastAsia="MingLiU" w:cs="MingLiU"/>
      <w:sz w:val="22"/>
      <w:szCs w:val="22"/>
      <w:lang w:val="zh-TW" w:eastAsia="zh-TW" w:bidi="zh-TW"/>
    </w:rPr>
  </w:style>
  <w:style w:type="paragraph" w:customStyle="1" w:styleId="96">
    <w:name w:val="正文_0"/>
    <w:autoRedefine/>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97">
    <w:name w:val="TOC 标题_0"/>
    <w:basedOn w:val="98"/>
    <w:next w:val="96"/>
    <w:autoRedefine/>
    <w:qFormat/>
    <w:uiPriority w:val="39"/>
    <w:pPr>
      <w:spacing w:line="576" w:lineRule="auto"/>
      <w:outlineLvl w:val="9"/>
    </w:pPr>
    <w:rPr>
      <w:rFonts w:ascii="Calibri" w:hAnsi="Calibri"/>
    </w:rPr>
  </w:style>
  <w:style w:type="paragraph" w:customStyle="1" w:styleId="98">
    <w:name w:val="标题 1_0"/>
    <w:basedOn w:val="96"/>
    <w:next w:val="96"/>
    <w:autoRedefine/>
    <w:qFormat/>
    <w:uiPriority w:val="0"/>
    <w:pPr>
      <w:keepNext/>
      <w:keepLines/>
      <w:spacing w:before="340" w:after="330" w:line="578" w:lineRule="auto"/>
      <w:outlineLvl w:val="0"/>
    </w:pPr>
    <w:rPr>
      <w:b/>
      <w:bCs/>
      <w:kern w:val="44"/>
      <w:sz w:val="44"/>
      <w:szCs w:val="44"/>
    </w:rPr>
  </w:style>
  <w:style w:type="paragraph" w:customStyle="1" w:styleId="99">
    <w:name w:val="标题 2_0"/>
    <w:basedOn w:val="96"/>
    <w:next w:val="96"/>
    <w:autoRedefine/>
    <w:qFormat/>
    <w:uiPriority w:val="0"/>
    <w:pPr>
      <w:keepNext/>
      <w:keepLines/>
      <w:spacing w:before="260" w:after="260" w:line="416" w:lineRule="auto"/>
      <w:outlineLvl w:val="1"/>
    </w:pPr>
    <w:rPr>
      <w:rFonts w:ascii="Arial" w:hAnsi="Arial" w:eastAsia="黑体"/>
      <w:b/>
      <w:bCs/>
      <w:sz w:val="32"/>
      <w:szCs w:val="32"/>
    </w:rPr>
  </w:style>
  <w:style w:type="paragraph" w:customStyle="1" w:styleId="100">
    <w:name w:val="正文文本_0"/>
    <w:basedOn w:val="96"/>
    <w:autoRedefine/>
    <w:qFormat/>
    <w:uiPriority w:val="0"/>
    <w:rPr>
      <w:rFonts w:eastAsia="黑体"/>
      <w:sz w:val="36"/>
      <w:szCs w:val="24"/>
    </w:rPr>
  </w:style>
  <w:style w:type="paragraph" w:customStyle="1" w:styleId="101">
    <w:name w:val="正文文本缩进_0"/>
    <w:basedOn w:val="96"/>
    <w:autoRedefine/>
    <w:qFormat/>
    <w:uiPriority w:val="0"/>
    <w:pPr>
      <w:spacing w:line="360" w:lineRule="auto"/>
      <w:ind w:firstLine="570"/>
    </w:pPr>
    <w:rPr>
      <w:rFonts w:ascii="宋体" w:hAnsi="宋体"/>
      <w:i/>
      <w:iCs/>
    </w:rPr>
  </w:style>
  <w:style w:type="paragraph" w:customStyle="1" w:styleId="102">
    <w:name w:val="标题 3_0"/>
    <w:basedOn w:val="61"/>
    <w:next w:val="61"/>
    <w:autoRedefine/>
    <w:unhideWhenUsed/>
    <w:qFormat/>
    <w:uiPriority w:val="0"/>
    <w:pPr>
      <w:keepNext/>
      <w:keepLines/>
      <w:spacing w:before="260" w:after="260" w:line="416" w:lineRule="auto"/>
      <w:outlineLvl w:val="2"/>
    </w:pPr>
    <w:rPr>
      <w:b/>
      <w:bCs/>
      <w:sz w:val="32"/>
      <w:szCs w:val="32"/>
    </w:rPr>
  </w:style>
  <w:style w:type="paragraph" w:customStyle="1" w:styleId="103">
    <w:name w:val="索引 1_0"/>
    <w:basedOn w:val="61"/>
    <w:next w:val="61"/>
    <w:autoRedefine/>
    <w:unhideWhenUsed/>
    <w:qFormat/>
    <w:uiPriority w:val="0"/>
    <w:pPr>
      <w:jc w:val="center"/>
    </w:pPr>
    <w:rPr>
      <w:rFonts w:ascii="华文宋体" w:hAnsi="华文宋体" w:eastAsia="华文宋体"/>
      <w:color w:val="000000"/>
      <w:szCs w:val="21"/>
    </w:rPr>
  </w:style>
  <w:style w:type="paragraph" w:customStyle="1" w:styleId="104">
    <w:name w:val="Table Text"/>
    <w:basedOn w:val="1"/>
    <w:autoRedefine/>
    <w:semiHidden/>
    <w:qFormat/>
    <w:uiPriority w:val="0"/>
    <w:rPr>
      <w:rFonts w:ascii="宋体" w:hAnsi="宋体" w:eastAsia="宋体" w:cs="宋体"/>
      <w:sz w:val="20"/>
      <w:szCs w:val="20"/>
    </w:rPr>
  </w:style>
  <w:style w:type="table" w:customStyle="1" w:styleId="105">
    <w:name w:val="Table Normal"/>
    <w:autoRedefine/>
    <w:semiHidden/>
    <w:unhideWhenUsed/>
    <w:qFormat/>
    <w:uiPriority w:val="0"/>
    <w:tblPr>
      <w:tblCellMar>
        <w:top w:w="0" w:type="dxa"/>
        <w:left w:w="0" w:type="dxa"/>
        <w:bottom w:w="0" w:type="dxa"/>
        <w:right w:w="0" w:type="dxa"/>
      </w:tblCellMar>
    </w:tblPr>
  </w:style>
  <w:style w:type="paragraph" w:customStyle="1" w:styleId="106">
    <w:name w:val="TOC 标题1"/>
    <w:basedOn w:val="2"/>
    <w:next w:val="1"/>
    <w:qFormat/>
    <w:uiPriority w:val="0"/>
    <w:pPr>
      <w:spacing w:line="413" w:lineRule="auto"/>
    </w:pPr>
    <w:rPr>
      <w:rFonts w:ascii="宋体" w:hAnsi="宋体" w:eastAsia="宋体" w:cs="Times New Roman"/>
      <w:sz w:val="36"/>
      <w:lang w:val="zh-CN"/>
    </w:rPr>
  </w:style>
  <w:style w:type="paragraph" w:customStyle="1" w:styleId="107">
    <w:name w:val="协议书标题2"/>
    <w:basedOn w:val="3"/>
    <w:next w:val="1"/>
    <w:qFormat/>
    <w:uiPriority w:val="0"/>
    <w:pPr>
      <w:keepNext w:val="0"/>
      <w:keepLines w:val="0"/>
      <w:numPr>
        <w:ilvl w:val="0"/>
        <w:numId w:val="1"/>
      </w:numPr>
      <w:tabs>
        <w:tab w:val="left" w:pos="567"/>
      </w:tabs>
      <w:spacing w:line="360" w:lineRule="auto"/>
      <w:ind w:firstLine="0"/>
      <w:jc w:val="left"/>
    </w:pPr>
    <w:rPr>
      <w:rFonts w:ascii="宋体" w:hAnsi="宋体" w:eastAsia="宋体"/>
      <w:sz w:val="24"/>
    </w:rPr>
  </w:style>
  <w:style w:type="paragraph" w:customStyle="1" w:styleId="108">
    <w:name w:val="table"/>
    <w:qFormat/>
    <w:uiPriority w:val="0"/>
    <w:pPr>
      <w:adjustRightInd w:val="0"/>
      <w:snapToGrid w:val="0"/>
    </w:pPr>
    <w:rPr>
      <w:rFonts w:ascii="宋体" w:hAnsi="Calibri" w:eastAsia="宋体" w:cs="黑体"/>
      <w:kern w:val="2"/>
      <w:sz w:val="24"/>
      <w:szCs w:val="22"/>
      <w:lang w:val="en-US" w:eastAsia="zh-CN" w:bidi="ar-SA"/>
    </w:rPr>
  </w:style>
  <w:style w:type="paragraph" w:customStyle="1" w:styleId="109">
    <w:name w:val="引言二级条标题"/>
    <w:basedOn w:val="110"/>
    <w:next w:val="11"/>
    <w:qFormat/>
    <w:uiPriority w:val="0"/>
    <w:pPr>
      <w:widowControl/>
      <w:numPr>
        <w:ilvl w:val="1"/>
        <w:numId w:val="2"/>
      </w:numPr>
      <w:tabs>
        <w:tab w:val="left" w:pos="360"/>
        <w:tab w:val="left" w:pos="1200"/>
      </w:tabs>
      <w:ind w:left="1413"/>
    </w:pPr>
    <w:rPr>
      <w:szCs w:val="20"/>
    </w:rPr>
  </w:style>
  <w:style w:type="paragraph" w:customStyle="1" w:styleId="110">
    <w:name w:val="引言一级条标题"/>
    <w:basedOn w:val="1"/>
    <w:next w:val="11"/>
    <w:qFormat/>
    <w:uiPriority w:val="0"/>
    <w:pPr>
      <w:numPr>
        <w:ilvl w:val="0"/>
        <w:numId w:val="3"/>
      </w:numPr>
    </w:pPr>
    <w:rPr>
      <w:rFonts w:eastAsia="黑体"/>
      <w:b/>
    </w:rPr>
  </w:style>
  <w:style w:type="paragraph" w:customStyle="1" w:styleId="111">
    <w:name w:val="正文文本_1"/>
    <w:basedOn w:val="112"/>
    <w:qFormat/>
    <w:uiPriority w:val="99"/>
    <w:rPr>
      <w:rFonts w:eastAsia="黑体"/>
      <w:kern w:val="0"/>
      <w:sz w:val="36"/>
      <w:szCs w:val="24"/>
    </w:rPr>
  </w:style>
  <w:style w:type="paragraph" w:customStyle="1" w:styleId="112">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3">
    <w:name w:val="Char Char Char Char Char Char Char1"/>
    <w:basedOn w:val="1"/>
    <w:qFormat/>
    <w:uiPriority w:val="0"/>
  </w:style>
  <w:style w:type="character" w:customStyle="1" w:styleId="114">
    <w:name w:val="layui-layer-tabnow"/>
    <w:basedOn w:val="32"/>
    <w:qFormat/>
    <w:uiPriority w:val="0"/>
    <w:rPr>
      <w:bdr w:val="single" w:color="CCCCCC" w:sz="6" w:space="0"/>
      <w:shd w:val="clear" w:color="auto" w:fill="FFFFFF"/>
    </w:rPr>
  </w:style>
  <w:style w:type="character" w:customStyle="1" w:styleId="115">
    <w:name w:val="first-child"/>
    <w:basedOn w:val="32"/>
    <w:qFormat/>
    <w:uiPriority w:val="0"/>
  </w:style>
  <w:style w:type="paragraph" w:customStyle="1" w:styleId="116">
    <w:name w:val="G"/>
    <w:basedOn w:val="1"/>
    <w:qFormat/>
    <w:uiPriority w:val="0"/>
    <w:pPr>
      <w:spacing w:line="360" w:lineRule="auto"/>
      <w:jc w:val="center"/>
      <w:outlineLvl w:val="0"/>
    </w:pPr>
    <w:rPr>
      <w:b/>
      <w:kern w:val="0"/>
      <w:sz w:val="32"/>
      <w:szCs w:val="32"/>
    </w:rPr>
  </w:style>
  <w:style w:type="character" w:customStyle="1" w:styleId="117">
    <w:name w:val="批注框文本 Char"/>
    <w:basedOn w:val="32"/>
    <w:link w:val="1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Info spid="_x0000_s1029"/>
    <customShpInfo spid="_x0000_s1030"/>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2B099E-56AE-4F93-9F08-4674A6E4B3BD}">
  <ds:schemaRefs/>
</ds:datastoreItem>
</file>

<file path=docProps/app.xml><?xml version="1.0" encoding="utf-8"?>
<Properties xmlns="http://schemas.openxmlformats.org/officeDocument/2006/extended-properties" xmlns:vt="http://schemas.openxmlformats.org/officeDocument/2006/docPropsVTypes">
  <Template>Normal.dotm</Template>
  <Pages>50</Pages>
  <Words>18863</Words>
  <Characters>20076</Characters>
  <Lines>30</Lines>
  <Paragraphs>47</Paragraphs>
  <TotalTime>0</TotalTime>
  <ScaleCrop>false</ScaleCrop>
  <LinksUpToDate>false</LinksUpToDate>
  <CharactersWithSpaces>20692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2020-07-06T08:46:00Z</dcterms:created>
  <dc:creator>勇无止尽</dc:creator>
  <cp:lastModifiedBy>Administrator</cp:lastModifiedBy>
  <cp:lastPrinted>2026-03-13T02:34:00Z</cp:lastPrinted>
  <dcterms:modified xsi:type="dcterms:W3CDTF">2026-10-27T09:04:11Z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C7FEAD91AD844DF2AA592BB29DBF4773_13</vt:lpwstr>
  </property>
  <property fmtid="{D5CDD505-2E9C-101B-9397-08002B2CF9AE}" pid="4" name="KSOTemplateDocerSaveRecord">
    <vt:lpwstr>eyJoZGlkIjoiZjM2YjhjMjlhOWE4M2M2YjJmNmQxMjhmY2M1YWNkODkiLCJ1c2VySWQiOiIyMDU0MjQzMTcifQ==</vt:lpwstr>
  </property>
</Properties>
</file>