
<file path=[Content_Types].xml><?xml version="1.0" encoding="utf-8"?>
<Types xmlns="http://schemas.openxmlformats.org/package/2006/content-types">
  <Default Extension="xml" ContentType="application/xml"/>
  <Default Extension="jpeg" ContentType="image/jpeg"/>
  <Default Extension="JPG" ContentType="image/.jpg"/>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16"/>
        <w:pageBreakBefore w:val="0"/>
        <w:widowControl/>
        <w:kinsoku/>
        <w:overflowPunct/>
        <w:topLinePunct w:val="0"/>
        <w:bidi w:val="0"/>
        <w:snapToGrid/>
        <w:spacing w:beforeAutospacing="0" w:afterAutospacing="0" w:line="360" w:lineRule="auto"/>
        <w:rPr>
          <w:rFonts w:hint="eastAsia" w:ascii="宋体" w:hAnsi="宋体" w:eastAsia="宋体" w:cs="宋体"/>
          <w:color w:val="auto"/>
          <w:highlight w:val="none"/>
        </w:rPr>
      </w:pPr>
    </w:p>
    <w:p>
      <w:pPr>
        <w:keepNext w:val="0"/>
        <w:keepLines w:val="0"/>
        <w:pageBreakBefore w:val="0"/>
        <w:widowControl/>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40"/>
          <w:szCs w:val="40"/>
          <w:highlight w:val="none"/>
          <w:u w:val="single"/>
          <w:lang w:eastAsia="zh-CN"/>
        </w:rPr>
      </w:pPr>
    </w:p>
    <w:p>
      <w:pPr>
        <w:widowControl/>
        <w:spacing w:line="360" w:lineRule="auto"/>
        <w:jc w:val="center"/>
        <w:rPr>
          <w:rFonts w:ascii="宋体" w:hAnsi="宋体" w:eastAsia="宋体" w:cs="宋体"/>
          <w:b/>
          <w:bCs/>
          <w:sz w:val="52"/>
          <w:szCs w:val="52"/>
        </w:rPr>
      </w:pPr>
      <w:r>
        <w:rPr>
          <w:rFonts w:hint="eastAsia" w:ascii="宋体" w:hAnsi="宋体" w:eastAsia="宋体" w:cs="宋体"/>
          <w:b/>
          <w:bCs/>
          <w:sz w:val="52"/>
          <w:szCs w:val="52"/>
        </w:rPr>
        <w:t>关于文实校区白杨公寓安装直饮水机项目</w:t>
      </w:r>
    </w:p>
    <w:p>
      <w:pPr>
        <w:widowControl/>
        <w:spacing w:line="360" w:lineRule="auto"/>
        <w:jc w:val="center"/>
        <w:rPr>
          <w:rFonts w:hint="eastAsia" w:ascii="宋体" w:hAnsi="宋体" w:eastAsia="宋体" w:cs="宋体"/>
          <w:b/>
          <w:bCs/>
          <w:color w:val="auto"/>
          <w:sz w:val="28"/>
          <w:szCs w:val="28"/>
          <w:highlight w:val="none"/>
          <w:lang w:bidi="ar"/>
        </w:rPr>
      </w:pPr>
      <w:r>
        <w:rPr>
          <w:rFonts w:hint="eastAsia" w:ascii="宋体" w:hAnsi="宋体" w:eastAsia="宋体" w:cs="宋体"/>
          <w:b/>
          <w:bCs/>
          <w:sz w:val="52"/>
          <w:szCs w:val="52"/>
        </w:rPr>
        <w:t>询比采购文件</w:t>
      </w:r>
    </w:p>
    <w:p>
      <w:pPr>
        <w:pStyle w:val="16"/>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0"/>
        <w:jc w:val="center"/>
        <w:textAlignment w:val="auto"/>
        <w:rPr>
          <w:rFonts w:hint="eastAsia" w:ascii="宋体" w:hAnsi="宋体" w:eastAsia="宋体" w:cs="宋体"/>
          <w:b/>
          <w:bCs/>
          <w:color w:val="auto"/>
          <w:sz w:val="28"/>
          <w:szCs w:val="28"/>
          <w:highlight w:val="none"/>
          <w:lang w:bidi="ar"/>
        </w:rPr>
      </w:pPr>
      <w:r>
        <w:rPr>
          <w:rFonts w:hint="eastAsia" w:ascii="宋体" w:hAnsi="宋体" w:eastAsia="宋体" w:cs="宋体"/>
          <w:b/>
          <w:bCs/>
          <w:color w:val="auto"/>
          <w:sz w:val="28"/>
          <w:szCs w:val="28"/>
          <w:highlight w:val="none"/>
          <w:lang w:bidi="ar"/>
        </w:rPr>
        <w:t>（</w:t>
      </w:r>
      <w:r>
        <w:rPr>
          <w:rFonts w:hint="eastAsia" w:ascii="宋体" w:hAnsi="宋体" w:eastAsia="宋体" w:cs="宋体"/>
          <w:b/>
          <w:bCs/>
          <w:color w:val="auto"/>
          <w:sz w:val="28"/>
          <w:szCs w:val="28"/>
          <w:highlight w:val="none"/>
          <w:lang w:eastAsia="zh-CN" w:bidi="ar"/>
        </w:rPr>
        <w:t>招标</w:t>
      </w:r>
      <w:r>
        <w:rPr>
          <w:rFonts w:hint="eastAsia" w:ascii="宋体" w:hAnsi="宋体" w:eastAsia="宋体" w:cs="宋体"/>
          <w:b/>
          <w:bCs/>
          <w:color w:val="auto"/>
          <w:sz w:val="28"/>
          <w:szCs w:val="28"/>
          <w:highlight w:val="none"/>
          <w:lang w:bidi="ar"/>
        </w:rPr>
        <w:t>编号∶</w:t>
      </w:r>
      <w:r>
        <w:rPr>
          <w:rFonts w:hint="eastAsia" w:ascii="宋体" w:hAnsi="宋体" w:eastAsia="宋体" w:cs="宋体"/>
          <w:sz w:val="32"/>
          <w:szCs w:val="32"/>
          <w:u w:val="single"/>
        </w:rPr>
        <w:t>SHRJ-2022ZB-QH020</w:t>
      </w:r>
      <w:r>
        <w:rPr>
          <w:rFonts w:hint="eastAsia" w:ascii="宋体" w:hAnsi="宋体" w:eastAsia="宋体" w:cs="宋体"/>
          <w:b/>
          <w:bCs/>
          <w:color w:val="auto"/>
          <w:sz w:val="28"/>
          <w:szCs w:val="28"/>
          <w:highlight w:val="none"/>
          <w:lang w:bidi="ar"/>
        </w:rPr>
        <w:t>）</w:t>
      </w:r>
    </w:p>
    <w:p>
      <w:pPr>
        <w:pStyle w:val="2"/>
        <w:pageBreakBefore w:val="0"/>
        <w:kinsoku/>
        <w:overflowPunct/>
        <w:topLinePunct w:val="0"/>
        <w:bidi w:val="0"/>
        <w:snapToGrid/>
        <w:spacing w:line="360" w:lineRule="auto"/>
        <w:rPr>
          <w:rFonts w:hint="eastAsia" w:ascii="宋体" w:hAnsi="宋体" w:eastAsia="宋体" w:cs="宋体"/>
          <w:color w:val="auto"/>
          <w:highlight w:val="none"/>
        </w:rPr>
      </w:pPr>
    </w:p>
    <w:p>
      <w:pPr>
        <w:pStyle w:val="25"/>
        <w:pageBreakBefore w:val="0"/>
        <w:kinsoku/>
        <w:overflowPunct/>
        <w:topLinePunct w:val="0"/>
        <w:bidi w:val="0"/>
        <w:snapToGrid/>
        <w:spacing w:line="360" w:lineRule="auto"/>
        <w:rPr>
          <w:rFonts w:hint="eastAsia" w:ascii="宋体" w:hAnsi="宋体" w:eastAsia="宋体" w:cs="宋体"/>
          <w:color w:val="auto"/>
          <w:highlight w:val="none"/>
        </w:rPr>
      </w:pPr>
    </w:p>
    <w:p>
      <w:pPr>
        <w:pStyle w:val="16"/>
        <w:pageBreakBefore w:val="0"/>
        <w:widowControl/>
        <w:kinsoku/>
        <w:overflowPunct/>
        <w:topLinePunct w:val="0"/>
        <w:bidi w:val="0"/>
        <w:snapToGrid/>
        <w:spacing w:beforeAutospacing="0" w:afterAutospacing="0" w:line="360" w:lineRule="auto"/>
        <w:jc w:val="center"/>
        <w:rPr>
          <w:rFonts w:hint="eastAsia" w:ascii="宋体" w:hAnsi="宋体" w:eastAsia="宋体" w:cs="宋体"/>
          <w:color w:val="auto"/>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highlight w:val="none"/>
        </w:rPr>
        <w:instrText xml:space="preserve"> INCLUDEPICTURE "C:\\Users\\Administrator\\Documents\\tencent files\\389655873\\Documents\\Tencent%20Files\\615866252\\Image\\C2C\\89U%7d%7bX%7dH8)H3A7S)K%7b~UR%254.jpg" \* MERGEFORMAT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drawing>
          <wp:inline distT="0" distB="0" distL="114300" distR="114300">
            <wp:extent cx="2602865" cy="2557780"/>
            <wp:effectExtent l="0" t="0" r="3175" b="2540"/>
            <wp:docPr id="17" name="图片 6" descr="89U}{X}H8)H3A7S)K{~UR%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图片 6" descr="89U}{X}H8)H3A7S)K{~UR%4"/>
                    <pic:cNvPicPr>
                      <a:picLocks noChangeAspect="1"/>
                    </pic:cNvPicPr>
                  </pic:nvPicPr>
                  <pic:blipFill>
                    <a:blip r:embed="rId8"/>
                    <a:stretch>
                      <a:fillRect/>
                    </a:stretch>
                  </pic:blipFill>
                  <pic:spPr>
                    <a:xfrm>
                      <a:off x="0" y="0"/>
                      <a:ext cx="2602865" cy="2557780"/>
                    </a:xfrm>
                    <a:prstGeom prst="rect">
                      <a:avLst/>
                    </a:prstGeom>
                    <a:noFill/>
                    <a:ln>
                      <a:noFill/>
                    </a:ln>
                  </pic:spPr>
                </pic:pic>
              </a:graphicData>
            </a:graphic>
          </wp:inline>
        </w:drawing>
      </w:r>
      <w:r>
        <w:rPr>
          <w:rFonts w:hint="eastAsia" w:ascii="宋体" w:hAnsi="宋体" w:eastAsia="宋体" w:cs="宋体"/>
          <w:color w:val="auto"/>
          <w:sz w:val="24"/>
          <w:szCs w:val="24"/>
          <w:highlight w:val="none"/>
        </w:rPr>
        <w:fldChar w:fldCharType="end"/>
      </w:r>
    </w:p>
    <w:p>
      <w:pPr>
        <w:pStyle w:val="16"/>
        <w:pageBreakBefore w:val="0"/>
        <w:widowControl/>
        <w:kinsoku/>
        <w:overflowPunct/>
        <w:topLinePunct w:val="0"/>
        <w:bidi w:val="0"/>
        <w:snapToGrid/>
        <w:spacing w:beforeAutospacing="0" w:afterAutospacing="0" w:line="360" w:lineRule="auto"/>
        <w:jc w:val="both"/>
        <w:rPr>
          <w:rFonts w:hint="eastAsia" w:ascii="宋体" w:hAnsi="宋体" w:eastAsia="宋体" w:cs="宋体"/>
          <w:color w:val="auto"/>
          <w:highlight w:val="none"/>
        </w:rPr>
      </w:pPr>
    </w:p>
    <w:p>
      <w:pPr>
        <w:pStyle w:val="16"/>
        <w:pageBreakBefore w:val="0"/>
        <w:widowControl/>
        <w:kinsoku/>
        <w:overflowPunct/>
        <w:topLinePunct w:val="0"/>
        <w:bidi w:val="0"/>
        <w:snapToGrid/>
        <w:spacing w:beforeAutospacing="0" w:afterAutospacing="0" w:line="360" w:lineRule="auto"/>
        <w:rPr>
          <w:rFonts w:hint="eastAsia" w:ascii="宋体" w:hAnsi="宋体" w:eastAsia="宋体" w:cs="宋体"/>
          <w:color w:val="auto"/>
          <w:highlight w:val="none"/>
        </w:rPr>
      </w:pPr>
    </w:p>
    <w:p>
      <w:pPr>
        <w:pStyle w:val="25"/>
        <w:ind w:left="0" w:leftChars="0" w:firstLine="0" w:firstLineChars="0"/>
        <w:rPr>
          <w:rFonts w:hint="eastAsia" w:ascii="宋体" w:hAnsi="宋体" w:eastAsia="宋体" w:cs="宋体"/>
          <w:color w:val="auto"/>
          <w:highlight w:val="none"/>
        </w:rPr>
      </w:pPr>
    </w:p>
    <w:p>
      <w:pPr>
        <w:pStyle w:val="16"/>
        <w:pageBreakBefore w:val="0"/>
        <w:widowControl/>
        <w:kinsoku/>
        <w:overflowPunct/>
        <w:topLinePunct w:val="0"/>
        <w:bidi w:val="0"/>
        <w:snapToGrid/>
        <w:spacing w:beforeAutospacing="0" w:afterAutospacing="0" w:line="360" w:lineRule="auto"/>
        <w:ind w:firstLine="840" w:firstLineChars="300"/>
        <w:rPr>
          <w:rFonts w:hint="eastAsia" w:ascii="宋体" w:hAnsi="宋体" w:eastAsia="宋体" w:cs="宋体"/>
          <w:color w:val="auto"/>
          <w:sz w:val="28"/>
          <w:szCs w:val="28"/>
          <w:highlight w:val="none"/>
          <w:u w:val="single"/>
          <w:lang w:eastAsia="zh-CN"/>
        </w:rPr>
      </w:pPr>
      <w:r>
        <w:rPr>
          <w:rFonts w:hint="eastAsia" w:ascii="宋体" w:hAnsi="宋体" w:eastAsia="宋体" w:cs="宋体"/>
          <w:color w:val="auto"/>
          <w:sz w:val="28"/>
          <w:szCs w:val="28"/>
          <w:highlight w:val="none"/>
          <w:lang w:eastAsia="zh-CN"/>
        </w:rPr>
        <w:t>招</w:t>
      </w:r>
      <w:r>
        <w:rPr>
          <w:rFonts w:hint="eastAsia" w:ascii="宋体" w:hAnsi="宋体" w:eastAsia="宋体" w:cs="宋体"/>
          <w:color w:val="auto"/>
          <w:sz w:val="28"/>
          <w:szCs w:val="28"/>
          <w:highlight w:val="none"/>
          <w:lang w:val="en-US" w:eastAsia="zh-CN"/>
        </w:rPr>
        <w:t xml:space="preserve">   </w:t>
      </w:r>
      <w:r>
        <w:rPr>
          <w:rFonts w:hint="eastAsia" w:ascii="宋体" w:hAnsi="宋体" w:eastAsia="宋体" w:cs="宋体"/>
          <w:color w:val="auto"/>
          <w:sz w:val="28"/>
          <w:szCs w:val="28"/>
          <w:highlight w:val="none"/>
          <w:lang w:eastAsia="zh-CN"/>
        </w:rPr>
        <w:t>标</w:t>
      </w:r>
      <w:r>
        <w:rPr>
          <w:rFonts w:hint="eastAsia" w:ascii="宋体" w:hAnsi="宋体" w:eastAsia="宋体" w:cs="宋体"/>
          <w:color w:val="auto"/>
          <w:sz w:val="28"/>
          <w:szCs w:val="28"/>
          <w:highlight w:val="none"/>
          <w:lang w:val="en-US" w:eastAsia="zh-CN"/>
        </w:rPr>
        <w:t xml:space="preserve">   </w:t>
      </w:r>
      <w:r>
        <w:rPr>
          <w:rFonts w:hint="eastAsia" w:ascii="宋体" w:hAnsi="宋体" w:eastAsia="宋体" w:cs="宋体"/>
          <w:color w:val="auto"/>
          <w:sz w:val="28"/>
          <w:szCs w:val="28"/>
          <w:highlight w:val="none"/>
          <w:lang w:eastAsia="zh-CN"/>
        </w:rPr>
        <w:t>人</w:t>
      </w:r>
      <w:r>
        <w:rPr>
          <w:rFonts w:hint="eastAsia" w:ascii="宋体" w:hAnsi="宋体" w:eastAsia="宋体" w:cs="宋体"/>
          <w:color w:val="auto"/>
          <w:sz w:val="28"/>
          <w:szCs w:val="28"/>
          <w:highlight w:val="none"/>
        </w:rPr>
        <w:t>∶</w:t>
      </w:r>
      <w:r>
        <w:rPr>
          <w:rFonts w:hint="eastAsia" w:ascii="宋体" w:hAnsi="宋体" w:eastAsia="宋体" w:cs="宋体"/>
          <w:sz w:val="28"/>
          <w:szCs w:val="28"/>
          <w:u w:val="single"/>
        </w:rPr>
        <w:t>青海民族大学</w:t>
      </w:r>
    </w:p>
    <w:p>
      <w:pPr>
        <w:pStyle w:val="2"/>
        <w:pageBreakBefore w:val="0"/>
        <w:kinsoku/>
        <w:overflowPunct/>
        <w:topLinePunct w:val="0"/>
        <w:bidi w:val="0"/>
        <w:snapToGrid/>
        <w:spacing w:line="360" w:lineRule="auto"/>
        <w:ind w:firstLine="840" w:firstLineChars="300"/>
        <w:rPr>
          <w:rFonts w:hint="eastAsia" w:ascii="宋体" w:hAnsi="宋体" w:eastAsia="宋体" w:cs="宋体"/>
          <w:color w:val="auto"/>
          <w:sz w:val="28"/>
          <w:szCs w:val="28"/>
          <w:highlight w:val="none"/>
          <w:u w:val="single"/>
        </w:rPr>
      </w:pPr>
      <w:r>
        <w:rPr>
          <w:rFonts w:hint="eastAsia" w:ascii="宋体" w:hAnsi="宋体" w:eastAsia="宋体" w:cs="宋体"/>
          <w:color w:val="auto"/>
          <w:sz w:val="28"/>
          <w:szCs w:val="28"/>
          <w:highlight w:val="none"/>
          <w:lang w:eastAsia="zh-CN"/>
        </w:rPr>
        <w:t>招标代理机构</w:t>
      </w:r>
      <w:r>
        <w:rPr>
          <w:rFonts w:hint="eastAsia" w:ascii="宋体" w:hAnsi="宋体" w:eastAsia="宋体" w:cs="宋体"/>
          <w:color w:val="auto"/>
          <w:sz w:val="28"/>
          <w:szCs w:val="28"/>
          <w:highlight w:val="none"/>
        </w:rPr>
        <w:t>∶</w:t>
      </w:r>
      <w:r>
        <w:rPr>
          <w:rFonts w:hint="eastAsia" w:ascii="宋体" w:hAnsi="宋体" w:eastAsia="宋体" w:cs="宋体"/>
          <w:color w:val="auto"/>
          <w:sz w:val="28"/>
          <w:szCs w:val="28"/>
          <w:highlight w:val="none"/>
          <w:u w:val="single"/>
          <w:lang w:eastAsia="zh-CN"/>
        </w:rPr>
        <w:t>上海容基工程项目管理有限公司</w:t>
      </w:r>
    </w:p>
    <w:p>
      <w:pPr>
        <w:pStyle w:val="16"/>
        <w:pageBreakBefore w:val="0"/>
        <w:widowControl/>
        <w:kinsoku/>
        <w:overflowPunct/>
        <w:topLinePunct w:val="0"/>
        <w:bidi w:val="0"/>
        <w:snapToGrid/>
        <w:spacing w:beforeAutospacing="0" w:afterAutospacing="0" w:line="360" w:lineRule="auto"/>
        <w:ind w:firstLine="840" w:firstLineChars="300"/>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u w:val="single"/>
        </w:rPr>
        <w:t>202</w:t>
      </w:r>
      <w:r>
        <w:rPr>
          <w:rFonts w:hint="eastAsia" w:ascii="宋体" w:hAnsi="宋体" w:eastAsia="宋体" w:cs="宋体"/>
          <w:color w:val="auto"/>
          <w:sz w:val="28"/>
          <w:szCs w:val="28"/>
          <w:highlight w:val="none"/>
          <w:u w:val="single"/>
          <w:lang w:val="en-US" w:eastAsia="zh-CN"/>
        </w:rPr>
        <w:t>2</w:t>
      </w:r>
      <w:r>
        <w:rPr>
          <w:rFonts w:hint="eastAsia" w:ascii="宋体" w:hAnsi="宋体" w:eastAsia="宋体" w:cs="宋体"/>
          <w:color w:val="auto"/>
          <w:sz w:val="28"/>
          <w:szCs w:val="28"/>
          <w:highlight w:val="none"/>
        </w:rPr>
        <w:t>年</w:t>
      </w:r>
      <w:r>
        <w:rPr>
          <w:rFonts w:hint="eastAsia" w:ascii="宋体" w:hAnsi="宋体" w:eastAsia="宋体" w:cs="宋体"/>
          <w:color w:val="auto"/>
          <w:sz w:val="28"/>
          <w:szCs w:val="28"/>
          <w:highlight w:val="none"/>
          <w:u w:val="single"/>
          <w:lang w:val="en-US" w:eastAsia="zh-CN"/>
        </w:rPr>
        <w:t>07</w:t>
      </w:r>
      <w:r>
        <w:rPr>
          <w:rFonts w:hint="eastAsia" w:ascii="宋体" w:hAnsi="宋体" w:eastAsia="宋体" w:cs="宋体"/>
          <w:color w:val="auto"/>
          <w:sz w:val="28"/>
          <w:szCs w:val="28"/>
          <w:highlight w:val="none"/>
        </w:rPr>
        <w:t>月</w:t>
      </w:r>
    </w:p>
    <w:p>
      <w:pPr>
        <w:pageBreakBefore w:val="0"/>
        <w:kinsoku/>
        <w:overflowPunct/>
        <w:topLinePunct w:val="0"/>
        <w:bidi w:val="0"/>
        <w:snapToGrid/>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br w:type="page"/>
      </w:r>
    </w:p>
    <w:p>
      <w:pPr>
        <w:pStyle w:val="16"/>
        <w:pageBreakBefore w:val="0"/>
        <w:widowControl/>
        <w:kinsoku/>
        <w:overflowPunct/>
        <w:topLinePunct w:val="0"/>
        <w:bidi w:val="0"/>
        <w:snapToGrid/>
        <w:spacing w:beforeAutospacing="0" w:afterAutospacing="0" w:line="360" w:lineRule="auto"/>
        <w:ind w:firstLine="3960" w:firstLineChars="900"/>
        <w:jc w:val="both"/>
        <w:rPr>
          <w:rFonts w:hint="eastAsia" w:ascii="宋体" w:hAnsi="宋体" w:eastAsia="宋体" w:cs="宋体"/>
          <w:color w:val="auto"/>
          <w:sz w:val="44"/>
          <w:szCs w:val="44"/>
          <w:highlight w:val="none"/>
        </w:rPr>
      </w:pPr>
      <w:r>
        <w:rPr>
          <w:rFonts w:hint="eastAsia" w:ascii="宋体" w:hAnsi="宋体" w:eastAsia="宋体" w:cs="宋体"/>
          <w:color w:val="auto"/>
          <w:sz w:val="44"/>
          <w:szCs w:val="44"/>
          <w:highlight w:val="none"/>
        </w:rPr>
        <w:t>目  录</w:t>
      </w:r>
    </w:p>
    <w:p>
      <w:pPr>
        <w:pStyle w:val="13"/>
        <w:tabs>
          <w:tab w:val="right" w:leader="dot" w:pos="9746"/>
        </w:tabs>
        <w:rPr>
          <w:color w:val="auto"/>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TOC \o "1-4" \h \u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_Toc12807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第一章  询比采购公告</w:t>
      </w:r>
      <w:r>
        <w:rPr>
          <w:color w:val="auto"/>
        </w:rPr>
        <w:tab/>
      </w:r>
      <w:r>
        <w:rPr>
          <w:color w:val="auto"/>
        </w:rPr>
        <w:fldChar w:fldCharType="begin"/>
      </w:r>
      <w:r>
        <w:rPr>
          <w:color w:val="auto"/>
        </w:rPr>
        <w:instrText xml:space="preserve"> PAGEREF _Toc12807 \h </w:instrText>
      </w:r>
      <w:r>
        <w:rPr>
          <w:color w:val="auto"/>
        </w:rPr>
        <w:fldChar w:fldCharType="separate"/>
      </w:r>
      <w:r>
        <w:rPr>
          <w:color w:val="auto"/>
        </w:rPr>
        <w:t>6</w:t>
      </w:r>
      <w:r>
        <w:rPr>
          <w:color w:val="auto"/>
        </w:rPr>
        <w:fldChar w:fldCharType="end"/>
      </w:r>
      <w:r>
        <w:rPr>
          <w:rFonts w:hint="eastAsia" w:ascii="宋体" w:hAnsi="宋体" w:eastAsia="宋体" w:cs="宋体"/>
          <w:color w:val="auto"/>
          <w:highlight w:val="none"/>
        </w:rPr>
        <w:fldChar w:fldCharType="end"/>
      </w:r>
    </w:p>
    <w:p>
      <w:pPr>
        <w:pStyle w:val="15"/>
        <w:tabs>
          <w:tab w:val="right" w:leader="dot" w:pos="9746"/>
        </w:tabs>
        <w:rPr>
          <w:color w:val="auto"/>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_Toc20611 </w:instrText>
      </w:r>
      <w:r>
        <w:rPr>
          <w:rFonts w:hint="eastAsia" w:ascii="宋体" w:hAnsi="宋体" w:eastAsia="宋体" w:cs="宋体"/>
          <w:color w:val="auto"/>
          <w:highlight w:val="none"/>
        </w:rPr>
        <w:fldChar w:fldCharType="separate"/>
      </w:r>
      <w:r>
        <w:rPr>
          <w:rFonts w:hint="eastAsia" w:ascii="宋体" w:hAnsi="宋体" w:eastAsia="宋体" w:cs="宋体"/>
          <w:color w:val="auto"/>
          <w:szCs w:val="22"/>
          <w:highlight w:val="none"/>
        </w:rPr>
        <w:t>1 采购项目简介</w:t>
      </w:r>
      <w:r>
        <w:rPr>
          <w:color w:val="auto"/>
        </w:rPr>
        <w:tab/>
      </w:r>
      <w:r>
        <w:rPr>
          <w:color w:val="auto"/>
        </w:rPr>
        <w:fldChar w:fldCharType="begin"/>
      </w:r>
      <w:r>
        <w:rPr>
          <w:color w:val="auto"/>
        </w:rPr>
        <w:instrText xml:space="preserve"> PAGEREF _Toc20611 \h </w:instrText>
      </w:r>
      <w:r>
        <w:rPr>
          <w:color w:val="auto"/>
        </w:rPr>
        <w:fldChar w:fldCharType="separate"/>
      </w:r>
      <w:r>
        <w:rPr>
          <w:color w:val="auto"/>
        </w:rPr>
        <w:t>7</w:t>
      </w:r>
      <w:r>
        <w:rPr>
          <w:color w:val="auto"/>
        </w:rPr>
        <w:fldChar w:fldCharType="end"/>
      </w:r>
      <w:r>
        <w:rPr>
          <w:rFonts w:hint="eastAsia" w:ascii="宋体" w:hAnsi="宋体" w:eastAsia="宋体" w:cs="宋体"/>
          <w:color w:val="auto"/>
          <w:highlight w:val="none"/>
        </w:rPr>
        <w:fldChar w:fldCharType="end"/>
      </w:r>
    </w:p>
    <w:p>
      <w:pPr>
        <w:pStyle w:val="15"/>
        <w:tabs>
          <w:tab w:val="right" w:leader="dot" w:pos="9746"/>
        </w:tabs>
        <w:rPr>
          <w:color w:val="auto"/>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_Toc18882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2采购范围及相关要求（A）</w:t>
      </w:r>
      <w:r>
        <w:rPr>
          <w:color w:val="auto"/>
        </w:rPr>
        <w:tab/>
      </w:r>
      <w:r>
        <w:rPr>
          <w:color w:val="auto"/>
        </w:rPr>
        <w:fldChar w:fldCharType="begin"/>
      </w:r>
      <w:r>
        <w:rPr>
          <w:color w:val="auto"/>
        </w:rPr>
        <w:instrText xml:space="preserve"> PAGEREF _Toc18882 \h </w:instrText>
      </w:r>
      <w:r>
        <w:rPr>
          <w:color w:val="auto"/>
        </w:rPr>
        <w:fldChar w:fldCharType="separate"/>
      </w:r>
      <w:r>
        <w:rPr>
          <w:color w:val="auto"/>
        </w:rPr>
        <w:t>7</w:t>
      </w:r>
      <w:r>
        <w:rPr>
          <w:color w:val="auto"/>
        </w:rPr>
        <w:fldChar w:fldCharType="end"/>
      </w:r>
      <w:r>
        <w:rPr>
          <w:rFonts w:hint="eastAsia" w:ascii="宋体" w:hAnsi="宋体" w:eastAsia="宋体" w:cs="宋体"/>
          <w:color w:val="auto"/>
          <w:highlight w:val="none"/>
        </w:rPr>
        <w:fldChar w:fldCharType="end"/>
      </w:r>
    </w:p>
    <w:p>
      <w:pPr>
        <w:pStyle w:val="15"/>
        <w:tabs>
          <w:tab w:val="right" w:leader="dot" w:pos="9746"/>
        </w:tabs>
        <w:rPr>
          <w:color w:val="auto"/>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_Toc18912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3</w:t>
      </w:r>
      <w:r>
        <w:rPr>
          <w:rFonts w:hint="eastAsia" w:ascii="宋体" w:hAnsi="宋体" w:eastAsia="宋体" w:cs="宋体"/>
          <w:color w:val="auto"/>
          <w:highlight w:val="none"/>
          <w:lang w:eastAsia="zh-CN"/>
        </w:rPr>
        <w:t>询比响应人</w:t>
      </w:r>
      <w:r>
        <w:rPr>
          <w:rFonts w:hint="eastAsia" w:ascii="宋体" w:hAnsi="宋体" w:eastAsia="宋体" w:cs="宋体"/>
          <w:color w:val="auto"/>
          <w:highlight w:val="none"/>
        </w:rPr>
        <w:t>资格要求</w:t>
      </w:r>
      <w:r>
        <w:rPr>
          <w:color w:val="auto"/>
        </w:rPr>
        <w:tab/>
      </w:r>
      <w:r>
        <w:rPr>
          <w:color w:val="auto"/>
        </w:rPr>
        <w:fldChar w:fldCharType="begin"/>
      </w:r>
      <w:r>
        <w:rPr>
          <w:color w:val="auto"/>
        </w:rPr>
        <w:instrText xml:space="preserve"> PAGEREF _Toc18912 \h </w:instrText>
      </w:r>
      <w:r>
        <w:rPr>
          <w:color w:val="auto"/>
        </w:rPr>
        <w:fldChar w:fldCharType="separate"/>
      </w:r>
      <w:r>
        <w:rPr>
          <w:color w:val="auto"/>
        </w:rPr>
        <w:t>7</w:t>
      </w:r>
      <w:r>
        <w:rPr>
          <w:color w:val="auto"/>
        </w:rPr>
        <w:fldChar w:fldCharType="end"/>
      </w:r>
      <w:r>
        <w:rPr>
          <w:rFonts w:hint="eastAsia" w:ascii="宋体" w:hAnsi="宋体" w:eastAsia="宋体" w:cs="宋体"/>
          <w:color w:val="auto"/>
          <w:highlight w:val="none"/>
        </w:rPr>
        <w:fldChar w:fldCharType="end"/>
      </w:r>
    </w:p>
    <w:p>
      <w:pPr>
        <w:pStyle w:val="15"/>
        <w:tabs>
          <w:tab w:val="right" w:leader="dot" w:pos="9746"/>
        </w:tabs>
        <w:rPr>
          <w:color w:val="auto"/>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_Toc2084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4 采购文件的获取</w:t>
      </w:r>
      <w:r>
        <w:rPr>
          <w:color w:val="auto"/>
        </w:rPr>
        <w:tab/>
      </w:r>
      <w:r>
        <w:rPr>
          <w:color w:val="auto"/>
        </w:rPr>
        <w:fldChar w:fldCharType="begin"/>
      </w:r>
      <w:r>
        <w:rPr>
          <w:color w:val="auto"/>
        </w:rPr>
        <w:instrText xml:space="preserve"> PAGEREF _Toc2084 \h </w:instrText>
      </w:r>
      <w:r>
        <w:rPr>
          <w:color w:val="auto"/>
        </w:rPr>
        <w:fldChar w:fldCharType="separate"/>
      </w:r>
      <w:r>
        <w:rPr>
          <w:color w:val="auto"/>
        </w:rPr>
        <w:t>8</w:t>
      </w:r>
      <w:r>
        <w:rPr>
          <w:color w:val="auto"/>
        </w:rPr>
        <w:fldChar w:fldCharType="end"/>
      </w:r>
      <w:r>
        <w:rPr>
          <w:rFonts w:hint="eastAsia" w:ascii="宋体" w:hAnsi="宋体" w:eastAsia="宋体" w:cs="宋体"/>
          <w:color w:val="auto"/>
          <w:highlight w:val="none"/>
        </w:rPr>
        <w:fldChar w:fldCharType="end"/>
      </w:r>
    </w:p>
    <w:p>
      <w:pPr>
        <w:pStyle w:val="15"/>
        <w:tabs>
          <w:tab w:val="right" w:leader="dot" w:pos="9746"/>
        </w:tabs>
        <w:rPr>
          <w:color w:val="auto"/>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_Toc19178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5 响应文件的递交</w:t>
      </w:r>
      <w:r>
        <w:rPr>
          <w:color w:val="auto"/>
        </w:rPr>
        <w:tab/>
      </w:r>
      <w:r>
        <w:rPr>
          <w:color w:val="auto"/>
        </w:rPr>
        <w:fldChar w:fldCharType="begin"/>
      </w:r>
      <w:r>
        <w:rPr>
          <w:color w:val="auto"/>
        </w:rPr>
        <w:instrText xml:space="preserve"> PAGEREF _Toc19178 \h </w:instrText>
      </w:r>
      <w:r>
        <w:rPr>
          <w:color w:val="auto"/>
        </w:rPr>
        <w:fldChar w:fldCharType="separate"/>
      </w:r>
      <w:r>
        <w:rPr>
          <w:color w:val="auto"/>
        </w:rPr>
        <w:t>9</w:t>
      </w:r>
      <w:r>
        <w:rPr>
          <w:color w:val="auto"/>
        </w:rPr>
        <w:fldChar w:fldCharType="end"/>
      </w:r>
      <w:r>
        <w:rPr>
          <w:rFonts w:hint="eastAsia" w:ascii="宋体" w:hAnsi="宋体" w:eastAsia="宋体" w:cs="宋体"/>
          <w:color w:val="auto"/>
          <w:highlight w:val="none"/>
        </w:rPr>
        <w:fldChar w:fldCharType="end"/>
      </w:r>
    </w:p>
    <w:p>
      <w:pPr>
        <w:pStyle w:val="15"/>
        <w:tabs>
          <w:tab w:val="right" w:leader="dot" w:pos="9746"/>
        </w:tabs>
        <w:rPr>
          <w:color w:val="auto"/>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_Toc7574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6 响应文件开启时间和地点</w:t>
      </w:r>
      <w:r>
        <w:rPr>
          <w:color w:val="auto"/>
        </w:rPr>
        <w:tab/>
      </w:r>
      <w:r>
        <w:rPr>
          <w:color w:val="auto"/>
        </w:rPr>
        <w:fldChar w:fldCharType="begin"/>
      </w:r>
      <w:r>
        <w:rPr>
          <w:color w:val="auto"/>
        </w:rPr>
        <w:instrText xml:space="preserve"> PAGEREF _Toc7574 \h </w:instrText>
      </w:r>
      <w:r>
        <w:rPr>
          <w:color w:val="auto"/>
        </w:rPr>
        <w:fldChar w:fldCharType="separate"/>
      </w:r>
      <w:r>
        <w:rPr>
          <w:color w:val="auto"/>
        </w:rPr>
        <w:t>9</w:t>
      </w:r>
      <w:r>
        <w:rPr>
          <w:color w:val="auto"/>
        </w:rPr>
        <w:fldChar w:fldCharType="end"/>
      </w:r>
      <w:r>
        <w:rPr>
          <w:rFonts w:hint="eastAsia" w:ascii="宋体" w:hAnsi="宋体" w:eastAsia="宋体" w:cs="宋体"/>
          <w:color w:val="auto"/>
          <w:highlight w:val="none"/>
        </w:rPr>
        <w:fldChar w:fldCharType="end"/>
      </w:r>
    </w:p>
    <w:p>
      <w:pPr>
        <w:pStyle w:val="15"/>
        <w:tabs>
          <w:tab w:val="right" w:leader="dot" w:pos="9746"/>
        </w:tabs>
        <w:rPr>
          <w:color w:val="auto"/>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_Toc22923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7 发布公告的媒介</w:t>
      </w:r>
      <w:r>
        <w:rPr>
          <w:color w:val="auto"/>
        </w:rPr>
        <w:tab/>
      </w:r>
      <w:r>
        <w:rPr>
          <w:color w:val="auto"/>
        </w:rPr>
        <w:fldChar w:fldCharType="begin"/>
      </w:r>
      <w:r>
        <w:rPr>
          <w:color w:val="auto"/>
        </w:rPr>
        <w:instrText xml:space="preserve"> PAGEREF _Toc22923 \h </w:instrText>
      </w:r>
      <w:r>
        <w:rPr>
          <w:color w:val="auto"/>
        </w:rPr>
        <w:fldChar w:fldCharType="separate"/>
      </w:r>
      <w:r>
        <w:rPr>
          <w:color w:val="auto"/>
        </w:rPr>
        <w:t>9</w:t>
      </w:r>
      <w:r>
        <w:rPr>
          <w:color w:val="auto"/>
        </w:rPr>
        <w:fldChar w:fldCharType="end"/>
      </w:r>
      <w:r>
        <w:rPr>
          <w:rFonts w:hint="eastAsia" w:ascii="宋体" w:hAnsi="宋体" w:eastAsia="宋体" w:cs="宋体"/>
          <w:color w:val="auto"/>
          <w:highlight w:val="none"/>
        </w:rPr>
        <w:fldChar w:fldCharType="end"/>
      </w:r>
    </w:p>
    <w:p>
      <w:pPr>
        <w:pStyle w:val="15"/>
        <w:tabs>
          <w:tab w:val="right" w:leader="dot" w:pos="9746"/>
        </w:tabs>
        <w:rPr>
          <w:color w:val="auto"/>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_Toc15086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8 其他</w:t>
      </w:r>
      <w:r>
        <w:rPr>
          <w:rFonts w:hint="eastAsia" w:ascii="宋体" w:hAnsi="宋体" w:eastAsia="宋体" w:cs="宋体"/>
          <w:color w:val="auto"/>
          <w:szCs w:val="28"/>
          <w:highlight w:val="none"/>
        </w:rPr>
        <w:t xml:space="preserve">       </w:t>
      </w:r>
      <w:r>
        <w:rPr>
          <w:rFonts w:hint="eastAsia" w:ascii="宋体" w:hAnsi="宋体" w:eastAsia="宋体" w:cs="宋体"/>
          <w:color w:val="auto"/>
          <w:szCs w:val="28"/>
          <w:highlight w:val="none"/>
          <w:lang w:val="en-US" w:eastAsia="zh-CN"/>
        </w:rPr>
        <w:t>/</w:t>
      </w:r>
      <w:r>
        <w:rPr>
          <w:color w:val="auto"/>
        </w:rPr>
        <w:tab/>
      </w:r>
      <w:r>
        <w:rPr>
          <w:color w:val="auto"/>
        </w:rPr>
        <w:fldChar w:fldCharType="begin"/>
      </w:r>
      <w:r>
        <w:rPr>
          <w:color w:val="auto"/>
        </w:rPr>
        <w:instrText xml:space="preserve"> PAGEREF _Toc15086 \h </w:instrText>
      </w:r>
      <w:r>
        <w:rPr>
          <w:color w:val="auto"/>
        </w:rPr>
        <w:fldChar w:fldCharType="separate"/>
      </w:r>
      <w:r>
        <w:rPr>
          <w:color w:val="auto"/>
        </w:rPr>
        <w:t>9</w:t>
      </w:r>
      <w:r>
        <w:rPr>
          <w:color w:val="auto"/>
        </w:rPr>
        <w:fldChar w:fldCharType="end"/>
      </w:r>
      <w:r>
        <w:rPr>
          <w:rFonts w:hint="eastAsia" w:ascii="宋体" w:hAnsi="宋体" w:eastAsia="宋体" w:cs="宋体"/>
          <w:color w:val="auto"/>
          <w:highlight w:val="none"/>
        </w:rPr>
        <w:fldChar w:fldCharType="end"/>
      </w:r>
    </w:p>
    <w:p>
      <w:pPr>
        <w:pStyle w:val="15"/>
        <w:tabs>
          <w:tab w:val="right" w:leader="dot" w:pos="9746"/>
        </w:tabs>
        <w:rPr>
          <w:color w:val="auto"/>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_Toc882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9 联系方式</w:t>
      </w:r>
      <w:r>
        <w:rPr>
          <w:color w:val="auto"/>
        </w:rPr>
        <w:tab/>
      </w:r>
      <w:r>
        <w:rPr>
          <w:color w:val="auto"/>
        </w:rPr>
        <w:fldChar w:fldCharType="begin"/>
      </w:r>
      <w:r>
        <w:rPr>
          <w:color w:val="auto"/>
        </w:rPr>
        <w:instrText xml:space="preserve"> PAGEREF _Toc882 \h </w:instrText>
      </w:r>
      <w:r>
        <w:rPr>
          <w:color w:val="auto"/>
        </w:rPr>
        <w:fldChar w:fldCharType="separate"/>
      </w:r>
      <w:r>
        <w:rPr>
          <w:color w:val="auto"/>
        </w:rPr>
        <w:t>10</w:t>
      </w:r>
      <w:r>
        <w:rPr>
          <w:color w:val="auto"/>
        </w:rPr>
        <w:fldChar w:fldCharType="end"/>
      </w:r>
      <w:r>
        <w:rPr>
          <w:rFonts w:hint="eastAsia" w:ascii="宋体" w:hAnsi="宋体" w:eastAsia="宋体" w:cs="宋体"/>
          <w:color w:val="auto"/>
          <w:highlight w:val="none"/>
        </w:rPr>
        <w:fldChar w:fldCharType="end"/>
      </w:r>
    </w:p>
    <w:p>
      <w:pPr>
        <w:pStyle w:val="13"/>
        <w:tabs>
          <w:tab w:val="right" w:leader="dot" w:pos="9746"/>
        </w:tabs>
        <w:rPr>
          <w:color w:val="auto"/>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_Toc7818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 xml:space="preserve">第二章  </w:t>
      </w:r>
      <w:r>
        <w:rPr>
          <w:rFonts w:hint="eastAsia" w:ascii="宋体" w:hAnsi="宋体" w:eastAsia="宋体" w:cs="宋体"/>
          <w:color w:val="auto"/>
          <w:highlight w:val="none"/>
          <w:lang w:eastAsia="zh-CN"/>
        </w:rPr>
        <w:t>询比响应人</w:t>
      </w:r>
      <w:r>
        <w:rPr>
          <w:rFonts w:hint="eastAsia" w:ascii="宋体" w:hAnsi="宋体" w:eastAsia="宋体" w:cs="宋体"/>
          <w:color w:val="auto"/>
          <w:highlight w:val="none"/>
        </w:rPr>
        <w:t>须知</w:t>
      </w:r>
      <w:r>
        <w:rPr>
          <w:color w:val="auto"/>
        </w:rPr>
        <w:tab/>
      </w:r>
      <w:r>
        <w:rPr>
          <w:color w:val="auto"/>
        </w:rPr>
        <w:fldChar w:fldCharType="begin"/>
      </w:r>
      <w:r>
        <w:rPr>
          <w:color w:val="auto"/>
        </w:rPr>
        <w:instrText xml:space="preserve"> PAGEREF _Toc7818 \h </w:instrText>
      </w:r>
      <w:r>
        <w:rPr>
          <w:color w:val="auto"/>
        </w:rPr>
        <w:fldChar w:fldCharType="separate"/>
      </w:r>
      <w:r>
        <w:rPr>
          <w:color w:val="auto"/>
        </w:rPr>
        <w:t>11</w:t>
      </w:r>
      <w:r>
        <w:rPr>
          <w:color w:val="auto"/>
        </w:rPr>
        <w:fldChar w:fldCharType="end"/>
      </w:r>
      <w:r>
        <w:rPr>
          <w:rFonts w:hint="eastAsia" w:ascii="宋体" w:hAnsi="宋体" w:eastAsia="宋体" w:cs="宋体"/>
          <w:color w:val="auto"/>
          <w:highlight w:val="none"/>
        </w:rPr>
        <w:fldChar w:fldCharType="end"/>
      </w:r>
    </w:p>
    <w:p>
      <w:pPr>
        <w:pStyle w:val="15"/>
        <w:tabs>
          <w:tab w:val="right" w:leader="dot" w:pos="9746"/>
        </w:tabs>
        <w:rPr>
          <w:color w:val="auto"/>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_Toc32586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lang w:eastAsia="zh-CN"/>
        </w:rPr>
        <w:t>询比响应人</w:t>
      </w:r>
      <w:r>
        <w:rPr>
          <w:rFonts w:hint="eastAsia" w:ascii="宋体" w:hAnsi="宋体" w:eastAsia="宋体" w:cs="宋体"/>
          <w:color w:val="auto"/>
          <w:highlight w:val="none"/>
        </w:rPr>
        <w:t>须知前附表</w:t>
      </w:r>
      <w:r>
        <w:rPr>
          <w:color w:val="auto"/>
        </w:rPr>
        <w:tab/>
      </w:r>
      <w:r>
        <w:rPr>
          <w:color w:val="auto"/>
        </w:rPr>
        <w:fldChar w:fldCharType="begin"/>
      </w:r>
      <w:r>
        <w:rPr>
          <w:color w:val="auto"/>
        </w:rPr>
        <w:instrText xml:space="preserve"> PAGEREF _Toc32586 \h </w:instrText>
      </w:r>
      <w:r>
        <w:rPr>
          <w:color w:val="auto"/>
        </w:rPr>
        <w:fldChar w:fldCharType="separate"/>
      </w:r>
      <w:r>
        <w:rPr>
          <w:color w:val="auto"/>
        </w:rPr>
        <w:t>11</w:t>
      </w:r>
      <w:r>
        <w:rPr>
          <w:color w:val="auto"/>
        </w:rPr>
        <w:fldChar w:fldCharType="end"/>
      </w:r>
      <w:r>
        <w:rPr>
          <w:rFonts w:hint="eastAsia" w:ascii="宋体" w:hAnsi="宋体" w:eastAsia="宋体" w:cs="宋体"/>
          <w:color w:val="auto"/>
          <w:highlight w:val="none"/>
        </w:rPr>
        <w:fldChar w:fldCharType="end"/>
      </w:r>
    </w:p>
    <w:p>
      <w:pPr>
        <w:pStyle w:val="15"/>
        <w:tabs>
          <w:tab w:val="right" w:leader="dot" w:pos="9746"/>
        </w:tabs>
        <w:rPr>
          <w:color w:val="auto"/>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_Toc22310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1 总则</w:t>
      </w:r>
      <w:r>
        <w:rPr>
          <w:color w:val="auto"/>
        </w:rPr>
        <w:tab/>
      </w:r>
      <w:r>
        <w:rPr>
          <w:color w:val="auto"/>
        </w:rPr>
        <w:fldChar w:fldCharType="begin"/>
      </w:r>
      <w:r>
        <w:rPr>
          <w:color w:val="auto"/>
        </w:rPr>
        <w:instrText xml:space="preserve"> PAGEREF _Toc22310 \h </w:instrText>
      </w:r>
      <w:r>
        <w:rPr>
          <w:color w:val="auto"/>
        </w:rPr>
        <w:fldChar w:fldCharType="separate"/>
      </w:r>
      <w:r>
        <w:rPr>
          <w:color w:val="auto"/>
        </w:rPr>
        <w:t>20</w:t>
      </w:r>
      <w:r>
        <w:rPr>
          <w:color w:val="auto"/>
        </w:rPr>
        <w:fldChar w:fldCharType="end"/>
      </w:r>
      <w:r>
        <w:rPr>
          <w:rFonts w:hint="eastAsia" w:ascii="宋体" w:hAnsi="宋体" w:eastAsia="宋体" w:cs="宋体"/>
          <w:color w:val="auto"/>
          <w:highlight w:val="none"/>
        </w:rPr>
        <w:fldChar w:fldCharType="end"/>
      </w:r>
    </w:p>
    <w:p>
      <w:pPr>
        <w:pStyle w:val="15"/>
        <w:tabs>
          <w:tab w:val="right" w:leader="dot" w:pos="9746"/>
        </w:tabs>
        <w:rPr>
          <w:color w:val="auto"/>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_Toc18778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2采购文件</w:t>
      </w:r>
      <w:r>
        <w:rPr>
          <w:color w:val="auto"/>
        </w:rPr>
        <w:tab/>
      </w:r>
      <w:r>
        <w:rPr>
          <w:color w:val="auto"/>
        </w:rPr>
        <w:fldChar w:fldCharType="begin"/>
      </w:r>
      <w:r>
        <w:rPr>
          <w:color w:val="auto"/>
        </w:rPr>
        <w:instrText xml:space="preserve"> PAGEREF _Toc18778 \h </w:instrText>
      </w:r>
      <w:r>
        <w:rPr>
          <w:color w:val="auto"/>
        </w:rPr>
        <w:fldChar w:fldCharType="separate"/>
      </w:r>
      <w:r>
        <w:rPr>
          <w:color w:val="auto"/>
        </w:rPr>
        <w:t>21</w:t>
      </w:r>
      <w:r>
        <w:rPr>
          <w:color w:val="auto"/>
        </w:rPr>
        <w:fldChar w:fldCharType="end"/>
      </w:r>
      <w:r>
        <w:rPr>
          <w:rFonts w:hint="eastAsia" w:ascii="宋体" w:hAnsi="宋体" w:eastAsia="宋体" w:cs="宋体"/>
          <w:color w:val="auto"/>
          <w:highlight w:val="none"/>
        </w:rPr>
        <w:fldChar w:fldCharType="end"/>
      </w:r>
    </w:p>
    <w:p>
      <w:pPr>
        <w:pStyle w:val="15"/>
        <w:tabs>
          <w:tab w:val="right" w:leader="dot" w:pos="9746"/>
        </w:tabs>
        <w:rPr>
          <w:color w:val="auto"/>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_Toc5389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3响应文件</w:t>
      </w:r>
      <w:r>
        <w:rPr>
          <w:color w:val="auto"/>
        </w:rPr>
        <w:tab/>
      </w:r>
      <w:r>
        <w:rPr>
          <w:color w:val="auto"/>
        </w:rPr>
        <w:fldChar w:fldCharType="begin"/>
      </w:r>
      <w:r>
        <w:rPr>
          <w:color w:val="auto"/>
        </w:rPr>
        <w:instrText xml:space="preserve"> PAGEREF _Toc5389 \h </w:instrText>
      </w:r>
      <w:r>
        <w:rPr>
          <w:color w:val="auto"/>
        </w:rPr>
        <w:fldChar w:fldCharType="separate"/>
      </w:r>
      <w:r>
        <w:rPr>
          <w:color w:val="auto"/>
        </w:rPr>
        <w:t>22</w:t>
      </w:r>
      <w:r>
        <w:rPr>
          <w:color w:val="auto"/>
        </w:rPr>
        <w:fldChar w:fldCharType="end"/>
      </w:r>
      <w:r>
        <w:rPr>
          <w:rFonts w:hint="eastAsia" w:ascii="宋体" w:hAnsi="宋体" w:eastAsia="宋体" w:cs="宋体"/>
          <w:color w:val="auto"/>
          <w:highlight w:val="none"/>
        </w:rPr>
        <w:fldChar w:fldCharType="end"/>
      </w:r>
    </w:p>
    <w:p>
      <w:pPr>
        <w:pStyle w:val="15"/>
        <w:tabs>
          <w:tab w:val="right" w:leader="dot" w:pos="9746"/>
        </w:tabs>
        <w:rPr>
          <w:color w:val="auto"/>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_Toc14285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4 响应文件的递交</w:t>
      </w:r>
      <w:r>
        <w:rPr>
          <w:color w:val="auto"/>
        </w:rPr>
        <w:tab/>
      </w:r>
      <w:r>
        <w:rPr>
          <w:color w:val="auto"/>
        </w:rPr>
        <w:fldChar w:fldCharType="begin"/>
      </w:r>
      <w:r>
        <w:rPr>
          <w:color w:val="auto"/>
        </w:rPr>
        <w:instrText xml:space="preserve"> PAGEREF _Toc14285 \h </w:instrText>
      </w:r>
      <w:r>
        <w:rPr>
          <w:color w:val="auto"/>
        </w:rPr>
        <w:fldChar w:fldCharType="separate"/>
      </w:r>
      <w:r>
        <w:rPr>
          <w:color w:val="auto"/>
        </w:rPr>
        <w:t>25</w:t>
      </w:r>
      <w:r>
        <w:rPr>
          <w:color w:val="auto"/>
        </w:rPr>
        <w:fldChar w:fldCharType="end"/>
      </w:r>
      <w:r>
        <w:rPr>
          <w:rFonts w:hint="eastAsia" w:ascii="宋体" w:hAnsi="宋体" w:eastAsia="宋体" w:cs="宋体"/>
          <w:color w:val="auto"/>
          <w:highlight w:val="none"/>
        </w:rPr>
        <w:fldChar w:fldCharType="end"/>
      </w:r>
    </w:p>
    <w:p>
      <w:pPr>
        <w:pStyle w:val="15"/>
        <w:tabs>
          <w:tab w:val="right" w:leader="dot" w:pos="9746"/>
        </w:tabs>
        <w:rPr>
          <w:color w:val="auto"/>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_Toc31501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5 开启响应文件</w:t>
      </w:r>
      <w:r>
        <w:rPr>
          <w:color w:val="auto"/>
        </w:rPr>
        <w:tab/>
      </w:r>
      <w:r>
        <w:rPr>
          <w:color w:val="auto"/>
        </w:rPr>
        <w:fldChar w:fldCharType="begin"/>
      </w:r>
      <w:r>
        <w:rPr>
          <w:color w:val="auto"/>
        </w:rPr>
        <w:instrText xml:space="preserve"> PAGEREF _Toc31501 \h </w:instrText>
      </w:r>
      <w:r>
        <w:rPr>
          <w:color w:val="auto"/>
        </w:rPr>
        <w:fldChar w:fldCharType="separate"/>
      </w:r>
      <w:r>
        <w:rPr>
          <w:color w:val="auto"/>
        </w:rPr>
        <w:t>25</w:t>
      </w:r>
      <w:r>
        <w:rPr>
          <w:color w:val="auto"/>
        </w:rPr>
        <w:fldChar w:fldCharType="end"/>
      </w:r>
      <w:r>
        <w:rPr>
          <w:rFonts w:hint="eastAsia" w:ascii="宋体" w:hAnsi="宋体" w:eastAsia="宋体" w:cs="宋体"/>
          <w:color w:val="auto"/>
          <w:highlight w:val="none"/>
        </w:rPr>
        <w:fldChar w:fldCharType="end"/>
      </w:r>
    </w:p>
    <w:p>
      <w:pPr>
        <w:pStyle w:val="15"/>
        <w:tabs>
          <w:tab w:val="right" w:leader="dot" w:pos="9746"/>
        </w:tabs>
        <w:rPr>
          <w:color w:val="auto"/>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_Toc3655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6 评审</w:t>
      </w:r>
      <w:r>
        <w:rPr>
          <w:color w:val="auto"/>
        </w:rPr>
        <w:tab/>
      </w:r>
      <w:r>
        <w:rPr>
          <w:color w:val="auto"/>
        </w:rPr>
        <w:fldChar w:fldCharType="begin"/>
      </w:r>
      <w:r>
        <w:rPr>
          <w:color w:val="auto"/>
        </w:rPr>
        <w:instrText xml:space="preserve"> PAGEREF _Toc3655 \h </w:instrText>
      </w:r>
      <w:r>
        <w:rPr>
          <w:color w:val="auto"/>
        </w:rPr>
        <w:fldChar w:fldCharType="separate"/>
      </w:r>
      <w:r>
        <w:rPr>
          <w:color w:val="auto"/>
        </w:rPr>
        <w:t>26</w:t>
      </w:r>
      <w:r>
        <w:rPr>
          <w:color w:val="auto"/>
        </w:rPr>
        <w:fldChar w:fldCharType="end"/>
      </w:r>
      <w:r>
        <w:rPr>
          <w:rFonts w:hint="eastAsia" w:ascii="宋体" w:hAnsi="宋体" w:eastAsia="宋体" w:cs="宋体"/>
          <w:color w:val="auto"/>
          <w:highlight w:val="none"/>
        </w:rPr>
        <w:fldChar w:fldCharType="end"/>
      </w:r>
    </w:p>
    <w:p>
      <w:pPr>
        <w:pStyle w:val="15"/>
        <w:tabs>
          <w:tab w:val="right" w:leader="dot" w:pos="9746"/>
        </w:tabs>
        <w:rPr>
          <w:color w:val="auto"/>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_Toc13400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7 合同授予</w:t>
      </w:r>
      <w:r>
        <w:rPr>
          <w:color w:val="auto"/>
        </w:rPr>
        <w:tab/>
      </w:r>
      <w:r>
        <w:rPr>
          <w:color w:val="auto"/>
        </w:rPr>
        <w:fldChar w:fldCharType="begin"/>
      </w:r>
      <w:r>
        <w:rPr>
          <w:color w:val="auto"/>
        </w:rPr>
        <w:instrText xml:space="preserve"> PAGEREF _Toc13400 \h </w:instrText>
      </w:r>
      <w:r>
        <w:rPr>
          <w:color w:val="auto"/>
        </w:rPr>
        <w:fldChar w:fldCharType="separate"/>
      </w:r>
      <w:r>
        <w:rPr>
          <w:color w:val="auto"/>
        </w:rPr>
        <w:t>27</w:t>
      </w:r>
      <w:r>
        <w:rPr>
          <w:color w:val="auto"/>
        </w:rPr>
        <w:fldChar w:fldCharType="end"/>
      </w:r>
      <w:r>
        <w:rPr>
          <w:rFonts w:hint="eastAsia" w:ascii="宋体" w:hAnsi="宋体" w:eastAsia="宋体" w:cs="宋体"/>
          <w:color w:val="auto"/>
          <w:highlight w:val="none"/>
        </w:rPr>
        <w:fldChar w:fldCharType="end"/>
      </w:r>
    </w:p>
    <w:p>
      <w:pPr>
        <w:pStyle w:val="15"/>
        <w:tabs>
          <w:tab w:val="right" w:leader="dot" w:pos="9746"/>
        </w:tabs>
        <w:rPr>
          <w:color w:val="auto"/>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_Toc22531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8 异议</w:t>
      </w:r>
      <w:r>
        <w:rPr>
          <w:color w:val="auto"/>
        </w:rPr>
        <w:tab/>
      </w:r>
      <w:r>
        <w:rPr>
          <w:color w:val="auto"/>
        </w:rPr>
        <w:fldChar w:fldCharType="begin"/>
      </w:r>
      <w:r>
        <w:rPr>
          <w:color w:val="auto"/>
        </w:rPr>
        <w:instrText xml:space="preserve"> PAGEREF _Toc22531 \h </w:instrText>
      </w:r>
      <w:r>
        <w:rPr>
          <w:color w:val="auto"/>
        </w:rPr>
        <w:fldChar w:fldCharType="separate"/>
      </w:r>
      <w:r>
        <w:rPr>
          <w:color w:val="auto"/>
        </w:rPr>
        <w:t>29</w:t>
      </w:r>
      <w:r>
        <w:rPr>
          <w:color w:val="auto"/>
        </w:rPr>
        <w:fldChar w:fldCharType="end"/>
      </w:r>
      <w:r>
        <w:rPr>
          <w:rFonts w:hint="eastAsia" w:ascii="宋体" w:hAnsi="宋体" w:eastAsia="宋体" w:cs="宋体"/>
          <w:color w:val="auto"/>
          <w:highlight w:val="none"/>
        </w:rPr>
        <w:fldChar w:fldCharType="end"/>
      </w:r>
    </w:p>
    <w:p>
      <w:pPr>
        <w:pStyle w:val="15"/>
        <w:tabs>
          <w:tab w:val="right" w:leader="dot" w:pos="9746"/>
        </w:tabs>
        <w:ind w:left="0" w:leftChars="0" w:firstLine="420" w:firstLineChars="200"/>
        <w:rPr>
          <w:color w:val="auto"/>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_Toc22394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9纪律要求</w:t>
      </w:r>
      <w:r>
        <w:rPr>
          <w:color w:val="auto"/>
        </w:rPr>
        <w:tab/>
      </w:r>
      <w:r>
        <w:rPr>
          <w:color w:val="auto"/>
        </w:rPr>
        <w:fldChar w:fldCharType="begin"/>
      </w:r>
      <w:r>
        <w:rPr>
          <w:color w:val="auto"/>
        </w:rPr>
        <w:instrText xml:space="preserve"> PAGEREF _Toc22394 \h </w:instrText>
      </w:r>
      <w:r>
        <w:rPr>
          <w:color w:val="auto"/>
        </w:rPr>
        <w:fldChar w:fldCharType="separate"/>
      </w:r>
      <w:r>
        <w:rPr>
          <w:color w:val="auto"/>
        </w:rPr>
        <w:t>29</w:t>
      </w:r>
      <w:r>
        <w:rPr>
          <w:color w:val="auto"/>
        </w:rPr>
        <w:fldChar w:fldCharType="end"/>
      </w:r>
      <w:r>
        <w:rPr>
          <w:rFonts w:hint="eastAsia" w:ascii="宋体" w:hAnsi="宋体" w:eastAsia="宋体" w:cs="宋体"/>
          <w:color w:val="auto"/>
          <w:highlight w:val="none"/>
        </w:rPr>
        <w:fldChar w:fldCharType="end"/>
      </w:r>
    </w:p>
    <w:p>
      <w:pPr>
        <w:pStyle w:val="15"/>
        <w:tabs>
          <w:tab w:val="right" w:leader="dot" w:pos="9746"/>
        </w:tabs>
        <w:rPr>
          <w:color w:val="auto"/>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_Toc14215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10 需要补充的其他内容</w:t>
      </w:r>
      <w:r>
        <w:rPr>
          <w:color w:val="auto"/>
        </w:rPr>
        <w:tab/>
      </w:r>
      <w:r>
        <w:rPr>
          <w:color w:val="auto"/>
        </w:rPr>
        <w:fldChar w:fldCharType="begin"/>
      </w:r>
      <w:r>
        <w:rPr>
          <w:color w:val="auto"/>
        </w:rPr>
        <w:instrText xml:space="preserve"> PAGEREF _Toc14215 \h </w:instrText>
      </w:r>
      <w:r>
        <w:rPr>
          <w:color w:val="auto"/>
        </w:rPr>
        <w:fldChar w:fldCharType="separate"/>
      </w:r>
      <w:r>
        <w:rPr>
          <w:color w:val="auto"/>
        </w:rPr>
        <w:t>30</w:t>
      </w:r>
      <w:r>
        <w:rPr>
          <w:color w:val="auto"/>
        </w:rPr>
        <w:fldChar w:fldCharType="end"/>
      </w:r>
      <w:r>
        <w:rPr>
          <w:rFonts w:hint="eastAsia" w:ascii="宋体" w:hAnsi="宋体" w:eastAsia="宋体" w:cs="宋体"/>
          <w:color w:val="auto"/>
          <w:highlight w:val="none"/>
        </w:rPr>
        <w:fldChar w:fldCharType="end"/>
      </w:r>
    </w:p>
    <w:p>
      <w:pPr>
        <w:pStyle w:val="13"/>
        <w:tabs>
          <w:tab w:val="right" w:leader="dot" w:pos="9746"/>
        </w:tabs>
        <w:rPr>
          <w:color w:val="auto"/>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_Toc24510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第三章  评审办法</w:t>
      </w:r>
      <w:r>
        <w:rPr>
          <w:color w:val="auto"/>
        </w:rPr>
        <w:tab/>
      </w:r>
      <w:r>
        <w:rPr>
          <w:color w:val="auto"/>
        </w:rPr>
        <w:fldChar w:fldCharType="begin"/>
      </w:r>
      <w:r>
        <w:rPr>
          <w:color w:val="auto"/>
        </w:rPr>
        <w:instrText xml:space="preserve"> PAGEREF _Toc24510 \h </w:instrText>
      </w:r>
      <w:r>
        <w:rPr>
          <w:color w:val="auto"/>
        </w:rPr>
        <w:fldChar w:fldCharType="separate"/>
      </w:r>
      <w:r>
        <w:rPr>
          <w:color w:val="auto"/>
        </w:rPr>
        <w:t>36</w:t>
      </w:r>
      <w:r>
        <w:rPr>
          <w:color w:val="auto"/>
        </w:rPr>
        <w:fldChar w:fldCharType="end"/>
      </w:r>
      <w:r>
        <w:rPr>
          <w:rFonts w:hint="eastAsia" w:ascii="宋体" w:hAnsi="宋体" w:eastAsia="宋体" w:cs="宋体"/>
          <w:color w:val="auto"/>
          <w:highlight w:val="none"/>
        </w:rPr>
        <w:fldChar w:fldCharType="end"/>
      </w:r>
    </w:p>
    <w:p>
      <w:pPr>
        <w:pStyle w:val="13"/>
        <w:tabs>
          <w:tab w:val="right" w:leader="dot" w:pos="9746"/>
        </w:tabs>
        <w:rPr>
          <w:color w:val="auto"/>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_Toc18296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第四章  合同条款及格式</w:t>
      </w:r>
      <w:r>
        <w:rPr>
          <w:color w:val="auto"/>
        </w:rPr>
        <w:tab/>
      </w:r>
      <w:r>
        <w:rPr>
          <w:color w:val="auto"/>
        </w:rPr>
        <w:fldChar w:fldCharType="begin"/>
      </w:r>
      <w:r>
        <w:rPr>
          <w:color w:val="auto"/>
        </w:rPr>
        <w:instrText xml:space="preserve"> PAGEREF _Toc18296 \h </w:instrText>
      </w:r>
      <w:r>
        <w:rPr>
          <w:color w:val="auto"/>
        </w:rPr>
        <w:fldChar w:fldCharType="separate"/>
      </w:r>
      <w:r>
        <w:rPr>
          <w:color w:val="auto"/>
        </w:rPr>
        <w:t>50</w:t>
      </w:r>
      <w:r>
        <w:rPr>
          <w:color w:val="auto"/>
        </w:rPr>
        <w:fldChar w:fldCharType="end"/>
      </w:r>
      <w:r>
        <w:rPr>
          <w:rFonts w:hint="eastAsia" w:ascii="宋体" w:hAnsi="宋体" w:eastAsia="宋体" w:cs="宋体"/>
          <w:color w:val="auto"/>
          <w:highlight w:val="none"/>
        </w:rPr>
        <w:fldChar w:fldCharType="end"/>
      </w:r>
    </w:p>
    <w:p>
      <w:pPr>
        <w:pStyle w:val="9"/>
        <w:tabs>
          <w:tab w:val="right" w:leader="dot" w:pos="9746"/>
        </w:tabs>
        <w:rPr>
          <w:color w:val="auto"/>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_Toc7471 </w:instrText>
      </w:r>
      <w:r>
        <w:rPr>
          <w:rFonts w:hint="eastAsia" w:ascii="宋体" w:hAnsi="宋体" w:eastAsia="宋体" w:cs="宋体"/>
          <w:color w:val="auto"/>
          <w:highlight w:val="none"/>
        </w:rPr>
        <w:fldChar w:fldCharType="separate"/>
      </w:r>
      <w:r>
        <w:rPr>
          <w:rFonts w:hint="eastAsia"/>
          <w:color w:val="auto"/>
          <w:kern w:val="2"/>
          <w:highlight w:val="none"/>
          <w:lang w:val="en-US" w:eastAsia="zh-CN" w:bidi="ar-SA"/>
        </w:rPr>
        <w:t>第一节</w:t>
      </w:r>
      <w:r>
        <w:rPr>
          <w:color w:val="auto"/>
          <w:kern w:val="2"/>
          <w:highlight w:val="none"/>
          <w:lang w:val="en-US" w:eastAsia="zh-CN" w:bidi="ar-SA"/>
        </w:rPr>
        <w:t xml:space="preserve">    </w:t>
      </w:r>
      <w:r>
        <w:rPr>
          <w:rFonts w:hint="eastAsia"/>
          <w:color w:val="auto"/>
          <w:kern w:val="2"/>
          <w:highlight w:val="none"/>
          <w:lang w:val="en-US" w:eastAsia="zh-CN" w:bidi="ar-SA"/>
        </w:rPr>
        <w:t>通用合同条款</w:t>
      </w:r>
      <w:r>
        <w:rPr>
          <w:color w:val="auto"/>
        </w:rPr>
        <w:tab/>
      </w:r>
      <w:r>
        <w:rPr>
          <w:color w:val="auto"/>
        </w:rPr>
        <w:fldChar w:fldCharType="begin"/>
      </w:r>
      <w:r>
        <w:rPr>
          <w:color w:val="auto"/>
        </w:rPr>
        <w:instrText xml:space="preserve"> PAGEREF _Toc7471 \h </w:instrText>
      </w:r>
      <w:r>
        <w:rPr>
          <w:color w:val="auto"/>
        </w:rPr>
        <w:fldChar w:fldCharType="separate"/>
      </w:r>
      <w:r>
        <w:rPr>
          <w:color w:val="auto"/>
        </w:rPr>
        <w:t>54</w:t>
      </w:r>
      <w:r>
        <w:rPr>
          <w:color w:val="auto"/>
        </w:rPr>
        <w:fldChar w:fldCharType="end"/>
      </w:r>
      <w:r>
        <w:rPr>
          <w:rFonts w:hint="eastAsia" w:ascii="宋体" w:hAnsi="宋体" w:eastAsia="宋体" w:cs="宋体"/>
          <w:color w:val="auto"/>
          <w:highlight w:val="none"/>
        </w:rPr>
        <w:fldChar w:fldCharType="end"/>
      </w:r>
    </w:p>
    <w:p>
      <w:pPr>
        <w:pStyle w:val="9"/>
        <w:tabs>
          <w:tab w:val="right" w:leader="dot" w:pos="9746"/>
        </w:tabs>
        <w:rPr>
          <w:color w:val="auto"/>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_Toc13108 </w:instrText>
      </w:r>
      <w:r>
        <w:rPr>
          <w:rFonts w:hint="eastAsia" w:ascii="宋体" w:hAnsi="宋体" w:eastAsia="宋体" w:cs="宋体"/>
          <w:color w:val="auto"/>
          <w:highlight w:val="none"/>
        </w:rPr>
        <w:fldChar w:fldCharType="separate"/>
      </w:r>
      <w:r>
        <w:rPr>
          <w:color w:val="auto"/>
          <w:kern w:val="2"/>
          <w:highlight w:val="none"/>
          <w:lang w:val="en-US" w:eastAsia="zh-CN" w:bidi="ar-SA"/>
        </w:rPr>
        <w:t>第</w:t>
      </w:r>
      <w:r>
        <w:rPr>
          <w:rFonts w:hint="eastAsia"/>
          <w:color w:val="auto"/>
          <w:kern w:val="2"/>
          <w:highlight w:val="none"/>
          <w:lang w:val="en-US" w:eastAsia="zh-CN" w:bidi="ar-SA"/>
        </w:rPr>
        <w:t>二</w:t>
      </w:r>
      <w:r>
        <w:rPr>
          <w:color w:val="auto"/>
          <w:kern w:val="2"/>
          <w:highlight w:val="none"/>
          <w:lang w:val="en-US" w:eastAsia="zh-CN" w:bidi="ar-SA"/>
        </w:rPr>
        <w:t>节专用合同条款</w:t>
      </w:r>
      <w:r>
        <w:rPr>
          <w:color w:val="auto"/>
        </w:rPr>
        <w:tab/>
      </w:r>
      <w:r>
        <w:rPr>
          <w:color w:val="auto"/>
        </w:rPr>
        <w:fldChar w:fldCharType="begin"/>
      </w:r>
      <w:r>
        <w:rPr>
          <w:color w:val="auto"/>
        </w:rPr>
        <w:instrText xml:space="preserve"> PAGEREF _Toc13108 \h </w:instrText>
      </w:r>
      <w:r>
        <w:rPr>
          <w:color w:val="auto"/>
        </w:rPr>
        <w:fldChar w:fldCharType="separate"/>
      </w:r>
      <w:r>
        <w:rPr>
          <w:color w:val="auto"/>
        </w:rPr>
        <w:t>96</w:t>
      </w:r>
      <w:r>
        <w:rPr>
          <w:color w:val="auto"/>
        </w:rPr>
        <w:fldChar w:fldCharType="end"/>
      </w:r>
      <w:r>
        <w:rPr>
          <w:rFonts w:hint="eastAsia" w:ascii="宋体" w:hAnsi="宋体" w:eastAsia="宋体" w:cs="宋体"/>
          <w:color w:val="auto"/>
          <w:highlight w:val="none"/>
        </w:rPr>
        <w:fldChar w:fldCharType="end"/>
      </w:r>
    </w:p>
    <w:p>
      <w:pPr>
        <w:pStyle w:val="9"/>
        <w:tabs>
          <w:tab w:val="right" w:leader="dot" w:pos="9746"/>
        </w:tabs>
        <w:rPr>
          <w:color w:val="auto"/>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_Toc5464 </w:instrText>
      </w:r>
      <w:r>
        <w:rPr>
          <w:rFonts w:hint="eastAsia" w:ascii="宋体" w:hAnsi="宋体" w:eastAsia="宋体" w:cs="宋体"/>
          <w:color w:val="auto"/>
          <w:highlight w:val="none"/>
        </w:rPr>
        <w:fldChar w:fldCharType="separate"/>
      </w:r>
      <w:r>
        <w:rPr>
          <w:color w:val="auto"/>
          <w:kern w:val="2"/>
          <w:szCs w:val="24"/>
          <w:highlight w:val="none"/>
          <w:lang w:val="en-US" w:eastAsia="zh-CN" w:bidi="ar-SA"/>
        </w:rPr>
        <w:t>第</w:t>
      </w:r>
      <w:r>
        <w:rPr>
          <w:rFonts w:hint="eastAsia"/>
          <w:color w:val="auto"/>
          <w:kern w:val="2"/>
          <w:szCs w:val="24"/>
          <w:highlight w:val="none"/>
          <w:lang w:val="en-US" w:eastAsia="zh-CN" w:bidi="ar-SA"/>
        </w:rPr>
        <w:t>三</w:t>
      </w:r>
      <w:r>
        <w:rPr>
          <w:color w:val="auto"/>
          <w:kern w:val="2"/>
          <w:szCs w:val="24"/>
          <w:highlight w:val="none"/>
          <w:lang w:val="en-US" w:eastAsia="zh-CN" w:bidi="ar-SA"/>
        </w:rPr>
        <w:t>节合同附件格式</w:t>
      </w:r>
      <w:r>
        <w:rPr>
          <w:color w:val="auto"/>
        </w:rPr>
        <w:tab/>
      </w:r>
      <w:r>
        <w:rPr>
          <w:color w:val="auto"/>
        </w:rPr>
        <w:fldChar w:fldCharType="begin"/>
      </w:r>
      <w:r>
        <w:rPr>
          <w:color w:val="auto"/>
        </w:rPr>
        <w:instrText xml:space="preserve"> PAGEREF _Toc5464 \h </w:instrText>
      </w:r>
      <w:r>
        <w:rPr>
          <w:color w:val="auto"/>
        </w:rPr>
        <w:fldChar w:fldCharType="separate"/>
      </w:r>
      <w:r>
        <w:rPr>
          <w:color w:val="auto"/>
        </w:rPr>
        <w:t>105</w:t>
      </w:r>
      <w:r>
        <w:rPr>
          <w:color w:val="auto"/>
        </w:rPr>
        <w:fldChar w:fldCharType="end"/>
      </w:r>
      <w:r>
        <w:rPr>
          <w:rFonts w:hint="eastAsia" w:ascii="宋体" w:hAnsi="宋体" w:eastAsia="宋体" w:cs="宋体"/>
          <w:color w:val="auto"/>
          <w:highlight w:val="none"/>
        </w:rPr>
        <w:fldChar w:fldCharType="end"/>
      </w:r>
    </w:p>
    <w:p>
      <w:pPr>
        <w:pStyle w:val="13"/>
        <w:tabs>
          <w:tab w:val="right" w:leader="dot" w:pos="9746"/>
        </w:tabs>
        <w:rPr>
          <w:color w:val="auto"/>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_Toc13856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第五章  采购需求</w:t>
      </w:r>
      <w:r>
        <w:rPr>
          <w:color w:val="auto"/>
        </w:rPr>
        <w:tab/>
      </w:r>
      <w:r>
        <w:rPr>
          <w:color w:val="auto"/>
        </w:rPr>
        <w:fldChar w:fldCharType="begin"/>
      </w:r>
      <w:r>
        <w:rPr>
          <w:color w:val="auto"/>
        </w:rPr>
        <w:instrText xml:space="preserve"> PAGEREF _Toc13856 \h </w:instrText>
      </w:r>
      <w:r>
        <w:rPr>
          <w:color w:val="auto"/>
        </w:rPr>
        <w:fldChar w:fldCharType="separate"/>
      </w:r>
      <w:r>
        <w:rPr>
          <w:color w:val="auto"/>
        </w:rPr>
        <w:t>106</w:t>
      </w:r>
      <w:r>
        <w:rPr>
          <w:color w:val="auto"/>
        </w:rPr>
        <w:fldChar w:fldCharType="end"/>
      </w:r>
      <w:r>
        <w:rPr>
          <w:rFonts w:hint="eastAsia" w:ascii="宋体" w:hAnsi="宋体" w:eastAsia="宋体" w:cs="宋体"/>
          <w:color w:val="auto"/>
          <w:highlight w:val="none"/>
        </w:rPr>
        <w:fldChar w:fldCharType="end"/>
      </w:r>
    </w:p>
    <w:p>
      <w:pPr>
        <w:pStyle w:val="13"/>
        <w:tabs>
          <w:tab w:val="right" w:leader="dot" w:pos="9746"/>
        </w:tabs>
        <w:rPr>
          <w:color w:val="auto"/>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_Toc13425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第六章  响应文件格式</w:t>
      </w:r>
      <w:r>
        <w:rPr>
          <w:color w:val="auto"/>
        </w:rPr>
        <w:tab/>
      </w:r>
      <w:r>
        <w:rPr>
          <w:color w:val="auto"/>
        </w:rPr>
        <w:fldChar w:fldCharType="begin"/>
      </w:r>
      <w:r>
        <w:rPr>
          <w:color w:val="auto"/>
        </w:rPr>
        <w:instrText xml:space="preserve"> PAGEREF _Toc13425 \h </w:instrText>
      </w:r>
      <w:r>
        <w:rPr>
          <w:color w:val="auto"/>
        </w:rPr>
        <w:fldChar w:fldCharType="separate"/>
      </w:r>
      <w:r>
        <w:rPr>
          <w:color w:val="auto"/>
        </w:rPr>
        <w:t>108</w:t>
      </w:r>
      <w:r>
        <w:rPr>
          <w:color w:val="auto"/>
        </w:rPr>
        <w:fldChar w:fldCharType="end"/>
      </w:r>
      <w:r>
        <w:rPr>
          <w:rFonts w:hint="eastAsia" w:ascii="宋体" w:hAnsi="宋体" w:eastAsia="宋体" w:cs="宋体"/>
          <w:color w:val="auto"/>
          <w:highlight w:val="none"/>
        </w:rPr>
        <w:fldChar w:fldCharType="end"/>
      </w:r>
    </w:p>
    <w:p>
      <w:pPr>
        <w:pStyle w:val="15"/>
        <w:tabs>
          <w:tab w:val="right" w:leader="dot" w:pos="9746"/>
        </w:tabs>
        <w:rPr>
          <w:color w:val="auto"/>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_Toc263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目录</w:t>
      </w:r>
      <w:r>
        <w:rPr>
          <w:color w:val="auto"/>
        </w:rPr>
        <w:tab/>
      </w:r>
      <w:r>
        <w:rPr>
          <w:color w:val="auto"/>
        </w:rPr>
        <w:fldChar w:fldCharType="begin"/>
      </w:r>
      <w:r>
        <w:rPr>
          <w:color w:val="auto"/>
        </w:rPr>
        <w:instrText xml:space="preserve"> PAGEREF _Toc263 \h </w:instrText>
      </w:r>
      <w:r>
        <w:rPr>
          <w:color w:val="auto"/>
        </w:rPr>
        <w:fldChar w:fldCharType="separate"/>
      </w:r>
      <w:r>
        <w:rPr>
          <w:color w:val="auto"/>
        </w:rPr>
        <w:t>110</w:t>
      </w:r>
      <w:r>
        <w:rPr>
          <w:color w:val="auto"/>
        </w:rPr>
        <w:fldChar w:fldCharType="end"/>
      </w:r>
      <w:r>
        <w:rPr>
          <w:rFonts w:hint="eastAsia" w:ascii="宋体" w:hAnsi="宋体" w:eastAsia="宋体" w:cs="宋体"/>
          <w:color w:val="auto"/>
          <w:highlight w:val="none"/>
        </w:rPr>
        <w:fldChar w:fldCharType="end"/>
      </w:r>
    </w:p>
    <w:p>
      <w:pPr>
        <w:pStyle w:val="15"/>
        <w:tabs>
          <w:tab w:val="right" w:leader="dot" w:pos="9746"/>
        </w:tabs>
        <w:rPr>
          <w:color w:val="auto"/>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_Toc15691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w:t>
      </w:r>
      <w:r>
        <w:rPr>
          <w:rFonts w:hint="eastAsia" w:ascii="黑体" w:hAnsi="黑体" w:eastAsia="黑体" w:cs="黑体"/>
          <w:color w:val="auto"/>
          <w:highlight w:val="none"/>
          <w:lang w:eastAsia="zh-CN"/>
        </w:rPr>
        <w:t>响应</w:t>
      </w:r>
      <w:r>
        <w:rPr>
          <w:rFonts w:ascii="黑体" w:hAnsi="黑体" w:eastAsia="黑体" w:cs="黑体"/>
          <w:color w:val="auto"/>
          <w:highlight w:val="none"/>
        </w:rPr>
        <w:t>函及投标函附录</w:t>
      </w:r>
      <w:r>
        <w:rPr>
          <w:color w:val="auto"/>
        </w:rPr>
        <w:tab/>
      </w:r>
      <w:r>
        <w:rPr>
          <w:color w:val="auto"/>
        </w:rPr>
        <w:fldChar w:fldCharType="begin"/>
      </w:r>
      <w:r>
        <w:rPr>
          <w:color w:val="auto"/>
        </w:rPr>
        <w:instrText xml:space="preserve"> PAGEREF _Toc15691 \h </w:instrText>
      </w:r>
      <w:r>
        <w:rPr>
          <w:color w:val="auto"/>
        </w:rPr>
        <w:fldChar w:fldCharType="separate"/>
      </w:r>
      <w:r>
        <w:rPr>
          <w:color w:val="auto"/>
        </w:rPr>
        <w:t>111</w:t>
      </w:r>
      <w:r>
        <w:rPr>
          <w:color w:val="auto"/>
        </w:rPr>
        <w:fldChar w:fldCharType="end"/>
      </w:r>
      <w:r>
        <w:rPr>
          <w:rFonts w:hint="eastAsia" w:ascii="宋体" w:hAnsi="宋体" w:eastAsia="宋体" w:cs="宋体"/>
          <w:color w:val="auto"/>
          <w:highlight w:val="none"/>
        </w:rPr>
        <w:fldChar w:fldCharType="end"/>
      </w:r>
    </w:p>
    <w:p>
      <w:pPr>
        <w:pStyle w:val="15"/>
        <w:tabs>
          <w:tab w:val="right" w:leader="dot" w:pos="9746"/>
        </w:tabs>
        <w:rPr>
          <w:color w:val="auto"/>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_Toc6939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二、授权委托书</w:t>
      </w:r>
      <w:r>
        <w:rPr>
          <w:color w:val="auto"/>
        </w:rPr>
        <w:tab/>
      </w:r>
      <w:r>
        <w:rPr>
          <w:color w:val="auto"/>
        </w:rPr>
        <w:fldChar w:fldCharType="begin"/>
      </w:r>
      <w:r>
        <w:rPr>
          <w:color w:val="auto"/>
        </w:rPr>
        <w:instrText xml:space="preserve"> PAGEREF _Toc6939 \h </w:instrText>
      </w:r>
      <w:r>
        <w:rPr>
          <w:color w:val="auto"/>
        </w:rPr>
        <w:fldChar w:fldCharType="separate"/>
      </w:r>
      <w:r>
        <w:rPr>
          <w:color w:val="auto"/>
        </w:rPr>
        <w:t>113</w:t>
      </w:r>
      <w:r>
        <w:rPr>
          <w:color w:val="auto"/>
        </w:rPr>
        <w:fldChar w:fldCharType="end"/>
      </w:r>
      <w:r>
        <w:rPr>
          <w:rFonts w:hint="eastAsia" w:ascii="宋体" w:hAnsi="宋体" w:eastAsia="宋体" w:cs="宋体"/>
          <w:color w:val="auto"/>
          <w:highlight w:val="none"/>
        </w:rPr>
        <w:fldChar w:fldCharType="end"/>
      </w:r>
    </w:p>
    <w:p>
      <w:pPr>
        <w:pStyle w:val="15"/>
        <w:tabs>
          <w:tab w:val="right" w:leader="dot" w:pos="9746"/>
        </w:tabs>
        <w:rPr>
          <w:color w:val="auto"/>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_Toc8132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三、联合体协议书</w:t>
      </w:r>
      <w:r>
        <w:rPr>
          <w:rFonts w:hint="eastAsia" w:ascii="宋体" w:hAnsi="宋体" w:eastAsia="宋体" w:cs="宋体"/>
          <w:color w:val="auto"/>
          <w:highlight w:val="none"/>
          <w:lang w:eastAsia="zh-CN"/>
        </w:rPr>
        <w:t>（本项目不适用）</w:t>
      </w:r>
      <w:r>
        <w:rPr>
          <w:color w:val="auto"/>
        </w:rPr>
        <w:tab/>
      </w:r>
      <w:r>
        <w:rPr>
          <w:color w:val="auto"/>
        </w:rPr>
        <w:fldChar w:fldCharType="begin"/>
      </w:r>
      <w:r>
        <w:rPr>
          <w:color w:val="auto"/>
        </w:rPr>
        <w:instrText xml:space="preserve"> PAGEREF _Toc8132 \h </w:instrText>
      </w:r>
      <w:r>
        <w:rPr>
          <w:color w:val="auto"/>
        </w:rPr>
        <w:fldChar w:fldCharType="separate"/>
      </w:r>
      <w:r>
        <w:rPr>
          <w:color w:val="auto"/>
        </w:rPr>
        <w:t>114</w:t>
      </w:r>
      <w:r>
        <w:rPr>
          <w:color w:val="auto"/>
        </w:rPr>
        <w:fldChar w:fldCharType="end"/>
      </w:r>
      <w:r>
        <w:rPr>
          <w:rFonts w:hint="eastAsia" w:ascii="宋体" w:hAnsi="宋体" w:eastAsia="宋体" w:cs="宋体"/>
          <w:color w:val="auto"/>
          <w:highlight w:val="none"/>
        </w:rPr>
        <w:fldChar w:fldCharType="end"/>
      </w:r>
    </w:p>
    <w:p>
      <w:pPr>
        <w:pStyle w:val="13"/>
        <w:tabs>
          <w:tab w:val="right" w:leader="dot" w:pos="9746"/>
        </w:tabs>
        <w:rPr>
          <w:color w:val="auto"/>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_Toc30124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（适用于</w:t>
      </w:r>
      <w:r>
        <w:rPr>
          <w:rFonts w:hint="eastAsia" w:ascii="宋体" w:hAnsi="宋体" w:eastAsia="宋体" w:cs="宋体"/>
          <w:color w:val="auto"/>
          <w:highlight w:val="none"/>
          <w:lang w:eastAsia="zh-CN"/>
        </w:rPr>
        <w:t>投标人</w:t>
      </w:r>
      <w:r>
        <w:rPr>
          <w:rFonts w:hint="eastAsia" w:ascii="宋体" w:hAnsi="宋体" w:eastAsia="宋体" w:cs="宋体"/>
          <w:color w:val="auto"/>
          <w:highlight w:val="none"/>
        </w:rPr>
        <w:t>组成联合体的情况）</w:t>
      </w:r>
      <w:r>
        <w:rPr>
          <w:color w:val="auto"/>
        </w:rPr>
        <w:tab/>
      </w:r>
      <w:r>
        <w:rPr>
          <w:color w:val="auto"/>
        </w:rPr>
        <w:fldChar w:fldCharType="begin"/>
      </w:r>
      <w:r>
        <w:rPr>
          <w:color w:val="auto"/>
        </w:rPr>
        <w:instrText xml:space="preserve"> PAGEREF _Toc30124 \h </w:instrText>
      </w:r>
      <w:r>
        <w:rPr>
          <w:color w:val="auto"/>
        </w:rPr>
        <w:fldChar w:fldCharType="separate"/>
      </w:r>
      <w:r>
        <w:rPr>
          <w:color w:val="auto"/>
        </w:rPr>
        <w:t>114</w:t>
      </w:r>
      <w:r>
        <w:rPr>
          <w:color w:val="auto"/>
        </w:rPr>
        <w:fldChar w:fldCharType="end"/>
      </w:r>
      <w:r>
        <w:rPr>
          <w:rFonts w:hint="eastAsia" w:ascii="宋体" w:hAnsi="宋体" w:eastAsia="宋体" w:cs="宋体"/>
          <w:color w:val="auto"/>
          <w:highlight w:val="none"/>
        </w:rPr>
        <w:fldChar w:fldCharType="end"/>
      </w:r>
    </w:p>
    <w:p>
      <w:pPr>
        <w:pStyle w:val="15"/>
        <w:tabs>
          <w:tab w:val="right" w:leader="dot" w:pos="9746"/>
        </w:tabs>
        <w:rPr>
          <w:color w:val="auto"/>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_Toc19901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四、响应保证金</w:t>
      </w:r>
      <w:r>
        <w:rPr>
          <w:color w:val="auto"/>
        </w:rPr>
        <w:tab/>
      </w:r>
      <w:r>
        <w:rPr>
          <w:color w:val="auto"/>
        </w:rPr>
        <w:fldChar w:fldCharType="begin"/>
      </w:r>
      <w:r>
        <w:rPr>
          <w:color w:val="auto"/>
        </w:rPr>
        <w:instrText xml:space="preserve"> PAGEREF _Toc19901 \h </w:instrText>
      </w:r>
      <w:r>
        <w:rPr>
          <w:color w:val="auto"/>
        </w:rPr>
        <w:fldChar w:fldCharType="separate"/>
      </w:r>
      <w:r>
        <w:rPr>
          <w:color w:val="auto"/>
        </w:rPr>
        <w:t>115</w:t>
      </w:r>
      <w:r>
        <w:rPr>
          <w:color w:val="auto"/>
        </w:rPr>
        <w:fldChar w:fldCharType="end"/>
      </w:r>
      <w:r>
        <w:rPr>
          <w:rFonts w:hint="eastAsia" w:ascii="宋体" w:hAnsi="宋体" w:eastAsia="宋体" w:cs="宋体"/>
          <w:color w:val="auto"/>
          <w:highlight w:val="none"/>
        </w:rPr>
        <w:fldChar w:fldCharType="end"/>
      </w:r>
    </w:p>
    <w:p>
      <w:pPr>
        <w:pStyle w:val="15"/>
        <w:tabs>
          <w:tab w:val="right" w:leader="dot" w:pos="9746"/>
        </w:tabs>
        <w:rPr>
          <w:color w:val="auto"/>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_Toc26592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五、商务和技术偏差表</w:t>
      </w:r>
      <w:r>
        <w:rPr>
          <w:color w:val="auto"/>
        </w:rPr>
        <w:tab/>
      </w:r>
      <w:r>
        <w:rPr>
          <w:color w:val="auto"/>
        </w:rPr>
        <w:fldChar w:fldCharType="begin"/>
      </w:r>
      <w:r>
        <w:rPr>
          <w:color w:val="auto"/>
        </w:rPr>
        <w:instrText xml:space="preserve"> PAGEREF _Toc26592 \h </w:instrText>
      </w:r>
      <w:r>
        <w:rPr>
          <w:color w:val="auto"/>
        </w:rPr>
        <w:fldChar w:fldCharType="separate"/>
      </w:r>
      <w:r>
        <w:rPr>
          <w:color w:val="auto"/>
        </w:rPr>
        <w:t>116</w:t>
      </w:r>
      <w:r>
        <w:rPr>
          <w:color w:val="auto"/>
        </w:rPr>
        <w:fldChar w:fldCharType="end"/>
      </w:r>
      <w:r>
        <w:rPr>
          <w:rFonts w:hint="eastAsia" w:ascii="宋体" w:hAnsi="宋体" w:eastAsia="宋体" w:cs="宋体"/>
          <w:color w:val="auto"/>
          <w:highlight w:val="none"/>
        </w:rPr>
        <w:fldChar w:fldCharType="end"/>
      </w:r>
    </w:p>
    <w:p>
      <w:pPr>
        <w:pStyle w:val="15"/>
        <w:tabs>
          <w:tab w:val="right" w:leader="dot" w:pos="9746"/>
        </w:tabs>
        <w:rPr>
          <w:color w:val="auto"/>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_Toc25440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六、报价表（A）</w:t>
      </w:r>
      <w:r>
        <w:rPr>
          <w:color w:val="auto"/>
        </w:rPr>
        <w:tab/>
      </w:r>
      <w:r>
        <w:rPr>
          <w:color w:val="auto"/>
        </w:rPr>
        <w:fldChar w:fldCharType="begin"/>
      </w:r>
      <w:r>
        <w:rPr>
          <w:color w:val="auto"/>
        </w:rPr>
        <w:instrText xml:space="preserve"> PAGEREF _Toc25440 \h </w:instrText>
      </w:r>
      <w:r>
        <w:rPr>
          <w:color w:val="auto"/>
        </w:rPr>
        <w:fldChar w:fldCharType="separate"/>
      </w:r>
      <w:r>
        <w:rPr>
          <w:color w:val="auto"/>
        </w:rPr>
        <w:t>117</w:t>
      </w:r>
      <w:r>
        <w:rPr>
          <w:color w:val="auto"/>
        </w:rPr>
        <w:fldChar w:fldCharType="end"/>
      </w:r>
      <w:r>
        <w:rPr>
          <w:rFonts w:hint="eastAsia" w:ascii="宋体" w:hAnsi="宋体" w:eastAsia="宋体" w:cs="宋体"/>
          <w:color w:val="auto"/>
          <w:highlight w:val="none"/>
        </w:rPr>
        <w:fldChar w:fldCharType="end"/>
      </w:r>
    </w:p>
    <w:p>
      <w:pPr>
        <w:pStyle w:val="15"/>
        <w:tabs>
          <w:tab w:val="right" w:leader="dot" w:pos="9746"/>
        </w:tabs>
        <w:rPr>
          <w:color w:val="auto"/>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_Toc16469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七、资格审查资料(A)</w:t>
      </w:r>
      <w:r>
        <w:rPr>
          <w:color w:val="auto"/>
        </w:rPr>
        <w:tab/>
      </w:r>
      <w:r>
        <w:rPr>
          <w:color w:val="auto"/>
        </w:rPr>
        <w:fldChar w:fldCharType="begin"/>
      </w:r>
      <w:r>
        <w:rPr>
          <w:color w:val="auto"/>
        </w:rPr>
        <w:instrText xml:space="preserve"> PAGEREF _Toc16469 \h </w:instrText>
      </w:r>
      <w:r>
        <w:rPr>
          <w:color w:val="auto"/>
        </w:rPr>
        <w:fldChar w:fldCharType="separate"/>
      </w:r>
      <w:r>
        <w:rPr>
          <w:color w:val="auto"/>
        </w:rPr>
        <w:t>118</w:t>
      </w:r>
      <w:r>
        <w:rPr>
          <w:color w:val="auto"/>
        </w:rPr>
        <w:fldChar w:fldCharType="end"/>
      </w:r>
      <w:r>
        <w:rPr>
          <w:rFonts w:hint="eastAsia" w:ascii="宋体" w:hAnsi="宋体" w:eastAsia="宋体" w:cs="宋体"/>
          <w:color w:val="auto"/>
          <w:highlight w:val="none"/>
        </w:rPr>
        <w:fldChar w:fldCharType="end"/>
      </w:r>
    </w:p>
    <w:p>
      <w:pPr>
        <w:pStyle w:val="9"/>
        <w:tabs>
          <w:tab w:val="right" w:leader="dot" w:pos="9746"/>
        </w:tabs>
        <w:rPr>
          <w:color w:val="auto"/>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_Toc29578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（一）基本情况</w:t>
      </w:r>
      <w:r>
        <w:rPr>
          <w:color w:val="auto"/>
        </w:rPr>
        <w:tab/>
      </w:r>
      <w:r>
        <w:rPr>
          <w:color w:val="auto"/>
        </w:rPr>
        <w:fldChar w:fldCharType="begin"/>
      </w:r>
      <w:r>
        <w:rPr>
          <w:color w:val="auto"/>
        </w:rPr>
        <w:instrText xml:space="preserve"> PAGEREF _Toc29578 \h </w:instrText>
      </w:r>
      <w:r>
        <w:rPr>
          <w:color w:val="auto"/>
        </w:rPr>
        <w:fldChar w:fldCharType="separate"/>
      </w:r>
      <w:r>
        <w:rPr>
          <w:color w:val="auto"/>
        </w:rPr>
        <w:t>118</w:t>
      </w:r>
      <w:r>
        <w:rPr>
          <w:color w:val="auto"/>
        </w:rPr>
        <w:fldChar w:fldCharType="end"/>
      </w:r>
      <w:r>
        <w:rPr>
          <w:rFonts w:hint="eastAsia" w:ascii="宋体" w:hAnsi="宋体" w:eastAsia="宋体" w:cs="宋体"/>
          <w:color w:val="auto"/>
          <w:highlight w:val="none"/>
        </w:rPr>
        <w:fldChar w:fldCharType="end"/>
      </w:r>
    </w:p>
    <w:p>
      <w:pPr>
        <w:pStyle w:val="9"/>
        <w:tabs>
          <w:tab w:val="right" w:leader="dot" w:pos="9746"/>
        </w:tabs>
        <w:rPr>
          <w:color w:val="auto"/>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_Toc4699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（二）近年财务状况</w:t>
      </w:r>
      <w:r>
        <w:rPr>
          <w:color w:val="auto"/>
        </w:rPr>
        <w:tab/>
      </w:r>
      <w:r>
        <w:rPr>
          <w:color w:val="auto"/>
        </w:rPr>
        <w:fldChar w:fldCharType="begin"/>
      </w:r>
      <w:r>
        <w:rPr>
          <w:color w:val="auto"/>
        </w:rPr>
        <w:instrText xml:space="preserve"> PAGEREF _Toc4699 \h </w:instrText>
      </w:r>
      <w:r>
        <w:rPr>
          <w:color w:val="auto"/>
        </w:rPr>
        <w:fldChar w:fldCharType="separate"/>
      </w:r>
      <w:r>
        <w:rPr>
          <w:color w:val="auto"/>
        </w:rPr>
        <w:t>118</w:t>
      </w:r>
      <w:r>
        <w:rPr>
          <w:color w:val="auto"/>
        </w:rPr>
        <w:fldChar w:fldCharType="end"/>
      </w:r>
      <w:r>
        <w:rPr>
          <w:rFonts w:hint="eastAsia" w:ascii="宋体" w:hAnsi="宋体" w:eastAsia="宋体" w:cs="宋体"/>
          <w:color w:val="auto"/>
          <w:highlight w:val="none"/>
        </w:rPr>
        <w:fldChar w:fldCharType="end"/>
      </w:r>
    </w:p>
    <w:p>
      <w:pPr>
        <w:pStyle w:val="9"/>
        <w:tabs>
          <w:tab w:val="right" w:leader="dot" w:pos="9746"/>
        </w:tabs>
        <w:rPr>
          <w:color w:val="auto"/>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_Toc2189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（三）近年的类似项目情况表</w:t>
      </w:r>
      <w:r>
        <w:rPr>
          <w:color w:val="auto"/>
        </w:rPr>
        <w:tab/>
      </w:r>
      <w:r>
        <w:rPr>
          <w:color w:val="auto"/>
        </w:rPr>
        <w:fldChar w:fldCharType="begin"/>
      </w:r>
      <w:r>
        <w:rPr>
          <w:color w:val="auto"/>
        </w:rPr>
        <w:instrText xml:space="preserve"> PAGEREF _Toc2189 \h </w:instrText>
      </w:r>
      <w:r>
        <w:rPr>
          <w:color w:val="auto"/>
        </w:rPr>
        <w:fldChar w:fldCharType="separate"/>
      </w:r>
      <w:r>
        <w:rPr>
          <w:color w:val="auto"/>
        </w:rPr>
        <w:t>118</w:t>
      </w:r>
      <w:r>
        <w:rPr>
          <w:color w:val="auto"/>
        </w:rPr>
        <w:fldChar w:fldCharType="end"/>
      </w:r>
      <w:r>
        <w:rPr>
          <w:rFonts w:hint="eastAsia" w:ascii="宋体" w:hAnsi="宋体" w:eastAsia="宋体" w:cs="宋体"/>
          <w:color w:val="auto"/>
          <w:highlight w:val="none"/>
        </w:rPr>
        <w:fldChar w:fldCharType="end"/>
      </w:r>
    </w:p>
    <w:p>
      <w:pPr>
        <w:pStyle w:val="9"/>
        <w:tabs>
          <w:tab w:val="right" w:leader="dot" w:pos="9746"/>
        </w:tabs>
        <w:rPr>
          <w:color w:val="auto"/>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_Toc31286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（四）拟委任的主要人员汇总表</w:t>
      </w:r>
      <w:r>
        <w:rPr>
          <w:color w:val="auto"/>
        </w:rPr>
        <w:tab/>
      </w:r>
      <w:r>
        <w:rPr>
          <w:color w:val="auto"/>
        </w:rPr>
        <w:fldChar w:fldCharType="begin"/>
      </w:r>
      <w:r>
        <w:rPr>
          <w:color w:val="auto"/>
        </w:rPr>
        <w:instrText xml:space="preserve"> PAGEREF _Toc31286 \h </w:instrText>
      </w:r>
      <w:r>
        <w:rPr>
          <w:color w:val="auto"/>
        </w:rPr>
        <w:fldChar w:fldCharType="separate"/>
      </w:r>
      <w:r>
        <w:rPr>
          <w:color w:val="auto"/>
        </w:rPr>
        <w:t>119</w:t>
      </w:r>
      <w:r>
        <w:rPr>
          <w:color w:val="auto"/>
        </w:rPr>
        <w:fldChar w:fldCharType="end"/>
      </w:r>
      <w:r>
        <w:rPr>
          <w:rFonts w:hint="eastAsia" w:ascii="宋体" w:hAnsi="宋体" w:eastAsia="宋体" w:cs="宋体"/>
          <w:color w:val="auto"/>
          <w:highlight w:val="none"/>
        </w:rPr>
        <w:fldChar w:fldCharType="end"/>
      </w:r>
    </w:p>
    <w:p>
      <w:pPr>
        <w:pStyle w:val="9"/>
        <w:tabs>
          <w:tab w:val="right" w:leader="dot" w:pos="9746"/>
        </w:tabs>
        <w:rPr>
          <w:color w:val="auto"/>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_Toc1004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（五）主要人员简历表</w:t>
      </w:r>
      <w:r>
        <w:rPr>
          <w:color w:val="auto"/>
        </w:rPr>
        <w:tab/>
      </w:r>
      <w:r>
        <w:rPr>
          <w:color w:val="auto"/>
        </w:rPr>
        <w:fldChar w:fldCharType="begin"/>
      </w:r>
      <w:r>
        <w:rPr>
          <w:color w:val="auto"/>
        </w:rPr>
        <w:instrText xml:space="preserve"> PAGEREF _Toc1004 \h </w:instrText>
      </w:r>
      <w:r>
        <w:rPr>
          <w:color w:val="auto"/>
        </w:rPr>
        <w:fldChar w:fldCharType="separate"/>
      </w:r>
      <w:r>
        <w:rPr>
          <w:color w:val="auto"/>
        </w:rPr>
        <w:t>120</w:t>
      </w:r>
      <w:r>
        <w:rPr>
          <w:color w:val="auto"/>
        </w:rPr>
        <w:fldChar w:fldCharType="end"/>
      </w:r>
      <w:r>
        <w:rPr>
          <w:rFonts w:hint="eastAsia" w:ascii="宋体" w:hAnsi="宋体" w:eastAsia="宋体" w:cs="宋体"/>
          <w:color w:val="auto"/>
          <w:highlight w:val="none"/>
        </w:rPr>
        <w:fldChar w:fldCharType="end"/>
      </w:r>
    </w:p>
    <w:p>
      <w:pPr>
        <w:pStyle w:val="15"/>
        <w:tabs>
          <w:tab w:val="right" w:leader="dot" w:pos="9746"/>
        </w:tabs>
        <w:rPr>
          <w:color w:val="auto"/>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_Toc30828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八、响应方案（A）</w:t>
      </w:r>
      <w:r>
        <w:rPr>
          <w:color w:val="auto"/>
        </w:rPr>
        <w:tab/>
      </w:r>
      <w:r>
        <w:rPr>
          <w:color w:val="auto"/>
        </w:rPr>
        <w:fldChar w:fldCharType="begin"/>
      </w:r>
      <w:r>
        <w:rPr>
          <w:color w:val="auto"/>
        </w:rPr>
        <w:instrText xml:space="preserve"> PAGEREF _Toc30828 \h </w:instrText>
      </w:r>
      <w:r>
        <w:rPr>
          <w:color w:val="auto"/>
        </w:rPr>
        <w:fldChar w:fldCharType="separate"/>
      </w:r>
      <w:r>
        <w:rPr>
          <w:color w:val="auto"/>
        </w:rPr>
        <w:t>121</w:t>
      </w:r>
      <w:r>
        <w:rPr>
          <w:color w:val="auto"/>
        </w:rPr>
        <w:fldChar w:fldCharType="end"/>
      </w:r>
      <w:r>
        <w:rPr>
          <w:rFonts w:hint="eastAsia" w:ascii="宋体" w:hAnsi="宋体" w:eastAsia="宋体" w:cs="宋体"/>
          <w:color w:val="auto"/>
          <w:highlight w:val="none"/>
        </w:rPr>
        <w:fldChar w:fldCharType="end"/>
      </w:r>
    </w:p>
    <w:p>
      <w:pPr>
        <w:pStyle w:val="15"/>
        <w:tabs>
          <w:tab w:val="right" w:leader="dot" w:pos="9746"/>
        </w:tabs>
        <w:rPr>
          <w:color w:val="auto"/>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_Toc7416 </w:instrText>
      </w:r>
      <w:r>
        <w:rPr>
          <w:rFonts w:hint="eastAsia" w:ascii="宋体" w:hAnsi="宋体" w:eastAsia="宋体" w:cs="宋体"/>
          <w:color w:val="auto"/>
          <w:highlight w:val="none"/>
        </w:rPr>
        <w:fldChar w:fldCharType="separate"/>
      </w:r>
      <w:r>
        <w:rPr>
          <w:rFonts w:hint="eastAsia" w:ascii="黑体" w:hAnsi="黑体" w:eastAsia="黑体" w:cs="黑体"/>
          <w:color w:val="auto"/>
          <w:highlight w:val="none"/>
          <w:lang w:eastAsia="zh-CN"/>
        </w:rPr>
        <w:t>八</w:t>
      </w:r>
      <w:r>
        <w:rPr>
          <w:rFonts w:ascii="黑体" w:hAnsi="黑体" w:eastAsia="黑体" w:cs="黑体"/>
          <w:color w:val="auto"/>
          <w:highlight w:val="none"/>
        </w:rPr>
        <w:t>、施工组织设计</w:t>
      </w:r>
      <w:r>
        <w:rPr>
          <w:color w:val="auto"/>
        </w:rPr>
        <w:tab/>
      </w:r>
      <w:r>
        <w:rPr>
          <w:color w:val="auto"/>
        </w:rPr>
        <w:fldChar w:fldCharType="begin"/>
      </w:r>
      <w:r>
        <w:rPr>
          <w:color w:val="auto"/>
        </w:rPr>
        <w:instrText xml:space="preserve"> PAGEREF _Toc7416 \h </w:instrText>
      </w:r>
      <w:r>
        <w:rPr>
          <w:color w:val="auto"/>
        </w:rPr>
        <w:fldChar w:fldCharType="separate"/>
      </w:r>
      <w:r>
        <w:rPr>
          <w:color w:val="auto"/>
        </w:rPr>
        <w:t>121</w:t>
      </w:r>
      <w:r>
        <w:rPr>
          <w:color w:val="auto"/>
        </w:rPr>
        <w:fldChar w:fldCharType="end"/>
      </w:r>
      <w:r>
        <w:rPr>
          <w:rFonts w:hint="eastAsia" w:ascii="宋体" w:hAnsi="宋体" w:eastAsia="宋体" w:cs="宋体"/>
          <w:color w:val="auto"/>
          <w:highlight w:val="none"/>
        </w:rPr>
        <w:fldChar w:fldCharType="end"/>
      </w:r>
    </w:p>
    <w:p>
      <w:pPr>
        <w:pStyle w:val="9"/>
        <w:tabs>
          <w:tab w:val="right" w:leader="dot" w:pos="9746"/>
        </w:tabs>
        <w:rPr>
          <w:color w:val="auto"/>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_Toc17499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lang w:eastAsia="zh-CN"/>
        </w:rPr>
        <w:t>八</w:t>
      </w:r>
      <w:r>
        <w:rPr>
          <w:rFonts w:hint="eastAsia" w:ascii="宋体" w:hAnsi="宋体" w:eastAsia="宋体" w:cs="宋体"/>
          <w:color w:val="auto"/>
          <w:highlight w:val="none"/>
          <w:lang w:val="en-US" w:eastAsia="zh-CN"/>
        </w:rPr>
        <w:t>.</w:t>
      </w:r>
      <w:r>
        <w:rPr>
          <w:rFonts w:hint="eastAsia" w:ascii="宋体" w:hAnsi="宋体" w:eastAsia="宋体" w:cs="宋体"/>
          <w:color w:val="auto"/>
          <w:highlight w:val="none"/>
        </w:rPr>
        <w:t>（二）拟分包项目情况表</w:t>
      </w:r>
      <w:r>
        <w:rPr>
          <w:color w:val="auto"/>
        </w:rPr>
        <w:tab/>
      </w:r>
      <w:r>
        <w:rPr>
          <w:color w:val="auto"/>
        </w:rPr>
        <w:fldChar w:fldCharType="begin"/>
      </w:r>
      <w:r>
        <w:rPr>
          <w:color w:val="auto"/>
        </w:rPr>
        <w:instrText xml:space="preserve"> PAGEREF _Toc17499 \h </w:instrText>
      </w:r>
      <w:r>
        <w:rPr>
          <w:color w:val="auto"/>
        </w:rPr>
        <w:fldChar w:fldCharType="separate"/>
      </w:r>
      <w:r>
        <w:rPr>
          <w:color w:val="auto"/>
        </w:rPr>
        <w:t>125</w:t>
      </w:r>
      <w:r>
        <w:rPr>
          <w:color w:val="auto"/>
        </w:rPr>
        <w:fldChar w:fldCharType="end"/>
      </w:r>
      <w:r>
        <w:rPr>
          <w:rFonts w:hint="eastAsia" w:ascii="宋体" w:hAnsi="宋体" w:eastAsia="宋体" w:cs="宋体"/>
          <w:color w:val="auto"/>
          <w:highlight w:val="none"/>
        </w:rPr>
        <w:fldChar w:fldCharType="end"/>
      </w:r>
    </w:p>
    <w:p>
      <w:pPr>
        <w:pStyle w:val="15"/>
        <w:tabs>
          <w:tab w:val="right" w:leader="dot" w:pos="9746"/>
        </w:tabs>
        <w:rPr>
          <w:color w:val="auto"/>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_Toc32136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九、其他资料</w:t>
      </w:r>
      <w:r>
        <w:rPr>
          <w:color w:val="auto"/>
        </w:rPr>
        <w:tab/>
      </w:r>
      <w:r>
        <w:rPr>
          <w:color w:val="auto"/>
        </w:rPr>
        <w:fldChar w:fldCharType="begin"/>
      </w:r>
      <w:r>
        <w:rPr>
          <w:color w:val="auto"/>
        </w:rPr>
        <w:instrText xml:space="preserve"> PAGEREF _Toc32136 \h </w:instrText>
      </w:r>
      <w:r>
        <w:rPr>
          <w:color w:val="auto"/>
        </w:rPr>
        <w:fldChar w:fldCharType="separate"/>
      </w:r>
      <w:r>
        <w:rPr>
          <w:color w:val="auto"/>
        </w:rPr>
        <w:t>126</w:t>
      </w:r>
      <w:r>
        <w:rPr>
          <w:color w:val="auto"/>
        </w:rPr>
        <w:fldChar w:fldCharType="end"/>
      </w:r>
      <w:r>
        <w:rPr>
          <w:rFonts w:hint="eastAsia" w:ascii="宋体" w:hAnsi="宋体" w:eastAsia="宋体" w:cs="宋体"/>
          <w:color w:val="auto"/>
          <w:highlight w:val="none"/>
        </w:rPr>
        <w:fldChar w:fldCharType="end"/>
      </w:r>
    </w:p>
    <w:p>
      <w:pPr>
        <w:pageBreakBefore w:val="0"/>
        <w:kinsoku/>
        <w:overflowPunct/>
        <w:topLinePunct w:val="0"/>
        <w:bidi w:val="0"/>
        <w:snapToGrid/>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fldChar w:fldCharType="end"/>
      </w:r>
    </w:p>
    <w:p>
      <w:pPr>
        <w:pageBreakBefore w:val="0"/>
        <w:kinsoku/>
        <w:overflowPunct/>
        <w:topLinePunct w:val="0"/>
        <w:bidi w:val="0"/>
        <w:snapToGrid/>
        <w:spacing w:line="360" w:lineRule="auto"/>
        <w:jc w:val="center"/>
        <w:rPr>
          <w:rFonts w:hint="eastAsia" w:ascii="宋体" w:hAnsi="宋体" w:eastAsia="宋体" w:cs="宋体"/>
          <w:b/>
          <w:bCs/>
          <w:color w:val="auto"/>
          <w:sz w:val="44"/>
          <w:szCs w:val="44"/>
          <w:highlight w:val="none"/>
        </w:rPr>
        <w:sectPr>
          <w:headerReference r:id="rId3" w:type="default"/>
          <w:footerReference r:id="rId4" w:type="default"/>
          <w:pgSz w:w="11906" w:h="16838"/>
          <w:pgMar w:top="1440" w:right="1080" w:bottom="1440" w:left="1080" w:header="851" w:footer="992" w:gutter="0"/>
          <w:pgBorders w:offsetFrom="page">
            <w:top w:val="single" w:color="808080" w:sz="18" w:space="24"/>
            <w:left w:val="single" w:color="808080" w:sz="18" w:space="24"/>
            <w:bottom w:val="single" w:color="808080" w:sz="18" w:space="24"/>
            <w:right w:val="single" w:color="808080" w:sz="18" w:space="24"/>
          </w:pgBorders>
          <w:pgNumType w:fmt="decimal" w:start="1"/>
          <w:cols w:space="425" w:num="1"/>
          <w:docGrid w:type="lines" w:linePitch="312" w:charSpace="0"/>
        </w:sectPr>
      </w:pPr>
    </w:p>
    <w:p>
      <w:pPr>
        <w:pStyle w:val="28"/>
        <w:pageBreakBefore w:val="0"/>
        <w:kinsoku/>
        <w:overflowPunct/>
        <w:topLinePunct w:val="0"/>
        <w:bidi w:val="0"/>
        <w:snapToGrid/>
        <w:spacing w:line="360" w:lineRule="auto"/>
        <w:rPr>
          <w:rFonts w:hint="eastAsia" w:ascii="宋体" w:hAnsi="宋体" w:eastAsia="宋体" w:cs="宋体"/>
          <w:color w:val="auto"/>
          <w:highlight w:val="none"/>
        </w:rPr>
      </w:pPr>
    </w:p>
    <w:p>
      <w:pPr>
        <w:pageBreakBefore w:val="0"/>
        <w:kinsoku/>
        <w:overflowPunct/>
        <w:topLinePunct w:val="0"/>
        <w:bidi w:val="0"/>
        <w:snapToGrid/>
        <w:spacing w:line="360" w:lineRule="auto"/>
        <w:jc w:val="center"/>
        <w:rPr>
          <w:rFonts w:hint="eastAsia" w:ascii="宋体" w:hAnsi="宋体" w:eastAsia="宋体" w:cs="宋体"/>
          <w:b/>
          <w:bCs/>
          <w:color w:val="auto"/>
          <w:sz w:val="44"/>
          <w:szCs w:val="44"/>
          <w:highlight w:val="none"/>
        </w:rPr>
      </w:pPr>
    </w:p>
    <w:p>
      <w:pPr>
        <w:pageBreakBefore w:val="0"/>
        <w:kinsoku/>
        <w:overflowPunct/>
        <w:topLinePunct w:val="0"/>
        <w:bidi w:val="0"/>
        <w:snapToGrid/>
        <w:spacing w:line="360" w:lineRule="auto"/>
        <w:jc w:val="center"/>
        <w:rPr>
          <w:rFonts w:hint="eastAsia" w:ascii="宋体" w:hAnsi="宋体" w:eastAsia="宋体" w:cs="宋体"/>
          <w:b/>
          <w:bCs/>
          <w:color w:val="auto"/>
          <w:sz w:val="44"/>
          <w:szCs w:val="44"/>
          <w:highlight w:val="none"/>
        </w:rPr>
      </w:pPr>
    </w:p>
    <w:p>
      <w:pPr>
        <w:pageBreakBefore w:val="0"/>
        <w:kinsoku/>
        <w:overflowPunct/>
        <w:topLinePunct w:val="0"/>
        <w:bidi w:val="0"/>
        <w:snapToGrid/>
        <w:spacing w:line="360" w:lineRule="auto"/>
        <w:jc w:val="center"/>
        <w:rPr>
          <w:rFonts w:hint="eastAsia" w:ascii="宋体" w:hAnsi="宋体" w:eastAsia="宋体" w:cs="宋体"/>
          <w:b/>
          <w:bCs/>
          <w:color w:val="auto"/>
          <w:sz w:val="44"/>
          <w:szCs w:val="44"/>
          <w:highlight w:val="none"/>
        </w:rPr>
      </w:pPr>
    </w:p>
    <w:p>
      <w:pPr>
        <w:pageBreakBefore w:val="0"/>
        <w:kinsoku/>
        <w:overflowPunct/>
        <w:topLinePunct w:val="0"/>
        <w:bidi w:val="0"/>
        <w:snapToGrid/>
        <w:spacing w:line="360" w:lineRule="auto"/>
        <w:jc w:val="center"/>
        <w:rPr>
          <w:rFonts w:hint="eastAsia" w:ascii="宋体" w:hAnsi="宋体" w:eastAsia="宋体" w:cs="宋体"/>
          <w:b/>
          <w:bCs/>
          <w:color w:val="auto"/>
          <w:sz w:val="44"/>
          <w:szCs w:val="44"/>
          <w:highlight w:val="none"/>
        </w:rPr>
      </w:pPr>
    </w:p>
    <w:p>
      <w:pPr>
        <w:pStyle w:val="3"/>
        <w:pageBreakBefore w:val="0"/>
        <w:kinsoku/>
        <w:overflowPunct/>
        <w:topLinePunct w:val="0"/>
        <w:bidi w:val="0"/>
        <w:snapToGrid/>
        <w:spacing w:line="360" w:lineRule="auto"/>
        <w:ind w:firstLine="1767" w:firstLineChars="400"/>
        <w:jc w:val="both"/>
        <w:rPr>
          <w:rFonts w:hint="eastAsia" w:ascii="宋体" w:hAnsi="宋体" w:eastAsia="宋体" w:cs="宋体"/>
          <w:color w:val="auto"/>
          <w:highlight w:val="none"/>
        </w:rPr>
      </w:pPr>
      <w:bookmarkStart w:id="0" w:name="_Toc25607"/>
      <w:bookmarkStart w:id="1" w:name="_Toc12807"/>
      <w:r>
        <w:rPr>
          <w:rFonts w:hint="eastAsia" w:ascii="宋体" w:hAnsi="宋体" w:eastAsia="宋体" w:cs="宋体"/>
          <w:color w:val="auto"/>
          <w:highlight w:val="none"/>
        </w:rPr>
        <w:t>第一章  询比采购公告</w:t>
      </w:r>
      <w:bookmarkEnd w:id="0"/>
      <w:bookmarkEnd w:id="1"/>
    </w:p>
    <w:p>
      <w:pPr>
        <w:pageBreakBefore w:val="0"/>
        <w:kinsoku/>
        <w:overflowPunct/>
        <w:topLinePunct w:val="0"/>
        <w:bidi w:val="0"/>
        <w:snapToGrid/>
        <w:spacing w:line="360" w:lineRule="auto"/>
        <w:jc w:val="center"/>
        <w:rPr>
          <w:rFonts w:hint="eastAsia" w:ascii="宋体" w:hAnsi="宋体" w:eastAsia="宋体" w:cs="宋体"/>
          <w:color w:val="auto"/>
          <w:spacing w:val="20"/>
          <w:sz w:val="32"/>
          <w:szCs w:val="32"/>
          <w:highlight w:val="none"/>
        </w:rPr>
      </w:pPr>
    </w:p>
    <w:p>
      <w:pPr>
        <w:pageBreakBefore w:val="0"/>
        <w:kinsoku/>
        <w:overflowPunct/>
        <w:topLinePunct w:val="0"/>
        <w:bidi w:val="0"/>
        <w:snapToGrid/>
        <w:spacing w:line="360" w:lineRule="auto"/>
        <w:jc w:val="center"/>
        <w:rPr>
          <w:rFonts w:hint="eastAsia" w:ascii="宋体" w:hAnsi="宋体" w:eastAsia="宋体" w:cs="宋体"/>
          <w:color w:val="auto"/>
          <w:spacing w:val="20"/>
          <w:sz w:val="32"/>
          <w:szCs w:val="32"/>
          <w:highlight w:val="none"/>
        </w:rPr>
      </w:pPr>
      <w:r>
        <w:rPr>
          <w:rFonts w:hint="eastAsia" w:ascii="宋体" w:hAnsi="宋体" w:eastAsia="宋体" w:cs="宋体"/>
          <w:color w:val="auto"/>
          <w:spacing w:val="20"/>
          <w:sz w:val="32"/>
          <w:szCs w:val="32"/>
          <w:highlight w:val="none"/>
        </w:rPr>
        <w:t>（适用于公告邀请</w:t>
      </w:r>
      <w:r>
        <w:rPr>
          <w:rFonts w:hint="eastAsia" w:ascii="宋体" w:hAnsi="宋体" w:eastAsia="宋体" w:cs="宋体"/>
          <w:color w:val="auto"/>
          <w:spacing w:val="20"/>
          <w:sz w:val="32"/>
          <w:szCs w:val="32"/>
          <w:highlight w:val="none"/>
          <w:lang w:eastAsia="zh-CN"/>
        </w:rPr>
        <w:t>询比响应人</w:t>
      </w:r>
      <w:r>
        <w:rPr>
          <w:rFonts w:hint="eastAsia" w:ascii="宋体" w:hAnsi="宋体" w:eastAsia="宋体" w:cs="宋体"/>
          <w:color w:val="auto"/>
          <w:spacing w:val="20"/>
          <w:sz w:val="32"/>
          <w:szCs w:val="32"/>
          <w:highlight w:val="none"/>
        </w:rPr>
        <w:t>方式）</w:t>
      </w:r>
    </w:p>
    <w:p>
      <w:pPr>
        <w:pageBreakBefore w:val="0"/>
        <w:kinsoku/>
        <w:overflowPunct/>
        <w:topLinePunct w:val="0"/>
        <w:bidi w:val="0"/>
        <w:snapToGrid/>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br w:type="page"/>
      </w:r>
    </w:p>
    <w:p>
      <w:pPr>
        <w:spacing w:line="360" w:lineRule="auto"/>
        <w:jc w:val="center"/>
        <w:rPr>
          <w:rFonts w:ascii="宋体" w:hAnsi="宋体" w:eastAsia="宋体" w:cs="宋体"/>
          <w:sz w:val="32"/>
          <w:szCs w:val="32"/>
        </w:rPr>
      </w:pPr>
      <w:bookmarkStart w:id="2" w:name="_Toc7818"/>
      <w:bookmarkStart w:id="3" w:name="_Toc27589"/>
      <w:r>
        <w:rPr>
          <w:rFonts w:hint="eastAsia" w:ascii="宋体" w:hAnsi="宋体" w:eastAsia="宋体" w:cs="宋体"/>
          <w:sz w:val="32"/>
          <w:szCs w:val="32"/>
        </w:rPr>
        <w:t>关于文实校区白杨公寓安装直饮水机</w:t>
      </w:r>
    </w:p>
    <w:p>
      <w:pPr>
        <w:spacing w:line="360" w:lineRule="auto"/>
        <w:jc w:val="center"/>
        <w:rPr>
          <w:rFonts w:ascii="宋体" w:hAnsi="宋体" w:eastAsia="宋体" w:cs="宋体"/>
          <w:sz w:val="32"/>
          <w:szCs w:val="32"/>
        </w:rPr>
      </w:pPr>
      <w:r>
        <w:rPr>
          <w:rFonts w:hint="eastAsia" w:ascii="宋体" w:hAnsi="宋体" w:eastAsia="宋体" w:cs="宋体"/>
          <w:sz w:val="32"/>
          <w:szCs w:val="32"/>
        </w:rPr>
        <w:t>询比采购公告</w:t>
      </w:r>
    </w:p>
    <w:p>
      <w:pPr>
        <w:widowControl/>
        <w:spacing w:line="360" w:lineRule="auto"/>
        <w:ind w:firstLine="480" w:firstLineChars="200"/>
        <w:rPr>
          <w:rFonts w:ascii="宋体" w:hAnsi="宋体" w:eastAsia="宋体" w:cs="宋体"/>
        </w:rPr>
      </w:pPr>
      <w:bookmarkStart w:id="424" w:name="_GoBack"/>
      <w:r>
        <w:rPr>
          <w:rFonts w:hint="eastAsia" w:ascii="宋体" w:hAnsi="宋体" w:eastAsia="宋体" w:cs="宋体"/>
          <w:sz w:val="24"/>
        </w:rPr>
        <w:t>关于文实校区白杨公寓安装直饮水机项目</w:t>
      </w:r>
      <w:bookmarkEnd w:id="424"/>
      <w:r>
        <w:rPr>
          <w:rFonts w:hint="eastAsia" w:ascii="宋体" w:hAnsi="宋体" w:eastAsia="宋体" w:cs="宋体"/>
          <w:sz w:val="24"/>
        </w:rPr>
        <w:t>（采购项目名称）已具备采购条件，现公开邀请询比响应人参加询比采购活动。</w:t>
      </w:r>
    </w:p>
    <w:p>
      <w:pPr>
        <w:pStyle w:val="4"/>
        <w:spacing w:line="360" w:lineRule="auto"/>
        <w:jc w:val="both"/>
        <w:rPr>
          <w:rFonts w:ascii="宋体" w:hAnsi="宋体" w:cs="宋体"/>
          <w:szCs w:val="22"/>
        </w:rPr>
      </w:pPr>
      <w:bookmarkStart w:id="4" w:name="_Toc4010"/>
      <w:bookmarkStart w:id="5" w:name="_Toc25138"/>
      <w:r>
        <w:rPr>
          <w:rFonts w:hint="eastAsia" w:ascii="宋体" w:hAnsi="宋体" w:cs="宋体"/>
          <w:szCs w:val="22"/>
        </w:rPr>
        <w:t>1 采购项目简介</w:t>
      </w:r>
      <w:bookmarkEnd w:id="4"/>
      <w:bookmarkEnd w:id="5"/>
    </w:p>
    <w:p>
      <w:pPr>
        <w:widowControl/>
        <w:spacing w:line="360" w:lineRule="auto"/>
        <w:rPr>
          <w:rFonts w:ascii="宋体" w:hAnsi="宋体" w:eastAsia="宋体" w:cs="宋体"/>
          <w:sz w:val="24"/>
          <w:u w:val="single"/>
        </w:rPr>
      </w:pPr>
      <w:r>
        <w:rPr>
          <w:rFonts w:hint="eastAsia" w:ascii="宋体" w:hAnsi="宋体" w:eastAsia="宋体" w:cs="宋体"/>
          <w:kern w:val="0"/>
          <w:sz w:val="24"/>
        </w:rPr>
        <w:t>1.1采购项目名称∶</w:t>
      </w:r>
      <w:r>
        <w:rPr>
          <w:rFonts w:hint="eastAsia" w:ascii="宋体" w:hAnsi="宋体" w:eastAsia="宋体" w:cs="宋体"/>
          <w:kern w:val="0"/>
          <w:sz w:val="24"/>
          <w:szCs w:val="24"/>
          <w:u w:val="single"/>
          <w:lang w:val="en-US" w:eastAsia="zh-CN" w:bidi="ar-SA"/>
        </w:rPr>
        <w:t xml:space="preserve">关于文实校区白杨公寓安装直饮水机项目 </w:t>
      </w:r>
      <w:r>
        <w:rPr>
          <w:rFonts w:hint="eastAsia" w:ascii="宋体" w:hAnsi="宋体" w:eastAsia="宋体" w:cs="宋体"/>
          <w:szCs w:val="21"/>
          <w:u w:val="single"/>
        </w:rPr>
        <w:t xml:space="preserve">         </w:t>
      </w:r>
    </w:p>
    <w:p>
      <w:pPr>
        <w:pStyle w:val="16"/>
        <w:widowControl/>
        <w:spacing w:beforeAutospacing="0" w:afterAutospacing="0" w:line="360" w:lineRule="auto"/>
        <w:rPr>
          <w:rFonts w:ascii="宋体" w:hAnsi="宋体" w:eastAsia="宋体" w:cs="宋体"/>
          <w:u w:val="single"/>
        </w:rPr>
      </w:pPr>
      <w:r>
        <w:rPr>
          <w:rFonts w:hint="eastAsia" w:ascii="宋体" w:hAnsi="宋体" w:eastAsia="宋体" w:cs="宋体"/>
        </w:rPr>
        <w:t>1.2招标人∶</w:t>
      </w:r>
      <w:r>
        <w:rPr>
          <w:rFonts w:hint="eastAsia" w:ascii="宋体" w:hAnsi="宋体" w:eastAsia="宋体" w:cs="宋体"/>
          <w:u w:val="single"/>
        </w:rPr>
        <w:t xml:space="preserve">青海民族大学                </w:t>
      </w:r>
    </w:p>
    <w:p>
      <w:pPr>
        <w:pStyle w:val="16"/>
        <w:widowControl/>
        <w:spacing w:beforeAutospacing="0" w:afterAutospacing="0" w:line="360" w:lineRule="auto"/>
        <w:rPr>
          <w:rFonts w:hint="eastAsia" w:ascii="宋体" w:hAnsi="宋体" w:eastAsia="宋体" w:cs="宋体"/>
          <w:u w:val="single"/>
        </w:rPr>
      </w:pPr>
      <w:r>
        <w:rPr>
          <w:rFonts w:hint="eastAsia" w:ascii="宋体" w:hAnsi="宋体" w:eastAsia="宋体" w:cs="宋体"/>
        </w:rPr>
        <w:t>1.3招标代理机构∶</w:t>
      </w:r>
      <w:r>
        <w:rPr>
          <w:rFonts w:hint="eastAsia" w:ascii="宋体" w:hAnsi="宋体" w:eastAsia="宋体" w:cs="宋体"/>
          <w:u w:val="single"/>
        </w:rPr>
        <w:t xml:space="preserve"> 上海容基工程项目管理有限公司                 </w:t>
      </w:r>
    </w:p>
    <w:p>
      <w:pPr>
        <w:pStyle w:val="16"/>
        <w:keepNext w:val="0"/>
        <w:keepLines w:val="0"/>
        <w:pageBreakBefore w:val="0"/>
        <w:widowControl/>
        <w:kinsoku/>
        <w:wordWrap/>
        <w:overflowPunct/>
        <w:topLinePunct w:val="0"/>
        <w:autoSpaceDE/>
        <w:autoSpaceDN/>
        <w:bidi w:val="0"/>
        <w:adjustRightInd/>
        <w:snapToGrid/>
        <w:spacing w:beforeAutospacing="0" w:afterAutospacing="0" w:line="360" w:lineRule="auto"/>
        <w:jc w:val="both"/>
      </w:pPr>
      <w:r>
        <w:rPr>
          <w:rFonts w:hint="eastAsia" w:ascii="宋体" w:hAnsi="宋体" w:eastAsia="宋体" w:cs="宋体"/>
          <w:kern w:val="0"/>
          <w:sz w:val="24"/>
          <w:szCs w:val="24"/>
          <w:lang w:val="en-US" w:eastAsia="zh-CN" w:bidi="ar-SA"/>
        </w:rPr>
        <w:t>1.4项目金额：</w:t>
      </w:r>
      <w:r>
        <w:rPr>
          <w:rFonts w:hint="eastAsia" w:ascii="宋体" w:hAnsi="宋体" w:eastAsia="宋体" w:cs="宋体"/>
          <w:color w:val="auto"/>
          <w:sz w:val="24"/>
          <w:szCs w:val="24"/>
          <w:highlight w:val="none"/>
          <w:u w:val="single"/>
        </w:rPr>
        <w:t>小写：</w:t>
      </w:r>
      <w:r>
        <w:rPr>
          <w:rFonts w:hint="eastAsia" w:ascii="宋体" w:hAnsi="宋体" w:eastAsia="宋体" w:cs="宋体"/>
          <w:u w:val="single"/>
        </w:rPr>
        <w:t>270307.86元</w:t>
      </w:r>
      <w:r>
        <w:rPr>
          <w:rFonts w:hint="eastAsia" w:ascii="宋体" w:hAnsi="宋体" w:eastAsia="宋体" w:cs="宋体"/>
          <w:u w:val="single"/>
          <w:lang w:val="en-US" w:eastAsia="zh-CN"/>
        </w:rPr>
        <w:t xml:space="preserve">  </w:t>
      </w:r>
      <w:r>
        <w:rPr>
          <w:rFonts w:hint="eastAsia" w:ascii="宋体" w:hAnsi="宋体" w:eastAsia="宋体" w:cs="宋体"/>
          <w:color w:val="auto"/>
          <w:sz w:val="24"/>
          <w:szCs w:val="24"/>
          <w:highlight w:val="none"/>
          <w:u w:val="single"/>
        </w:rPr>
        <w:t>大写：</w:t>
      </w:r>
      <w:r>
        <w:rPr>
          <w:rFonts w:hint="eastAsia" w:ascii="宋体" w:hAnsi="宋体" w:eastAsia="宋体" w:cs="宋体"/>
          <w:u w:val="single"/>
        </w:rPr>
        <w:t>贰拾柒万零叁佰零柒元捌角陆分</w:t>
      </w:r>
    </w:p>
    <w:p>
      <w:pPr>
        <w:pStyle w:val="16"/>
        <w:widowControl/>
        <w:spacing w:beforeAutospacing="0" w:afterAutospacing="0" w:line="360" w:lineRule="auto"/>
        <w:rPr>
          <w:rFonts w:ascii="宋体" w:hAnsi="宋体" w:eastAsia="宋体" w:cs="宋体"/>
          <w:u w:val="single"/>
        </w:rPr>
      </w:pPr>
      <w:r>
        <w:rPr>
          <w:rFonts w:hint="eastAsia" w:ascii="宋体" w:hAnsi="宋体" w:eastAsia="宋体" w:cs="宋体"/>
        </w:rPr>
        <w:t>1.</w:t>
      </w:r>
      <w:r>
        <w:rPr>
          <w:rFonts w:hint="eastAsia" w:ascii="宋体" w:hAnsi="宋体" w:eastAsia="宋体" w:cs="宋体"/>
          <w:lang w:val="en-US" w:eastAsia="zh-CN"/>
        </w:rPr>
        <w:t>5</w:t>
      </w:r>
      <w:r>
        <w:rPr>
          <w:rFonts w:hint="eastAsia" w:ascii="宋体" w:hAnsi="宋体" w:eastAsia="宋体" w:cs="宋体"/>
        </w:rPr>
        <w:t xml:space="preserve"> 采购项目资金落实情况∶</w:t>
      </w:r>
      <w:r>
        <w:rPr>
          <w:rFonts w:hint="eastAsia" w:ascii="宋体" w:hAnsi="宋体" w:eastAsia="宋体" w:cs="宋体"/>
          <w:u w:val="single"/>
        </w:rPr>
        <w:t xml:space="preserve">  已落实                                   </w:t>
      </w:r>
    </w:p>
    <w:p>
      <w:pPr>
        <w:pStyle w:val="16"/>
        <w:widowControl/>
        <w:spacing w:beforeAutospacing="0" w:afterAutospacing="0" w:line="360" w:lineRule="auto"/>
        <w:ind w:left="2160" w:hanging="2160" w:hangingChars="900"/>
        <w:rPr>
          <w:rFonts w:ascii="宋体" w:hAnsi="宋体" w:eastAsia="宋体" w:cs="宋体"/>
          <w:u w:val="single"/>
        </w:rPr>
      </w:pPr>
      <w:r>
        <w:rPr>
          <w:rFonts w:hint="eastAsia" w:ascii="宋体" w:hAnsi="宋体" w:eastAsia="宋体" w:cs="宋体"/>
        </w:rPr>
        <w:t>1.</w:t>
      </w:r>
      <w:r>
        <w:rPr>
          <w:rFonts w:hint="eastAsia" w:ascii="宋体" w:hAnsi="宋体" w:eastAsia="宋体" w:cs="宋体"/>
          <w:lang w:val="en-US" w:eastAsia="zh-CN"/>
        </w:rPr>
        <w:t>6</w:t>
      </w:r>
      <w:r>
        <w:rPr>
          <w:rFonts w:hint="eastAsia" w:ascii="宋体" w:hAnsi="宋体" w:eastAsia="宋体" w:cs="宋体"/>
        </w:rPr>
        <w:t xml:space="preserve"> 采购项目概况：</w:t>
      </w:r>
      <w:r>
        <w:rPr>
          <w:rFonts w:hint="eastAsia" w:ascii="宋体" w:hAnsi="宋体" w:eastAsia="宋体" w:cs="宋体"/>
          <w:u w:val="single"/>
        </w:rPr>
        <w:t xml:space="preserve">文实校区白杨公寓安装直饮水机。具体内容详见工程量清单。 </w:t>
      </w:r>
    </w:p>
    <w:p>
      <w:pPr>
        <w:pStyle w:val="16"/>
        <w:widowControl/>
        <w:spacing w:beforeAutospacing="0" w:afterAutospacing="0" w:line="360" w:lineRule="auto"/>
        <w:rPr>
          <w:rFonts w:ascii="宋体" w:hAnsi="宋体" w:eastAsia="宋体" w:cs="宋体"/>
        </w:rPr>
      </w:pPr>
      <w:r>
        <w:rPr>
          <w:rFonts w:hint="eastAsia" w:ascii="宋体" w:hAnsi="宋体" w:eastAsia="宋体" w:cs="宋体"/>
        </w:rPr>
        <w:t>1.</w:t>
      </w:r>
      <w:r>
        <w:rPr>
          <w:rFonts w:hint="eastAsia" w:ascii="宋体" w:hAnsi="宋体" w:eastAsia="宋体" w:cs="宋体"/>
          <w:lang w:val="en-US" w:eastAsia="zh-CN"/>
        </w:rPr>
        <w:t>7</w:t>
      </w:r>
      <w:r>
        <w:rPr>
          <w:rFonts w:hint="eastAsia" w:ascii="宋体" w:hAnsi="宋体" w:eastAsia="宋体" w:cs="宋体"/>
        </w:rPr>
        <w:t xml:space="preserve"> 成交询比响应人数量及成交份额∶</w:t>
      </w:r>
    </w:p>
    <w:p>
      <w:pPr>
        <w:pStyle w:val="16"/>
        <w:widowControl/>
        <w:spacing w:beforeAutospacing="0" w:afterAutospacing="0"/>
        <w:ind w:firstLine="720" w:firstLineChars="300"/>
        <w:rPr>
          <w:rFonts w:ascii="宋体" w:hAnsi="宋体" w:eastAsia="宋体" w:cs="宋体"/>
        </w:rPr>
      </w:pPr>
      <w:bookmarkStart w:id="6" w:name="_Toc2712"/>
      <w:bookmarkStart w:id="7" w:name="_Toc1403"/>
      <w:r>
        <w:rPr>
          <w:rFonts w:hint="eastAsia" w:ascii="宋体" w:hAnsi="宋体" w:eastAsia="宋体" w:cs="宋体"/>
        </w:rPr>
        <w:sym w:font="Wingdings 2" w:char="0052"/>
      </w:r>
      <w:r>
        <w:rPr>
          <w:rFonts w:hint="eastAsia" w:ascii="宋体" w:hAnsi="宋体" w:eastAsia="宋体" w:cs="宋体"/>
        </w:rPr>
        <w:t>一家</w:t>
      </w:r>
    </w:p>
    <w:p>
      <w:pPr>
        <w:pStyle w:val="4"/>
        <w:spacing w:line="360" w:lineRule="auto"/>
        <w:jc w:val="both"/>
        <w:rPr>
          <w:rFonts w:ascii="宋体" w:hAnsi="宋体" w:cs="宋体"/>
        </w:rPr>
      </w:pPr>
      <w:r>
        <w:rPr>
          <w:rFonts w:hint="eastAsia" w:ascii="宋体" w:hAnsi="宋体" w:cs="宋体"/>
        </w:rPr>
        <w:t>2采购范围及相关要求（A）</w:t>
      </w:r>
      <w:bookmarkEnd w:id="6"/>
      <w:bookmarkEnd w:id="7"/>
    </w:p>
    <w:p>
      <w:pPr>
        <w:pStyle w:val="16"/>
        <w:widowControl/>
        <w:spacing w:beforeAutospacing="0" w:afterAutospacing="0" w:line="360" w:lineRule="auto"/>
        <w:rPr>
          <w:rFonts w:ascii="宋体" w:hAnsi="宋体" w:eastAsia="宋体" w:cs="宋体"/>
        </w:rPr>
      </w:pPr>
      <w:r>
        <w:rPr>
          <w:rFonts w:hint="eastAsia" w:ascii="宋体" w:hAnsi="宋体" w:eastAsia="宋体" w:cs="宋体"/>
        </w:rPr>
        <w:t>2.1 采购范围∶</w:t>
      </w:r>
      <w:r>
        <w:rPr>
          <w:rFonts w:hint="eastAsia" w:ascii="宋体" w:hAnsi="宋体" w:eastAsia="宋体" w:cs="宋体"/>
          <w:u w:val="single"/>
        </w:rPr>
        <w:t xml:space="preserve">具体内容详见工程量清单     </w:t>
      </w:r>
    </w:p>
    <w:p>
      <w:pPr>
        <w:pStyle w:val="16"/>
        <w:widowControl/>
        <w:shd w:val="clear" w:color="auto" w:fill="FFFFFF"/>
        <w:spacing w:before="75" w:beforeAutospacing="0" w:after="75" w:afterAutospacing="0" w:line="360" w:lineRule="auto"/>
        <w:rPr>
          <w:rFonts w:ascii="宋体" w:hAnsi="宋体" w:eastAsia="宋体" w:cs="宋体"/>
          <w:u w:val="single"/>
        </w:rPr>
      </w:pPr>
      <w:r>
        <w:rPr>
          <w:rFonts w:hint="eastAsia" w:ascii="宋体" w:hAnsi="宋体" w:eastAsia="宋体" w:cs="宋体"/>
        </w:rPr>
        <w:t>2.2计划工期∶</w:t>
      </w:r>
      <w:r>
        <w:rPr>
          <w:rFonts w:hint="eastAsia" w:ascii="宋体" w:hAnsi="宋体" w:eastAsia="宋体" w:cs="宋体"/>
          <w:u w:val="single"/>
        </w:rPr>
        <w:t>20天;</w:t>
      </w:r>
    </w:p>
    <w:p>
      <w:pPr>
        <w:pStyle w:val="16"/>
        <w:widowControl/>
        <w:shd w:val="clear" w:color="auto" w:fill="FFFFFF"/>
        <w:spacing w:before="75" w:beforeAutospacing="0" w:after="75" w:afterAutospacing="0" w:line="360" w:lineRule="auto"/>
        <w:ind w:firstLine="480" w:firstLineChars="200"/>
        <w:rPr>
          <w:rFonts w:hint="eastAsia" w:ascii="宋体" w:hAnsi="宋体" w:eastAsia="宋体" w:cs="宋体"/>
          <w:u w:val="single"/>
        </w:rPr>
      </w:pPr>
      <w:r>
        <w:rPr>
          <w:rFonts w:hint="eastAsia" w:ascii="宋体" w:hAnsi="宋体" w:eastAsia="宋体" w:cs="宋体"/>
          <w:color w:val="000000"/>
          <w:shd w:val="clear" w:color="auto" w:fill="FFFFFF"/>
        </w:rPr>
        <w:t>计划开工日期：</w:t>
      </w:r>
      <w:r>
        <w:rPr>
          <w:rFonts w:hint="eastAsia" w:ascii="宋体" w:hAnsi="宋体" w:eastAsia="宋体" w:cs="宋体"/>
          <w:u w:val="single"/>
        </w:rPr>
        <w:t>2022年8月1日</w:t>
      </w:r>
    </w:p>
    <w:p>
      <w:pPr>
        <w:pStyle w:val="16"/>
        <w:widowControl/>
        <w:shd w:val="clear" w:color="auto" w:fill="FFFFFF"/>
        <w:spacing w:before="75" w:beforeAutospacing="0" w:after="75" w:afterAutospacing="0" w:line="360" w:lineRule="auto"/>
        <w:ind w:firstLine="480" w:firstLineChars="200"/>
        <w:rPr>
          <w:rFonts w:hint="eastAsia" w:ascii="宋体" w:hAnsi="宋体" w:eastAsia="宋体" w:cs="宋体"/>
          <w:u w:val="single"/>
        </w:rPr>
      </w:pPr>
      <w:r>
        <w:rPr>
          <w:rFonts w:hint="eastAsia" w:ascii="宋体" w:hAnsi="宋体" w:eastAsia="宋体" w:cs="宋体"/>
          <w:color w:val="000000"/>
          <w:shd w:val="clear" w:color="auto" w:fill="FFFFFF"/>
        </w:rPr>
        <w:t>计划竣工日期：</w:t>
      </w:r>
      <w:r>
        <w:rPr>
          <w:rFonts w:hint="eastAsia" w:ascii="宋体" w:hAnsi="宋体" w:eastAsia="宋体" w:cs="宋体"/>
          <w:u w:val="single"/>
        </w:rPr>
        <w:t>2022年8月20日</w:t>
      </w:r>
    </w:p>
    <w:p>
      <w:pPr>
        <w:pStyle w:val="16"/>
        <w:widowControl/>
        <w:spacing w:beforeAutospacing="0" w:afterAutospacing="0" w:line="360" w:lineRule="auto"/>
        <w:rPr>
          <w:rFonts w:ascii="宋体" w:hAnsi="宋体" w:eastAsia="宋体" w:cs="宋体"/>
          <w:u w:val="single"/>
        </w:rPr>
      </w:pPr>
      <w:r>
        <w:rPr>
          <w:rFonts w:hint="eastAsia" w:ascii="宋体" w:hAnsi="宋体" w:eastAsia="宋体" w:cs="宋体"/>
        </w:rPr>
        <w:t>2.3建设地点∶</w:t>
      </w:r>
      <w:r>
        <w:rPr>
          <w:rFonts w:hint="eastAsia" w:ascii="宋体" w:hAnsi="宋体" w:eastAsia="宋体" w:cs="宋体"/>
          <w:u w:val="single"/>
        </w:rPr>
        <w:t xml:space="preserve"> </w:t>
      </w:r>
      <w:r>
        <w:rPr>
          <w:rFonts w:hint="eastAsia" w:ascii="宋体" w:hAnsi="宋体" w:eastAsia="宋体" w:cs="宋体"/>
          <w:kern w:val="2"/>
          <w:u w:val="single"/>
        </w:rPr>
        <w:t>青海民族大学文实校区白杨公寓</w:t>
      </w:r>
      <w:r>
        <w:rPr>
          <w:rFonts w:hint="eastAsia" w:ascii="宋体" w:hAnsi="宋体" w:eastAsia="宋体" w:cs="宋体"/>
          <w:u w:val="single"/>
        </w:rPr>
        <w:t xml:space="preserve">      </w:t>
      </w:r>
    </w:p>
    <w:p>
      <w:pPr>
        <w:pStyle w:val="16"/>
        <w:widowControl/>
        <w:spacing w:beforeAutospacing="0" w:afterAutospacing="0" w:line="360" w:lineRule="auto"/>
        <w:rPr>
          <w:rFonts w:ascii="宋体" w:hAnsi="宋体" w:eastAsia="宋体" w:cs="宋体"/>
        </w:rPr>
      </w:pPr>
      <w:r>
        <w:rPr>
          <w:rFonts w:hint="eastAsia" w:ascii="宋体" w:hAnsi="宋体" w:eastAsia="宋体" w:cs="宋体"/>
        </w:rPr>
        <w:t>2.4质量要求∶</w:t>
      </w:r>
      <w:r>
        <w:rPr>
          <w:rFonts w:hint="eastAsia" w:ascii="宋体" w:hAnsi="宋体" w:eastAsia="宋体" w:cs="宋体"/>
          <w:u w:val="single"/>
        </w:rPr>
        <w:t xml:space="preserve">   合格                           </w:t>
      </w:r>
    </w:p>
    <w:p>
      <w:pPr>
        <w:pStyle w:val="16"/>
        <w:widowControl/>
        <w:spacing w:beforeAutospacing="0" w:afterAutospacing="0" w:line="360" w:lineRule="auto"/>
        <w:rPr>
          <w:rFonts w:ascii="宋体" w:hAnsi="宋体" w:eastAsia="宋体" w:cs="宋体"/>
        </w:rPr>
      </w:pPr>
      <w:r>
        <w:rPr>
          <w:rFonts w:hint="eastAsia" w:ascii="宋体" w:hAnsi="宋体" w:eastAsia="宋体" w:cs="宋体"/>
        </w:rPr>
        <w:t>2.5安全目标∶</w:t>
      </w:r>
      <w:r>
        <w:rPr>
          <w:rFonts w:hint="eastAsia" w:ascii="宋体" w:hAnsi="宋体" w:eastAsia="宋体" w:cs="宋体"/>
          <w:u w:val="single"/>
        </w:rPr>
        <w:t xml:space="preserve">   合格                           </w:t>
      </w:r>
    </w:p>
    <w:p>
      <w:pPr>
        <w:pStyle w:val="4"/>
        <w:spacing w:line="360" w:lineRule="auto"/>
        <w:jc w:val="both"/>
        <w:rPr>
          <w:rFonts w:ascii="宋体" w:hAnsi="宋体" w:cs="宋体"/>
        </w:rPr>
      </w:pPr>
      <w:r>
        <w:rPr>
          <w:rFonts w:hint="eastAsia" w:ascii="宋体" w:hAnsi="宋体" w:cs="宋体"/>
        </w:rPr>
        <w:t>3询比响应人资格要求（施工）</w:t>
      </w:r>
    </w:p>
    <w:p>
      <w:pPr>
        <w:pStyle w:val="16"/>
        <w:widowControl/>
        <w:spacing w:beforeAutospacing="0" w:afterAutospacing="0" w:line="360" w:lineRule="auto"/>
        <w:rPr>
          <w:rFonts w:ascii="宋体" w:hAnsi="宋体" w:eastAsia="宋体" w:cs="宋体"/>
        </w:rPr>
      </w:pPr>
      <w:r>
        <w:rPr>
          <w:rFonts w:hint="eastAsia" w:ascii="宋体" w:hAnsi="宋体" w:eastAsia="宋体" w:cs="宋体"/>
        </w:rPr>
        <w:t>3.1 询比响应人应依法设立且满足如下要求∶</w:t>
      </w:r>
    </w:p>
    <w:p>
      <w:pPr>
        <w:pStyle w:val="16"/>
        <w:widowControl/>
        <w:spacing w:beforeAutospacing="0" w:afterAutospacing="0" w:line="360" w:lineRule="auto"/>
        <w:ind w:firstLine="240" w:firstLineChars="100"/>
      </w:pPr>
      <w:r>
        <w:rPr>
          <w:rFonts w:hint="eastAsia" w:ascii="宋体" w:hAnsi="宋体" w:eastAsia="宋体" w:cs="宋体"/>
        </w:rPr>
        <w:t>3.1.1资质要求∶</w:t>
      </w:r>
      <w:r>
        <w:rPr>
          <w:rFonts w:hint="eastAsia" w:ascii="宋体" w:hAnsi="宋体" w:eastAsia="宋体" w:cs="宋体"/>
          <w:u w:val="single"/>
        </w:rPr>
        <w:t>投标人须具备有效期内的[建筑工程·建筑工程三级](含)以上资质；</w:t>
      </w:r>
    </w:p>
    <w:p>
      <w:pPr>
        <w:pStyle w:val="16"/>
        <w:widowControl/>
        <w:spacing w:beforeAutospacing="0" w:afterAutospacing="0" w:line="360" w:lineRule="auto"/>
        <w:ind w:firstLine="240" w:firstLineChars="100"/>
        <w:rPr>
          <w:rFonts w:ascii="宋体" w:hAnsi="宋体" w:eastAsia="宋体" w:cs="宋体"/>
        </w:rPr>
      </w:pPr>
      <w:r>
        <w:rPr>
          <w:rFonts w:hint="eastAsia" w:ascii="宋体" w:hAnsi="宋体" w:eastAsia="宋体" w:cs="宋体"/>
        </w:rPr>
        <w:t>3.1.2</w:t>
      </w:r>
      <w:r>
        <w:rPr>
          <w:rFonts w:hint="eastAsia" w:ascii="宋体" w:hAnsi="宋体" w:eastAsia="宋体" w:cs="宋体"/>
          <w:u w:val="single"/>
        </w:rPr>
        <w:t>投标人须具有有效期内的安全生产许可证；</w:t>
      </w:r>
    </w:p>
    <w:p>
      <w:pPr>
        <w:pStyle w:val="16"/>
        <w:widowControl/>
        <w:spacing w:beforeAutospacing="0" w:afterAutospacing="0" w:line="360" w:lineRule="auto"/>
        <w:ind w:firstLine="240" w:firstLineChars="100"/>
        <w:rPr>
          <w:rFonts w:ascii="宋体" w:hAnsi="宋体" w:eastAsia="宋体" w:cs="宋体"/>
          <w:u w:val="single"/>
        </w:rPr>
      </w:pPr>
      <w:r>
        <w:rPr>
          <w:rFonts w:hint="eastAsia" w:ascii="宋体" w:hAnsi="宋体" w:eastAsia="宋体" w:cs="宋体"/>
        </w:rPr>
        <w:t>（2）财务要求∶</w:t>
      </w:r>
      <w:r>
        <w:rPr>
          <w:rFonts w:hint="eastAsia" w:ascii="宋体" w:hAnsi="宋体" w:eastAsia="宋体" w:cs="宋体"/>
          <w:u w:val="single"/>
        </w:rPr>
        <w:t xml:space="preserve"> </w:t>
      </w:r>
      <w:r>
        <w:rPr>
          <w:rFonts w:hint="eastAsia" w:ascii="宋体" w:hAnsi="宋体" w:eastAsia="宋体" w:cs="宋体"/>
          <w:u w:val="single"/>
          <w:lang w:val="zh-CN"/>
        </w:rPr>
        <w:t>提供基本开户银行近三个月内出具的资信证明（同时提供基本存款账户开户许可证</w:t>
      </w:r>
      <w:r>
        <w:rPr>
          <w:rFonts w:hint="eastAsia" w:ascii="宋体" w:hAnsi="宋体" w:eastAsia="宋体" w:cs="宋体"/>
          <w:u w:val="single"/>
        </w:rPr>
        <w:t>或基本账户开户信息</w:t>
      </w:r>
      <w:r>
        <w:rPr>
          <w:rFonts w:hint="eastAsia" w:ascii="宋体" w:hAnsi="宋体" w:eastAsia="宋体" w:cs="宋体"/>
          <w:u w:val="single"/>
          <w:lang w:val="zh-CN"/>
        </w:rPr>
        <w:t>）或</w:t>
      </w:r>
      <w:r>
        <w:rPr>
          <w:rFonts w:hint="eastAsia" w:ascii="宋体" w:hAnsi="宋体" w:eastAsia="宋体" w:cs="宋体"/>
          <w:u w:val="single"/>
        </w:rPr>
        <w:t>2020年度经第三方审计的财务状况报告</w:t>
      </w:r>
      <w:r>
        <w:rPr>
          <w:rFonts w:hint="eastAsia" w:ascii="宋体" w:hAnsi="宋体" w:eastAsia="宋体" w:cs="宋体"/>
          <w:u w:val="single"/>
          <w:lang w:val="zh-CN"/>
        </w:rPr>
        <w:t>（扫描或复印件应全面、完整、清晰）；</w:t>
      </w:r>
    </w:p>
    <w:p>
      <w:pPr>
        <w:pStyle w:val="16"/>
        <w:widowControl/>
        <w:spacing w:beforeAutospacing="0" w:afterAutospacing="0" w:line="360" w:lineRule="auto"/>
        <w:ind w:firstLine="240" w:firstLineChars="100"/>
        <w:rPr>
          <w:rFonts w:ascii="宋体" w:hAnsi="宋体" w:eastAsia="宋体" w:cs="宋体"/>
          <w:u w:val="single"/>
        </w:rPr>
      </w:pPr>
      <w:r>
        <w:rPr>
          <w:rFonts w:hint="eastAsia" w:ascii="宋体" w:hAnsi="宋体" w:eastAsia="宋体" w:cs="宋体"/>
        </w:rPr>
        <w:t>（3）业绩要求∶</w:t>
      </w:r>
      <w:r>
        <w:rPr>
          <w:rFonts w:hint="eastAsia" w:ascii="宋体" w:hAnsi="宋体" w:eastAsia="宋体" w:cs="宋体"/>
          <w:u w:val="single"/>
        </w:rPr>
        <w:t xml:space="preserve">       /        </w:t>
      </w:r>
    </w:p>
    <w:p>
      <w:pPr>
        <w:pStyle w:val="16"/>
        <w:widowControl/>
        <w:spacing w:beforeAutospacing="0" w:afterAutospacing="0" w:line="360" w:lineRule="auto"/>
        <w:ind w:firstLine="240" w:firstLineChars="100"/>
        <w:rPr>
          <w:rFonts w:ascii="宋体" w:hAnsi="宋体" w:eastAsia="宋体" w:cs="宋体"/>
          <w:u w:val="single"/>
        </w:rPr>
      </w:pPr>
      <w:r>
        <w:rPr>
          <w:rFonts w:hint="eastAsia" w:ascii="宋体" w:hAnsi="宋体" w:eastAsia="宋体" w:cs="宋体"/>
        </w:rPr>
        <w:t>（4）信誉要求∶</w:t>
      </w:r>
    </w:p>
    <w:p>
      <w:pPr>
        <w:pStyle w:val="16"/>
        <w:widowControl/>
        <w:spacing w:beforeAutospacing="0" w:afterAutospacing="0" w:line="360" w:lineRule="auto"/>
        <w:ind w:firstLine="240" w:firstLineChars="100"/>
        <w:rPr>
          <w:rFonts w:ascii="宋体" w:hAnsi="宋体" w:eastAsia="宋体" w:cs="宋体"/>
          <w:u w:val="single"/>
        </w:rPr>
      </w:pPr>
      <w:r>
        <w:rPr>
          <w:rFonts w:hint="eastAsia" w:ascii="宋体" w:hAnsi="宋体" w:eastAsia="宋体" w:cs="宋体"/>
          <w:u w:val="single"/>
        </w:rPr>
        <w:t xml:space="preserve">4.1    /      </w:t>
      </w:r>
    </w:p>
    <w:p>
      <w:pPr>
        <w:pStyle w:val="16"/>
        <w:widowControl/>
        <w:spacing w:beforeAutospacing="0" w:afterAutospacing="0" w:line="360" w:lineRule="auto"/>
        <w:ind w:firstLine="240" w:firstLineChars="100"/>
        <w:rPr>
          <w:rFonts w:ascii="宋体" w:hAnsi="宋体" w:eastAsia="宋体" w:cs="宋体"/>
        </w:rPr>
      </w:pPr>
      <w:r>
        <w:rPr>
          <w:rFonts w:hint="eastAsia" w:ascii="宋体" w:hAnsi="宋体" w:eastAsia="宋体" w:cs="宋体"/>
          <w:u w:val="single"/>
        </w:rPr>
        <w:t>4.2经信用中国（www.creditchina.gov.cn）渠道查询后，列入失信被执行人、重大税收违法案件当事人名单、严重违法失信行为记录名单的，取消投标资格。（提供“信用中国”网站的查询截图，时间为投标截止时间前20天内）</w:t>
      </w:r>
    </w:p>
    <w:p>
      <w:pPr>
        <w:pStyle w:val="16"/>
        <w:widowControl/>
        <w:numPr>
          <w:ilvl w:val="0"/>
          <w:numId w:val="2"/>
        </w:numPr>
        <w:spacing w:beforeAutospacing="0" w:afterAutospacing="0" w:line="360" w:lineRule="auto"/>
        <w:ind w:firstLine="240" w:firstLineChars="100"/>
        <w:rPr>
          <w:rFonts w:ascii="宋体" w:hAnsi="宋体" w:eastAsia="宋体" w:cs="宋体"/>
        </w:rPr>
      </w:pPr>
      <w:r>
        <w:rPr>
          <w:rFonts w:hint="eastAsia" w:ascii="宋体" w:hAnsi="宋体" w:eastAsia="宋体" w:cs="宋体"/>
        </w:rPr>
        <w:t>承担本项目的主要人员要求∶</w:t>
      </w:r>
      <w:r>
        <w:rPr>
          <w:rFonts w:hint="eastAsia" w:ascii="宋体" w:hAnsi="宋体" w:eastAsia="宋体" w:cs="宋体"/>
          <w:u w:val="single"/>
        </w:rPr>
        <w:t>项目经理须具备[注册二级建造师·建筑工程](含)以上专业级注册建造师执业资格和有效地安全生产考核合格证书，未同时在其他项目担任项目经理的承诺书；</w:t>
      </w:r>
    </w:p>
    <w:p>
      <w:pPr>
        <w:pStyle w:val="16"/>
        <w:widowControl/>
        <w:numPr>
          <w:ilvl w:val="0"/>
          <w:numId w:val="2"/>
        </w:numPr>
        <w:spacing w:beforeAutospacing="0" w:afterAutospacing="0" w:line="360" w:lineRule="auto"/>
        <w:ind w:firstLine="240" w:firstLineChars="100"/>
        <w:rPr>
          <w:rFonts w:ascii="宋体" w:hAnsi="宋体" w:eastAsia="宋体" w:cs="宋体"/>
          <w:u w:val="single"/>
        </w:rPr>
      </w:pPr>
      <w:r>
        <w:rPr>
          <w:rFonts w:hint="eastAsia" w:ascii="宋体" w:hAnsi="宋体" w:eastAsia="宋体" w:cs="宋体"/>
        </w:rPr>
        <w:t>其他要求∶</w:t>
      </w:r>
      <w:r>
        <w:rPr>
          <w:rFonts w:hint="eastAsia" w:ascii="宋体" w:hAnsi="宋体" w:eastAsia="宋体" w:cs="宋体"/>
          <w:u w:val="single"/>
        </w:rPr>
        <w:t>6.1          /             ；</w:t>
      </w:r>
    </w:p>
    <w:p>
      <w:pPr>
        <w:pStyle w:val="2"/>
        <w:ind w:left="210" w:leftChars="100"/>
      </w:pPr>
    </w:p>
    <w:p>
      <w:pPr>
        <w:pStyle w:val="16"/>
        <w:widowControl/>
        <w:spacing w:beforeAutospacing="0" w:afterAutospacing="0" w:line="360" w:lineRule="auto"/>
        <w:ind w:left="210" w:leftChars="100"/>
        <w:rPr>
          <w:rFonts w:ascii="宋体" w:hAnsi="宋体" w:eastAsia="宋体" w:cs="宋体"/>
        </w:rPr>
      </w:pPr>
      <w:r>
        <w:rPr>
          <w:rFonts w:hint="eastAsia" w:ascii="宋体" w:hAnsi="宋体" w:eastAsia="宋体" w:cs="宋体"/>
        </w:rPr>
        <w:t>3.2 询比响应人不得存在下列情形之一∶</w:t>
      </w:r>
    </w:p>
    <w:p>
      <w:pPr>
        <w:pStyle w:val="16"/>
        <w:widowControl/>
        <w:spacing w:beforeAutospacing="0" w:afterAutospacing="0" w:line="360" w:lineRule="auto"/>
        <w:ind w:firstLine="240" w:firstLineChars="100"/>
        <w:rPr>
          <w:rFonts w:ascii="宋体" w:hAnsi="宋体" w:eastAsia="宋体" w:cs="宋体"/>
        </w:rPr>
      </w:pPr>
      <w:r>
        <w:rPr>
          <w:rFonts w:hint="eastAsia" w:ascii="宋体" w:hAnsi="宋体" w:eastAsia="宋体" w:cs="宋体"/>
        </w:rPr>
        <w:t>（1）处于被责令停产停业、暂扣或者吊销执照、暂扣或者吊销许可证、吊销资质证书状态;</w:t>
      </w:r>
    </w:p>
    <w:p>
      <w:pPr>
        <w:pStyle w:val="16"/>
        <w:widowControl/>
        <w:spacing w:beforeAutospacing="0" w:afterAutospacing="0" w:line="360" w:lineRule="auto"/>
        <w:ind w:firstLine="240" w:firstLineChars="100"/>
        <w:rPr>
          <w:rFonts w:ascii="宋体" w:hAnsi="宋体" w:eastAsia="宋体" w:cs="宋体"/>
        </w:rPr>
      </w:pPr>
      <w:r>
        <w:rPr>
          <w:rFonts w:hint="eastAsia" w:ascii="宋体" w:hAnsi="宋体" w:eastAsia="宋体" w:cs="宋体"/>
        </w:rPr>
        <w:t>（2）进入清算程序，或被宣告破产，或其他丧失履约能力的情形;</w:t>
      </w:r>
    </w:p>
    <w:p>
      <w:pPr>
        <w:pStyle w:val="16"/>
        <w:widowControl/>
        <w:spacing w:beforeAutospacing="0" w:afterAutospacing="0" w:line="360" w:lineRule="auto"/>
        <w:ind w:firstLine="240" w:firstLineChars="100"/>
        <w:rPr>
          <w:rFonts w:ascii="宋体" w:hAnsi="宋体" w:eastAsia="宋体" w:cs="宋体"/>
        </w:rPr>
      </w:pPr>
      <w:r>
        <w:rPr>
          <w:rFonts w:hint="eastAsia" w:ascii="宋体" w:hAnsi="宋体" w:eastAsia="宋体" w:cs="宋体"/>
        </w:rPr>
        <w:t>（3）其他∶</w:t>
      </w:r>
      <w:r>
        <w:rPr>
          <w:rFonts w:hint="eastAsia" w:ascii="宋体" w:hAnsi="宋体" w:eastAsia="宋体" w:cs="宋体"/>
          <w:u w:val="single"/>
        </w:rPr>
        <w:t xml:space="preserve">       /                  </w:t>
      </w:r>
    </w:p>
    <w:p>
      <w:pPr>
        <w:pStyle w:val="16"/>
        <w:widowControl/>
        <w:spacing w:beforeAutospacing="0" w:afterAutospacing="0" w:line="360" w:lineRule="auto"/>
        <w:rPr>
          <w:rFonts w:ascii="宋体" w:hAnsi="宋体" w:eastAsia="宋体" w:cs="宋体"/>
        </w:rPr>
      </w:pPr>
      <w:r>
        <w:rPr>
          <w:rFonts w:hint="eastAsia" w:ascii="宋体" w:hAnsi="宋体" w:eastAsia="宋体" w:cs="宋体"/>
        </w:rPr>
        <w:t>3.3本次采购</w:t>
      </w:r>
      <w:r>
        <w:rPr>
          <w:rFonts w:hint="eastAsia" w:ascii="宋体" w:hAnsi="宋体" w:eastAsia="宋体" w:cs="宋体"/>
          <w:u w:val="single"/>
        </w:rPr>
        <w:t xml:space="preserve">    不接受  （接受或不接受）</w:t>
      </w:r>
      <w:r>
        <w:rPr>
          <w:rFonts w:hint="eastAsia" w:ascii="宋体" w:hAnsi="宋体" w:eastAsia="宋体" w:cs="宋体"/>
        </w:rPr>
        <w:t>联合体。</w:t>
      </w:r>
    </w:p>
    <w:p>
      <w:pPr>
        <w:pStyle w:val="16"/>
        <w:widowControl/>
        <w:spacing w:beforeAutospacing="0" w:afterAutospacing="0" w:line="360" w:lineRule="auto"/>
        <w:rPr>
          <w:rFonts w:ascii="宋体" w:hAnsi="宋体" w:eastAsia="宋体" w:cs="宋体"/>
          <w:u w:val="single"/>
        </w:rPr>
      </w:pPr>
      <w:r>
        <w:rPr>
          <w:rFonts w:hint="eastAsia" w:ascii="宋体" w:hAnsi="宋体" w:eastAsia="宋体" w:cs="宋体"/>
        </w:rPr>
        <w:t>联合体参加询比采购活动的，联合体应满足本条第3.1款规定的要求，且联合体各方均不得存在本条第3.2款规定的情形。此外，联合体各方应分别满足如下条件∶</w:t>
      </w:r>
      <w:r>
        <w:rPr>
          <w:rFonts w:hint="eastAsia" w:ascii="宋体" w:hAnsi="宋体" w:eastAsia="宋体" w:cs="宋体"/>
          <w:u w:val="single"/>
        </w:rPr>
        <w:t xml:space="preserve">                                                              </w:t>
      </w:r>
    </w:p>
    <w:p>
      <w:pPr>
        <w:pStyle w:val="16"/>
        <w:widowControl/>
        <w:spacing w:beforeAutospacing="0" w:afterAutospacing="0" w:line="360" w:lineRule="auto"/>
        <w:rPr>
          <w:rFonts w:ascii="宋体" w:hAnsi="宋体" w:eastAsia="宋体" w:cs="宋体"/>
        </w:rPr>
      </w:pPr>
      <w:r>
        <w:rPr>
          <w:rFonts w:hint="eastAsia" w:ascii="宋体" w:hAnsi="宋体" w:eastAsia="宋体" w:cs="宋体"/>
        </w:rPr>
        <w:t>联合体的资格认定标准如下∶</w:t>
      </w:r>
      <w:r>
        <w:rPr>
          <w:rFonts w:hint="eastAsia" w:ascii="宋体" w:hAnsi="宋体" w:eastAsia="宋体" w:cs="宋体"/>
          <w:u w:val="single"/>
        </w:rPr>
        <w:t xml:space="preserve">                                      </w:t>
      </w:r>
    </w:p>
    <w:p>
      <w:pPr>
        <w:pStyle w:val="16"/>
        <w:widowControl/>
        <w:spacing w:beforeAutospacing="0" w:afterAutospacing="0" w:line="360" w:lineRule="auto"/>
        <w:ind w:firstLine="360" w:firstLineChars="200"/>
        <w:rPr>
          <w:rFonts w:ascii="宋体" w:hAnsi="宋体" w:eastAsia="宋体" w:cs="宋体"/>
          <w:sz w:val="18"/>
          <w:szCs w:val="18"/>
        </w:rPr>
      </w:pPr>
      <w:r>
        <w:rPr>
          <w:rFonts w:hint="eastAsia" w:ascii="宋体" w:hAnsi="宋体" w:eastAsia="宋体" w:cs="宋体"/>
          <w:sz w:val="18"/>
          <w:szCs w:val="18"/>
        </w:rPr>
        <w:t>（注∶此部分应明确由同一专业或不同专业组成的联合体中各专业的资质、财务、业绩、信誉、主要人员等的认定方法，以最终认定联合体的资格。）</w:t>
      </w:r>
    </w:p>
    <w:p>
      <w:pPr>
        <w:pStyle w:val="16"/>
        <w:widowControl/>
        <w:spacing w:beforeAutospacing="0" w:afterAutospacing="0" w:line="360" w:lineRule="auto"/>
        <w:ind w:firstLine="480" w:firstLineChars="200"/>
        <w:rPr>
          <w:rFonts w:ascii="宋体" w:hAnsi="宋体" w:eastAsia="宋体" w:cs="宋体"/>
          <w:sz w:val="28"/>
          <w:szCs w:val="28"/>
        </w:rPr>
      </w:pPr>
      <w:r>
        <w:rPr>
          <w:rFonts w:hint="eastAsia" w:ascii="宋体" w:hAnsi="宋体" w:eastAsia="宋体" w:cs="宋体"/>
        </w:rPr>
        <w:t>联合体应递交联合体协议书，且联合体各方不得再以自己名义单独或参加其他联合体参与本询比采购项目，否则相关响应文件均无效。</w:t>
      </w:r>
    </w:p>
    <w:p>
      <w:pPr>
        <w:pStyle w:val="4"/>
        <w:spacing w:line="360" w:lineRule="auto"/>
        <w:jc w:val="both"/>
        <w:rPr>
          <w:rFonts w:ascii="宋体" w:hAnsi="宋体" w:cs="宋体"/>
        </w:rPr>
      </w:pPr>
      <w:bookmarkStart w:id="8" w:name="_Toc3339"/>
      <w:bookmarkStart w:id="9" w:name="_Toc32438"/>
      <w:r>
        <w:rPr>
          <w:rFonts w:hint="eastAsia" w:ascii="宋体" w:hAnsi="宋体" w:cs="宋体"/>
        </w:rPr>
        <w:t>4 采购文件的获取</w:t>
      </w:r>
      <w:bookmarkEnd w:id="8"/>
      <w:bookmarkEnd w:id="9"/>
    </w:p>
    <w:p>
      <w:pPr>
        <w:spacing w:line="360" w:lineRule="auto"/>
        <w:rPr>
          <w:rFonts w:ascii="宋体" w:hAnsi="宋体" w:eastAsia="宋体" w:cs="宋体"/>
          <w:sz w:val="24"/>
          <w:u w:val="single"/>
        </w:rPr>
      </w:pPr>
      <w:r>
        <w:rPr>
          <w:rFonts w:hint="eastAsia" w:ascii="宋体" w:hAnsi="宋体" w:eastAsia="宋体" w:cs="宋体"/>
          <w:sz w:val="24"/>
        </w:rPr>
        <w:t>4.1 有意参加询比采购活动的单位，请于</w:t>
      </w:r>
      <w:r>
        <w:rPr>
          <w:rFonts w:hint="eastAsia" w:ascii="宋体" w:hAnsi="宋体" w:eastAsia="宋体" w:cs="宋体"/>
          <w:sz w:val="24"/>
          <w:u w:val="single"/>
        </w:rPr>
        <w:t>2022年07月</w:t>
      </w:r>
      <w:r>
        <w:rPr>
          <w:rFonts w:hint="eastAsia" w:ascii="宋体" w:hAnsi="宋体" w:eastAsia="宋体" w:cs="宋体"/>
          <w:sz w:val="24"/>
          <w:u w:val="single"/>
          <w:lang w:val="en-US" w:eastAsia="zh-CN"/>
        </w:rPr>
        <w:t>21</w:t>
      </w:r>
      <w:r>
        <w:rPr>
          <w:rFonts w:hint="eastAsia" w:ascii="宋体" w:hAnsi="宋体" w:eastAsia="宋体" w:cs="宋体"/>
          <w:sz w:val="24"/>
          <w:u w:val="single"/>
        </w:rPr>
        <w:t>日至2022 年07月</w:t>
      </w:r>
      <w:r>
        <w:rPr>
          <w:rFonts w:hint="eastAsia" w:ascii="宋体" w:hAnsi="宋体" w:eastAsia="宋体" w:cs="宋体"/>
          <w:sz w:val="24"/>
          <w:u w:val="single"/>
          <w:lang w:val="en-US" w:eastAsia="zh-CN"/>
        </w:rPr>
        <w:t>26</w:t>
      </w:r>
      <w:r>
        <w:rPr>
          <w:rFonts w:hint="eastAsia" w:ascii="宋体" w:hAnsi="宋体" w:eastAsia="宋体" w:cs="宋体"/>
          <w:sz w:val="24"/>
          <w:u w:val="single"/>
        </w:rPr>
        <w:t>日，每日上午 09:00 时至 12：00时，下午14:00 时至 17:30 时（北京时间，下同）</w:t>
      </w:r>
      <w:r>
        <w:rPr>
          <w:rFonts w:hint="eastAsia" w:ascii="宋体" w:hAnsi="宋体" w:eastAsia="宋体" w:cs="宋体"/>
          <w:sz w:val="24"/>
        </w:rPr>
        <w:t>，在</w:t>
      </w:r>
      <w:r>
        <w:rPr>
          <w:rFonts w:hint="eastAsia" w:ascii="宋体" w:hAnsi="宋体" w:eastAsia="宋体" w:cs="宋体"/>
          <w:sz w:val="24"/>
          <w:u w:val="single"/>
        </w:rPr>
        <w:t>青海省西宁市西川南路76号万达中心1号写字楼6楼10608室购买采购文件。</w:t>
      </w:r>
    </w:p>
    <w:p>
      <w:pPr>
        <w:spacing w:line="360" w:lineRule="auto"/>
        <w:rPr>
          <w:rFonts w:ascii="宋体" w:hAnsi="宋体" w:eastAsia="宋体" w:cs="宋体"/>
          <w:sz w:val="24"/>
          <w:lang w:val="zh-CN"/>
        </w:rPr>
      </w:pPr>
      <w:r>
        <w:rPr>
          <w:rFonts w:hint="eastAsia" w:ascii="宋体" w:hAnsi="宋体" w:eastAsia="宋体" w:cs="宋体"/>
          <w:b/>
          <w:bCs/>
          <w:sz w:val="24"/>
          <w:lang w:val="zh-CN"/>
        </w:rPr>
        <w:t>线下获取</w:t>
      </w:r>
      <w:r>
        <w:rPr>
          <w:rFonts w:hint="eastAsia" w:ascii="宋体" w:hAnsi="宋体" w:eastAsia="宋体" w:cs="宋体"/>
          <w:sz w:val="24"/>
          <w:lang w:val="zh-CN"/>
        </w:rPr>
        <w:t>：营业执照副本复印件（加盖单位公章）、法定代表人证明书（含法定代表人身份证复印件）、法定代表人授权书（含委托代理人身份证复印件）以上资料除原件外均需加盖投标单位公章。</w:t>
      </w:r>
    </w:p>
    <w:p>
      <w:pPr>
        <w:pStyle w:val="16"/>
        <w:widowControl/>
        <w:spacing w:beforeAutospacing="0" w:afterAutospacing="0" w:line="360" w:lineRule="auto"/>
        <w:rPr>
          <w:rFonts w:ascii="宋体" w:hAnsi="宋体" w:eastAsia="宋体" w:cs="宋体"/>
        </w:rPr>
      </w:pPr>
      <w:r>
        <w:rPr>
          <w:rFonts w:hint="eastAsia" w:ascii="宋体" w:hAnsi="宋体" w:eastAsia="宋体" w:cs="宋体"/>
        </w:rPr>
        <w:t>4.2 采购文件每套售价</w:t>
      </w:r>
      <w:r>
        <w:rPr>
          <w:rFonts w:hint="eastAsia" w:ascii="宋体" w:hAnsi="宋体" w:eastAsia="宋体" w:cs="宋体"/>
          <w:u w:val="single"/>
        </w:rPr>
        <w:t xml:space="preserve">   500   </w:t>
      </w:r>
      <w:r>
        <w:rPr>
          <w:rFonts w:hint="eastAsia" w:ascii="宋体" w:hAnsi="宋体" w:eastAsia="宋体" w:cs="宋体"/>
        </w:rPr>
        <w:t>元，售后不退。</w:t>
      </w:r>
    </w:p>
    <w:p>
      <w:pPr>
        <w:pStyle w:val="4"/>
        <w:spacing w:line="360" w:lineRule="auto"/>
        <w:jc w:val="both"/>
        <w:rPr>
          <w:rFonts w:ascii="宋体" w:hAnsi="宋体" w:cs="宋体"/>
        </w:rPr>
      </w:pPr>
      <w:bookmarkStart w:id="10" w:name="_Toc1063"/>
      <w:bookmarkStart w:id="11" w:name="_Toc20340"/>
      <w:r>
        <w:rPr>
          <w:rFonts w:hint="eastAsia" w:ascii="宋体" w:hAnsi="宋体" w:cs="宋体"/>
        </w:rPr>
        <w:t>5 响应文件的递交</w:t>
      </w:r>
      <w:bookmarkEnd w:id="10"/>
      <w:bookmarkEnd w:id="11"/>
    </w:p>
    <w:p>
      <w:pPr>
        <w:pStyle w:val="16"/>
        <w:widowControl/>
        <w:spacing w:beforeAutospacing="0" w:afterAutospacing="0" w:line="360" w:lineRule="auto"/>
        <w:rPr>
          <w:rFonts w:ascii="宋体" w:hAnsi="宋体" w:eastAsia="宋体" w:cs="宋体"/>
          <w:u w:val="single"/>
        </w:rPr>
      </w:pPr>
      <w:r>
        <w:rPr>
          <w:rFonts w:hint="eastAsia" w:ascii="宋体" w:hAnsi="宋体" w:eastAsia="宋体" w:cs="宋体"/>
        </w:rPr>
        <w:t>5.1 响应文件递交的截止时间为</w:t>
      </w:r>
      <w:r>
        <w:rPr>
          <w:rFonts w:hint="eastAsia" w:ascii="宋体" w:hAnsi="宋体" w:eastAsia="宋体" w:cs="宋体"/>
          <w:u w:val="single"/>
        </w:rPr>
        <w:t xml:space="preserve"> 2022年07月</w:t>
      </w:r>
      <w:r>
        <w:rPr>
          <w:rFonts w:hint="eastAsia" w:ascii="宋体" w:hAnsi="宋体" w:eastAsia="宋体" w:cs="宋体"/>
          <w:u w:val="single"/>
          <w:lang w:val="en-US" w:eastAsia="zh-CN"/>
        </w:rPr>
        <w:t>29</w:t>
      </w:r>
      <w:r>
        <w:rPr>
          <w:rFonts w:hint="eastAsia" w:ascii="宋体" w:hAnsi="宋体" w:eastAsia="宋体" w:cs="宋体"/>
          <w:u w:val="single"/>
        </w:rPr>
        <w:t>日上午09时30分，</w:t>
      </w:r>
      <w:r>
        <w:rPr>
          <w:rFonts w:hint="eastAsia" w:ascii="宋体" w:hAnsi="宋体" w:eastAsia="宋体" w:cs="宋体"/>
        </w:rPr>
        <w:t>地点为</w:t>
      </w:r>
      <w:r>
        <w:rPr>
          <w:rFonts w:hint="eastAsia" w:ascii="宋体" w:hAnsi="宋体" w:eastAsia="宋体" w:cs="宋体"/>
          <w:u w:val="single"/>
        </w:rPr>
        <w:t>青海省西宁市西川南路76号万达中心1号写字楼6楼10605室。</w:t>
      </w:r>
    </w:p>
    <w:p>
      <w:pPr>
        <w:pStyle w:val="16"/>
        <w:widowControl/>
        <w:spacing w:beforeAutospacing="0" w:afterAutospacing="0" w:line="360" w:lineRule="auto"/>
        <w:rPr>
          <w:rFonts w:ascii="宋体" w:hAnsi="宋体" w:eastAsia="宋体" w:cs="宋体"/>
        </w:rPr>
      </w:pPr>
      <w:r>
        <w:rPr>
          <w:rFonts w:hint="eastAsia" w:ascii="宋体" w:hAnsi="宋体" w:eastAsia="宋体" w:cs="宋体"/>
        </w:rPr>
        <w:t>5.2 逾期送达的、未送达指定地点的响应文件，招标人将拒绝接收。</w:t>
      </w:r>
    </w:p>
    <w:p>
      <w:pPr>
        <w:pStyle w:val="4"/>
        <w:spacing w:line="360" w:lineRule="auto"/>
        <w:jc w:val="both"/>
        <w:rPr>
          <w:rFonts w:ascii="宋体" w:hAnsi="宋体" w:cs="宋体"/>
        </w:rPr>
      </w:pPr>
      <w:bookmarkStart w:id="12" w:name="_Toc20423"/>
      <w:bookmarkStart w:id="13" w:name="_Toc3606"/>
      <w:r>
        <w:rPr>
          <w:rFonts w:hint="eastAsia" w:ascii="宋体" w:hAnsi="宋体" w:cs="宋体"/>
        </w:rPr>
        <w:t>6 响应文件开启时间和地点</w:t>
      </w:r>
      <w:bookmarkEnd w:id="12"/>
      <w:bookmarkEnd w:id="13"/>
    </w:p>
    <w:p>
      <w:pPr>
        <w:pStyle w:val="16"/>
        <w:widowControl/>
        <w:spacing w:beforeAutospacing="0" w:afterAutospacing="0" w:line="360" w:lineRule="auto"/>
        <w:ind w:firstLine="480" w:firstLineChars="200"/>
        <w:rPr>
          <w:rFonts w:ascii="宋体" w:hAnsi="宋体" w:eastAsia="宋体" w:cs="宋体"/>
          <w:u w:val="single"/>
        </w:rPr>
      </w:pPr>
      <w:r>
        <w:rPr>
          <w:rFonts w:hint="eastAsia" w:ascii="宋体" w:hAnsi="宋体" w:eastAsia="宋体" w:cs="宋体"/>
        </w:rPr>
        <w:t>响应文件开启在响应文件递交截止时间的同一时间进行，地点为响应文件递交地点。邀请所有询比响应人的法定代表人（单位负责人）或其授权的代理人参加开启会议，询比响应人未派代表参加开启会议的，视为默认开启结果。</w:t>
      </w:r>
    </w:p>
    <w:p>
      <w:pPr>
        <w:pStyle w:val="4"/>
        <w:spacing w:line="360" w:lineRule="auto"/>
        <w:jc w:val="both"/>
        <w:rPr>
          <w:rFonts w:ascii="宋体" w:hAnsi="宋体" w:cs="宋体"/>
        </w:rPr>
      </w:pPr>
      <w:bookmarkStart w:id="14" w:name="_Toc26894"/>
      <w:bookmarkStart w:id="15" w:name="_Toc2048"/>
      <w:r>
        <w:rPr>
          <w:rFonts w:hint="eastAsia" w:ascii="宋体" w:hAnsi="宋体" w:cs="宋体"/>
        </w:rPr>
        <w:t>7 发布公告的媒介</w:t>
      </w:r>
      <w:bookmarkEnd w:id="14"/>
      <w:bookmarkEnd w:id="15"/>
    </w:p>
    <w:p>
      <w:pPr>
        <w:pStyle w:val="16"/>
        <w:widowControl/>
        <w:spacing w:beforeAutospacing="0" w:afterAutospacing="0" w:line="360" w:lineRule="auto"/>
        <w:ind w:firstLine="480" w:firstLineChars="200"/>
        <w:rPr>
          <w:rFonts w:ascii="宋体" w:hAnsi="宋体" w:eastAsia="宋体" w:cs="宋体"/>
        </w:rPr>
      </w:pPr>
      <w:r>
        <w:rPr>
          <w:rFonts w:hint="eastAsia" w:ascii="宋体" w:hAnsi="宋体" w:eastAsia="宋体" w:cs="宋体"/>
        </w:rPr>
        <w:t>本询比采购公告在</w:t>
      </w:r>
      <w:r>
        <w:rPr>
          <w:rFonts w:hint="eastAsia" w:ascii="宋体" w:hAnsi="宋体" w:eastAsia="宋体" w:cs="宋体"/>
          <w:u w:val="single"/>
        </w:rPr>
        <w:t>中国采购与招标网、青海项目信息网、上海容基工程项目管理有限公司青海分公司官网（http://rongjiqinghai.aly20.qzkey.com/）</w:t>
      </w:r>
      <w:r>
        <w:rPr>
          <w:rFonts w:hint="eastAsia" w:ascii="宋体" w:hAnsi="宋体" w:eastAsia="宋体" w:cs="宋体"/>
        </w:rPr>
        <w:t>上发布。</w:t>
      </w:r>
    </w:p>
    <w:p>
      <w:pPr>
        <w:pStyle w:val="16"/>
        <w:widowControl/>
        <w:spacing w:beforeAutospacing="0" w:afterAutospacing="0" w:line="360" w:lineRule="auto"/>
        <w:ind w:right="-132" w:rightChars="-63" w:firstLine="480" w:firstLineChars="200"/>
        <w:rPr>
          <w:rFonts w:ascii="宋体" w:hAnsi="宋体" w:eastAsia="宋体" w:cs="宋体"/>
        </w:rPr>
      </w:pPr>
      <w:r>
        <w:rPr>
          <w:rFonts w:hint="eastAsia" w:ascii="宋体" w:hAnsi="宋体" w:eastAsia="宋体" w:cs="宋体"/>
        </w:rPr>
        <w:t>（</w:t>
      </w:r>
      <w:r>
        <w:rPr>
          <w:rFonts w:hint="eastAsia" w:ascii="宋体" w:hAnsi="宋体" w:eastAsia="宋体" w:cs="宋体"/>
          <w:sz w:val="19"/>
          <w:szCs w:val="19"/>
        </w:rPr>
        <w:t>注∶国有资金占控股或主导地位的采购项目，采购公告应在中国招标投标公共服务平台发布，或者通过省级电子招标投标公共服务平台在中国招标投标公共服务平台发布。</w:t>
      </w:r>
      <w:r>
        <w:rPr>
          <w:rFonts w:hint="eastAsia" w:ascii="宋体" w:hAnsi="宋体" w:eastAsia="宋体" w:cs="宋体"/>
        </w:rPr>
        <w:t>）</w:t>
      </w:r>
    </w:p>
    <w:p>
      <w:pPr>
        <w:pStyle w:val="4"/>
        <w:spacing w:line="360" w:lineRule="auto"/>
        <w:jc w:val="both"/>
        <w:rPr>
          <w:rFonts w:hint="eastAsia" w:ascii="宋体" w:hAnsi="宋体" w:eastAsia="宋体" w:cs="宋体"/>
        </w:rPr>
      </w:pPr>
      <w:r>
        <w:rPr>
          <w:rFonts w:hint="eastAsia" w:ascii="宋体" w:hAnsi="宋体" w:eastAsia="宋体" w:cs="宋体"/>
        </w:rPr>
        <w:t>8 其他：无</w:t>
      </w:r>
    </w:p>
    <w:p>
      <w:pPr>
        <w:pStyle w:val="1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rPr>
          <w:rFonts w:hint="eastAsia" w:ascii="宋体" w:hAnsi="宋体" w:eastAsia="宋体" w:cs="宋体"/>
          <w:sz w:val="19"/>
          <w:szCs w:val="19"/>
        </w:rPr>
      </w:pPr>
      <w:r>
        <w:rPr>
          <w:rFonts w:hint="eastAsia" w:ascii="宋体" w:hAnsi="宋体" w:eastAsia="宋体" w:cs="宋体"/>
          <w:sz w:val="19"/>
          <w:szCs w:val="19"/>
        </w:rPr>
        <w:t>（注∶可根据项目情况简述采购项目评审方法等其他需要说明的内容。）</w:t>
      </w:r>
    </w:p>
    <w:p>
      <w:pPr>
        <w:pStyle w:val="4"/>
        <w:spacing w:line="360" w:lineRule="auto"/>
        <w:jc w:val="both"/>
        <w:rPr>
          <w:rFonts w:hint="eastAsia" w:ascii="宋体" w:hAnsi="宋体" w:eastAsia="宋体" w:cs="宋体"/>
        </w:rPr>
      </w:pPr>
      <w:r>
        <w:rPr>
          <w:rFonts w:hint="eastAsia" w:ascii="宋体" w:hAnsi="宋体" w:eastAsia="宋体" w:cs="宋体"/>
        </w:rPr>
        <w:t>9 联系方式</w:t>
      </w:r>
    </w:p>
    <w:tbl>
      <w:tblPr>
        <w:tblStyle w:val="19"/>
        <w:tblW w:w="9968"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15" w:type="dxa"/>
          <w:left w:w="15" w:type="dxa"/>
          <w:bottom w:w="15" w:type="dxa"/>
          <w:right w:w="15" w:type="dxa"/>
        </w:tblCellMar>
      </w:tblPr>
      <w:tblGrid>
        <w:gridCol w:w="4323"/>
        <w:gridCol w:w="564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372" w:hRule="atLeast"/>
        </w:trPr>
        <w:tc>
          <w:tcPr>
            <w:tcW w:w="4323" w:type="dxa"/>
            <w:tcBorders>
              <w:top w:val="nil"/>
              <w:left w:val="nil"/>
              <w:bottom w:val="nil"/>
              <w:right w:val="nil"/>
            </w:tcBorders>
            <w:shd w:val="clear" w:color="auto" w:fill="auto"/>
            <w:tcMar>
              <w:top w:w="0" w:type="dxa"/>
              <w:left w:w="84" w:type="dxa"/>
              <w:bottom w:w="0" w:type="dxa"/>
              <w:right w:w="84" w:type="dxa"/>
            </w:tcMar>
            <w:vAlign w:val="top"/>
          </w:tcPr>
          <w:p>
            <w:pPr>
              <w:pStyle w:val="16"/>
              <w:widowControl/>
              <w:spacing w:beforeAutospacing="0" w:afterAutospacing="0" w:line="360" w:lineRule="auto"/>
              <w:ind w:firstLine="480" w:firstLineChars="200"/>
              <w:rPr>
                <w:rFonts w:hint="eastAsia" w:ascii="宋体" w:hAnsi="宋体" w:eastAsia="宋体" w:cs="宋体"/>
                <w:lang w:eastAsia="zh-CN"/>
              </w:rPr>
            </w:pPr>
            <w:r>
              <w:rPr>
                <w:rFonts w:hint="eastAsia" w:ascii="宋体" w:hAnsi="宋体" w:eastAsia="宋体" w:cs="宋体"/>
              </w:rPr>
              <w:t>采购人：</w:t>
            </w:r>
            <w:r>
              <w:rPr>
                <w:rFonts w:hint="eastAsia" w:ascii="宋体" w:hAnsi="宋体" w:eastAsia="宋体" w:cs="宋体"/>
                <w:lang w:eastAsia="zh-CN"/>
              </w:rPr>
              <w:t>青海民族大学</w:t>
            </w:r>
          </w:p>
        </w:tc>
        <w:tc>
          <w:tcPr>
            <w:tcW w:w="5645" w:type="dxa"/>
            <w:tcBorders>
              <w:top w:val="nil"/>
              <w:left w:val="nil"/>
              <w:bottom w:val="nil"/>
              <w:right w:val="nil"/>
            </w:tcBorders>
            <w:shd w:val="clear" w:color="auto" w:fill="auto"/>
            <w:tcMar>
              <w:top w:w="0" w:type="dxa"/>
              <w:left w:w="84" w:type="dxa"/>
              <w:bottom w:w="0" w:type="dxa"/>
              <w:right w:w="84" w:type="dxa"/>
            </w:tcMar>
            <w:vAlign w:val="top"/>
          </w:tcPr>
          <w:p>
            <w:pPr>
              <w:pStyle w:val="16"/>
              <w:widowControl/>
              <w:spacing w:beforeAutospacing="0" w:afterAutospacing="0" w:line="360" w:lineRule="auto"/>
              <w:rPr>
                <w:rFonts w:hint="eastAsia" w:ascii="宋体" w:hAnsi="宋体" w:eastAsia="宋体" w:cs="宋体"/>
              </w:rPr>
            </w:pPr>
            <w:r>
              <w:rPr>
                <w:rFonts w:hint="eastAsia" w:ascii="宋体" w:hAnsi="宋体" w:eastAsia="宋体" w:cs="宋体"/>
              </w:rPr>
              <w:t>采购代理机构：上海容基工程项目管理有限公司</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564" w:hRule="atLeast"/>
        </w:trPr>
        <w:tc>
          <w:tcPr>
            <w:tcW w:w="4323" w:type="dxa"/>
            <w:tcBorders>
              <w:top w:val="nil"/>
              <w:left w:val="nil"/>
              <w:bottom w:val="nil"/>
              <w:right w:val="nil"/>
            </w:tcBorders>
            <w:shd w:val="clear" w:color="auto" w:fill="auto"/>
            <w:tcMar>
              <w:top w:w="0" w:type="dxa"/>
              <w:left w:w="84" w:type="dxa"/>
              <w:bottom w:w="0" w:type="dxa"/>
              <w:right w:w="84" w:type="dxa"/>
            </w:tcMar>
            <w:vAlign w:val="top"/>
          </w:tcPr>
          <w:p>
            <w:pPr>
              <w:keepNext w:val="0"/>
              <w:keepLines w:val="0"/>
              <w:widowControl/>
              <w:numPr>
                <w:ilvl w:val="0"/>
                <w:numId w:val="0"/>
              </w:numPr>
              <w:suppressLineNumbers w:val="0"/>
              <w:pBdr>
                <w:top w:val="none" w:color="auto" w:sz="0" w:space="0"/>
                <w:left w:val="none" w:color="auto" w:sz="0" w:space="0"/>
                <w:bottom w:val="dashed" w:color="CCCCCC" w:sz="4" w:space="0"/>
                <w:right w:val="none" w:color="auto" w:sz="0" w:space="0"/>
              </w:pBdr>
              <w:spacing w:before="0" w:beforeAutospacing="0" w:after="0" w:afterAutospacing="0"/>
              <w:ind w:left="1455" w:leftChars="228" w:right="0" w:rightChars="0" w:hanging="976" w:hangingChars="407"/>
              <w:textAlignment w:val="center"/>
              <w:rPr>
                <w:rFonts w:hint="eastAsia" w:ascii="宋体" w:hAnsi="宋体" w:eastAsia="宋体" w:cs="宋体"/>
                <w:kern w:val="0"/>
                <w:sz w:val="24"/>
                <w:szCs w:val="24"/>
                <w:lang w:val="en-US" w:eastAsia="zh-CN" w:bidi="ar-SA"/>
              </w:rPr>
            </w:pPr>
            <w:r>
              <w:rPr>
                <w:rFonts w:hint="eastAsia" w:ascii="宋体" w:hAnsi="宋体" w:eastAsia="宋体" w:cs="宋体"/>
                <w:kern w:val="0"/>
                <w:sz w:val="24"/>
                <w:szCs w:val="24"/>
                <w:lang w:val="en-US" w:eastAsia="zh-CN" w:bidi="ar-SA"/>
              </w:rPr>
              <w:t xml:space="preserve">地 址：西宁市城东区八一中路3号 </w:t>
            </w:r>
          </w:p>
          <w:p>
            <w:pPr>
              <w:pStyle w:val="16"/>
              <w:widowControl/>
              <w:spacing w:beforeAutospacing="0" w:afterAutospacing="0" w:line="360" w:lineRule="auto"/>
              <w:rPr>
                <w:rFonts w:hint="eastAsia" w:ascii="宋体" w:hAnsi="宋体" w:eastAsia="宋体" w:cs="宋体"/>
              </w:rPr>
            </w:pPr>
          </w:p>
        </w:tc>
        <w:tc>
          <w:tcPr>
            <w:tcW w:w="5645" w:type="dxa"/>
            <w:tcBorders>
              <w:top w:val="nil"/>
              <w:left w:val="nil"/>
              <w:bottom w:val="nil"/>
              <w:right w:val="nil"/>
            </w:tcBorders>
            <w:shd w:val="clear" w:color="auto" w:fill="auto"/>
            <w:tcMar>
              <w:top w:w="0" w:type="dxa"/>
              <w:left w:w="84" w:type="dxa"/>
              <w:bottom w:w="0" w:type="dxa"/>
              <w:right w:w="84" w:type="dxa"/>
            </w:tcMar>
            <w:vAlign w:val="top"/>
          </w:tcPr>
          <w:p>
            <w:pPr>
              <w:pStyle w:val="16"/>
              <w:widowControl/>
              <w:spacing w:beforeAutospacing="0" w:afterAutospacing="0" w:line="360" w:lineRule="auto"/>
              <w:rPr>
                <w:rFonts w:hint="eastAsia" w:ascii="宋体" w:hAnsi="宋体" w:eastAsia="宋体" w:cs="宋体"/>
              </w:rPr>
            </w:pPr>
            <w:r>
              <w:rPr>
                <w:rFonts w:hint="eastAsia" w:ascii="宋体" w:hAnsi="宋体" w:eastAsia="宋体" w:cs="宋体"/>
              </w:rPr>
              <w:t>地 址：青海省西宁市西川南路76号万达中心1号写字楼6楼10608室</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76" w:hRule="atLeast"/>
        </w:trPr>
        <w:tc>
          <w:tcPr>
            <w:tcW w:w="4323" w:type="dxa"/>
            <w:tcBorders>
              <w:top w:val="nil"/>
              <w:left w:val="nil"/>
              <w:bottom w:val="nil"/>
              <w:right w:val="nil"/>
            </w:tcBorders>
            <w:shd w:val="clear" w:color="auto" w:fill="auto"/>
            <w:tcMar>
              <w:top w:w="0" w:type="dxa"/>
              <w:left w:w="84" w:type="dxa"/>
              <w:bottom w:w="0" w:type="dxa"/>
              <w:right w:w="84" w:type="dxa"/>
            </w:tcMar>
            <w:vAlign w:val="top"/>
          </w:tcPr>
          <w:p>
            <w:pPr>
              <w:pStyle w:val="16"/>
              <w:widowControl/>
              <w:spacing w:beforeAutospacing="0" w:afterAutospacing="0" w:line="360" w:lineRule="auto"/>
              <w:ind w:firstLine="480" w:firstLineChars="200"/>
              <w:rPr>
                <w:rFonts w:hint="default" w:ascii="宋体" w:hAnsi="宋体" w:eastAsia="宋体" w:cs="宋体"/>
                <w:lang w:val="en-US" w:eastAsia="zh-CN"/>
              </w:rPr>
            </w:pPr>
            <w:r>
              <w:rPr>
                <w:rFonts w:hint="eastAsia" w:ascii="宋体" w:hAnsi="宋体" w:eastAsia="宋体" w:cs="宋体"/>
              </w:rPr>
              <w:t>邮政编码：</w:t>
            </w:r>
            <w:r>
              <w:rPr>
                <w:rFonts w:hint="eastAsia" w:ascii="宋体" w:hAnsi="宋体" w:eastAsia="宋体" w:cs="宋体"/>
                <w:lang w:val="en-US" w:eastAsia="zh-CN"/>
              </w:rPr>
              <w:t>810000</w:t>
            </w:r>
          </w:p>
        </w:tc>
        <w:tc>
          <w:tcPr>
            <w:tcW w:w="5645" w:type="dxa"/>
            <w:tcBorders>
              <w:top w:val="nil"/>
              <w:left w:val="nil"/>
              <w:bottom w:val="nil"/>
              <w:right w:val="nil"/>
            </w:tcBorders>
            <w:shd w:val="clear" w:color="auto" w:fill="auto"/>
            <w:tcMar>
              <w:top w:w="0" w:type="dxa"/>
              <w:left w:w="84" w:type="dxa"/>
              <w:bottom w:w="0" w:type="dxa"/>
              <w:right w:w="84" w:type="dxa"/>
            </w:tcMar>
            <w:vAlign w:val="top"/>
          </w:tcPr>
          <w:p>
            <w:pPr>
              <w:pStyle w:val="16"/>
              <w:widowControl/>
              <w:spacing w:beforeAutospacing="0" w:afterAutospacing="0" w:line="360" w:lineRule="auto"/>
              <w:rPr>
                <w:rFonts w:hint="default" w:ascii="宋体" w:hAnsi="宋体" w:eastAsia="宋体" w:cs="宋体"/>
                <w:lang w:val="en-US" w:eastAsia="zh-CN"/>
              </w:rPr>
            </w:pPr>
            <w:r>
              <w:rPr>
                <w:rFonts w:hint="eastAsia" w:ascii="宋体" w:hAnsi="宋体" w:eastAsia="宋体" w:cs="宋体"/>
              </w:rPr>
              <w:t>邮政编码：</w:t>
            </w:r>
            <w:r>
              <w:rPr>
                <w:rFonts w:hint="eastAsia" w:ascii="宋体" w:hAnsi="宋体" w:eastAsia="宋体" w:cs="宋体"/>
                <w:lang w:val="en-US" w:eastAsia="zh-CN"/>
              </w:rPr>
              <w:t>810000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76" w:hRule="atLeast"/>
        </w:trPr>
        <w:tc>
          <w:tcPr>
            <w:tcW w:w="4323" w:type="dxa"/>
            <w:tcBorders>
              <w:top w:val="nil"/>
              <w:left w:val="nil"/>
              <w:bottom w:val="nil"/>
              <w:right w:val="nil"/>
            </w:tcBorders>
            <w:shd w:val="clear" w:color="auto" w:fill="auto"/>
            <w:tcMar>
              <w:top w:w="0" w:type="dxa"/>
              <w:left w:w="84" w:type="dxa"/>
              <w:bottom w:w="0" w:type="dxa"/>
              <w:right w:w="84" w:type="dxa"/>
            </w:tcMar>
            <w:vAlign w:val="top"/>
          </w:tcPr>
          <w:p>
            <w:pPr>
              <w:pStyle w:val="16"/>
              <w:widowControl/>
              <w:spacing w:beforeAutospacing="0" w:afterAutospacing="0" w:line="360" w:lineRule="auto"/>
              <w:ind w:firstLine="480" w:firstLineChars="200"/>
              <w:rPr>
                <w:rFonts w:hint="eastAsia" w:ascii="宋体" w:hAnsi="宋体" w:eastAsia="宋体" w:cs="宋体"/>
                <w:lang w:eastAsia="zh-CN"/>
              </w:rPr>
            </w:pPr>
            <w:r>
              <w:rPr>
                <w:rFonts w:hint="eastAsia" w:ascii="宋体" w:hAnsi="宋体" w:eastAsia="宋体" w:cs="宋体"/>
              </w:rPr>
              <w:t>联系人：</w:t>
            </w:r>
            <w:r>
              <w:rPr>
                <w:rFonts w:hint="eastAsia" w:ascii="宋体" w:hAnsi="宋体" w:eastAsia="宋体" w:cs="宋体"/>
                <w:lang w:eastAsia="zh-CN"/>
              </w:rPr>
              <w:t>李先生</w:t>
            </w:r>
          </w:p>
        </w:tc>
        <w:tc>
          <w:tcPr>
            <w:tcW w:w="5645" w:type="dxa"/>
            <w:tcBorders>
              <w:top w:val="nil"/>
              <w:left w:val="nil"/>
              <w:bottom w:val="nil"/>
              <w:right w:val="nil"/>
            </w:tcBorders>
            <w:shd w:val="clear" w:color="auto" w:fill="auto"/>
            <w:tcMar>
              <w:top w:w="0" w:type="dxa"/>
              <w:left w:w="84" w:type="dxa"/>
              <w:bottom w:w="0" w:type="dxa"/>
              <w:right w:w="84" w:type="dxa"/>
            </w:tcMar>
            <w:vAlign w:val="top"/>
          </w:tcPr>
          <w:p>
            <w:pPr>
              <w:pStyle w:val="16"/>
              <w:widowControl/>
              <w:spacing w:beforeAutospacing="0" w:afterAutospacing="0" w:line="360" w:lineRule="auto"/>
              <w:rPr>
                <w:rFonts w:hint="eastAsia" w:ascii="宋体" w:hAnsi="宋体" w:eastAsia="宋体" w:cs="宋体"/>
              </w:rPr>
            </w:pPr>
            <w:r>
              <w:rPr>
                <w:rFonts w:hint="eastAsia" w:ascii="宋体" w:hAnsi="宋体" w:eastAsia="宋体" w:cs="宋体"/>
              </w:rPr>
              <w:t>联系人：郭女士</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300" w:hRule="atLeast"/>
        </w:trPr>
        <w:tc>
          <w:tcPr>
            <w:tcW w:w="4323" w:type="dxa"/>
            <w:tcBorders>
              <w:top w:val="nil"/>
              <w:left w:val="nil"/>
              <w:bottom w:val="nil"/>
              <w:right w:val="nil"/>
            </w:tcBorders>
            <w:shd w:val="clear" w:color="auto" w:fill="auto"/>
            <w:tcMar>
              <w:top w:w="0" w:type="dxa"/>
              <w:left w:w="84" w:type="dxa"/>
              <w:bottom w:w="0" w:type="dxa"/>
              <w:right w:w="84" w:type="dxa"/>
            </w:tcMar>
            <w:vAlign w:val="top"/>
          </w:tcPr>
          <w:p>
            <w:pPr>
              <w:keepNext w:val="0"/>
              <w:keepLines w:val="0"/>
              <w:widowControl/>
              <w:numPr>
                <w:ilvl w:val="0"/>
                <w:numId w:val="0"/>
              </w:numPr>
              <w:suppressLineNumbers w:val="0"/>
              <w:pBdr>
                <w:top w:val="none" w:color="auto" w:sz="0" w:space="0"/>
                <w:left w:val="none" w:color="auto" w:sz="0" w:space="0"/>
                <w:bottom w:val="dashed" w:color="CCCCCC" w:sz="4" w:space="0"/>
                <w:right w:val="none" w:color="auto" w:sz="0" w:space="0"/>
              </w:pBdr>
              <w:spacing w:before="0" w:beforeAutospacing="0" w:after="0" w:afterAutospacing="0"/>
              <w:ind w:right="0" w:rightChars="0" w:firstLine="480" w:firstLineChars="200"/>
              <w:textAlignment w:val="center"/>
              <w:rPr>
                <w:rFonts w:hint="eastAsia" w:ascii="宋体" w:hAnsi="宋体" w:eastAsia="宋体" w:cs="宋体"/>
                <w:kern w:val="0"/>
                <w:sz w:val="24"/>
                <w:szCs w:val="24"/>
                <w:lang w:val="en-US" w:eastAsia="zh-CN" w:bidi="ar-SA"/>
              </w:rPr>
            </w:pPr>
            <w:r>
              <w:rPr>
                <w:rFonts w:hint="eastAsia" w:ascii="宋体" w:hAnsi="宋体" w:eastAsia="宋体" w:cs="宋体"/>
                <w:kern w:val="0"/>
                <w:sz w:val="24"/>
                <w:szCs w:val="24"/>
                <w:lang w:val="en-US" w:eastAsia="zh-CN" w:bidi="ar-SA"/>
              </w:rPr>
              <w:t xml:space="preserve">电 话：0971-8802687 </w:t>
            </w:r>
          </w:p>
          <w:p>
            <w:pPr>
              <w:pStyle w:val="16"/>
              <w:widowControl/>
              <w:spacing w:beforeAutospacing="0" w:afterAutospacing="0" w:line="360" w:lineRule="auto"/>
              <w:rPr>
                <w:rFonts w:hint="eastAsia" w:ascii="宋体" w:hAnsi="宋体" w:eastAsia="宋体" w:cs="宋体"/>
              </w:rPr>
            </w:pPr>
          </w:p>
        </w:tc>
        <w:tc>
          <w:tcPr>
            <w:tcW w:w="5645" w:type="dxa"/>
            <w:tcBorders>
              <w:top w:val="nil"/>
              <w:left w:val="nil"/>
              <w:bottom w:val="nil"/>
              <w:right w:val="nil"/>
            </w:tcBorders>
            <w:shd w:val="clear" w:color="auto" w:fill="auto"/>
            <w:tcMar>
              <w:top w:w="0" w:type="dxa"/>
              <w:left w:w="84" w:type="dxa"/>
              <w:bottom w:w="0" w:type="dxa"/>
              <w:right w:w="84" w:type="dxa"/>
            </w:tcMar>
            <w:vAlign w:val="top"/>
          </w:tcPr>
          <w:p>
            <w:pPr>
              <w:pStyle w:val="16"/>
              <w:widowControl/>
              <w:spacing w:beforeAutospacing="0" w:afterAutospacing="0" w:line="360" w:lineRule="auto"/>
              <w:rPr>
                <w:rFonts w:hint="eastAsia" w:ascii="宋体" w:hAnsi="宋体" w:eastAsia="宋体" w:cs="宋体"/>
              </w:rPr>
            </w:pPr>
            <w:r>
              <w:rPr>
                <w:rFonts w:hint="eastAsia" w:ascii="宋体" w:hAnsi="宋体" w:eastAsia="宋体" w:cs="宋体"/>
              </w:rPr>
              <w:t>电 话：0971-8162798/8166798-8084</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360" w:hRule="atLeast"/>
        </w:trPr>
        <w:tc>
          <w:tcPr>
            <w:tcW w:w="4323" w:type="dxa"/>
            <w:tcBorders>
              <w:top w:val="nil"/>
              <w:left w:val="nil"/>
              <w:bottom w:val="nil"/>
              <w:right w:val="nil"/>
            </w:tcBorders>
            <w:shd w:val="clear" w:color="auto" w:fill="auto"/>
            <w:tcMar>
              <w:top w:w="0" w:type="dxa"/>
              <w:left w:w="84" w:type="dxa"/>
              <w:bottom w:w="0" w:type="dxa"/>
              <w:right w:w="84" w:type="dxa"/>
            </w:tcMar>
            <w:vAlign w:val="top"/>
          </w:tcPr>
          <w:p>
            <w:pPr>
              <w:pStyle w:val="16"/>
              <w:widowControl/>
              <w:spacing w:beforeAutospacing="0" w:afterAutospacing="0" w:line="360" w:lineRule="auto"/>
              <w:ind w:firstLine="480" w:firstLineChars="200"/>
              <w:rPr>
                <w:rFonts w:hint="eastAsia" w:ascii="宋体" w:hAnsi="宋体" w:eastAsia="宋体" w:cs="宋体"/>
              </w:rPr>
            </w:pPr>
            <w:r>
              <w:rPr>
                <w:rFonts w:hint="eastAsia" w:ascii="宋体" w:hAnsi="宋体" w:eastAsia="宋体" w:cs="宋体"/>
              </w:rPr>
              <w:t>开户银行：</w:t>
            </w:r>
          </w:p>
        </w:tc>
        <w:tc>
          <w:tcPr>
            <w:tcW w:w="5645" w:type="dxa"/>
            <w:tcBorders>
              <w:top w:val="nil"/>
              <w:left w:val="nil"/>
              <w:bottom w:val="nil"/>
              <w:right w:val="nil"/>
            </w:tcBorders>
            <w:shd w:val="clear" w:color="auto" w:fill="auto"/>
            <w:tcMar>
              <w:top w:w="0" w:type="dxa"/>
              <w:left w:w="84" w:type="dxa"/>
              <w:bottom w:w="0" w:type="dxa"/>
              <w:right w:w="84" w:type="dxa"/>
            </w:tcMar>
            <w:vAlign w:val="top"/>
          </w:tcPr>
          <w:p>
            <w:pPr>
              <w:pStyle w:val="16"/>
              <w:widowControl/>
              <w:spacing w:beforeAutospacing="0" w:afterAutospacing="0" w:line="360" w:lineRule="auto"/>
              <w:rPr>
                <w:rFonts w:hint="eastAsia" w:ascii="宋体" w:hAnsi="宋体" w:eastAsia="宋体" w:cs="宋体"/>
              </w:rPr>
            </w:pPr>
            <w:r>
              <w:rPr>
                <w:rFonts w:hint="eastAsia" w:ascii="宋体" w:hAnsi="宋体" w:eastAsia="宋体" w:cs="宋体"/>
              </w:rPr>
              <w:t>开户银行：中国工商银行股份有限公司西宁城西支行</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28" w:hRule="atLeast"/>
        </w:trPr>
        <w:tc>
          <w:tcPr>
            <w:tcW w:w="4323" w:type="dxa"/>
            <w:tcBorders>
              <w:top w:val="nil"/>
              <w:left w:val="nil"/>
              <w:bottom w:val="nil"/>
              <w:right w:val="nil"/>
            </w:tcBorders>
            <w:shd w:val="clear" w:color="auto" w:fill="auto"/>
            <w:tcMar>
              <w:top w:w="0" w:type="dxa"/>
              <w:left w:w="84" w:type="dxa"/>
              <w:bottom w:w="0" w:type="dxa"/>
              <w:right w:w="84" w:type="dxa"/>
            </w:tcMar>
            <w:vAlign w:val="top"/>
          </w:tcPr>
          <w:p>
            <w:pPr>
              <w:pStyle w:val="16"/>
              <w:widowControl/>
              <w:spacing w:beforeAutospacing="0" w:afterAutospacing="0" w:line="360" w:lineRule="auto"/>
              <w:ind w:firstLine="480" w:firstLineChars="200"/>
              <w:rPr>
                <w:rFonts w:hint="eastAsia" w:ascii="宋体" w:hAnsi="宋体" w:eastAsia="宋体" w:cs="宋体"/>
              </w:rPr>
            </w:pPr>
            <w:r>
              <w:rPr>
                <w:rFonts w:hint="eastAsia" w:ascii="宋体" w:hAnsi="宋体" w:eastAsia="宋体" w:cs="宋体"/>
              </w:rPr>
              <w:t>账 号：</w:t>
            </w:r>
          </w:p>
        </w:tc>
        <w:tc>
          <w:tcPr>
            <w:tcW w:w="5645" w:type="dxa"/>
            <w:tcBorders>
              <w:top w:val="nil"/>
              <w:left w:val="nil"/>
              <w:bottom w:val="nil"/>
              <w:right w:val="nil"/>
            </w:tcBorders>
            <w:shd w:val="clear" w:color="auto" w:fill="auto"/>
            <w:tcMar>
              <w:top w:w="0" w:type="dxa"/>
              <w:left w:w="84" w:type="dxa"/>
              <w:bottom w:w="0" w:type="dxa"/>
              <w:right w:w="84" w:type="dxa"/>
            </w:tcMar>
            <w:vAlign w:val="top"/>
          </w:tcPr>
          <w:p>
            <w:pPr>
              <w:pStyle w:val="16"/>
              <w:widowControl/>
              <w:spacing w:beforeAutospacing="0" w:afterAutospacing="0" w:line="360" w:lineRule="auto"/>
              <w:rPr>
                <w:rFonts w:hint="eastAsia" w:ascii="宋体" w:hAnsi="宋体" w:eastAsia="宋体" w:cs="宋体"/>
              </w:rPr>
            </w:pPr>
            <w:r>
              <w:rPr>
                <w:rFonts w:hint="eastAsia" w:ascii="宋体" w:hAnsi="宋体" w:eastAsia="宋体" w:cs="宋体"/>
              </w:rPr>
              <w:t>账 号：2806002209000006196</w:t>
            </w:r>
          </w:p>
        </w:tc>
      </w:tr>
    </w:tbl>
    <w:p>
      <w:pPr>
        <w:pStyle w:val="16"/>
        <w:keepNext w:val="0"/>
        <w:keepLines w:val="0"/>
        <w:widowControl/>
        <w:suppressLineNumbers w:val="0"/>
        <w:spacing w:before="60" w:beforeAutospacing="0" w:after="60" w:afterAutospacing="0"/>
        <w:ind w:left="0" w:right="0"/>
        <w:jc w:val="right"/>
        <w:rPr>
          <w:rFonts w:hint="eastAsia" w:ascii="宋体" w:hAnsi="宋体" w:eastAsia="宋体" w:cs="宋体"/>
        </w:rPr>
      </w:pPr>
      <w:r>
        <w:rPr>
          <w:rFonts w:hint="eastAsia" w:ascii="宋体" w:hAnsi="宋体" w:eastAsia="宋体" w:cs="宋体"/>
        </w:rPr>
        <w:t>2022年0</w:t>
      </w:r>
      <w:r>
        <w:rPr>
          <w:rFonts w:hint="eastAsia" w:ascii="宋体" w:hAnsi="宋体" w:eastAsia="宋体" w:cs="宋体"/>
          <w:lang w:val="en-US" w:eastAsia="zh-CN"/>
        </w:rPr>
        <w:t>7</w:t>
      </w:r>
      <w:r>
        <w:rPr>
          <w:rFonts w:hint="eastAsia" w:ascii="宋体" w:hAnsi="宋体" w:eastAsia="宋体" w:cs="宋体"/>
        </w:rPr>
        <w:t>月</w:t>
      </w:r>
      <w:r>
        <w:rPr>
          <w:rFonts w:hint="eastAsia" w:ascii="宋体" w:hAnsi="宋体" w:eastAsia="宋体" w:cs="宋体"/>
          <w:lang w:val="en-US" w:eastAsia="zh-CN"/>
        </w:rPr>
        <w:t>20</w:t>
      </w:r>
    </w:p>
    <w:p>
      <w:pPr>
        <w:pStyle w:val="3"/>
        <w:pageBreakBefore w:val="0"/>
        <w:kinsoku/>
        <w:overflowPunct/>
        <w:topLinePunct w:val="0"/>
        <w:bidi w:val="0"/>
        <w:snapToGrid/>
        <w:spacing w:line="360" w:lineRule="auto"/>
        <w:ind w:firstLine="1767" w:firstLineChars="400"/>
        <w:jc w:val="left"/>
        <w:rPr>
          <w:rFonts w:hint="eastAsia" w:ascii="宋体" w:hAnsi="宋体" w:eastAsia="宋体" w:cs="宋体"/>
          <w:color w:val="auto"/>
          <w:highlight w:val="none"/>
        </w:rPr>
      </w:pPr>
      <w:r>
        <w:rPr>
          <w:rFonts w:hint="eastAsia" w:ascii="宋体" w:hAnsi="宋体" w:eastAsia="宋体" w:cs="宋体"/>
          <w:color w:val="auto"/>
          <w:highlight w:val="none"/>
        </w:rPr>
        <w:t xml:space="preserve">第二章  </w:t>
      </w:r>
      <w:r>
        <w:rPr>
          <w:rFonts w:hint="eastAsia" w:ascii="宋体" w:hAnsi="宋体" w:eastAsia="宋体" w:cs="宋体"/>
          <w:color w:val="auto"/>
          <w:highlight w:val="none"/>
          <w:lang w:eastAsia="zh-CN"/>
        </w:rPr>
        <w:t>询比响应人</w:t>
      </w:r>
      <w:r>
        <w:rPr>
          <w:rFonts w:hint="eastAsia" w:ascii="宋体" w:hAnsi="宋体" w:eastAsia="宋体" w:cs="宋体"/>
          <w:color w:val="auto"/>
          <w:highlight w:val="none"/>
        </w:rPr>
        <w:t>须知</w:t>
      </w:r>
      <w:bookmarkEnd w:id="2"/>
      <w:bookmarkEnd w:id="3"/>
    </w:p>
    <w:p>
      <w:pPr>
        <w:pStyle w:val="4"/>
        <w:pageBreakBefore w:val="0"/>
        <w:kinsoku/>
        <w:overflowPunct/>
        <w:topLinePunct w:val="0"/>
        <w:bidi w:val="0"/>
        <w:snapToGrid/>
        <w:spacing w:line="360" w:lineRule="auto"/>
        <w:ind w:firstLine="2811" w:firstLineChars="1000"/>
        <w:jc w:val="left"/>
        <w:rPr>
          <w:rFonts w:hint="eastAsia" w:ascii="宋体" w:hAnsi="宋体" w:eastAsia="宋体" w:cs="宋体"/>
          <w:color w:val="auto"/>
          <w:highlight w:val="none"/>
        </w:rPr>
      </w:pPr>
      <w:bookmarkStart w:id="16" w:name="_Toc22904"/>
      <w:bookmarkStart w:id="17" w:name="_Toc32586"/>
      <w:r>
        <w:rPr>
          <w:rFonts w:hint="eastAsia" w:ascii="宋体" w:hAnsi="宋体" w:eastAsia="宋体" w:cs="宋体"/>
          <w:color w:val="auto"/>
          <w:highlight w:val="none"/>
          <w:lang w:eastAsia="zh-CN"/>
        </w:rPr>
        <w:t>询比响应人</w:t>
      </w:r>
      <w:r>
        <w:rPr>
          <w:rFonts w:hint="eastAsia" w:ascii="宋体" w:hAnsi="宋体" w:eastAsia="宋体" w:cs="宋体"/>
          <w:color w:val="auto"/>
          <w:highlight w:val="none"/>
        </w:rPr>
        <w:t>须知前附表</w:t>
      </w:r>
      <w:bookmarkEnd w:id="16"/>
      <w:bookmarkEnd w:id="17"/>
    </w:p>
    <w:tbl>
      <w:tblPr>
        <w:tblStyle w:val="20"/>
        <w:tblW w:w="1060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437"/>
        <w:gridCol w:w="3075"/>
        <w:gridCol w:w="609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8" w:hRule="atLeast"/>
          <w:jc w:val="center"/>
        </w:trPr>
        <w:tc>
          <w:tcPr>
            <w:tcW w:w="1437" w:type="dxa"/>
            <w:vAlign w:val="center"/>
          </w:tcPr>
          <w:p>
            <w:pPr>
              <w:pStyle w:val="16"/>
              <w:keepNext w:val="0"/>
              <w:keepLines w:val="0"/>
              <w:pageBreakBefore w:val="0"/>
              <w:widowControl/>
              <w:kinsoku/>
              <w:wordWrap/>
              <w:overflowPunct/>
              <w:topLinePunct w:val="0"/>
              <w:autoSpaceDE/>
              <w:autoSpaceDN/>
              <w:bidi w:val="0"/>
              <w:adjustRightInd/>
              <w:snapToGrid/>
              <w:spacing w:beforeAutospacing="0" w:afterAutospacing="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条款号</w:t>
            </w:r>
          </w:p>
        </w:tc>
        <w:tc>
          <w:tcPr>
            <w:tcW w:w="3075" w:type="dxa"/>
            <w:vAlign w:val="center"/>
          </w:tcPr>
          <w:p>
            <w:pPr>
              <w:pStyle w:val="16"/>
              <w:keepNext w:val="0"/>
              <w:keepLines w:val="0"/>
              <w:pageBreakBefore w:val="0"/>
              <w:widowControl/>
              <w:kinsoku/>
              <w:wordWrap/>
              <w:overflowPunct/>
              <w:topLinePunct w:val="0"/>
              <w:autoSpaceDE/>
              <w:autoSpaceDN/>
              <w:bidi w:val="0"/>
              <w:adjustRightInd/>
              <w:snapToGrid/>
              <w:spacing w:beforeAutospacing="0" w:afterAutospacing="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条 款 内 容</w:t>
            </w:r>
          </w:p>
        </w:tc>
        <w:tc>
          <w:tcPr>
            <w:tcW w:w="6095" w:type="dxa"/>
            <w:vAlign w:val="center"/>
          </w:tcPr>
          <w:p>
            <w:pPr>
              <w:pStyle w:val="16"/>
              <w:keepNext w:val="0"/>
              <w:keepLines w:val="0"/>
              <w:pageBreakBefore w:val="0"/>
              <w:widowControl/>
              <w:kinsoku/>
              <w:wordWrap/>
              <w:overflowPunct/>
              <w:topLinePunct w:val="0"/>
              <w:autoSpaceDE/>
              <w:autoSpaceDN/>
              <w:bidi w:val="0"/>
              <w:adjustRightInd/>
              <w:snapToGrid/>
              <w:spacing w:beforeAutospacing="0" w:afterAutospacing="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编 列 内 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65" w:hRule="atLeast"/>
          <w:jc w:val="center"/>
        </w:trPr>
        <w:tc>
          <w:tcPr>
            <w:tcW w:w="1437" w:type="dxa"/>
            <w:vAlign w:val="center"/>
          </w:tcPr>
          <w:p>
            <w:pPr>
              <w:pStyle w:val="16"/>
              <w:keepNext w:val="0"/>
              <w:keepLines w:val="0"/>
              <w:pageBreakBefore w:val="0"/>
              <w:widowControl/>
              <w:kinsoku/>
              <w:wordWrap/>
              <w:overflowPunct/>
              <w:topLinePunct w:val="0"/>
              <w:autoSpaceDE/>
              <w:autoSpaceDN/>
              <w:bidi w:val="0"/>
              <w:adjustRightInd/>
              <w:snapToGrid/>
              <w:spacing w:beforeAutospacing="0" w:afterAutospacing="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1.7.1</w:t>
            </w:r>
          </w:p>
        </w:tc>
        <w:tc>
          <w:tcPr>
            <w:tcW w:w="3075" w:type="dxa"/>
            <w:vAlign w:val="center"/>
          </w:tcPr>
          <w:p>
            <w:pPr>
              <w:pStyle w:val="16"/>
              <w:keepNext w:val="0"/>
              <w:keepLines w:val="0"/>
              <w:pageBreakBefore w:val="0"/>
              <w:widowControl/>
              <w:kinsoku/>
              <w:wordWrap/>
              <w:overflowPunct/>
              <w:topLinePunct w:val="0"/>
              <w:autoSpaceDE/>
              <w:autoSpaceDN/>
              <w:bidi w:val="0"/>
              <w:adjustRightInd/>
              <w:snapToGrid/>
              <w:spacing w:beforeAutospacing="0" w:afterAutospacing="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踏勘现场</w:t>
            </w:r>
          </w:p>
        </w:tc>
        <w:tc>
          <w:tcPr>
            <w:tcW w:w="6095" w:type="dxa"/>
            <w:vAlign w:val="center"/>
          </w:tcPr>
          <w:p>
            <w:pPr>
              <w:pStyle w:val="16"/>
              <w:keepNext w:val="0"/>
              <w:keepLines w:val="0"/>
              <w:pageBreakBefore w:val="0"/>
              <w:widowControl/>
              <w:kinsoku/>
              <w:wordWrap/>
              <w:overflowPunct/>
              <w:topLinePunct w:val="0"/>
              <w:autoSpaceDE/>
              <w:autoSpaceDN/>
              <w:bidi w:val="0"/>
              <w:adjustRightInd/>
              <w:snapToGrid/>
              <w:spacing w:beforeAutospacing="0" w:afterAutospacing="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sym w:font="Wingdings 2" w:char="0052"/>
            </w:r>
            <w:r>
              <w:rPr>
                <w:rFonts w:hint="eastAsia" w:ascii="宋体" w:hAnsi="宋体" w:eastAsia="宋体" w:cs="宋体"/>
                <w:color w:val="auto"/>
                <w:sz w:val="24"/>
                <w:szCs w:val="24"/>
                <w:highlight w:val="none"/>
              </w:rPr>
              <w:t>不组织</w:t>
            </w:r>
          </w:p>
          <w:p>
            <w:pPr>
              <w:pStyle w:val="16"/>
              <w:keepNext w:val="0"/>
              <w:keepLines w:val="0"/>
              <w:pageBreakBefore w:val="0"/>
              <w:widowControl/>
              <w:kinsoku/>
              <w:wordWrap/>
              <w:overflowPunct/>
              <w:topLinePunct w:val="0"/>
              <w:autoSpaceDE/>
              <w:autoSpaceDN/>
              <w:bidi w:val="0"/>
              <w:adjustRightInd/>
              <w:snapToGrid/>
              <w:spacing w:beforeAutospacing="0" w:afterAutospacing="0" w:line="360" w:lineRule="auto"/>
              <w:jc w:val="lef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sym w:font="Wingdings 2" w:char="00A3"/>
            </w:r>
            <w:r>
              <w:rPr>
                <w:rFonts w:hint="eastAsia" w:ascii="宋体" w:hAnsi="宋体" w:eastAsia="宋体" w:cs="宋体"/>
                <w:color w:val="auto"/>
                <w:sz w:val="24"/>
                <w:szCs w:val="24"/>
                <w:highlight w:val="none"/>
              </w:rPr>
              <w:t>组织，踏勘时间：</w:t>
            </w:r>
            <w:r>
              <w:rPr>
                <w:rFonts w:hint="eastAsia" w:ascii="宋体" w:hAnsi="宋体" w:eastAsia="宋体" w:cs="宋体"/>
                <w:color w:val="auto"/>
                <w:sz w:val="24"/>
                <w:szCs w:val="24"/>
                <w:highlight w:val="none"/>
                <w:u w:val="single"/>
              </w:rPr>
              <w:t xml:space="preserve">                   </w:t>
            </w:r>
          </w:p>
          <w:p>
            <w:pPr>
              <w:pStyle w:val="16"/>
              <w:keepNext w:val="0"/>
              <w:keepLines w:val="0"/>
              <w:pageBreakBefore w:val="0"/>
              <w:widowControl/>
              <w:kinsoku/>
              <w:wordWrap/>
              <w:overflowPunct/>
              <w:topLinePunct w:val="0"/>
              <w:autoSpaceDE/>
              <w:autoSpaceDN/>
              <w:bidi w:val="0"/>
              <w:adjustRightInd/>
              <w:snapToGrid/>
              <w:spacing w:beforeAutospacing="0" w:afterAutospacing="0" w:line="360" w:lineRule="auto"/>
              <w:ind w:firstLine="960" w:firstLineChars="400"/>
              <w:jc w:val="lef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踏勘集中地点：</w:t>
            </w:r>
            <w:r>
              <w:rPr>
                <w:rFonts w:hint="eastAsia" w:ascii="宋体" w:hAnsi="宋体" w:eastAsia="宋体" w:cs="宋体"/>
                <w:color w:val="auto"/>
                <w:sz w:val="24"/>
                <w:szCs w:val="24"/>
                <w:highlight w:val="none"/>
                <w:u w:val="single"/>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65" w:hRule="atLeast"/>
          <w:jc w:val="center"/>
        </w:trPr>
        <w:tc>
          <w:tcPr>
            <w:tcW w:w="1437" w:type="dxa"/>
            <w:vAlign w:val="center"/>
          </w:tcPr>
          <w:p>
            <w:pPr>
              <w:pStyle w:val="16"/>
              <w:keepNext w:val="0"/>
              <w:keepLines w:val="0"/>
              <w:pageBreakBefore w:val="0"/>
              <w:widowControl/>
              <w:kinsoku/>
              <w:wordWrap/>
              <w:overflowPunct/>
              <w:topLinePunct w:val="0"/>
              <w:autoSpaceDE/>
              <w:autoSpaceDN/>
              <w:bidi w:val="0"/>
              <w:adjustRightInd/>
              <w:snapToGrid/>
              <w:spacing w:beforeAutospacing="0" w:afterAutospacing="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1.8</w:t>
            </w:r>
          </w:p>
        </w:tc>
        <w:tc>
          <w:tcPr>
            <w:tcW w:w="3075" w:type="dxa"/>
            <w:vAlign w:val="center"/>
          </w:tcPr>
          <w:p>
            <w:pPr>
              <w:pStyle w:val="16"/>
              <w:keepNext w:val="0"/>
              <w:keepLines w:val="0"/>
              <w:pageBreakBefore w:val="0"/>
              <w:widowControl/>
              <w:kinsoku/>
              <w:wordWrap/>
              <w:overflowPunct/>
              <w:topLinePunct w:val="0"/>
              <w:autoSpaceDE/>
              <w:autoSpaceDN/>
              <w:bidi w:val="0"/>
              <w:adjustRightInd/>
              <w:snapToGrid/>
              <w:spacing w:beforeAutospacing="0" w:afterAutospacing="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询比采购预备会</w:t>
            </w:r>
          </w:p>
        </w:tc>
        <w:tc>
          <w:tcPr>
            <w:tcW w:w="6095" w:type="dxa"/>
            <w:vAlign w:val="center"/>
          </w:tcPr>
          <w:p>
            <w:pPr>
              <w:pStyle w:val="16"/>
              <w:keepNext w:val="0"/>
              <w:keepLines w:val="0"/>
              <w:pageBreakBefore w:val="0"/>
              <w:widowControl/>
              <w:kinsoku/>
              <w:wordWrap/>
              <w:overflowPunct/>
              <w:topLinePunct w:val="0"/>
              <w:autoSpaceDE/>
              <w:autoSpaceDN/>
              <w:bidi w:val="0"/>
              <w:adjustRightInd/>
              <w:snapToGrid/>
              <w:spacing w:beforeAutospacing="0" w:afterAutospacing="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sym w:font="Wingdings 2" w:char="0052"/>
            </w:r>
            <w:r>
              <w:rPr>
                <w:rFonts w:hint="eastAsia" w:ascii="宋体" w:hAnsi="宋体" w:eastAsia="宋体" w:cs="宋体"/>
                <w:color w:val="auto"/>
                <w:sz w:val="24"/>
                <w:szCs w:val="24"/>
                <w:highlight w:val="none"/>
              </w:rPr>
              <w:t>不召开</w:t>
            </w:r>
          </w:p>
          <w:p>
            <w:pPr>
              <w:pStyle w:val="16"/>
              <w:keepNext w:val="0"/>
              <w:keepLines w:val="0"/>
              <w:pageBreakBefore w:val="0"/>
              <w:widowControl/>
              <w:kinsoku/>
              <w:wordWrap/>
              <w:overflowPunct/>
              <w:topLinePunct w:val="0"/>
              <w:autoSpaceDE/>
              <w:autoSpaceDN/>
              <w:bidi w:val="0"/>
              <w:adjustRightInd/>
              <w:snapToGrid/>
              <w:spacing w:beforeAutospacing="0" w:afterAutospacing="0" w:line="360" w:lineRule="auto"/>
              <w:jc w:val="lef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sym w:font="Wingdings 2" w:char="00A3"/>
            </w:r>
            <w:r>
              <w:rPr>
                <w:rFonts w:hint="eastAsia" w:ascii="宋体" w:hAnsi="宋体" w:eastAsia="宋体" w:cs="宋体"/>
                <w:color w:val="auto"/>
                <w:sz w:val="24"/>
                <w:szCs w:val="24"/>
                <w:highlight w:val="none"/>
              </w:rPr>
              <w:t>召开，召开时间：</w:t>
            </w:r>
            <w:r>
              <w:rPr>
                <w:rFonts w:hint="eastAsia" w:ascii="宋体" w:hAnsi="宋体" w:eastAsia="宋体" w:cs="宋体"/>
                <w:color w:val="auto"/>
                <w:sz w:val="24"/>
                <w:szCs w:val="24"/>
                <w:highlight w:val="none"/>
                <w:u w:val="single"/>
              </w:rPr>
              <w:t xml:space="preserve">                   </w:t>
            </w:r>
          </w:p>
          <w:p>
            <w:pPr>
              <w:pStyle w:val="16"/>
              <w:keepNext w:val="0"/>
              <w:keepLines w:val="0"/>
              <w:pageBreakBefore w:val="0"/>
              <w:widowControl/>
              <w:kinsoku/>
              <w:wordWrap/>
              <w:overflowPunct/>
              <w:topLinePunct w:val="0"/>
              <w:autoSpaceDE/>
              <w:autoSpaceDN/>
              <w:bidi w:val="0"/>
              <w:adjustRightInd/>
              <w:snapToGrid/>
              <w:spacing w:beforeAutospacing="0" w:afterAutospacing="0" w:line="360" w:lineRule="auto"/>
              <w:ind w:firstLine="960" w:firstLineChars="4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召开地点：</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8" w:hRule="atLeast"/>
          <w:jc w:val="center"/>
        </w:trPr>
        <w:tc>
          <w:tcPr>
            <w:tcW w:w="1437" w:type="dxa"/>
            <w:vAlign w:val="center"/>
          </w:tcPr>
          <w:p>
            <w:pPr>
              <w:pStyle w:val="16"/>
              <w:keepNext w:val="0"/>
              <w:keepLines w:val="0"/>
              <w:pageBreakBefore w:val="0"/>
              <w:widowControl/>
              <w:kinsoku/>
              <w:wordWrap/>
              <w:overflowPunct/>
              <w:topLinePunct w:val="0"/>
              <w:autoSpaceDE/>
              <w:autoSpaceDN/>
              <w:bidi w:val="0"/>
              <w:adjustRightInd/>
              <w:snapToGrid/>
              <w:spacing w:beforeAutospacing="0" w:afterAutospacing="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1.9</w:t>
            </w:r>
          </w:p>
        </w:tc>
        <w:tc>
          <w:tcPr>
            <w:tcW w:w="3075" w:type="dxa"/>
            <w:vAlign w:val="center"/>
          </w:tcPr>
          <w:p>
            <w:pPr>
              <w:pStyle w:val="16"/>
              <w:keepNext w:val="0"/>
              <w:keepLines w:val="0"/>
              <w:pageBreakBefore w:val="0"/>
              <w:widowControl/>
              <w:kinsoku/>
              <w:wordWrap/>
              <w:overflowPunct/>
              <w:topLinePunct w:val="0"/>
              <w:autoSpaceDE/>
              <w:autoSpaceDN/>
              <w:bidi w:val="0"/>
              <w:adjustRightInd/>
              <w:snapToGrid/>
              <w:spacing w:beforeAutospacing="0" w:afterAutospacing="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分包（A、C）</w:t>
            </w:r>
          </w:p>
        </w:tc>
        <w:tc>
          <w:tcPr>
            <w:tcW w:w="6095" w:type="dxa"/>
            <w:vAlign w:val="center"/>
          </w:tcPr>
          <w:p>
            <w:pPr>
              <w:keepNext w:val="0"/>
              <w:keepLines w:val="0"/>
              <w:pageBreakBefore w:val="0"/>
              <w:kinsoku/>
              <w:wordWrap/>
              <w:overflowPunct/>
              <w:topLinePunct w:val="0"/>
              <w:autoSpaceDE/>
              <w:autoSpaceDN/>
              <w:bidi w:val="0"/>
              <w:adjustRightInd/>
              <w:snapToGrid/>
              <w:spacing w:line="360" w:lineRule="auto"/>
              <w:jc w:val="lef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不得分包的内容∶</w:t>
            </w:r>
            <w:r>
              <w:rPr>
                <w:rFonts w:hint="eastAsia" w:ascii="宋体" w:hAnsi="宋体" w:eastAsia="宋体" w:cs="宋体"/>
                <w:color w:val="auto"/>
                <w:sz w:val="24"/>
                <w:szCs w:val="24"/>
                <w:highlight w:val="none"/>
                <w:u w:val="single"/>
              </w:rPr>
              <w:t xml:space="preserve">       /                  </w:t>
            </w:r>
          </w:p>
          <w:p>
            <w:pPr>
              <w:keepNext w:val="0"/>
              <w:keepLines w:val="0"/>
              <w:pageBreakBefore w:val="0"/>
              <w:kinsoku/>
              <w:wordWrap/>
              <w:overflowPunct/>
              <w:topLinePunct w:val="0"/>
              <w:autoSpaceDE/>
              <w:autoSpaceDN/>
              <w:bidi w:val="0"/>
              <w:adjustRightInd/>
              <w:snapToGrid/>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对分包</w:t>
            </w:r>
            <w:r>
              <w:rPr>
                <w:rFonts w:hint="eastAsia" w:ascii="宋体" w:hAnsi="宋体" w:eastAsia="宋体" w:cs="宋体"/>
                <w:color w:val="auto"/>
                <w:sz w:val="24"/>
                <w:szCs w:val="24"/>
                <w:highlight w:val="none"/>
                <w:lang w:eastAsia="zh-CN"/>
              </w:rPr>
              <w:t>询比响应人</w:t>
            </w:r>
            <w:r>
              <w:rPr>
                <w:rFonts w:hint="eastAsia" w:ascii="宋体" w:hAnsi="宋体" w:eastAsia="宋体" w:cs="宋体"/>
                <w:color w:val="auto"/>
                <w:sz w:val="24"/>
                <w:szCs w:val="24"/>
                <w:highlight w:val="none"/>
              </w:rPr>
              <w:t>的要求∶</w:t>
            </w:r>
            <w:r>
              <w:rPr>
                <w:rFonts w:hint="eastAsia" w:ascii="宋体" w:hAnsi="宋体" w:eastAsia="宋体" w:cs="宋体"/>
                <w:color w:val="auto"/>
                <w:sz w:val="24"/>
                <w:szCs w:val="24"/>
                <w:highlight w:val="none"/>
                <w:u w:val="single"/>
              </w:rPr>
              <w:t xml:space="preserve">     /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8" w:hRule="atLeast"/>
          <w:jc w:val="center"/>
        </w:trPr>
        <w:tc>
          <w:tcPr>
            <w:tcW w:w="1437" w:type="dxa"/>
            <w:vAlign w:val="center"/>
          </w:tcPr>
          <w:p>
            <w:pPr>
              <w:pStyle w:val="16"/>
              <w:keepNext w:val="0"/>
              <w:keepLines w:val="0"/>
              <w:pageBreakBefore w:val="0"/>
              <w:widowControl/>
              <w:kinsoku/>
              <w:wordWrap/>
              <w:overflowPunct/>
              <w:topLinePunct w:val="0"/>
              <w:autoSpaceDE/>
              <w:autoSpaceDN/>
              <w:bidi w:val="0"/>
              <w:adjustRightInd/>
              <w:snapToGrid/>
              <w:spacing w:beforeAutospacing="0" w:afterAutospacing="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1.10.2</w:t>
            </w:r>
          </w:p>
        </w:tc>
        <w:tc>
          <w:tcPr>
            <w:tcW w:w="3075" w:type="dxa"/>
            <w:vAlign w:val="center"/>
          </w:tcPr>
          <w:p>
            <w:pPr>
              <w:pStyle w:val="16"/>
              <w:keepNext w:val="0"/>
              <w:keepLines w:val="0"/>
              <w:pageBreakBefore w:val="0"/>
              <w:widowControl/>
              <w:kinsoku/>
              <w:wordWrap/>
              <w:overflowPunct/>
              <w:topLinePunct w:val="0"/>
              <w:autoSpaceDE/>
              <w:autoSpaceDN/>
              <w:bidi w:val="0"/>
              <w:adjustRightInd/>
              <w:snapToGrid/>
              <w:spacing w:beforeAutospacing="0" w:afterAutospacing="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对非关键条款的偏差</w:t>
            </w:r>
          </w:p>
        </w:tc>
        <w:tc>
          <w:tcPr>
            <w:tcW w:w="6095" w:type="dxa"/>
            <w:vAlign w:val="center"/>
          </w:tcPr>
          <w:p>
            <w:pPr>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4"/>
                <w:szCs w:val="24"/>
                <w:highlight w:val="none"/>
              </w:rPr>
            </w:pPr>
            <w:r>
              <w:rPr>
                <w:rFonts w:hint="eastAsia" w:ascii="宋体" w:hAnsi="宋体" w:eastAsia="宋体" w:cs="宋体"/>
                <w:color w:val="auto"/>
                <w:highlight w:val="none"/>
              </w:rPr>
              <w:sym w:font="Wingdings" w:char="00FE"/>
            </w:r>
            <w:r>
              <w:rPr>
                <w:rFonts w:hint="eastAsia" w:ascii="宋体" w:hAnsi="宋体" w:eastAsia="宋体" w:cs="宋体"/>
                <w:color w:val="auto"/>
                <w:sz w:val="24"/>
                <w:highlight w:val="none"/>
              </w:rPr>
              <w:t>不适用</w:t>
            </w:r>
          </w:p>
          <w:p>
            <w:pPr>
              <w:keepNext w:val="0"/>
              <w:keepLines w:val="0"/>
              <w:pageBreakBefore w:val="0"/>
              <w:kinsoku/>
              <w:wordWrap/>
              <w:overflowPunct/>
              <w:topLinePunct w:val="0"/>
              <w:autoSpaceDE/>
              <w:autoSpaceDN/>
              <w:bidi w:val="0"/>
              <w:adjustRightInd/>
              <w:snapToGrid/>
              <w:spacing w:line="360" w:lineRule="auto"/>
              <w:jc w:val="lef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允许偏差的范围∶</w:t>
            </w:r>
            <w:r>
              <w:rPr>
                <w:rFonts w:hint="eastAsia" w:ascii="宋体" w:hAnsi="宋体" w:eastAsia="宋体" w:cs="宋体"/>
                <w:color w:val="auto"/>
                <w:sz w:val="24"/>
                <w:szCs w:val="24"/>
                <w:highlight w:val="none"/>
                <w:u w:val="single"/>
              </w:rPr>
              <w:t xml:space="preserve">      /                   </w:t>
            </w:r>
          </w:p>
          <w:p>
            <w:pPr>
              <w:keepNext w:val="0"/>
              <w:keepLines w:val="0"/>
              <w:pageBreakBefore w:val="0"/>
              <w:kinsoku/>
              <w:wordWrap/>
              <w:overflowPunct/>
              <w:topLinePunct w:val="0"/>
              <w:autoSpaceDE/>
              <w:autoSpaceDN/>
              <w:bidi w:val="0"/>
              <w:adjustRightInd/>
              <w:snapToGrid/>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仓许偏差的项数∶</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8" w:hRule="atLeast"/>
          <w:jc w:val="center"/>
        </w:trPr>
        <w:tc>
          <w:tcPr>
            <w:tcW w:w="1437" w:type="dxa"/>
            <w:vAlign w:val="center"/>
          </w:tcPr>
          <w:p>
            <w:pPr>
              <w:keepNext w:val="0"/>
              <w:keepLines w:val="0"/>
              <w:pageBreakBefore w:val="0"/>
              <w:kinsoku/>
              <w:wordWrap/>
              <w:overflowPunct/>
              <w:topLinePunct w:val="0"/>
              <w:autoSpaceDE/>
              <w:autoSpaceDN/>
              <w:bidi w:val="0"/>
              <w:adjustRightInd/>
              <w:snapToGrid/>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2.1(7)</w:t>
            </w:r>
          </w:p>
        </w:tc>
        <w:tc>
          <w:tcPr>
            <w:tcW w:w="3075" w:type="dxa"/>
            <w:vAlign w:val="center"/>
          </w:tcPr>
          <w:p>
            <w:pPr>
              <w:keepNext w:val="0"/>
              <w:keepLines w:val="0"/>
              <w:pageBreakBefore w:val="0"/>
              <w:kinsoku/>
              <w:wordWrap/>
              <w:overflowPunct/>
              <w:topLinePunct w:val="0"/>
              <w:autoSpaceDE/>
              <w:autoSpaceDN/>
              <w:bidi w:val="0"/>
              <w:adjustRightInd/>
              <w:snapToGrid/>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构成采购文件的其他资料</w:t>
            </w:r>
          </w:p>
        </w:tc>
        <w:tc>
          <w:tcPr>
            <w:tcW w:w="6095" w:type="dxa"/>
            <w:vAlign w:val="center"/>
          </w:tcPr>
          <w:p>
            <w:pPr>
              <w:keepNext w:val="0"/>
              <w:keepLines w:val="0"/>
              <w:pageBreakBefore w:val="0"/>
              <w:kinsoku/>
              <w:wordWrap/>
              <w:overflowPunct/>
              <w:topLinePunct w:val="0"/>
              <w:autoSpaceDE/>
              <w:autoSpaceDN/>
              <w:bidi w:val="0"/>
              <w:adjustRightInd/>
              <w:snapToGrid/>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资料名称∶</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kern w:val="0"/>
                <w:sz w:val="24"/>
                <w:szCs w:val="24"/>
                <w:highlight w:val="none"/>
                <w:u w:val="single"/>
              </w:rPr>
              <w:t>采购文件澄清或修改</w:t>
            </w:r>
            <w:r>
              <w:rPr>
                <w:rFonts w:hint="eastAsia" w:ascii="宋体" w:hAnsi="宋体" w:eastAsia="宋体" w:cs="宋体"/>
                <w:color w:val="auto"/>
                <w:sz w:val="24"/>
                <w:szCs w:val="24"/>
                <w:highlight w:val="none"/>
                <w:u w:val="single"/>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8" w:hRule="atLeast"/>
          <w:jc w:val="center"/>
        </w:trPr>
        <w:tc>
          <w:tcPr>
            <w:tcW w:w="1437" w:type="dxa"/>
            <w:vAlign w:val="center"/>
          </w:tcPr>
          <w:p>
            <w:pPr>
              <w:pStyle w:val="16"/>
              <w:keepNext w:val="0"/>
              <w:keepLines w:val="0"/>
              <w:pageBreakBefore w:val="0"/>
              <w:widowControl/>
              <w:kinsoku/>
              <w:wordWrap/>
              <w:overflowPunct/>
              <w:topLinePunct w:val="0"/>
              <w:autoSpaceDE/>
              <w:autoSpaceDN/>
              <w:bidi w:val="0"/>
              <w:adjustRightInd/>
              <w:snapToGrid/>
              <w:spacing w:beforeAutospacing="0" w:afterAutospacing="0"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2.2.1</w:t>
            </w:r>
          </w:p>
        </w:tc>
        <w:tc>
          <w:tcPr>
            <w:tcW w:w="3075" w:type="dxa"/>
            <w:vAlign w:val="center"/>
          </w:tcPr>
          <w:p>
            <w:pPr>
              <w:keepNext w:val="0"/>
              <w:keepLines w:val="0"/>
              <w:pageBreakBefore w:val="0"/>
              <w:kinsoku/>
              <w:wordWrap/>
              <w:overflowPunct/>
              <w:topLinePunct w:val="0"/>
              <w:autoSpaceDE/>
              <w:autoSpaceDN/>
              <w:bidi w:val="0"/>
              <w:adjustRightInd/>
              <w:snapToGrid/>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询比响应人</w:t>
            </w:r>
            <w:r>
              <w:rPr>
                <w:rFonts w:hint="eastAsia" w:ascii="宋体" w:hAnsi="宋体" w:eastAsia="宋体" w:cs="宋体"/>
                <w:color w:val="auto"/>
                <w:sz w:val="24"/>
                <w:szCs w:val="24"/>
                <w:highlight w:val="none"/>
              </w:rPr>
              <w:t>要求澄清采购文件的时间</w:t>
            </w:r>
          </w:p>
        </w:tc>
        <w:tc>
          <w:tcPr>
            <w:tcW w:w="6095" w:type="dxa"/>
            <w:vAlign w:val="center"/>
          </w:tcPr>
          <w:p>
            <w:pPr>
              <w:keepNext w:val="0"/>
              <w:keepLines w:val="0"/>
              <w:pageBreakBefore w:val="0"/>
              <w:kinsoku/>
              <w:wordWrap/>
              <w:overflowPunct/>
              <w:topLinePunct w:val="0"/>
              <w:autoSpaceDE/>
              <w:autoSpaceDN/>
              <w:bidi w:val="0"/>
              <w:adjustRightInd/>
              <w:snapToGrid/>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截止时间∶</w:t>
            </w:r>
            <w:r>
              <w:rPr>
                <w:rFonts w:hint="eastAsia" w:ascii="宋体" w:hAnsi="宋体" w:eastAsia="宋体" w:cs="宋体"/>
                <w:sz w:val="24"/>
                <w:u w:val="single"/>
              </w:rPr>
              <w:t xml:space="preserve"> 2022年07月</w:t>
            </w:r>
            <w:r>
              <w:rPr>
                <w:rFonts w:hint="eastAsia" w:ascii="宋体" w:hAnsi="宋体" w:eastAsia="宋体" w:cs="宋体"/>
                <w:sz w:val="24"/>
                <w:u w:val="single"/>
                <w:lang w:val="en-US" w:eastAsia="zh-CN"/>
              </w:rPr>
              <w:t>29</w:t>
            </w:r>
            <w:r>
              <w:rPr>
                <w:rFonts w:hint="eastAsia" w:ascii="宋体" w:hAnsi="宋体" w:eastAsia="宋体" w:cs="宋体"/>
                <w:sz w:val="24"/>
                <w:u w:val="single"/>
              </w:rPr>
              <w:t>日上午09时30分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8" w:hRule="atLeast"/>
          <w:jc w:val="center"/>
        </w:trPr>
        <w:tc>
          <w:tcPr>
            <w:tcW w:w="1437" w:type="dxa"/>
            <w:vAlign w:val="center"/>
          </w:tcPr>
          <w:p>
            <w:pPr>
              <w:pStyle w:val="16"/>
              <w:keepNext w:val="0"/>
              <w:keepLines w:val="0"/>
              <w:pageBreakBefore w:val="0"/>
              <w:widowControl/>
              <w:kinsoku/>
              <w:wordWrap/>
              <w:overflowPunct/>
              <w:topLinePunct w:val="0"/>
              <w:autoSpaceDE/>
              <w:autoSpaceDN/>
              <w:bidi w:val="0"/>
              <w:adjustRightInd/>
              <w:snapToGrid/>
              <w:spacing w:beforeAutospacing="0" w:afterAutospacing="0"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2.2.3</w:t>
            </w:r>
          </w:p>
        </w:tc>
        <w:tc>
          <w:tcPr>
            <w:tcW w:w="3075" w:type="dxa"/>
            <w:vAlign w:val="center"/>
          </w:tcPr>
          <w:p>
            <w:pPr>
              <w:keepNext w:val="0"/>
              <w:keepLines w:val="0"/>
              <w:pageBreakBefore w:val="0"/>
              <w:kinsoku/>
              <w:wordWrap/>
              <w:overflowPunct/>
              <w:topLinePunct w:val="0"/>
              <w:autoSpaceDE/>
              <w:autoSpaceDN/>
              <w:bidi w:val="0"/>
              <w:adjustRightInd/>
              <w:snapToGrid/>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询比响应人</w:t>
            </w:r>
            <w:r>
              <w:rPr>
                <w:rFonts w:hint="eastAsia" w:ascii="宋体" w:hAnsi="宋体" w:eastAsia="宋体" w:cs="宋体"/>
                <w:color w:val="auto"/>
                <w:sz w:val="24"/>
                <w:szCs w:val="24"/>
                <w:highlight w:val="none"/>
              </w:rPr>
              <w:t>确认收到采购</w:t>
            </w:r>
          </w:p>
          <w:p>
            <w:pPr>
              <w:keepNext w:val="0"/>
              <w:keepLines w:val="0"/>
              <w:pageBreakBefore w:val="0"/>
              <w:kinsoku/>
              <w:wordWrap/>
              <w:overflowPunct/>
              <w:topLinePunct w:val="0"/>
              <w:autoSpaceDE/>
              <w:autoSpaceDN/>
              <w:bidi w:val="0"/>
              <w:adjustRightInd/>
              <w:snapToGrid/>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文件补充文件</w:t>
            </w:r>
          </w:p>
        </w:tc>
        <w:tc>
          <w:tcPr>
            <w:tcW w:w="6095" w:type="dxa"/>
            <w:vAlign w:val="center"/>
          </w:tcPr>
          <w:p>
            <w:pPr>
              <w:keepNext w:val="0"/>
              <w:keepLines w:val="0"/>
              <w:pageBreakBefore w:val="0"/>
              <w:kinsoku/>
              <w:wordWrap/>
              <w:overflowPunct/>
              <w:topLinePunct w:val="0"/>
              <w:autoSpaceDE/>
              <w:autoSpaceDN/>
              <w:bidi w:val="0"/>
              <w:adjustRightInd/>
              <w:snapToGrid/>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确认的最晚时间∶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w:t>
            </w:r>
            <w:r>
              <w:rPr>
                <w:rFonts w:hint="eastAsia" w:ascii="宋体" w:hAnsi="宋体" w:eastAsia="宋体" w:cs="宋体"/>
                <w:color w:val="auto"/>
                <w:sz w:val="24"/>
                <w:szCs w:val="24"/>
                <w:highlight w:val="none"/>
                <w:u w:val="single"/>
              </w:rPr>
              <w:t xml:space="preserve">                 </w:t>
            </w:r>
          </w:p>
          <w:p>
            <w:pPr>
              <w:keepNext w:val="0"/>
              <w:keepLines w:val="0"/>
              <w:pageBreakBefore w:val="0"/>
              <w:kinsoku/>
              <w:wordWrap/>
              <w:overflowPunct/>
              <w:topLinePunct w:val="0"/>
              <w:autoSpaceDE/>
              <w:autoSpaceDN/>
              <w:bidi w:val="0"/>
              <w:adjustRightInd/>
              <w:snapToGrid/>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确认的方式∶</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w:t>
            </w:r>
            <w:r>
              <w:rPr>
                <w:rFonts w:hint="eastAsia" w:ascii="宋体" w:hAnsi="宋体" w:eastAsia="宋体" w:cs="宋体"/>
                <w:color w:val="auto"/>
                <w:sz w:val="24"/>
                <w:szCs w:val="24"/>
                <w:highlight w:val="none"/>
                <w:u w:val="single"/>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8" w:hRule="atLeast"/>
          <w:jc w:val="center"/>
        </w:trPr>
        <w:tc>
          <w:tcPr>
            <w:tcW w:w="1437" w:type="dxa"/>
            <w:vAlign w:val="center"/>
          </w:tcPr>
          <w:p>
            <w:pPr>
              <w:pStyle w:val="16"/>
              <w:keepNext w:val="0"/>
              <w:keepLines w:val="0"/>
              <w:pageBreakBefore w:val="0"/>
              <w:widowControl/>
              <w:kinsoku/>
              <w:wordWrap/>
              <w:overflowPunct/>
              <w:topLinePunct w:val="0"/>
              <w:autoSpaceDE/>
              <w:autoSpaceDN/>
              <w:bidi w:val="0"/>
              <w:adjustRightInd/>
              <w:snapToGrid/>
              <w:spacing w:beforeAutospacing="0" w:afterAutospacing="0"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3.1.1(9)</w:t>
            </w:r>
          </w:p>
        </w:tc>
        <w:tc>
          <w:tcPr>
            <w:tcW w:w="3075" w:type="dxa"/>
            <w:vAlign w:val="center"/>
          </w:tcPr>
          <w:p>
            <w:pPr>
              <w:pStyle w:val="16"/>
              <w:keepNext w:val="0"/>
              <w:keepLines w:val="0"/>
              <w:pageBreakBefore w:val="0"/>
              <w:widowControl/>
              <w:kinsoku/>
              <w:wordWrap/>
              <w:overflowPunct/>
              <w:topLinePunct w:val="0"/>
              <w:autoSpaceDE/>
              <w:autoSpaceDN/>
              <w:bidi w:val="0"/>
              <w:adjustRightInd/>
              <w:snapToGrid/>
              <w:spacing w:beforeAutospacing="0" w:afterAutospacing="0"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构成响应文件的其他资料</w:t>
            </w:r>
          </w:p>
        </w:tc>
        <w:tc>
          <w:tcPr>
            <w:tcW w:w="6095" w:type="dxa"/>
            <w:vAlign w:val="center"/>
          </w:tcPr>
          <w:p>
            <w:pPr>
              <w:keepNext w:val="0"/>
              <w:keepLines w:val="0"/>
              <w:pageBreakBefore w:val="0"/>
              <w:kinsoku/>
              <w:wordWrap/>
              <w:overflowPunct/>
              <w:topLinePunct w:val="0"/>
              <w:autoSpaceDE/>
              <w:autoSpaceDN/>
              <w:bidi w:val="0"/>
              <w:adjustRightInd/>
              <w:snapToGrid/>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资料名称∶</w:t>
            </w:r>
            <w:r>
              <w:rPr>
                <w:rFonts w:hint="eastAsia" w:ascii="宋体" w:hAnsi="宋体" w:eastAsia="宋体" w:cs="宋体"/>
                <w:color w:val="auto"/>
                <w:sz w:val="24"/>
                <w:highlight w:val="none"/>
                <w:u w:val="single"/>
              </w:rPr>
              <w:t xml:space="preserve"> </w:t>
            </w:r>
            <w:r>
              <w:rPr>
                <w:rFonts w:hint="eastAsia" w:ascii="宋体" w:hAnsi="宋体" w:eastAsia="宋体" w:cs="宋体"/>
                <w:sz w:val="24"/>
                <w:u w:val="single"/>
              </w:rPr>
              <w:t>变更内容、图纸及询比过程中通知和补遗书等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8" w:hRule="atLeast"/>
          <w:jc w:val="center"/>
        </w:trPr>
        <w:tc>
          <w:tcPr>
            <w:tcW w:w="1437" w:type="dxa"/>
            <w:vAlign w:val="center"/>
          </w:tcPr>
          <w:p>
            <w:pPr>
              <w:pStyle w:val="16"/>
              <w:keepNext w:val="0"/>
              <w:keepLines w:val="0"/>
              <w:pageBreakBefore w:val="0"/>
              <w:widowControl/>
              <w:kinsoku/>
              <w:wordWrap/>
              <w:overflowPunct/>
              <w:topLinePunct w:val="0"/>
              <w:autoSpaceDE/>
              <w:autoSpaceDN/>
              <w:bidi w:val="0"/>
              <w:adjustRightInd/>
              <w:snapToGrid/>
              <w:spacing w:beforeAutospacing="0" w:afterAutospacing="0"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3.2.2</w:t>
            </w:r>
          </w:p>
        </w:tc>
        <w:tc>
          <w:tcPr>
            <w:tcW w:w="3075" w:type="dxa"/>
            <w:vAlign w:val="center"/>
          </w:tcPr>
          <w:p>
            <w:pPr>
              <w:keepNext w:val="0"/>
              <w:keepLines w:val="0"/>
              <w:pageBreakBefore w:val="0"/>
              <w:kinsoku/>
              <w:wordWrap/>
              <w:overflowPunct/>
              <w:topLinePunct w:val="0"/>
              <w:autoSpaceDE/>
              <w:autoSpaceDN/>
              <w:bidi w:val="0"/>
              <w:adjustRightInd/>
              <w:snapToGrid/>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采购标的数量增减幅度</w:t>
            </w:r>
          </w:p>
        </w:tc>
        <w:tc>
          <w:tcPr>
            <w:tcW w:w="6095" w:type="dxa"/>
            <w:vAlign w:val="center"/>
          </w:tcPr>
          <w:p>
            <w:pPr>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4"/>
                <w:szCs w:val="24"/>
                <w:highlight w:val="none"/>
              </w:rPr>
            </w:pPr>
            <w:r>
              <w:rPr>
                <w:rFonts w:hint="eastAsia" w:ascii="宋体" w:hAnsi="宋体" w:eastAsia="宋体" w:cs="宋体"/>
                <w:color w:val="auto"/>
                <w:highlight w:val="none"/>
              </w:rPr>
              <w:sym w:font="Wingdings" w:char="00FE"/>
            </w:r>
            <w:r>
              <w:rPr>
                <w:rFonts w:hint="eastAsia" w:ascii="宋体" w:hAnsi="宋体" w:eastAsia="宋体" w:cs="宋体"/>
                <w:color w:val="auto"/>
                <w:sz w:val="24"/>
                <w:highlight w:val="none"/>
              </w:rPr>
              <w:t>不适用</w:t>
            </w:r>
          </w:p>
          <w:p>
            <w:pPr>
              <w:pStyle w:val="16"/>
              <w:keepNext w:val="0"/>
              <w:keepLines w:val="0"/>
              <w:pageBreakBefore w:val="0"/>
              <w:widowControl/>
              <w:kinsoku/>
              <w:wordWrap/>
              <w:overflowPunct/>
              <w:topLinePunct w:val="0"/>
              <w:autoSpaceDE/>
              <w:autoSpaceDN/>
              <w:bidi w:val="0"/>
              <w:adjustRightInd/>
              <w:snapToGrid/>
              <w:spacing w:beforeAutospacing="0" w:afterAutospacing="0" w:line="360" w:lineRule="auto"/>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采购标的数量增减幅度:</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pPr>
              <w:keepNext w:val="0"/>
              <w:keepLines w:val="0"/>
              <w:pageBreakBefore w:val="0"/>
              <w:kinsoku/>
              <w:wordWrap/>
              <w:overflowPunct/>
              <w:topLinePunct w:val="0"/>
              <w:autoSpaceDE/>
              <w:autoSpaceDN/>
              <w:bidi w:val="0"/>
              <w:adjustRightInd/>
              <w:snapToGrid/>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（注∶数量增减幅度通常在10%以内。）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8" w:hRule="atLeast"/>
          <w:jc w:val="center"/>
        </w:trPr>
        <w:tc>
          <w:tcPr>
            <w:tcW w:w="1437" w:type="dxa"/>
            <w:vAlign w:val="center"/>
          </w:tcPr>
          <w:p>
            <w:pPr>
              <w:pStyle w:val="16"/>
              <w:keepNext w:val="0"/>
              <w:keepLines w:val="0"/>
              <w:pageBreakBefore w:val="0"/>
              <w:widowControl/>
              <w:kinsoku/>
              <w:wordWrap/>
              <w:overflowPunct/>
              <w:topLinePunct w:val="0"/>
              <w:autoSpaceDE/>
              <w:autoSpaceDN/>
              <w:bidi w:val="0"/>
              <w:adjustRightInd/>
              <w:snapToGrid/>
              <w:spacing w:beforeAutospacing="0" w:afterAutospacing="0"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3.2.3</w:t>
            </w:r>
          </w:p>
        </w:tc>
        <w:tc>
          <w:tcPr>
            <w:tcW w:w="3075" w:type="dxa"/>
            <w:vAlign w:val="center"/>
          </w:tcPr>
          <w:p>
            <w:pPr>
              <w:keepNext w:val="0"/>
              <w:keepLines w:val="0"/>
              <w:pageBreakBefore w:val="0"/>
              <w:kinsoku/>
              <w:wordWrap/>
              <w:overflowPunct/>
              <w:topLinePunct w:val="0"/>
              <w:autoSpaceDE/>
              <w:autoSpaceDN/>
              <w:bidi w:val="0"/>
              <w:adjustRightInd/>
              <w:snapToGrid/>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最高限价或其计算方法</w:t>
            </w:r>
          </w:p>
        </w:tc>
        <w:tc>
          <w:tcPr>
            <w:tcW w:w="6095" w:type="dxa"/>
            <w:vAlign w:val="center"/>
          </w:tcPr>
          <w:p>
            <w:pPr>
              <w:pStyle w:val="16"/>
              <w:keepNext w:val="0"/>
              <w:keepLines w:val="0"/>
              <w:pageBreakBefore w:val="0"/>
              <w:widowControl/>
              <w:kinsoku/>
              <w:wordWrap/>
              <w:overflowPunct/>
              <w:topLinePunct w:val="0"/>
              <w:autoSpaceDE/>
              <w:autoSpaceDN/>
              <w:bidi w:val="0"/>
              <w:adjustRightInd/>
              <w:snapToGrid/>
              <w:spacing w:beforeAutospacing="0" w:afterAutospacing="0" w:line="360" w:lineRule="auto"/>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sym w:font="Wingdings 2" w:char="00A3"/>
            </w:r>
            <w:r>
              <w:rPr>
                <w:rFonts w:hint="eastAsia" w:ascii="宋体" w:hAnsi="宋体" w:eastAsia="宋体" w:cs="宋体"/>
                <w:color w:val="auto"/>
                <w:sz w:val="24"/>
                <w:szCs w:val="24"/>
                <w:highlight w:val="none"/>
              </w:rPr>
              <w:t>无</w:t>
            </w:r>
          </w:p>
          <w:p>
            <w:pPr>
              <w:pStyle w:val="16"/>
              <w:keepNext w:val="0"/>
              <w:keepLines w:val="0"/>
              <w:pageBreakBefore w:val="0"/>
              <w:widowControl/>
              <w:kinsoku/>
              <w:wordWrap/>
              <w:overflowPunct/>
              <w:topLinePunct w:val="0"/>
              <w:autoSpaceDE/>
              <w:autoSpaceDN/>
              <w:bidi w:val="0"/>
              <w:adjustRightInd/>
              <w:snapToGrid/>
              <w:spacing w:beforeAutospacing="0" w:afterAutospacing="0" w:line="360" w:lineRule="auto"/>
              <w:jc w:val="both"/>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sym w:font="Wingdings 2" w:char="0052"/>
            </w:r>
            <w:r>
              <w:rPr>
                <w:rFonts w:hint="eastAsia" w:ascii="宋体" w:hAnsi="宋体" w:eastAsia="宋体" w:cs="宋体"/>
                <w:color w:val="auto"/>
                <w:sz w:val="24"/>
                <w:szCs w:val="24"/>
                <w:highlight w:val="none"/>
              </w:rPr>
              <w:t>有，最高限价或其计算方法∶</w:t>
            </w:r>
          </w:p>
          <w:p>
            <w:pPr>
              <w:pStyle w:val="16"/>
              <w:keepNext w:val="0"/>
              <w:keepLines w:val="0"/>
              <w:pageBreakBefore w:val="0"/>
              <w:widowControl/>
              <w:kinsoku/>
              <w:wordWrap/>
              <w:overflowPunct/>
              <w:topLinePunct w:val="0"/>
              <w:autoSpaceDE/>
              <w:autoSpaceDN/>
              <w:bidi w:val="0"/>
              <w:adjustRightInd/>
              <w:snapToGrid/>
              <w:spacing w:beforeAutospacing="0" w:afterAutospacing="0" w:line="360" w:lineRule="auto"/>
              <w:jc w:val="both"/>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小写：</w:t>
            </w:r>
            <w:r>
              <w:rPr>
                <w:rFonts w:hint="eastAsia" w:ascii="宋体" w:hAnsi="宋体" w:eastAsia="宋体" w:cs="宋体"/>
                <w:u w:val="single"/>
              </w:rPr>
              <w:t>270307.86元</w:t>
            </w:r>
          </w:p>
          <w:p>
            <w:pPr>
              <w:pStyle w:val="16"/>
              <w:keepNext w:val="0"/>
              <w:keepLines w:val="0"/>
              <w:pageBreakBefore w:val="0"/>
              <w:widowControl/>
              <w:kinsoku/>
              <w:wordWrap/>
              <w:overflowPunct/>
              <w:topLinePunct w:val="0"/>
              <w:autoSpaceDE/>
              <w:autoSpaceDN/>
              <w:bidi w:val="0"/>
              <w:adjustRightInd/>
              <w:snapToGrid/>
              <w:spacing w:beforeAutospacing="0" w:afterAutospacing="0" w:line="360" w:lineRule="auto"/>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u w:val="single"/>
              </w:rPr>
              <w:t>大写：</w:t>
            </w:r>
            <w:r>
              <w:rPr>
                <w:rFonts w:hint="eastAsia" w:ascii="宋体" w:hAnsi="宋体" w:eastAsia="宋体" w:cs="宋体"/>
                <w:u w:val="single"/>
              </w:rPr>
              <w:t>贰拾柒万零叁佰零柒元捌角陆分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8" w:hRule="atLeast"/>
          <w:jc w:val="center"/>
        </w:trPr>
        <w:tc>
          <w:tcPr>
            <w:tcW w:w="1437" w:type="dxa"/>
            <w:vAlign w:val="center"/>
          </w:tcPr>
          <w:p>
            <w:pPr>
              <w:keepNext w:val="0"/>
              <w:keepLines w:val="0"/>
              <w:pageBreakBefore w:val="0"/>
              <w:kinsoku/>
              <w:wordWrap/>
              <w:overflowPunct/>
              <w:topLinePunct w:val="0"/>
              <w:autoSpaceDE/>
              <w:autoSpaceDN/>
              <w:bidi w:val="0"/>
              <w:adjustRightInd/>
              <w:snapToGrid/>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3.2.4</w:t>
            </w:r>
          </w:p>
        </w:tc>
        <w:tc>
          <w:tcPr>
            <w:tcW w:w="3075" w:type="dxa"/>
            <w:vAlign w:val="center"/>
          </w:tcPr>
          <w:p>
            <w:pPr>
              <w:keepNext w:val="0"/>
              <w:keepLines w:val="0"/>
              <w:pageBreakBefore w:val="0"/>
              <w:kinsoku/>
              <w:wordWrap/>
              <w:overflowPunct/>
              <w:topLinePunct w:val="0"/>
              <w:autoSpaceDE/>
              <w:autoSpaceDN/>
              <w:bidi w:val="0"/>
              <w:adjustRightInd/>
              <w:snapToGrid/>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报价的其他要求</w:t>
            </w:r>
          </w:p>
        </w:tc>
        <w:tc>
          <w:tcPr>
            <w:tcW w:w="6095" w:type="dxa"/>
            <w:vAlign w:val="center"/>
          </w:tcPr>
          <w:p>
            <w:pPr>
              <w:keepNext w:val="0"/>
              <w:keepLines w:val="0"/>
              <w:pageBreakBefore w:val="0"/>
              <w:kinsoku/>
              <w:wordWrap/>
              <w:overflowPunct/>
              <w:topLinePunct w:val="0"/>
              <w:autoSpaceDE/>
              <w:autoSpaceDN/>
              <w:bidi w:val="0"/>
              <w:adjustRightInd/>
              <w:snapToGrid/>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rPr>
              <w:t>报价应包括：</w:t>
            </w:r>
            <w:r>
              <w:rPr>
                <w:rFonts w:hint="eastAsia" w:ascii="宋体" w:hAnsi="宋体" w:eastAsia="宋体" w:cs="宋体"/>
                <w:sz w:val="24"/>
              </w:rPr>
              <w:t>报价应是本询比文件所确定的全部工作内容的价格体现。其应包括施工设备、劳务、管理、材料、安装、运输、税金及人工费、材料费、</w:t>
            </w:r>
            <w:r>
              <w:rPr>
                <w:rFonts w:hint="eastAsia" w:ascii="Arial" w:hAnsi="Arial" w:eastAsia="宋体" w:cs="Arial"/>
                <w:sz w:val="24"/>
                <w:szCs w:val="28"/>
              </w:rPr>
              <w:t>产品费、</w:t>
            </w:r>
            <w:r>
              <w:rPr>
                <w:rFonts w:hint="eastAsia" w:ascii="宋体" w:hAnsi="宋体" w:eastAsia="宋体" w:cs="宋体"/>
                <w:sz w:val="24"/>
              </w:rPr>
              <w:t>机械费、</w:t>
            </w:r>
            <w:r>
              <w:rPr>
                <w:rFonts w:hint="eastAsia" w:ascii="Arial" w:hAnsi="Arial" w:eastAsia="宋体" w:cs="Arial"/>
                <w:sz w:val="24"/>
                <w:szCs w:val="28"/>
              </w:rPr>
              <w:t>装卸费、安装调试费</w:t>
            </w:r>
            <w:r>
              <w:rPr>
                <w:rFonts w:hint="eastAsia" w:ascii="宋体" w:hAnsi="宋体" w:eastAsia="宋体" w:cs="宋体"/>
                <w:sz w:val="24"/>
              </w:rPr>
              <w:t>措施项目费等政策性文件规定的各项应有费用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8" w:hRule="atLeast"/>
          <w:jc w:val="center"/>
        </w:trPr>
        <w:tc>
          <w:tcPr>
            <w:tcW w:w="1437" w:type="dxa"/>
            <w:vAlign w:val="center"/>
          </w:tcPr>
          <w:p>
            <w:pPr>
              <w:keepNext w:val="0"/>
              <w:keepLines w:val="0"/>
              <w:pageBreakBefore w:val="0"/>
              <w:kinsoku/>
              <w:wordWrap/>
              <w:overflowPunct/>
              <w:topLinePunct w:val="0"/>
              <w:autoSpaceDE/>
              <w:autoSpaceDN/>
              <w:bidi w:val="0"/>
              <w:adjustRightInd/>
              <w:snapToGrid/>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3.3.1</w:t>
            </w:r>
          </w:p>
        </w:tc>
        <w:tc>
          <w:tcPr>
            <w:tcW w:w="3075" w:type="dxa"/>
            <w:vAlign w:val="center"/>
          </w:tcPr>
          <w:p>
            <w:pPr>
              <w:pStyle w:val="16"/>
              <w:keepNext w:val="0"/>
              <w:keepLines w:val="0"/>
              <w:pageBreakBefore w:val="0"/>
              <w:widowControl/>
              <w:kinsoku/>
              <w:wordWrap/>
              <w:overflowPunct/>
              <w:topLinePunct w:val="0"/>
              <w:autoSpaceDE/>
              <w:autoSpaceDN/>
              <w:bidi w:val="0"/>
              <w:adjustRightInd/>
              <w:snapToGrid/>
              <w:spacing w:beforeAutospacing="0" w:afterAutospacing="0"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响应文件有效期</w:t>
            </w:r>
          </w:p>
        </w:tc>
        <w:tc>
          <w:tcPr>
            <w:tcW w:w="6095" w:type="dxa"/>
            <w:vAlign w:val="center"/>
          </w:tcPr>
          <w:p>
            <w:pPr>
              <w:keepNext w:val="0"/>
              <w:keepLines w:val="0"/>
              <w:pageBreakBefore w:val="0"/>
              <w:kinsoku/>
              <w:wordWrap/>
              <w:overflowPunct/>
              <w:topLinePunct w:val="0"/>
              <w:autoSpaceDE/>
              <w:autoSpaceDN/>
              <w:bidi w:val="0"/>
              <w:adjustRightInd/>
              <w:snapToGrid/>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highlight w:val="none"/>
              </w:rPr>
              <w:t>本次</w:t>
            </w:r>
            <w:r>
              <w:rPr>
                <w:rFonts w:hint="eastAsia" w:ascii="宋体" w:hAnsi="宋体" w:eastAsia="宋体" w:cs="宋体"/>
                <w:color w:val="auto"/>
                <w:sz w:val="24"/>
                <w:highlight w:val="none"/>
                <w:lang w:eastAsia="zh-CN"/>
              </w:rPr>
              <w:t>询比</w:t>
            </w:r>
            <w:r>
              <w:rPr>
                <w:rFonts w:hint="eastAsia" w:ascii="宋体" w:hAnsi="宋体" w:eastAsia="宋体" w:cs="宋体"/>
                <w:color w:val="auto"/>
                <w:sz w:val="24"/>
                <w:highlight w:val="none"/>
              </w:rPr>
              <w:t>有效期为自</w:t>
            </w:r>
            <w:r>
              <w:rPr>
                <w:rFonts w:hint="eastAsia" w:ascii="宋体" w:hAnsi="宋体" w:eastAsia="宋体" w:cs="宋体"/>
                <w:color w:val="auto"/>
                <w:sz w:val="24"/>
                <w:highlight w:val="none"/>
                <w:lang w:eastAsia="zh-CN"/>
              </w:rPr>
              <w:t>询比</w:t>
            </w:r>
            <w:r>
              <w:rPr>
                <w:rFonts w:hint="eastAsia" w:ascii="宋体" w:hAnsi="宋体" w:eastAsia="宋体" w:cs="宋体"/>
                <w:color w:val="auto"/>
                <w:sz w:val="24"/>
                <w:highlight w:val="none"/>
              </w:rPr>
              <w:t>之日起90个日历日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24" w:hRule="atLeast"/>
          <w:jc w:val="center"/>
        </w:trPr>
        <w:tc>
          <w:tcPr>
            <w:tcW w:w="1437" w:type="dxa"/>
            <w:vAlign w:val="center"/>
          </w:tcPr>
          <w:p>
            <w:pPr>
              <w:pStyle w:val="16"/>
              <w:keepNext w:val="0"/>
              <w:keepLines w:val="0"/>
              <w:pageBreakBefore w:val="0"/>
              <w:widowControl/>
              <w:kinsoku/>
              <w:wordWrap/>
              <w:overflowPunct/>
              <w:topLinePunct w:val="0"/>
              <w:autoSpaceDE/>
              <w:autoSpaceDN/>
              <w:bidi w:val="0"/>
              <w:adjustRightInd/>
              <w:snapToGrid/>
              <w:spacing w:beforeAutospacing="0" w:afterAutospacing="0"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3.4.1</w:t>
            </w:r>
          </w:p>
        </w:tc>
        <w:tc>
          <w:tcPr>
            <w:tcW w:w="3075" w:type="dxa"/>
            <w:vAlign w:val="center"/>
          </w:tcPr>
          <w:p>
            <w:pPr>
              <w:pStyle w:val="16"/>
              <w:keepNext w:val="0"/>
              <w:keepLines w:val="0"/>
              <w:pageBreakBefore w:val="0"/>
              <w:widowControl/>
              <w:kinsoku/>
              <w:wordWrap/>
              <w:overflowPunct/>
              <w:topLinePunct w:val="0"/>
              <w:autoSpaceDE/>
              <w:autoSpaceDN/>
              <w:bidi w:val="0"/>
              <w:adjustRightInd/>
              <w:snapToGrid/>
              <w:spacing w:beforeAutospacing="0" w:afterAutospacing="0"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响应保证金</w:t>
            </w:r>
          </w:p>
        </w:tc>
        <w:tc>
          <w:tcPr>
            <w:tcW w:w="6095" w:type="dxa"/>
            <w:vAlign w:val="center"/>
          </w:tcPr>
          <w:p>
            <w:pPr>
              <w:pStyle w:val="16"/>
              <w:keepNext w:val="0"/>
              <w:keepLines w:val="0"/>
              <w:pageBreakBefore w:val="0"/>
              <w:widowControl/>
              <w:kinsoku/>
              <w:wordWrap/>
              <w:overflowPunct/>
              <w:topLinePunct w:val="0"/>
              <w:autoSpaceDE/>
              <w:autoSpaceDN/>
              <w:bidi w:val="0"/>
              <w:adjustRightInd/>
              <w:snapToGrid/>
              <w:spacing w:beforeAutospacing="0" w:afterAutospacing="0" w:line="360" w:lineRule="auto"/>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sym w:font="Wingdings 2" w:char="00A3"/>
            </w:r>
            <w:r>
              <w:rPr>
                <w:rFonts w:hint="eastAsia" w:ascii="宋体" w:hAnsi="宋体" w:eastAsia="宋体" w:cs="宋体"/>
                <w:color w:val="auto"/>
                <w:sz w:val="24"/>
                <w:szCs w:val="24"/>
                <w:highlight w:val="none"/>
              </w:rPr>
              <w:t>不要求递交</w:t>
            </w:r>
          </w:p>
          <w:p>
            <w:pPr>
              <w:pStyle w:val="16"/>
              <w:keepNext w:val="0"/>
              <w:keepLines w:val="0"/>
              <w:pageBreakBefore w:val="0"/>
              <w:widowControl/>
              <w:kinsoku/>
              <w:wordWrap/>
              <w:overflowPunct/>
              <w:topLinePunct w:val="0"/>
              <w:autoSpaceDE/>
              <w:autoSpaceDN/>
              <w:bidi w:val="0"/>
              <w:adjustRightInd/>
              <w:snapToGrid/>
              <w:spacing w:beforeAutospacing="0" w:afterAutospacing="0" w:line="360" w:lineRule="auto"/>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sym w:font="Wingdings 2" w:char="0052"/>
            </w:r>
            <w:r>
              <w:rPr>
                <w:rFonts w:hint="eastAsia" w:ascii="宋体" w:hAnsi="宋体" w:eastAsia="宋体" w:cs="宋体"/>
                <w:color w:val="auto"/>
                <w:sz w:val="24"/>
                <w:szCs w:val="24"/>
                <w:highlight w:val="none"/>
              </w:rPr>
              <w:t>要求递交</w:t>
            </w:r>
          </w:p>
          <w:p>
            <w:pPr>
              <w:pStyle w:val="16"/>
              <w:keepNext w:val="0"/>
              <w:keepLines w:val="0"/>
              <w:pageBreakBefore w:val="0"/>
              <w:widowControl/>
              <w:kinsoku/>
              <w:wordWrap/>
              <w:overflowPunct/>
              <w:topLinePunct w:val="0"/>
              <w:autoSpaceDE/>
              <w:autoSpaceDN/>
              <w:bidi w:val="0"/>
              <w:adjustRightInd/>
              <w:snapToGrid/>
              <w:spacing w:beforeAutospacing="0" w:afterAutospacing="0" w:line="360" w:lineRule="auto"/>
              <w:ind w:firstLine="240" w:firstLineChars="100"/>
              <w:jc w:val="both"/>
              <w:rPr>
                <w:rStyle w:val="43"/>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保证金的金额</w:t>
            </w:r>
            <w:r>
              <w:rPr>
                <w:rFonts w:hint="eastAsia" w:ascii="宋体" w:hAnsi="宋体" w:eastAsia="宋体" w:cs="宋体"/>
                <w:color w:val="auto"/>
                <w:sz w:val="24"/>
                <w:szCs w:val="24"/>
                <w:highlight w:val="none"/>
                <w:u w:val="single"/>
              </w:rPr>
              <w:t>：</w:t>
            </w:r>
            <w:r>
              <w:rPr>
                <w:rStyle w:val="43"/>
                <w:rFonts w:hint="eastAsia" w:ascii="宋体" w:hAnsi="宋体" w:eastAsia="宋体" w:cs="宋体"/>
                <w:color w:val="auto"/>
                <w:sz w:val="24"/>
                <w:szCs w:val="24"/>
                <w:highlight w:val="none"/>
              </w:rPr>
              <w:t>大写：</w:t>
            </w:r>
            <w:r>
              <w:rPr>
                <w:rStyle w:val="43"/>
                <w:rFonts w:hint="eastAsia" w:ascii="宋体" w:hAnsi="宋体" w:eastAsia="宋体" w:cs="宋体"/>
                <w:color w:val="auto"/>
                <w:sz w:val="24"/>
                <w:szCs w:val="24"/>
                <w:highlight w:val="none"/>
                <w:lang w:eastAsia="zh-CN"/>
              </w:rPr>
              <w:t>伍仟</w:t>
            </w:r>
            <w:r>
              <w:rPr>
                <w:rStyle w:val="43"/>
                <w:rFonts w:hint="eastAsia" w:ascii="宋体" w:hAnsi="宋体" w:eastAsia="宋体" w:cs="宋体"/>
                <w:color w:val="auto"/>
                <w:sz w:val="24"/>
                <w:szCs w:val="24"/>
                <w:highlight w:val="none"/>
              </w:rPr>
              <w:t>元整</w:t>
            </w:r>
            <w:r>
              <w:rPr>
                <w:rStyle w:val="43"/>
                <w:rFonts w:hint="eastAsia" w:ascii="宋体" w:hAnsi="宋体" w:eastAsia="宋体" w:cs="宋体"/>
                <w:color w:val="auto"/>
                <w:sz w:val="24"/>
                <w:szCs w:val="24"/>
                <w:highlight w:val="none"/>
                <w:lang w:eastAsia="zh-CN"/>
              </w:rPr>
              <w:t>；</w:t>
            </w:r>
          </w:p>
          <w:p>
            <w:pPr>
              <w:pStyle w:val="16"/>
              <w:keepNext w:val="0"/>
              <w:keepLines w:val="0"/>
              <w:pageBreakBefore w:val="0"/>
              <w:widowControl/>
              <w:kinsoku/>
              <w:wordWrap/>
              <w:overflowPunct/>
              <w:topLinePunct w:val="0"/>
              <w:autoSpaceDE/>
              <w:autoSpaceDN/>
              <w:bidi w:val="0"/>
              <w:adjustRightInd/>
              <w:snapToGrid/>
              <w:spacing w:beforeAutospacing="0" w:afterAutospacing="0" w:line="360" w:lineRule="auto"/>
              <w:ind w:firstLine="1920" w:firstLineChars="800"/>
              <w:jc w:val="both"/>
              <w:rPr>
                <w:rFonts w:hint="eastAsia" w:ascii="宋体" w:hAnsi="宋体" w:eastAsia="宋体" w:cs="宋体"/>
                <w:color w:val="auto"/>
                <w:sz w:val="24"/>
                <w:szCs w:val="24"/>
                <w:highlight w:val="none"/>
                <w:u w:val="single"/>
              </w:rPr>
            </w:pPr>
            <w:r>
              <w:rPr>
                <w:rStyle w:val="42"/>
                <w:rFonts w:hint="eastAsia" w:ascii="宋体" w:hAnsi="宋体" w:eastAsia="宋体" w:cs="宋体"/>
                <w:color w:val="auto"/>
                <w:sz w:val="24"/>
                <w:szCs w:val="24"/>
                <w:highlight w:val="none"/>
                <w:u w:val="single"/>
              </w:rPr>
              <w:t>小写：</w:t>
            </w:r>
            <w:r>
              <w:rPr>
                <w:rStyle w:val="42"/>
                <w:rFonts w:hint="eastAsia" w:ascii="宋体" w:hAnsi="宋体" w:eastAsia="宋体" w:cs="宋体"/>
                <w:color w:val="auto"/>
                <w:sz w:val="24"/>
                <w:szCs w:val="24"/>
                <w:highlight w:val="none"/>
                <w:u w:val="single"/>
                <w:lang w:val="en-US" w:eastAsia="zh-CN"/>
              </w:rPr>
              <w:t>5000</w:t>
            </w:r>
            <w:r>
              <w:rPr>
                <w:rStyle w:val="43"/>
                <w:rFonts w:hint="eastAsia" w:ascii="宋体" w:hAnsi="宋体" w:eastAsia="宋体" w:cs="宋体"/>
                <w:color w:val="auto"/>
                <w:sz w:val="24"/>
                <w:szCs w:val="24"/>
                <w:highlight w:val="none"/>
              </w:rPr>
              <w:t>元；</w:t>
            </w:r>
          </w:p>
          <w:p>
            <w:pPr>
              <w:pStyle w:val="16"/>
              <w:keepNext w:val="0"/>
              <w:keepLines w:val="0"/>
              <w:pageBreakBefore w:val="0"/>
              <w:widowControl/>
              <w:kinsoku/>
              <w:wordWrap/>
              <w:overflowPunct/>
              <w:topLinePunct w:val="0"/>
              <w:autoSpaceDE/>
              <w:autoSpaceDN/>
              <w:bidi w:val="0"/>
              <w:adjustRightInd/>
              <w:snapToGrid/>
              <w:spacing w:beforeAutospacing="0" w:afterAutospacing="0" w:line="360" w:lineRule="auto"/>
              <w:ind w:firstLine="240" w:firstLineChars="100"/>
              <w:jc w:val="both"/>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保证金的形式：</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highlight w:val="none"/>
                <w:u w:val="single"/>
                <w:lang w:eastAsia="zh-CN"/>
              </w:rPr>
              <w:t>转账</w:t>
            </w:r>
            <w:r>
              <w:rPr>
                <w:rFonts w:hint="eastAsia" w:ascii="宋体" w:hAnsi="宋体" w:eastAsia="宋体" w:cs="宋体"/>
                <w:color w:val="auto"/>
                <w:sz w:val="24"/>
                <w:highlight w:val="none"/>
                <w:u w:val="single"/>
              </w:rPr>
              <w:t>、电汇、银行保函等非现金形式</w:t>
            </w:r>
            <w:r>
              <w:rPr>
                <w:rFonts w:hint="eastAsia" w:ascii="宋体" w:hAnsi="宋体" w:eastAsia="宋体" w:cs="宋体"/>
                <w:color w:val="auto"/>
                <w:sz w:val="24"/>
                <w:highlight w:val="none"/>
                <w:u w:val="none"/>
              </w:rPr>
              <w:t>；</w:t>
            </w:r>
            <w:r>
              <w:rPr>
                <w:rFonts w:hint="eastAsia" w:ascii="宋体" w:hAnsi="宋体" w:eastAsia="宋体" w:cs="宋体"/>
                <w:color w:val="auto"/>
                <w:sz w:val="24"/>
                <w:szCs w:val="24"/>
                <w:highlight w:val="none"/>
                <w:u w:val="single"/>
              </w:rPr>
              <w:t xml:space="preserve">            </w:t>
            </w:r>
          </w:p>
          <w:p>
            <w:pPr>
              <w:keepNext w:val="0"/>
              <w:keepLines w:val="0"/>
              <w:pageBreakBefore w:val="0"/>
              <w:kinsoku/>
              <w:wordWrap/>
              <w:overflowPunct/>
              <w:topLinePunct w:val="0"/>
              <w:autoSpaceDE/>
              <w:autoSpaceDN/>
              <w:bidi w:val="0"/>
              <w:adjustRightInd/>
              <w:snapToGrid/>
              <w:spacing w:line="360" w:lineRule="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lang w:eastAsia="zh-CN"/>
              </w:rPr>
              <w:t>询比</w:t>
            </w:r>
            <w:r>
              <w:rPr>
                <w:rFonts w:hint="eastAsia" w:ascii="宋体" w:hAnsi="宋体" w:eastAsia="宋体" w:cs="宋体"/>
                <w:color w:val="auto"/>
                <w:kern w:val="0"/>
                <w:sz w:val="24"/>
                <w:szCs w:val="24"/>
                <w:highlight w:val="none"/>
              </w:rPr>
              <w:t>人须在</w:t>
            </w:r>
            <w:r>
              <w:rPr>
                <w:rFonts w:hint="eastAsia" w:ascii="宋体" w:hAnsi="宋体" w:eastAsia="宋体" w:cs="宋体"/>
                <w:color w:val="auto"/>
                <w:kern w:val="0"/>
                <w:sz w:val="24"/>
                <w:szCs w:val="24"/>
                <w:highlight w:val="none"/>
                <w:lang w:eastAsia="zh-CN"/>
              </w:rPr>
              <w:t>询比</w:t>
            </w:r>
            <w:r>
              <w:rPr>
                <w:rFonts w:hint="eastAsia" w:ascii="宋体" w:hAnsi="宋体" w:eastAsia="宋体" w:cs="宋体"/>
                <w:color w:val="auto"/>
                <w:kern w:val="0"/>
                <w:sz w:val="24"/>
                <w:szCs w:val="24"/>
                <w:highlight w:val="none"/>
              </w:rPr>
              <w:t>截止期前按以下要求交纳</w:t>
            </w:r>
            <w:r>
              <w:rPr>
                <w:rFonts w:hint="eastAsia" w:ascii="宋体" w:hAnsi="宋体" w:eastAsia="宋体" w:cs="宋体"/>
                <w:color w:val="auto"/>
                <w:kern w:val="0"/>
                <w:sz w:val="24"/>
                <w:szCs w:val="24"/>
                <w:highlight w:val="none"/>
                <w:lang w:eastAsia="zh-CN"/>
              </w:rPr>
              <w:t>询比</w:t>
            </w:r>
            <w:r>
              <w:rPr>
                <w:rFonts w:hint="eastAsia" w:ascii="宋体" w:hAnsi="宋体" w:eastAsia="宋体" w:cs="宋体"/>
                <w:color w:val="auto"/>
                <w:kern w:val="0"/>
                <w:sz w:val="24"/>
                <w:szCs w:val="24"/>
                <w:highlight w:val="none"/>
              </w:rPr>
              <w:t>保证金（</w:t>
            </w:r>
            <w:r>
              <w:rPr>
                <w:rFonts w:hint="eastAsia" w:ascii="宋体" w:hAnsi="宋体" w:eastAsia="宋体" w:cs="宋体"/>
                <w:color w:val="auto"/>
                <w:kern w:val="0"/>
                <w:sz w:val="24"/>
                <w:szCs w:val="24"/>
                <w:highlight w:val="none"/>
                <w:lang w:eastAsia="zh-CN"/>
              </w:rPr>
              <w:t>询比</w:t>
            </w:r>
            <w:r>
              <w:rPr>
                <w:rFonts w:hint="eastAsia" w:ascii="宋体" w:hAnsi="宋体" w:eastAsia="宋体" w:cs="宋体"/>
                <w:color w:val="auto"/>
                <w:kern w:val="0"/>
                <w:sz w:val="24"/>
                <w:szCs w:val="24"/>
                <w:highlight w:val="none"/>
              </w:rPr>
              <w:t>保证金应当从其基本账户汇出，询比响应文件中须附企业基本账户开户许可证或基本账户开户信息并</w:t>
            </w:r>
            <w:r>
              <w:rPr>
                <w:rFonts w:hint="eastAsia" w:ascii="宋体" w:hAnsi="宋体" w:eastAsia="宋体" w:cs="宋体"/>
                <w:color w:val="auto"/>
                <w:kern w:val="0"/>
                <w:sz w:val="24"/>
                <w:szCs w:val="24"/>
                <w:highlight w:val="none"/>
                <w:lang w:val="zh-CN"/>
              </w:rPr>
              <w:t>加盖投标单位公章</w:t>
            </w:r>
            <w:r>
              <w:rPr>
                <w:rFonts w:hint="eastAsia" w:ascii="宋体" w:hAnsi="宋体" w:eastAsia="宋体" w:cs="宋体"/>
                <w:color w:val="auto"/>
                <w:kern w:val="0"/>
                <w:sz w:val="24"/>
                <w:szCs w:val="24"/>
                <w:highlight w:val="none"/>
              </w:rPr>
              <w:t>）</w:t>
            </w:r>
          </w:p>
          <w:p>
            <w:pPr>
              <w:keepNext w:val="0"/>
              <w:keepLines w:val="0"/>
              <w:pageBreakBefore w:val="0"/>
              <w:kinsoku/>
              <w:wordWrap/>
              <w:overflowPunct/>
              <w:topLinePunct w:val="0"/>
              <w:autoSpaceDE/>
              <w:autoSpaceDN/>
              <w:bidi w:val="0"/>
              <w:adjustRightInd/>
              <w:snapToGrid/>
              <w:spacing w:line="360" w:lineRule="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缴纳</w:t>
            </w:r>
            <w:r>
              <w:rPr>
                <w:rFonts w:hint="eastAsia" w:ascii="宋体" w:hAnsi="宋体" w:eastAsia="宋体" w:cs="宋体"/>
                <w:color w:val="auto"/>
                <w:kern w:val="0"/>
                <w:sz w:val="24"/>
                <w:szCs w:val="24"/>
                <w:highlight w:val="none"/>
                <w:lang w:eastAsia="zh-CN"/>
              </w:rPr>
              <w:t>询比</w:t>
            </w:r>
            <w:r>
              <w:rPr>
                <w:rFonts w:hint="eastAsia" w:ascii="宋体" w:hAnsi="宋体" w:eastAsia="宋体" w:cs="宋体"/>
                <w:color w:val="auto"/>
                <w:kern w:val="0"/>
                <w:sz w:val="24"/>
                <w:szCs w:val="24"/>
                <w:highlight w:val="none"/>
              </w:rPr>
              <w:t>保证金时须注明此次项目编号及项目名称（可简写）</w:t>
            </w:r>
          </w:p>
          <w:p>
            <w:pPr>
              <w:keepNext w:val="0"/>
              <w:keepLines w:val="0"/>
              <w:pageBreakBefore w:val="0"/>
              <w:kinsoku/>
              <w:wordWrap/>
              <w:overflowPunct/>
              <w:topLinePunct w:val="0"/>
              <w:autoSpaceDE/>
              <w:autoSpaceDN/>
              <w:bidi w:val="0"/>
              <w:adjustRightInd/>
              <w:snapToGrid/>
              <w:spacing w:line="360" w:lineRule="auto"/>
              <w:rPr>
                <w:rFonts w:hint="eastAsia" w:ascii="宋体" w:hAnsi="宋体" w:eastAsia="宋体" w:cs="宋体"/>
                <w:b/>
                <w:bCs/>
                <w:color w:val="auto"/>
                <w:kern w:val="0"/>
                <w:sz w:val="24"/>
                <w:szCs w:val="24"/>
                <w:highlight w:val="none"/>
              </w:rPr>
            </w:pPr>
            <w:r>
              <w:rPr>
                <w:rFonts w:hint="eastAsia" w:ascii="宋体" w:hAnsi="宋体" w:eastAsia="宋体" w:cs="宋体"/>
                <w:b/>
                <w:bCs/>
                <w:color w:val="auto"/>
                <w:kern w:val="0"/>
                <w:sz w:val="24"/>
                <w:szCs w:val="24"/>
                <w:highlight w:val="none"/>
              </w:rPr>
              <w:t>交纳时间：</w:t>
            </w:r>
            <w:r>
              <w:rPr>
                <w:rFonts w:hint="eastAsia" w:ascii="宋体" w:hAnsi="宋体" w:eastAsia="宋体" w:cs="宋体"/>
                <w:b/>
                <w:bCs/>
                <w:color w:val="auto"/>
                <w:kern w:val="0"/>
                <w:sz w:val="24"/>
                <w:szCs w:val="24"/>
                <w:highlight w:val="none"/>
                <w:lang w:eastAsia="zh-CN"/>
              </w:rPr>
              <w:t>2022年</w:t>
            </w:r>
            <w:r>
              <w:rPr>
                <w:rFonts w:hint="eastAsia" w:ascii="宋体" w:hAnsi="宋体" w:eastAsia="宋体" w:cs="宋体"/>
                <w:b/>
                <w:bCs/>
                <w:color w:val="auto"/>
                <w:kern w:val="0"/>
                <w:sz w:val="24"/>
                <w:szCs w:val="24"/>
                <w:highlight w:val="none"/>
                <w:lang w:val="en-US" w:eastAsia="zh-CN"/>
              </w:rPr>
              <w:t>07</w:t>
            </w:r>
            <w:r>
              <w:rPr>
                <w:rFonts w:hint="eastAsia" w:ascii="宋体" w:hAnsi="宋体" w:eastAsia="宋体" w:cs="宋体"/>
                <w:b/>
                <w:bCs/>
                <w:color w:val="auto"/>
                <w:kern w:val="0"/>
                <w:sz w:val="24"/>
                <w:szCs w:val="24"/>
                <w:highlight w:val="none"/>
                <w:lang w:eastAsia="zh-CN"/>
              </w:rPr>
              <w:t>月</w:t>
            </w:r>
            <w:r>
              <w:rPr>
                <w:rFonts w:hint="eastAsia" w:ascii="宋体" w:hAnsi="宋体" w:eastAsia="宋体" w:cs="宋体"/>
                <w:b/>
                <w:bCs/>
                <w:color w:val="auto"/>
                <w:kern w:val="0"/>
                <w:sz w:val="24"/>
                <w:szCs w:val="24"/>
                <w:highlight w:val="none"/>
                <w:lang w:val="en-US" w:eastAsia="zh-CN"/>
              </w:rPr>
              <w:t>29</w:t>
            </w:r>
            <w:r>
              <w:rPr>
                <w:rFonts w:hint="eastAsia" w:ascii="宋体" w:hAnsi="宋体" w:eastAsia="宋体" w:cs="宋体"/>
                <w:b/>
                <w:bCs/>
                <w:color w:val="auto"/>
                <w:kern w:val="0"/>
                <w:sz w:val="24"/>
                <w:szCs w:val="24"/>
                <w:highlight w:val="none"/>
                <w:lang w:eastAsia="zh-CN"/>
              </w:rPr>
              <w:t>日上午09时30分</w:t>
            </w:r>
            <w:r>
              <w:rPr>
                <w:rFonts w:hint="eastAsia" w:ascii="宋体" w:hAnsi="宋体" w:eastAsia="宋体" w:cs="宋体"/>
                <w:b/>
                <w:bCs/>
                <w:color w:val="auto"/>
                <w:kern w:val="0"/>
                <w:sz w:val="24"/>
                <w:szCs w:val="24"/>
                <w:highlight w:val="none"/>
              </w:rPr>
              <w:t>（北京时间）之前，以银行到账时间为准；</w:t>
            </w:r>
          </w:p>
          <w:p>
            <w:pPr>
              <w:keepNext w:val="0"/>
              <w:keepLines w:val="0"/>
              <w:pageBreakBefore w:val="0"/>
              <w:kinsoku/>
              <w:wordWrap/>
              <w:overflowPunct/>
              <w:topLinePunct w:val="0"/>
              <w:autoSpaceDE/>
              <w:autoSpaceDN/>
              <w:bidi w:val="0"/>
              <w:adjustRightInd/>
              <w:snapToGrid/>
              <w:spacing w:line="360" w:lineRule="auto"/>
              <w:rPr>
                <w:rFonts w:hint="eastAsia" w:ascii="宋体" w:hAnsi="宋体" w:eastAsia="宋体" w:cs="宋体"/>
                <w:b/>
                <w:bCs/>
                <w:color w:val="auto"/>
                <w:kern w:val="0"/>
                <w:sz w:val="24"/>
                <w:szCs w:val="24"/>
                <w:highlight w:val="none"/>
              </w:rPr>
            </w:pPr>
            <w:r>
              <w:rPr>
                <w:rFonts w:hint="eastAsia" w:ascii="宋体" w:hAnsi="宋体" w:eastAsia="宋体" w:cs="宋体"/>
                <w:b/>
                <w:bCs/>
                <w:color w:val="auto"/>
                <w:kern w:val="0"/>
                <w:sz w:val="24"/>
                <w:szCs w:val="24"/>
                <w:highlight w:val="none"/>
              </w:rPr>
              <w:t>账户名：上海容基工程项目管理有限公司青海分公司</w:t>
            </w:r>
          </w:p>
          <w:p>
            <w:pPr>
              <w:keepNext w:val="0"/>
              <w:keepLines w:val="0"/>
              <w:pageBreakBefore w:val="0"/>
              <w:kinsoku/>
              <w:wordWrap/>
              <w:overflowPunct/>
              <w:topLinePunct w:val="0"/>
              <w:autoSpaceDE/>
              <w:autoSpaceDN/>
              <w:bidi w:val="0"/>
              <w:adjustRightInd/>
              <w:snapToGrid/>
              <w:spacing w:line="360" w:lineRule="auto"/>
              <w:rPr>
                <w:rFonts w:hint="eastAsia" w:ascii="宋体" w:hAnsi="宋体" w:eastAsia="宋体" w:cs="宋体"/>
                <w:b/>
                <w:bCs/>
                <w:color w:val="auto"/>
                <w:kern w:val="0"/>
                <w:sz w:val="24"/>
                <w:szCs w:val="24"/>
                <w:highlight w:val="none"/>
              </w:rPr>
            </w:pPr>
            <w:r>
              <w:rPr>
                <w:rFonts w:hint="eastAsia" w:ascii="宋体" w:hAnsi="宋体" w:eastAsia="宋体" w:cs="宋体"/>
                <w:b/>
                <w:bCs/>
                <w:color w:val="auto"/>
                <w:kern w:val="0"/>
                <w:sz w:val="24"/>
                <w:szCs w:val="24"/>
                <w:highlight w:val="none"/>
              </w:rPr>
              <w:t>开户行：中国农业银行股份有限公司西宁分行</w:t>
            </w:r>
          </w:p>
          <w:p>
            <w:pPr>
              <w:pStyle w:val="16"/>
              <w:keepNext w:val="0"/>
              <w:keepLines w:val="0"/>
              <w:pageBreakBefore w:val="0"/>
              <w:widowControl/>
              <w:kinsoku/>
              <w:wordWrap/>
              <w:overflowPunct/>
              <w:topLinePunct w:val="0"/>
              <w:autoSpaceDE/>
              <w:autoSpaceDN/>
              <w:bidi w:val="0"/>
              <w:adjustRightInd/>
              <w:snapToGrid/>
              <w:spacing w:beforeAutospacing="0" w:afterAutospacing="0" w:line="360" w:lineRule="auto"/>
              <w:ind w:firstLine="241" w:firstLineChars="100"/>
              <w:jc w:val="both"/>
              <w:rPr>
                <w:rFonts w:hint="eastAsia" w:ascii="宋体" w:hAnsi="宋体" w:eastAsia="宋体" w:cs="宋体"/>
                <w:color w:val="auto"/>
                <w:kern w:val="2"/>
                <w:sz w:val="24"/>
                <w:szCs w:val="24"/>
                <w:highlight w:val="none"/>
                <w:u w:val="single"/>
                <w:lang w:bidi="ar-SA"/>
              </w:rPr>
            </w:pPr>
            <w:r>
              <w:rPr>
                <w:rFonts w:hint="eastAsia" w:ascii="宋体" w:hAnsi="宋体" w:eastAsia="宋体" w:cs="宋体"/>
                <w:b/>
                <w:bCs/>
                <w:color w:val="auto"/>
                <w:sz w:val="24"/>
                <w:szCs w:val="24"/>
                <w:highlight w:val="none"/>
              </w:rPr>
              <w:t>账 号：28001001040023902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8" w:hRule="atLeast"/>
          <w:jc w:val="center"/>
        </w:trPr>
        <w:tc>
          <w:tcPr>
            <w:tcW w:w="1437" w:type="dxa"/>
            <w:vAlign w:val="center"/>
          </w:tcPr>
          <w:p>
            <w:pPr>
              <w:keepNext w:val="0"/>
              <w:keepLines w:val="0"/>
              <w:pageBreakBefore w:val="0"/>
              <w:kinsoku/>
              <w:wordWrap/>
              <w:overflowPunct/>
              <w:topLinePunct w:val="0"/>
              <w:autoSpaceDE/>
              <w:autoSpaceDN/>
              <w:bidi w:val="0"/>
              <w:adjustRightInd/>
              <w:snapToGrid/>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3.4.2</w:t>
            </w:r>
          </w:p>
        </w:tc>
        <w:tc>
          <w:tcPr>
            <w:tcW w:w="3075" w:type="dxa"/>
            <w:vAlign w:val="center"/>
          </w:tcPr>
          <w:p>
            <w:pPr>
              <w:keepNext w:val="0"/>
              <w:keepLines w:val="0"/>
              <w:pageBreakBefore w:val="0"/>
              <w:kinsoku/>
              <w:wordWrap/>
              <w:overflowPunct/>
              <w:topLinePunct w:val="0"/>
              <w:autoSpaceDE/>
              <w:autoSpaceDN/>
              <w:bidi w:val="0"/>
              <w:adjustRightInd/>
              <w:snapToGrid/>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退还响应保证金的时间</w:t>
            </w:r>
          </w:p>
        </w:tc>
        <w:tc>
          <w:tcPr>
            <w:tcW w:w="6095" w:type="dxa"/>
            <w:vAlign w:val="center"/>
          </w:tcPr>
          <w:p>
            <w:pPr>
              <w:keepNext w:val="0"/>
              <w:keepLines w:val="0"/>
              <w:pageBreakBefore w:val="0"/>
              <w:widowControl/>
              <w:kinsoku/>
              <w:wordWrap/>
              <w:overflowPunct/>
              <w:topLinePunct w:val="0"/>
              <w:autoSpaceDE/>
              <w:autoSpaceDN/>
              <w:bidi w:val="0"/>
              <w:adjustRightInd/>
              <w:snapToGrid/>
              <w:spacing w:line="360" w:lineRule="auto"/>
              <w:textAlignment w:val="center"/>
              <w:rPr>
                <w:rStyle w:val="40"/>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rPr>
              <w:t>未成交</w:t>
            </w:r>
            <w:r>
              <w:rPr>
                <w:rFonts w:hint="eastAsia" w:ascii="宋体" w:hAnsi="宋体" w:eastAsia="宋体" w:cs="宋体"/>
                <w:color w:val="auto"/>
                <w:kern w:val="0"/>
                <w:sz w:val="24"/>
                <w:szCs w:val="24"/>
                <w:highlight w:val="none"/>
                <w:lang w:eastAsia="zh-CN"/>
              </w:rPr>
              <w:t>询比</w:t>
            </w:r>
            <w:r>
              <w:rPr>
                <w:rFonts w:hint="eastAsia" w:ascii="宋体" w:hAnsi="宋体" w:eastAsia="宋体" w:cs="宋体"/>
                <w:color w:val="auto"/>
                <w:kern w:val="0"/>
                <w:sz w:val="24"/>
                <w:szCs w:val="24"/>
                <w:highlight w:val="none"/>
              </w:rPr>
              <w:t>响应人的</w:t>
            </w:r>
            <w:r>
              <w:rPr>
                <w:rFonts w:hint="eastAsia" w:ascii="宋体" w:hAnsi="宋体" w:eastAsia="宋体" w:cs="宋体"/>
                <w:color w:val="auto"/>
                <w:kern w:val="0"/>
                <w:sz w:val="24"/>
                <w:szCs w:val="24"/>
                <w:highlight w:val="none"/>
                <w:lang w:eastAsia="zh-CN"/>
              </w:rPr>
              <w:t>询比</w:t>
            </w:r>
            <w:r>
              <w:rPr>
                <w:rFonts w:hint="eastAsia" w:ascii="宋体" w:hAnsi="宋体" w:eastAsia="宋体" w:cs="宋体"/>
                <w:color w:val="auto"/>
                <w:kern w:val="0"/>
                <w:sz w:val="24"/>
                <w:szCs w:val="24"/>
                <w:highlight w:val="none"/>
              </w:rPr>
              <w:t>保证金自成交通知书发出之日起5</w:t>
            </w:r>
            <w:r>
              <w:rPr>
                <w:rStyle w:val="40"/>
                <w:rFonts w:hint="eastAsia" w:ascii="宋体" w:hAnsi="宋体" w:eastAsia="宋体" w:cs="宋体"/>
                <w:color w:val="auto"/>
                <w:sz w:val="24"/>
                <w:szCs w:val="24"/>
                <w:highlight w:val="none"/>
              </w:rPr>
              <w:t>个日历日内退还（不退现金）；</w:t>
            </w:r>
          </w:p>
          <w:p>
            <w:pPr>
              <w:keepNext w:val="0"/>
              <w:keepLines w:val="0"/>
              <w:pageBreakBefore w:val="0"/>
              <w:widowControl/>
              <w:kinsoku/>
              <w:wordWrap/>
              <w:overflowPunct/>
              <w:topLinePunct w:val="0"/>
              <w:autoSpaceDE/>
              <w:autoSpaceDN/>
              <w:bidi w:val="0"/>
              <w:adjustRightInd/>
              <w:snapToGrid/>
              <w:spacing w:line="360" w:lineRule="auto"/>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rPr>
              <w:t>成交单位的</w:t>
            </w:r>
            <w:r>
              <w:rPr>
                <w:rFonts w:hint="eastAsia" w:ascii="宋体" w:hAnsi="宋体" w:eastAsia="宋体" w:cs="宋体"/>
                <w:color w:val="auto"/>
                <w:kern w:val="0"/>
                <w:sz w:val="24"/>
                <w:szCs w:val="24"/>
                <w:highlight w:val="none"/>
                <w:lang w:eastAsia="zh-CN"/>
              </w:rPr>
              <w:t>询比</w:t>
            </w:r>
            <w:r>
              <w:rPr>
                <w:rFonts w:hint="eastAsia" w:ascii="宋体" w:hAnsi="宋体" w:eastAsia="宋体" w:cs="宋体"/>
                <w:color w:val="auto"/>
                <w:kern w:val="0"/>
                <w:sz w:val="24"/>
                <w:szCs w:val="24"/>
                <w:highlight w:val="none"/>
              </w:rPr>
              <w:t>保证金，自合同签订之日起5</w:t>
            </w:r>
            <w:r>
              <w:rPr>
                <w:rStyle w:val="40"/>
                <w:rFonts w:hint="eastAsia" w:ascii="宋体" w:hAnsi="宋体" w:eastAsia="宋体" w:cs="宋体"/>
                <w:color w:val="auto"/>
                <w:sz w:val="24"/>
                <w:szCs w:val="24"/>
                <w:highlight w:val="none"/>
              </w:rPr>
              <w:t>个日历日内退还（不退现金）。</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8" w:hRule="atLeast"/>
          <w:jc w:val="center"/>
        </w:trPr>
        <w:tc>
          <w:tcPr>
            <w:tcW w:w="1437" w:type="dxa"/>
            <w:vAlign w:val="center"/>
          </w:tcPr>
          <w:p>
            <w:pPr>
              <w:keepNext w:val="0"/>
              <w:keepLines w:val="0"/>
              <w:pageBreakBefore w:val="0"/>
              <w:kinsoku/>
              <w:wordWrap/>
              <w:overflowPunct/>
              <w:topLinePunct w:val="0"/>
              <w:autoSpaceDE/>
              <w:autoSpaceDN/>
              <w:bidi w:val="0"/>
              <w:adjustRightInd/>
              <w:snapToGrid/>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3.4.3(3)</w:t>
            </w:r>
          </w:p>
        </w:tc>
        <w:tc>
          <w:tcPr>
            <w:tcW w:w="3075" w:type="dxa"/>
            <w:vAlign w:val="center"/>
          </w:tcPr>
          <w:p>
            <w:pPr>
              <w:keepNext w:val="0"/>
              <w:keepLines w:val="0"/>
              <w:pageBreakBefore w:val="0"/>
              <w:kinsoku/>
              <w:wordWrap/>
              <w:overflowPunct/>
              <w:topLinePunct w:val="0"/>
              <w:autoSpaceDE/>
              <w:autoSpaceDN/>
              <w:bidi w:val="0"/>
              <w:adjustRightInd/>
              <w:snapToGrid/>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不退还响应保证金的其他情形</w:t>
            </w:r>
          </w:p>
        </w:tc>
        <w:tc>
          <w:tcPr>
            <w:tcW w:w="6095" w:type="dxa"/>
            <w:vAlign w:val="center"/>
          </w:tcPr>
          <w:p>
            <w:pPr>
              <w:keepNext w:val="0"/>
              <w:keepLines w:val="0"/>
              <w:pageBreakBefore w:val="0"/>
              <w:widowControl/>
              <w:numPr>
                <w:ilvl w:val="0"/>
                <w:numId w:val="3"/>
              </w:numPr>
              <w:kinsoku/>
              <w:wordWrap/>
              <w:overflowPunct/>
              <w:topLinePunct w:val="0"/>
              <w:autoSpaceDE/>
              <w:autoSpaceDN/>
              <w:bidi w:val="0"/>
              <w:adjustRightInd/>
              <w:snapToGrid/>
              <w:spacing w:line="360" w:lineRule="auto"/>
              <w:textAlignment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投标人在规定的</w:t>
            </w:r>
            <w:r>
              <w:rPr>
                <w:rFonts w:hint="eastAsia" w:ascii="宋体" w:hAnsi="宋体" w:eastAsia="宋体" w:cs="宋体"/>
                <w:color w:val="auto"/>
                <w:sz w:val="24"/>
                <w:szCs w:val="24"/>
                <w:highlight w:val="none"/>
                <w:lang w:eastAsia="zh-CN"/>
              </w:rPr>
              <w:t>询比</w:t>
            </w:r>
            <w:r>
              <w:rPr>
                <w:rFonts w:hint="eastAsia" w:ascii="宋体" w:hAnsi="宋体" w:eastAsia="宋体" w:cs="宋体"/>
                <w:color w:val="auto"/>
                <w:sz w:val="24"/>
                <w:szCs w:val="24"/>
                <w:highlight w:val="none"/>
              </w:rPr>
              <w:t>有效期内撤销或修改其响应文件；</w:t>
            </w:r>
          </w:p>
          <w:p>
            <w:pPr>
              <w:keepNext w:val="0"/>
              <w:keepLines w:val="0"/>
              <w:pageBreakBefore w:val="0"/>
              <w:widowControl/>
              <w:kinsoku/>
              <w:wordWrap/>
              <w:overflowPunct/>
              <w:topLinePunct w:val="0"/>
              <w:autoSpaceDE/>
              <w:autoSpaceDN/>
              <w:bidi w:val="0"/>
              <w:adjustRightInd/>
              <w:snapToGrid/>
              <w:spacing w:line="360" w:lineRule="auto"/>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rPr>
              <w:t>（2</w:t>
            </w:r>
            <w:r>
              <w:rPr>
                <w:rStyle w:val="40"/>
                <w:rFonts w:hint="eastAsia" w:ascii="宋体" w:hAnsi="宋体" w:eastAsia="宋体" w:cs="宋体"/>
                <w:color w:val="auto"/>
                <w:sz w:val="24"/>
                <w:szCs w:val="24"/>
                <w:highlight w:val="none"/>
              </w:rPr>
              <w:t>）</w:t>
            </w:r>
            <w:r>
              <w:rPr>
                <w:rStyle w:val="42"/>
                <w:rFonts w:hint="eastAsia" w:ascii="宋体" w:hAnsi="宋体" w:eastAsia="宋体" w:cs="宋体"/>
                <w:color w:val="auto"/>
                <w:sz w:val="24"/>
                <w:szCs w:val="24"/>
                <w:highlight w:val="none"/>
              </w:rPr>
              <w:t>成交人在收到成交通知书后，无正当理由拒签合同协议书或未按</w:t>
            </w:r>
            <w:r>
              <w:rPr>
                <w:rStyle w:val="42"/>
                <w:rFonts w:hint="eastAsia" w:ascii="宋体" w:hAnsi="宋体" w:eastAsia="宋体" w:cs="宋体"/>
                <w:color w:val="auto"/>
                <w:sz w:val="24"/>
                <w:szCs w:val="24"/>
                <w:highlight w:val="none"/>
                <w:lang w:eastAsia="zh-CN"/>
              </w:rPr>
              <w:t>询比</w:t>
            </w:r>
            <w:r>
              <w:rPr>
                <w:rStyle w:val="42"/>
                <w:rFonts w:hint="eastAsia" w:ascii="宋体" w:hAnsi="宋体" w:eastAsia="宋体" w:cs="宋体"/>
                <w:color w:val="auto"/>
                <w:sz w:val="24"/>
                <w:szCs w:val="24"/>
                <w:highlight w:val="none"/>
              </w:rPr>
              <w:t>采购文件规定提交履约担保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56" w:hRule="atLeast"/>
          <w:jc w:val="center"/>
        </w:trPr>
        <w:tc>
          <w:tcPr>
            <w:tcW w:w="1437" w:type="dxa"/>
            <w:vAlign w:val="center"/>
          </w:tcPr>
          <w:p>
            <w:pPr>
              <w:pStyle w:val="16"/>
              <w:keepNext w:val="0"/>
              <w:keepLines w:val="0"/>
              <w:pageBreakBefore w:val="0"/>
              <w:widowControl/>
              <w:kinsoku/>
              <w:wordWrap/>
              <w:overflowPunct/>
              <w:topLinePunct w:val="0"/>
              <w:autoSpaceDE/>
              <w:autoSpaceDN/>
              <w:bidi w:val="0"/>
              <w:adjustRightInd/>
              <w:snapToGrid/>
              <w:spacing w:beforeAutospacing="0" w:afterAutospacing="0"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3.5(1)</w:t>
            </w:r>
          </w:p>
        </w:tc>
        <w:tc>
          <w:tcPr>
            <w:tcW w:w="3075" w:type="dxa"/>
            <w:vAlign w:val="center"/>
          </w:tcPr>
          <w:p>
            <w:pPr>
              <w:pStyle w:val="16"/>
              <w:keepNext w:val="0"/>
              <w:keepLines w:val="0"/>
              <w:pageBreakBefore w:val="0"/>
              <w:widowControl/>
              <w:kinsoku/>
              <w:wordWrap/>
              <w:overflowPunct/>
              <w:topLinePunct w:val="0"/>
              <w:autoSpaceDE/>
              <w:autoSpaceDN/>
              <w:bidi w:val="0"/>
              <w:adjustRightInd/>
              <w:snapToGrid/>
              <w:spacing w:beforeAutospacing="0" w:afterAutospacing="0"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依法设立的证明材料</w:t>
            </w:r>
          </w:p>
        </w:tc>
        <w:tc>
          <w:tcPr>
            <w:tcW w:w="6095" w:type="dxa"/>
            <w:vAlign w:val="center"/>
          </w:tcPr>
          <w:p>
            <w:pPr>
              <w:pStyle w:val="16"/>
              <w:keepNext w:val="0"/>
              <w:keepLines w:val="0"/>
              <w:pageBreakBefore w:val="0"/>
              <w:widowControl/>
              <w:kinsoku/>
              <w:wordWrap/>
              <w:overflowPunct/>
              <w:topLinePunct w:val="0"/>
              <w:autoSpaceDE/>
              <w:autoSpaceDN/>
              <w:bidi w:val="0"/>
              <w:adjustRightInd/>
              <w:snapToGrid/>
              <w:spacing w:beforeAutospacing="0" w:afterAutospacing="0" w:line="360" w:lineRule="auto"/>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询比响应人</w:t>
            </w:r>
            <w:r>
              <w:rPr>
                <w:rFonts w:hint="eastAsia" w:ascii="宋体" w:hAnsi="宋体" w:eastAsia="宋体" w:cs="宋体"/>
                <w:color w:val="auto"/>
                <w:sz w:val="24"/>
                <w:szCs w:val="24"/>
                <w:highlight w:val="none"/>
              </w:rPr>
              <w:t>应提供市场监管部门或其他行政机关颁发的可以合法开展业务的执照或证书复印件</w:t>
            </w:r>
          </w:p>
        </w:tc>
      </w:tr>
    </w:tbl>
    <w:p>
      <w:pPr>
        <w:pageBreakBefore w:val="0"/>
        <w:kinsoku/>
        <w:overflowPunct/>
        <w:topLinePunct w:val="0"/>
        <w:bidi w:val="0"/>
        <w:snapToGrid/>
        <w:spacing w:line="360" w:lineRule="auto"/>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续表</w:t>
      </w:r>
    </w:p>
    <w:tbl>
      <w:tblPr>
        <w:tblStyle w:val="20"/>
        <w:tblW w:w="1051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217"/>
        <w:gridCol w:w="3051"/>
        <w:gridCol w:w="625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6" w:hRule="atLeast"/>
          <w:jc w:val="center"/>
        </w:trPr>
        <w:tc>
          <w:tcPr>
            <w:tcW w:w="1217" w:type="dxa"/>
            <w:vAlign w:val="center"/>
          </w:tcPr>
          <w:p>
            <w:pPr>
              <w:pStyle w:val="16"/>
              <w:keepNext w:val="0"/>
              <w:keepLines w:val="0"/>
              <w:pageBreakBefore w:val="0"/>
              <w:widowControl/>
              <w:kinsoku/>
              <w:wordWrap/>
              <w:overflowPunct/>
              <w:topLinePunct w:val="0"/>
              <w:autoSpaceDE/>
              <w:autoSpaceDN/>
              <w:bidi w:val="0"/>
              <w:adjustRightInd/>
              <w:snapToGrid/>
              <w:spacing w:beforeAutospacing="0" w:afterAutospacing="0" w:line="360" w:lineRule="auto"/>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条款号</w:t>
            </w:r>
          </w:p>
        </w:tc>
        <w:tc>
          <w:tcPr>
            <w:tcW w:w="3051" w:type="dxa"/>
            <w:vAlign w:val="center"/>
          </w:tcPr>
          <w:p>
            <w:pPr>
              <w:pStyle w:val="16"/>
              <w:keepNext w:val="0"/>
              <w:keepLines w:val="0"/>
              <w:pageBreakBefore w:val="0"/>
              <w:widowControl/>
              <w:kinsoku/>
              <w:wordWrap/>
              <w:overflowPunct/>
              <w:topLinePunct w:val="0"/>
              <w:autoSpaceDE/>
              <w:autoSpaceDN/>
              <w:bidi w:val="0"/>
              <w:adjustRightInd/>
              <w:snapToGrid/>
              <w:spacing w:beforeAutospacing="0" w:afterAutospacing="0" w:line="360" w:lineRule="auto"/>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条 款 内 容</w:t>
            </w:r>
          </w:p>
        </w:tc>
        <w:tc>
          <w:tcPr>
            <w:tcW w:w="6251" w:type="dxa"/>
            <w:vAlign w:val="center"/>
          </w:tcPr>
          <w:p>
            <w:pPr>
              <w:pStyle w:val="16"/>
              <w:keepNext w:val="0"/>
              <w:keepLines w:val="0"/>
              <w:pageBreakBefore w:val="0"/>
              <w:widowControl/>
              <w:kinsoku/>
              <w:wordWrap/>
              <w:overflowPunct/>
              <w:topLinePunct w:val="0"/>
              <w:autoSpaceDE/>
              <w:autoSpaceDN/>
              <w:bidi w:val="0"/>
              <w:adjustRightInd/>
              <w:snapToGrid/>
              <w:spacing w:beforeAutospacing="0" w:afterAutospacing="0" w:line="360" w:lineRule="auto"/>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编 列 内 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73" w:hRule="atLeast"/>
          <w:jc w:val="center"/>
        </w:trPr>
        <w:tc>
          <w:tcPr>
            <w:tcW w:w="1217" w:type="dxa"/>
            <w:vAlign w:val="center"/>
          </w:tcPr>
          <w:p>
            <w:pPr>
              <w:pStyle w:val="16"/>
              <w:keepNext w:val="0"/>
              <w:keepLines w:val="0"/>
              <w:pageBreakBefore w:val="0"/>
              <w:widowControl/>
              <w:kinsoku/>
              <w:wordWrap/>
              <w:overflowPunct/>
              <w:topLinePunct w:val="0"/>
              <w:autoSpaceDE/>
              <w:autoSpaceDN/>
              <w:bidi w:val="0"/>
              <w:adjustRightInd/>
              <w:snapToGrid/>
              <w:spacing w:beforeAutospacing="0" w:afterAutospacing="0" w:line="360" w:lineRule="auto"/>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3.5(2)</w:t>
            </w:r>
          </w:p>
        </w:tc>
        <w:tc>
          <w:tcPr>
            <w:tcW w:w="3051" w:type="dxa"/>
            <w:vAlign w:val="center"/>
          </w:tcPr>
          <w:p>
            <w:pPr>
              <w:pStyle w:val="16"/>
              <w:keepNext w:val="0"/>
              <w:keepLines w:val="0"/>
              <w:pageBreakBefore w:val="0"/>
              <w:widowControl/>
              <w:kinsoku/>
              <w:wordWrap/>
              <w:overflowPunct/>
              <w:topLinePunct w:val="0"/>
              <w:autoSpaceDE/>
              <w:autoSpaceDN/>
              <w:bidi w:val="0"/>
              <w:adjustRightInd/>
              <w:snapToGrid/>
              <w:spacing w:beforeAutospacing="0" w:afterAutospacing="0" w:line="360" w:lineRule="auto"/>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资质要求证明材料</w:t>
            </w:r>
          </w:p>
        </w:tc>
        <w:tc>
          <w:tcPr>
            <w:tcW w:w="6251" w:type="dxa"/>
            <w:vAlign w:val="center"/>
          </w:tcPr>
          <w:p>
            <w:pPr>
              <w:pStyle w:val="16"/>
              <w:keepNext w:val="0"/>
              <w:keepLines w:val="0"/>
              <w:pageBreakBefore w:val="0"/>
              <w:widowControl/>
              <w:kinsoku/>
              <w:wordWrap/>
              <w:overflowPunct/>
              <w:topLinePunct w:val="0"/>
              <w:autoSpaceDE/>
              <w:autoSpaceDN/>
              <w:bidi w:val="0"/>
              <w:adjustRightInd/>
              <w:snapToGrid/>
              <w:spacing w:beforeAutospacing="0" w:afterAutospacing="0" w:line="360" w:lineRule="auto"/>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sym w:font="Wingdings 2" w:char="00A3"/>
            </w:r>
            <w:r>
              <w:rPr>
                <w:rFonts w:hint="eastAsia" w:ascii="宋体" w:hAnsi="宋体" w:eastAsia="宋体" w:cs="宋体"/>
                <w:color w:val="auto"/>
                <w:sz w:val="24"/>
                <w:szCs w:val="24"/>
                <w:highlight w:val="none"/>
              </w:rPr>
              <w:t>不适用</w:t>
            </w:r>
          </w:p>
          <w:p>
            <w:pPr>
              <w:pStyle w:val="16"/>
              <w:keepNext w:val="0"/>
              <w:keepLines w:val="0"/>
              <w:pageBreakBefore w:val="0"/>
              <w:widowControl/>
              <w:kinsoku/>
              <w:wordWrap/>
              <w:overflowPunct/>
              <w:topLinePunct w:val="0"/>
              <w:autoSpaceDE/>
              <w:autoSpaceDN/>
              <w:bidi w:val="0"/>
              <w:adjustRightInd/>
              <w:snapToGrid/>
              <w:spacing w:beforeAutospacing="0" w:afterAutospacing="0" w:line="360" w:lineRule="auto"/>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sym w:font="Wingdings 2" w:char="0052"/>
            </w:r>
            <w:r>
              <w:rPr>
                <w:rFonts w:hint="eastAsia" w:ascii="宋体" w:hAnsi="宋体" w:eastAsia="宋体" w:cs="宋体"/>
                <w:color w:val="auto"/>
                <w:sz w:val="24"/>
                <w:szCs w:val="24"/>
                <w:highlight w:val="none"/>
              </w:rPr>
              <w:t>适用。</w:t>
            </w:r>
            <w:r>
              <w:rPr>
                <w:rFonts w:hint="eastAsia" w:ascii="宋体" w:hAnsi="宋体" w:eastAsia="宋体" w:cs="宋体"/>
                <w:color w:val="auto"/>
                <w:sz w:val="24"/>
                <w:szCs w:val="24"/>
                <w:highlight w:val="none"/>
                <w:lang w:eastAsia="zh-CN"/>
              </w:rPr>
              <w:t>询比响应人</w:t>
            </w:r>
            <w:r>
              <w:rPr>
                <w:rFonts w:hint="eastAsia" w:ascii="宋体" w:hAnsi="宋体" w:eastAsia="宋体" w:cs="宋体"/>
                <w:color w:val="auto"/>
                <w:sz w:val="24"/>
                <w:szCs w:val="24"/>
                <w:highlight w:val="none"/>
              </w:rPr>
              <w:t>应提供相关资质证书副本的复印件，以证明</w:t>
            </w:r>
            <w:r>
              <w:rPr>
                <w:rFonts w:hint="eastAsia" w:ascii="宋体" w:hAnsi="宋体" w:eastAsia="宋体" w:cs="宋体"/>
                <w:color w:val="auto"/>
                <w:sz w:val="24"/>
                <w:szCs w:val="24"/>
                <w:highlight w:val="none"/>
                <w:lang w:eastAsia="zh-CN"/>
              </w:rPr>
              <w:t>询比响应人</w:t>
            </w:r>
            <w:r>
              <w:rPr>
                <w:rFonts w:hint="eastAsia" w:ascii="宋体" w:hAnsi="宋体" w:eastAsia="宋体" w:cs="宋体"/>
                <w:color w:val="auto"/>
                <w:sz w:val="24"/>
                <w:szCs w:val="24"/>
                <w:highlight w:val="none"/>
              </w:rPr>
              <w:t>具有承担本项目要求的资质</w:t>
            </w:r>
          </w:p>
          <w:p>
            <w:pPr>
              <w:pStyle w:val="16"/>
              <w:pageBreakBefore w:val="0"/>
              <w:widowControl/>
              <w:kinsoku/>
              <w:overflowPunct/>
              <w:topLinePunct w:val="0"/>
              <w:bidi w:val="0"/>
              <w:snapToGrid/>
              <w:spacing w:beforeAutospacing="0" w:afterAutospacing="0" w:line="360" w:lineRule="auto"/>
              <w:ind w:firstLine="240" w:firstLineChars="1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资质证书包括∶</w:t>
            </w:r>
          </w:p>
          <w:p>
            <w:pPr>
              <w:pStyle w:val="16"/>
              <w:pageBreakBefore w:val="0"/>
              <w:widowControl/>
              <w:kinsoku/>
              <w:overflowPunct/>
              <w:topLinePunct w:val="0"/>
              <w:bidi w:val="0"/>
              <w:snapToGrid/>
              <w:spacing w:beforeAutospacing="0" w:afterAutospacing="0" w:line="360" w:lineRule="auto"/>
              <w:ind w:firstLine="240" w:firstLineChars="100"/>
              <w:rPr>
                <w:rFonts w:hint="eastAsia" w:ascii="宋体" w:hAnsi="宋体" w:eastAsia="宋体" w:cs="宋体"/>
                <w:color w:val="auto"/>
                <w:highlight w:val="none"/>
                <w:u w:val="singl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u w:val="single"/>
              </w:rPr>
              <w:t>投标人须具备有效期内的[建筑工程·建筑工程三级](含)以上资质；</w:t>
            </w:r>
          </w:p>
          <w:p>
            <w:pPr>
              <w:pStyle w:val="16"/>
              <w:widowControl/>
              <w:spacing w:beforeAutospacing="0" w:afterAutospacing="0" w:line="360" w:lineRule="auto"/>
              <w:ind w:firstLine="240" w:firstLineChars="100"/>
              <w:rPr>
                <w:rFonts w:hint="eastAsia" w:ascii="宋体" w:hAnsi="宋体" w:eastAsia="宋体" w:cs="宋体"/>
                <w:color w:val="auto"/>
                <w:sz w:val="24"/>
                <w:szCs w:val="24"/>
                <w:highlight w:val="none"/>
                <w:u w:val="single"/>
              </w:rPr>
            </w:pPr>
            <w:r>
              <w:rPr>
                <w:rFonts w:hint="eastAsia" w:ascii="宋体" w:hAnsi="宋体" w:eastAsia="宋体" w:cs="宋体"/>
                <w:color w:val="auto"/>
                <w:highlight w:val="none"/>
                <w:u w:val="single"/>
                <w:lang w:val="en-US" w:eastAsia="zh-CN"/>
              </w:rPr>
              <w:t>（2）.</w:t>
            </w:r>
            <w:r>
              <w:rPr>
                <w:rFonts w:hint="eastAsia" w:ascii="宋体" w:hAnsi="宋体" w:eastAsia="宋体" w:cs="宋体"/>
                <w:u w:val="single"/>
              </w:rPr>
              <w:t>投标人须具有有效期内的安全生产许可证</w:t>
            </w:r>
            <w:r>
              <w:rPr>
                <w:rFonts w:hint="eastAsia" w:ascii="宋体" w:hAnsi="宋体" w:eastAsia="宋体" w:cs="宋体"/>
                <w:color w:val="auto"/>
                <w:highlight w:val="none"/>
                <w:u w:val="single"/>
              </w:rPr>
              <w:t>；</w:t>
            </w:r>
          </w:p>
          <w:p>
            <w:pPr>
              <w:pStyle w:val="16"/>
              <w:keepNext w:val="0"/>
              <w:keepLines w:val="0"/>
              <w:pageBreakBefore w:val="0"/>
              <w:widowControl/>
              <w:kinsoku/>
              <w:wordWrap/>
              <w:overflowPunct/>
              <w:topLinePunct w:val="0"/>
              <w:autoSpaceDE/>
              <w:autoSpaceDN/>
              <w:bidi w:val="0"/>
              <w:adjustRightInd/>
              <w:snapToGrid/>
              <w:spacing w:beforeAutospacing="0" w:afterAutospacing="0" w:line="360" w:lineRule="auto"/>
              <w:jc w:val="both"/>
              <w:textAlignment w:val="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（注∶此处应填写资质证书的名称、等级、专业、颁发机构等内容。）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4" w:hRule="atLeast"/>
          <w:jc w:val="center"/>
        </w:trPr>
        <w:tc>
          <w:tcPr>
            <w:tcW w:w="1217" w:type="dxa"/>
            <w:vAlign w:val="center"/>
          </w:tcPr>
          <w:p>
            <w:pPr>
              <w:pStyle w:val="16"/>
              <w:keepNext w:val="0"/>
              <w:keepLines w:val="0"/>
              <w:pageBreakBefore w:val="0"/>
              <w:widowControl/>
              <w:kinsoku/>
              <w:wordWrap/>
              <w:overflowPunct/>
              <w:topLinePunct w:val="0"/>
              <w:autoSpaceDE/>
              <w:autoSpaceDN/>
              <w:bidi w:val="0"/>
              <w:adjustRightInd/>
              <w:snapToGrid/>
              <w:spacing w:beforeAutospacing="0" w:afterAutospacing="0" w:line="360" w:lineRule="auto"/>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3.5(3)</w:t>
            </w:r>
          </w:p>
        </w:tc>
        <w:tc>
          <w:tcPr>
            <w:tcW w:w="3051" w:type="dxa"/>
            <w:vAlign w:val="center"/>
          </w:tcPr>
          <w:p>
            <w:pPr>
              <w:pStyle w:val="16"/>
              <w:keepNext w:val="0"/>
              <w:keepLines w:val="0"/>
              <w:pageBreakBefore w:val="0"/>
              <w:widowControl/>
              <w:kinsoku/>
              <w:wordWrap/>
              <w:overflowPunct/>
              <w:topLinePunct w:val="0"/>
              <w:autoSpaceDE/>
              <w:autoSpaceDN/>
              <w:bidi w:val="0"/>
              <w:adjustRightInd/>
              <w:snapToGrid/>
              <w:spacing w:beforeAutospacing="0" w:afterAutospacing="0" w:line="360" w:lineRule="auto"/>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财务要求证明材料</w:t>
            </w:r>
          </w:p>
        </w:tc>
        <w:tc>
          <w:tcPr>
            <w:tcW w:w="6251" w:type="dxa"/>
            <w:vAlign w:val="center"/>
          </w:tcPr>
          <w:p>
            <w:pPr>
              <w:pStyle w:val="16"/>
              <w:keepNext w:val="0"/>
              <w:keepLines w:val="0"/>
              <w:pageBreakBefore w:val="0"/>
              <w:widowControl/>
              <w:kinsoku/>
              <w:wordWrap/>
              <w:overflowPunct/>
              <w:topLinePunct w:val="0"/>
              <w:autoSpaceDE/>
              <w:autoSpaceDN/>
              <w:bidi w:val="0"/>
              <w:adjustRightInd/>
              <w:snapToGrid/>
              <w:spacing w:beforeAutospacing="0" w:afterAutospacing="0" w:line="360" w:lineRule="auto"/>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sym w:font="Wingdings 2" w:char="00A3"/>
            </w:r>
            <w:r>
              <w:rPr>
                <w:rFonts w:hint="eastAsia" w:ascii="宋体" w:hAnsi="宋体" w:eastAsia="宋体" w:cs="宋体"/>
                <w:color w:val="auto"/>
                <w:sz w:val="24"/>
                <w:szCs w:val="24"/>
                <w:highlight w:val="none"/>
              </w:rPr>
              <w:t>不适用</w:t>
            </w:r>
          </w:p>
          <w:p>
            <w:pPr>
              <w:pStyle w:val="16"/>
              <w:keepNext w:val="0"/>
              <w:keepLines w:val="0"/>
              <w:pageBreakBefore w:val="0"/>
              <w:widowControl/>
              <w:kinsoku/>
              <w:wordWrap/>
              <w:overflowPunct/>
              <w:topLinePunct w:val="0"/>
              <w:autoSpaceDE/>
              <w:autoSpaceDN/>
              <w:bidi w:val="0"/>
              <w:adjustRightInd/>
              <w:snapToGrid/>
              <w:spacing w:beforeAutospacing="0" w:afterAutospacing="0" w:line="360" w:lineRule="auto"/>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sym w:font="Wingdings 2" w:char="0052"/>
            </w:r>
            <w:r>
              <w:rPr>
                <w:rFonts w:hint="eastAsia" w:ascii="宋体" w:hAnsi="宋体" w:eastAsia="宋体" w:cs="宋体"/>
                <w:color w:val="auto"/>
                <w:sz w:val="24"/>
                <w:szCs w:val="24"/>
                <w:highlight w:val="none"/>
              </w:rPr>
              <w:t>适用。</w:t>
            </w:r>
            <w:r>
              <w:rPr>
                <w:rFonts w:hint="eastAsia" w:ascii="宋体" w:hAnsi="宋体" w:eastAsia="宋体" w:cs="宋体"/>
                <w:color w:val="auto"/>
                <w:sz w:val="24"/>
                <w:szCs w:val="24"/>
                <w:highlight w:val="none"/>
                <w:lang w:eastAsia="zh-CN"/>
              </w:rPr>
              <w:t>询比响应人</w:t>
            </w:r>
            <w:r>
              <w:rPr>
                <w:rFonts w:hint="eastAsia" w:ascii="宋体" w:hAnsi="宋体" w:eastAsia="宋体" w:cs="宋体"/>
                <w:color w:val="auto"/>
                <w:sz w:val="24"/>
                <w:szCs w:val="24"/>
                <w:highlight w:val="none"/>
              </w:rPr>
              <w:t>应提供经会计师事务所或审计机构审计的近年财务会计报表复印件，包括资产负债表、现金流量表、利润表等。近年财务会计报表年份是指∶</w:t>
            </w:r>
            <w:r>
              <w:rPr>
                <w:rFonts w:hint="eastAsia" w:ascii="宋体" w:hAnsi="宋体" w:eastAsia="宋体" w:cs="宋体"/>
                <w:color w:val="auto"/>
                <w:sz w:val="24"/>
                <w:szCs w:val="24"/>
                <w:highlight w:val="none"/>
                <w:u w:val="single"/>
              </w:rPr>
              <w:t>2020</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eastAsia="zh-CN"/>
              </w:rPr>
              <w:t>询比响应人</w:t>
            </w:r>
            <w:r>
              <w:rPr>
                <w:rFonts w:hint="eastAsia" w:ascii="宋体" w:hAnsi="宋体" w:eastAsia="宋体" w:cs="宋体"/>
                <w:color w:val="auto"/>
                <w:sz w:val="24"/>
                <w:szCs w:val="24"/>
                <w:highlight w:val="none"/>
              </w:rPr>
              <w:t>的成立时间少于该规定年份的，应提供成立以来的财务会计报表）或提供基本开户银行近三个月内出具的资信证明（同时提供基本存款账户开户许可证或基本账户开户信息）</w:t>
            </w:r>
          </w:p>
          <w:p>
            <w:pPr>
              <w:pStyle w:val="16"/>
              <w:keepNext w:val="0"/>
              <w:keepLines w:val="0"/>
              <w:pageBreakBefore w:val="0"/>
              <w:widowControl/>
              <w:kinsoku/>
              <w:wordWrap/>
              <w:overflowPunct/>
              <w:topLinePunct w:val="0"/>
              <w:autoSpaceDE/>
              <w:autoSpaceDN/>
              <w:bidi w:val="0"/>
              <w:adjustRightInd/>
              <w:snapToGrid/>
              <w:spacing w:beforeAutospacing="0" w:afterAutospacing="0" w:line="360" w:lineRule="auto"/>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sym w:font="Wingdings 2" w:char="00A3"/>
            </w:r>
            <w:r>
              <w:rPr>
                <w:rFonts w:hint="eastAsia" w:ascii="宋体" w:hAnsi="宋体" w:eastAsia="宋体" w:cs="宋体"/>
                <w:color w:val="auto"/>
                <w:sz w:val="24"/>
                <w:szCs w:val="24"/>
                <w:highlight w:val="none"/>
              </w:rPr>
              <w:t>适用。</w:t>
            </w:r>
            <w:r>
              <w:rPr>
                <w:rFonts w:hint="eastAsia" w:ascii="宋体" w:hAnsi="宋体" w:eastAsia="宋体" w:cs="宋体"/>
                <w:color w:val="auto"/>
                <w:sz w:val="24"/>
                <w:szCs w:val="24"/>
                <w:highlight w:val="none"/>
                <w:lang w:eastAsia="zh-CN"/>
              </w:rPr>
              <w:t>询比响应人</w:t>
            </w:r>
            <w:r>
              <w:rPr>
                <w:rFonts w:hint="eastAsia" w:ascii="宋体" w:hAnsi="宋体" w:eastAsia="宋体" w:cs="宋体"/>
                <w:color w:val="auto"/>
                <w:sz w:val="24"/>
                <w:szCs w:val="24"/>
                <w:highlight w:val="none"/>
              </w:rPr>
              <w:t>应提供近年财务会计报表复印件，包括资产负债表、利润表。近年财务会计报表年份∶</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至</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年（</w:t>
            </w:r>
            <w:r>
              <w:rPr>
                <w:rFonts w:hint="eastAsia" w:ascii="宋体" w:hAnsi="宋体" w:eastAsia="宋体" w:cs="宋体"/>
                <w:color w:val="auto"/>
                <w:sz w:val="24"/>
                <w:szCs w:val="24"/>
                <w:highlight w:val="none"/>
                <w:lang w:eastAsia="zh-CN"/>
              </w:rPr>
              <w:t>询比响应人</w:t>
            </w:r>
            <w:r>
              <w:rPr>
                <w:rFonts w:hint="eastAsia" w:ascii="宋体" w:hAnsi="宋体" w:eastAsia="宋体" w:cs="宋体"/>
                <w:color w:val="auto"/>
                <w:sz w:val="24"/>
                <w:szCs w:val="24"/>
                <w:highlight w:val="none"/>
              </w:rPr>
              <w:t>的成立时间少于该规定年份的，应提供成立以来的财务会计报表）（注∶有财务要求的，应选择两种财务会计报表中的一种作为财务证明资料。）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55" w:hRule="atLeast"/>
          <w:jc w:val="center"/>
        </w:trPr>
        <w:tc>
          <w:tcPr>
            <w:tcW w:w="1217" w:type="dxa"/>
            <w:vAlign w:val="center"/>
          </w:tcPr>
          <w:p>
            <w:pPr>
              <w:pStyle w:val="16"/>
              <w:keepNext w:val="0"/>
              <w:keepLines w:val="0"/>
              <w:pageBreakBefore w:val="0"/>
              <w:widowControl/>
              <w:kinsoku/>
              <w:wordWrap/>
              <w:overflowPunct/>
              <w:topLinePunct w:val="0"/>
              <w:autoSpaceDE/>
              <w:autoSpaceDN/>
              <w:bidi w:val="0"/>
              <w:adjustRightInd/>
              <w:snapToGrid/>
              <w:spacing w:beforeAutospacing="0" w:afterAutospacing="0" w:line="360" w:lineRule="auto"/>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3.5(4)</w:t>
            </w:r>
          </w:p>
        </w:tc>
        <w:tc>
          <w:tcPr>
            <w:tcW w:w="3051" w:type="dxa"/>
            <w:vAlign w:val="center"/>
          </w:tcPr>
          <w:p>
            <w:pPr>
              <w:pStyle w:val="16"/>
              <w:keepNext w:val="0"/>
              <w:keepLines w:val="0"/>
              <w:pageBreakBefore w:val="0"/>
              <w:widowControl/>
              <w:kinsoku/>
              <w:wordWrap/>
              <w:overflowPunct/>
              <w:topLinePunct w:val="0"/>
              <w:autoSpaceDE/>
              <w:autoSpaceDN/>
              <w:bidi w:val="0"/>
              <w:adjustRightInd/>
              <w:snapToGrid/>
              <w:spacing w:beforeAutospacing="0" w:afterAutospacing="0" w:line="360" w:lineRule="auto"/>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业绩要求证明材料</w:t>
            </w:r>
          </w:p>
        </w:tc>
        <w:tc>
          <w:tcPr>
            <w:tcW w:w="6251" w:type="dxa"/>
            <w:vAlign w:val="center"/>
          </w:tcPr>
          <w:p>
            <w:pPr>
              <w:pStyle w:val="16"/>
              <w:keepNext w:val="0"/>
              <w:keepLines w:val="0"/>
              <w:pageBreakBefore w:val="0"/>
              <w:widowControl/>
              <w:kinsoku/>
              <w:wordWrap/>
              <w:overflowPunct/>
              <w:topLinePunct w:val="0"/>
              <w:autoSpaceDE/>
              <w:autoSpaceDN/>
              <w:bidi w:val="0"/>
              <w:adjustRightInd/>
              <w:snapToGrid/>
              <w:spacing w:beforeAutospacing="0" w:afterAutospacing="0" w:line="360" w:lineRule="auto"/>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sym w:font="Wingdings 2" w:char="00A3"/>
            </w:r>
            <w:r>
              <w:rPr>
                <w:rFonts w:hint="eastAsia" w:ascii="宋体" w:hAnsi="宋体" w:eastAsia="宋体" w:cs="宋体"/>
                <w:color w:val="auto"/>
                <w:sz w:val="24"/>
                <w:szCs w:val="24"/>
                <w:highlight w:val="none"/>
              </w:rPr>
              <w:t>不适用</w:t>
            </w:r>
          </w:p>
          <w:p>
            <w:pPr>
              <w:pStyle w:val="16"/>
              <w:keepNext w:val="0"/>
              <w:keepLines w:val="0"/>
              <w:pageBreakBefore w:val="0"/>
              <w:widowControl/>
              <w:kinsoku/>
              <w:wordWrap/>
              <w:overflowPunct/>
              <w:topLinePunct w:val="0"/>
              <w:autoSpaceDE/>
              <w:autoSpaceDN/>
              <w:bidi w:val="0"/>
              <w:adjustRightInd/>
              <w:snapToGrid/>
              <w:spacing w:beforeAutospacing="0" w:afterAutospacing="0" w:line="360" w:lineRule="auto"/>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sym w:font="Wingdings 2" w:char="0052"/>
            </w:r>
            <w:r>
              <w:rPr>
                <w:rFonts w:hint="eastAsia" w:ascii="宋体" w:hAnsi="宋体" w:eastAsia="宋体" w:cs="宋体"/>
                <w:color w:val="auto"/>
                <w:sz w:val="24"/>
                <w:szCs w:val="24"/>
                <w:highlight w:val="none"/>
              </w:rPr>
              <w:t>适用。</w:t>
            </w:r>
            <w:r>
              <w:rPr>
                <w:rFonts w:hint="eastAsia" w:ascii="宋体" w:hAnsi="宋体" w:eastAsia="宋体" w:cs="宋体"/>
                <w:color w:val="auto"/>
                <w:sz w:val="24"/>
                <w:szCs w:val="24"/>
                <w:highlight w:val="none"/>
                <w:lang w:eastAsia="zh-CN"/>
              </w:rPr>
              <w:t>询比响应人</w:t>
            </w:r>
            <w:r>
              <w:rPr>
                <w:rFonts w:hint="eastAsia" w:ascii="宋体" w:hAnsi="宋体" w:eastAsia="宋体" w:cs="宋体"/>
                <w:color w:val="auto"/>
                <w:sz w:val="24"/>
                <w:szCs w:val="24"/>
                <w:highlight w:val="none"/>
              </w:rPr>
              <w:t>应提供近年的类似项目情况表（格式见第六章"响应文件格式"七、资格审查资料（三）近年的类似项目情况表），以证明</w:t>
            </w:r>
            <w:r>
              <w:rPr>
                <w:rFonts w:hint="eastAsia" w:ascii="宋体" w:hAnsi="宋体" w:eastAsia="宋体" w:cs="宋体"/>
                <w:color w:val="auto"/>
                <w:sz w:val="24"/>
                <w:szCs w:val="24"/>
                <w:highlight w:val="none"/>
                <w:lang w:eastAsia="zh-CN"/>
              </w:rPr>
              <w:t>询比响应人</w:t>
            </w:r>
            <w:r>
              <w:rPr>
                <w:rFonts w:hint="eastAsia" w:ascii="宋体" w:hAnsi="宋体" w:eastAsia="宋体" w:cs="宋体"/>
                <w:color w:val="auto"/>
                <w:sz w:val="24"/>
                <w:szCs w:val="24"/>
                <w:highlight w:val="none"/>
              </w:rPr>
              <w:t>具有承担本项目要求的业绩。近年是指∶</w:t>
            </w:r>
            <w:r>
              <w:rPr>
                <w:rFonts w:hint="eastAsia" w:ascii="宋体" w:hAnsi="宋体" w:eastAsia="宋体" w:cs="宋体"/>
                <w:color w:val="auto"/>
                <w:sz w:val="24"/>
                <w:szCs w:val="24"/>
                <w:highlight w:val="none"/>
                <w:u w:val="single"/>
              </w:rPr>
              <w:t>201</w:t>
            </w:r>
            <w:r>
              <w:rPr>
                <w:rFonts w:hint="eastAsia" w:ascii="宋体" w:hAnsi="宋体" w:eastAsia="宋体" w:cs="宋体"/>
                <w:color w:val="auto"/>
                <w:sz w:val="24"/>
                <w:szCs w:val="24"/>
                <w:highlight w:val="none"/>
                <w:u w:val="single"/>
                <w:lang w:val="en-US" w:eastAsia="zh-CN"/>
              </w:rPr>
              <w:t>9</w:t>
            </w:r>
            <w:r>
              <w:rPr>
                <w:rFonts w:hint="eastAsia" w:ascii="宋体" w:hAnsi="宋体" w:eastAsia="宋体" w:cs="宋体"/>
                <w:color w:val="auto"/>
                <w:sz w:val="24"/>
                <w:szCs w:val="24"/>
                <w:highlight w:val="none"/>
              </w:rPr>
              <w:t>至</w:t>
            </w:r>
            <w:r>
              <w:rPr>
                <w:rFonts w:hint="eastAsia" w:ascii="宋体" w:hAnsi="宋体" w:eastAsia="宋体" w:cs="宋体"/>
                <w:color w:val="auto"/>
                <w:sz w:val="24"/>
                <w:szCs w:val="24"/>
                <w:highlight w:val="none"/>
                <w:u w:val="single"/>
              </w:rPr>
              <w:t>202</w:t>
            </w:r>
            <w:r>
              <w:rPr>
                <w:rFonts w:hint="eastAsia" w:ascii="宋体" w:hAnsi="宋体" w:eastAsia="宋体" w:cs="宋体"/>
                <w:color w:val="auto"/>
                <w:sz w:val="24"/>
                <w:szCs w:val="24"/>
                <w:highlight w:val="none"/>
                <w:u w:val="single"/>
                <w:lang w:val="en-US" w:eastAsia="zh-CN"/>
              </w:rPr>
              <w:t>2</w:t>
            </w:r>
            <w:r>
              <w:rPr>
                <w:rFonts w:hint="eastAsia" w:ascii="宋体" w:hAnsi="宋体" w:eastAsia="宋体" w:cs="宋体"/>
                <w:color w:val="auto"/>
                <w:sz w:val="24"/>
                <w:szCs w:val="24"/>
                <w:highlight w:val="none"/>
              </w:rPr>
              <w:t>年</w:t>
            </w:r>
          </w:p>
          <w:p>
            <w:pPr>
              <w:pStyle w:val="16"/>
              <w:keepNext w:val="0"/>
              <w:keepLines w:val="0"/>
              <w:pageBreakBefore w:val="0"/>
              <w:widowControl/>
              <w:kinsoku/>
              <w:wordWrap/>
              <w:overflowPunct/>
              <w:topLinePunct w:val="0"/>
              <w:autoSpaceDE/>
              <w:autoSpaceDN/>
              <w:bidi w:val="0"/>
              <w:adjustRightInd/>
              <w:snapToGrid/>
              <w:spacing w:beforeAutospacing="0" w:afterAutospacing="0" w:line="360" w:lineRule="auto"/>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业绩证明材料∶</w:t>
            </w:r>
          </w:p>
          <w:p>
            <w:pPr>
              <w:pStyle w:val="16"/>
              <w:keepNext w:val="0"/>
              <w:keepLines w:val="0"/>
              <w:pageBreakBefore w:val="0"/>
              <w:widowControl/>
              <w:kinsoku/>
              <w:wordWrap/>
              <w:overflowPunct/>
              <w:topLinePunct w:val="0"/>
              <w:autoSpaceDE/>
              <w:autoSpaceDN/>
              <w:bidi w:val="0"/>
              <w:adjustRightInd/>
              <w:snapToGrid/>
              <w:spacing w:beforeAutospacing="0" w:afterAutospacing="0" w:line="360" w:lineRule="auto"/>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sym w:font="Wingdings 2" w:char="0052"/>
            </w:r>
            <w:r>
              <w:rPr>
                <w:rFonts w:hint="eastAsia" w:ascii="宋体" w:hAnsi="宋体" w:eastAsia="宋体" w:cs="宋体"/>
                <w:color w:val="auto"/>
                <w:sz w:val="24"/>
                <w:szCs w:val="24"/>
                <w:highlight w:val="none"/>
              </w:rPr>
              <w:t>合同/订单</w:t>
            </w:r>
          </w:p>
          <w:p>
            <w:pPr>
              <w:pStyle w:val="16"/>
              <w:keepNext w:val="0"/>
              <w:keepLines w:val="0"/>
              <w:pageBreakBefore w:val="0"/>
              <w:widowControl/>
              <w:kinsoku/>
              <w:wordWrap/>
              <w:overflowPunct/>
              <w:topLinePunct w:val="0"/>
              <w:autoSpaceDE/>
              <w:autoSpaceDN/>
              <w:bidi w:val="0"/>
              <w:adjustRightInd/>
              <w:snapToGrid/>
              <w:spacing w:beforeAutospacing="0" w:afterAutospacing="0" w:line="360" w:lineRule="auto"/>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sym w:font="Wingdings 2" w:char="0052"/>
            </w:r>
            <w:r>
              <w:rPr>
                <w:rFonts w:hint="eastAsia" w:ascii="宋体" w:hAnsi="宋体" w:eastAsia="宋体" w:cs="宋体"/>
                <w:color w:val="auto"/>
                <w:sz w:val="24"/>
                <w:szCs w:val="24"/>
                <w:highlight w:val="none"/>
              </w:rPr>
              <w:t>中标通知书/成交通知书</w:t>
            </w:r>
          </w:p>
          <w:p>
            <w:pPr>
              <w:pStyle w:val="16"/>
              <w:keepNext w:val="0"/>
              <w:keepLines w:val="0"/>
              <w:pageBreakBefore w:val="0"/>
              <w:widowControl/>
              <w:kinsoku/>
              <w:wordWrap/>
              <w:overflowPunct/>
              <w:topLinePunct w:val="0"/>
              <w:autoSpaceDE/>
              <w:autoSpaceDN/>
              <w:bidi w:val="0"/>
              <w:adjustRightInd/>
              <w:snapToGrid/>
              <w:spacing w:beforeAutospacing="0" w:afterAutospacing="0" w:line="360" w:lineRule="auto"/>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sym w:font="Wingdings 2" w:char="00A3"/>
            </w:r>
            <w:r>
              <w:rPr>
                <w:rFonts w:hint="eastAsia" w:ascii="宋体" w:hAnsi="宋体" w:eastAsia="宋体" w:cs="宋体"/>
                <w:color w:val="auto"/>
                <w:sz w:val="24"/>
                <w:szCs w:val="24"/>
                <w:highlight w:val="none"/>
              </w:rPr>
              <w:t>竣工验收报告/验收证明</w:t>
            </w:r>
          </w:p>
          <w:p>
            <w:pPr>
              <w:pStyle w:val="16"/>
              <w:keepNext w:val="0"/>
              <w:keepLines w:val="0"/>
              <w:pageBreakBefore w:val="0"/>
              <w:widowControl/>
              <w:kinsoku/>
              <w:wordWrap/>
              <w:overflowPunct/>
              <w:topLinePunct w:val="0"/>
              <w:autoSpaceDE/>
              <w:autoSpaceDN/>
              <w:bidi w:val="0"/>
              <w:adjustRightInd/>
              <w:snapToGrid/>
              <w:spacing w:beforeAutospacing="0" w:afterAutospacing="0" w:line="360" w:lineRule="auto"/>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sym w:font="Wingdings 2" w:char="00A3"/>
            </w:r>
            <w:r>
              <w:rPr>
                <w:rFonts w:hint="eastAsia" w:ascii="宋体" w:hAnsi="宋体" w:eastAsia="宋体" w:cs="宋体"/>
                <w:color w:val="auto"/>
                <w:sz w:val="24"/>
                <w:szCs w:val="24"/>
                <w:highlight w:val="none"/>
              </w:rPr>
              <w:t>业主证明</w:t>
            </w:r>
          </w:p>
          <w:p>
            <w:pPr>
              <w:pStyle w:val="16"/>
              <w:keepNext w:val="0"/>
              <w:keepLines w:val="0"/>
              <w:pageBreakBefore w:val="0"/>
              <w:widowControl/>
              <w:kinsoku/>
              <w:wordWrap/>
              <w:overflowPunct/>
              <w:topLinePunct w:val="0"/>
              <w:autoSpaceDE/>
              <w:autoSpaceDN/>
              <w:bidi w:val="0"/>
              <w:adjustRightInd/>
              <w:snapToGrid/>
              <w:spacing w:beforeAutospacing="0" w:afterAutospacing="0" w:line="360" w:lineRule="auto"/>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sym w:font="Wingdings 2" w:char="00A3"/>
            </w:r>
            <w:r>
              <w:rPr>
                <w:rFonts w:hint="eastAsia" w:ascii="宋体" w:hAnsi="宋体" w:eastAsia="宋体" w:cs="宋体"/>
                <w:color w:val="auto"/>
                <w:sz w:val="24"/>
                <w:szCs w:val="24"/>
                <w:highlight w:val="none"/>
              </w:rPr>
              <w:t>其他材料∶</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w:t>
            </w:r>
            <w:r>
              <w:rPr>
                <w:rFonts w:hint="eastAsia" w:ascii="宋体" w:hAnsi="宋体" w:eastAsia="宋体" w:cs="宋体"/>
                <w:color w:val="auto"/>
                <w:sz w:val="24"/>
                <w:szCs w:val="24"/>
                <w:highlight w:val="none"/>
                <w:u w:val="single"/>
              </w:rPr>
              <w:t xml:space="preserve">                    </w:t>
            </w:r>
          </w:p>
          <w:p>
            <w:pPr>
              <w:pStyle w:val="16"/>
              <w:keepNext w:val="0"/>
              <w:keepLines w:val="0"/>
              <w:pageBreakBefore w:val="0"/>
              <w:widowControl/>
              <w:kinsoku/>
              <w:wordWrap/>
              <w:overflowPunct/>
              <w:topLinePunct w:val="0"/>
              <w:autoSpaceDE/>
              <w:autoSpaceDN/>
              <w:bidi w:val="0"/>
              <w:adjustRightInd/>
              <w:snapToGrid/>
              <w:spacing w:beforeAutospacing="0" w:afterAutospacing="0" w:line="360" w:lineRule="auto"/>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业绩证明材料种类要求∶</w:t>
            </w:r>
          </w:p>
          <w:p>
            <w:pPr>
              <w:pStyle w:val="16"/>
              <w:keepNext w:val="0"/>
              <w:keepLines w:val="0"/>
              <w:pageBreakBefore w:val="0"/>
              <w:widowControl/>
              <w:kinsoku/>
              <w:wordWrap/>
              <w:overflowPunct/>
              <w:topLinePunct w:val="0"/>
              <w:autoSpaceDE/>
              <w:autoSpaceDN/>
              <w:bidi w:val="0"/>
              <w:adjustRightInd/>
              <w:snapToGrid/>
              <w:spacing w:beforeAutospacing="0" w:afterAutospacing="0" w:line="360" w:lineRule="auto"/>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sym w:font="Wingdings 2" w:char="00A3"/>
            </w:r>
            <w:r>
              <w:rPr>
                <w:rFonts w:hint="eastAsia" w:ascii="宋体" w:hAnsi="宋体" w:eastAsia="宋体" w:cs="宋体"/>
                <w:color w:val="auto"/>
                <w:sz w:val="24"/>
                <w:szCs w:val="24"/>
                <w:highlight w:val="none"/>
              </w:rPr>
              <w:t>提供上述勾选的任一项证明材料即可</w:t>
            </w:r>
          </w:p>
          <w:p>
            <w:pPr>
              <w:pStyle w:val="16"/>
              <w:keepNext w:val="0"/>
              <w:keepLines w:val="0"/>
              <w:pageBreakBefore w:val="0"/>
              <w:widowControl/>
              <w:kinsoku/>
              <w:wordWrap/>
              <w:overflowPunct/>
              <w:topLinePunct w:val="0"/>
              <w:autoSpaceDE/>
              <w:autoSpaceDN/>
              <w:bidi w:val="0"/>
              <w:adjustRightInd/>
              <w:snapToGrid/>
              <w:spacing w:beforeAutospacing="0" w:afterAutospacing="0" w:line="360" w:lineRule="auto"/>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sym w:font="Wingdings 2" w:char="0052"/>
            </w:r>
            <w:r>
              <w:rPr>
                <w:rFonts w:hint="eastAsia" w:ascii="宋体" w:hAnsi="宋体" w:eastAsia="宋体" w:cs="宋体"/>
                <w:color w:val="auto"/>
                <w:sz w:val="24"/>
                <w:szCs w:val="24"/>
                <w:highlight w:val="none"/>
              </w:rPr>
              <w:t>需同时提供上述勾选的所有证明材料</w:t>
            </w:r>
          </w:p>
          <w:p>
            <w:pPr>
              <w:pStyle w:val="16"/>
              <w:keepNext w:val="0"/>
              <w:keepLines w:val="0"/>
              <w:pageBreakBefore w:val="0"/>
              <w:widowControl/>
              <w:kinsoku/>
              <w:wordWrap/>
              <w:overflowPunct/>
              <w:topLinePunct w:val="0"/>
              <w:autoSpaceDE/>
              <w:autoSpaceDN/>
              <w:bidi w:val="0"/>
              <w:adjustRightInd/>
              <w:snapToGrid/>
              <w:spacing w:beforeAutospacing="0" w:afterAutospacing="0" w:line="360" w:lineRule="auto"/>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sym w:font="Wingdings 2" w:char="00A3"/>
            </w:r>
            <w:r>
              <w:rPr>
                <w:rFonts w:hint="eastAsia" w:ascii="宋体" w:hAnsi="宋体" w:eastAsia="宋体" w:cs="宋体"/>
                <w:color w:val="auto"/>
                <w:sz w:val="24"/>
                <w:szCs w:val="24"/>
                <w:highlight w:val="none"/>
              </w:rPr>
              <w:t>其他要求∶</w:t>
            </w:r>
          </w:p>
        </w:tc>
      </w:tr>
    </w:tbl>
    <w:p>
      <w:pPr>
        <w:pageBreakBefore w:val="0"/>
        <w:kinsoku/>
        <w:overflowPunct/>
        <w:topLinePunct w:val="0"/>
        <w:bidi w:val="0"/>
        <w:snapToGrid/>
        <w:spacing w:line="360" w:lineRule="auto"/>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续表</w:t>
      </w:r>
    </w:p>
    <w:tbl>
      <w:tblPr>
        <w:tblStyle w:val="20"/>
        <w:tblW w:w="1049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214"/>
        <w:gridCol w:w="3183"/>
        <w:gridCol w:w="610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1214" w:type="dxa"/>
            <w:vAlign w:val="center"/>
          </w:tcPr>
          <w:p>
            <w:pPr>
              <w:pStyle w:val="16"/>
              <w:keepNext w:val="0"/>
              <w:keepLines w:val="0"/>
              <w:pageBreakBefore w:val="0"/>
              <w:widowControl/>
              <w:kinsoku/>
              <w:wordWrap/>
              <w:overflowPunct/>
              <w:topLinePunct w:val="0"/>
              <w:autoSpaceDE/>
              <w:autoSpaceDN/>
              <w:bidi w:val="0"/>
              <w:adjustRightInd/>
              <w:snapToGrid/>
              <w:spacing w:beforeAutospacing="0" w:afterAutospacing="0" w:line="360" w:lineRule="auto"/>
              <w:jc w:val="center"/>
              <w:textAlignment w:val="auto"/>
              <w:rPr>
                <w:rFonts w:hint="eastAsia" w:ascii="宋体" w:hAnsi="宋体" w:eastAsia="宋体" w:cs="宋体"/>
                <w:color w:val="auto"/>
                <w:highlight w:val="none"/>
              </w:rPr>
            </w:pPr>
            <w:r>
              <w:rPr>
                <w:rFonts w:hint="eastAsia" w:ascii="宋体" w:hAnsi="宋体" w:eastAsia="宋体" w:cs="宋体"/>
                <w:color w:val="auto"/>
                <w:highlight w:val="none"/>
              </w:rPr>
              <w:t>条款号</w:t>
            </w:r>
          </w:p>
        </w:tc>
        <w:tc>
          <w:tcPr>
            <w:tcW w:w="3183" w:type="dxa"/>
            <w:vAlign w:val="center"/>
          </w:tcPr>
          <w:p>
            <w:pPr>
              <w:pStyle w:val="16"/>
              <w:keepNext w:val="0"/>
              <w:keepLines w:val="0"/>
              <w:pageBreakBefore w:val="0"/>
              <w:widowControl/>
              <w:kinsoku/>
              <w:wordWrap/>
              <w:overflowPunct/>
              <w:topLinePunct w:val="0"/>
              <w:autoSpaceDE/>
              <w:autoSpaceDN/>
              <w:bidi w:val="0"/>
              <w:adjustRightInd/>
              <w:snapToGrid/>
              <w:spacing w:beforeAutospacing="0" w:afterAutospacing="0" w:line="360" w:lineRule="auto"/>
              <w:jc w:val="center"/>
              <w:textAlignment w:val="auto"/>
              <w:rPr>
                <w:rFonts w:hint="eastAsia" w:ascii="宋体" w:hAnsi="宋体" w:eastAsia="宋体" w:cs="宋体"/>
                <w:color w:val="auto"/>
                <w:highlight w:val="none"/>
              </w:rPr>
            </w:pPr>
            <w:r>
              <w:rPr>
                <w:rFonts w:hint="eastAsia" w:ascii="宋体" w:hAnsi="宋体" w:eastAsia="宋体" w:cs="宋体"/>
                <w:color w:val="auto"/>
                <w:highlight w:val="none"/>
              </w:rPr>
              <w:t>条 款 内 容</w:t>
            </w:r>
          </w:p>
        </w:tc>
        <w:tc>
          <w:tcPr>
            <w:tcW w:w="6101" w:type="dxa"/>
            <w:vAlign w:val="center"/>
          </w:tcPr>
          <w:p>
            <w:pPr>
              <w:pStyle w:val="16"/>
              <w:keepNext w:val="0"/>
              <w:keepLines w:val="0"/>
              <w:pageBreakBefore w:val="0"/>
              <w:widowControl/>
              <w:kinsoku/>
              <w:wordWrap/>
              <w:overflowPunct/>
              <w:topLinePunct w:val="0"/>
              <w:autoSpaceDE/>
              <w:autoSpaceDN/>
              <w:bidi w:val="0"/>
              <w:adjustRightInd/>
              <w:snapToGrid/>
              <w:spacing w:beforeAutospacing="0" w:afterAutospacing="0" w:line="360" w:lineRule="auto"/>
              <w:jc w:val="center"/>
              <w:textAlignment w:val="auto"/>
              <w:rPr>
                <w:rFonts w:hint="eastAsia" w:ascii="宋体" w:hAnsi="宋体" w:eastAsia="宋体" w:cs="宋体"/>
                <w:color w:val="auto"/>
                <w:highlight w:val="none"/>
              </w:rPr>
            </w:pPr>
            <w:r>
              <w:rPr>
                <w:rFonts w:hint="eastAsia" w:ascii="宋体" w:hAnsi="宋体" w:eastAsia="宋体" w:cs="宋体"/>
                <w:color w:val="auto"/>
                <w:highlight w:val="none"/>
              </w:rPr>
              <w:t>编 列 内 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214" w:type="dxa"/>
            <w:vAlign w:val="center"/>
          </w:tcPr>
          <w:p>
            <w:pPr>
              <w:pStyle w:val="16"/>
              <w:keepNext w:val="0"/>
              <w:keepLines w:val="0"/>
              <w:pageBreakBefore w:val="0"/>
              <w:widowControl/>
              <w:kinsoku/>
              <w:wordWrap/>
              <w:overflowPunct/>
              <w:topLinePunct w:val="0"/>
              <w:autoSpaceDE/>
              <w:autoSpaceDN/>
              <w:bidi w:val="0"/>
              <w:adjustRightInd/>
              <w:snapToGrid/>
              <w:spacing w:beforeAutospacing="0" w:afterAutospacing="0" w:line="360" w:lineRule="auto"/>
              <w:jc w:val="center"/>
              <w:textAlignment w:val="auto"/>
              <w:rPr>
                <w:rFonts w:hint="eastAsia" w:ascii="宋体" w:hAnsi="宋体" w:eastAsia="宋体" w:cs="宋体"/>
                <w:color w:val="auto"/>
                <w:highlight w:val="none"/>
              </w:rPr>
            </w:pPr>
            <w:r>
              <w:rPr>
                <w:rFonts w:hint="eastAsia" w:ascii="宋体" w:hAnsi="宋体" w:eastAsia="宋体" w:cs="宋体"/>
                <w:color w:val="auto"/>
                <w:highlight w:val="none"/>
              </w:rPr>
              <w:t>3.5(5)</w:t>
            </w:r>
          </w:p>
        </w:tc>
        <w:tc>
          <w:tcPr>
            <w:tcW w:w="3183" w:type="dxa"/>
            <w:vAlign w:val="center"/>
          </w:tcPr>
          <w:p>
            <w:pPr>
              <w:pStyle w:val="16"/>
              <w:keepNext w:val="0"/>
              <w:keepLines w:val="0"/>
              <w:pageBreakBefore w:val="0"/>
              <w:widowControl/>
              <w:kinsoku/>
              <w:wordWrap/>
              <w:overflowPunct/>
              <w:topLinePunct w:val="0"/>
              <w:autoSpaceDE/>
              <w:autoSpaceDN/>
              <w:bidi w:val="0"/>
              <w:adjustRightInd/>
              <w:snapToGrid/>
              <w:spacing w:beforeAutospacing="0" w:afterAutospacing="0" w:line="360" w:lineRule="auto"/>
              <w:jc w:val="center"/>
              <w:textAlignment w:val="auto"/>
              <w:rPr>
                <w:rFonts w:hint="eastAsia" w:ascii="宋体" w:hAnsi="宋体" w:eastAsia="宋体" w:cs="宋体"/>
                <w:color w:val="auto"/>
                <w:highlight w:val="none"/>
              </w:rPr>
            </w:pPr>
            <w:r>
              <w:rPr>
                <w:rFonts w:hint="eastAsia" w:ascii="宋体" w:hAnsi="宋体" w:eastAsia="宋体" w:cs="宋体"/>
                <w:color w:val="auto"/>
                <w:highlight w:val="none"/>
              </w:rPr>
              <w:t>信誉要求证明材料</w:t>
            </w:r>
          </w:p>
        </w:tc>
        <w:tc>
          <w:tcPr>
            <w:tcW w:w="6101" w:type="dxa"/>
            <w:vAlign w:val="center"/>
          </w:tcPr>
          <w:p>
            <w:pPr>
              <w:pStyle w:val="16"/>
              <w:keepNext w:val="0"/>
              <w:keepLines w:val="0"/>
              <w:pageBreakBefore w:val="0"/>
              <w:widowControl/>
              <w:kinsoku/>
              <w:wordWrap/>
              <w:overflowPunct/>
              <w:topLinePunct w:val="0"/>
              <w:autoSpaceDE/>
              <w:autoSpaceDN/>
              <w:bidi w:val="0"/>
              <w:adjustRightInd/>
              <w:snapToGrid/>
              <w:spacing w:beforeAutospacing="0" w:afterAutospacing="0" w:line="360" w:lineRule="auto"/>
              <w:textAlignment w:val="auto"/>
              <w:rPr>
                <w:rFonts w:hint="eastAsia" w:ascii="宋体" w:hAnsi="宋体" w:eastAsia="宋体" w:cs="宋体"/>
                <w:color w:val="auto"/>
                <w:highlight w:val="none"/>
              </w:rPr>
            </w:pPr>
            <w:r>
              <w:rPr>
                <w:rFonts w:hint="eastAsia" w:ascii="宋体" w:hAnsi="宋体" w:eastAsia="宋体" w:cs="宋体"/>
                <w:color w:val="auto"/>
                <w:highlight w:val="none"/>
              </w:rPr>
              <w:sym w:font="Wingdings 2" w:char="00A3"/>
            </w:r>
            <w:r>
              <w:rPr>
                <w:rFonts w:hint="eastAsia" w:ascii="宋体" w:hAnsi="宋体" w:eastAsia="宋体" w:cs="宋体"/>
                <w:color w:val="auto"/>
                <w:highlight w:val="none"/>
              </w:rPr>
              <w:t>不适用</w:t>
            </w:r>
          </w:p>
          <w:p>
            <w:pPr>
              <w:pStyle w:val="16"/>
              <w:keepNext w:val="0"/>
              <w:keepLines w:val="0"/>
              <w:pageBreakBefore w:val="0"/>
              <w:widowControl/>
              <w:kinsoku/>
              <w:wordWrap/>
              <w:overflowPunct/>
              <w:topLinePunct w:val="0"/>
              <w:autoSpaceDE/>
              <w:autoSpaceDN/>
              <w:bidi w:val="0"/>
              <w:adjustRightInd/>
              <w:snapToGrid/>
              <w:spacing w:beforeAutospacing="0" w:afterAutospacing="0" w:line="360" w:lineRule="auto"/>
              <w:textAlignment w:val="auto"/>
              <w:rPr>
                <w:rFonts w:hint="default" w:ascii="宋体" w:hAnsi="宋体" w:eastAsia="宋体" w:cs="宋体"/>
                <w:color w:val="auto"/>
                <w:highlight w:val="none"/>
                <w:u w:val="single"/>
                <w:lang w:val="en-US" w:eastAsia="zh-CN"/>
              </w:rPr>
            </w:pPr>
            <w:r>
              <w:rPr>
                <w:rFonts w:hint="eastAsia" w:ascii="宋体" w:hAnsi="宋体" w:eastAsia="宋体" w:cs="宋体"/>
                <w:color w:val="auto"/>
                <w:highlight w:val="none"/>
              </w:rPr>
              <w:sym w:font="Wingdings 2" w:char="0052"/>
            </w:r>
            <w:r>
              <w:rPr>
                <w:rFonts w:hint="eastAsia" w:ascii="宋体" w:hAnsi="宋体" w:eastAsia="宋体" w:cs="宋体"/>
                <w:color w:val="auto"/>
                <w:highlight w:val="none"/>
              </w:rPr>
              <w:t>适用。</w:t>
            </w:r>
            <w:r>
              <w:rPr>
                <w:rFonts w:hint="eastAsia" w:ascii="宋体" w:hAnsi="宋体" w:eastAsia="宋体" w:cs="宋体"/>
                <w:color w:val="auto"/>
                <w:highlight w:val="none"/>
                <w:lang w:eastAsia="zh-CN"/>
              </w:rPr>
              <w:t>询比响应人</w:t>
            </w:r>
            <w:r>
              <w:rPr>
                <w:rFonts w:hint="eastAsia" w:ascii="宋体" w:hAnsi="宋体" w:eastAsia="宋体" w:cs="宋体"/>
                <w:color w:val="auto"/>
                <w:highlight w:val="none"/>
              </w:rPr>
              <w:t>应提供相关信誉情况的证明材料，包括∶</w:t>
            </w:r>
            <w:r>
              <w:rPr>
                <w:rFonts w:hint="eastAsia" w:ascii="宋体" w:hAnsi="宋体" w:eastAsia="宋体" w:cs="宋体"/>
                <w:color w:val="auto"/>
                <w:highlight w:val="none"/>
                <w:u w:val="single"/>
              </w:rPr>
              <w:t>（1）</w:t>
            </w:r>
            <w:r>
              <w:rPr>
                <w:rFonts w:hint="eastAsia" w:ascii="宋体" w:hAnsi="宋体" w:eastAsia="宋体" w:cs="宋体"/>
                <w:color w:val="auto"/>
                <w:highlight w:val="none"/>
                <w:u w:val="single"/>
                <w:lang w:val="en-US" w:eastAsia="zh-CN"/>
              </w:rPr>
              <w:t xml:space="preserve">     /         </w:t>
            </w:r>
          </w:p>
          <w:p>
            <w:pPr>
              <w:pStyle w:val="16"/>
              <w:keepNext w:val="0"/>
              <w:keepLines w:val="0"/>
              <w:pageBreakBefore w:val="0"/>
              <w:widowControl/>
              <w:kinsoku/>
              <w:wordWrap/>
              <w:overflowPunct/>
              <w:topLinePunct w:val="0"/>
              <w:autoSpaceDE/>
              <w:autoSpaceDN/>
              <w:bidi w:val="0"/>
              <w:adjustRightInd/>
              <w:snapToGrid/>
              <w:spacing w:beforeAutospacing="0" w:afterAutospacing="0" w:line="360" w:lineRule="auto"/>
              <w:textAlignment w:val="auto"/>
              <w:rPr>
                <w:rFonts w:hint="eastAsia" w:ascii="宋体" w:hAnsi="宋体" w:eastAsia="宋体" w:cs="宋体"/>
                <w:color w:val="auto"/>
                <w:highlight w:val="none"/>
              </w:rPr>
            </w:pPr>
            <w:r>
              <w:rPr>
                <w:rStyle w:val="42"/>
                <w:rFonts w:hint="eastAsia" w:ascii="宋体" w:hAnsi="宋体" w:eastAsia="宋体" w:cs="宋体"/>
                <w:color w:val="auto"/>
                <w:highlight w:val="none"/>
                <w:u w:val="single"/>
              </w:rPr>
              <w:t>（2）</w:t>
            </w:r>
            <w:r>
              <w:rPr>
                <w:rFonts w:hint="eastAsia" w:ascii="宋体" w:hAnsi="宋体" w:eastAsia="宋体" w:cs="宋体"/>
                <w:color w:val="auto"/>
                <w:highlight w:val="none"/>
                <w:u w:val="single"/>
              </w:rPr>
              <w:t>经信用中国（www.creditchina.gov.cn</w:t>
            </w:r>
            <w:r>
              <w:rPr>
                <w:rStyle w:val="40"/>
                <w:rFonts w:hint="eastAsia" w:ascii="宋体" w:hAnsi="宋体" w:eastAsia="宋体" w:cs="宋体"/>
                <w:color w:val="auto"/>
                <w:highlight w:val="none"/>
                <w:u w:val="single"/>
              </w:rPr>
              <w:t>）等渠道查询后，列入失信被执行人、重大税收违法案件当事人名单取消投标资格。提供</w:t>
            </w:r>
            <w:r>
              <w:rPr>
                <w:rStyle w:val="42"/>
                <w:rFonts w:hint="eastAsia" w:ascii="宋体" w:hAnsi="宋体" w:eastAsia="宋体" w:cs="宋体"/>
                <w:color w:val="auto"/>
                <w:highlight w:val="none"/>
                <w:u w:val="single"/>
              </w:rPr>
              <w:t>“</w:t>
            </w:r>
            <w:r>
              <w:rPr>
                <w:rStyle w:val="40"/>
                <w:rFonts w:hint="eastAsia" w:ascii="宋体" w:hAnsi="宋体" w:eastAsia="宋体" w:cs="宋体"/>
                <w:color w:val="auto"/>
                <w:highlight w:val="none"/>
                <w:u w:val="single"/>
              </w:rPr>
              <w:t>信用中国</w:t>
            </w:r>
            <w:r>
              <w:rPr>
                <w:rStyle w:val="42"/>
                <w:rFonts w:hint="eastAsia" w:ascii="宋体" w:hAnsi="宋体" w:eastAsia="宋体" w:cs="宋体"/>
                <w:color w:val="auto"/>
                <w:highlight w:val="none"/>
                <w:u w:val="single"/>
              </w:rPr>
              <w:t xml:space="preserve">” </w:t>
            </w:r>
            <w:r>
              <w:rPr>
                <w:rStyle w:val="40"/>
                <w:rFonts w:hint="eastAsia" w:ascii="宋体" w:hAnsi="宋体" w:eastAsia="宋体" w:cs="宋体"/>
                <w:color w:val="auto"/>
                <w:highlight w:val="none"/>
                <w:u w:val="single"/>
              </w:rPr>
              <w:t>网站无任何不良记录的查询截图</w:t>
            </w:r>
            <w:r>
              <w:rPr>
                <w:rStyle w:val="42"/>
                <w:rFonts w:hint="eastAsia" w:ascii="宋体" w:hAnsi="宋体" w:eastAsia="宋体" w:cs="宋体"/>
                <w:color w:val="auto"/>
                <w:highlight w:val="none"/>
                <w:u w:val="single"/>
              </w:rPr>
              <w:t>,截图时间为投标截止时间前20</w:t>
            </w:r>
            <w:r>
              <w:rPr>
                <w:rStyle w:val="40"/>
                <w:rFonts w:hint="eastAsia" w:ascii="宋体" w:hAnsi="宋体" w:eastAsia="宋体" w:cs="宋体"/>
                <w:color w:val="auto"/>
                <w:highlight w:val="none"/>
                <w:u w:val="single"/>
              </w:rPr>
              <w:t>天内。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11" w:hRule="atLeast"/>
          <w:jc w:val="center"/>
        </w:trPr>
        <w:tc>
          <w:tcPr>
            <w:tcW w:w="1214" w:type="dxa"/>
            <w:vAlign w:val="center"/>
          </w:tcPr>
          <w:p>
            <w:pPr>
              <w:pStyle w:val="16"/>
              <w:keepNext w:val="0"/>
              <w:keepLines w:val="0"/>
              <w:pageBreakBefore w:val="0"/>
              <w:widowControl/>
              <w:kinsoku/>
              <w:wordWrap/>
              <w:overflowPunct/>
              <w:topLinePunct w:val="0"/>
              <w:autoSpaceDE/>
              <w:autoSpaceDN/>
              <w:bidi w:val="0"/>
              <w:adjustRightInd/>
              <w:snapToGrid/>
              <w:spacing w:beforeAutospacing="0" w:afterAutospacing="0" w:line="360" w:lineRule="auto"/>
              <w:jc w:val="center"/>
              <w:textAlignment w:val="auto"/>
              <w:rPr>
                <w:rFonts w:hint="eastAsia" w:ascii="宋体" w:hAnsi="宋体" w:eastAsia="宋体" w:cs="宋体"/>
                <w:color w:val="auto"/>
                <w:highlight w:val="none"/>
              </w:rPr>
            </w:pPr>
            <w:r>
              <w:rPr>
                <w:rFonts w:hint="eastAsia" w:ascii="宋体" w:hAnsi="宋体" w:eastAsia="宋体" w:cs="宋体"/>
                <w:color w:val="auto"/>
                <w:highlight w:val="none"/>
              </w:rPr>
              <w:t>3.5(6)</w:t>
            </w:r>
          </w:p>
        </w:tc>
        <w:tc>
          <w:tcPr>
            <w:tcW w:w="3183" w:type="dxa"/>
            <w:vAlign w:val="center"/>
          </w:tcPr>
          <w:p>
            <w:pPr>
              <w:pStyle w:val="16"/>
              <w:keepNext w:val="0"/>
              <w:keepLines w:val="0"/>
              <w:pageBreakBefore w:val="0"/>
              <w:widowControl/>
              <w:kinsoku/>
              <w:wordWrap/>
              <w:overflowPunct/>
              <w:topLinePunct w:val="0"/>
              <w:autoSpaceDE/>
              <w:autoSpaceDN/>
              <w:bidi w:val="0"/>
              <w:adjustRightInd/>
              <w:snapToGrid/>
              <w:spacing w:beforeAutospacing="0" w:afterAutospacing="0" w:line="360" w:lineRule="auto"/>
              <w:jc w:val="center"/>
              <w:textAlignment w:val="auto"/>
              <w:rPr>
                <w:rFonts w:hint="eastAsia" w:ascii="宋体" w:hAnsi="宋体" w:eastAsia="宋体" w:cs="宋体"/>
                <w:color w:val="auto"/>
                <w:highlight w:val="none"/>
              </w:rPr>
            </w:pPr>
            <w:r>
              <w:rPr>
                <w:rFonts w:hint="eastAsia" w:ascii="宋体" w:hAnsi="宋体" w:eastAsia="宋体" w:cs="宋体"/>
                <w:color w:val="auto"/>
                <w:highlight w:val="none"/>
              </w:rPr>
              <w:t>承担本项目的主要人员</w:t>
            </w:r>
          </w:p>
          <w:p>
            <w:pPr>
              <w:pStyle w:val="16"/>
              <w:keepNext w:val="0"/>
              <w:keepLines w:val="0"/>
              <w:pageBreakBefore w:val="0"/>
              <w:widowControl/>
              <w:kinsoku/>
              <w:wordWrap/>
              <w:overflowPunct/>
              <w:topLinePunct w:val="0"/>
              <w:autoSpaceDE/>
              <w:autoSpaceDN/>
              <w:bidi w:val="0"/>
              <w:adjustRightInd/>
              <w:snapToGrid/>
              <w:spacing w:beforeAutospacing="0" w:afterAutospacing="0" w:line="360" w:lineRule="auto"/>
              <w:jc w:val="center"/>
              <w:textAlignment w:val="auto"/>
              <w:rPr>
                <w:rFonts w:hint="eastAsia" w:ascii="宋体" w:hAnsi="宋体" w:eastAsia="宋体" w:cs="宋体"/>
                <w:color w:val="auto"/>
                <w:highlight w:val="none"/>
              </w:rPr>
            </w:pPr>
            <w:r>
              <w:rPr>
                <w:rFonts w:hint="eastAsia" w:ascii="宋体" w:hAnsi="宋体" w:eastAsia="宋体" w:cs="宋体"/>
                <w:color w:val="auto"/>
                <w:highlight w:val="none"/>
              </w:rPr>
              <w:t>要求证明材料</w:t>
            </w:r>
          </w:p>
        </w:tc>
        <w:tc>
          <w:tcPr>
            <w:tcW w:w="6101" w:type="dxa"/>
            <w:vAlign w:val="center"/>
          </w:tcPr>
          <w:p>
            <w:pPr>
              <w:pStyle w:val="16"/>
              <w:keepNext w:val="0"/>
              <w:keepLines w:val="0"/>
              <w:pageBreakBefore w:val="0"/>
              <w:widowControl/>
              <w:kinsoku/>
              <w:wordWrap/>
              <w:overflowPunct/>
              <w:topLinePunct w:val="0"/>
              <w:autoSpaceDE/>
              <w:autoSpaceDN/>
              <w:bidi w:val="0"/>
              <w:adjustRightInd/>
              <w:snapToGrid/>
              <w:spacing w:beforeAutospacing="0" w:afterAutospacing="0" w:line="360" w:lineRule="auto"/>
              <w:textAlignment w:val="auto"/>
              <w:rPr>
                <w:rFonts w:hint="eastAsia" w:ascii="宋体" w:hAnsi="宋体" w:eastAsia="宋体" w:cs="宋体"/>
                <w:color w:val="auto"/>
                <w:highlight w:val="none"/>
              </w:rPr>
            </w:pPr>
            <w:r>
              <w:rPr>
                <w:rFonts w:hint="eastAsia" w:ascii="宋体" w:hAnsi="宋体" w:eastAsia="宋体" w:cs="宋体"/>
                <w:color w:val="auto"/>
                <w:highlight w:val="none"/>
              </w:rPr>
              <w:sym w:font="Wingdings 2" w:char="00A3"/>
            </w:r>
            <w:r>
              <w:rPr>
                <w:rFonts w:hint="eastAsia" w:ascii="宋体" w:hAnsi="宋体" w:eastAsia="宋体" w:cs="宋体"/>
                <w:color w:val="auto"/>
                <w:highlight w:val="none"/>
              </w:rPr>
              <w:t>不适用</w:t>
            </w:r>
          </w:p>
          <w:p>
            <w:pPr>
              <w:pStyle w:val="16"/>
              <w:keepNext w:val="0"/>
              <w:keepLines w:val="0"/>
              <w:pageBreakBefore w:val="0"/>
              <w:widowControl/>
              <w:kinsoku/>
              <w:wordWrap/>
              <w:overflowPunct/>
              <w:topLinePunct w:val="0"/>
              <w:autoSpaceDE/>
              <w:autoSpaceDN/>
              <w:bidi w:val="0"/>
              <w:adjustRightInd/>
              <w:snapToGrid/>
              <w:spacing w:beforeAutospacing="0" w:afterAutospacing="0" w:line="360" w:lineRule="auto"/>
              <w:textAlignment w:val="auto"/>
              <w:rPr>
                <w:rFonts w:hint="eastAsia" w:ascii="宋体" w:hAnsi="宋体" w:eastAsia="宋体" w:cs="宋体"/>
                <w:color w:val="auto"/>
                <w:highlight w:val="none"/>
                <w:u w:val="single"/>
                <w:lang w:val="en-US" w:eastAsia="zh-CN"/>
              </w:rPr>
            </w:pPr>
            <w:r>
              <w:rPr>
                <w:rFonts w:hint="eastAsia" w:ascii="宋体" w:hAnsi="宋体" w:eastAsia="宋体" w:cs="宋体"/>
                <w:color w:val="auto"/>
                <w:highlight w:val="none"/>
              </w:rPr>
              <w:sym w:font="Wingdings 2" w:char="0052"/>
            </w:r>
            <w:r>
              <w:rPr>
                <w:rFonts w:hint="eastAsia" w:ascii="宋体" w:hAnsi="宋体" w:eastAsia="宋体" w:cs="宋体"/>
                <w:color w:val="auto"/>
                <w:highlight w:val="none"/>
              </w:rPr>
              <w:t>适用。</w:t>
            </w:r>
            <w:r>
              <w:rPr>
                <w:rFonts w:hint="eastAsia" w:ascii="宋体" w:hAnsi="宋体" w:eastAsia="宋体" w:cs="宋体"/>
                <w:color w:val="auto"/>
                <w:highlight w:val="none"/>
                <w:lang w:eastAsia="zh-CN"/>
              </w:rPr>
              <w:t>询比响应人</w:t>
            </w:r>
            <w:r>
              <w:rPr>
                <w:rFonts w:hint="eastAsia" w:ascii="宋体" w:hAnsi="宋体" w:eastAsia="宋体" w:cs="宋体"/>
                <w:color w:val="auto"/>
                <w:highlight w:val="none"/>
              </w:rPr>
              <w:t>应提供拟委任的主要人员汇总表和主要人员简历表（格式见第六章"响应文件格式"七、资格审查资料（四）拟委任的主要人员汇总表和（五）主要人员简历表）。</w:t>
            </w:r>
            <w:r>
              <w:rPr>
                <w:rFonts w:hint="eastAsia" w:ascii="宋体" w:hAnsi="宋体" w:eastAsia="宋体" w:cs="宋体"/>
                <w:color w:val="auto"/>
                <w:highlight w:val="none"/>
                <w:lang w:eastAsia="zh-CN"/>
              </w:rPr>
              <w:t>询比响应人</w:t>
            </w:r>
            <w:r>
              <w:rPr>
                <w:rFonts w:hint="eastAsia" w:ascii="宋体" w:hAnsi="宋体" w:eastAsia="宋体" w:cs="宋体"/>
                <w:color w:val="auto"/>
                <w:highlight w:val="none"/>
              </w:rPr>
              <w:t>应填报满足第一章"询比采购公告/询比采购邀请书"规定的项目负责人和其他主要人员的相关信息，并按如下要求提供相关证明文件∶</w:t>
            </w:r>
            <w:r>
              <w:rPr>
                <w:rFonts w:hint="eastAsia" w:ascii="宋体" w:hAnsi="宋体" w:eastAsia="宋体" w:cs="宋体"/>
                <w:u w:val="single"/>
              </w:rPr>
              <w:t>项目经理须具备[注册二级建造师·建筑工程](含)以上专业级注册建造师执业资格和有效地安全生产考核合格证书，未同时在其他项目担任项目经理的承诺书；</w:t>
            </w:r>
          </w:p>
          <w:p>
            <w:pPr>
              <w:pStyle w:val="16"/>
              <w:keepNext w:val="0"/>
              <w:keepLines w:val="0"/>
              <w:pageBreakBefore w:val="0"/>
              <w:widowControl/>
              <w:kinsoku/>
              <w:wordWrap/>
              <w:overflowPunct/>
              <w:topLinePunct w:val="0"/>
              <w:autoSpaceDE/>
              <w:autoSpaceDN/>
              <w:bidi w:val="0"/>
              <w:adjustRightInd/>
              <w:snapToGrid/>
              <w:spacing w:beforeAutospacing="0" w:afterAutospacing="0" w:line="360" w:lineRule="auto"/>
              <w:textAlignment w:val="auto"/>
              <w:rPr>
                <w:rFonts w:hint="eastAsia" w:ascii="宋体" w:hAnsi="宋体" w:eastAsia="宋体" w:cs="宋体"/>
                <w:color w:val="auto"/>
                <w:highlight w:val="none"/>
              </w:rPr>
            </w:pPr>
            <w:r>
              <w:rPr>
                <w:rFonts w:hint="eastAsia" w:ascii="宋体" w:hAnsi="宋体" w:eastAsia="宋体" w:cs="宋体"/>
                <w:color w:val="auto"/>
                <w:highlight w:val="none"/>
              </w:rPr>
              <w:t>（注∶一般工程和服务项目有本项要求。</w:t>
            </w:r>
            <w:r>
              <w:rPr>
                <w:rFonts w:hint="eastAsia" w:ascii="宋体" w:hAnsi="宋体" w:eastAsia="宋体" w:cs="宋体"/>
                <w:color w:val="auto"/>
                <w:highlight w:val="none"/>
                <w:lang w:eastAsia="zh-CN"/>
              </w:rPr>
              <w:t>招标</w:t>
            </w:r>
            <w:r>
              <w:rPr>
                <w:rFonts w:hint="eastAsia" w:ascii="宋体" w:hAnsi="宋体" w:eastAsia="宋体" w:cs="宋体"/>
                <w:color w:val="auto"/>
                <w:highlight w:val="none"/>
              </w:rPr>
              <w:t>人可在此处明确对有关人员职称证书、执业证书、社保缴费证明及业绩证明等的具体要求。）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5" w:hRule="atLeast"/>
          <w:jc w:val="center"/>
        </w:trPr>
        <w:tc>
          <w:tcPr>
            <w:tcW w:w="1214" w:type="dxa"/>
            <w:vAlign w:val="center"/>
          </w:tcPr>
          <w:p>
            <w:pPr>
              <w:pStyle w:val="16"/>
              <w:keepNext w:val="0"/>
              <w:keepLines w:val="0"/>
              <w:pageBreakBefore w:val="0"/>
              <w:widowControl/>
              <w:kinsoku/>
              <w:wordWrap/>
              <w:overflowPunct/>
              <w:topLinePunct w:val="0"/>
              <w:autoSpaceDE/>
              <w:autoSpaceDN/>
              <w:bidi w:val="0"/>
              <w:adjustRightInd/>
              <w:snapToGrid/>
              <w:spacing w:beforeAutospacing="0" w:afterAutospacing="0" w:line="360" w:lineRule="auto"/>
              <w:jc w:val="center"/>
              <w:textAlignment w:val="auto"/>
              <w:rPr>
                <w:rFonts w:hint="eastAsia" w:ascii="宋体" w:hAnsi="宋体" w:eastAsia="宋体" w:cs="宋体"/>
                <w:color w:val="auto"/>
                <w:highlight w:val="none"/>
              </w:rPr>
            </w:pPr>
            <w:r>
              <w:rPr>
                <w:rFonts w:hint="eastAsia" w:ascii="宋体" w:hAnsi="宋体" w:eastAsia="宋体" w:cs="宋体"/>
                <w:color w:val="auto"/>
                <w:highlight w:val="none"/>
              </w:rPr>
              <w:t>3.5(7)</w:t>
            </w:r>
          </w:p>
        </w:tc>
        <w:tc>
          <w:tcPr>
            <w:tcW w:w="3183" w:type="dxa"/>
            <w:vAlign w:val="center"/>
          </w:tcPr>
          <w:p>
            <w:pPr>
              <w:pStyle w:val="16"/>
              <w:keepNext w:val="0"/>
              <w:keepLines w:val="0"/>
              <w:pageBreakBefore w:val="0"/>
              <w:widowControl/>
              <w:kinsoku/>
              <w:wordWrap/>
              <w:overflowPunct/>
              <w:topLinePunct w:val="0"/>
              <w:autoSpaceDE/>
              <w:autoSpaceDN/>
              <w:bidi w:val="0"/>
              <w:adjustRightInd/>
              <w:snapToGrid/>
              <w:spacing w:beforeAutospacing="0" w:afterAutospacing="0" w:line="360" w:lineRule="auto"/>
              <w:jc w:val="center"/>
              <w:textAlignment w:val="auto"/>
              <w:rPr>
                <w:rFonts w:hint="eastAsia" w:ascii="宋体" w:hAnsi="宋体" w:eastAsia="宋体" w:cs="宋体"/>
                <w:color w:val="auto"/>
                <w:highlight w:val="none"/>
              </w:rPr>
            </w:pPr>
            <w:r>
              <w:rPr>
                <w:rFonts w:hint="eastAsia" w:ascii="宋体" w:hAnsi="宋体" w:eastAsia="宋体" w:cs="宋体"/>
                <w:color w:val="auto"/>
                <w:highlight w:val="none"/>
              </w:rPr>
              <w:t>其他要求的证明材料</w:t>
            </w:r>
          </w:p>
        </w:tc>
        <w:tc>
          <w:tcPr>
            <w:tcW w:w="6101" w:type="dxa"/>
            <w:vAlign w:val="center"/>
          </w:tcPr>
          <w:p>
            <w:pPr>
              <w:pStyle w:val="16"/>
              <w:keepNext w:val="0"/>
              <w:keepLines w:val="0"/>
              <w:pageBreakBefore w:val="0"/>
              <w:widowControl/>
              <w:kinsoku/>
              <w:wordWrap/>
              <w:overflowPunct/>
              <w:topLinePunct w:val="0"/>
              <w:autoSpaceDE/>
              <w:autoSpaceDN/>
              <w:bidi w:val="0"/>
              <w:adjustRightInd/>
              <w:snapToGrid/>
              <w:spacing w:beforeAutospacing="0" w:afterAutospacing="0" w:line="360" w:lineRule="auto"/>
              <w:jc w:val="both"/>
              <w:textAlignment w:val="auto"/>
              <w:rPr>
                <w:rFonts w:hint="eastAsia" w:ascii="宋体" w:hAnsi="宋体" w:eastAsia="宋体" w:cs="宋体"/>
                <w:color w:val="auto"/>
                <w:highlight w:val="none"/>
              </w:rPr>
            </w:pPr>
            <w:r>
              <w:rPr>
                <w:rFonts w:hint="eastAsia" w:ascii="宋体" w:hAnsi="宋体" w:eastAsia="宋体" w:cs="宋体"/>
                <w:color w:val="auto"/>
                <w:sz w:val="24"/>
                <w:highlight w:val="none"/>
                <w:u w:val="single"/>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5" w:hRule="atLeast"/>
          <w:jc w:val="center"/>
        </w:trPr>
        <w:tc>
          <w:tcPr>
            <w:tcW w:w="1214" w:type="dxa"/>
            <w:vAlign w:val="center"/>
          </w:tcPr>
          <w:p>
            <w:pPr>
              <w:pStyle w:val="16"/>
              <w:keepNext w:val="0"/>
              <w:keepLines w:val="0"/>
              <w:pageBreakBefore w:val="0"/>
              <w:widowControl/>
              <w:kinsoku/>
              <w:wordWrap/>
              <w:overflowPunct/>
              <w:topLinePunct w:val="0"/>
              <w:autoSpaceDE/>
              <w:autoSpaceDN/>
              <w:bidi w:val="0"/>
              <w:adjustRightInd/>
              <w:snapToGrid/>
              <w:spacing w:beforeAutospacing="0" w:afterAutospacing="0" w:line="360" w:lineRule="auto"/>
              <w:jc w:val="center"/>
              <w:textAlignment w:val="auto"/>
              <w:rPr>
                <w:rFonts w:hint="eastAsia" w:ascii="宋体" w:hAnsi="宋体" w:eastAsia="宋体" w:cs="宋体"/>
                <w:color w:val="auto"/>
                <w:highlight w:val="none"/>
              </w:rPr>
            </w:pPr>
            <w:r>
              <w:rPr>
                <w:rFonts w:hint="eastAsia" w:ascii="宋体" w:hAnsi="宋体" w:eastAsia="宋体" w:cs="宋体"/>
                <w:color w:val="auto"/>
                <w:highlight w:val="none"/>
              </w:rPr>
              <w:t>3.5(8)</w:t>
            </w:r>
          </w:p>
        </w:tc>
        <w:tc>
          <w:tcPr>
            <w:tcW w:w="3183" w:type="dxa"/>
            <w:vAlign w:val="center"/>
          </w:tcPr>
          <w:p>
            <w:pPr>
              <w:pStyle w:val="16"/>
              <w:keepNext w:val="0"/>
              <w:keepLines w:val="0"/>
              <w:pageBreakBefore w:val="0"/>
              <w:widowControl/>
              <w:kinsoku/>
              <w:wordWrap/>
              <w:overflowPunct/>
              <w:topLinePunct w:val="0"/>
              <w:autoSpaceDE/>
              <w:autoSpaceDN/>
              <w:bidi w:val="0"/>
              <w:adjustRightInd/>
              <w:snapToGrid/>
              <w:spacing w:beforeAutospacing="0" w:afterAutospacing="0" w:line="360" w:lineRule="auto"/>
              <w:jc w:val="center"/>
              <w:textAlignment w:val="auto"/>
              <w:rPr>
                <w:rFonts w:hint="eastAsia" w:ascii="宋体" w:hAnsi="宋体" w:eastAsia="宋体" w:cs="宋体"/>
                <w:color w:val="auto"/>
                <w:highlight w:val="none"/>
              </w:rPr>
            </w:pPr>
            <w:r>
              <w:rPr>
                <w:rFonts w:hint="eastAsia" w:ascii="宋体" w:hAnsi="宋体" w:eastAsia="宋体" w:cs="宋体"/>
                <w:color w:val="auto"/>
                <w:highlight w:val="none"/>
                <w:lang w:eastAsia="zh-CN"/>
              </w:rPr>
              <w:t>询比响应人</w:t>
            </w:r>
            <w:r>
              <w:rPr>
                <w:rFonts w:hint="eastAsia" w:ascii="宋体" w:hAnsi="宋体" w:eastAsia="宋体" w:cs="宋体"/>
                <w:color w:val="auto"/>
                <w:highlight w:val="none"/>
              </w:rPr>
              <w:t>不存在第一章3.2款</w:t>
            </w:r>
          </w:p>
          <w:p>
            <w:pPr>
              <w:pStyle w:val="16"/>
              <w:keepNext w:val="0"/>
              <w:keepLines w:val="0"/>
              <w:pageBreakBefore w:val="0"/>
              <w:widowControl/>
              <w:kinsoku/>
              <w:wordWrap/>
              <w:overflowPunct/>
              <w:topLinePunct w:val="0"/>
              <w:autoSpaceDE/>
              <w:autoSpaceDN/>
              <w:bidi w:val="0"/>
              <w:adjustRightInd/>
              <w:snapToGrid/>
              <w:spacing w:beforeAutospacing="0" w:afterAutospacing="0" w:line="360" w:lineRule="auto"/>
              <w:jc w:val="center"/>
              <w:textAlignment w:val="auto"/>
              <w:rPr>
                <w:rFonts w:hint="eastAsia" w:ascii="宋体" w:hAnsi="宋体" w:eastAsia="宋体" w:cs="宋体"/>
                <w:color w:val="auto"/>
                <w:highlight w:val="none"/>
              </w:rPr>
            </w:pPr>
            <w:r>
              <w:rPr>
                <w:rFonts w:hint="eastAsia" w:ascii="宋体" w:hAnsi="宋体" w:eastAsia="宋体" w:cs="宋体"/>
                <w:color w:val="auto"/>
                <w:highlight w:val="none"/>
              </w:rPr>
              <w:t>情形的证明材料</w:t>
            </w:r>
          </w:p>
        </w:tc>
        <w:tc>
          <w:tcPr>
            <w:tcW w:w="6101" w:type="dxa"/>
            <w:vAlign w:val="center"/>
          </w:tcPr>
          <w:p>
            <w:pPr>
              <w:pStyle w:val="16"/>
              <w:keepNext w:val="0"/>
              <w:keepLines w:val="0"/>
              <w:pageBreakBefore w:val="0"/>
              <w:widowControl/>
              <w:kinsoku/>
              <w:wordWrap/>
              <w:overflowPunct/>
              <w:topLinePunct w:val="0"/>
              <w:autoSpaceDE/>
              <w:autoSpaceDN/>
              <w:bidi w:val="0"/>
              <w:adjustRightInd/>
              <w:snapToGrid/>
              <w:spacing w:beforeAutospacing="0" w:afterAutospacing="0" w:line="360" w:lineRule="auto"/>
              <w:textAlignment w:val="auto"/>
              <w:rPr>
                <w:rFonts w:hint="eastAsia" w:ascii="宋体" w:hAnsi="宋体" w:eastAsia="宋体" w:cs="宋体"/>
                <w:color w:val="auto"/>
                <w:highlight w:val="none"/>
              </w:rPr>
            </w:pPr>
            <w:r>
              <w:rPr>
                <w:rFonts w:hint="eastAsia" w:ascii="宋体" w:hAnsi="宋体" w:eastAsia="宋体" w:cs="宋体"/>
                <w:color w:val="auto"/>
                <w:highlight w:val="none"/>
              </w:rPr>
              <w:sym w:font="Wingdings 2" w:char="0052"/>
            </w:r>
            <w:r>
              <w:rPr>
                <w:rFonts w:hint="eastAsia" w:ascii="宋体" w:hAnsi="宋体" w:eastAsia="宋体" w:cs="宋体"/>
                <w:color w:val="auto"/>
                <w:highlight w:val="none"/>
              </w:rPr>
              <w:t>不需提供证明材料</w:t>
            </w:r>
          </w:p>
          <w:p>
            <w:pPr>
              <w:pStyle w:val="16"/>
              <w:keepNext w:val="0"/>
              <w:keepLines w:val="0"/>
              <w:pageBreakBefore w:val="0"/>
              <w:widowControl/>
              <w:kinsoku/>
              <w:wordWrap/>
              <w:overflowPunct/>
              <w:topLinePunct w:val="0"/>
              <w:autoSpaceDE/>
              <w:autoSpaceDN/>
              <w:bidi w:val="0"/>
              <w:adjustRightInd/>
              <w:snapToGrid/>
              <w:spacing w:beforeAutospacing="0" w:afterAutospacing="0" w:line="360" w:lineRule="auto"/>
              <w:textAlignment w:val="auto"/>
              <w:rPr>
                <w:rFonts w:hint="eastAsia" w:ascii="宋体" w:hAnsi="宋体" w:eastAsia="宋体" w:cs="宋体"/>
                <w:color w:val="auto"/>
                <w:highlight w:val="none"/>
              </w:rPr>
            </w:pPr>
            <w:r>
              <w:rPr>
                <w:rFonts w:hint="eastAsia" w:ascii="宋体" w:hAnsi="宋体" w:eastAsia="宋体" w:cs="宋体"/>
                <w:color w:val="auto"/>
                <w:highlight w:val="none"/>
              </w:rPr>
              <w:sym w:font="Wingdings 2" w:char="00A3"/>
            </w:r>
            <w:r>
              <w:rPr>
                <w:rFonts w:hint="eastAsia" w:ascii="宋体" w:hAnsi="宋体" w:eastAsia="宋体" w:cs="宋体"/>
                <w:color w:val="auto"/>
                <w:highlight w:val="none"/>
              </w:rPr>
              <w:t>需要提供证明材料，包括∶</w:t>
            </w:r>
            <w:r>
              <w:rPr>
                <w:rFonts w:hint="eastAsia" w:ascii="宋体" w:hAnsi="宋体" w:eastAsia="宋体" w:cs="宋体"/>
                <w:color w:val="auto"/>
                <w:highlight w:val="none"/>
                <w:u w:val="single"/>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42" w:hRule="atLeast"/>
          <w:jc w:val="center"/>
        </w:trPr>
        <w:tc>
          <w:tcPr>
            <w:tcW w:w="1214" w:type="dxa"/>
            <w:vAlign w:val="center"/>
          </w:tcPr>
          <w:p>
            <w:pPr>
              <w:pStyle w:val="16"/>
              <w:keepNext w:val="0"/>
              <w:keepLines w:val="0"/>
              <w:pageBreakBefore w:val="0"/>
              <w:widowControl/>
              <w:kinsoku/>
              <w:wordWrap/>
              <w:overflowPunct/>
              <w:topLinePunct w:val="0"/>
              <w:autoSpaceDE/>
              <w:autoSpaceDN/>
              <w:bidi w:val="0"/>
              <w:adjustRightInd/>
              <w:snapToGrid/>
              <w:spacing w:beforeAutospacing="0" w:afterAutospacing="0" w:line="360" w:lineRule="auto"/>
              <w:jc w:val="center"/>
              <w:textAlignment w:val="auto"/>
              <w:rPr>
                <w:rFonts w:hint="eastAsia" w:ascii="宋体" w:hAnsi="宋体" w:eastAsia="宋体" w:cs="宋体"/>
                <w:color w:val="auto"/>
                <w:highlight w:val="none"/>
              </w:rPr>
            </w:pPr>
            <w:r>
              <w:rPr>
                <w:rFonts w:hint="eastAsia" w:ascii="宋体" w:hAnsi="宋体" w:eastAsia="宋体" w:cs="宋体"/>
                <w:color w:val="auto"/>
                <w:highlight w:val="none"/>
              </w:rPr>
              <w:t>3.5(9)</w:t>
            </w:r>
          </w:p>
        </w:tc>
        <w:tc>
          <w:tcPr>
            <w:tcW w:w="3183" w:type="dxa"/>
            <w:vAlign w:val="center"/>
          </w:tcPr>
          <w:p>
            <w:pPr>
              <w:pStyle w:val="16"/>
              <w:keepNext w:val="0"/>
              <w:keepLines w:val="0"/>
              <w:pageBreakBefore w:val="0"/>
              <w:widowControl/>
              <w:kinsoku/>
              <w:wordWrap/>
              <w:overflowPunct/>
              <w:topLinePunct w:val="0"/>
              <w:autoSpaceDE/>
              <w:autoSpaceDN/>
              <w:bidi w:val="0"/>
              <w:adjustRightInd/>
              <w:snapToGrid/>
              <w:spacing w:beforeAutospacing="0" w:afterAutospacing="0" w:line="360" w:lineRule="auto"/>
              <w:jc w:val="center"/>
              <w:textAlignment w:val="auto"/>
              <w:rPr>
                <w:rFonts w:hint="eastAsia" w:ascii="宋体" w:hAnsi="宋体" w:eastAsia="宋体" w:cs="宋体"/>
                <w:color w:val="auto"/>
                <w:highlight w:val="none"/>
              </w:rPr>
            </w:pPr>
            <w:r>
              <w:rPr>
                <w:rFonts w:hint="eastAsia" w:ascii="宋体" w:hAnsi="宋体" w:eastAsia="宋体" w:cs="宋体"/>
                <w:color w:val="auto"/>
                <w:highlight w:val="none"/>
              </w:rPr>
              <w:t>联合体要求的证明材料</w:t>
            </w:r>
          </w:p>
        </w:tc>
        <w:tc>
          <w:tcPr>
            <w:tcW w:w="6101" w:type="dxa"/>
            <w:vAlign w:val="center"/>
          </w:tcPr>
          <w:p>
            <w:pPr>
              <w:pStyle w:val="16"/>
              <w:keepNext w:val="0"/>
              <w:keepLines w:val="0"/>
              <w:pageBreakBefore w:val="0"/>
              <w:widowControl/>
              <w:kinsoku/>
              <w:wordWrap/>
              <w:overflowPunct/>
              <w:topLinePunct w:val="0"/>
              <w:autoSpaceDE/>
              <w:autoSpaceDN/>
              <w:bidi w:val="0"/>
              <w:adjustRightInd/>
              <w:snapToGrid/>
              <w:spacing w:beforeAutospacing="0" w:afterAutospacing="0" w:line="360" w:lineRule="auto"/>
              <w:textAlignment w:val="auto"/>
              <w:rPr>
                <w:rFonts w:hint="eastAsia" w:ascii="宋体" w:hAnsi="宋体" w:eastAsia="宋体" w:cs="宋体"/>
                <w:color w:val="auto"/>
                <w:highlight w:val="none"/>
              </w:rPr>
            </w:pPr>
            <w:r>
              <w:rPr>
                <w:rFonts w:hint="eastAsia" w:ascii="宋体" w:hAnsi="宋体" w:eastAsia="宋体" w:cs="宋体"/>
                <w:color w:val="auto"/>
                <w:highlight w:val="none"/>
              </w:rPr>
              <w:sym w:font="Wingdings 2" w:char="0052"/>
            </w:r>
            <w:r>
              <w:rPr>
                <w:rFonts w:hint="eastAsia" w:ascii="宋体" w:hAnsi="宋体" w:eastAsia="宋体" w:cs="宋体"/>
                <w:color w:val="auto"/>
                <w:highlight w:val="none"/>
              </w:rPr>
              <w:t>不适用</w:t>
            </w:r>
          </w:p>
          <w:p>
            <w:pPr>
              <w:pStyle w:val="16"/>
              <w:keepNext w:val="0"/>
              <w:keepLines w:val="0"/>
              <w:pageBreakBefore w:val="0"/>
              <w:widowControl/>
              <w:kinsoku/>
              <w:wordWrap/>
              <w:overflowPunct/>
              <w:topLinePunct w:val="0"/>
              <w:autoSpaceDE/>
              <w:autoSpaceDN/>
              <w:bidi w:val="0"/>
              <w:adjustRightInd/>
              <w:snapToGrid/>
              <w:spacing w:beforeAutospacing="0" w:afterAutospacing="0" w:line="360" w:lineRule="auto"/>
              <w:textAlignment w:val="auto"/>
              <w:rPr>
                <w:rFonts w:hint="eastAsia" w:ascii="宋体" w:hAnsi="宋体" w:eastAsia="宋体" w:cs="宋体"/>
                <w:color w:val="auto"/>
                <w:highlight w:val="none"/>
              </w:rPr>
            </w:pPr>
            <w:r>
              <w:rPr>
                <w:rFonts w:hint="eastAsia" w:ascii="宋体" w:hAnsi="宋体" w:eastAsia="宋体" w:cs="宋体"/>
                <w:color w:val="auto"/>
                <w:highlight w:val="none"/>
              </w:rPr>
              <w:sym w:font="Wingdings 2" w:char="00A3"/>
            </w:r>
            <w:r>
              <w:rPr>
                <w:rFonts w:hint="eastAsia" w:ascii="宋体" w:hAnsi="宋体" w:eastAsia="宋体" w:cs="宋体"/>
                <w:color w:val="auto"/>
                <w:highlight w:val="none"/>
              </w:rPr>
              <w:t>适用。</w:t>
            </w:r>
            <w:r>
              <w:rPr>
                <w:rFonts w:hint="eastAsia" w:ascii="宋体" w:hAnsi="宋体" w:eastAsia="宋体" w:cs="宋体"/>
                <w:color w:val="auto"/>
                <w:highlight w:val="none"/>
                <w:lang w:eastAsia="zh-CN"/>
              </w:rPr>
              <w:t>询比响应人</w:t>
            </w:r>
            <w:r>
              <w:rPr>
                <w:rFonts w:hint="eastAsia" w:ascii="宋体" w:hAnsi="宋体" w:eastAsia="宋体" w:cs="宋体"/>
                <w:color w:val="auto"/>
                <w:highlight w:val="none"/>
              </w:rPr>
              <w:t>应按照采购文件提供的格式（格式见第六章"响应文件格式"三、联合体协议书）拟订联合体协议书，并提供联合体协议书的原件。联合体协议书应明确联合体各方的分工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5" w:hRule="atLeast"/>
          <w:jc w:val="center"/>
        </w:trPr>
        <w:tc>
          <w:tcPr>
            <w:tcW w:w="1214" w:type="dxa"/>
            <w:vAlign w:val="center"/>
          </w:tcPr>
          <w:p>
            <w:pPr>
              <w:pStyle w:val="16"/>
              <w:keepNext w:val="0"/>
              <w:keepLines w:val="0"/>
              <w:pageBreakBefore w:val="0"/>
              <w:widowControl/>
              <w:kinsoku/>
              <w:wordWrap/>
              <w:overflowPunct/>
              <w:topLinePunct w:val="0"/>
              <w:autoSpaceDE/>
              <w:autoSpaceDN/>
              <w:bidi w:val="0"/>
              <w:adjustRightInd/>
              <w:snapToGrid/>
              <w:spacing w:beforeAutospacing="0" w:afterAutospacing="0" w:line="360" w:lineRule="auto"/>
              <w:jc w:val="center"/>
              <w:textAlignment w:val="auto"/>
              <w:rPr>
                <w:rFonts w:hint="eastAsia" w:ascii="宋体" w:hAnsi="宋体" w:eastAsia="宋体" w:cs="宋体"/>
                <w:color w:val="auto"/>
                <w:highlight w:val="none"/>
              </w:rPr>
            </w:pPr>
            <w:r>
              <w:rPr>
                <w:rFonts w:hint="eastAsia" w:ascii="宋体" w:hAnsi="宋体" w:eastAsia="宋体" w:cs="宋体"/>
                <w:color w:val="auto"/>
                <w:highlight w:val="none"/>
              </w:rPr>
              <w:t>3.6.1</w:t>
            </w:r>
          </w:p>
        </w:tc>
        <w:tc>
          <w:tcPr>
            <w:tcW w:w="3183" w:type="dxa"/>
            <w:vAlign w:val="center"/>
          </w:tcPr>
          <w:p>
            <w:pPr>
              <w:pStyle w:val="16"/>
              <w:keepNext w:val="0"/>
              <w:keepLines w:val="0"/>
              <w:pageBreakBefore w:val="0"/>
              <w:widowControl/>
              <w:kinsoku/>
              <w:wordWrap/>
              <w:overflowPunct/>
              <w:topLinePunct w:val="0"/>
              <w:autoSpaceDE/>
              <w:autoSpaceDN/>
              <w:bidi w:val="0"/>
              <w:adjustRightInd/>
              <w:snapToGrid/>
              <w:spacing w:beforeAutospacing="0" w:afterAutospacing="0" w:line="360" w:lineRule="auto"/>
              <w:jc w:val="center"/>
              <w:textAlignment w:val="auto"/>
              <w:rPr>
                <w:rFonts w:hint="eastAsia" w:ascii="宋体" w:hAnsi="宋体" w:eastAsia="宋体" w:cs="宋体"/>
                <w:color w:val="auto"/>
                <w:highlight w:val="none"/>
              </w:rPr>
            </w:pPr>
            <w:r>
              <w:rPr>
                <w:rFonts w:hint="eastAsia" w:ascii="宋体" w:hAnsi="宋体" w:eastAsia="宋体" w:cs="宋体"/>
                <w:color w:val="auto"/>
                <w:highlight w:val="none"/>
              </w:rPr>
              <w:t>对关键条款进行响应的证据或证明材料要求</w:t>
            </w:r>
          </w:p>
        </w:tc>
        <w:tc>
          <w:tcPr>
            <w:tcW w:w="6101" w:type="dxa"/>
            <w:vAlign w:val="center"/>
          </w:tcPr>
          <w:p>
            <w:pPr>
              <w:pStyle w:val="16"/>
              <w:keepNext w:val="0"/>
              <w:keepLines w:val="0"/>
              <w:pageBreakBefore w:val="0"/>
              <w:widowControl/>
              <w:kinsoku/>
              <w:wordWrap/>
              <w:overflowPunct/>
              <w:topLinePunct w:val="0"/>
              <w:autoSpaceDE/>
              <w:autoSpaceDN/>
              <w:bidi w:val="0"/>
              <w:adjustRightInd/>
              <w:snapToGrid/>
              <w:spacing w:beforeAutospacing="0" w:afterAutospacing="0" w:line="360" w:lineRule="auto"/>
              <w:textAlignment w:val="auto"/>
              <w:rPr>
                <w:rFonts w:hint="eastAsia" w:ascii="宋体" w:hAnsi="宋体" w:eastAsia="宋体" w:cs="宋体"/>
                <w:color w:val="auto"/>
                <w:highlight w:val="none"/>
              </w:rPr>
            </w:pPr>
            <w:r>
              <w:rPr>
                <w:rFonts w:hint="eastAsia" w:ascii="宋体" w:hAnsi="宋体" w:eastAsia="宋体" w:cs="宋体"/>
                <w:color w:val="auto"/>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8" w:hRule="atLeast"/>
          <w:jc w:val="center"/>
        </w:trPr>
        <w:tc>
          <w:tcPr>
            <w:tcW w:w="1214" w:type="dxa"/>
            <w:vAlign w:val="center"/>
          </w:tcPr>
          <w:p>
            <w:pPr>
              <w:pStyle w:val="16"/>
              <w:keepNext w:val="0"/>
              <w:keepLines w:val="0"/>
              <w:pageBreakBefore w:val="0"/>
              <w:widowControl/>
              <w:kinsoku/>
              <w:wordWrap/>
              <w:overflowPunct/>
              <w:topLinePunct w:val="0"/>
              <w:autoSpaceDE/>
              <w:autoSpaceDN/>
              <w:bidi w:val="0"/>
              <w:adjustRightInd/>
              <w:snapToGrid/>
              <w:spacing w:beforeAutospacing="0" w:afterAutospacing="0" w:line="360" w:lineRule="auto"/>
              <w:jc w:val="center"/>
              <w:textAlignment w:val="auto"/>
              <w:rPr>
                <w:rFonts w:hint="eastAsia" w:ascii="宋体" w:hAnsi="宋体" w:eastAsia="宋体" w:cs="宋体"/>
                <w:color w:val="auto"/>
                <w:highlight w:val="none"/>
              </w:rPr>
            </w:pPr>
            <w:r>
              <w:rPr>
                <w:rFonts w:hint="eastAsia" w:ascii="宋体" w:hAnsi="宋体" w:eastAsia="宋体" w:cs="宋体"/>
                <w:color w:val="auto"/>
                <w:highlight w:val="none"/>
              </w:rPr>
              <w:t>3.6.2</w:t>
            </w:r>
          </w:p>
        </w:tc>
        <w:tc>
          <w:tcPr>
            <w:tcW w:w="3183" w:type="dxa"/>
            <w:vAlign w:val="center"/>
          </w:tcPr>
          <w:p>
            <w:pPr>
              <w:pStyle w:val="16"/>
              <w:keepNext w:val="0"/>
              <w:keepLines w:val="0"/>
              <w:pageBreakBefore w:val="0"/>
              <w:widowControl/>
              <w:kinsoku/>
              <w:wordWrap/>
              <w:overflowPunct/>
              <w:topLinePunct w:val="0"/>
              <w:autoSpaceDE/>
              <w:autoSpaceDN/>
              <w:bidi w:val="0"/>
              <w:adjustRightInd/>
              <w:snapToGrid/>
              <w:spacing w:beforeAutospacing="0" w:afterAutospacing="0" w:line="360" w:lineRule="auto"/>
              <w:jc w:val="center"/>
              <w:textAlignment w:val="auto"/>
              <w:rPr>
                <w:rFonts w:hint="eastAsia" w:ascii="宋体" w:hAnsi="宋体" w:eastAsia="宋体" w:cs="宋体"/>
                <w:color w:val="auto"/>
                <w:highlight w:val="none"/>
              </w:rPr>
            </w:pPr>
            <w:r>
              <w:rPr>
                <w:rFonts w:hint="eastAsia" w:ascii="宋体" w:hAnsi="宋体" w:eastAsia="宋体" w:cs="宋体"/>
                <w:color w:val="auto"/>
                <w:highlight w:val="none"/>
              </w:rPr>
              <w:t>响应方案数量</w:t>
            </w:r>
          </w:p>
        </w:tc>
        <w:tc>
          <w:tcPr>
            <w:tcW w:w="6101" w:type="dxa"/>
            <w:vAlign w:val="center"/>
          </w:tcPr>
          <w:p>
            <w:pPr>
              <w:pStyle w:val="16"/>
              <w:keepNext w:val="0"/>
              <w:keepLines w:val="0"/>
              <w:pageBreakBefore w:val="0"/>
              <w:widowControl/>
              <w:kinsoku/>
              <w:wordWrap/>
              <w:overflowPunct/>
              <w:topLinePunct w:val="0"/>
              <w:autoSpaceDE/>
              <w:autoSpaceDN/>
              <w:bidi w:val="0"/>
              <w:adjustRightInd/>
              <w:snapToGrid/>
              <w:spacing w:beforeAutospacing="0" w:afterAutospacing="0" w:line="360" w:lineRule="auto"/>
              <w:textAlignment w:val="auto"/>
              <w:rPr>
                <w:rFonts w:hint="eastAsia" w:ascii="宋体" w:hAnsi="宋体" w:eastAsia="宋体" w:cs="宋体"/>
                <w:color w:val="auto"/>
                <w:highlight w:val="none"/>
              </w:rPr>
            </w:pPr>
            <w:r>
              <w:rPr>
                <w:rFonts w:hint="eastAsia" w:ascii="宋体" w:hAnsi="宋体" w:eastAsia="宋体" w:cs="宋体"/>
                <w:color w:val="auto"/>
                <w:highlight w:val="none"/>
              </w:rPr>
              <w:sym w:font="Wingdings 2" w:char="0052"/>
            </w:r>
            <w:r>
              <w:rPr>
                <w:rFonts w:hint="eastAsia" w:ascii="宋体" w:hAnsi="宋体" w:eastAsia="宋体" w:cs="宋体"/>
                <w:color w:val="auto"/>
                <w:highlight w:val="none"/>
                <w:lang w:eastAsia="zh-CN"/>
              </w:rPr>
              <w:t>询比响应人</w:t>
            </w:r>
            <w:r>
              <w:rPr>
                <w:rFonts w:hint="eastAsia" w:ascii="宋体" w:hAnsi="宋体" w:eastAsia="宋体" w:cs="宋体"/>
                <w:color w:val="auto"/>
                <w:highlight w:val="none"/>
              </w:rPr>
              <w:t>只能提出唯一响应方案</w:t>
            </w:r>
          </w:p>
          <w:p>
            <w:pPr>
              <w:pStyle w:val="16"/>
              <w:keepNext w:val="0"/>
              <w:keepLines w:val="0"/>
              <w:pageBreakBefore w:val="0"/>
              <w:widowControl/>
              <w:kinsoku/>
              <w:wordWrap/>
              <w:overflowPunct/>
              <w:topLinePunct w:val="0"/>
              <w:autoSpaceDE/>
              <w:autoSpaceDN/>
              <w:bidi w:val="0"/>
              <w:adjustRightInd/>
              <w:snapToGrid/>
              <w:spacing w:beforeAutospacing="0" w:afterAutospacing="0" w:line="360" w:lineRule="auto"/>
              <w:textAlignment w:val="auto"/>
              <w:rPr>
                <w:rFonts w:hint="eastAsia" w:ascii="宋体" w:hAnsi="宋体" w:eastAsia="宋体" w:cs="宋体"/>
                <w:color w:val="auto"/>
                <w:highlight w:val="none"/>
              </w:rPr>
            </w:pPr>
            <w:r>
              <w:rPr>
                <w:rFonts w:hint="eastAsia" w:ascii="宋体" w:hAnsi="宋体" w:eastAsia="宋体" w:cs="宋体"/>
                <w:color w:val="auto"/>
                <w:highlight w:val="none"/>
              </w:rPr>
              <w:sym w:font="Wingdings 2" w:char="00A3"/>
            </w:r>
            <w:r>
              <w:rPr>
                <w:rFonts w:hint="eastAsia" w:ascii="宋体" w:hAnsi="宋体" w:eastAsia="宋体" w:cs="宋体"/>
                <w:color w:val="auto"/>
                <w:highlight w:val="none"/>
                <w:lang w:eastAsia="zh-CN"/>
              </w:rPr>
              <w:t>询比响应人</w:t>
            </w:r>
            <w:r>
              <w:rPr>
                <w:rFonts w:hint="eastAsia" w:ascii="宋体" w:hAnsi="宋体" w:eastAsia="宋体" w:cs="宋体"/>
                <w:color w:val="auto"/>
                <w:highlight w:val="none"/>
              </w:rPr>
              <w:t>可提出多个响应方案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21" w:hRule="atLeast"/>
          <w:jc w:val="center"/>
        </w:trPr>
        <w:tc>
          <w:tcPr>
            <w:tcW w:w="1214" w:type="dxa"/>
            <w:vAlign w:val="center"/>
          </w:tcPr>
          <w:p>
            <w:pPr>
              <w:pStyle w:val="16"/>
              <w:keepNext w:val="0"/>
              <w:keepLines w:val="0"/>
              <w:pageBreakBefore w:val="0"/>
              <w:widowControl/>
              <w:kinsoku/>
              <w:wordWrap/>
              <w:overflowPunct/>
              <w:topLinePunct w:val="0"/>
              <w:autoSpaceDE/>
              <w:autoSpaceDN/>
              <w:bidi w:val="0"/>
              <w:adjustRightInd/>
              <w:snapToGrid/>
              <w:spacing w:beforeAutospacing="0" w:afterAutospacing="0" w:line="360" w:lineRule="auto"/>
              <w:jc w:val="center"/>
              <w:textAlignment w:val="auto"/>
              <w:rPr>
                <w:rFonts w:hint="eastAsia" w:ascii="宋体" w:hAnsi="宋体" w:eastAsia="宋体" w:cs="宋体"/>
                <w:color w:val="auto"/>
                <w:highlight w:val="none"/>
              </w:rPr>
            </w:pPr>
            <w:r>
              <w:rPr>
                <w:rFonts w:hint="eastAsia" w:ascii="宋体" w:hAnsi="宋体" w:eastAsia="宋体" w:cs="宋体"/>
                <w:color w:val="auto"/>
                <w:highlight w:val="none"/>
              </w:rPr>
              <w:t>3.7.5</w:t>
            </w:r>
          </w:p>
        </w:tc>
        <w:tc>
          <w:tcPr>
            <w:tcW w:w="3183" w:type="dxa"/>
            <w:vAlign w:val="center"/>
          </w:tcPr>
          <w:p>
            <w:pPr>
              <w:pStyle w:val="16"/>
              <w:keepNext w:val="0"/>
              <w:keepLines w:val="0"/>
              <w:pageBreakBefore w:val="0"/>
              <w:widowControl/>
              <w:kinsoku/>
              <w:wordWrap/>
              <w:overflowPunct/>
              <w:topLinePunct w:val="0"/>
              <w:autoSpaceDE/>
              <w:autoSpaceDN/>
              <w:bidi w:val="0"/>
              <w:adjustRightInd/>
              <w:snapToGrid/>
              <w:spacing w:beforeAutospacing="0" w:afterAutospacing="0" w:line="360" w:lineRule="auto"/>
              <w:jc w:val="center"/>
              <w:textAlignment w:val="auto"/>
              <w:rPr>
                <w:rFonts w:hint="eastAsia" w:ascii="宋体" w:hAnsi="宋体" w:eastAsia="宋体" w:cs="宋体"/>
                <w:color w:val="auto"/>
                <w:highlight w:val="none"/>
              </w:rPr>
            </w:pPr>
            <w:r>
              <w:rPr>
                <w:rFonts w:hint="eastAsia" w:ascii="宋体" w:hAnsi="宋体" w:eastAsia="宋体" w:cs="宋体"/>
                <w:color w:val="auto"/>
                <w:highlight w:val="none"/>
              </w:rPr>
              <w:t>响应文件副本份数及电子版要求</w:t>
            </w:r>
          </w:p>
        </w:tc>
        <w:tc>
          <w:tcPr>
            <w:tcW w:w="6101" w:type="dxa"/>
            <w:vAlign w:val="center"/>
          </w:tcPr>
          <w:p>
            <w:pPr>
              <w:pStyle w:val="16"/>
              <w:keepNext w:val="0"/>
              <w:keepLines w:val="0"/>
              <w:pageBreakBefore w:val="0"/>
              <w:widowControl/>
              <w:kinsoku/>
              <w:wordWrap/>
              <w:overflowPunct/>
              <w:topLinePunct w:val="0"/>
              <w:autoSpaceDE/>
              <w:autoSpaceDN/>
              <w:bidi w:val="0"/>
              <w:adjustRightInd/>
              <w:snapToGrid/>
              <w:spacing w:beforeAutospacing="0" w:afterAutospacing="0" w:line="360" w:lineRule="auto"/>
              <w:textAlignment w:val="auto"/>
              <w:rPr>
                <w:rFonts w:hint="eastAsia" w:ascii="宋体" w:hAnsi="宋体" w:eastAsia="宋体" w:cs="宋体"/>
                <w:color w:val="auto"/>
                <w:highlight w:val="none"/>
              </w:rPr>
            </w:pPr>
            <w:r>
              <w:rPr>
                <w:rFonts w:hint="eastAsia" w:ascii="宋体" w:hAnsi="宋体" w:eastAsia="宋体" w:cs="宋体"/>
                <w:color w:val="auto"/>
                <w:highlight w:val="none"/>
              </w:rPr>
              <w:t>响应文件副本</w:t>
            </w:r>
            <w:r>
              <w:rPr>
                <w:rFonts w:hint="eastAsia" w:ascii="宋体" w:hAnsi="宋体" w:eastAsia="宋体" w:cs="宋体"/>
                <w:color w:val="auto"/>
                <w:highlight w:val="none"/>
                <w:u w:val="single"/>
                <w:lang w:val="en-US" w:eastAsia="zh-CN"/>
              </w:rPr>
              <w:t>2</w:t>
            </w:r>
            <w:r>
              <w:rPr>
                <w:rFonts w:hint="eastAsia" w:ascii="宋体" w:hAnsi="宋体" w:eastAsia="宋体" w:cs="宋体"/>
                <w:color w:val="auto"/>
                <w:highlight w:val="none"/>
              </w:rPr>
              <w:t>份</w:t>
            </w:r>
          </w:p>
          <w:p>
            <w:pPr>
              <w:pStyle w:val="16"/>
              <w:keepNext w:val="0"/>
              <w:keepLines w:val="0"/>
              <w:pageBreakBefore w:val="0"/>
              <w:widowControl/>
              <w:kinsoku/>
              <w:wordWrap/>
              <w:overflowPunct/>
              <w:topLinePunct w:val="0"/>
              <w:autoSpaceDE/>
              <w:autoSpaceDN/>
              <w:bidi w:val="0"/>
              <w:adjustRightInd/>
              <w:snapToGrid/>
              <w:spacing w:beforeAutospacing="0" w:afterAutospacing="0" w:line="360" w:lineRule="auto"/>
              <w:textAlignment w:val="auto"/>
              <w:rPr>
                <w:rFonts w:hint="eastAsia" w:ascii="宋体" w:hAnsi="宋体" w:eastAsia="宋体" w:cs="宋体"/>
                <w:color w:val="auto"/>
                <w:highlight w:val="none"/>
              </w:rPr>
            </w:pPr>
            <w:r>
              <w:rPr>
                <w:rFonts w:hint="eastAsia" w:ascii="宋体" w:hAnsi="宋体" w:eastAsia="宋体" w:cs="宋体"/>
                <w:color w:val="auto"/>
                <w:highlight w:val="none"/>
              </w:rPr>
              <w:t>是否要求提供电子版响应文件∶</w:t>
            </w:r>
            <w:r>
              <w:rPr>
                <w:rStyle w:val="40"/>
                <w:rFonts w:hint="eastAsia" w:ascii="宋体" w:hAnsi="宋体" w:eastAsia="宋体" w:cs="宋体"/>
                <w:color w:val="auto"/>
                <w:highlight w:val="none"/>
                <w:u w:val="single"/>
              </w:rPr>
              <w:t>响应文件纸质版</w:t>
            </w:r>
            <w:r>
              <w:rPr>
                <w:rStyle w:val="42"/>
                <w:rFonts w:hint="eastAsia" w:ascii="宋体" w:hAnsi="宋体" w:eastAsia="宋体" w:cs="宋体"/>
                <w:color w:val="auto"/>
                <w:highlight w:val="none"/>
                <w:u w:val="single"/>
              </w:rPr>
              <w:t>正本内容的全部扫描件</w:t>
            </w:r>
            <w:r>
              <w:rPr>
                <w:rStyle w:val="40"/>
                <w:rFonts w:hint="eastAsia" w:ascii="宋体" w:hAnsi="宋体" w:eastAsia="宋体" w:cs="宋体"/>
                <w:color w:val="auto"/>
                <w:highlight w:val="none"/>
                <w:u w:val="single"/>
              </w:rPr>
              <w:t>，</w:t>
            </w:r>
            <w:r>
              <w:rPr>
                <w:rStyle w:val="42"/>
                <w:rFonts w:hint="eastAsia" w:ascii="宋体" w:hAnsi="宋体" w:eastAsia="宋体" w:cs="宋体"/>
                <w:color w:val="auto"/>
                <w:highlight w:val="none"/>
                <w:u w:val="single"/>
              </w:rPr>
              <w:t>电子标书与书面响应文件正本内容必须完全相同包括盖章和签名，与书面响应文件一并提交。</w:t>
            </w:r>
          </w:p>
          <w:p>
            <w:pPr>
              <w:pStyle w:val="16"/>
              <w:keepNext w:val="0"/>
              <w:keepLines w:val="0"/>
              <w:pageBreakBefore w:val="0"/>
              <w:widowControl/>
              <w:kinsoku/>
              <w:wordWrap/>
              <w:overflowPunct/>
              <w:topLinePunct w:val="0"/>
              <w:autoSpaceDE/>
              <w:autoSpaceDN/>
              <w:bidi w:val="0"/>
              <w:adjustRightInd/>
              <w:snapToGrid/>
              <w:spacing w:beforeAutospacing="0" w:afterAutospacing="0" w:line="360" w:lineRule="auto"/>
              <w:textAlignment w:val="auto"/>
              <w:rPr>
                <w:rFonts w:hint="eastAsia" w:ascii="宋体" w:hAnsi="宋体" w:eastAsia="宋体" w:cs="宋体"/>
                <w:color w:val="auto"/>
                <w:highlight w:val="none"/>
              </w:rPr>
            </w:pPr>
            <w:r>
              <w:rPr>
                <w:rFonts w:hint="eastAsia" w:ascii="宋体" w:hAnsi="宋体" w:eastAsia="宋体" w:cs="宋体"/>
                <w:color w:val="auto"/>
                <w:highlight w:val="none"/>
              </w:rPr>
              <w:sym w:font="Wingdings 2" w:char="00A3"/>
            </w:r>
            <w:r>
              <w:rPr>
                <w:rFonts w:hint="eastAsia" w:ascii="宋体" w:hAnsi="宋体" w:eastAsia="宋体" w:cs="宋体"/>
                <w:color w:val="auto"/>
                <w:highlight w:val="none"/>
              </w:rPr>
              <w:t>不要求</w:t>
            </w:r>
          </w:p>
          <w:p>
            <w:pPr>
              <w:pStyle w:val="16"/>
              <w:keepNext w:val="0"/>
              <w:keepLines w:val="0"/>
              <w:pageBreakBefore w:val="0"/>
              <w:widowControl/>
              <w:kinsoku/>
              <w:wordWrap/>
              <w:overflowPunct/>
              <w:topLinePunct w:val="0"/>
              <w:autoSpaceDE/>
              <w:autoSpaceDN/>
              <w:bidi w:val="0"/>
              <w:adjustRightInd/>
              <w:snapToGrid/>
              <w:spacing w:beforeAutospacing="0" w:afterAutospacing="0" w:line="360" w:lineRule="auto"/>
              <w:textAlignment w:val="auto"/>
              <w:rPr>
                <w:rFonts w:hint="eastAsia" w:ascii="宋体" w:hAnsi="宋体" w:eastAsia="宋体" w:cs="宋体"/>
                <w:color w:val="auto"/>
                <w:highlight w:val="none"/>
              </w:rPr>
            </w:pPr>
            <w:r>
              <w:rPr>
                <w:rFonts w:hint="eastAsia" w:ascii="宋体" w:hAnsi="宋体" w:eastAsia="宋体" w:cs="宋体"/>
                <w:color w:val="auto"/>
                <w:highlight w:val="none"/>
              </w:rPr>
              <w:sym w:font="Wingdings 2" w:char="0052"/>
            </w:r>
            <w:r>
              <w:rPr>
                <w:rFonts w:hint="eastAsia" w:ascii="宋体" w:hAnsi="宋体" w:eastAsia="宋体" w:cs="宋体"/>
                <w:color w:val="auto"/>
                <w:highlight w:val="none"/>
              </w:rPr>
              <w:t>要求，提供电子版响应文件的形式∶</w:t>
            </w:r>
            <w:r>
              <w:rPr>
                <w:rFonts w:hint="eastAsia" w:ascii="宋体" w:hAnsi="宋体" w:eastAsia="宋体" w:cs="宋体"/>
                <w:color w:val="auto"/>
                <w:sz w:val="24"/>
                <w:highlight w:val="none"/>
                <w:u w:val="single"/>
              </w:rPr>
              <w:t>可读U盘，电子文档为纸质版</w:t>
            </w:r>
            <w:r>
              <w:rPr>
                <w:rFonts w:hint="eastAsia" w:ascii="宋体" w:hAnsi="宋体" w:eastAsia="宋体" w:cs="宋体"/>
                <w:color w:val="auto"/>
                <w:sz w:val="24"/>
                <w:highlight w:val="none"/>
                <w:u w:val="single"/>
                <w:lang w:eastAsia="zh-CN"/>
              </w:rPr>
              <w:t>响应</w:t>
            </w:r>
            <w:r>
              <w:rPr>
                <w:rFonts w:hint="eastAsia" w:ascii="宋体" w:hAnsi="宋体" w:eastAsia="宋体" w:cs="宋体"/>
                <w:color w:val="auto"/>
                <w:sz w:val="24"/>
                <w:highlight w:val="none"/>
                <w:u w:val="single"/>
              </w:rPr>
              <w:t>文件正本的扫描件或其他不可修改格式，如PDF格式，电子文档与纸质版</w:t>
            </w:r>
            <w:r>
              <w:rPr>
                <w:rFonts w:hint="eastAsia" w:ascii="宋体" w:hAnsi="宋体" w:eastAsia="宋体" w:cs="宋体"/>
                <w:color w:val="auto"/>
                <w:sz w:val="24"/>
                <w:highlight w:val="none"/>
                <w:u w:val="single"/>
                <w:lang w:eastAsia="zh-CN"/>
              </w:rPr>
              <w:t>响应</w:t>
            </w:r>
            <w:r>
              <w:rPr>
                <w:rFonts w:hint="eastAsia" w:ascii="宋体" w:hAnsi="宋体" w:eastAsia="宋体" w:cs="宋体"/>
                <w:color w:val="auto"/>
                <w:sz w:val="24"/>
                <w:highlight w:val="none"/>
                <w:u w:val="single"/>
              </w:rPr>
              <w:t>文件正本内容必须完全一致，包括盖章和签字，并与书面</w:t>
            </w:r>
            <w:r>
              <w:rPr>
                <w:rFonts w:hint="eastAsia" w:ascii="宋体" w:hAnsi="宋体" w:eastAsia="宋体" w:cs="宋体"/>
                <w:color w:val="auto"/>
                <w:sz w:val="24"/>
                <w:highlight w:val="none"/>
                <w:u w:val="single"/>
                <w:lang w:eastAsia="zh-CN"/>
              </w:rPr>
              <w:t>响应</w:t>
            </w:r>
            <w:r>
              <w:rPr>
                <w:rFonts w:hint="eastAsia" w:ascii="宋体" w:hAnsi="宋体" w:eastAsia="宋体" w:cs="宋体"/>
                <w:color w:val="auto"/>
                <w:sz w:val="24"/>
                <w:highlight w:val="none"/>
                <w:u w:val="single"/>
              </w:rPr>
              <w:t>文件一并提交</w:t>
            </w:r>
            <w:r>
              <w:rPr>
                <w:rFonts w:hint="eastAsia" w:ascii="宋体" w:hAnsi="宋体" w:eastAsia="宋体" w:cs="宋体"/>
                <w:color w:val="auto"/>
                <w:sz w:val="24"/>
                <w:highlight w:val="none"/>
                <w:u w:val="single"/>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214" w:type="dxa"/>
            <w:vAlign w:val="center"/>
          </w:tcPr>
          <w:p>
            <w:pPr>
              <w:pStyle w:val="16"/>
              <w:keepNext w:val="0"/>
              <w:keepLines w:val="0"/>
              <w:pageBreakBefore w:val="0"/>
              <w:widowControl/>
              <w:kinsoku/>
              <w:wordWrap/>
              <w:overflowPunct/>
              <w:topLinePunct w:val="0"/>
              <w:autoSpaceDE/>
              <w:autoSpaceDN/>
              <w:bidi w:val="0"/>
              <w:adjustRightInd/>
              <w:snapToGrid/>
              <w:spacing w:beforeAutospacing="0" w:afterAutospacing="0" w:line="360" w:lineRule="auto"/>
              <w:jc w:val="center"/>
              <w:textAlignment w:val="auto"/>
              <w:rPr>
                <w:rFonts w:hint="eastAsia" w:ascii="宋体" w:hAnsi="宋体" w:eastAsia="宋体" w:cs="宋体"/>
                <w:color w:val="auto"/>
                <w:highlight w:val="none"/>
              </w:rPr>
            </w:pPr>
            <w:r>
              <w:rPr>
                <w:rFonts w:hint="eastAsia" w:ascii="宋体" w:hAnsi="宋体" w:eastAsia="宋体" w:cs="宋体"/>
                <w:color w:val="auto"/>
                <w:highlight w:val="none"/>
              </w:rPr>
              <w:t>3.7.6</w:t>
            </w:r>
          </w:p>
        </w:tc>
        <w:tc>
          <w:tcPr>
            <w:tcW w:w="3183" w:type="dxa"/>
            <w:vAlign w:val="center"/>
          </w:tcPr>
          <w:p>
            <w:pPr>
              <w:pStyle w:val="16"/>
              <w:keepNext w:val="0"/>
              <w:keepLines w:val="0"/>
              <w:pageBreakBefore w:val="0"/>
              <w:widowControl/>
              <w:kinsoku/>
              <w:wordWrap/>
              <w:overflowPunct/>
              <w:topLinePunct w:val="0"/>
              <w:autoSpaceDE/>
              <w:autoSpaceDN/>
              <w:bidi w:val="0"/>
              <w:adjustRightInd/>
              <w:snapToGrid/>
              <w:spacing w:beforeAutospacing="0" w:afterAutospacing="0" w:line="360" w:lineRule="auto"/>
              <w:jc w:val="center"/>
              <w:textAlignment w:val="auto"/>
              <w:rPr>
                <w:rFonts w:hint="eastAsia" w:ascii="宋体" w:hAnsi="宋体" w:eastAsia="宋体" w:cs="宋体"/>
                <w:color w:val="auto"/>
                <w:highlight w:val="none"/>
              </w:rPr>
            </w:pPr>
            <w:r>
              <w:rPr>
                <w:rFonts w:hint="eastAsia" w:ascii="宋体" w:hAnsi="宋体" w:eastAsia="宋体" w:cs="宋体"/>
                <w:color w:val="auto"/>
                <w:highlight w:val="none"/>
              </w:rPr>
              <w:t>分册装订要求</w:t>
            </w:r>
          </w:p>
        </w:tc>
        <w:tc>
          <w:tcPr>
            <w:tcW w:w="6101" w:type="dxa"/>
            <w:vAlign w:val="center"/>
          </w:tcPr>
          <w:p>
            <w:pPr>
              <w:pStyle w:val="16"/>
              <w:keepNext w:val="0"/>
              <w:keepLines w:val="0"/>
              <w:pageBreakBefore w:val="0"/>
              <w:widowControl/>
              <w:kinsoku/>
              <w:wordWrap/>
              <w:overflowPunct/>
              <w:topLinePunct w:val="0"/>
              <w:autoSpaceDE/>
              <w:autoSpaceDN/>
              <w:bidi w:val="0"/>
              <w:adjustRightInd/>
              <w:snapToGrid/>
              <w:spacing w:beforeAutospacing="0" w:afterAutospacing="0" w:line="360" w:lineRule="auto"/>
              <w:jc w:val="both"/>
              <w:textAlignment w:val="auto"/>
              <w:rPr>
                <w:rFonts w:hint="eastAsia" w:ascii="宋体" w:hAnsi="宋体" w:eastAsia="宋体" w:cs="宋体"/>
                <w:color w:val="auto"/>
                <w:highlight w:val="none"/>
              </w:rPr>
            </w:pPr>
            <w:r>
              <w:rPr>
                <w:rFonts w:hint="eastAsia" w:ascii="宋体" w:hAnsi="宋体" w:eastAsia="宋体" w:cs="宋体"/>
                <w:color w:val="auto"/>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5" w:hRule="atLeast"/>
          <w:jc w:val="center"/>
        </w:trPr>
        <w:tc>
          <w:tcPr>
            <w:tcW w:w="1214" w:type="dxa"/>
            <w:vAlign w:val="center"/>
          </w:tcPr>
          <w:p>
            <w:pPr>
              <w:pStyle w:val="16"/>
              <w:keepNext w:val="0"/>
              <w:keepLines w:val="0"/>
              <w:pageBreakBefore w:val="0"/>
              <w:widowControl/>
              <w:kinsoku/>
              <w:wordWrap/>
              <w:overflowPunct/>
              <w:topLinePunct w:val="0"/>
              <w:autoSpaceDE/>
              <w:autoSpaceDN/>
              <w:bidi w:val="0"/>
              <w:adjustRightInd/>
              <w:snapToGrid/>
              <w:spacing w:beforeAutospacing="0" w:afterAutospacing="0" w:line="360" w:lineRule="auto"/>
              <w:jc w:val="center"/>
              <w:textAlignment w:val="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3.7.7</w:t>
            </w:r>
          </w:p>
        </w:tc>
        <w:tc>
          <w:tcPr>
            <w:tcW w:w="3183" w:type="dxa"/>
            <w:vAlign w:val="center"/>
          </w:tcPr>
          <w:p>
            <w:pPr>
              <w:pStyle w:val="16"/>
              <w:keepNext w:val="0"/>
              <w:keepLines w:val="0"/>
              <w:pageBreakBefore w:val="0"/>
              <w:widowControl/>
              <w:kinsoku/>
              <w:wordWrap/>
              <w:overflowPunct/>
              <w:topLinePunct w:val="0"/>
              <w:autoSpaceDE/>
              <w:autoSpaceDN/>
              <w:bidi w:val="0"/>
              <w:adjustRightInd/>
              <w:snapToGrid/>
              <w:spacing w:beforeAutospacing="0" w:afterAutospacing="0" w:line="360" w:lineRule="auto"/>
              <w:jc w:val="center"/>
              <w:textAlignment w:val="auto"/>
              <w:rPr>
                <w:rFonts w:hint="eastAsia" w:ascii="宋体" w:hAnsi="宋体" w:eastAsia="宋体" w:cs="宋体"/>
                <w:color w:val="auto"/>
                <w:highlight w:val="none"/>
              </w:rPr>
            </w:pPr>
            <w:r>
              <w:rPr>
                <w:rFonts w:hint="eastAsia" w:ascii="宋体" w:hAnsi="宋体" w:eastAsia="宋体" w:cs="宋体"/>
                <w:color w:val="auto"/>
                <w:sz w:val="24"/>
                <w:highlight w:val="none"/>
              </w:rPr>
              <w:t>响应文件密封</w:t>
            </w:r>
          </w:p>
        </w:tc>
        <w:tc>
          <w:tcPr>
            <w:tcW w:w="6101" w:type="dxa"/>
            <w:vAlign w:val="center"/>
          </w:tcPr>
          <w:p>
            <w:pPr>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sym w:font="Wingdings 2" w:char="00A3"/>
            </w:r>
            <w:r>
              <w:rPr>
                <w:rFonts w:hint="eastAsia" w:ascii="宋体" w:hAnsi="宋体" w:eastAsia="宋体" w:cs="宋体"/>
                <w:color w:val="auto"/>
                <w:sz w:val="24"/>
                <w:highlight w:val="none"/>
              </w:rPr>
              <w:t>不需要密封</w:t>
            </w:r>
          </w:p>
          <w:p>
            <w:pPr>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4"/>
                <w:highlight w:val="none"/>
              </w:rPr>
            </w:pPr>
            <w:r>
              <w:rPr>
                <w:rFonts w:hint="eastAsia" w:ascii="宋体" w:hAnsi="宋体" w:eastAsia="宋体" w:cs="宋体"/>
                <w:color w:val="auto"/>
                <w:highlight w:val="none"/>
              </w:rPr>
              <w:sym w:font="Wingdings" w:char="00FE"/>
            </w:r>
            <w:r>
              <w:rPr>
                <w:rFonts w:hint="eastAsia" w:ascii="宋体" w:hAnsi="宋体" w:eastAsia="宋体" w:cs="宋体"/>
                <w:color w:val="auto"/>
                <w:sz w:val="24"/>
                <w:highlight w:val="none"/>
              </w:rPr>
              <w:t>需要密封，</w:t>
            </w:r>
          </w:p>
          <w:p>
            <w:pPr>
              <w:pStyle w:val="16"/>
              <w:keepNext w:val="0"/>
              <w:keepLines w:val="0"/>
              <w:pageBreakBefore w:val="0"/>
              <w:widowControl/>
              <w:kinsoku/>
              <w:wordWrap/>
              <w:overflowPunct/>
              <w:topLinePunct w:val="0"/>
              <w:autoSpaceDE/>
              <w:autoSpaceDN/>
              <w:bidi w:val="0"/>
              <w:adjustRightInd/>
              <w:snapToGrid/>
              <w:spacing w:beforeAutospacing="0" w:afterAutospacing="0" w:line="360" w:lineRule="auto"/>
              <w:jc w:val="both"/>
              <w:textAlignment w:val="auto"/>
              <w:rPr>
                <w:rFonts w:hint="eastAsia" w:ascii="宋体" w:hAnsi="宋体" w:eastAsia="宋体" w:cs="宋体"/>
                <w:color w:val="auto"/>
                <w:highlight w:val="none"/>
              </w:rPr>
            </w:pPr>
            <w:r>
              <w:rPr>
                <w:rFonts w:hint="eastAsia" w:ascii="宋体" w:hAnsi="宋体" w:eastAsia="宋体" w:cs="宋体"/>
                <w:color w:val="auto"/>
                <w:sz w:val="24"/>
                <w:highlight w:val="none"/>
              </w:rPr>
              <w:t>密封要求∶</w:t>
            </w:r>
            <w:r>
              <w:rPr>
                <w:rFonts w:hint="eastAsia" w:ascii="宋体" w:hAnsi="宋体" w:eastAsia="宋体" w:cs="宋体"/>
                <w:color w:val="auto"/>
                <w:sz w:val="24"/>
                <w:highlight w:val="none"/>
                <w:u w:val="single"/>
                <w:lang w:eastAsia="zh-CN"/>
              </w:rPr>
              <w:t>询比</w:t>
            </w:r>
            <w:r>
              <w:rPr>
                <w:rFonts w:hint="eastAsia" w:ascii="宋体" w:hAnsi="宋体" w:eastAsia="宋体" w:cs="宋体"/>
                <w:color w:val="auto"/>
                <w:sz w:val="24"/>
                <w:highlight w:val="none"/>
                <w:u w:val="single"/>
              </w:rPr>
              <w:t>响应文件的正本、副本须分别装封于不同的密封袋中，加贴密封条，并在封套的封口处加盖</w:t>
            </w:r>
            <w:r>
              <w:rPr>
                <w:rFonts w:hint="eastAsia" w:ascii="宋体" w:hAnsi="宋体" w:eastAsia="宋体" w:cs="宋体"/>
                <w:color w:val="auto"/>
                <w:sz w:val="24"/>
                <w:highlight w:val="none"/>
                <w:u w:val="single"/>
                <w:lang w:eastAsia="zh-CN"/>
              </w:rPr>
              <w:t>询比</w:t>
            </w:r>
            <w:r>
              <w:rPr>
                <w:rFonts w:hint="eastAsia" w:ascii="宋体" w:hAnsi="宋体" w:eastAsia="宋体" w:cs="宋体"/>
                <w:color w:val="auto"/>
                <w:sz w:val="24"/>
                <w:highlight w:val="none"/>
                <w:u w:val="single"/>
              </w:rPr>
              <w:t>投标人公章及法定代表人章。</w:t>
            </w:r>
            <w:r>
              <w:rPr>
                <w:rFonts w:hint="eastAsia" w:ascii="宋体" w:hAnsi="宋体" w:eastAsia="宋体" w:cs="宋体"/>
                <w:color w:val="auto"/>
                <w:sz w:val="24"/>
                <w:highlight w:val="none"/>
                <w:u w:val="single"/>
                <w:lang w:eastAsia="zh-CN"/>
              </w:rPr>
              <w:t>询比</w:t>
            </w:r>
            <w:r>
              <w:rPr>
                <w:rFonts w:hint="eastAsia" w:ascii="宋体" w:hAnsi="宋体" w:eastAsia="宋体" w:cs="宋体"/>
                <w:color w:val="auto"/>
                <w:sz w:val="24"/>
                <w:highlight w:val="none"/>
                <w:u w:val="single"/>
              </w:rPr>
              <w:t>响应文件的封套上应清楚的标记“正本”、“副本”字样，否则</w:t>
            </w:r>
            <w:r>
              <w:rPr>
                <w:rFonts w:hint="eastAsia" w:ascii="宋体" w:hAnsi="宋体" w:eastAsia="宋体" w:cs="宋体"/>
                <w:color w:val="auto"/>
                <w:sz w:val="24"/>
                <w:highlight w:val="none"/>
                <w:u w:val="single"/>
                <w:lang w:eastAsia="zh-CN"/>
              </w:rPr>
              <w:t>询比</w:t>
            </w:r>
            <w:r>
              <w:rPr>
                <w:rFonts w:hint="eastAsia" w:ascii="宋体" w:hAnsi="宋体" w:eastAsia="宋体" w:cs="宋体"/>
                <w:color w:val="auto"/>
                <w:sz w:val="24"/>
                <w:highlight w:val="none"/>
                <w:u w:val="single"/>
              </w:rPr>
              <w:t>响应文件不予接收。单独密封“响应函”、“退还</w:t>
            </w:r>
            <w:r>
              <w:rPr>
                <w:rFonts w:hint="eastAsia" w:ascii="宋体" w:hAnsi="宋体" w:eastAsia="宋体" w:cs="宋体"/>
                <w:color w:val="auto"/>
                <w:sz w:val="24"/>
                <w:highlight w:val="none"/>
                <w:u w:val="single"/>
                <w:lang w:eastAsia="zh-CN"/>
              </w:rPr>
              <w:t>询比</w:t>
            </w:r>
            <w:r>
              <w:rPr>
                <w:rFonts w:hint="eastAsia" w:ascii="宋体" w:hAnsi="宋体" w:eastAsia="宋体" w:cs="宋体"/>
                <w:color w:val="auto"/>
                <w:sz w:val="24"/>
                <w:highlight w:val="none"/>
                <w:u w:val="single"/>
              </w:rPr>
              <w:t>保证金说明”、“</w:t>
            </w:r>
            <w:r>
              <w:rPr>
                <w:rFonts w:hint="eastAsia" w:ascii="宋体" w:hAnsi="宋体" w:eastAsia="宋体" w:cs="宋体"/>
                <w:color w:val="auto"/>
                <w:sz w:val="24"/>
                <w:highlight w:val="none"/>
                <w:u w:val="single"/>
                <w:lang w:eastAsia="zh-CN"/>
              </w:rPr>
              <w:t>询比</w:t>
            </w:r>
            <w:r>
              <w:rPr>
                <w:rFonts w:hint="eastAsia" w:ascii="宋体" w:hAnsi="宋体" w:eastAsia="宋体" w:cs="宋体"/>
                <w:color w:val="auto"/>
                <w:sz w:val="24"/>
                <w:highlight w:val="none"/>
                <w:u w:val="single"/>
              </w:rPr>
              <w:t>响应文件电子版”，须分别装封于不同的密封袋中并加贴封条，并在封套封口处加盖</w:t>
            </w:r>
            <w:r>
              <w:rPr>
                <w:rFonts w:hint="eastAsia" w:ascii="宋体" w:hAnsi="宋体" w:eastAsia="宋体" w:cs="宋体"/>
                <w:color w:val="auto"/>
                <w:sz w:val="24"/>
                <w:highlight w:val="none"/>
                <w:u w:val="single"/>
                <w:lang w:eastAsia="zh-CN"/>
              </w:rPr>
              <w:t>询比</w:t>
            </w:r>
            <w:r>
              <w:rPr>
                <w:rFonts w:hint="eastAsia" w:ascii="宋体" w:hAnsi="宋体" w:eastAsia="宋体" w:cs="宋体"/>
                <w:color w:val="auto"/>
                <w:sz w:val="24"/>
                <w:highlight w:val="none"/>
                <w:u w:val="single"/>
              </w:rPr>
              <w:t>投标人公章及法定代表人章，在封套上标记“响应函”、“退还</w:t>
            </w:r>
            <w:r>
              <w:rPr>
                <w:rFonts w:hint="eastAsia" w:ascii="宋体" w:hAnsi="宋体" w:eastAsia="宋体" w:cs="宋体"/>
                <w:color w:val="auto"/>
                <w:sz w:val="24"/>
                <w:highlight w:val="none"/>
                <w:u w:val="single"/>
                <w:lang w:eastAsia="zh-CN"/>
              </w:rPr>
              <w:t>询比</w:t>
            </w:r>
            <w:r>
              <w:rPr>
                <w:rFonts w:hint="eastAsia" w:ascii="宋体" w:hAnsi="宋体" w:eastAsia="宋体" w:cs="宋体"/>
                <w:color w:val="auto"/>
                <w:sz w:val="24"/>
                <w:highlight w:val="none"/>
                <w:u w:val="single"/>
              </w:rPr>
              <w:t>保证金说明”、“</w:t>
            </w:r>
            <w:r>
              <w:rPr>
                <w:rFonts w:hint="eastAsia" w:ascii="宋体" w:hAnsi="宋体" w:eastAsia="宋体" w:cs="宋体"/>
                <w:color w:val="auto"/>
                <w:sz w:val="24"/>
                <w:highlight w:val="none"/>
                <w:u w:val="single"/>
                <w:lang w:eastAsia="zh-CN"/>
              </w:rPr>
              <w:t>询比</w:t>
            </w:r>
            <w:r>
              <w:rPr>
                <w:rFonts w:hint="eastAsia" w:ascii="宋体" w:hAnsi="宋体" w:eastAsia="宋体" w:cs="宋体"/>
                <w:color w:val="auto"/>
                <w:sz w:val="24"/>
                <w:highlight w:val="none"/>
                <w:u w:val="single"/>
              </w:rPr>
              <w:t>响应文件电子版”字样，否则</w:t>
            </w:r>
            <w:r>
              <w:rPr>
                <w:rFonts w:hint="eastAsia" w:ascii="宋体" w:hAnsi="宋体" w:eastAsia="宋体" w:cs="宋体"/>
                <w:color w:val="auto"/>
                <w:sz w:val="24"/>
                <w:highlight w:val="none"/>
                <w:u w:val="single"/>
                <w:lang w:eastAsia="zh-CN"/>
              </w:rPr>
              <w:t>询比</w:t>
            </w:r>
            <w:r>
              <w:rPr>
                <w:rFonts w:hint="eastAsia" w:ascii="宋体" w:hAnsi="宋体" w:eastAsia="宋体" w:cs="宋体"/>
                <w:color w:val="auto"/>
                <w:sz w:val="24"/>
                <w:highlight w:val="none"/>
                <w:u w:val="single"/>
              </w:rPr>
              <w:t>响应文件不予接收。</w:t>
            </w:r>
          </w:p>
        </w:tc>
      </w:tr>
    </w:tbl>
    <w:p>
      <w:pPr>
        <w:pageBreakBefore w:val="0"/>
        <w:kinsoku/>
        <w:overflowPunct/>
        <w:topLinePunct w:val="0"/>
        <w:bidi w:val="0"/>
        <w:snapToGrid/>
        <w:spacing w:line="360" w:lineRule="auto"/>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续表</w:t>
      </w:r>
    </w:p>
    <w:tbl>
      <w:tblPr>
        <w:tblStyle w:val="20"/>
        <w:tblW w:w="1049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82"/>
        <w:gridCol w:w="3064"/>
        <w:gridCol w:w="625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3" w:hRule="atLeast"/>
          <w:jc w:val="center"/>
        </w:trPr>
        <w:tc>
          <w:tcPr>
            <w:tcW w:w="1182" w:type="dxa"/>
            <w:vAlign w:val="center"/>
          </w:tcPr>
          <w:p>
            <w:pPr>
              <w:pStyle w:val="16"/>
              <w:keepNext w:val="0"/>
              <w:keepLines w:val="0"/>
              <w:pageBreakBefore w:val="0"/>
              <w:widowControl/>
              <w:kinsoku/>
              <w:wordWrap/>
              <w:overflowPunct/>
              <w:topLinePunct w:val="0"/>
              <w:autoSpaceDE/>
              <w:autoSpaceDN/>
              <w:bidi w:val="0"/>
              <w:adjustRightInd/>
              <w:snapToGrid/>
              <w:spacing w:beforeAutospacing="0" w:afterAutospacing="0" w:line="360" w:lineRule="auto"/>
              <w:jc w:val="center"/>
              <w:textAlignment w:val="auto"/>
              <w:rPr>
                <w:rFonts w:hint="eastAsia" w:ascii="宋体" w:hAnsi="宋体" w:eastAsia="宋体" w:cs="宋体"/>
                <w:color w:val="auto"/>
                <w:highlight w:val="none"/>
              </w:rPr>
            </w:pPr>
            <w:r>
              <w:rPr>
                <w:rFonts w:hint="eastAsia" w:ascii="宋体" w:hAnsi="宋体" w:eastAsia="宋体" w:cs="宋体"/>
                <w:color w:val="auto"/>
                <w:highlight w:val="none"/>
              </w:rPr>
              <w:t>条款号</w:t>
            </w:r>
          </w:p>
        </w:tc>
        <w:tc>
          <w:tcPr>
            <w:tcW w:w="3064" w:type="dxa"/>
            <w:vAlign w:val="center"/>
          </w:tcPr>
          <w:p>
            <w:pPr>
              <w:pStyle w:val="16"/>
              <w:keepNext w:val="0"/>
              <w:keepLines w:val="0"/>
              <w:pageBreakBefore w:val="0"/>
              <w:widowControl/>
              <w:kinsoku/>
              <w:wordWrap/>
              <w:overflowPunct/>
              <w:topLinePunct w:val="0"/>
              <w:autoSpaceDE/>
              <w:autoSpaceDN/>
              <w:bidi w:val="0"/>
              <w:adjustRightInd/>
              <w:snapToGrid/>
              <w:spacing w:beforeAutospacing="0" w:afterAutospacing="0" w:line="360" w:lineRule="auto"/>
              <w:jc w:val="center"/>
              <w:textAlignment w:val="auto"/>
              <w:rPr>
                <w:rFonts w:hint="eastAsia" w:ascii="宋体" w:hAnsi="宋体" w:eastAsia="宋体" w:cs="宋体"/>
                <w:color w:val="auto"/>
                <w:highlight w:val="none"/>
              </w:rPr>
            </w:pPr>
            <w:r>
              <w:rPr>
                <w:rFonts w:hint="eastAsia" w:ascii="宋体" w:hAnsi="宋体" w:eastAsia="宋体" w:cs="宋体"/>
                <w:color w:val="auto"/>
                <w:highlight w:val="none"/>
              </w:rPr>
              <w:t>条 款 内 容</w:t>
            </w:r>
          </w:p>
        </w:tc>
        <w:tc>
          <w:tcPr>
            <w:tcW w:w="6251" w:type="dxa"/>
            <w:vAlign w:val="center"/>
          </w:tcPr>
          <w:p>
            <w:pPr>
              <w:pStyle w:val="16"/>
              <w:keepNext w:val="0"/>
              <w:keepLines w:val="0"/>
              <w:pageBreakBefore w:val="0"/>
              <w:widowControl/>
              <w:kinsoku/>
              <w:wordWrap/>
              <w:overflowPunct/>
              <w:topLinePunct w:val="0"/>
              <w:autoSpaceDE/>
              <w:autoSpaceDN/>
              <w:bidi w:val="0"/>
              <w:adjustRightInd/>
              <w:snapToGrid/>
              <w:spacing w:beforeAutospacing="0" w:afterAutospacing="0" w:line="360" w:lineRule="auto"/>
              <w:jc w:val="center"/>
              <w:textAlignment w:val="auto"/>
              <w:rPr>
                <w:rFonts w:hint="eastAsia" w:ascii="宋体" w:hAnsi="宋体" w:eastAsia="宋体" w:cs="宋体"/>
                <w:color w:val="auto"/>
                <w:highlight w:val="none"/>
              </w:rPr>
            </w:pPr>
            <w:r>
              <w:rPr>
                <w:rFonts w:hint="eastAsia" w:ascii="宋体" w:hAnsi="宋体" w:eastAsia="宋体" w:cs="宋体"/>
                <w:color w:val="auto"/>
                <w:highlight w:val="none"/>
              </w:rPr>
              <w:t>编 列 内 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03" w:hRule="atLeast"/>
          <w:jc w:val="center"/>
        </w:trPr>
        <w:tc>
          <w:tcPr>
            <w:tcW w:w="1182" w:type="dxa"/>
            <w:vAlign w:val="center"/>
          </w:tcPr>
          <w:p>
            <w:pPr>
              <w:pStyle w:val="16"/>
              <w:keepNext w:val="0"/>
              <w:keepLines w:val="0"/>
              <w:pageBreakBefore w:val="0"/>
              <w:widowControl/>
              <w:kinsoku/>
              <w:wordWrap/>
              <w:overflowPunct/>
              <w:topLinePunct w:val="0"/>
              <w:autoSpaceDE/>
              <w:autoSpaceDN/>
              <w:bidi w:val="0"/>
              <w:adjustRightInd/>
              <w:snapToGrid/>
              <w:spacing w:beforeAutospacing="0" w:afterAutospacing="0" w:line="360" w:lineRule="auto"/>
              <w:jc w:val="center"/>
              <w:textAlignment w:val="auto"/>
              <w:rPr>
                <w:rFonts w:hint="eastAsia" w:ascii="宋体" w:hAnsi="宋体" w:eastAsia="宋体" w:cs="宋体"/>
                <w:color w:val="auto"/>
                <w:highlight w:val="none"/>
              </w:rPr>
            </w:pPr>
            <w:r>
              <w:rPr>
                <w:rFonts w:hint="eastAsia" w:ascii="宋体" w:hAnsi="宋体" w:eastAsia="宋体" w:cs="宋体"/>
                <w:color w:val="auto"/>
                <w:highlight w:val="none"/>
              </w:rPr>
              <w:t>4.1.2</w:t>
            </w:r>
          </w:p>
        </w:tc>
        <w:tc>
          <w:tcPr>
            <w:tcW w:w="3064" w:type="dxa"/>
            <w:vAlign w:val="center"/>
          </w:tcPr>
          <w:p>
            <w:pPr>
              <w:pStyle w:val="16"/>
              <w:keepNext w:val="0"/>
              <w:keepLines w:val="0"/>
              <w:pageBreakBefore w:val="0"/>
              <w:widowControl/>
              <w:kinsoku/>
              <w:wordWrap/>
              <w:overflowPunct/>
              <w:topLinePunct w:val="0"/>
              <w:autoSpaceDE/>
              <w:autoSpaceDN/>
              <w:bidi w:val="0"/>
              <w:adjustRightInd/>
              <w:snapToGrid/>
              <w:spacing w:beforeAutospacing="0" w:afterAutospacing="0" w:line="360" w:lineRule="auto"/>
              <w:jc w:val="center"/>
              <w:textAlignment w:val="auto"/>
              <w:rPr>
                <w:rFonts w:hint="eastAsia" w:ascii="宋体" w:hAnsi="宋体" w:eastAsia="宋体" w:cs="宋体"/>
                <w:color w:val="auto"/>
                <w:highlight w:val="none"/>
              </w:rPr>
            </w:pPr>
            <w:r>
              <w:rPr>
                <w:rFonts w:hint="eastAsia" w:ascii="宋体" w:hAnsi="宋体" w:eastAsia="宋体" w:cs="宋体"/>
                <w:color w:val="auto"/>
                <w:highlight w:val="none"/>
              </w:rPr>
              <w:t>封套上应载明的信息</w:t>
            </w:r>
          </w:p>
        </w:tc>
        <w:tc>
          <w:tcPr>
            <w:tcW w:w="6251" w:type="dxa"/>
            <w:vAlign w:val="center"/>
          </w:tcPr>
          <w:p>
            <w:pPr>
              <w:pStyle w:val="16"/>
              <w:keepNext w:val="0"/>
              <w:keepLines w:val="0"/>
              <w:pageBreakBefore w:val="0"/>
              <w:widowControl/>
              <w:kinsoku/>
              <w:wordWrap/>
              <w:overflowPunct/>
              <w:topLinePunct w:val="0"/>
              <w:autoSpaceDE/>
              <w:autoSpaceDN/>
              <w:bidi w:val="0"/>
              <w:adjustRightInd/>
              <w:snapToGrid/>
              <w:spacing w:beforeAutospacing="0" w:afterAutospacing="0" w:line="360" w:lineRule="auto"/>
              <w:textAlignment w:val="auto"/>
              <w:rPr>
                <w:rFonts w:hint="eastAsia" w:ascii="宋体" w:hAnsi="宋体" w:eastAsia="宋体" w:cs="宋体"/>
                <w:color w:val="auto"/>
                <w:highlight w:val="none"/>
                <w:u w:val="single"/>
              </w:rPr>
            </w:pPr>
            <w:r>
              <w:rPr>
                <w:rFonts w:hint="eastAsia" w:ascii="宋体" w:hAnsi="宋体" w:eastAsia="宋体" w:cs="宋体"/>
                <w:color w:val="auto"/>
                <w:highlight w:val="none"/>
                <w:lang w:eastAsia="zh-CN"/>
              </w:rPr>
              <w:t>询比响应人</w:t>
            </w:r>
            <w:r>
              <w:rPr>
                <w:rFonts w:hint="eastAsia" w:ascii="宋体" w:hAnsi="宋体" w:eastAsia="宋体" w:cs="宋体"/>
                <w:color w:val="auto"/>
                <w:highlight w:val="none"/>
              </w:rPr>
              <w:t>名称∶</w:t>
            </w:r>
            <w:r>
              <w:rPr>
                <w:rFonts w:hint="eastAsia" w:ascii="宋体" w:hAnsi="宋体" w:eastAsia="宋体" w:cs="宋体"/>
                <w:color w:val="auto"/>
                <w:highlight w:val="none"/>
                <w:u w:val="single"/>
              </w:rPr>
              <w:t xml:space="preserve">                             </w:t>
            </w:r>
          </w:p>
          <w:p>
            <w:pPr>
              <w:pStyle w:val="16"/>
              <w:keepNext w:val="0"/>
              <w:keepLines w:val="0"/>
              <w:pageBreakBefore w:val="0"/>
              <w:widowControl/>
              <w:kinsoku/>
              <w:wordWrap/>
              <w:overflowPunct/>
              <w:topLinePunct w:val="0"/>
              <w:autoSpaceDE/>
              <w:autoSpaceDN/>
              <w:bidi w:val="0"/>
              <w:adjustRightInd/>
              <w:snapToGrid/>
              <w:spacing w:beforeAutospacing="0" w:afterAutospacing="0" w:line="360" w:lineRule="auto"/>
              <w:textAlignment w:val="auto"/>
              <w:rPr>
                <w:rFonts w:hint="eastAsia" w:ascii="宋体" w:hAnsi="宋体" w:eastAsia="宋体" w:cs="宋体"/>
                <w:color w:val="auto"/>
                <w:highlight w:val="none"/>
              </w:rPr>
            </w:pPr>
            <w:r>
              <w:rPr>
                <w:rFonts w:hint="eastAsia" w:ascii="宋体" w:hAnsi="宋体" w:eastAsia="宋体" w:cs="宋体"/>
                <w:color w:val="auto"/>
                <w:highlight w:val="none"/>
                <w:u w:val="single"/>
              </w:rPr>
              <w:t xml:space="preserve">                    （项目名称）</w:t>
            </w:r>
            <w:r>
              <w:rPr>
                <w:rFonts w:hint="eastAsia" w:ascii="宋体" w:hAnsi="宋体" w:eastAsia="宋体" w:cs="宋体"/>
                <w:color w:val="auto"/>
                <w:highlight w:val="none"/>
              </w:rPr>
              <w:t>响应文件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79" w:hRule="atLeast"/>
          <w:jc w:val="center"/>
        </w:trPr>
        <w:tc>
          <w:tcPr>
            <w:tcW w:w="1182" w:type="dxa"/>
            <w:vAlign w:val="center"/>
          </w:tcPr>
          <w:p>
            <w:pPr>
              <w:pStyle w:val="16"/>
              <w:keepNext w:val="0"/>
              <w:keepLines w:val="0"/>
              <w:pageBreakBefore w:val="0"/>
              <w:widowControl/>
              <w:kinsoku/>
              <w:wordWrap/>
              <w:overflowPunct/>
              <w:topLinePunct w:val="0"/>
              <w:autoSpaceDE/>
              <w:autoSpaceDN/>
              <w:bidi w:val="0"/>
              <w:adjustRightInd/>
              <w:snapToGrid/>
              <w:spacing w:beforeAutospacing="0" w:afterAutospacing="0" w:line="360" w:lineRule="auto"/>
              <w:jc w:val="center"/>
              <w:textAlignment w:val="auto"/>
              <w:rPr>
                <w:rFonts w:hint="eastAsia" w:ascii="宋体" w:hAnsi="宋体" w:eastAsia="宋体" w:cs="宋体"/>
                <w:color w:val="auto"/>
                <w:highlight w:val="none"/>
              </w:rPr>
            </w:pPr>
            <w:r>
              <w:rPr>
                <w:rFonts w:hint="eastAsia" w:ascii="宋体" w:hAnsi="宋体" w:eastAsia="宋体" w:cs="宋体"/>
                <w:color w:val="auto"/>
                <w:highlight w:val="none"/>
              </w:rPr>
              <w:t>4.2.1</w:t>
            </w:r>
          </w:p>
        </w:tc>
        <w:tc>
          <w:tcPr>
            <w:tcW w:w="3064" w:type="dxa"/>
            <w:vAlign w:val="center"/>
          </w:tcPr>
          <w:p>
            <w:pPr>
              <w:pStyle w:val="16"/>
              <w:keepNext w:val="0"/>
              <w:keepLines w:val="0"/>
              <w:pageBreakBefore w:val="0"/>
              <w:widowControl/>
              <w:kinsoku/>
              <w:wordWrap/>
              <w:overflowPunct/>
              <w:topLinePunct w:val="0"/>
              <w:autoSpaceDE/>
              <w:autoSpaceDN/>
              <w:bidi w:val="0"/>
              <w:adjustRightInd/>
              <w:snapToGrid/>
              <w:spacing w:beforeAutospacing="0" w:afterAutospacing="0" w:line="360" w:lineRule="auto"/>
              <w:jc w:val="center"/>
              <w:textAlignment w:val="auto"/>
              <w:rPr>
                <w:rFonts w:hint="eastAsia" w:ascii="宋体" w:hAnsi="宋体" w:eastAsia="宋体" w:cs="宋体"/>
                <w:color w:val="auto"/>
                <w:highlight w:val="none"/>
              </w:rPr>
            </w:pPr>
            <w:r>
              <w:rPr>
                <w:rFonts w:hint="eastAsia" w:ascii="宋体" w:hAnsi="宋体" w:eastAsia="宋体" w:cs="宋体"/>
                <w:color w:val="auto"/>
                <w:highlight w:val="none"/>
              </w:rPr>
              <w:t>递交响应文件截止时间和地点</w:t>
            </w:r>
          </w:p>
        </w:tc>
        <w:tc>
          <w:tcPr>
            <w:tcW w:w="6251" w:type="dxa"/>
            <w:vAlign w:val="center"/>
          </w:tcPr>
          <w:p>
            <w:pPr>
              <w:pStyle w:val="16"/>
              <w:keepNext w:val="0"/>
              <w:keepLines w:val="0"/>
              <w:pageBreakBefore w:val="0"/>
              <w:widowControl/>
              <w:kinsoku/>
              <w:wordWrap/>
              <w:overflowPunct/>
              <w:topLinePunct w:val="0"/>
              <w:autoSpaceDE/>
              <w:autoSpaceDN/>
              <w:bidi w:val="0"/>
              <w:adjustRightInd/>
              <w:snapToGrid/>
              <w:spacing w:beforeAutospacing="0" w:afterAutospacing="0" w:line="360" w:lineRule="auto"/>
              <w:textAlignment w:val="auto"/>
              <w:rPr>
                <w:rFonts w:hint="eastAsia" w:ascii="宋体" w:hAnsi="宋体" w:eastAsia="宋体" w:cs="宋体"/>
                <w:color w:val="auto"/>
                <w:highlight w:val="none"/>
                <w:u w:val="single"/>
              </w:rPr>
            </w:pPr>
            <w:r>
              <w:rPr>
                <w:rFonts w:hint="eastAsia" w:ascii="宋体" w:hAnsi="宋体" w:eastAsia="宋体" w:cs="宋体"/>
                <w:color w:val="auto"/>
                <w:highlight w:val="none"/>
              </w:rPr>
              <w:t>截止时间∶</w:t>
            </w:r>
            <w:r>
              <w:rPr>
                <w:rFonts w:hint="eastAsia" w:ascii="宋体" w:hAnsi="宋体" w:eastAsia="宋体" w:cs="宋体"/>
                <w:color w:val="auto"/>
                <w:highlight w:val="none"/>
                <w:u w:val="single"/>
              </w:rPr>
              <w:t xml:space="preserve">  </w:t>
            </w:r>
            <w:r>
              <w:rPr>
                <w:rStyle w:val="40"/>
                <w:rFonts w:hint="eastAsia" w:ascii="宋体" w:hAnsi="宋体" w:eastAsia="宋体" w:cs="宋体"/>
                <w:color w:val="auto"/>
                <w:highlight w:val="none"/>
                <w:u w:val="single"/>
                <w:lang w:eastAsia="zh-CN"/>
              </w:rPr>
              <w:t>2022年</w:t>
            </w:r>
            <w:r>
              <w:rPr>
                <w:rStyle w:val="40"/>
                <w:rFonts w:hint="eastAsia" w:ascii="宋体" w:hAnsi="宋体" w:eastAsia="宋体" w:cs="宋体"/>
                <w:color w:val="auto"/>
                <w:highlight w:val="none"/>
                <w:u w:val="single"/>
                <w:lang w:val="en-US" w:eastAsia="zh-CN"/>
              </w:rPr>
              <w:t>07</w:t>
            </w:r>
            <w:r>
              <w:rPr>
                <w:rStyle w:val="40"/>
                <w:rFonts w:hint="eastAsia" w:ascii="宋体" w:hAnsi="宋体" w:eastAsia="宋体" w:cs="宋体"/>
                <w:color w:val="auto"/>
                <w:highlight w:val="none"/>
                <w:u w:val="single"/>
                <w:lang w:eastAsia="zh-CN"/>
              </w:rPr>
              <w:t>月</w:t>
            </w:r>
            <w:r>
              <w:rPr>
                <w:rStyle w:val="40"/>
                <w:rFonts w:hint="eastAsia" w:ascii="宋体" w:hAnsi="宋体" w:eastAsia="宋体" w:cs="宋体"/>
                <w:color w:val="auto"/>
                <w:highlight w:val="none"/>
                <w:u w:val="single"/>
                <w:lang w:val="en-US" w:eastAsia="zh-CN"/>
              </w:rPr>
              <w:t>29</w:t>
            </w:r>
            <w:r>
              <w:rPr>
                <w:rStyle w:val="40"/>
                <w:rFonts w:hint="eastAsia" w:ascii="宋体" w:hAnsi="宋体" w:eastAsia="宋体" w:cs="宋体"/>
                <w:color w:val="auto"/>
                <w:highlight w:val="none"/>
                <w:u w:val="single"/>
                <w:lang w:eastAsia="zh-CN"/>
              </w:rPr>
              <w:t>日上午09时30分（北京时间）</w:t>
            </w:r>
          </w:p>
          <w:p>
            <w:pPr>
              <w:pStyle w:val="16"/>
              <w:keepNext w:val="0"/>
              <w:keepLines w:val="0"/>
              <w:pageBreakBefore w:val="0"/>
              <w:widowControl/>
              <w:kinsoku/>
              <w:wordWrap/>
              <w:overflowPunct/>
              <w:topLinePunct w:val="0"/>
              <w:autoSpaceDE/>
              <w:autoSpaceDN/>
              <w:bidi w:val="0"/>
              <w:adjustRightInd/>
              <w:snapToGrid/>
              <w:spacing w:beforeAutospacing="0" w:afterAutospacing="0" w:line="360" w:lineRule="auto"/>
              <w:textAlignment w:val="auto"/>
              <w:rPr>
                <w:rFonts w:hint="eastAsia" w:ascii="宋体" w:hAnsi="宋体" w:eastAsia="宋体" w:cs="宋体"/>
                <w:color w:val="auto"/>
                <w:highlight w:val="none"/>
                <w:u w:val="single"/>
              </w:rPr>
            </w:pPr>
            <w:r>
              <w:rPr>
                <w:rFonts w:hint="eastAsia" w:ascii="宋体" w:hAnsi="宋体" w:eastAsia="宋体" w:cs="宋体"/>
                <w:color w:val="auto"/>
                <w:highlight w:val="none"/>
              </w:rPr>
              <w:t>递交响应文件的地点∶</w:t>
            </w:r>
            <w:r>
              <w:rPr>
                <w:rFonts w:hint="eastAsia" w:ascii="宋体" w:hAnsi="宋体" w:eastAsia="宋体" w:cs="宋体"/>
                <w:color w:val="auto"/>
                <w:highlight w:val="none"/>
                <w:u w:val="single"/>
              </w:rPr>
              <w:t>青海省西宁市西川南路76号万达中心1号写字楼6楼10605室</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182" w:type="dxa"/>
            <w:vAlign w:val="center"/>
          </w:tcPr>
          <w:p>
            <w:pPr>
              <w:pStyle w:val="16"/>
              <w:keepNext w:val="0"/>
              <w:keepLines w:val="0"/>
              <w:pageBreakBefore w:val="0"/>
              <w:widowControl/>
              <w:kinsoku/>
              <w:wordWrap/>
              <w:overflowPunct/>
              <w:topLinePunct w:val="0"/>
              <w:autoSpaceDE/>
              <w:autoSpaceDN/>
              <w:bidi w:val="0"/>
              <w:adjustRightInd/>
              <w:snapToGrid/>
              <w:spacing w:beforeAutospacing="0" w:afterAutospacing="0" w:line="360" w:lineRule="auto"/>
              <w:jc w:val="center"/>
              <w:textAlignment w:val="auto"/>
              <w:rPr>
                <w:rFonts w:hint="eastAsia" w:ascii="宋体" w:hAnsi="宋体" w:eastAsia="宋体" w:cs="宋体"/>
                <w:color w:val="auto"/>
                <w:highlight w:val="none"/>
              </w:rPr>
            </w:pPr>
            <w:r>
              <w:rPr>
                <w:rFonts w:hint="eastAsia" w:ascii="宋体" w:hAnsi="宋体" w:eastAsia="宋体" w:cs="宋体"/>
                <w:color w:val="auto"/>
                <w:highlight w:val="none"/>
              </w:rPr>
              <w:t>4.2.2</w:t>
            </w:r>
          </w:p>
        </w:tc>
        <w:tc>
          <w:tcPr>
            <w:tcW w:w="3064" w:type="dxa"/>
            <w:vAlign w:val="center"/>
          </w:tcPr>
          <w:p>
            <w:pPr>
              <w:pStyle w:val="16"/>
              <w:keepNext w:val="0"/>
              <w:keepLines w:val="0"/>
              <w:pageBreakBefore w:val="0"/>
              <w:widowControl/>
              <w:kinsoku/>
              <w:wordWrap/>
              <w:overflowPunct/>
              <w:topLinePunct w:val="0"/>
              <w:autoSpaceDE/>
              <w:autoSpaceDN/>
              <w:bidi w:val="0"/>
              <w:adjustRightInd/>
              <w:snapToGrid/>
              <w:spacing w:beforeAutospacing="0" w:afterAutospacing="0" w:line="360" w:lineRule="auto"/>
              <w:jc w:val="center"/>
              <w:textAlignment w:val="auto"/>
              <w:rPr>
                <w:rFonts w:hint="eastAsia" w:ascii="宋体" w:hAnsi="宋体" w:eastAsia="宋体" w:cs="宋体"/>
                <w:color w:val="auto"/>
                <w:highlight w:val="none"/>
              </w:rPr>
            </w:pPr>
            <w:r>
              <w:rPr>
                <w:rFonts w:hint="eastAsia" w:ascii="宋体" w:hAnsi="宋体" w:eastAsia="宋体" w:cs="宋体"/>
                <w:color w:val="auto"/>
                <w:highlight w:val="none"/>
              </w:rPr>
              <w:t>是否退还响应文件</w:t>
            </w:r>
          </w:p>
        </w:tc>
        <w:tc>
          <w:tcPr>
            <w:tcW w:w="6251" w:type="dxa"/>
            <w:vAlign w:val="center"/>
          </w:tcPr>
          <w:p>
            <w:pPr>
              <w:pStyle w:val="16"/>
              <w:keepNext w:val="0"/>
              <w:keepLines w:val="0"/>
              <w:pageBreakBefore w:val="0"/>
              <w:widowControl/>
              <w:kinsoku/>
              <w:wordWrap/>
              <w:overflowPunct/>
              <w:topLinePunct w:val="0"/>
              <w:autoSpaceDE/>
              <w:autoSpaceDN/>
              <w:bidi w:val="0"/>
              <w:adjustRightInd/>
              <w:snapToGrid/>
              <w:spacing w:beforeAutospacing="0" w:afterAutospacing="0" w:line="360" w:lineRule="auto"/>
              <w:textAlignment w:val="auto"/>
              <w:rPr>
                <w:rFonts w:hint="eastAsia" w:ascii="宋体" w:hAnsi="宋体" w:eastAsia="宋体" w:cs="宋体"/>
                <w:color w:val="auto"/>
                <w:highlight w:val="none"/>
              </w:rPr>
            </w:pPr>
            <w:r>
              <w:rPr>
                <w:rFonts w:hint="eastAsia" w:ascii="宋体" w:hAnsi="宋体" w:eastAsia="宋体" w:cs="宋体"/>
                <w:color w:val="auto"/>
                <w:highlight w:val="none"/>
              </w:rPr>
              <w:sym w:font="Wingdings 2" w:char="0052"/>
            </w:r>
            <w:r>
              <w:rPr>
                <w:rFonts w:hint="eastAsia" w:ascii="宋体" w:hAnsi="宋体" w:eastAsia="宋体" w:cs="宋体"/>
                <w:color w:val="auto"/>
                <w:highlight w:val="none"/>
              </w:rPr>
              <w:t>否</w:t>
            </w:r>
          </w:p>
          <w:p>
            <w:pPr>
              <w:pStyle w:val="16"/>
              <w:keepNext w:val="0"/>
              <w:keepLines w:val="0"/>
              <w:pageBreakBefore w:val="0"/>
              <w:widowControl/>
              <w:kinsoku/>
              <w:wordWrap/>
              <w:overflowPunct/>
              <w:topLinePunct w:val="0"/>
              <w:autoSpaceDE/>
              <w:autoSpaceDN/>
              <w:bidi w:val="0"/>
              <w:adjustRightInd/>
              <w:snapToGrid/>
              <w:spacing w:beforeAutospacing="0" w:afterAutospacing="0" w:line="360" w:lineRule="auto"/>
              <w:textAlignment w:val="auto"/>
              <w:rPr>
                <w:rFonts w:hint="eastAsia" w:ascii="宋体" w:hAnsi="宋体" w:eastAsia="宋体" w:cs="宋体"/>
                <w:color w:val="auto"/>
                <w:highlight w:val="none"/>
              </w:rPr>
            </w:pPr>
            <w:r>
              <w:rPr>
                <w:rFonts w:hint="eastAsia" w:ascii="宋体" w:hAnsi="宋体" w:eastAsia="宋体" w:cs="宋体"/>
                <w:color w:val="auto"/>
                <w:highlight w:val="none"/>
              </w:rPr>
              <w:sym w:font="Wingdings 2" w:char="00A3"/>
            </w:r>
            <w:r>
              <w:rPr>
                <w:rFonts w:hint="eastAsia" w:ascii="宋体" w:hAnsi="宋体" w:eastAsia="宋体" w:cs="宋体"/>
                <w:color w:val="auto"/>
                <w:highlight w:val="none"/>
              </w:rPr>
              <w:t>是，退还时间∶</w:t>
            </w:r>
            <w:r>
              <w:rPr>
                <w:rFonts w:hint="eastAsia" w:ascii="宋体" w:hAnsi="宋体" w:eastAsia="宋体" w:cs="宋体"/>
                <w:color w:val="auto"/>
                <w:highlight w:val="none"/>
                <w:u w:val="single"/>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2" w:hRule="atLeast"/>
          <w:jc w:val="center"/>
        </w:trPr>
        <w:tc>
          <w:tcPr>
            <w:tcW w:w="1182" w:type="dxa"/>
            <w:vAlign w:val="center"/>
          </w:tcPr>
          <w:p>
            <w:pPr>
              <w:pStyle w:val="16"/>
              <w:keepNext w:val="0"/>
              <w:keepLines w:val="0"/>
              <w:pageBreakBefore w:val="0"/>
              <w:widowControl/>
              <w:kinsoku/>
              <w:wordWrap/>
              <w:overflowPunct/>
              <w:topLinePunct w:val="0"/>
              <w:autoSpaceDE/>
              <w:autoSpaceDN/>
              <w:bidi w:val="0"/>
              <w:adjustRightInd/>
              <w:snapToGrid/>
              <w:spacing w:beforeAutospacing="0" w:afterAutospacing="0" w:line="360" w:lineRule="auto"/>
              <w:jc w:val="center"/>
              <w:textAlignment w:val="auto"/>
              <w:rPr>
                <w:rFonts w:hint="eastAsia" w:ascii="宋体" w:hAnsi="宋体" w:eastAsia="宋体" w:cs="宋体"/>
                <w:color w:val="auto"/>
                <w:highlight w:val="none"/>
              </w:rPr>
            </w:pPr>
            <w:r>
              <w:rPr>
                <w:rFonts w:hint="eastAsia" w:ascii="宋体" w:hAnsi="宋体" w:eastAsia="宋体" w:cs="宋体"/>
                <w:color w:val="auto"/>
                <w:highlight w:val="none"/>
              </w:rPr>
              <w:t>4.3.3</w:t>
            </w:r>
          </w:p>
        </w:tc>
        <w:tc>
          <w:tcPr>
            <w:tcW w:w="3064" w:type="dxa"/>
            <w:vAlign w:val="center"/>
          </w:tcPr>
          <w:p>
            <w:pPr>
              <w:pStyle w:val="16"/>
              <w:keepNext w:val="0"/>
              <w:keepLines w:val="0"/>
              <w:pageBreakBefore w:val="0"/>
              <w:widowControl/>
              <w:kinsoku/>
              <w:wordWrap/>
              <w:overflowPunct/>
              <w:topLinePunct w:val="0"/>
              <w:autoSpaceDE/>
              <w:autoSpaceDN/>
              <w:bidi w:val="0"/>
              <w:adjustRightInd/>
              <w:snapToGrid/>
              <w:spacing w:beforeAutospacing="0" w:afterAutospacing="0" w:line="360" w:lineRule="auto"/>
              <w:jc w:val="center"/>
              <w:textAlignment w:val="auto"/>
              <w:rPr>
                <w:rFonts w:hint="eastAsia" w:ascii="宋体" w:hAnsi="宋体" w:eastAsia="宋体" w:cs="宋体"/>
                <w:color w:val="auto"/>
                <w:highlight w:val="none"/>
              </w:rPr>
            </w:pPr>
            <w:r>
              <w:rPr>
                <w:rFonts w:hint="eastAsia" w:ascii="宋体" w:hAnsi="宋体" w:eastAsia="宋体" w:cs="宋体"/>
                <w:color w:val="auto"/>
                <w:highlight w:val="none"/>
                <w:lang w:eastAsia="zh-CN"/>
              </w:rPr>
              <w:t>询比响应人</w:t>
            </w:r>
            <w:r>
              <w:rPr>
                <w:rFonts w:hint="eastAsia" w:ascii="宋体" w:hAnsi="宋体" w:eastAsia="宋体" w:cs="宋体"/>
                <w:color w:val="auto"/>
                <w:highlight w:val="none"/>
              </w:rPr>
              <w:t>撤回响应文件情况下</w:t>
            </w:r>
          </w:p>
          <w:p>
            <w:pPr>
              <w:pStyle w:val="16"/>
              <w:keepNext w:val="0"/>
              <w:keepLines w:val="0"/>
              <w:pageBreakBefore w:val="0"/>
              <w:widowControl/>
              <w:kinsoku/>
              <w:wordWrap/>
              <w:overflowPunct/>
              <w:topLinePunct w:val="0"/>
              <w:autoSpaceDE/>
              <w:autoSpaceDN/>
              <w:bidi w:val="0"/>
              <w:adjustRightInd/>
              <w:snapToGrid/>
              <w:spacing w:beforeAutospacing="0" w:afterAutospacing="0" w:line="360" w:lineRule="auto"/>
              <w:jc w:val="center"/>
              <w:textAlignment w:val="auto"/>
              <w:rPr>
                <w:rFonts w:hint="eastAsia" w:ascii="宋体" w:hAnsi="宋体" w:eastAsia="宋体" w:cs="宋体"/>
                <w:color w:val="auto"/>
                <w:highlight w:val="none"/>
              </w:rPr>
            </w:pPr>
            <w:r>
              <w:rPr>
                <w:rFonts w:hint="eastAsia" w:ascii="宋体" w:hAnsi="宋体" w:eastAsia="宋体" w:cs="宋体"/>
                <w:color w:val="auto"/>
                <w:highlight w:val="none"/>
              </w:rPr>
              <w:t>退还响应保证金的时间</w:t>
            </w:r>
          </w:p>
        </w:tc>
        <w:tc>
          <w:tcPr>
            <w:tcW w:w="6251" w:type="dxa"/>
            <w:vAlign w:val="center"/>
          </w:tcPr>
          <w:p>
            <w:pPr>
              <w:pStyle w:val="16"/>
              <w:keepNext w:val="0"/>
              <w:keepLines w:val="0"/>
              <w:pageBreakBefore w:val="0"/>
              <w:widowControl/>
              <w:kinsoku/>
              <w:wordWrap/>
              <w:overflowPunct/>
              <w:topLinePunct w:val="0"/>
              <w:autoSpaceDE/>
              <w:autoSpaceDN/>
              <w:bidi w:val="0"/>
              <w:adjustRightInd/>
              <w:snapToGrid/>
              <w:spacing w:beforeAutospacing="0" w:afterAutospacing="0" w:line="360" w:lineRule="auto"/>
              <w:textAlignment w:val="auto"/>
              <w:rPr>
                <w:rFonts w:hint="eastAsia" w:ascii="宋体" w:hAnsi="宋体" w:eastAsia="宋体" w:cs="宋体"/>
                <w:color w:val="auto"/>
                <w:highlight w:val="none"/>
                <w:lang w:eastAsia="zh-CN"/>
              </w:rPr>
            </w:pPr>
            <w:r>
              <w:rPr>
                <w:rFonts w:hint="eastAsia" w:ascii="宋体" w:hAnsi="宋体" w:eastAsia="宋体" w:cs="宋体"/>
                <w:color w:val="auto"/>
                <w:highlight w:val="none"/>
              </w:rPr>
              <w:t>自</w:t>
            </w:r>
            <w:r>
              <w:rPr>
                <w:rFonts w:hint="eastAsia" w:ascii="宋体" w:hAnsi="宋体" w:eastAsia="宋体" w:cs="宋体"/>
                <w:color w:val="auto"/>
                <w:highlight w:val="none"/>
                <w:lang w:eastAsia="zh-CN"/>
              </w:rPr>
              <w:t>招标</w:t>
            </w:r>
            <w:r>
              <w:rPr>
                <w:rFonts w:hint="eastAsia" w:ascii="宋体" w:hAnsi="宋体" w:eastAsia="宋体" w:cs="宋体"/>
                <w:color w:val="auto"/>
                <w:highlight w:val="none"/>
              </w:rPr>
              <w:t>人收到</w:t>
            </w:r>
            <w:r>
              <w:rPr>
                <w:rFonts w:hint="eastAsia" w:ascii="宋体" w:hAnsi="宋体" w:eastAsia="宋体" w:cs="宋体"/>
                <w:color w:val="auto"/>
                <w:highlight w:val="none"/>
                <w:lang w:eastAsia="zh-CN"/>
              </w:rPr>
              <w:t>询比响应人</w:t>
            </w:r>
            <w:r>
              <w:rPr>
                <w:rFonts w:hint="eastAsia" w:ascii="宋体" w:hAnsi="宋体" w:eastAsia="宋体" w:cs="宋体"/>
                <w:color w:val="auto"/>
                <w:highlight w:val="none"/>
              </w:rPr>
              <w:t>递交的书面通知之日起</w:t>
            </w:r>
            <w:r>
              <w:rPr>
                <w:rFonts w:hint="eastAsia" w:ascii="宋体" w:hAnsi="宋体" w:eastAsia="宋体" w:cs="宋体"/>
                <w:color w:val="auto"/>
                <w:highlight w:val="none"/>
                <w:u w:val="single"/>
              </w:rPr>
              <w:t>3</w:t>
            </w:r>
            <w:r>
              <w:rPr>
                <w:rFonts w:hint="eastAsia" w:ascii="宋体" w:hAnsi="宋体" w:eastAsia="宋体" w:cs="宋体"/>
                <w:color w:val="auto"/>
                <w:highlight w:val="none"/>
              </w:rPr>
              <w:t>日内</w:t>
            </w:r>
            <w:r>
              <w:rPr>
                <w:rFonts w:hint="eastAsia" w:ascii="宋体" w:hAnsi="宋体" w:eastAsia="宋体" w:cs="宋体"/>
                <w:color w:val="auto"/>
                <w:highlight w:val="none"/>
                <w:lang w:eastAsia="zh-CN"/>
              </w:rPr>
              <w:t>，</w:t>
            </w:r>
          </w:p>
          <w:p>
            <w:pPr>
              <w:pStyle w:val="16"/>
              <w:keepNext w:val="0"/>
              <w:keepLines w:val="0"/>
              <w:pageBreakBefore w:val="0"/>
              <w:widowControl/>
              <w:kinsoku/>
              <w:wordWrap/>
              <w:overflowPunct/>
              <w:topLinePunct w:val="0"/>
              <w:autoSpaceDE/>
              <w:autoSpaceDN/>
              <w:bidi w:val="0"/>
              <w:adjustRightInd/>
              <w:snapToGrid/>
              <w:spacing w:beforeAutospacing="0" w:afterAutospacing="0" w:line="360" w:lineRule="auto"/>
              <w:textAlignment w:val="auto"/>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t>自招标人收到投标人递交的书面通知之日起</w:t>
            </w:r>
            <w:r>
              <w:rPr>
                <w:rFonts w:hint="eastAsia" w:ascii="宋体" w:hAnsi="宋体" w:eastAsia="宋体" w:cs="宋体"/>
                <w:color w:val="auto"/>
                <w:highlight w:val="none"/>
                <w:u w:val="single"/>
                <w:lang w:eastAsia="zh-CN"/>
              </w:rPr>
              <w:t>5</w:t>
            </w:r>
            <w:r>
              <w:rPr>
                <w:rFonts w:hint="eastAsia" w:ascii="宋体" w:hAnsi="宋体" w:eastAsia="宋体" w:cs="宋体"/>
                <w:color w:val="auto"/>
                <w:highlight w:val="none"/>
                <w:lang w:eastAsia="zh-CN"/>
              </w:rPr>
              <w:t>日内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7" w:hRule="atLeast"/>
          <w:jc w:val="center"/>
        </w:trPr>
        <w:tc>
          <w:tcPr>
            <w:tcW w:w="1182" w:type="dxa"/>
            <w:vAlign w:val="center"/>
          </w:tcPr>
          <w:p>
            <w:pPr>
              <w:pStyle w:val="16"/>
              <w:keepNext w:val="0"/>
              <w:keepLines w:val="0"/>
              <w:pageBreakBefore w:val="0"/>
              <w:widowControl/>
              <w:kinsoku/>
              <w:wordWrap/>
              <w:overflowPunct/>
              <w:topLinePunct w:val="0"/>
              <w:autoSpaceDE/>
              <w:autoSpaceDN/>
              <w:bidi w:val="0"/>
              <w:adjustRightInd/>
              <w:snapToGrid/>
              <w:spacing w:beforeAutospacing="0" w:afterAutospacing="0" w:line="360" w:lineRule="auto"/>
              <w:jc w:val="center"/>
              <w:textAlignment w:val="auto"/>
              <w:rPr>
                <w:rFonts w:hint="eastAsia" w:ascii="宋体" w:hAnsi="宋体" w:eastAsia="宋体" w:cs="宋体"/>
                <w:color w:val="auto"/>
                <w:highlight w:val="none"/>
              </w:rPr>
            </w:pPr>
            <w:r>
              <w:rPr>
                <w:rFonts w:hint="eastAsia" w:ascii="宋体" w:hAnsi="宋体" w:eastAsia="宋体" w:cs="宋体"/>
                <w:color w:val="auto"/>
                <w:highlight w:val="none"/>
              </w:rPr>
              <w:t>5.2(4)</w:t>
            </w:r>
          </w:p>
        </w:tc>
        <w:tc>
          <w:tcPr>
            <w:tcW w:w="3064" w:type="dxa"/>
            <w:vAlign w:val="center"/>
          </w:tcPr>
          <w:p>
            <w:pPr>
              <w:pStyle w:val="16"/>
              <w:keepNext w:val="0"/>
              <w:keepLines w:val="0"/>
              <w:pageBreakBefore w:val="0"/>
              <w:widowControl/>
              <w:kinsoku/>
              <w:wordWrap/>
              <w:overflowPunct/>
              <w:topLinePunct w:val="0"/>
              <w:autoSpaceDE/>
              <w:autoSpaceDN/>
              <w:bidi w:val="0"/>
              <w:adjustRightInd/>
              <w:snapToGrid/>
              <w:spacing w:beforeAutospacing="0" w:afterAutospacing="0" w:line="360" w:lineRule="auto"/>
              <w:jc w:val="center"/>
              <w:textAlignment w:val="auto"/>
              <w:rPr>
                <w:rFonts w:hint="eastAsia" w:ascii="宋体" w:hAnsi="宋体" w:eastAsia="宋体" w:cs="宋体"/>
                <w:color w:val="auto"/>
                <w:highlight w:val="none"/>
              </w:rPr>
            </w:pPr>
            <w:r>
              <w:rPr>
                <w:rFonts w:hint="eastAsia" w:ascii="宋体" w:hAnsi="宋体" w:eastAsia="宋体" w:cs="宋体"/>
                <w:color w:val="auto"/>
                <w:highlight w:val="none"/>
              </w:rPr>
              <w:t>开启程序</w:t>
            </w:r>
          </w:p>
        </w:tc>
        <w:tc>
          <w:tcPr>
            <w:tcW w:w="6251" w:type="dxa"/>
            <w:vAlign w:val="center"/>
          </w:tcPr>
          <w:p>
            <w:pPr>
              <w:pStyle w:val="16"/>
              <w:keepNext w:val="0"/>
              <w:keepLines w:val="0"/>
              <w:pageBreakBefore w:val="0"/>
              <w:widowControl/>
              <w:kinsoku/>
              <w:wordWrap/>
              <w:overflowPunct/>
              <w:topLinePunct w:val="0"/>
              <w:autoSpaceDE/>
              <w:autoSpaceDN/>
              <w:bidi w:val="0"/>
              <w:adjustRightInd/>
              <w:snapToGrid/>
              <w:spacing w:beforeAutospacing="0" w:afterAutospacing="0" w:line="360" w:lineRule="auto"/>
              <w:textAlignment w:val="auto"/>
              <w:rPr>
                <w:rFonts w:hint="eastAsia" w:ascii="宋体" w:hAnsi="宋体" w:eastAsia="宋体" w:cs="宋体"/>
                <w:i/>
                <w:iCs/>
                <w:color w:val="auto"/>
                <w:highlight w:val="none"/>
                <w:u w:val="single"/>
              </w:rPr>
            </w:pPr>
            <w:r>
              <w:rPr>
                <w:rFonts w:hint="eastAsia" w:ascii="宋体" w:hAnsi="宋体" w:eastAsia="宋体" w:cs="宋体"/>
                <w:color w:val="auto"/>
                <w:highlight w:val="none"/>
              </w:rPr>
              <w:t>开启顺序∶</w:t>
            </w:r>
            <w:r>
              <w:rPr>
                <w:rFonts w:hint="eastAsia" w:ascii="宋体" w:hAnsi="宋体" w:eastAsia="宋体" w:cs="宋体"/>
                <w:i/>
                <w:iCs/>
                <w:color w:val="auto"/>
                <w:highlight w:val="none"/>
                <w:u w:val="single"/>
              </w:rPr>
              <w:t xml:space="preserve">  </w:t>
            </w:r>
            <w:r>
              <w:rPr>
                <w:rFonts w:hint="eastAsia" w:ascii="宋体" w:hAnsi="宋体" w:eastAsia="宋体" w:cs="宋体"/>
                <w:color w:val="auto"/>
                <w:highlight w:val="none"/>
                <w:u w:val="single"/>
              </w:rPr>
              <w:t xml:space="preserve">递交顺序  </w:t>
            </w:r>
            <w:r>
              <w:rPr>
                <w:rFonts w:hint="eastAsia" w:ascii="宋体" w:hAnsi="宋体" w:eastAsia="宋体" w:cs="宋体"/>
                <w:i/>
                <w:iCs/>
                <w:color w:val="auto"/>
                <w:highlight w:val="none"/>
                <w:u w:val="single"/>
              </w:rPr>
              <w:t xml:space="preserve">               </w:t>
            </w:r>
          </w:p>
          <w:p>
            <w:pPr>
              <w:pStyle w:val="16"/>
              <w:keepNext w:val="0"/>
              <w:keepLines w:val="0"/>
              <w:pageBreakBefore w:val="0"/>
              <w:widowControl/>
              <w:kinsoku/>
              <w:wordWrap/>
              <w:overflowPunct/>
              <w:topLinePunct w:val="0"/>
              <w:autoSpaceDE/>
              <w:autoSpaceDN/>
              <w:bidi w:val="0"/>
              <w:adjustRightInd/>
              <w:snapToGrid/>
              <w:spacing w:beforeAutospacing="0" w:afterAutospacing="0" w:line="360" w:lineRule="auto"/>
              <w:textAlignment w:val="auto"/>
              <w:rPr>
                <w:rFonts w:hint="eastAsia" w:ascii="宋体" w:hAnsi="宋体" w:eastAsia="宋体" w:cs="宋体"/>
                <w:color w:val="auto"/>
                <w:highlight w:val="none"/>
              </w:rPr>
            </w:pPr>
            <w:r>
              <w:rPr>
                <w:rFonts w:hint="eastAsia" w:ascii="宋体" w:hAnsi="宋体" w:eastAsia="宋体" w:cs="宋体"/>
                <w:color w:val="auto"/>
                <w:highlight w:val="none"/>
              </w:rPr>
              <w:t>其他应公布的信息∶</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lang w:val="en-US" w:eastAsia="zh-CN"/>
              </w:rPr>
              <w:t>/</w:t>
            </w:r>
            <w:r>
              <w:rPr>
                <w:rFonts w:hint="eastAsia" w:ascii="宋体" w:hAnsi="宋体" w:eastAsia="宋体" w:cs="宋体"/>
                <w:color w:val="auto"/>
                <w:highlight w:val="none"/>
                <w:u w:val="single"/>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04" w:hRule="atLeast"/>
          <w:jc w:val="center"/>
        </w:trPr>
        <w:tc>
          <w:tcPr>
            <w:tcW w:w="1182" w:type="dxa"/>
            <w:vAlign w:val="center"/>
          </w:tcPr>
          <w:p>
            <w:pPr>
              <w:pStyle w:val="16"/>
              <w:keepNext w:val="0"/>
              <w:keepLines w:val="0"/>
              <w:pageBreakBefore w:val="0"/>
              <w:widowControl/>
              <w:kinsoku/>
              <w:wordWrap/>
              <w:overflowPunct/>
              <w:topLinePunct w:val="0"/>
              <w:autoSpaceDE/>
              <w:autoSpaceDN/>
              <w:bidi w:val="0"/>
              <w:adjustRightInd/>
              <w:snapToGrid/>
              <w:spacing w:beforeAutospacing="0" w:afterAutospacing="0" w:line="360" w:lineRule="auto"/>
              <w:jc w:val="center"/>
              <w:textAlignment w:val="auto"/>
              <w:rPr>
                <w:rFonts w:hint="eastAsia" w:ascii="宋体" w:hAnsi="宋体" w:eastAsia="宋体" w:cs="宋体"/>
                <w:color w:val="auto"/>
                <w:highlight w:val="none"/>
              </w:rPr>
            </w:pPr>
            <w:r>
              <w:rPr>
                <w:rFonts w:hint="eastAsia" w:ascii="宋体" w:hAnsi="宋体" w:eastAsia="宋体" w:cs="宋体"/>
                <w:color w:val="auto"/>
                <w:highlight w:val="none"/>
              </w:rPr>
              <w:t>5.3</w:t>
            </w:r>
          </w:p>
        </w:tc>
        <w:tc>
          <w:tcPr>
            <w:tcW w:w="3064" w:type="dxa"/>
            <w:vAlign w:val="center"/>
          </w:tcPr>
          <w:p>
            <w:pPr>
              <w:pStyle w:val="16"/>
              <w:keepNext w:val="0"/>
              <w:keepLines w:val="0"/>
              <w:pageBreakBefore w:val="0"/>
              <w:widowControl/>
              <w:kinsoku/>
              <w:wordWrap/>
              <w:overflowPunct/>
              <w:topLinePunct w:val="0"/>
              <w:autoSpaceDE/>
              <w:autoSpaceDN/>
              <w:bidi w:val="0"/>
              <w:adjustRightInd/>
              <w:snapToGrid/>
              <w:spacing w:beforeAutospacing="0" w:afterAutospacing="0" w:line="360" w:lineRule="auto"/>
              <w:jc w:val="center"/>
              <w:textAlignment w:val="auto"/>
              <w:rPr>
                <w:rFonts w:hint="eastAsia" w:ascii="宋体" w:hAnsi="宋体" w:eastAsia="宋体" w:cs="宋体"/>
                <w:color w:val="auto"/>
                <w:highlight w:val="none"/>
                <w:lang w:eastAsia="zh-CN"/>
              </w:rPr>
            </w:pPr>
            <w:r>
              <w:rPr>
                <w:rFonts w:hint="eastAsia" w:ascii="宋体" w:hAnsi="宋体" w:eastAsia="宋体" w:cs="宋体"/>
                <w:color w:val="auto"/>
                <w:highlight w:val="none"/>
              </w:rPr>
              <w:t>递交响应文件的</w:t>
            </w:r>
            <w:r>
              <w:rPr>
                <w:rFonts w:hint="eastAsia" w:ascii="宋体" w:hAnsi="宋体" w:eastAsia="宋体" w:cs="宋体"/>
                <w:color w:val="auto"/>
                <w:highlight w:val="none"/>
                <w:lang w:eastAsia="zh-CN"/>
              </w:rPr>
              <w:t>询比响应人</w:t>
            </w:r>
          </w:p>
          <w:p>
            <w:pPr>
              <w:pStyle w:val="16"/>
              <w:keepNext w:val="0"/>
              <w:keepLines w:val="0"/>
              <w:pageBreakBefore w:val="0"/>
              <w:widowControl/>
              <w:kinsoku/>
              <w:wordWrap/>
              <w:overflowPunct/>
              <w:topLinePunct w:val="0"/>
              <w:autoSpaceDE/>
              <w:autoSpaceDN/>
              <w:bidi w:val="0"/>
              <w:adjustRightInd/>
              <w:snapToGrid/>
              <w:spacing w:beforeAutospacing="0" w:afterAutospacing="0" w:line="360" w:lineRule="auto"/>
              <w:jc w:val="center"/>
              <w:textAlignment w:val="auto"/>
              <w:rPr>
                <w:rFonts w:hint="eastAsia" w:ascii="宋体" w:hAnsi="宋体" w:eastAsia="宋体" w:cs="宋体"/>
                <w:color w:val="auto"/>
                <w:highlight w:val="none"/>
              </w:rPr>
            </w:pPr>
            <w:r>
              <w:rPr>
                <w:rFonts w:hint="eastAsia" w:ascii="宋体" w:hAnsi="宋体" w:eastAsia="宋体" w:cs="宋体"/>
                <w:color w:val="auto"/>
                <w:highlight w:val="none"/>
              </w:rPr>
              <w:t>不足的情形</w:t>
            </w:r>
          </w:p>
        </w:tc>
        <w:tc>
          <w:tcPr>
            <w:tcW w:w="6251" w:type="dxa"/>
            <w:vAlign w:val="center"/>
          </w:tcPr>
          <w:p>
            <w:pPr>
              <w:pStyle w:val="16"/>
              <w:keepNext w:val="0"/>
              <w:keepLines w:val="0"/>
              <w:pageBreakBefore w:val="0"/>
              <w:widowControl/>
              <w:kinsoku/>
              <w:wordWrap/>
              <w:overflowPunct/>
              <w:topLinePunct w:val="0"/>
              <w:autoSpaceDE/>
              <w:autoSpaceDN/>
              <w:bidi w:val="0"/>
              <w:adjustRightInd/>
              <w:snapToGrid/>
              <w:spacing w:beforeAutospacing="0" w:afterAutospacing="0" w:line="360" w:lineRule="auto"/>
              <w:textAlignment w:val="auto"/>
              <w:rPr>
                <w:rFonts w:hint="eastAsia" w:ascii="宋体" w:hAnsi="宋体" w:eastAsia="宋体" w:cs="宋体"/>
                <w:color w:val="auto"/>
                <w:highlight w:val="none"/>
              </w:rPr>
            </w:pPr>
            <w:r>
              <w:rPr>
                <w:rFonts w:hint="eastAsia" w:ascii="宋体" w:hAnsi="宋体" w:eastAsia="宋体" w:cs="宋体"/>
                <w:color w:val="auto"/>
                <w:highlight w:val="none"/>
              </w:rPr>
              <w:t>成交</w:t>
            </w:r>
            <w:r>
              <w:rPr>
                <w:rFonts w:hint="eastAsia" w:ascii="宋体" w:hAnsi="宋体" w:eastAsia="宋体" w:cs="宋体"/>
                <w:color w:val="auto"/>
                <w:highlight w:val="none"/>
                <w:lang w:eastAsia="zh-CN"/>
              </w:rPr>
              <w:t>询比响应人</w:t>
            </w:r>
            <w:r>
              <w:rPr>
                <w:rFonts w:hint="eastAsia" w:ascii="宋体" w:hAnsi="宋体" w:eastAsia="宋体" w:cs="宋体"/>
                <w:color w:val="auto"/>
                <w:highlight w:val="none"/>
              </w:rPr>
              <w:t>为多家时，</w:t>
            </w:r>
            <w:r>
              <w:rPr>
                <w:rFonts w:hint="eastAsia" w:ascii="宋体" w:hAnsi="宋体" w:eastAsia="宋体" w:cs="宋体"/>
                <w:color w:val="auto"/>
                <w:highlight w:val="none"/>
                <w:lang w:eastAsia="zh-CN"/>
              </w:rPr>
              <w:t>询比响应人</w:t>
            </w:r>
            <w:r>
              <w:rPr>
                <w:rFonts w:hint="eastAsia" w:ascii="宋体" w:hAnsi="宋体" w:eastAsia="宋体" w:cs="宋体"/>
                <w:color w:val="auto"/>
                <w:highlight w:val="none"/>
              </w:rPr>
              <w:t>不足的数量要求：</w:t>
            </w:r>
          </w:p>
          <w:p>
            <w:pPr>
              <w:pStyle w:val="16"/>
              <w:keepNext w:val="0"/>
              <w:keepLines w:val="0"/>
              <w:pageBreakBefore w:val="0"/>
              <w:widowControl/>
              <w:kinsoku/>
              <w:wordWrap/>
              <w:overflowPunct/>
              <w:topLinePunct w:val="0"/>
              <w:autoSpaceDE/>
              <w:autoSpaceDN/>
              <w:bidi w:val="0"/>
              <w:adjustRightInd/>
              <w:snapToGrid/>
              <w:spacing w:beforeAutospacing="0" w:afterAutospacing="0" w:line="360" w:lineRule="auto"/>
              <w:textAlignment w:val="auto"/>
              <w:rPr>
                <w:rFonts w:hint="eastAsia" w:ascii="宋体" w:hAnsi="宋体" w:eastAsia="宋体" w:cs="宋体"/>
                <w:color w:val="auto"/>
                <w:highlight w:val="none"/>
              </w:rPr>
            </w:pPr>
            <w:r>
              <w:rPr>
                <w:rFonts w:hint="eastAsia" w:ascii="宋体" w:hAnsi="宋体" w:eastAsia="宋体" w:cs="宋体"/>
                <w:color w:val="auto"/>
                <w:highlight w:val="none"/>
                <w:u w:val="single"/>
              </w:rPr>
              <w:t xml:space="preserve">   3  </w:t>
            </w:r>
            <w:r>
              <w:rPr>
                <w:rFonts w:hint="eastAsia" w:ascii="宋体" w:hAnsi="宋体" w:eastAsia="宋体" w:cs="宋体"/>
                <w:color w:val="auto"/>
                <w:highlight w:val="none"/>
              </w:rPr>
              <w:t>家（注：</w:t>
            </w:r>
            <w:r>
              <w:rPr>
                <w:rFonts w:hint="eastAsia" w:ascii="宋体" w:hAnsi="宋体" w:eastAsia="宋体" w:cs="宋体"/>
                <w:color w:val="auto"/>
                <w:highlight w:val="none"/>
                <w:lang w:eastAsia="zh-CN"/>
              </w:rPr>
              <w:t>招标</w:t>
            </w:r>
            <w:r>
              <w:rPr>
                <w:rFonts w:hint="eastAsia" w:ascii="宋体" w:hAnsi="宋体" w:eastAsia="宋体" w:cs="宋体"/>
                <w:color w:val="auto"/>
                <w:highlight w:val="none"/>
              </w:rPr>
              <w:t>人在此处填写的数量一般不少于成交</w:t>
            </w:r>
            <w:r>
              <w:rPr>
                <w:rFonts w:hint="eastAsia" w:ascii="宋体" w:hAnsi="宋体" w:eastAsia="宋体" w:cs="宋体"/>
                <w:color w:val="auto"/>
                <w:highlight w:val="none"/>
                <w:lang w:eastAsia="zh-CN"/>
              </w:rPr>
              <w:t>询比响应人</w:t>
            </w:r>
            <w:r>
              <w:rPr>
                <w:rFonts w:hint="eastAsia" w:ascii="宋体" w:hAnsi="宋体" w:eastAsia="宋体" w:cs="宋体"/>
                <w:color w:val="auto"/>
                <w:highlight w:val="none"/>
              </w:rPr>
              <w:t>数量的2倍。）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20" w:hRule="atLeast"/>
          <w:jc w:val="center"/>
        </w:trPr>
        <w:tc>
          <w:tcPr>
            <w:tcW w:w="1182" w:type="dxa"/>
            <w:vAlign w:val="center"/>
          </w:tcPr>
          <w:p>
            <w:pPr>
              <w:pStyle w:val="16"/>
              <w:keepNext w:val="0"/>
              <w:keepLines w:val="0"/>
              <w:pageBreakBefore w:val="0"/>
              <w:widowControl/>
              <w:kinsoku/>
              <w:wordWrap/>
              <w:overflowPunct/>
              <w:topLinePunct w:val="0"/>
              <w:autoSpaceDE/>
              <w:autoSpaceDN/>
              <w:bidi w:val="0"/>
              <w:adjustRightInd/>
              <w:snapToGrid/>
              <w:spacing w:beforeAutospacing="0" w:afterAutospacing="0" w:line="360" w:lineRule="auto"/>
              <w:jc w:val="center"/>
              <w:textAlignment w:val="auto"/>
              <w:rPr>
                <w:rFonts w:hint="eastAsia" w:ascii="宋体" w:hAnsi="宋体" w:eastAsia="宋体" w:cs="宋体"/>
                <w:color w:val="auto"/>
                <w:highlight w:val="none"/>
              </w:rPr>
            </w:pPr>
            <w:r>
              <w:rPr>
                <w:rFonts w:hint="eastAsia" w:ascii="宋体" w:hAnsi="宋体" w:eastAsia="宋体" w:cs="宋体"/>
                <w:color w:val="auto"/>
                <w:highlight w:val="none"/>
              </w:rPr>
              <w:t>6.2.2</w:t>
            </w:r>
          </w:p>
        </w:tc>
        <w:tc>
          <w:tcPr>
            <w:tcW w:w="3064" w:type="dxa"/>
            <w:vAlign w:val="center"/>
          </w:tcPr>
          <w:p>
            <w:pPr>
              <w:pStyle w:val="16"/>
              <w:keepNext w:val="0"/>
              <w:keepLines w:val="0"/>
              <w:pageBreakBefore w:val="0"/>
              <w:widowControl/>
              <w:kinsoku/>
              <w:wordWrap/>
              <w:overflowPunct/>
              <w:topLinePunct w:val="0"/>
              <w:autoSpaceDE/>
              <w:autoSpaceDN/>
              <w:bidi w:val="0"/>
              <w:adjustRightInd/>
              <w:snapToGrid/>
              <w:spacing w:beforeAutospacing="0" w:afterAutospacing="0" w:line="360" w:lineRule="auto"/>
              <w:jc w:val="center"/>
              <w:textAlignment w:val="auto"/>
              <w:rPr>
                <w:rFonts w:hint="eastAsia" w:ascii="宋体" w:hAnsi="宋体" w:eastAsia="宋体" w:cs="宋体"/>
                <w:color w:val="auto"/>
                <w:highlight w:val="none"/>
              </w:rPr>
            </w:pPr>
            <w:r>
              <w:rPr>
                <w:rFonts w:hint="eastAsia" w:ascii="宋体" w:hAnsi="宋体" w:eastAsia="宋体" w:cs="宋体"/>
                <w:color w:val="auto"/>
                <w:highlight w:val="none"/>
              </w:rPr>
              <w:t>推荐候选成交</w:t>
            </w:r>
            <w:r>
              <w:rPr>
                <w:rFonts w:hint="eastAsia" w:ascii="宋体" w:hAnsi="宋体" w:eastAsia="宋体" w:cs="宋体"/>
                <w:color w:val="auto"/>
                <w:highlight w:val="none"/>
                <w:lang w:eastAsia="zh-CN"/>
              </w:rPr>
              <w:t>询比响应人</w:t>
            </w:r>
            <w:r>
              <w:rPr>
                <w:rFonts w:hint="eastAsia" w:ascii="宋体" w:hAnsi="宋体" w:eastAsia="宋体" w:cs="宋体"/>
                <w:color w:val="auto"/>
                <w:highlight w:val="none"/>
              </w:rPr>
              <w:t>的</w:t>
            </w:r>
          </w:p>
          <w:p>
            <w:pPr>
              <w:pStyle w:val="16"/>
              <w:keepNext w:val="0"/>
              <w:keepLines w:val="0"/>
              <w:pageBreakBefore w:val="0"/>
              <w:widowControl/>
              <w:kinsoku/>
              <w:wordWrap/>
              <w:overflowPunct/>
              <w:topLinePunct w:val="0"/>
              <w:autoSpaceDE/>
              <w:autoSpaceDN/>
              <w:bidi w:val="0"/>
              <w:adjustRightInd/>
              <w:snapToGrid/>
              <w:spacing w:beforeAutospacing="0" w:afterAutospacing="0" w:line="360" w:lineRule="auto"/>
              <w:jc w:val="center"/>
              <w:textAlignment w:val="auto"/>
              <w:rPr>
                <w:rFonts w:hint="eastAsia" w:ascii="宋体" w:hAnsi="宋体" w:eastAsia="宋体" w:cs="宋体"/>
                <w:color w:val="auto"/>
                <w:highlight w:val="none"/>
              </w:rPr>
            </w:pPr>
            <w:r>
              <w:rPr>
                <w:rFonts w:hint="eastAsia" w:ascii="宋体" w:hAnsi="宋体" w:eastAsia="宋体" w:cs="宋体"/>
                <w:color w:val="auto"/>
                <w:highlight w:val="none"/>
              </w:rPr>
              <w:t>排序及数量</w:t>
            </w:r>
          </w:p>
        </w:tc>
        <w:tc>
          <w:tcPr>
            <w:tcW w:w="6251" w:type="dxa"/>
            <w:vAlign w:val="center"/>
          </w:tcPr>
          <w:p>
            <w:pPr>
              <w:pStyle w:val="16"/>
              <w:keepNext w:val="0"/>
              <w:keepLines w:val="0"/>
              <w:pageBreakBefore w:val="0"/>
              <w:widowControl/>
              <w:kinsoku/>
              <w:wordWrap/>
              <w:overflowPunct/>
              <w:topLinePunct w:val="0"/>
              <w:autoSpaceDE/>
              <w:autoSpaceDN/>
              <w:bidi w:val="0"/>
              <w:adjustRightInd/>
              <w:snapToGrid/>
              <w:spacing w:beforeAutospacing="0" w:afterAutospacing="0" w:line="360" w:lineRule="auto"/>
              <w:textAlignment w:val="auto"/>
              <w:rPr>
                <w:rFonts w:hint="eastAsia" w:ascii="宋体" w:hAnsi="宋体" w:eastAsia="宋体" w:cs="宋体"/>
                <w:color w:val="auto"/>
                <w:highlight w:val="none"/>
              </w:rPr>
            </w:pPr>
            <w:r>
              <w:rPr>
                <w:rFonts w:hint="eastAsia" w:ascii="宋体" w:hAnsi="宋体" w:eastAsia="宋体" w:cs="宋体"/>
                <w:color w:val="auto"/>
                <w:highlight w:val="none"/>
              </w:rPr>
              <w:t>是否排序：</w:t>
            </w:r>
          </w:p>
          <w:p>
            <w:pPr>
              <w:pStyle w:val="16"/>
              <w:keepNext w:val="0"/>
              <w:keepLines w:val="0"/>
              <w:pageBreakBefore w:val="0"/>
              <w:widowControl/>
              <w:kinsoku/>
              <w:wordWrap/>
              <w:overflowPunct/>
              <w:topLinePunct w:val="0"/>
              <w:autoSpaceDE/>
              <w:autoSpaceDN/>
              <w:bidi w:val="0"/>
              <w:adjustRightInd/>
              <w:snapToGrid/>
              <w:spacing w:beforeAutospacing="0" w:afterAutospacing="0" w:line="360" w:lineRule="auto"/>
              <w:textAlignment w:val="auto"/>
              <w:rPr>
                <w:rFonts w:hint="eastAsia" w:ascii="宋体" w:hAnsi="宋体" w:eastAsia="宋体" w:cs="宋体"/>
                <w:color w:val="auto"/>
                <w:highlight w:val="none"/>
              </w:rPr>
            </w:pPr>
            <w:r>
              <w:rPr>
                <w:rFonts w:hint="eastAsia" w:ascii="宋体" w:hAnsi="宋体" w:eastAsia="宋体" w:cs="宋体"/>
                <w:color w:val="auto"/>
                <w:highlight w:val="none"/>
              </w:rPr>
              <w:sym w:font="Wingdings 2" w:char="00A3"/>
            </w:r>
            <w:r>
              <w:rPr>
                <w:rFonts w:hint="eastAsia" w:ascii="宋体" w:hAnsi="宋体" w:eastAsia="宋体" w:cs="宋体"/>
                <w:color w:val="auto"/>
                <w:highlight w:val="none"/>
              </w:rPr>
              <w:t>排序</w:t>
            </w:r>
          </w:p>
          <w:p>
            <w:pPr>
              <w:pStyle w:val="16"/>
              <w:keepNext w:val="0"/>
              <w:keepLines w:val="0"/>
              <w:pageBreakBefore w:val="0"/>
              <w:widowControl/>
              <w:kinsoku/>
              <w:wordWrap/>
              <w:overflowPunct/>
              <w:topLinePunct w:val="0"/>
              <w:autoSpaceDE/>
              <w:autoSpaceDN/>
              <w:bidi w:val="0"/>
              <w:adjustRightInd/>
              <w:snapToGrid/>
              <w:spacing w:beforeAutospacing="0" w:afterAutospacing="0" w:line="360" w:lineRule="auto"/>
              <w:textAlignment w:val="auto"/>
              <w:rPr>
                <w:rFonts w:hint="eastAsia" w:ascii="宋体" w:hAnsi="宋体" w:eastAsia="宋体" w:cs="宋体"/>
                <w:color w:val="auto"/>
                <w:highlight w:val="none"/>
              </w:rPr>
            </w:pPr>
            <w:r>
              <w:rPr>
                <w:rFonts w:hint="eastAsia" w:ascii="宋体" w:hAnsi="宋体" w:eastAsia="宋体" w:cs="宋体"/>
                <w:color w:val="auto"/>
                <w:highlight w:val="none"/>
              </w:rPr>
              <w:sym w:font="Wingdings 2" w:char="0052"/>
            </w:r>
            <w:r>
              <w:rPr>
                <w:rFonts w:hint="eastAsia" w:ascii="宋体" w:hAnsi="宋体" w:eastAsia="宋体" w:cs="宋体"/>
                <w:color w:val="auto"/>
                <w:highlight w:val="none"/>
              </w:rPr>
              <w:t>不排序</w:t>
            </w:r>
          </w:p>
          <w:p>
            <w:pPr>
              <w:pStyle w:val="16"/>
              <w:keepNext w:val="0"/>
              <w:keepLines w:val="0"/>
              <w:pageBreakBefore w:val="0"/>
              <w:widowControl/>
              <w:kinsoku/>
              <w:wordWrap/>
              <w:overflowPunct/>
              <w:topLinePunct w:val="0"/>
              <w:autoSpaceDE/>
              <w:autoSpaceDN/>
              <w:bidi w:val="0"/>
              <w:adjustRightInd/>
              <w:snapToGrid/>
              <w:spacing w:beforeAutospacing="0" w:afterAutospacing="0" w:line="360" w:lineRule="auto"/>
              <w:textAlignment w:val="auto"/>
              <w:rPr>
                <w:rFonts w:hint="eastAsia" w:ascii="宋体" w:hAnsi="宋体" w:eastAsia="宋体" w:cs="宋体"/>
                <w:color w:val="auto"/>
                <w:highlight w:val="none"/>
              </w:rPr>
            </w:pPr>
            <w:r>
              <w:rPr>
                <w:rFonts w:hint="eastAsia" w:ascii="宋体" w:hAnsi="宋体" w:eastAsia="宋体" w:cs="宋体"/>
                <w:color w:val="auto"/>
                <w:highlight w:val="none"/>
              </w:rPr>
              <w:t>数量：</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lang w:val="en-US" w:eastAsia="zh-CN"/>
              </w:rPr>
              <w:t>1-3</w:t>
            </w:r>
            <w:r>
              <w:rPr>
                <w:rFonts w:hint="eastAsia" w:ascii="宋体" w:hAnsi="宋体" w:eastAsia="宋体" w:cs="宋体"/>
                <w:color w:val="auto"/>
                <w:highlight w:val="none"/>
                <w:u w:val="single"/>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6" w:hRule="atLeast"/>
          <w:jc w:val="center"/>
        </w:trPr>
        <w:tc>
          <w:tcPr>
            <w:tcW w:w="1182" w:type="dxa"/>
            <w:vAlign w:val="center"/>
          </w:tcPr>
          <w:p>
            <w:pPr>
              <w:pStyle w:val="16"/>
              <w:keepNext w:val="0"/>
              <w:keepLines w:val="0"/>
              <w:pageBreakBefore w:val="0"/>
              <w:widowControl/>
              <w:kinsoku/>
              <w:wordWrap/>
              <w:overflowPunct/>
              <w:topLinePunct w:val="0"/>
              <w:autoSpaceDE/>
              <w:autoSpaceDN/>
              <w:bidi w:val="0"/>
              <w:adjustRightInd/>
              <w:snapToGrid/>
              <w:spacing w:beforeAutospacing="0" w:afterAutospacing="0" w:line="360" w:lineRule="auto"/>
              <w:jc w:val="center"/>
              <w:textAlignment w:val="auto"/>
              <w:rPr>
                <w:rFonts w:hint="eastAsia" w:ascii="宋体" w:hAnsi="宋体" w:eastAsia="宋体" w:cs="宋体"/>
                <w:color w:val="auto"/>
                <w:highlight w:val="none"/>
              </w:rPr>
            </w:pPr>
            <w:r>
              <w:rPr>
                <w:rFonts w:hint="eastAsia" w:ascii="宋体" w:hAnsi="宋体" w:eastAsia="宋体" w:cs="宋体"/>
                <w:color w:val="auto"/>
                <w:highlight w:val="none"/>
              </w:rPr>
              <w:t>7.3</w:t>
            </w:r>
          </w:p>
        </w:tc>
        <w:tc>
          <w:tcPr>
            <w:tcW w:w="3064" w:type="dxa"/>
            <w:vAlign w:val="center"/>
          </w:tcPr>
          <w:p>
            <w:pPr>
              <w:pStyle w:val="16"/>
              <w:keepNext w:val="0"/>
              <w:keepLines w:val="0"/>
              <w:pageBreakBefore w:val="0"/>
              <w:widowControl/>
              <w:kinsoku/>
              <w:wordWrap/>
              <w:overflowPunct/>
              <w:topLinePunct w:val="0"/>
              <w:autoSpaceDE/>
              <w:autoSpaceDN/>
              <w:bidi w:val="0"/>
              <w:adjustRightInd/>
              <w:snapToGrid/>
              <w:spacing w:beforeAutospacing="0" w:afterAutospacing="0" w:line="360" w:lineRule="auto"/>
              <w:jc w:val="center"/>
              <w:textAlignment w:val="auto"/>
              <w:rPr>
                <w:rFonts w:hint="eastAsia" w:ascii="宋体" w:hAnsi="宋体" w:eastAsia="宋体" w:cs="宋体"/>
                <w:color w:val="auto"/>
                <w:highlight w:val="none"/>
              </w:rPr>
            </w:pPr>
            <w:r>
              <w:rPr>
                <w:rFonts w:hint="eastAsia" w:ascii="宋体" w:hAnsi="宋体" w:eastAsia="宋体" w:cs="宋体"/>
                <w:color w:val="auto"/>
                <w:highlight w:val="none"/>
              </w:rPr>
              <w:t>预成交结果公示</w:t>
            </w:r>
          </w:p>
        </w:tc>
        <w:tc>
          <w:tcPr>
            <w:tcW w:w="6251" w:type="dxa"/>
            <w:vAlign w:val="center"/>
          </w:tcPr>
          <w:p>
            <w:pPr>
              <w:pStyle w:val="16"/>
              <w:keepNext w:val="0"/>
              <w:keepLines w:val="0"/>
              <w:pageBreakBefore w:val="0"/>
              <w:widowControl/>
              <w:kinsoku/>
              <w:wordWrap/>
              <w:overflowPunct/>
              <w:topLinePunct w:val="0"/>
              <w:autoSpaceDE/>
              <w:autoSpaceDN/>
              <w:bidi w:val="0"/>
              <w:adjustRightInd/>
              <w:snapToGrid/>
              <w:spacing w:beforeAutospacing="0" w:afterAutospacing="0" w:line="360" w:lineRule="auto"/>
              <w:textAlignment w:val="auto"/>
              <w:rPr>
                <w:rFonts w:hint="eastAsia" w:ascii="宋体" w:hAnsi="宋体" w:eastAsia="宋体" w:cs="宋体"/>
                <w:color w:val="auto"/>
                <w:highlight w:val="none"/>
              </w:rPr>
            </w:pPr>
            <w:r>
              <w:rPr>
                <w:rFonts w:hint="eastAsia" w:ascii="宋体" w:hAnsi="宋体" w:eastAsia="宋体" w:cs="宋体"/>
                <w:color w:val="auto"/>
                <w:highlight w:val="none"/>
              </w:rPr>
              <w:t>公示媒介：</w:t>
            </w:r>
            <w:r>
              <w:rPr>
                <w:rFonts w:hint="eastAsia" w:ascii="宋体" w:hAnsi="宋体" w:eastAsia="宋体" w:cs="宋体"/>
                <w:color w:val="auto"/>
                <w:highlight w:val="none"/>
                <w:u w:val="single"/>
              </w:rPr>
              <w:t xml:space="preserve">      /                           </w:t>
            </w:r>
          </w:p>
          <w:p>
            <w:pPr>
              <w:pStyle w:val="16"/>
              <w:keepNext w:val="0"/>
              <w:keepLines w:val="0"/>
              <w:pageBreakBefore w:val="0"/>
              <w:widowControl/>
              <w:kinsoku/>
              <w:wordWrap/>
              <w:overflowPunct/>
              <w:topLinePunct w:val="0"/>
              <w:autoSpaceDE/>
              <w:autoSpaceDN/>
              <w:bidi w:val="0"/>
              <w:adjustRightInd/>
              <w:snapToGrid/>
              <w:spacing w:beforeAutospacing="0" w:afterAutospacing="0" w:line="360" w:lineRule="auto"/>
              <w:textAlignment w:val="auto"/>
              <w:rPr>
                <w:rFonts w:hint="eastAsia" w:ascii="宋体" w:hAnsi="宋体" w:eastAsia="宋体" w:cs="宋体"/>
                <w:color w:val="auto"/>
                <w:highlight w:val="none"/>
              </w:rPr>
            </w:pPr>
            <w:r>
              <w:rPr>
                <w:rFonts w:hint="eastAsia" w:ascii="宋体" w:hAnsi="宋体" w:eastAsia="宋体" w:cs="宋体"/>
                <w:color w:val="auto"/>
                <w:highlight w:val="none"/>
              </w:rPr>
              <w:t>公示期限：</w:t>
            </w:r>
            <w:r>
              <w:rPr>
                <w:rFonts w:hint="eastAsia" w:ascii="宋体" w:hAnsi="宋体" w:eastAsia="宋体" w:cs="宋体"/>
                <w:color w:val="auto"/>
                <w:highlight w:val="none"/>
                <w:u w:val="single"/>
              </w:rPr>
              <w:t xml:space="preserve">        /                         </w:t>
            </w:r>
          </w:p>
          <w:p>
            <w:pPr>
              <w:pStyle w:val="16"/>
              <w:keepNext w:val="0"/>
              <w:keepLines w:val="0"/>
              <w:pageBreakBefore w:val="0"/>
              <w:widowControl/>
              <w:kinsoku/>
              <w:wordWrap/>
              <w:overflowPunct/>
              <w:topLinePunct w:val="0"/>
              <w:autoSpaceDE/>
              <w:autoSpaceDN/>
              <w:bidi w:val="0"/>
              <w:adjustRightInd/>
              <w:snapToGrid/>
              <w:spacing w:beforeAutospacing="0" w:afterAutospacing="0" w:line="360" w:lineRule="auto"/>
              <w:textAlignment w:val="auto"/>
              <w:rPr>
                <w:rFonts w:hint="eastAsia" w:ascii="宋体" w:hAnsi="宋体" w:eastAsia="宋体" w:cs="宋体"/>
                <w:color w:val="auto"/>
                <w:highlight w:val="none"/>
              </w:rPr>
            </w:pPr>
            <w:r>
              <w:rPr>
                <w:rFonts w:hint="eastAsia" w:ascii="宋体" w:hAnsi="宋体" w:eastAsia="宋体" w:cs="宋体"/>
                <w:color w:val="auto"/>
                <w:highlight w:val="none"/>
              </w:rPr>
              <w:t>其他应公示的内容：</w:t>
            </w:r>
            <w:r>
              <w:rPr>
                <w:rFonts w:hint="eastAsia" w:ascii="宋体" w:hAnsi="宋体" w:eastAsia="宋体" w:cs="宋体"/>
                <w:color w:val="auto"/>
                <w:highlight w:val="none"/>
                <w:u w:val="single"/>
              </w:rPr>
              <w:t xml:space="preserve">      /                   </w:t>
            </w:r>
          </w:p>
          <w:p>
            <w:pPr>
              <w:pStyle w:val="16"/>
              <w:keepNext w:val="0"/>
              <w:keepLines w:val="0"/>
              <w:pageBreakBefore w:val="0"/>
              <w:widowControl/>
              <w:kinsoku/>
              <w:wordWrap/>
              <w:overflowPunct/>
              <w:topLinePunct w:val="0"/>
              <w:autoSpaceDE/>
              <w:autoSpaceDN/>
              <w:bidi w:val="0"/>
              <w:adjustRightInd/>
              <w:snapToGrid/>
              <w:spacing w:beforeAutospacing="0" w:afterAutospacing="0" w:line="360" w:lineRule="auto"/>
              <w:textAlignment w:val="auto"/>
              <w:rPr>
                <w:rFonts w:hint="eastAsia" w:ascii="宋体" w:hAnsi="宋体" w:eastAsia="宋体" w:cs="宋体"/>
                <w:color w:val="auto"/>
                <w:highlight w:val="none"/>
              </w:rPr>
            </w:pPr>
            <w:r>
              <w:rPr>
                <w:rFonts w:hint="eastAsia" w:ascii="宋体" w:hAnsi="宋体" w:eastAsia="宋体" w:cs="宋体"/>
                <w:color w:val="auto"/>
                <w:highlight w:val="none"/>
              </w:rPr>
              <w:t>（注：国有资金占控股或主导地位的采购项目，预成交结果公示应在中国招标投标公共服务平台发布，或者通过省级电子招投标公共服务平台在中国招标投标公共服务平台发布。）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9" w:hRule="atLeast"/>
          <w:jc w:val="center"/>
        </w:trPr>
        <w:tc>
          <w:tcPr>
            <w:tcW w:w="1182" w:type="dxa"/>
            <w:vAlign w:val="center"/>
          </w:tcPr>
          <w:p>
            <w:pPr>
              <w:pStyle w:val="16"/>
              <w:keepNext w:val="0"/>
              <w:keepLines w:val="0"/>
              <w:pageBreakBefore w:val="0"/>
              <w:widowControl/>
              <w:kinsoku/>
              <w:wordWrap/>
              <w:overflowPunct/>
              <w:topLinePunct w:val="0"/>
              <w:autoSpaceDE/>
              <w:autoSpaceDN/>
              <w:bidi w:val="0"/>
              <w:adjustRightInd/>
              <w:snapToGrid/>
              <w:spacing w:beforeAutospacing="0" w:afterAutospacing="0" w:line="360" w:lineRule="auto"/>
              <w:jc w:val="center"/>
              <w:textAlignment w:val="auto"/>
              <w:rPr>
                <w:rFonts w:hint="eastAsia" w:ascii="宋体" w:hAnsi="宋体" w:eastAsia="宋体" w:cs="宋体"/>
                <w:color w:val="auto"/>
                <w:highlight w:val="none"/>
              </w:rPr>
            </w:pPr>
            <w:r>
              <w:rPr>
                <w:rFonts w:hint="eastAsia" w:ascii="宋体" w:hAnsi="宋体" w:eastAsia="宋体" w:cs="宋体"/>
                <w:color w:val="auto"/>
                <w:highlight w:val="none"/>
              </w:rPr>
              <w:t>7.5</w:t>
            </w:r>
          </w:p>
        </w:tc>
        <w:tc>
          <w:tcPr>
            <w:tcW w:w="3064" w:type="dxa"/>
            <w:vAlign w:val="center"/>
          </w:tcPr>
          <w:p>
            <w:pPr>
              <w:pStyle w:val="16"/>
              <w:keepNext w:val="0"/>
              <w:keepLines w:val="0"/>
              <w:pageBreakBefore w:val="0"/>
              <w:widowControl/>
              <w:kinsoku/>
              <w:wordWrap/>
              <w:overflowPunct/>
              <w:topLinePunct w:val="0"/>
              <w:autoSpaceDE/>
              <w:autoSpaceDN/>
              <w:bidi w:val="0"/>
              <w:adjustRightInd/>
              <w:snapToGrid/>
              <w:spacing w:beforeAutospacing="0" w:afterAutospacing="0" w:line="360" w:lineRule="auto"/>
              <w:jc w:val="center"/>
              <w:textAlignment w:val="auto"/>
              <w:rPr>
                <w:rFonts w:hint="eastAsia" w:ascii="宋体" w:hAnsi="宋体" w:eastAsia="宋体" w:cs="宋体"/>
                <w:color w:val="auto"/>
                <w:highlight w:val="none"/>
              </w:rPr>
            </w:pPr>
            <w:r>
              <w:rPr>
                <w:rFonts w:hint="eastAsia" w:ascii="宋体" w:hAnsi="宋体" w:eastAsia="宋体" w:cs="宋体"/>
                <w:color w:val="auto"/>
                <w:highlight w:val="none"/>
              </w:rPr>
              <w:t>发布成交公告</w:t>
            </w:r>
          </w:p>
        </w:tc>
        <w:tc>
          <w:tcPr>
            <w:tcW w:w="6251" w:type="dxa"/>
            <w:vAlign w:val="center"/>
          </w:tcPr>
          <w:p>
            <w:pPr>
              <w:pStyle w:val="16"/>
              <w:keepNext w:val="0"/>
              <w:keepLines w:val="0"/>
              <w:pageBreakBefore w:val="0"/>
              <w:widowControl/>
              <w:kinsoku/>
              <w:wordWrap/>
              <w:overflowPunct/>
              <w:topLinePunct w:val="0"/>
              <w:autoSpaceDE/>
              <w:autoSpaceDN/>
              <w:bidi w:val="0"/>
              <w:adjustRightInd/>
              <w:snapToGrid/>
              <w:spacing w:beforeAutospacing="0" w:afterAutospacing="0" w:line="360" w:lineRule="auto"/>
              <w:textAlignment w:val="auto"/>
              <w:rPr>
                <w:rFonts w:hint="eastAsia" w:ascii="宋体" w:hAnsi="宋体" w:eastAsia="宋体" w:cs="宋体"/>
                <w:color w:val="auto"/>
                <w:highlight w:val="none"/>
              </w:rPr>
            </w:pPr>
            <w:r>
              <w:rPr>
                <w:rFonts w:hint="eastAsia" w:ascii="宋体" w:hAnsi="宋体" w:eastAsia="宋体" w:cs="宋体"/>
                <w:color w:val="auto"/>
                <w:highlight w:val="none"/>
              </w:rPr>
              <w:t>公告媒介：</w:t>
            </w:r>
            <w:r>
              <w:rPr>
                <w:rStyle w:val="40"/>
                <w:rFonts w:hint="eastAsia" w:ascii="宋体" w:hAnsi="宋体" w:eastAsia="宋体" w:cs="宋体"/>
                <w:color w:val="auto"/>
                <w:highlight w:val="none"/>
                <w:u w:val="single"/>
              </w:rPr>
              <w:t>中国采购与招标网、</w:t>
            </w:r>
            <w:r>
              <w:rPr>
                <w:rFonts w:hint="eastAsia" w:ascii="宋体" w:hAnsi="宋体" w:eastAsia="宋体" w:cs="宋体"/>
                <w:color w:val="auto"/>
                <w:sz w:val="24"/>
                <w:highlight w:val="none"/>
                <w:u w:val="single"/>
                <w:lang w:eastAsia="zh-CN"/>
              </w:rPr>
              <w:t>青海项目信息网、</w:t>
            </w:r>
            <w:r>
              <w:rPr>
                <w:rStyle w:val="40"/>
                <w:rFonts w:hint="eastAsia" w:ascii="宋体" w:hAnsi="宋体" w:eastAsia="宋体" w:cs="宋体"/>
                <w:color w:val="auto"/>
                <w:highlight w:val="none"/>
                <w:u w:val="single"/>
              </w:rPr>
              <w:t>上海</w:t>
            </w:r>
            <w:r>
              <w:rPr>
                <w:rStyle w:val="40"/>
                <w:rFonts w:hint="eastAsia" w:ascii="宋体" w:hAnsi="宋体" w:eastAsia="宋体" w:cs="宋体"/>
                <w:color w:val="auto"/>
                <w:highlight w:val="none"/>
                <w:u w:val="single"/>
                <w:lang w:eastAsia="zh-CN"/>
              </w:rPr>
              <w:t>容基</w:t>
            </w:r>
            <w:r>
              <w:rPr>
                <w:rStyle w:val="40"/>
                <w:rFonts w:hint="eastAsia" w:ascii="宋体" w:hAnsi="宋体" w:eastAsia="宋体" w:cs="宋体"/>
                <w:color w:val="auto"/>
                <w:highlight w:val="none"/>
                <w:u w:val="single"/>
              </w:rPr>
              <w:t>工程项目管理有限公司青海分公司；</w:t>
            </w:r>
          </w:p>
          <w:p>
            <w:pPr>
              <w:pStyle w:val="16"/>
              <w:keepNext w:val="0"/>
              <w:keepLines w:val="0"/>
              <w:pageBreakBefore w:val="0"/>
              <w:widowControl/>
              <w:kinsoku/>
              <w:wordWrap/>
              <w:overflowPunct/>
              <w:topLinePunct w:val="0"/>
              <w:autoSpaceDE/>
              <w:autoSpaceDN/>
              <w:bidi w:val="0"/>
              <w:adjustRightInd/>
              <w:snapToGrid/>
              <w:spacing w:beforeAutospacing="0" w:afterAutospacing="0" w:line="360" w:lineRule="auto"/>
              <w:textAlignment w:val="auto"/>
              <w:rPr>
                <w:rFonts w:hint="eastAsia" w:ascii="宋体" w:hAnsi="宋体" w:eastAsia="宋体" w:cs="宋体"/>
                <w:color w:val="auto"/>
                <w:highlight w:val="none"/>
              </w:rPr>
            </w:pPr>
            <w:r>
              <w:rPr>
                <w:rFonts w:hint="eastAsia" w:ascii="宋体" w:hAnsi="宋体" w:eastAsia="宋体" w:cs="宋体"/>
                <w:color w:val="auto"/>
                <w:highlight w:val="none"/>
              </w:rPr>
              <w:t>其他应公告的内容：</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lang w:val="en-US" w:eastAsia="zh-CN"/>
              </w:rPr>
              <w:t>/</w:t>
            </w:r>
            <w:r>
              <w:rPr>
                <w:rFonts w:hint="eastAsia" w:ascii="宋体" w:hAnsi="宋体" w:eastAsia="宋体" w:cs="宋体"/>
                <w:color w:val="auto"/>
                <w:highlight w:val="none"/>
                <w:u w:val="single"/>
              </w:rPr>
              <w:t xml:space="preserve">       </w:t>
            </w:r>
          </w:p>
          <w:p>
            <w:pPr>
              <w:pStyle w:val="16"/>
              <w:keepNext w:val="0"/>
              <w:keepLines w:val="0"/>
              <w:pageBreakBefore w:val="0"/>
              <w:widowControl/>
              <w:kinsoku/>
              <w:wordWrap/>
              <w:overflowPunct/>
              <w:topLinePunct w:val="0"/>
              <w:autoSpaceDE/>
              <w:autoSpaceDN/>
              <w:bidi w:val="0"/>
              <w:adjustRightInd/>
              <w:snapToGrid/>
              <w:spacing w:beforeAutospacing="0" w:afterAutospacing="0" w:line="360" w:lineRule="auto"/>
              <w:textAlignment w:val="auto"/>
              <w:rPr>
                <w:rFonts w:hint="eastAsia" w:ascii="宋体" w:hAnsi="宋体" w:eastAsia="宋体" w:cs="宋体"/>
                <w:color w:val="auto"/>
                <w:highlight w:val="none"/>
              </w:rPr>
            </w:pPr>
            <w:r>
              <w:rPr>
                <w:rFonts w:hint="eastAsia" w:ascii="宋体" w:hAnsi="宋体" w:eastAsia="宋体" w:cs="宋体"/>
                <w:color w:val="auto"/>
                <w:highlight w:val="none"/>
              </w:rPr>
              <w:t>（注：国有资金占控股或主导地位的采购项目，成交公告应在中国招标投标公共服务平台发布，或者通过省级电子招投标公共服务平台在中国招标投标公共服务平台发布。）</w:t>
            </w:r>
          </w:p>
        </w:tc>
      </w:tr>
    </w:tbl>
    <w:p>
      <w:pPr>
        <w:pageBreakBefore w:val="0"/>
        <w:kinsoku/>
        <w:overflowPunct/>
        <w:topLinePunct w:val="0"/>
        <w:bidi w:val="0"/>
        <w:snapToGrid/>
        <w:spacing w:line="360" w:lineRule="auto"/>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续表</w:t>
      </w:r>
    </w:p>
    <w:tbl>
      <w:tblPr>
        <w:tblStyle w:val="20"/>
        <w:tblW w:w="1048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37"/>
        <w:gridCol w:w="3200"/>
        <w:gridCol w:w="614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1137" w:type="dxa"/>
            <w:vAlign w:val="center"/>
          </w:tcPr>
          <w:p>
            <w:pPr>
              <w:pStyle w:val="16"/>
              <w:keepNext w:val="0"/>
              <w:keepLines w:val="0"/>
              <w:pageBreakBefore w:val="0"/>
              <w:widowControl/>
              <w:kinsoku/>
              <w:wordWrap/>
              <w:overflowPunct/>
              <w:topLinePunct w:val="0"/>
              <w:autoSpaceDE/>
              <w:autoSpaceDN/>
              <w:bidi w:val="0"/>
              <w:adjustRightInd/>
              <w:snapToGrid/>
              <w:spacing w:beforeAutospacing="0" w:afterAutospacing="0" w:line="360" w:lineRule="auto"/>
              <w:jc w:val="center"/>
              <w:textAlignment w:val="auto"/>
              <w:rPr>
                <w:rFonts w:hint="eastAsia" w:ascii="宋体" w:hAnsi="宋体" w:eastAsia="宋体" w:cs="宋体"/>
                <w:color w:val="auto"/>
                <w:highlight w:val="none"/>
              </w:rPr>
            </w:pPr>
            <w:r>
              <w:rPr>
                <w:rFonts w:hint="eastAsia" w:ascii="宋体" w:hAnsi="宋体" w:eastAsia="宋体" w:cs="宋体"/>
                <w:color w:val="auto"/>
                <w:highlight w:val="none"/>
              </w:rPr>
              <w:t>条款号</w:t>
            </w:r>
          </w:p>
        </w:tc>
        <w:tc>
          <w:tcPr>
            <w:tcW w:w="3200" w:type="dxa"/>
            <w:vAlign w:val="center"/>
          </w:tcPr>
          <w:p>
            <w:pPr>
              <w:pStyle w:val="16"/>
              <w:keepNext w:val="0"/>
              <w:keepLines w:val="0"/>
              <w:pageBreakBefore w:val="0"/>
              <w:widowControl/>
              <w:kinsoku/>
              <w:wordWrap/>
              <w:overflowPunct/>
              <w:topLinePunct w:val="0"/>
              <w:autoSpaceDE/>
              <w:autoSpaceDN/>
              <w:bidi w:val="0"/>
              <w:adjustRightInd/>
              <w:snapToGrid/>
              <w:spacing w:beforeAutospacing="0" w:afterAutospacing="0" w:line="360" w:lineRule="auto"/>
              <w:jc w:val="center"/>
              <w:textAlignment w:val="auto"/>
              <w:rPr>
                <w:rFonts w:hint="eastAsia" w:ascii="宋体" w:hAnsi="宋体" w:eastAsia="宋体" w:cs="宋体"/>
                <w:color w:val="auto"/>
                <w:highlight w:val="none"/>
              </w:rPr>
            </w:pPr>
            <w:r>
              <w:rPr>
                <w:rFonts w:hint="eastAsia" w:ascii="宋体" w:hAnsi="宋体" w:eastAsia="宋体" w:cs="宋体"/>
                <w:color w:val="auto"/>
                <w:highlight w:val="none"/>
              </w:rPr>
              <w:t>条 款 内 容</w:t>
            </w:r>
          </w:p>
        </w:tc>
        <w:tc>
          <w:tcPr>
            <w:tcW w:w="6145" w:type="dxa"/>
            <w:vAlign w:val="center"/>
          </w:tcPr>
          <w:p>
            <w:pPr>
              <w:pStyle w:val="16"/>
              <w:keepNext w:val="0"/>
              <w:keepLines w:val="0"/>
              <w:pageBreakBefore w:val="0"/>
              <w:widowControl/>
              <w:kinsoku/>
              <w:wordWrap/>
              <w:overflowPunct/>
              <w:topLinePunct w:val="0"/>
              <w:autoSpaceDE/>
              <w:autoSpaceDN/>
              <w:bidi w:val="0"/>
              <w:adjustRightInd/>
              <w:snapToGrid/>
              <w:spacing w:beforeAutospacing="0" w:afterAutospacing="0" w:line="360" w:lineRule="auto"/>
              <w:jc w:val="center"/>
              <w:textAlignment w:val="auto"/>
              <w:rPr>
                <w:rFonts w:hint="eastAsia" w:ascii="宋体" w:hAnsi="宋体" w:eastAsia="宋体" w:cs="宋体"/>
                <w:color w:val="auto"/>
                <w:highlight w:val="none"/>
              </w:rPr>
            </w:pPr>
            <w:r>
              <w:rPr>
                <w:rFonts w:hint="eastAsia" w:ascii="宋体" w:hAnsi="宋体" w:eastAsia="宋体" w:cs="宋体"/>
                <w:color w:val="auto"/>
                <w:highlight w:val="none"/>
              </w:rPr>
              <w:t>编 列 内 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99" w:hRule="atLeast"/>
          <w:jc w:val="center"/>
        </w:trPr>
        <w:tc>
          <w:tcPr>
            <w:tcW w:w="1137" w:type="dxa"/>
            <w:vAlign w:val="center"/>
          </w:tcPr>
          <w:p>
            <w:pPr>
              <w:pStyle w:val="16"/>
              <w:keepNext w:val="0"/>
              <w:keepLines w:val="0"/>
              <w:pageBreakBefore w:val="0"/>
              <w:widowControl/>
              <w:kinsoku/>
              <w:wordWrap/>
              <w:overflowPunct/>
              <w:topLinePunct w:val="0"/>
              <w:autoSpaceDE/>
              <w:autoSpaceDN/>
              <w:bidi w:val="0"/>
              <w:adjustRightInd/>
              <w:snapToGrid/>
              <w:spacing w:beforeAutospacing="0" w:afterAutospacing="0" w:line="360" w:lineRule="auto"/>
              <w:jc w:val="center"/>
              <w:textAlignment w:val="auto"/>
              <w:rPr>
                <w:rFonts w:hint="eastAsia" w:ascii="宋体" w:hAnsi="宋体" w:eastAsia="宋体" w:cs="宋体"/>
                <w:color w:val="auto"/>
                <w:highlight w:val="none"/>
              </w:rPr>
            </w:pPr>
            <w:r>
              <w:rPr>
                <w:rFonts w:hint="eastAsia" w:ascii="宋体" w:hAnsi="宋体" w:eastAsia="宋体" w:cs="宋体"/>
                <w:color w:val="auto"/>
                <w:highlight w:val="none"/>
              </w:rPr>
              <w:t>7.6</w:t>
            </w:r>
          </w:p>
        </w:tc>
        <w:tc>
          <w:tcPr>
            <w:tcW w:w="3200" w:type="dxa"/>
            <w:vAlign w:val="center"/>
          </w:tcPr>
          <w:p>
            <w:pPr>
              <w:pStyle w:val="16"/>
              <w:keepNext w:val="0"/>
              <w:keepLines w:val="0"/>
              <w:pageBreakBefore w:val="0"/>
              <w:widowControl/>
              <w:kinsoku/>
              <w:wordWrap/>
              <w:overflowPunct/>
              <w:topLinePunct w:val="0"/>
              <w:autoSpaceDE/>
              <w:autoSpaceDN/>
              <w:bidi w:val="0"/>
              <w:adjustRightInd/>
              <w:snapToGrid/>
              <w:spacing w:beforeAutospacing="0" w:afterAutospacing="0" w:line="360" w:lineRule="auto"/>
              <w:jc w:val="center"/>
              <w:textAlignment w:val="auto"/>
              <w:rPr>
                <w:rFonts w:hint="eastAsia" w:ascii="宋体" w:hAnsi="宋体" w:eastAsia="宋体" w:cs="宋体"/>
                <w:color w:val="auto"/>
                <w:highlight w:val="none"/>
              </w:rPr>
            </w:pPr>
            <w:r>
              <w:rPr>
                <w:rFonts w:hint="eastAsia" w:ascii="宋体" w:hAnsi="宋体" w:eastAsia="宋体" w:cs="宋体"/>
                <w:color w:val="auto"/>
                <w:highlight w:val="none"/>
              </w:rPr>
              <w:t>履约保证金</w:t>
            </w:r>
          </w:p>
        </w:tc>
        <w:tc>
          <w:tcPr>
            <w:tcW w:w="6145" w:type="dxa"/>
            <w:vAlign w:val="center"/>
          </w:tcPr>
          <w:p>
            <w:pPr>
              <w:pStyle w:val="16"/>
              <w:keepNext w:val="0"/>
              <w:keepLines w:val="0"/>
              <w:pageBreakBefore w:val="0"/>
              <w:widowControl/>
              <w:kinsoku/>
              <w:wordWrap/>
              <w:overflowPunct/>
              <w:topLinePunct w:val="0"/>
              <w:autoSpaceDE/>
              <w:autoSpaceDN/>
              <w:bidi w:val="0"/>
              <w:adjustRightInd/>
              <w:snapToGrid/>
              <w:spacing w:beforeAutospacing="0" w:afterAutospacing="0" w:line="360" w:lineRule="auto"/>
              <w:textAlignment w:val="auto"/>
              <w:rPr>
                <w:rFonts w:hint="eastAsia" w:ascii="宋体" w:hAnsi="宋体" w:eastAsia="宋体" w:cs="宋体"/>
                <w:color w:val="auto"/>
                <w:highlight w:val="none"/>
              </w:rPr>
            </w:pPr>
            <w:r>
              <w:rPr>
                <w:rFonts w:hint="eastAsia" w:ascii="宋体" w:hAnsi="宋体" w:eastAsia="宋体" w:cs="宋体"/>
                <w:color w:val="auto"/>
                <w:highlight w:val="none"/>
              </w:rPr>
              <w:sym w:font="Wingdings 2" w:char="0052"/>
            </w:r>
            <w:r>
              <w:rPr>
                <w:rFonts w:hint="eastAsia" w:ascii="宋体" w:hAnsi="宋体" w:eastAsia="宋体" w:cs="宋体"/>
                <w:color w:val="auto"/>
                <w:highlight w:val="none"/>
              </w:rPr>
              <w:t>不要求递交</w:t>
            </w:r>
          </w:p>
          <w:p>
            <w:pPr>
              <w:pStyle w:val="16"/>
              <w:keepNext w:val="0"/>
              <w:keepLines w:val="0"/>
              <w:pageBreakBefore w:val="0"/>
              <w:widowControl/>
              <w:kinsoku/>
              <w:wordWrap/>
              <w:overflowPunct/>
              <w:topLinePunct w:val="0"/>
              <w:autoSpaceDE/>
              <w:autoSpaceDN/>
              <w:bidi w:val="0"/>
              <w:adjustRightInd/>
              <w:snapToGrid/>
              <w:spacing w:beforeAutospacing="0" w:afterAutospacing="0" w:line="360" w:lineRule="auto"/>
              <w:textAlignment w:val="auto"/>
              <w:rPr>
                <w:rFonts w:hint="eastAsia" w:ascii="宋体" w:hAnsi="宋体" w:eastAsia="宋体" w:cs="宋体"/>
                <w:color w:val="auto"/>
                <w:highlight w:val="none"/>
              </w:rPr>
            </w:pPr>
            <w:r>
              <w:rPr>
                <w:rFonts w:hint="eastAsia" w:ascii="宋体" w:hAnsi="宋体" w:eastAsia="宋体" w:cs="宋体"/>
                <w:color w:val="auto"/>
                <w:highlight w:val="none"/>
              </w:rPr>
              <w:sym w:font="Wingdings 2" w:char="00A3"/>
            </w:r>
            <w:r>
              <w:rPr>
                <w:rFonts w:hint="eastAsia" w:ascii="宋体" w:hAnsi="宋体" w:eastAsia="宋体" w:cs="宋体"/>
                <w:color w:val="auto"/>
                <w:highlight w:val="none"/>
              </w:rPr>
              <w:t>要求递交</w:t>
            </w:r>
          </w:p>
          <w:p>
            <w:pPr>
              <w:pStyle w:val="16"/>
              <w:keepNext w:val="0"/>
              <w:keepLines w:val="0"/>
              <w:pageBreakBefore w:val="0"/>
              <w:widowControl/>
              <w:kinsoku/>
              <w:wordWrap/>
              <w:overflowPunct/>
              <w:topLinePunct w:val="0"/>
              <w:autoSpaceDE/>
              <w:autoSpaceDN/>
              <w:bidi w:val="0"/>
              <w:adjustRightInd/>
              <w:snapToGrid/>
              <w:spacing w:beforeAutospacing="0" w:afterAutospacing="0" w:line="360" w:lineRule="auto"/>
              <w:ind w:firstLine="240" w:firstLineChars="100"/>
              <w:textAlignment w:val="auto"/>
              <w:rPr>
                <w:rFonts w:hint="eastAsia" w:ascii="宋体" w:hAnsi="宋体" w:eastAsia="宋体" w:cs="宋体"/>
                <w:color w:val="auto"/>
                <w:highlight w:val="none"/>
                <w:u w:val="single"/>
              </w:rPr>
            </w:pPr>
            <w:r>
              <w:rPr>
                <w:rFonts w:hint="eastAsia" w:ascii="宋体" w:hAnsi="宋体" w:eastAsia="宋体" w:cs="宋体"/>
                <w:color w:val="auto"/>
                <w:highlight w:val="none"/>
              </w:rPr>
              <w:t>履约保证金金额∶</w:t>
            </w:r>
            <w:r>
              <w:rPr>
                <w:rFonts w:hint="eastAsia" w:ascii="宋体" w:hAnsi="宋体" w:eastAsia="宋体" w:cs="宋体"/>
                <w:color w:val="auto"/>
                <w:highlight w:val="none"/>
                <w:u w:val="single"/>
              </w:rPr>
              <w:t xml:space="preserve">                        </w:t>
            </w:r>
          </w:p>
          <w:p>
            <w:pPr>
              <w:pStyle w:val="16"/>
              <w:keepNext w:val="0"/>
              <w:keepLines w:val="0"/>
              <w:pageBreakBefore w:val="0"/>
              <w:widowControl/>
              <w:kinsoku/>
              <w:wordWrap/>
              <w:overflowPunct/>
              <w:topLinePunct w:val="0"/>
              <w:autoSpaceDE/>
              <w:autoSpaceDN/>
              <w:bidi w:val="0"/>
              <w:adjustRightInd/>
              <w:snapToGrid/>
              <w:spacing w:beforeAutospacing="0" w:afterAutospacing="0" w:line="360" w:lineRule="auto"/>
              <w:ind w:firstLine="240" w:firstLineChars="100"/>
              <w:textAlignment w:val="auto"/>
              <w:rPr>
                <w:rFonts w:hint="eastAsia" w:ascii="宋体" w:hAnsi="宋体" w:eastAsia="宋体" w:cs="宋体"/>
                <w:color w:val="auto"/>
                <w:highlight w:val="none"/>
                <w:u w:val="single"/>
              </w:rPr>
            </w:pPr>
            <w:r>
              <w:rPr>
                <w:rFonts w:hint="eastAsia" w:ascii="宋体" w:hAnsi="宋体" w:eastAsia="宋体" w:cs="宋体"/>
                <w:color w:val="auto"/>
                <w:highlight w:val="none"/>
              </w:rPr>
              <w:t>履约保证金形式∶</w:t>
            </w:r>
            <w:r>
              <w:rPr>
                <w:rFonts w:hint="eastAsia" w:ascii="宋体" w:hAnsi="宋体" w:eastAsia="宋体" w:cs="宋体"/>
                <w:color w:val="auto"/>
                <w:highlight w:val="none"/>
                <w:u w:val="single"/>
              </w:rPr>
              <w:t xml:space="preserve">                       </w:t>
            </w:r>
          </w:p>
          <w:p>
            <w:pPr>
              <w:pStyle w:val="16"/>
              <w:keepNext w:val="0"/>
              <w:keepLines w:val="0"/>
              <w:pageBreakBefore w:val="0"/>
              <w:widowControl/>
              <w:kinsoku/>
              <w:wordWrap/>
              <w:overflowPunct/>
              <w:topLinePunct w:val="0"/>
              <w:autoSpaceDE/>
              <w:autoSpaceDN/>
              <w:bidi w:val="0"/>
              <w:adjustRightInd/>
              <w:snapToGrid/>
              <w:spacing w:beforeAutospacing="0" w:afterAutospacing="0" w:line="360" w:lineRule="auto"/>
              <w:ind w:firstLine="240" w:firstLineChars="100"/>
              <w:textAlignment w:val="auto"/>
              <w:rPr>
                <w:rFonts w:hint="eastAsia" w:ascii="宋体" w:hAnsi="宋体" w:eastAsia="宋体" w:cs="宋体"/>
                <w:color w:val="auto"/>
                <w:highlight w:val="none"/>
                <w:u w:val="single"/>
              </w:rPr>
            </w:pPr>
            <w:r>
              <w:rPr>
                <w:rFonts w:hint="eastAsia" w:ascii="宋体" w:hAnsi="宋体" w:eastAsia="宋体" w:cs="宋体"/>
                <w:color w:val="auto"/>
                <w:highlight w:val="none"/>
              </w:rPr>
              <w:t>履约保证金有效期限∶</w:t>
            </w:r>
            <w:r>
              <w:rPr>
                <w:rFonts w:hint="eastAsia" w:ascii="宋体" w:hAnsi="宋体" w:eastAsia="宋体" w:cs="宋体"/>
                <w:color w:val="auto"/>
                <w:highlight w:val="none"/>
                <w:u w:val="single"/>
              </w:rPr>
              <w:t xml:space="preserve">                   </w:t>
            </w:r>
          </w:p>
          <w:p>
            <w:pPr>
              <w:pStyle w:val="16"/>
              <w:keepNext w:val="0"/>
              <w:keepLines w:val="0"/>
              <w:pageBreakBefore w:val="0"/>
              <w:widowControl/>
              <w:kinsoku/>
              <w:wordWrap/>
              <w:overflowPunct/>
              <w:topLinePunct w:val="0"/>
              <w:autoSpaceDE/>
              <w:autoSpaceDN/>
              <w:bidi w:val="0"/>
              <w:adjustRightInd/>
              <w:snapToGrid/>
              <w:spacing w:beforeAutospacing="0" w:afterAutospacing="0" w:line="360" w:lineRule="auto"/>
              <w:ind w:firstLine="240" w:firstLineChars="100"/>
              <w:textAlignment w:val="auto"/>
              <w:rPr>
                <w:rFonts w:hint="eastAsia" w:ascii="宋体" w:hAnsi="宋体" w:eastAsia="宋体" w:cs="宋体"/>
                <w:color w:val="auto"/>
                <w:highlight w:val="none"/>
                <w:u w:val="single"/>
              </w:rPr>
            </w:pPr>
            <w:r>
              <w:rPr>
                <w:rFonts w:hint="eastAsia" w:ascii="宋体" w:hAnsi="宋体" w:eastAsia="宋体" w:cs="宋体"/>
                <w:color w:val="auto"/>
                <w:highlight w:val="none"/>
              </w:rPr>
              <w:t>递交时间∶</w:t>
            </w:r>
            <w:r>
              <w:rPr>
                <w:rFonts w:hint="eastAsia" w:ascii="宋体" w:hAnsi="宋体" w:eastAsia="宋体" w:cs="宋体"/>
                <w:color w:val="auto"/>
                <w:highlight w:val="none"/>
                <w:u w:val="single"/>
              </w:rPr>
              <w:t xml:space="preserve">                             </w:t>
            </w:r>
          </w:p>
          <w:p>
            <w:pPr>
              <w:pStyle w:val="16"/>
              <w:keepNext w:val="0"/>
              <w:keepLines w:val="0"/>
              <w:pageBreakBefore w:val="0"/>
              <w:widowControl/>
              <w:kinsoku/>
              <w:wordWrap/>
              <w:overflowPunct/>
              <w:topLinePunct w:val="0"/>
              <w:autoSpaceDE/>
              <w:autoSpaceDN/>
              <w:bidi w:val="0"/>
              <w:adjustRightInd/>
              <w:snapToGrid/>
              <w:spacing w:beforeAutospacing="0" w:afterAutospacing="0" w:line="360" w:lineRule="auto"/>
              <w:ind w:firstLine="240" w:firstLineChars="100"/>
              <w:textAlignment w:val="auto"/>
              <w:rPr>
                <w:rFonts w:hint="eastAsia" w:ascii="宋体" w:hAnsi="宋体" w:eastAsia="宋体" w:cs="宋体"/>
                <w:color w:val="auto"/>
                <w:highlight w:val="none"/>
                <w:u w:val="single"/>
              </w:rPr>
            </w:pPr>
            <w:r>
              <w:rPr>
                <w:rFonts w:hint="eastAsia" w:ascii="宋体" w:hAnsi="宋体" w:eastAsia="宋体" w:cs="宋体"/>
                <w:color w:val="auto"/>
                <w:highlight w:val="none"/>
              </w:rPr>
              <w:t>其他要求∶</w:t>
            </w:r>
            <w:r>
              <w:rPr>
                <w:rFonts w:hint="eastAsia" w:ascii="宋体" w:hAnsi="宋体" w:eastAsia="宋体" w:cs="宋体"/>
                <w:color w:val="auto"/>
                <w:highlight w:val="none"/>
                <w:u w:val="single"/>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1" w:hRule="atLeast"/>
          <w:jc w:val="center"/>
        </w:trPr>
        <w:tc>
          <w:tcPr>
            <w:tcW w:w="1137" w:type="dxa"/>
            <w:vAlign w:val="center"/>
          </w:tcPr>
          <w:p>
            <w:pPr>
              <w:pStyle w:val="16"/>
              <w:keepNext w:val="0"/>
              <w:keepLines w:val="0"/>
              <w:pageBreakBefore w:val="0"/>
              <w:widowControl/>
              <w:kinsoku/>
              <w:wordWrap/>
              <w:overflowPunct/>
              <w:topLinePunct w:val="0"/>
              <w:autoSpaceDE/>
              <w:autoSpaceDN/>
              <w:bidi w:val="0"/>
              <w:adjustRightInd/>
              <w:snapToGrid/>
              <w:spacing w:beforeAutospacing="0" w:afterAutospacing="0" w:line="360" w:lineRule="auto"/>
              <w:jc w:val="center"/>
              <w:textAlignment w:val="auto"/>
              <w:rPr>
                <w:rFonts w:hint="eastAsia" w:ascii="宋体" w:hAnsi="宋体" w:eastAsia="宋体" w:cs="宋体"/>
                <w:color w:val="auto"/>
                <w:highlight w:val="none"/>
              </w:rPr>
            </w:pPr>
            <w:r>
              <w:rPr>
                <w:rFonts w:hint="eastAsia" w:ascii="宋体" w:hAnsi="宋体" w:eastAsia="宋体" w:cs="宋体"/>
                <w:color w:val="auto"/>
                <w:highlight w:val="none"/>
              </w:rPr>
              <w:t>7.7.4</w:t>
            </w:r>
          </w:p>
        </w:tc>
        <w:tc>
          <w:tcPr>
            <w:tcW w:w="3200" w:type="dxa"/>
            <w:vAlign w:val="center"/>
          </w:tcPr>
          <w:p>
            <w:pPr>
              <w:pStyle w:val="16"/>
              <w:keepNext w:val="0"/>
              <w:keepLines w:val="0"/>
              <w:pageBreakBefore w:val="0"/>
              <w:widowControl/>
              <w:kinsoku/>
              <w:wordWrap/>
              <w:overflowPunct/>
              <w:topLinePunct w:val="0"/>
              <w:autoSpaceDE/>
              <w:autoSpaceDN/>
              <w:bidi w:val="0"/>
              <w:adjustRightInd/>
              <w:snapToGrid/>
              <w:spacing w:beforeAutospacing="0" w:afterAutospacing="0" w:line="360" w:lineRule="auto"/>
              <w:jc w:val="center"/>
              <w:textAlignment w:val="auto"/>
              <w:rPr>
                <w:rFonts w:hint="eastAsia" w:ascii="宋体" w:hAnsi="宋体" w:eastAsia="宋体" w:cs="宋体"/>
                <w:color w:val="auto"/>
                <w:highlight w:val="none"/>
              </w:rPr>
            </w:pPr>
            <w:r>
              <w:rPr>
                <w:rFonts w:hint="eastAsia" w:ascii="宋体" w:hAnsi="宋体" w:eastAsia="宋体" w:cs="宋体"/>
                <w:color w:val="auto"/>
                <w:highlight w:val="none"/>
              </w:rPr>
              <w:t>签约合同价</w:t>
            </w:r>
          </w:p>
        </w:tc>
        <w:tc>
          <w:tcPr>
            <w:tcW w:w="6145" w:type="dxa"/>
            <w:vAlign w:val="center"/>
          </w:tcPr>
          <w:p>
            <w:pPr>
              <w:pStyle w:val="16"/>
              <w:keepNext w:val="0"/>
              <w:keepLines w:val="0"/>
              <w:pageBreakBefore w:val="0"/>
              <w:widowControl/>
              <w:kinsoku/>
              <w:wordWrap/>
              <w:overflowPunct/>
              <w:topLinePunct w:val="0"/>
              <w:autoSpaceDE/>
              <w:autoSpaceDN/>
              <w:bidi w:val="0"/>
              <w:adjustRightInd/>
              <w:snapToGrid/>
              <w:spacing w:beforeAutospacing="0" w:afterAutospacing="0" w:line="360" w:lineRule="auto"/>
              <w:textAlignment w:val="auto"/>
              <w:rPr>
                <w:rFonts w:hint="eastAsia" w:ascii="宋体" w:hAnsi="宋体" w:eastAsia="宋体" w:cs="宋体"/>
                <w:color w:val="auto"/>
                <w:highlight w:val="none"/>
              </w:rPr>
            </w:pPr>
            <w:r>
              <w:rPr>
                <w:rFonts w:hint="eastAsia" w:ascii="宋体" w:hAnsi="宋体" w:eastAsia="宋体" w:cs="宋体"/>
                <w:color w:val="auto"/>
                <w:highlight w:val="none"/>
              </w:rPr>
              <w:t>最终确定的中标价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13" w:hRule="atLeast"/>
          <w:jc w:val="center"/>
        </w:trPr>
        <w:tc>
          <w:tcPr>
            <w:tcW w:w="1137" w:type="dxa"/>
            <w:vAlign w:val="center"/>
          </w:tcPr>
          <w:p>
            <w:pPr>
              <w:pStyle w:val="16"/>
              <w:keepNext w:val="0"/>
              <w:keepLines w:val="0"/>
              <w:pageBreakBefore w:val="0"/>
              <w:widowControl/>
              <w:kinsoku/>
              <w:wordWrap/>
              <w:overflowPunct/>
              <w:topLinePunct w:val="0"/>
              <w:autoSpaceDE/>
              <w:autoSpaceDN/>
              <w:bidi w:val="0"/>
              <w:adjustRightInd/>
              <w:snapToGrid/>
              <w:spacing w:beforeAutospacing="0" w:afterAutospacing="0" w:line="360" w:lineRule="auto"/>
              <w:jc w:val="center"/>
              <w:textAlignment w:val="auto"/>
              <w:rPr>
                <w:rFonts w:hint="eastAsia" w:ascii="宋体" w:hAnsi="宋体" w:eastAsia="宋体" w:cs="宋体"/>
                <w:color w:val="auto"/>
                <w:highlight w:val="none"/>
              </w:rPr>
            </w:pPr>
            <w:r>
              <w:rPr>
                <w:rFonts w:hint="eastAsia" w:ascii="宋体" w:hAnsi="宋体" w:eastAsia="宋体" w:cs="宋体"/>
                <w:color w:val="auto"/>
                <w:highlight w:val="none"/>
              </w:rPr>
              <w:t>8.1</w:t>
            </w:r>
          </w:p>
        </w:tc>
        <w:tc>
          <w:tcPr>
            <w:tcW w:w="3200" w:type="dxa"/>
            <w:vAlign w:val="center"/>
          </w:tcPr>
          <w:p>
            <w:pPr>
              <w:pStyle w:val="16"/>
              <w:keepNext w:val="0"/>
              <w:keepLines w:val="0"/>
              <w:pageBreakBefore w:val="0"/>
              <w:widowControl/>
              <w:kinsoku/>
              <w:wordWrap/>
              <w:overflowPunct/>
              <w:topLinePunct w:val="0"/>
              <w:autoSpaceDE/>
              <w:autoSpaceDN/>
              <w:bidi w:val="0"/>
              <w:adjustRightInd/>
              <w:snapToGrid/>
              <w:spacing w:beforeAutospacing="0" w:afterAutospacing="0" w:line="360" w:lineRule="auto"/>
              <w:jc w:val="center"/>
              <w:textAlignment w:val="auto"/>
              <w:rPr>
                <w:rFonts w:hint="eastAsia" w:ascii="宋体" w:hAnsi="宋体" w:eastAsia="宋体" w:cs="宋体"/>
                <w:color w:val="auto"/>
                <w:highlight w:val="none"/>
              </w:rPr>
            </w:pPr>
            <w:r>
              <w:rPr>
                <w:rFonts w:hint="eastAsia" w:ascii="宋体" w:hAnsi="宋体" w:eastAsia="宋体" w:cs="宋体"/>
                <w:color w:val="auto"/>
                <w:highlight w:val="none"/>
              </w:rPr>
              <w:t>异议渠道</w:t>
            </w:r>
          </w:p>
        </w:tc>
        <w:tc>
          <w:tcPr>
            <w:tcW w:w="6145" w:type="dxa"/>
            <w:vAlign w:val="center"/>
          </w:tcPr>
          <w:p>
            <w:pPr>
              <w:pStyle w:val="16"/>
              <w:keepNext w:val="0"/>
              <w:keepLines w:val="0"/>
              <w:pageBreakBefore w:val="0"/>
              <w:widowControl/>
              <w:kinsoku/>
              <w:wordWrap/>
              <w:overflowPunct/>
              <w:topLinePunct w:val="0"/>
              <w:autoSpaceDE/>
              <w:autoSpaceDN/>
              <w:bidi w:val="0"/>
              <w:adjustRightInd/>
              <w:snapToGrid/>
              <w:spacing w:beforeAutospacing="0" w:afterAutospacing="0" w:line="360" w:lineRule="auto"/>
              <w:textAlignment w:val="auto"/>
              <w:rPr>
                <w:rFonts w:hint="eastAsia" w:ascii="宋体" w:hAnsi="宋体" w:eastAsia="宋体" w:cs="宋体"/>
                <w:color w:val="auto"/>
                <w:highlight w:val="none"/>
                <w:u w:val="single"/>
              </w:rPr>
            </w:pPr>
            <w:r>
              <w:rPr>
                <w:rFonts w:hint="eastAsia" w:ascii="宋体" w:hAnsi="宋体" w:eastAsia="宋体" w:cs="宋体"/>
                <w:color w:val="auto"/>
                <w:highlight w:val="none"/>
              </w:rPr>
              <w:t>联系人∶</w:t>
            </w:r>
            <w:r>
              <w:rPr>
                <w:rFonts w:hint="eastAsia" w:ascii="宋体" w:hAnsi="宋体" w:eastAsia="宋体" w:cs="宋体"/>
                <w:color w:val="auto"/>
                <w:highlight w:val="none"/>
                <w:u w:val="single"/>
                <w:lang w:eastAsia="zh-CN"/>
              </w:rPr>
              <w:t>钟</w:t>
            </w:r>
            <w:r>
              <w:rPr>
                <w:rFonts w:hint="eastAsia" w:ascii="宋体" w:hAnsi="宋体" w:eastAsia="宋体" w:cs="宋体"/>
                <w:color w:val="auto"/>
                <w:highlight w:val="none"/>
                <w:u w:val="single"/>
              </w:rPr>
              <w:t xml:space="preserve">女士                     </w:t>
            </w:r>
          </w:p>
          <w:p>
            <w:pPr>
              <w:pStyle w:val="16"/>
              <w:keepNext w:val="0"/>
              <w:keepLines w:val="0"/>
              <w:pageBreakBefore w:val="0"/>
              <w:widowControl/>
              <w:kinsoku/>
              <w:wordWrap/>
              <w:overflowPunct/>
              <w:topLinePunct w:val="0"/>
              <w:autoSpaceDE/>
              <w:autoSpaceDN/>
              <w:bidi w:val="0"/>
              <w:adjustRightInd/>
              <w:snapToGrid/>
              <w:spacing w:beforeAutospacing="0" w:afterAutospacing="0" w:line="360" w:lineRule="auto"/>
              <w:textAlignment w:val="auto"/>
              <w:rPr>
                <w:rFonts w:hint="eastAsia" w:ascii="宋体" w:hAnsi="宋体" w:eastAsia="宋体" w:cs="宋体"/>
                <w:color w:val="auto"/>
                <w:highlight w:val="none"/>
                <w:u w:val="single"/>
              </w:rPr>
            </w:pPr>
            <w:r>
              <w:rPr>
                <w:rFonts w:hint="eastAsia" w:ascii="宋体" w:hAnsi="宋体" w:eastAsia="宋体" w:cs="宋体"/>
                <w:color w:val="auto"/>
                <w:highlight w:val="none"/>
              </w:rPr>
              <w:t>联系电话∶</w:t>
            </w:r>
            <w:r>
              <w:rPr>
                <w:rFonts w:hint="eastAsia" w:ascii="宋体" w:hAnsi="宋体" w:eastAsia="宋体" w:cs="宋体"/>
                <w:color w:val="auto"/>
                <w:highlight w:val="none"/>
                <w:u w:val="single"/>
              </w:rPr>
              <w:t>0971-8162798/8166798</w:t>
            </w:r>
            <w:r>
              <w:rPr>
                <w:rFonts w:hint="eastAsia" w:ascii="宋体" w:hAnsi="宋体" w:eastAsia="宋体" w:cs="宋体"/>
                <w:color w:val="auto"/>
                <w:highlight w:val="none"/>
                <w:u w:val="single"/>
                <w:lang w:val="en-US" w:eastAsia="zh-CN"/>
              </w:rPr>
              <w:t>-8187</w:t>
            </w:r>
            <w:r>
              <w:rPr>
                <w:rFonts w:hint="eastAsia" w:ascii="宋体" w:hAnsi="宋体" w:eastAsia="宋体" w:cs="宋体"/>
                <w:color w:val="auto"/>
                <w:highlight w:val="none"/>
                <w:u w:val="single"/>
              </w:rPr>
              <w:t xml:space="preserve"> </w:t>
            </w:r>
          </w:p>
          <w:p>
            <w:pPr>
              <w:pStyle w:val="16"/>
              <w:keepNext w:val="0"/>
              <w:keepLines w:val="0"/>
              <w:pageBreakBefore w:val="0"/>
              <w:widowControl/>
              <w:kinsoku/>
              <w:wordWrap/>
              <w:overflowPunct/>
              <w:topLinePunct w:val="0"/>
              <w:autoSpaceDE/>
              <w:autoSpaceDN/>
              <w:bidi w:val="0"/>
              <w:adjustRightInd/>
              <w:snapToGrid/>
              <w:spacing w:beforeAutospacing="0" w:afterAutospacing="0" w:line="360" w:lineRule="auto"/>
              <w:textAlignment w:val="auto"/>
              <w:rPr>
                <w:rFonts w:hint="eastAsia" w:ascii="宋体" w:hAnsi="宋体" w:eastAsia="宋体" w:cs="宋体"/>
                <w:color w:val="auto"/>
                <w:highlight w:val="none"/>
                <w:u w:val="single"/>
              </w:rPr>
            </w:pPr>
            <w:r>
              <w:rPr>
                <w:rFonts w:hint="eastAsia" w:ascii="宋体" w:hAnsi="宋体" w:eastAsia="宋体" w:cs="宋体"/>
                <w:color w:val="auto"/>
                <w:highlight w:val="none"/>
              </w:rPr>
              <w:t>通信地址∶</w:t>
            </w:r>
            <w:r>
              <w:rPr>
                <w:rFonts w:hint="eastAsia" w:ascii="宋体" w:hAnsi="宋体" w:eastAsia="宋体" w:cs="宋体"/>
                <w:color w:val="auto"/>
                <w:highlight w:val="none"/>
                <w:u w:val="single"/>
              </w:rPr>
              <w:t>青海省西宁市西川南路76</w:t>
            </w:r>
            <w:r>
              <w:rPr>
                <w:rStyle w:val="40"/>
                <w:rFonts w:hint="eastAsia" w:ascii="宋体" w:hAnsi="宋体" w:eastAsia="宋体" w:cs="宋体"/>
                <w:color w:val="auto"/>
                <w:highlight w:val="none"/>
                <w:u w:val="single"/>
              </w:rPr>
              <w:t>号万达中心</w:t>
            </w:r>
            <w:r>
              <w:rPr>
                <w:rStyle w:val="42"/>
                <w:rFonts w:hint="eastAsia" w:ascii="宋体" w:hAnsi="宋体" w:eastAsia="宋体" w:cs="宋体"/>
                <w:color w:val="auto"/>
                <w:highlight w:val="none"/>
                <w:u w:val="single"/>
              </w:rPr>
              <w:t>1</w:t>
            </w:r>
            <w:r>
              <w:rPr>
                <w:rStyle w:val="40"/>
                <w:rFonts w:hint="eastAsia" w:ascii="宋体" w:hAnsi="宋体" w:eastAsia="宋体" w:cs="宋体"/>
                <w:color w:val="auto"/>
                <w:highlight w:val="none"/>
                <w:u w:val="single"/>
              </w:rPr>
              <w:t>号写字楼</w:t>
            </w:r>
            <w:r>
              <w:rPr>
                <w:rStyle w:val="42"/>
                <w:rFonts w:hint="eastAsia" w:ascii="宋体" w:hAnsi="宋体" w:eastAsia="宋体" w:cs="宋体"/>
                <w:color w:val="auto"/>
                <w:highlight w:val="none"/>
                <w:u w:val="single"/>
              </w:rPr>
              <w:t>6</w:t>
            </w:r>
            <w:r>
              <w:rPr>
                <w:rStyle w:val="40"/>
                <w:rFonts w:hint="eastAsia" w:ascii="宋体" w:hAnsi="宋体" w:eastAsia="宋体" w:cs="宋体"/>
                <w:color w:val="auto"/>
                <w:highlight w:val="none"/>
                <w:u w:val="single"/>
              </w:rPr>
              <w:t>楼</w:t>
            </w:r>
            <w:r>
              <w:rPr>
                <w:rStyle w:val="42"/>
                <w:rFonts w:hint="eastAsia" w:ascii="宋体" w:hAnsi="宋体" w:eastAsia="宋体" w:cs="宋体"/>
                <w:color w:val="auto"/>
                <w:highlight w:val="none"/>
                <w:u w:val="single"/>
              </w:rPr>
              <w:t>1060</w:t>
            </w:r>
            <w:r>
              <w:rPr>
                <w:rStyle w:val="42"/>
                <w:rFonts w:hint="eastAsia" w:ascii="宋体" w:hAnsi="宋体" w:eastAsia="宋体" w:cs="宋体"/>
                <w:color w:val="auto"/>
                <w:highlight w:val="none"/>
                <w:u w:val="single"/>
                <w:lang w:val="en-US" w:eastAsia="zh-CN"/>
              </w:rPr>
              <w:t>8</w:t>
            </w:r>
            <w:r>
              <w:rPr>
                <w:rStyle w:val="40"/>
                <w:rFonts w:hint="eastAsia" w:ascii="宋体" w:hAnsi="宋体" w:eastAsia="宋体" w:cs="宋体"/>
                <w:color w:val="auto"/>
                <w:highlight w:val="none"/>
                <w:u w:val="single"/>
              </w:rPr>
              <w:t>室</w:t>
            </w:r>
            <w:r>
              <w:rPr>
                <w:rFonts w:hint="eastAsia" w:ascii="宋体" w:hAnsi="宋体" w:eastAsia="宋体" w:cs="宋体"/>
                <w:color w:val="auto"/>
                <w:highlight w:val="none"/>
                <w:u w:val="single"/>
              </w:rPr>
              <w:t xml:space="preserve">                     </w:t>
            </w:r>
          </w:p>
          <w:p>
            <w:pPr>
              <w:pStyle w:val="16"/>
              <w:keepNext w:val="0"/>
              <w:keepLines w:val="0"/>
              <w:pageBreakBefore w:val="0"/>
              <w:widowControl/>
              <w:kinsoku/>
              <w:wordWrap/>
              <w:overflowPunct/>
              <w:topLinePunct w:val="0"/>
              <w:autoSpaceDE/>
              <w:autoSpaceDN/>
              <w:bidi w:val="0"/>
              <w:adjustRightInd/>
              <w:snapToGrid/>
              <w:spacing w:beforeAutospacing="0" w:afterAutospacing="0" w:line="360" w:lineRule="auto"/>
              <w:textAlignment w:val="auto"/>
              <w:rPr>
                <w:rFonts w:hint="eastAsia" w:ascii="宋体" w:hAnsi="宋体" w:eastAsia="宋体" w:cs="宋体"/>
                <w:color w:val="auto"/>
                <w:highlight w:val="none"/>
                <w:u w:val="single"/>
              </w:rPr>
            </w:pPr>
            <w:r>
              <w:rPr>
                <w:rFonts w:hint="eastAsia" w:ascii="宋体" w:hAnsi="宋体" w:eastAsia="宋体" w:cs="宋体"/>
                <w:color w:val="auto"/>
                <w:highlight w:val="none"/>
              </w:rPr>
              <w:t>其他∶</w:t>
            </w:r>
            <w:r>
              <w:rPr>
                <w:rFonts w:hint="eastAsia" w:ascii="宋体" w:hAnsi="宋体" w:eastAsia="宋体" w:cs="宋体"/>
                <w:color w:val="auto"/>
                <w:highlight w:val="none"/>
                <w:u w:val="single"/>
              </w:rPr>
              <w:t xml:space="preserve">递交异议材料采用书面形式，并提供授权书；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7" w:hRule="atLeast"/>
          <w:jc w:val="center"/>
        </w:trPr>
        <w:tc>
          <w:tcPr>
            <w:tcW w:w="1137" w:type="dxa"/>
            <w:vAlign w:val="center"/>
          </w:tcPr>
          <w:p>
            <w:pPr>
              <w:pStyle w:val="16"/>
              <w:keepNext w:val="0"/>
              <w:keepLines w:val="0"/>
              <w:pageBreakBefore w:val="0"/>
              <w:widowControl/>
              <w:kinsoku/>
              <w:wordWrap/>
              <w:overflowPunct/>
              <w:topLinePunct w:val="0"/>
              <w:autoSpaceDE/>
              <w:autoSpaceDN/>
              <w:bidi w:val="0"/>
              <w:adjustRightInd/>
              <w:snapToGrid/>
              <w:spacing w:beforeAutospacing="0" w:afterAutospacing="0" w:line="360" w:lineRule="auto"/>
              <w:jc w:val="center"/>
              <w:textAlignment w:val="auto"/>
              <w:rPr>
                <w:rFonts w:hint="eastAsia" w:ascii="宋体" w:hAnsi="宋体" w:eastAsia="宋体" w:cs="宋体"/>
                <w:color w:val="auto"/>
                <w:highlight w:val="none"/>
              </w:rPr>
            </w:pPr>
            <w:r>
              <w:rPr>
                <w:rFonts w:hint="eastAsia" w:ascii="宋体" w:hAnsi="宋体" w:eastAsia="宋体" w:cs="宋体"/>
                <w:color w:val="auto"/>
                <w:highlight w:val="none"/>
              </w:rPr>
              <w:t>8.2</w:t>
            </w:r>
          </w:p>
        </w:tc>
        <w:tc>
          <w:tcPr>
            <w:tcW w:w="3200" w:type="dxa"/>
            <w:vAlign w:val="center"/>
          </w:tcPr>
          <w:p>
            <w:pPr>
              <w:pStyle w:val="16"/>
              <w:keepNext w:val="0"/>
              <w:keepLines w:val="0"/>
              <w:pageBreakBefore w:val="0"/>
              <w:widowControl/>
              <w:kinsoku/>
              <w:wordWrap/>
              <w:overflowPunct/>
              <w:topLinePunct w:val="0"/>
              <w:autoSpaceDE/>
              <w:autoSpaceDN/>
              <w:bidi w:val="0"/>
              <w:adjustRightInd/>
              <w:snapToGrid/>
              <w:spacing w:beforeAutospacing="0" w:afterAutospacing="0" w:line="360" w:lineRule="auto"/>
              <w:jc w:val="center"/>
              <w:textAlignment w:val="auto"/>
              <w:rPr>
                <w:rFonts w:hint="eastAsia" w:ascii="宋体" w:hAnsi="宋体" w:eastAsia="宋体" w:cs="宋体"/>
                <w:color w:val="auto"/>
                <w:highlight w:val="none"/>
              </w:rPr>
            </w:pPr>
            <w:r>
              <w:rPr>
                <w:rFonts w:hint="eastAsia" w:ascii="宋体" w:hAnsi="宋体" w:eastAsia="宋体" w:cs="宋体"/>
                <w:color w:val="auto"/>
                <w:highlight w:val="none"/>
              </w:rPr>
              <w:t>可以调解异议争议的行业组织或</w:t>
            </w:r>
          </w:p>
          <w:p>
            <w:pPr>
              <w:pStyle w:val="16"/>
              <w:keepNext w:val="0"/>
              <w:keepLines w:val="0"/>
              <w:pageBreakBefore w:val="0"/>
              <w:widowControl/>
              <w:kinsoku/>
              <w:wordWrap/>
              <w:overflowPunct/>
              <w:topLinePunct w:val="0"/>
              <w:autoSpaceDE/>
              <w:autoSpaceDN/>
              <w:bidi w:val="0"/>
              <w:adjustRightInd/>
              <w:snapToGrid/>
              <w:spacing w:beforeAutospacing="0" w:afterAutospacing="0" w:line="360" w:lineRule="auto"/>
              <w:jc w:val="center"/>
              <w:textAlignment w:val="auto"/>
              <w:rPr>
                <w:rFonts w:hint="eastAsia" w:ascii="宋体" w:hAnsi="宋体" w:eastAsia="宋体" w:cs="宋体"/>
                <w:color w:val="auto"/>
                <w:highlight w:val="none"/>
              </w:rPr>
            </w:pPr>
            <w:r>
              <w:rPr>
                <w:rFonts w:hint="eastAsia" w:ascii="宋体" w:hAnsi="宋体" w:eastAsia="宋体" w:cs="宋体"/>
                <w:color w:val="auto"/>
                <w:highlight w:val="none"/>
              </w:rPr>
              <w:t>专业咨询机构</w:t>
            </w:r>
          </w:p>
        </w:tc>
        <w:tc>
          <w:tcPr>
            <w:tcW w:w="6145" w:type="dxa"/>
            <w:vAlign w:val="center"/>
          </w:tcPr>
          <w:p>
            <w:pPr>
              <w:pStyle w:val="16"/>
              <w:keepNext w:val="0"/>
              <w:keepLines w:val="0"/>
              <w:pageBreakBefore w:val="0"/>
              <w:widowControl/>
              <w:kinsoku/>
              <w:wordWrap/>
              <w:overflowPunct/>
              <w:topLinePunct w:val="0"/>
              <w:autoSpaceDE/>
              <w:autoSpaceDN/>
              <w:bidi w:val="0"/>
              <w:adjustRightInd/>
              <w:snapToGrid/>
              <w:spacing w:beforeAutospacing="0" w:afterAutospacing="0" w:line="360" w:lineRule="auto"/>
              <w:textAlignment w:val="auto"/>
              <w:rPr>
                <w:rFonts w:hint="eastAsia" w:ascii="宋体" w:hAnsi="宋体" w:eastAsia="宋体" w:cs="宋体"/>
                <w:color w:val="auto"/>
                <w:highlight w:val="none"/>
              </w:rPr>
            </w:pPr>
            <w:r>
              <w:rPr>
                <w:rFonts w:hint="eastAsia" w:ascii="宋体" w:hAnsi="宋体" w:eastAsia="宋体" w:cs="宋体"/>
                <w:color w:val="auto"/>
                <w:highlight w:val="none"/>
              </w:rPr>
              <w:t>响应人对询比采购文件有任何异议的均应在递交</w:t>
            </w:r>
            <w:r>
              <w:rPr>
                <w:rFonts w:hint="eastAsia" w:ascii="宋体" w:hAnsi="宋体" w:eastAsia="宋体" w:cs="宋体"/>
                <w:color w:val="auto"/>
                <w:highlight w:val="none"/>
                <w:lang w:eastAsia="zh-CN"/>
              </w:rPr>
              <w:t>询比采购文件</w:t>
            </w:r>
            <w:r>
              <w:rPr>
                <w:rFonts w:hint="eastAsia" w:ascii="宋体" w:hAnsi="宋体" w:eastAsia="宋体" w:cs="宋体"/>
                <w:color w:val="auto"/>
                <w:highlight w:val="none"/>
              </w:rPr>
              <w:t>截止时间3</w:t>
            </w:r>
            <w:r>
              <w:rPr>
                <w:rStyle w:val="40"/>
                <w:rFonts w:hint="eastAsia" w:ascii="宋体" w:hAnsi="宋体" w:eastAsia="宋体" w:cs="宋体"/>
                <w:color w:val="auto"/>
                <w:highlight w:val="none"/>
              </w:rPr>
              <w:t>天前向</w:t>
            </w:r>
            <w:r>
              <w:rPr>
                <w:rStyle w:val="40"/>
                <w:rFonts w:hint="eastAsia" w:ascii="宋体" w:hAnsi="宋体" w:eastAsia="宋体" w:cs="宋体"/>
                <w:color w:val="auto"/>
                <w:highlight w:val="none"/>
                <w:lang w:eastAsia="zh-CN"/>
              </w:rPr>
              <w:t>询比</w:t>
            </w:r>
            <w:r>
              <w:rPr>
                <w:rStyle w:val="40"/>
                <w:rFonts w:hint="eastAsia" w:ascii="宋体" w:hAnsi="宋体" w:eastAsia="宋体" w:cs="宋体"/>
                <w:color w:val="auto"/>
                <w:highlight w:val="none"/>
              </w:rPr>
              <w:t>小组提出，在规定时间内未提出异议的视为完全认同本询比采购文件的要求。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1" w:hRule="atLeast"/>
          <w:jc w:val="center"/>
        </w:trPr>
        <w:tc>
          <w:tcPr>
            <w:tcW w:w="1137" w:type="dxa"/>
            <w:vAlign w:val="center"/>
          </w:tcPr>
          <w:p>
            <w:pPr>
              <w:pStyle w:val="16"/>
              <w:keepNext w:val="0"/>
              <w:keepLines w:val="0"/>
              <w:pageBreakBefore w:val="0"/>
              <w:widowControl/>
              <w:kinsoku/>
              <w:wordWrap/>
              <w:overflowPunct/>
              <w:topLinePunct w:val="0"/>
              <w:autoSpaceDE/>
              <w:autoSpaceDN/>
              <w:bidi w:val="0"/>
              <w:adjustRightInd/>
              <w:snapToGrid/>
              <w:spacing w:beforeAutospacing="0" w:afterAutospacing="0" w:line="360" w:lineRule="auto"/>
              <w:jc w:val="center"/>
              <w:textAlignment w:val="auto"/>
              <w:rPr>
                <w:rFonts w:hint="eastAsia" w:ascii="宋体" w:hAnsi="宋体" w:eastAsia="宋体" w:cs="宋体"/>
                <w:color w:val="auto"/>
                <w:highlight w:val="none"/>
              </w:rPr>
            </w:pPr>
            <w:r>
              <w:rPr>
                <w:rFonts w:hint="eastAsia" w:ascii="宋体" w:hAnsi="宋体" w:eastAsia="宋体" w:cs="宋体"/>
                <w:color w:val="auto"/>
                <w:highlight w:val="none"/>
              </w:rPr>
              <w:t>10.1</w:t>
            </w:r>
          </w:p>
        </w:tc>
        <w:tc>
          <w:tcPr>
            <w:tcW w:w="3200" w:type="dxa"/>
            <w:vAlign w:val="center"/>
          </w:tcPr>
          <w:p>
            <w:pPr>
              <w:pStyle w:val="16"/>
              <w:keepNext w:val="0"/>
              <w:keepLines w:val="0"/>
              <w:pageBreakBefore w:val="0"/>
              <w:widowControl/>
              <w:kinsoku/>
              <w:wordWrap/>
              <w:overflowPunct/>
              <w:topLinePunct w:val="0"/>
              <w:autoSpaceDE/>
              <w:autoSpaceDN/>
              <w:bidi w:val="0"/>
              <w:adjustRightInd/>
              <w:snapToGrid/>
              <w:spacing w:beforeAutospacing="0" w:afterAutospacing="0" w:line="360" w:lineRule="auto"/>
              <w:jc w:val="center"/>
              <w:textAlignment w:val="auto"/>
              <w:rPr>
                <w:rFonts w:hint="eastAsia" w:ascii="宋体" w:hAnsi="宋体" w:eastAsia="宋体" w:cs="宋体"/>
                <w:color w:val="auto"/>
                <w:highlight w:val="none"/>
              </w:rPr>
            </w:pPr>
            <w:r>
              <w:rPr>
                <w:rFonts w:hint="eastAsia" w:ascii="宋体" w:hAnsi="宋体" w:eastAsia="宋体" w:cs="宋体"/>
                <w:color w:val="auto"/>
                <w:highlight w:val="none"/>
                <w:lang w:eastAsia="zh-CN"/>
              </w:rPr>
              <w:t>招标</w:t>
            </w:r>
            <w:r>
              <w:rPr>
                <w:rFonts w:hint="eastAsia" w:ascii="宋体" w:hAnsi="宋体" w:eastAsia="宋体" w:cs="宋体"/>
                <w:color w:val="auto"/>
                <w:highlight w:val="none"/>
              </w:rPr>
              <w:t>代理服务费</w:t>
            </w:r>
          </w:p>
        </w:tc>
        <w:tc>
          <w:tcPr>
            <w:tcW w:w="6145" w:type="dxa"/>
            <w:vAlign w:val="center"/>
          </w:tcPr>
          <w:p>
            <w:pPr>
              <w:pStyle w:val="16"/>
              <w:keepNext w:val="0"/>
              <w:keepLines w:val="0"/>
              <w:pageBreakBefore w:val="0"/>
              <w:widowControl/>
              <w:kinsoku/>
              <w:wordWrap/>
              <w:overflowPunct/>
              <w:topLinePunct w:val="0"/>
              <w:autoSpaceDE/>
              <w:autoSpaceDN/>
              <w:bidi w:val="0"/>
              <w:adjustRightInd/>
              <w:snapToGrid/>
              <w:spacing w:beforeAutospacing="0" w:afterAutospacing="0" w:line="360" w:lineRule="auto"/>
              <w:textAlignment w:val="auto"/>
              <w:rPr>
                <w:rFonts w:hint="eastAsia" w:ascii="宋体" w:hAnsi="宋体" w:eastAsia="宋体" w:cs="宋体"/>
                <w:color w:val="auto"/>
                <w:highlight w:val="none"/>
              </w:rPr>
            </w:pPr>
            <w:r>
              <w:rPr>
                <w:rFonts w:hint="eastAsia" w:ascii="宋体" w:hAnsi="宋体" w:eastAsia="宋体" w:cs="宋体"/>
                <w:color w:val="auto"/>
                <w:highlight w:val="none"/>
              </w:rPr>
              <w:sym w:font="Wingdings 2" w:char="00A3"/>
            </w:r>
            <w:r>
              <w:rPr>
                <w:rFonts w:hint="eastAsia" w:ascii="宋体" w:hAnsi="宋体" w:eastAsia="宋体" w:cs="宋体"/>
                <w:color w:val="auto"/>
                <w:highlight w:val="none"/>
              </w:rPr>
              <w:t>不要求承担</w:t>
            </w:r>
          </w:p>
          <w:p>
            <w:pPr>
              <w:pStyle w:val="16"/>
              <w:keepNext w:val="0"/>
              <w:keepLines w:val="0"/>
              <w:pageBreakBefore w:val="0"/>
              <w:widowControl/>
              <w:kinsoku/>
              <w:wordWrap/>
              <w:overflowPunct/>
              <w:topLinePunct w:val="0"/>
              <w:autoSpaceDE/>
              <w:autoSpaceDN/>
              <w:bidi w:val="0"/>
              <w:adjustRightInd/>
              <w:snapToGrid/>
              <w:spacing w:beforeAutospacing="0" w:afterAutospacing="0" w:line="360" w:lineRule="auto"/>
              <w:textAlignment w:val="auto"/>
              <w:rPr>
                <w:rFonts w:hint="eastAsia" w:ascii="宋体" w:hAnsi="宋体" w:eastAsia="宋体" w:cs="宋体"/>
                <w:color w:val="auto"/>
                <w:highlight w:val="none"/>
              </w:rPr>
            </w:pPr>
            <w:r>
              <w:rPr>
                <w:rFonts w:hint="eastAsia" w:ascii="宋体" w:hAnsi="宋体" w:eastAsia="宋体" w:cs="宋体"/>
                <w:color w:val="auto"/>
                <w:highlight w:val="none"/>
              </w:rPr>
              <w:sym w:font="Wingdings 2" w:char="0052"/>
            </w:r>
            <w:r>
              <w:rPr>
                <w:rFonts w:hint="eastAsia" w:ascii="宋体" w:hAnsi="宋体" w:eastAsia="宋体" w:cs="宋体"/>
                <w:color w:val="auto"/>
                <w:highlight w:val="none"/>
              </w:rPr>
              <w:t>要求承担</w:t>
            </w:r>
          </w:p>
          <w:p>
            <w:pPr>
              <w:pStyle w:val="16"/>
              <w:keepNext w:val="0"/>
              <w:keepLines w:val="0"/>
              <w:pageBreakBefore w:val="0"/>
              <w:widowControl/>
              <w:kinsoku/>
              <w:wordWrap/>
              <w:overflowPunct/>
              <w:topLinePunct w:val="0"/>
              <w:autoSpaceDE/>
              <w:autoSpaceDN/>
              <w:bidi w:val="0"/>
              <w:adjustRightInd/>
              <w:snapToGrid/>
              <w:spacing w:beforeAutospacing="0" w:afterAutospacing="0" w:line="360" w:lineRule="auto"/>
              <w:textAlignment w:val="auto"/>
              <w:rPr>
                <w:rFonts w:hint="eastAsia" w:ascii="宋体" w:hAnsi="宋体" w:eastAsia="宋体" w:cs="宋体"/>
                <w:color w:val="auto"/>
                <w:highlight w:val="none"/>
                <w:lang w:eastAsia="zh-CN"/>
              </w:rPr>
            </w:pPr>
            <w:r>
              <w:rPr>
                <w:rFonts w:hint="eastAsia" w:ascii="宋体" w:hAnsi="宋体" w:eastAsia="宋体" w:cs="宋体"/>
                <w:color w:val="auto"/>
                <w:highlight w:val="none"/>
              </w:rPr>
              <w:t>收取对象：</w:t>
            </w:r>
            <w:r>
              <w:rPr>
                <w:rFonts w:hint="eastAsia" w:ascii="宋体" w:hAnsi="宋体" w:eastAsia="宋体" w:cs="宋体"/>
                <w:color w:val="auto"/>
                <w:highlight w:val="none"/>
                <w:lang w:eastAsia="zh-CN"/>
              </w:rPr>
              <w:t>中标人支付</w:t>
            </w:r>
          </w:p>
          <w:p>
            <w:pPr>
              <w:pStyle w:val="16"/>
              <w:keepNext w:val="0"/>
              <w:keepLines w:val="0"/>
              <w:pageBreakBefore w:val="0"/>
              <w:widowControl/>
              <w:kinsoku/>
              <w:wordWrap/>
              <w:overflowPunct/>
              <w:topLinePunct w:val="0"/>
              <w:autoSpaceDE/>
              <w:autoSpaceDN/>
              <w:bidi w:val="0"/>
              <w:adjustRightInd/>
              <w:snapToGrid/>
              <w:spacing w:beforeAutospacing="0" w:afterAutospacing="0" w:line="360" w:lineRule="auto"/>
              <w:textAlignment w:val="auto"/>
              <w:rPr>
                <w:rFonts w:hint="eastAsia" w:ascii="宋体" w:hAnsi="宋体" w:eastAsia="宋体" w:cs="宋体"/>
                <w:color w:val="auto"/>
                <w:highlight w:val="none"/>
              </w:rPr>
            </w:pPr>
            <w:r>
              <w:rPr>
                <w:rFonts w:hint="eastAsia" w:ascii="宋体" w:hAnsi="宋体" w:eastAsia="宋体" w:cs="宋体"/>
                <w:color w:val="auto"/>
                <w:highlight w:val="none"/>
              </w:rPr>
              <w:t>1、费用标准或金额∶费用标准或金额∶以中标金额作为计算基数，参照《招标代理服务收费管理暂行办法》（计价格[2002]1980号）以及《关于进一步放开建设项目专项业务服务价格的通知》（发改价格[2015]299号）规定执行。</w:t>
            </w:r>
          </w:p>
          <w:p>
            <w:pPr>
              <w:pStyle w:val="16"/>
              <w:keepNext w:val="0"/>
              <w:keepLines w:val="0"/>
              <w:pageBreakBefore w:val="0"/>
              <w:widowControl/>
              <w:kinsoku/>
              <w:wordWrap/>
              <w:overflowPunct/>
              <w:topLinePunct w:val="0"/>
              <w:autoSpaceDE/>
              <w:autoSpaceDN/>
              <w:bidi w:val="0"/>
              <w:adjustRightInd/>
              <w:snapToGrid/>
              <w:spacing w:beforeAutospacing="0" w:afterAutospacing="0" w:line="360" w:lineRule="auto"/>
              <w:textAlignment w:val="auto"/>
              <w:rPr>
                <w:rFonts w:hint="eastAsia" w:ascii="宋体" w:hAnsi="宋体" w:eastAsia="宋体" w:cs="宋体"/>
                <w:color w:val="auto"/>
                <w:highlight w:val="none"/>
              </w:rPr>
            </w:pPr>
            <w:r>
              <w:rPr>
                <w:rFonts w:hint="eastAsia" w:ascii="宋体" w:hAnsi="宋体" w:eastAsia="宋体" w:cs="宋体"/>
                <w:color w:val="auto"/>
                <w:highlight w:val="none"/>
              </w:rPr>
              <w:t>交费时间∶自领取中标通知书前一次性支付全部金额</w:t>
            </w:r>
          </w:p>
          <w:p>
            <w:pPr>
              <w:pStyle w:val="16"/>
              <w:keepNext w:val="0"/>
              <w:keepLines w:val="0"/>
              <w:pageBreakBefore w:val="0"/>
              <w:widowControl/>
              <w:kinsoku/>
              <w:wordWrap/>
              <w:overflowPunct/>
              <w:topLinePunct w:val="0"/>
              <w:autoSpaceDE/>
              <w:autoSpaceDN/>
              <w:bidi w:val="0"/>
              <w:adjustRightInd/>
              <w:snapToGrid/>
              <w:spacing w:beforeAutospacing="0" w:afterAutospacing="0" w:line="360" w:lineRule="auto"/>
              <w:ind w:firstLine="240" w:firstLineChars="100"/>
              <w:textAlignment w:val="auto"/>
              <w:rPr>
                <w:rFonts w:hint="eastAsia" w:ascii="宋体" w:hAnsi="宋体" w:eastAsia="宋体" w:cs="宋体"/>
                <w:color w:val="auto"/>
                <w:sz w:val="24"/>
                <w:highlight w:val="none"/>
              </w:rPr>
            </w:pPr>
            <w:r>
              <w:rPr>
                <w:rFonts w:hint="eastAsia" w:ascii="宋体" w:hAnsi="宋体" w:eastAsia="宋体" w:cs="宋体"/>
                <w:color w:val="auto"/>
                <w:highlight w:val="none"/>
              </w:rPr>
              <w:t>交费方式∶转账或其他；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9" w:hRule="atLeast"/>
          <w:jc w:val="center"/>
        </w:trPr>
        <w:tc>
          <w:tcPr>
            <w:tcW w:w="1137" w:type="dxa"/>
            <w:vAlign w:val="center"/>
          </w:tcPr>
          <w:p>
            <w:pPr>
              <w:pStyle w:val="16"/>
              <w:keepNext w:val="0"/>
              <w:keepLines w:val="0"/>
              <w:pageBreakBefore w:val="0"/>
              <w:widowControl/>
              <w:kinsoku/>
              <w:wordWrap/>
              <w:overflowPunct/>
              <w:topLinePunct w:val="0"/>
              <w:autoSpaceDE/>
              <w:autoSpaceDN/>
              <w:bidi w:val="0"/>
              <w:adjustRightInd/>
              <w:snapToGrid/>
              <w:spacing w:beforeAutospacing="0" w:afterAutospacing="0" w:line="360" w:lineRule="auto"/>
              <w:jc w:val="center"/>
              <w:textAlignment w:val="auto"/>
              <w:rPr>
                <w:rFonts w:hint="eastAsia" w:ascii="宋体" w:hAnsi="宋体" w:eastAsia="宋体" w:cs="宋体"/>
                <w:color w:val="auto"/>
                <w:highlight w:val="none"/>
              </w:rPr>
            </w:pPr>
            <w:r>
              <w:rPr>
                <w:rFonts w:hint="eastAsia" w:ascii="宋体" w:hAnsi="宋体" w:eastAsia="宋体" w:cs="宋体"/>
                <w:color w:val="auto"/>
                <w:highlight w:val="none"/>
              </w:rPr>
              <w:t>10.2</w:t>
            </w:r>
          </w:p>
        </w:tc>
        <w:tc>
          <w:tcPr>
            <w:tcW w:w="3200" w:type="dxa"/>
            <w:vAlign w:val="center"/>
          </w:tcPr>
          <w:p>
            <w:pPr>
              <w:pStyle w:val="16"/>
              <w:keepNext w:val="0"/>
              <w:keepLines w:val="0"/>
              <w:pageBreakBefore w:val="0"/>
              <w:widowControl/>
              <w:kinsoku/>
              <w:wordWrap/>
              <w:overflowPunct/>
              <w:topLinePunct w:val="0"/>
              <w:autoSpaceDE/>
              <w:autoSpaceDN/>
              <w:bidi w:val="0"/>
              <w:adjustRightInd/>
              <w:snapToGrid/>
              <w:spacing w:beforeAutospacing="0" w:afterAutospacing="0" w:line="360" w:lineRule="auto"/>
              <w:jc w:val="center"/>
              <w:textAlignment w:val="auto"/>
              <w:rPr>
                <w:rFonts w:hint="eastAsia" w:ascii="宋体" w:hAnsi="宋体" w:eastAsia="宋体" w:cs="宋体"/>
                <w:color w:val="auto"/>
                <w:highlight w:val="none"/>
              </w:rPr>
            </w:pPr>
            <w:r>
              <w:rPr>
                <w:rFonts w:hint="eastAsia" w:ascii="宋体" w:hAnsi="宋体" w:eastAsia="宋体" w:cs="宋体"/>
                <w:color w:val="auto"/>
                <w:highlight w:val="none"/>
              </w:rPr>
              <w:t>需要补充的其他内容</w:t>
            </w:r>
          </w:p>
        </w:tc>
        <w:tc>
          <w:tcPr>
            <w:tcW w:w="6145" w:type="dxa"/>
            <w:vAlign w:val="center"/>
          </w:tcPr>
          <w:p>
            <w:pPr>
              <w:pStyle w:val="16"/>
              <w:keepNext w:val="0"/>
              <w:keepLines w:val="0"/>
              <w:pageBreakBefore w:val="0"/>
              <w:widowControl/>
              <w:kinsoku/>
              <w:wordWrap/>
              <w:overflowPunct/>
              <w:topLinePunct w:val="0"/>
              <w:autoSpaceDE/>
              <w:autoSpaceDN/>
              <w:bidi w:val="0"/>
              <w:adjustRightInd/>
              <w:snapToGrid/>
              <w:spacing w:beforeAutospacing="0" w:afterAutospacing="0" w:line="360" w:lineRule="auto"/>
              <w:textAlignment w:val="auto"/>
              <w:rPr>
                <w:rFonts w:hint="eastAsia" w:ascii="宋体" w:hAnsi="宋体" w:eastAsia="宋体" w:cs="宋体"/>
                <w:color w:val="auto"/>
                <w:highlight w:val="none"/>
              </w:rPr>
            </w:pPr>
            <w:r>
              <w:rPr>
                <w:rFonts w:hint="eastAsia" w:ascii="宋体" w:hAnsi="宋体" w:eastAsia="宋体" w:cs="宋体"/>
                <w:color w:val="auto"/>
                <w:highlight w:val="none"/>
              </w:rPr>
              <w:t>根据青海省发展和改革委员会青海省招标投标协会二零一九年三月青海省非招标方式招标</w:t>
            </w:r>
            <w:r>
              <w:rPr>
                <w:rFonts w:hint="eastAsia" w:ascii="宋体" w:hAnsi="宋体" w:eastAsia="宋体" w:cs="宋体"/>
                <w:color w:val="auto"/>
                <w:highlight w:val="none"/>
                <w:lang w:eastAsia="zh-CN"/>
              </w:rPr>
              <w:t>招标</w:t>
            </w:r>
            <w:r>
              <w:rPr>
                <w:rFonts w:hint="eastAsia" w:ascii="宋体" w:hAnsi="宋体" w:eastAsia="宋体" w:cs="宋体"/>
                <w:color w:val="auto"/>
                <w:highlight w:val="none"/>
              </w:rPr>
              <w:t>代理规范的规定结合本次招标项目的实际情况，</w:t>
            </w:r>
            <w:r>
              <w:rPr>
                <w:rFonts w:hint="eastAsia" w:ascii="宋体" w:hAnsi="宋体" w:eastAsia="宋体" w:cs="宋体"/>
                <w:color w:val="auto"/>
                <w:highlight w:val="none"/>
                <w:lang w:eastAsia="zh-CN"/>
              </w:rPr>
              <w:t>询比</w:t>
            </w:r>
            <w:r>
              <w:rPr>
                <w:rFonts w:hint="eastAsia" w:ascii="宋体" w:hAnsi="宋体" w:eastAsia="宋体" w:cs="宋体"/>
                <w:color w:val="auto"/>
                <w:highlight w:val="none"/>
              </w:rPr>
              <w:t>小组由招标单位的代表和评审专家共3</w:t>
            </w:r>
            <w:r>
              <w:rPr>
                <w:rStyle w:val="40"/>
                <w:rFonts w:hint="eastAsia" w:ascii="宋体" w:hAnsi="宋体" w:eastAsia="宋体" w:cs="宋体"/>
                <w:color w:val="auto"/>
                <w:highlight w:val="none"/>
              </w:rPr>
              <w:t>人以上的单数组成，其中专家人数不得少于</w:t>
            </w:r>
            <w:r>
              <w:rPr>
                <w:rStyle w:val="40"/>
                <w:rFonts w:hint="eastAsia" w:ascii="宋体" w:hAnsi="宋体" w:eastAsia="宋体" w:cs="宋体"/>
                <w:color w:val="auto"/>
                <w:highlight w:val="none"/>
                <w:lang w:eastAsia="zh-CN"/>
              </w:rPr>
              <w:t>询比</w:t>
            </w:r>
            <w:r>
              <w:rPr>
                <w:rStyle w:val="40"/>
                <w:rFonts w:hint="eastAsia" w:ascii="宋体" w:hAnsi="宋体" w:eastAsia="宋体" w:cs="宋体"/>
                <w:color w:val="auto"/>
                <w:highlight w:val="none"/>
              </w:rPr>
              <w:t>采购小组成员总数的三分之二，负责本次招标项目的</w:t>
            </w:r>
            <w:r>
              <w:rPr>
                <w:rStyle w:val="40"/>
                <w:rFonts w:hint="eastAsia" w:ascii="宋体" w:hAnsi="宋体" w:eastAsia="宋体" w:cs="宋体"/>
                <w:color w:val="auto"/>
                <w:highlight w:val="none"/>
                <w:lang w:eastAsia="zh-CN"/>
              </w:rPr>
              <w:t>询比</w:t>
            </w:r>
            <w:r>
              <w:rPr>
                <w:rStyle w:val="40"/>
                <w:rFonts w:hint="eastAsia" w:ascii="宋体" w:hAnsi="宋体" w:eastAsia="宋体" w:cs="宋体"/>
                <w:color w:val="auto"/>
                <w:highlight w:val="none"/>
              </w:rPr>
              <w:t>采购和评审工作。</w:t>
            </w:r>
          </w:p>
        </w:tc>
      </w:tr>
    </w:tbl>
    <w:p>
      <w:pPr>
        <w:pageBreakBefore w:val="0"/>
        <w:kinsoku/>
        <w:overflowPunct/>
        <w:topLinePunct w:val="0"/>
        <w:bidi w:val="0"/>
        <w:snapToGrid/>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br w:type="page"/>
      </w:r>
    </w:p>
    <w:p>
      <w:pPr>
        <w:pStyle w:val="4"/>
        <w:pageBreakBefore w:val="0"/>
        <w:kinsoku/>
        <w:overflowPunct/>
        <w:topLinePunct w:val="0"/>
        <w:bidi w:val="0"/>
        <w:snapToGrid/>
        <w:spacing w:line="360" w:lineRule="auto"/>
        <w:jc w:val="both"/>
        <w:rPr>
          <w:rFonts w:hint="eastAsia" w:ascii="宋体" w:hAnsi="宋体" w:eastAsia="宋体" w:cs="宋体"/>
          <w:color w:val="auto"/>
          <w:highlight w:val="none"/>
        </w:rPr>
      </w:pPr>
      <w:bookmarkStart w:id="18" w:name="_Toc4793"/>
      <w:bookmarkStart w:id="19" w:name="_Toc22310"/>
      <w:r>
        <w:rPr>
          <w:rFonts w:hint="eastAsia" w:ascii="宋体" w:hAnsi="宋体" w:eastAsia="宋体" w:cs="宋体"/>
          <w:color w:val="auto"/>
          <w:highlight w:val="none"/>
        </w:rPr>
        <w:t>1 总则</w:t>
      </w:r>
      <w:bookmarkEnd w:id="18"/>
      <w:bookmarkEnd w:id="19"/>
    </w:p>
    <w:p>
      <w:pPr>
        <w:pStyle w:val="6"/>
        <w:pageBreakBefore w:val="0"/>
        <w:kinsoku/>
        <w:overflowPunct/>
        <w:topLinePunct w:val="0"/>
        <w:bidi w:val="0"/>
        <w:snapToGrid/>
        <w:spacing w:line="360" w:lineRule="auto"/>
        <w:rPr>
          <w:rFonts w:hint="eastAsia" w:ascii="宋体" w:hAnsi="宋体" w:eastAsia="宋体" w:cs="宋体"/>
          <w:color w:val="auto"/>
          <w:highlight w:val="none"/>
        </w:rPr>
      </w:pPr>
      <w:bookmarkStart w:id="20" w:name="_Toc12377"/>
      <w:bookmarkStart w:id="21" w:name="_Toc28842"/>
      <w:r>
        <w:rPr>
          <w:rFonts w:hint="eastAsia" w:ascii="宋体" w:hAnsi="宋体" w:eastAsia="宋体" w:cs="宋体"/>
          <w:color w:val="auto"/>
          <w:highlight w:val="none"/>
        </w:rPr>
        <w:t>1.1 采购方式</w:t>
      </w:r>
      <w:bookmarkEnd w:id="20"/>
      <w:bookmarkEnd w:id="21"/>
    </w:p>
    <w:p>
      <w:pPr>
        <w:pStyle w:val="16"/>
        <w:pageBreakBefore w:val="0"/>
        <w:widowControl/>
        <w:kinsoku/>
        <w:overflowPunct/>
        <w:topLinePunct w:val="0"/>
        <w:bidi w:val="0"/>
        <w:snapToGrid/>
        <w:spacing w:beforeAutospacing="0" w:afterAutospacing="0" w:line="360" w:lineRule="auto"/>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本项目采用中国招标投标协会发布的《非招标方式采购代理服务规范》（T/CTBA 001—2019）规定的询比采购方式。</w:t>
      </w:r>
    </w:p>
    <w:p>
      <w:pPr>
        <w:pStyle w:val="16"/>
        <w:pageBreakBefore w:val="0"/>
        <w:widowControl/>
        <w:kinsoku/>
        <w:overflowPunct/>
        <w:topLinePunct w:val="0"/>
        <w:bidi w:val="0"/>
        <w:snapToGrid/>
        <w:spacing w:beforeAutospacing="0" w:afterAutospacing="0" w:line="360" w:lineRule="auto"/>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询比采购是指</w:t>
      </w:r>
      <w:r>
        <w:rPr>
          <w:rFonts w:hint="eastAsia" w:ascii="宋体" w:hAnsi="宋体" w:eastAsia="宋体" w:cs="宋体"/>
          <w:color w:val="auto"/>
          <w:highlight w:val="none"/>
          <w:lang w:eastAsia="zh-CN"/>
        </w:rPr>
        <w:t>招标</w:t>
      </w:r>
      <w:r>
        <w:rPr>
          <w:rFonts w:hint="eastAsia" w:ascii="宋体" w:hAnsi="宋体" w:eastAsia="宋体" w:cs="宋体"/>
          <w:color w:val="auto"/>
          <w:highlight w:val="none"/>
        </w:rPr>
        <w:t>人组建评审小组对响应采购的</w:t>
      </w:r>
      <w:r>
        <w:rPr>
          <w:rFonts w:hint="eastAsia" w:ascii="宋体" w:hAnsi="宋体" w:eastAsia="宋体" w:cs="宋体"/>
          <w:color w:val="auto"/>
          <w:highlight w:val="none"/>
          <w:lang w:eastAsia="zh-CN"/>
        </w:rPr>
        <w:t>询比响应人</w:t>
      </w:r>
      <w:r>
        <w:rPr>
          <w:rFonts w:hint="eastAsia" w:ascii="宋体" w:hAnsi="宋体" w:eastAsia="宋体" w:cs="宋体"/>
          <w:color w:val="auto"/>
          <w:highlight w:val="none"/>
        </w:rPr>
        <w:t>按照采购文件规定的规则和时间一次递交的响应文件进行评审，</w:t>
      </w:r>
      <w:r>
        <w:rPr>
          <w:rFonts w:hint="eastAsia" w:ascii="宋体" w:hAnsi="宋体" w:eastAsia="宋体" w:cs="宋体"/>
          <w:color w:val="auto"/>
          <w:highlight w:val="none"/>
          <w:lang w:eastAsia="zh-CN"/>
        </w:rPr>
        <w:t>招标</w:t>
      </w:r>
      <w:r>
        <w:rPr>
          <w:rFonts w:hint="eastAsia" w:ascii="宋体" w:hAnsi="宋体" w:eastAsia="宋体" w:cs="宋体"/>
          <w:color w:val="auto"/>
          <w:highlight w:val="none"/>
        </w:rPr>
        <w:t>人根据评审小组的评审结果，选择确定成交</w:t>
      </w:r>
      <w:r>
        <w:rPr>
          <w:rFonts w:hint="eastAsia" w:ascii="宋体" w:hAnsi="宋体" w:eastAsia="宋体" w:cs="宋体"/>
          <w:color w:val="auto"/>
          <w:highlight w:val="none"/>
          <w:lang w:eastAsia="zh-CN"/>
        </w:rPr>
        <w:t>询比响应人</w:t>
      </w:r>
      <w:r>
        <w:rPr>
          <w:rFonts w:hint="eastAsia" w:ascii="宋体" w:hAnsi="宋体" w:eastAsia="宋体" w:cs="宋体"/>
          <w:color w:val="auto"/>
          <w:highlight w:val="none"/>
        </w:rPr>
        <w:t>的采购方式。</w:t>
      </w:r>
    </w:p>
    <w:p>
      <w:pPr>
        <w:pStyle w:val="6"/>
        <w:pageBreakBefore w:val="0"/>
        <w:kinsoku/>
        <w:overflowPunct/>
        <w:topLinePunct w:val="0"/>
        <w:bidi w:val="0"/>
        <w:snapToGrid/>
        <w:spacing w:line="360" w:lineRule="auto"/>
        <w:rPr>
          <w:rFonts w:hint="eastAsia" w:ascii="宋体" w:hAnsi="宋体" w:eastAsia="宋体" w:cs="宋体"/>
          <w:color w:val="auto"/>
          <w:highlight w:val="none"/>
        </w:rPr>
      </w:pPr>
      <w:bookmarkStart w:id="22" w:name="_Toc21124"/>
      <w:bookmarkStart w:id="23" w:name="_Toc18941"/>
      <w:r>
        <w:rPr>
          <w:rFonts w:hint="eastAsia" w:ascii="宋体" w:hAnsi="宋体" w:eastAsia="宋体" w:cs="宋体"/>
          <w:color w:val="auto"/>
          <w:highlight w:val="none"/>
        </w:rPr>
        <w:t>1.2 采购项目概况和</w:t>
      </w:r>
      <w:r>
        <w:rPr>
          <w:rFonts w:hint="eastAsia" w:ascii="宋体" w:hAnsi="宋体" w:eastAsia="宋体" w:cs="宋体"/>
          <w:color w:val="auto"/>
          <w:highlight w:val="none"/>
          <w:lang w:eastAsia="zh-CN"/>
        </w:rPr>
        <w:t>询比响应人</w:t>
      </w:r>
      <w:r>
        <w:rPr>
          <w:rFonts w:hint="eastAsia" w:ascii="宋体" w:hAnsi="宋体" w:eastAsia="宋体" w:cs="宋体"/>
          <w:color w:val="auto"/>
          <w:highlight w:val="none"/>
        </w:rPr>
        <w:t>资格要求</w:t>
      </w:r>
      <w:bookmarkEnd w:id="22"/>
      <w:bookmarkEnd w:id="23"/>
    </w:p>
    <w:p>
      <w:pPr>
        <w:pStyle w:val="16"/>
        <w:pageBreakBefore w:val="0"/>
        <w:widowControl/>
        <w:kinsoku/>
        <w:overflowPunct/>
        <w:topLinePunct w:val="0"/>
        <w:bidi w:val="0"/>
        <w:snapToGrid/>
        <w:spacing w:beforeAutospacing="0" w:afterAutospacing="0" w:line="360" w:lineRule="auto"/>
        <w:ind w:firstLine="456" w:firstLineChars="200"/>
        <w:rPr>
          <w:rFonts w:hint="eastAsia" w:ascii="宋体" w:hAnsi="宋体" w:eastAsia="宋体" w:cs="宋体"/>
          <w:color w:val="auto"/>
          <w:spacing w:val="-6"/>
          <w:highlight w:val="none"/>
        </w:rPr>
      </w:pPr>
      <w:r>
        <w:rPr>
          <w:rFonts w:hint="eastAsia" w:ascii="宋体" w:hAnsi="宋体" w:eastAsia="宋体" w:cs="宋体"/>
          <w:color w:val="auto"/>
          <w:spacing w:val="-6"/>
          <w:highlight w:val="none"/>
        </w:rPr>
        <w:t>采购项目概况和</w:t>
      </w:r>
      <w:r>
        <w:rPr>
          <w:rFonts w:hint="eastAsia" w:ascii="宋体" w:hAnsi="宋体" w:eastAsia="宋体" w:cs="宋体"/>
          <w:color w:val="auto"/>
          <w:spacing w:val="-6"/>
          <w:highlight w:val="none"/>
          <w:lang w:eastAsia="zh-CN"/>
        </w:rPr>
        <w:t>询比响应人</w:t>
      </w:r>
      <w:r>
        <w:rPr>
          <w:rFonts w:hint="eastAsia" w:ascii="宋体" w:hAnsi="宋体" w:eastAsia="宋体" w:cs="宋体"/>
          <w:color w:val="auto"/>
          <w:spacing w:val="-6"/>
          <w:highlight w:val="none"/>
        </w:rPr>
        <w:t>资格要求见第一章"询比采购公告/询比采购邀请书"。</w:t>
      </w:r>
    </w:p>
    <w:p>
      <w:pPr>
        <w:pStyle w:val="6"/>
        <w:pageBreakBefore w:val="0"/>
        <w:kinsoku/>
        <w:overflowPunct/>
        <w:topLinePunct w:val="0"/>
        <w:bidi w:val="0"/>
        <w:snapToGrid/>
        <w:spacing w:line="360" w:lineRule="auto"/>
        <w:rPr>
          <w:rFonts w:hint="eastAsia" w:ascii="宋体" w:hAnsi="宋体" w:eastAsia="宋体" w:cs="宋体"/>
          <w:color w:val="auto"/>
          <w:highlight w:val="none"/>
        </w:rPr>
      </w:pPr>
      <w:bookmarkStart w:id="24" w:name="_Toc11444"/>
      <w:bookmarkStart w:id="25" w:name="_Toc31092"/>
      <w:r>
        <w:rPr>
          <w:rFonts w:hint="eastAsia" w:ascii="宋体" w:hAnsi="宋体" w:eastAsia="宋体" w:cs="宋体"/>
          <w:color w:val="auto"/>
          <w:highlight w:val="none"/>
        </w:rPr>
        <w:t>1.3 费用承担</w:t>
      </w:r>
      <w:bookmarkEnd w:id="24"/>
      <w:bookmarkEnd w:id="25"/>
    </w:p>
    <w:p>
      <w:pPr>
        <w:pStyle w:val="16"/>
        <w:pageBreakBefore w:val="0"/>
        <w:widowControl/>
        <w:kinsoku/>
        <w:overflowPunct/>
        <w:topLinePunct w:val="0"/>
        <w:bidi w:val="0"/>
        <w:snapToGrid/>
        <w:spacing w:beforeAutospacing="0" w:afterAutospacing="0" w:line="360" w:lineRule="auto"/>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lang w:eastAsia="zh-CN"/>
        </w:rPr>
        <w:t>询比响应人</w:t>
      </w:r>
      <w:r>
        <w:rPr>
          <w:rFonts w:hint="eastAsia" w:ascii="宋体" w:hAnsi="宋体" w:eastAsia="宋体" w:cs="宋体"/>
          <w:color w:val="auto"/>
          <w:highlight w:val="none"/>
        </w:rPr>
        <w:t>准备和参加询比采购活动所发生的各种费用由</w:t>
      </w:r>
      <w:r>
        <w:rPr>
          <w:rFonts w:hint="eastAsia" w:ascii="宋体" w:hAnsi="宋体" w:eastAsia="宋体" w:cs="宋体"/>
          <w:color w:val="auto"/>
          <w:highlight w:val="none"/>
          <w:lang w:eastAsia="zh-CN"/>
        </w:rPr>
        <w:t>询比响应人</w:t>
      </w:r>
      <w:r>
        <w:rPr>
          <w:rFonts w:hint="eastAsia" w:ascii="宋体" w:hAnsi="宋体" w:eastAsia="宋体" w:cs="宋体"/>
          <w:color w:val="auto"/>
          <w:highlight w:val="none"/>
        </w:rPr>
        <w:t>自行承担。</w:t>
      </w:r>
    </w:p>
    <w:p>
      <w:pPr>
        <w:pStyle w:val="6"/>
        <w:pageBreakBefore w:val="0"/>
        <w:kinsoku/>
        <w:overflowPunct/>
        <w:topLinePunct w:val="0"/>
        <w:bidi w:val="0"/>
        <w:snapToGrid/>
        <w:spacing w:line="360" w:lineRule="auto"/>
        <w:rPr>
          <w:rFonts w:hint="eastAsia" w:ascii="宋体" w:hAnsi="宋体" w:eastAsia="宋体" w:cs="宋体"/>
          <w:color w:val="auto"/>
          <w:highlight w:val="none"/>
        </w:rPr>
      </w:pPr>
      <w:bookmarkStart w:id="26" w:name="_Toc14871"/>
      <w:bookmarkStart w:id="27" w:name="_Toc15897"/>
      <w:r>
        <w:rPr>
          <w:rFonts w:hint="eastAsia" w:ascii="宋体" w:hAnsi="宋体" w:eastAsia="宋体" w:cs="宋体"/>
          <w:color w:val="auto"/>
          <w:highlight w:val="none"/>
        </w:rPr>
        <w:t>1.4 保密</w:t>
      </w:r>
      <w:bookmarkEnd w:id="26"/>
      <w:bookmarkEnd w:id="27"/>
    </w:p>
    <w:p>
      <w:pPr>
        <w:pStyle w:val="16"/>
        <w:pageBreakBefore w:val="0"/>
        <w:widowControl/>
        <w:kinsoku/>
        <w:overflowPunct/>
        <w:topLinePunct w:val="0"/>
        <w:bidi w:val="0"/>
        <w:snapToGrid/>
        <w:spacing w:beforeAutospacing="0" w:afterAutospacing="0" w:line="360" w:lineRule="auto"/>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参加询比采购活动的各方应对采购文件和响应文件中的商业和技术等秘密保密，否则应承担相应的法律责任。</w:t>
      </w:r>
    </w:p>
    <w:p>
      <w:pPr>
        <w:pStyle w:val="6"/>
        <w:pageBreakBefore w:val="0"/>
        <w:kinsoku/>
        <w:overflowPunct/>
        <w:topLinePunct w:val="0"/>
        <w:bidi w:val="0"/>
        <w:snapToGrid/>
        <w:spacing w:line="360" w:lineRule="auto"/>
        <w:rPr>
          <w:rFonts w:hint="eastAsia" w:ascii="宋体" w:hAnsi="宋体" w:eastAsia="宋体" w:cs="宋体"/>
          <w:color w:val="auto"/>
          <w:highlight w:val="none"/>
        </w:rPr>
      </w:pPr>
      <w:bookmarkStart w:id="28" w:name="_Toc3194"/>
      <w:bookmarkStart w:id="29" w:name="_Toc32396"/>
      <w:r>
        <w:rPr>
          <w:rFonts w:hint="eastAsia" w:ascii="宋体" w:hAnsi="宋体" w:eastAsia="宋体" w:cs="宋体"/>
          <w:color w:val="auto"/>
          <w:highlight w:val="none"/>
        </w:rPr>
        <w:t>1.5 语言文字</w:t>
      </w:r>
      <w:bookmarkEnd w:id="28"/>
      <w:bookmarkEnd w:id="29"/>
    </w:p>
    <w:p>
      <w:pPr>
        <w:pStyle w:val="16"/>
        <w:pageBreakBefore w:val="0"/>
        <w:widowControl/>
        <w:kinsoku/>
        <w:overflowPunct/>
        <w:topLinePunct w:val="0"/>
        <w:bidi w:val="0"/>
        <w:snapToGrid/>
        <w:spacing w:beforeAutospacing="0" w:afterAutospacing="0" w:line="360" w:lineRule="auto"/>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采购文件和响应文件使用的语言文字为中文。专用术语使用外文的，应附有中文注释。</w:t>
      </w:r>
    </w:p>
    <w:p>
      <w:pPr>
        <w:pStyle w:val="6"/>
        <w:pageBreakBefore w:val="0"/>
        <w:kinsoku/>
        <w:overflowPunct/>
        <w:topLinePunct w:val="0"/>
        <w:bidi w:val="0"/>
        <w:snapToGrid/>
        <w:spacing w:line="360" w:lineRule="auto"/>
        <w:rPr>
          <w:rFonts w:hint="eastAsia" w:ascii="宋体" w:hAnsi="宋体" w:eastAsia="宋体" w:cs="宋体"/>
          <w:color w:val="auto"/>
          <w:highlight w:val="none"/>
        </w:rPr>
      </w:pPr>
      <w:bookmarkStart w:id="30" w:name="_Toc12892"/>
      <w:bookmarkStart w:id="31" w:name="_Toc963"/>
      <w:r>
        <w:rPr>
          <w:rFonts w:hint="eastAsia" w:ascii="宋体" w:hAnsi="宋体" w:eastAsia="宋体" w:cs="宋体"/>
          <w:color w:val="auto"/>
          <w:highlight w:val="none"/>
        </w:rPr>
        <w:t>1.6 计量单位</w:t>
      </w:r>
      <w:bookmarkEnd w:id="30"/>
      <w:bookmarkEnd w:id="31"/>
    </w:p>
    <w:p>
      <w:pPr>
        <w:pStyle w:val="16"/>
        <w:pageBreakBefore w:val="0"/>
        <w:widowControl/>
        <w:kinsoku/>
        <w:overflowPunct/>
        <w:topLinePunct w:val="0"/>
        <w:bidi w:val="0"/>
        <w:snapToGrid/>
        <w:spacing w:beforeAutospacing="0" w:afterAutospacing="0" w:line="360" w:lineRule="auto"/>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所有计量均采用中华人民共和国法定计量单位。</w:t>
      </w:r>
    </w:p>
    <w:p>
      <w:pPr>
        <w:pStyle w:val="6"/>
        <w:pageBreakBefore w:val="0"/>
        <w:kinsoku/>
        <w:overflowPunct/>
        <w:topLinePunct w:val="0"/>
        <w:bidi w:val="0"/>
        <w:snapToGrid/>
        <w:spacing w:line="360" w:lineRule="auto"/>
        <w:rPr>
          <w:rFonts w:hint="eastAsia" w:ascii="宋体" w:hAnsi="宋体" w:eastAsia="宋体" w:cs="宋体"/>
          <w:color w:val="auto"/>
          <w:highlight w:val="none"/>
        </w:rPr>
      </w:pPr>
      <w:bookmarkStart w:id="32" w:name="_Toc918"/>
      <w:bookmarkStart w:id="33" w:name="_Toc2889"/>
      <w:r>
        <w:rPr>
          <w:rFonts w:hint="eastAsia" w:ascii="宋体" w:hAnsi="宋体" w:eastAsia="宋体" w:cs="宋体"/>
          <w:color w:val="auto"/>
          <w:highlight w:val="none"/>
        </w:rPr>
        <w:t>1.7 踏勘现场</w:t>
      </w:r>
      <w:bookmarkEnd w:id="32"/>
      <w:bookmarkEnd w:id="33"/>
    </w:p>
    <w:p>
      <w:pPr>
        <w:pStyle w:val="16"/>
        <w:pageBreakBefore w:val="0"/>
        <w:widowControl/>
        <w:kinsoku/>
        <w:overflowPunct/>
        <w:topLinePunct w:val="0"/>
        <w:bidi w:val="0"/>
        <w:snapToGrid/>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1.7.1 </w:t>
      </w:r>
      <w:r>
        <w:rPr>
          <w:rFonts w:hint="eastAsia" w:ascii="宋体" w:hAnsi="宋体" w:eastAsia="宋体" w:cs="宋体"/>
          <w:color w:val="auto"/>
          <w:highlight w:val="none"/>
          <w:lang w:eastAsia="zh-CN"/>
        </w:rPr>
        <w:t>询比响应人</w:t>
      </w:r>
      <w:r>
        <w:rPr>
          <w:rFonts w:hint="eastAsia" w:ascii="宋体" w:hAnsi="宋体" w:eastAsia="宋体" w:cs="宋体"/>
          <w:color w:val="auto"/>
          <w:highlight w:val="none"/>
        </w:rPr>
        <w:t>须知前附表规定组织踏勘现场的，</w:t>
      </w:r>
      <w:r>
        <w:rPr>
          <w:rFonts w:hint="eastAsia" w:ascii="宋体" w:hAnsi="宋体" w:eastAsia="宋体" w:cs="宋体"/>
          <w:color w:val="auto"/>
          <w:highlight w:val="none"/>
          <w:lang w:eastAsia="zh-CN"/>
        </w:rPr>
        <w:t>招标</w:t>
      </w:r>
      <w:r>
        <w:rPr>
          <w:rFonts w:hint="eastAsia" w:ascii="宋体" w:hAnsi="宋体" w:eastAsia="宋体" w:cs="宋体"/>
          <w:color w:val="auto"/>
          <w:highlight w:val="none"/>
        </w:rPr>
        <w:t>人按</w:t>
      </w:r>
      <w:r>
        <w:rPr>
          <w:rFonts w:hint="eastAsia" w:ascii="宋体" w:hAnsi="宋体" w:eastAsia="宋体" w:cs="宋体"/>
          <w:color w:val="auto"/>
          <w:highlight w:val="none"/>
          <w:lang w:eastAsia="zh-CN"/>
        </w:rPr>
        <w:t>询比响应人</w:t>
      </w:r>
      <w:r>
        <w:rPr>
          <w:rFonts w:hint="eastAsia" w:ascii="宋体" w:hAnsi="宋体" w:eastAsia="宋体" w:cs="宋体"/>
          <w:color w:val="auto"/>
          <w:highlight w:val="none"/>
        </w:rPr>
        <w:t>须知前附表规定的时间、地点组织</w:t>
      </w:r>
      <w:r>
        <w:rPr>
          <w:rFonts w:hint="eastAsia" w:ascii="宋体" w:hAnsi="宋体" w:eastAsia="宋体" w:cs="宋体"/>
          <w:color w:val="auto"/>
          <w:highlight w:val="none"/>
          <w:lang w:eastAsia="zh-CN"/>
        </w:rPr>
        <w:t>询比响应人</w:t>
      </w:r>
      <w:r>
        <w:rPr>
          <w:rFonts w:hint="eastAsia" w:ascii="宋体" w:hAnsi="宋体" w:eastAsia="宋体" w:cs="宋体"/>
          <w:color w:val="auto"/>
          <w:highlight w:val="none"/>
        </w:rPr>
        <w:t>踏勘项目现场。部分</w:t>
      </w:r>
      <w:r>
        <w:rPr>
          <w:rFonts w:hint="eastAsia" w:ascii="宋体" w:hAnsi="宋体" w:eastAsia="宋体" w:cs="宋体"/>
          <w:color w:val="auto"/>
          <w:highlight w:val="none"/>
          <w:lang w:eastAsia="zh-CN"/>
        </w:rPr>
        <w:t>询比响应人</w:t>
      </w:r>
      <w:r>
        <w:rPr>
          <w:rFonts w:hint="eastAsia" w:ascii="宋体" w:hAnsi="宋体" w:eastAsia="宋体" w:cs="宋体"/>
          <w:color w:val="auto"/>
          <w:highlight w:val="none"/>
        </w:rPr>
        <w:t>未按时参加踏勘现场的，不影响踏勘现场的正常进行。</w:t>
      </w:r>
    </w:p>
    <w:p>
      <w:pPr>
        <w:pStyle w:val="16"/>
        <w:pageBreakBefore w:val="0"/>
        <w:widowControl/>
        <w:kinsoku/>
        <w:overflowPunct/>
        <w:topLinePunct w:val="0"/>
        <w:bidi w:val="0"/>
        <w:snapToGrid/>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1.7.2 </w:t>
      </w:r>
      <w:r>
        <w:rPr>
          <w:rFonts w:hint="eastAsia" w:ascii="宋体" w:hAnsi="宋体" w:eastAsia="宋体" w:cs="宋体"/>
          <w:color w:val="auto"/>
          <w:highlight w:val="none"/>
          <w:lang w:eastAsia="zh-CN"/>
        </w:rPr>
        <w:t>询比响应人</w:t>
      </w:r>
      <w:r>
        <w:rPr>
          <w:rFonts w:hint="eastAsia" w:ascii="宋体" w:hAnsi="宋体" w:eastAsia="宋体" w:cs="宋体"/>
          <w:color w:val="auto"/>
          <w:highlight w:val="none"/>
        </w:rPr>
        <w:t>可自愿参加踏勘现场活动。除</w:t>
      </w:r>
      <w:r>
        <w:rPr>
          <w:rFonts w:hint="eastAsia" w:ascii="宋体" w:hAnsi="宋体" w:eastAsia="宋体" w:cs="宋体"/>
          <w:color w:val="auto"/>
          <w:highlight w:val="none"/>
          <w:lang w:eastAsia="zh-CN"/>
        </w:rPr>
        <w:t>招标</w:t>
      </w:r>
      <w:r>
        <w:rPr>
          <w:rFonts w:hint="eastAsia" w:ascii="宋体" w:hAnsi="宋体" w:eastAsia="宋体" w:cs="宋体"/>
          <w:color w:val="auto"/>
          <w:highlight w:val="none"/>
        </w:rPr>
        <w:t>人的原因外，</w:t>
      </w:r>
      <w:r>
        <w:rPr>
          <w:rFonts w:hint="eastAsia" w:ascii="宋体" w:hAnsi="宋体" w:eastAsia="宋体" w:cs="宋体"/>
          <w:color w:val="auto"/>
          <w:highlight w:val="none"/>
          <w:lang w:eastAsia="zh-CN"/>
        </w:rPr>
        <w:t>招标</w:t>
      </w:r>
      <w:r>
        <w:rPr>
          <w:rFonts w:hint="eastAsia" w:ascii="宋体" w:hAnsi="宋体" w:eastAsia="宋体" w:cs="宋体"/>
          <w:color w:val="auto"/>
          <w:highlight w:val="none"/>
        </w:rPr>
        <w:t>人对</w:t>
      </w:r>
      <w:r>
        <w:rPr>
          <w:rFonts w:hint="eastAsia" w:ascii="宋体" w:hAnsi="宋体" w:eastAsia="宋体" w:cs="宋体"/>
          <w:color w:val="auto"/>
          <w:highlight w:val="none"/>
          <w:lang w:eastAsia="zh-CN"/>
        </w:rPr>
        <w:t>询比响应人</w:t>
      </w:r>
      <w:r>
        <w:rPr>
          <w:rFonts w:hint="eastAsia" w:ascii="宋体" w:hAnsi="宋体" w:eastAsia="宋体" w:cs="宋体"/>
          <w:color w:val="auto"/>
          <w:highlight w:val="none"/>
        </w:rPr>
        <w:t>参加踏勘现场中所发生的人员伤亡和财产损失不承担责任。</w:t>
      </w:r>
    </w:p>
    <w:p>
      <w:pPr>
        <w:pStyle w:val="16"/>
        <w:pageBreakBefore w:val="0"/>
        <w:widowControl/>
        <w:kinsoku/>
        <w:overflowPunct/>
        <w:topLinePunct w:val="0"/>
        <w:bidi w:val="0"/>
        <w:snapToGrid/>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1.7.3 </w:t>
      </w:r>
      <w:r>
        <w:rPr>
          <w:rFonts w:hint="eastAsia" w:ascii="宋体" w:hAnsi="宋体" w:eastAsia="宋体" w:cs="宋体"/>
          <w:color w:val="auto"/>
          <w:highlight w:val="none"/>
          <w:lang w:eastAsia="zh-CN"/>
        </w:rPr>
        <w:t>招标</w:t>
      </w:r>
      <w:r>
        <w:rPr>
          <w:rFonts w:hint="eastAsia" w:ascii="宋体" w:hAnsi="宋体" w:eastAsia="宋体" w:cs="宋体"/>
          <w:color w:val="auto"/>
          <w:highlight w:val="none"/>
        </w:rPr>
        <w:t>人在踏勘现场中介绍的工程场地和相关的周边环境情况，仅作为</w:t>
      </w:r>
      <w:r>
        <w:rPr>
          <w:rFonts w:hint="eastAsia" w:ascii="宋体" w:hAnsi="宋体" w:eastAsia="宋体" w:cs="宋体"/>
          <w:color w:val="auto"/>
          <w:highlight w:val="none"/>
          <w:lang w:eastAsia="zh-CN"/>
        </w:rPr>
        <w:t>询比响应人</w:t>
      </w:r>
      <w:r>
        <w:rPr>
          <w:rFonts w:hint="eastAsia" w:ascii="宋体" w:hAnsi="宋体" w:eastAsia="宋体" w:cs="宋体"/>
          <w:color w:val="auto"/>
          <w:highlight w:val="none"/>
        </w:rPr>
        <w:t>编制响应文件的参考，</w:t>
      </w:r>
      <w:r>
        <w:rPr>
          <w:rFonts w:hint="eastAsia" w:ascii="宋体" w:hAnsi="宋体" w:eastAsia="宋体" w:cs="宋体"/>
          <w:color w:val="auto"/>
          <w:highlight w:val="none"/>
          <w:lang w:eastAsia="zh-CN"/>
        </w:rPr>
        <w:t>招标</w:t>
      </w:r>
      <w:r>
        <w:rPr>
          <w:rFonts w:hint="eastAsia" w:ascii="宋体" w:hAnsi="宋体" w:eastAsia="宋体" w:cs="宋体"/>
          <w:color w:val="auto"/>
          <w:highlight w:val="none"/>
        </w:rPr>
        <w:t>人不对</w:t>
      </w:r>
      <w:r>
        <w:rPr>
          <w:rFonts w:hint="eastAsia" w:ascii="宋体" w:hAnsi="宋体" w:eastAsia="宋体" w:cs="宋体"/>
          <w:color w:val="auto"/>
          <w:highlight w:val="none"/>
          <w:lang w:eastAsia="zh-CN"/>
        </w:rPr>
        <w:t>询比响应人</w:t>
      </w:r>
      <w:r>
        <w:rPr>
          <w:rFonts w:hint="eastAsia" w:ascii="宋体" w:hAnsi="宋体" w:eastAsia="宋体" w:cs="宋体"/>
          <w:color w:val="auto"/>
          <w:highlight w:val="none"/>
        </w:rPr>
        <w:t>据此作出的判断和决策负责。</w:t>
      </w:r>
    </w:p>
    <w:p>
      <w:pPr>
        <w:pStyle w:val="6"/>
        <w:pageBreakBefore w:val="0"/>
        <w:kinsoku/>
        <w:overflowPunct/>
        <w:topLinePunct w:val="0"/>
        <w:bidi w:val="0"/>
        <w:snapToGrid/>
        <w:spacing w:line="360" w:lineRule="auto"/>
        <w:rPr>
          <w:rFonts w:hint="eastAsia" w:ascii="宋体" w:hAnsi="宋体" w:eastAsia="宋体" w:cs="宋体"/>
          <w:color w:val="auto"/>
          <w:highlight w:val="none"/>
        </w:rPr>
      </w:pPr>
      <w:bookmarkStart w:id="34" w:name="_Toc9589"/>
      <w:bookmarkStart w:id="35" w:name="_Toc16997"/>
      <w:r>
        <w:rPr>
          <w:rFonts w:hint="eastAsia" w:ascii="宋体" w:hAnsi="宋体" w:eastAsia="宋体" w:cs="宋体"/>
          <w:color w:val="auto"/>
          <w:highlight w:val="none"/>
        </w:rPr>
        <w:t>1.8询比采购预备会</w:t>
      </w:r>
      <w:bookmarkEnd w:id="34"/>
      <w:bookmarkEnd w:id="35"/>
    </w:p>
    <w:p>
      <w:pPr>
        <w:pStyle w:val="16"/>
        <w:pageBreakBefore w:val="0"/>
        <w:widowControl/>
        <w:kinsoku/>
        <w:overflowPunct/>
        <w:topLinePunct w:val="0"/>
        <w:bidi w:val="0"/>
        <w:snapToGrid/>
        <w:spacing w:beforeAutospacing="0" w:afterAutospacing="0" w:line="360" w:lineRule="auto"/>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lang w:eastAsia="zh-CN"/>
        </w:rPr>
        <w:t>询比响应人</w:t>
      </w:r>
      <w:r>
        <w:rPr>
          <w:rFonts w:hint="eastAsia" w:ascii="宋体" w:hAnsi="宋体" w:eastAsia="宋体" w:cs="宋体"/>
          <w:color w:val="auto"/>
          <w:highlight w:val="none"/>
        </w:rPr>
        <w:t>须知前附表规定召开询比采购预备会的，</w:t>
      </w:r>
      <w:r>
        <w:rPr>
          <w:rFonts w:hint="eastAsia" w:ascii="宋体" w:hAnsi="宋体" w:eastAsia="宋体" w:cs="宋体"/>
          <w:color w:val="auto"/>
          <w:highlight w:val="none"/>
          <w:lang w:eastAsia="zh-CN"/>
        </w:rPr>
        <w:t>招标</w:t>
      </w:r>
      <w:r>
        <w:rPr>
          <w:rFonts w:hint="eastAsia" w:ascii="宋体" w:hAnsi="宋体" w:eastAsia="宋体" w:cs="宋体"/>
          <w:color w:val="auto"/>
          <w:highlight w:val="none"/>
        </w:rPr>
        <w:t>人按</w:t>
      </w:r>
      <w:r>
        <w:rPr>
          <w:rFonts w:hint="eastAsia" w:ascii="宋体" w:hAnsi="宋体" w:eastAsia="宋体" w:cs="宋体"/>
          <w:color w:val="auto"/>
          <w:highlight w:val="none"/>
          <w:lang w:eastAsia="zh-CN"/>
        </w:rPr>
        <w:t>询比响应人</w:t>
      </w:r>
      <w:r>
        <w:rPr>
          <w:rFonts w:hint="eastAsia" w:ascii="宋体" w:hAnsi="宋体" w:eastAsia="宋体" w:cs="宋体"/>
          <w:color w:val="auto"/>
          <w:highlight w:val="none"/>
        </w:rPr>
        <w:t>须知前附表规定的时间和地点召开询比采购预备会。</w:t>
      </w:r>
    </w:p>
    <w:p>
      <w:pPr>
        <w:pStyle w:val="6"/>
        <w:pageBreakBefore w:val="0"/>
        <w:kinsoku/>
        <w:overflowPunct/>
        <w:topLinePunct w:val="0"/>
        <w:bidi w:val="0"/>
        <w:snapToGrid/>
        <w:spacing w:line="360" w:lineRule="auto"/>
        <w:rPr>
          <w:rFonts w:hint="eastAsia" w:ascii="宋体" w:hAnsi="宋体" w:eastAsia="宋体" w:cs="宋体"/>
          <w:color w:val="auto"/>
          <w:highlight w:val="none"/>
        </w:rPr>
      </w:pPr>
      <w:bookmarkStart w:id="36" w:name="_Toc9384"/>
      <w:bookmarkStart w:id="37" w:name="_Toc14966"/>
      <w:r>
        <w:rPr>
          <w:rFonts w:hint="eastAsia" w:ascii="宋体" w:hAnsi="宋体" w:eastAsia="宋体" w:cs="宋体"/>
          <w:color w:val="auto"/>
          <w:highlight w:val="none"/>
        </w:rPr>
        <w:t>1.9分包（A、C）</w:t>
      </w:r>
      <w:bookmarkEnd w:id="36"/>
      <w:bookmarkEnd w:id="37"/>
    </w:p>
    <w:p>
      <w:pPr>
        <w:pStyle w:val="16"/>
        <w:pageBreakBefore w:val="0"/>
        <w:widowControl/>
        <w:kinsoku/>
        <w:overflowPunct/>
        <w:topLinePunct w:val="0"/>
        <w:bidi w:val="0"/>
        <w:snapToGrid/>
        <w:spacing w:beforeAutospacing="0" w:afterAutospacing="0" w:line="360" w:lineRule="auto"/>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lang w:eastAsia="zh-CN"/>
        </w:rPr>
        <w:t>询比响应人</w:t>
      </w:r>
      <w:r>
        <w:rPr>
          <w:rFonts w:hint="eastAsia" w:ascii="宋体" w:hAnsi="宋体" w:eastAsia="宋体" w:cs="宋体"/>
          <w:color w:val="auto"/>
          <w:highlight w:val="none"/>
        </w:rPr>
        <w:t>拟在成交后将成交项目的部分工作进行分包的，应符合</w:t>
      </w:r>
      <w:r>
        <w:rPr>
          <w:rFonts w:hint="eastAsia" w:ascii="宋体" w:hAnsi="宋体" w:eastAsia="宋体" w:cs="宋体"/>
          <w:color w:val="auto"/>
          <w:highlight w:val="none"/>
          <w:lang w:eastAsia="zh-CN"/>
        </w:rPr>
        <w:t>询比响应人</w:t>
      </w:r>
      <w:r>
        <w:rPr>
          <w:rFonts w:hint="eastAsia" w:ascii="宋体" w:hAnsi="宋体" w:eastAsia="宋体" w:cs="宋体"/>
          <w:color w:val="auto"/>
          <w:highlight w:val="none"/>
        </w:rPr>
        <w:t>须知前附表的规定，并在响应文件中作出说明。</w:t>
      </w:r>
    </w:p>
    <w:p>
      <w:pPr>
        <w:pStyle w:val="16"/>
        <w:pageBreakBefore w:val="0"/>
        <w:widowControl/>
        <w:kinsoku/>
        <w:overflowPunct/>
        <w:topLinePunct w:val="0"/>
        <w:bidi w:val="0"/>
        <w:snapToGrid/>
        <w:spacing w:beforeAutospacing="0" w:afterAutospacing="0" w:line="360" w:lineRule="auto"/>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分包</w:t>
      </w:r>
      <w:r>
        <w:rPr>
          <w:rFonts w:hint="eastAsia" w:ascii="宋体" w:hAnsi="宋体" w:eastAsia="宋体" w:cs="宋体"/>
          <w:color w:val="auto"/>
          <w:highlight w:val="none"/>
          <w:lang w:eastAsia="zh-CN"/>
        </w:rPr>
        <w:t>询比响应人</w:t>
      </w:r>
      <w:r>
        <w:rPr>
          <w:rFonts w:hint="eastAsia" w:ascii="宋体" w:hAnsi="宋体" w:eastAsia="宋体" w:cs="宋体"/>
          <w:color w:val="auto"/>
          <w:highlight w:val="none"/>
        </w:rPr>
        <w:t>不得将分包项目再次分包。成交</w:t>
      </w:r>
      <w:r>
        <w:rPr>
          <w:rFonts w:hint="eastAsia" w:ascii="宋体" w:hAnsi="宋体" w:eastAsia="宋体" w:cs="宋体"/>
          <w:color w:val="auto"/>
          <w:highlight w:val="none"/>
          <w:lang w:eastAsia="zh-CN"/>
        </w:rPr>
        <w:t>询比响应人</w:t>
      </w:r>
      <w:r>
        <w:rPr>
          <w:rFonts w:hint="eastAsia" w:ascii="宋体" w:hAnsi="宋体" w:eastAsia="宋体" w:cs="宋体"/>
          <w:color w:val="auto"/>
          <w:highlight w:val="none"/>
        </w:rPr>
        <w:t>应当就分包项目向</w:t>
      </w:r>
      <w:r>
        <w:rPr>
          <w:rFonts w:hint="eastAsia" w:ascii="宋体" w:hAnsi="宋体" w:eastAsia="宋体" w:cs="宋体"/>
          <w:color w:val="auto"/>
          <w:highlight w:val="none"/>
          <w:lang w:eastAsia="zh-CN"/>
        </w:rPr>
        <w:t>招标</w:t>
      </w:r>
      <w:r>
        <w:rPr>
          <w:rFonts w:hint="eastAsia" w:ascii="宋体" w:hAnsi="宋体" w:eastAsia="宋体" w:cs="宋体"/>
          <w:color w:val="auto"/>
          <w:highlight w:val="none"/>
        </w:rPr>
        <w:t>人负责，分包</w:t>
      </w:r>
      <w:r>
        <w:rPr>
          <w:rFonts w:hint="eastAsia" w:ascii="宋体" w:hAnsi="宋体" w:eastAsia="宋体" w:cs="宋体"/>
          <w:color w:val="auto"/>
          <w:highlight w:val="none"/>
          <w:lang w:eastAsia="zh-CN"/>
        </w:rPr>
        <w:t>询比响应人</w:t>
      </w:r>
      <w:r>
        <w:rPr>
          <w:rFonts w:hint="eastAsia" w:ascii="宋体" w:hAnsi="宋体" w:eastAsia="宋体" w:cs="宋体"/>
          <w:color w:val="auto"/>
          <w:highlight w:val="none"/>
        </w:rPr>
        <w:t>就分包项目承担连带责任。</w:t>
      </w:r>
    </w:p>
    <w:p>
      <w:pPr>
        <w:pStyle w:val="6"/>
        <w:pageBreakBefore w:val="0"/>
        <w:kinsoku/>
        <w:overflowPunct/>
        <w:topLinePunct w:val="0"/>
        <w:bidi w:val="0"/>
        <w:snapToGrid/>
        <w:spacing w:line="360" w:lineRule="auto"/>
        <w:rPr>
          <w:rFonts w:hint="eastAsia" w:ascii="宋体" w:hAnsi="宋体" w:eastAsia="宋体" w:cs="宋体"/>
          <w:color w:val="auto"/>
          <w:highlight w:val="none"/>
        </w:rPr>
      </w:pPr>
      <w:bookmarkStart w:id="38" w:name="_Toc18508"/>
      <w:bookmarkStart w:id="39" w:name="_Toc9927"/>
      <w:r>
        <w:rPr>
          <w:rFonts w:hint="eastAsia" w:ascii="宋体" w:hAnsi="宋体" w:eastAsia="宋体" w:cs="宋体"/>
          <w:color w:val="auto"/>
          <w:highlight w:val="none"/>
        </w:rPr>
        <w:t>1.9 主要材料和关键部件外购（B）</w:t>
      </w:r>
      <w:bookmarkEnd w:id="38"/>
      <w:bookmarkEnd w:id="39"/>
    </w:p>
    <w:p>
      <w:pPr>
        <w:pStyle w:val="16"/>
        <w:pageBreakBefore w:val="0"/>
        <w:widowControl/>
        <w:kinsoku/>
        <w:overflowPunct/>
        <w:topLinePunct w:val="0"/>
        <w:bidi w:val="0"/>
        <w:snapToGrid/>
        <w:spacing w:beforeAutospacing="0" w:afterAutospacing="0" w:line="360" w:lineRule="auto"/>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lang w:eastAsia="zh-CN"/>
        </w:rPr>
        <w:t>询比响应人</w:t>
      </w:r>
      <w:r>
        <w:rPr>
          <w:rFonts w:hint="eastAsia" w:ascii="宋体" w:hAnsi="宋体" w:eastAsia="宋体" w:cs="宋体"/>
          <w:color w:val="auto"/>
          <w:highlight w:val="none"/>
        </w:rPr>
        <w:t>拟对主要材料和关键部件进行外购的，应符合第五章"采购需求"中提出的或允许外购的相关规定，并在响应文件中作出说明。</w:t>
      </w:r>
    </w:p>
    <w:p>
      <w:pPr>
        <w:pStyle w:val="6"/>
        <w:pageBreakBefore w:val="0"/>
        <w:kinsoku/>
        <w:overflowPunct/>
        <w:topLinePunct w:val="0"/>
        <w:bidi w:val="0"/>
        <w:snapToGrid/>
        <w:spacing w:line="360" w:lineRule="auto"/>
        <w:rPr>
          <w:rFonts w:hint="eastAsia" w:ascii="宋体" w:hAnsi="宋体" w:eastAsia="宋体" w:cs="宋体"/>
          <w:color w:val="auto"/>
          <w:highlight w:val="none"/>
        </w:rPr>
      </w:pPr>
      <w:bookmarkStart w:id="40" w:name="_Toc7731"/>
      <w:bookmarkStart w:id="41" w:name="_Toc19091"/>
      <w:r>
        <w:rPr>
          <w:rFonts w:hint="eastAsia" w:ascii="宋体" w:hAnsi="宋体" w:eastAsia="宋体" w:cs="宋体"/>
          <w:color w:val="auto"/>
          <w:highlight w:val="none"/>
        </w:rPr>
        <w:t>1.10 响应和偏差</w:t>
      </w:r>
      <w:bookmarkEnd w:id="40"/>
      <w:bookmarkEnd w:id="41"/>
    </w:p>
    <w:p>
      <w:pPr>
        <w:pStyle w:val="16"/>
        <w:pageBreakBefore w:val="0"/>
        <w:widowControl/>
        <w:kinsoku/>
        <w:overflowPunct/>
        <w:topLinePunct w:val="0"/>
        <w:bidi w:val="0"/>
        <w:snapToGrid/>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1.10.1 采购需求和合同草案中的关键条款均以"*"符号标记。响应文件应当对采购需求和合同草案中的关键条款作出满足性或更有利于</w:t>
      </w:r>
      <w:r>
        <w:rPr>
          <w:rFonts w:hint="eastAsia" w:ascii="宋体" w:hAnsi="宋体" w:eastAsia="宋体" w:cs="宋体"/>
          <w:color w:val="auto"/>
          <w:highlight w:val="none"/>
          <w:lang w:eastAsia="zh-CN"/>
        </w:rPr>
        <w:t>招标</w:t>
      </w:r>
      <w:r>
        <w:rPr>
          <w:rFonts w:hint="eastAsia" w:ascii="宋体" w:hAnsi="宋体" w:eastAsia="宋体" w:cs="宋体"/>
          <w:color w:val="auto"/>
          <w:highlight w:val="none"/>
        </w:rPr>
        <w:t>人的响应，否则，</w:t>
      </w:r>
      <w:r>
        <w:rPr>
          <w:rFonts w:hint="eastAsia" w:ascii="宋体" w:hAnsi="宋体" w:eastAsia="宋体" w:cs="宋体"/>
          <w:color w:val="auto"/>
          <w:highlight w:val="none"/>
          <w:lang w:eastAsia="zh-CN"/>
        </w:rPr>
        <w:t>询比响应人</w:t>
      </w:r>
      <w:r>
        <w:rPr>
          <w:rFonts w:hint="eastAsia" w:ascii="宋体" w:hAnsi="宋体" w:eastAsia="宋体" w:cs="宋体"/>
          <w:color w:val="auto"/>
          <w:highlight w:val="none"/>
        </w:rPr>
        <w:t>的响应文件将被视为无效。</w:t>
      </w:r>
    </w:p>
    <w:p>
      <w:pPr>
        <w:pStyle w:val="16"/>
        <w:pageBreakBefore w:val="0"/>
        <w:widowControl/>
        <w:kinsoku/>
        <w:overflowPunct/>
        <w:topLinePunct w:val="0"/>
        <w:bidi w:val="0"/>
        <w:snapToGrid/>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1.10.2</w:t>
      </w:r>
      <w:r>
        <w:rPr>
          <w:rFonts w:hint="eastAsia" w:ascii="宋体" w:hAnsi="宋体" w:eastAsia="宋体" w:cs="宋体"/>
          <w:color w:val="auto"/>
          <w:highlight w:val="none"/>
          <w:lang w:eastAsia="zh-CN"/>
        </w:rPr>
        <w:t>询比响应人</w:t>
      </w:r>
      <w:r>
        <w:rPr>
          <w:rFonts w:hint="eastAsia" w:ascii="宋体" w:hAnsi="宋体" w:eastAsia="宋体" w:cs="宋体"/>
          <w:color w:val="auto"/>
          <w:highlight w:val="none"/>
        </w:rPr>
        <w:t>须知前附表规定了对非关键条款允许偏差的范围和可以偏差的项数的，如响应文件存在的偏差超出上述范围或项数，将被视为无效。</w:t>
      </w:r>
    </w:p>
    <w:p>
      <w:pPr>
        <w:pStyle w:val="4"/>
        <w:pageBreakBefore w:val="0"/>
        <w:kinsoku/>
        <w:overflowPunct/>
        <w:topLinePunct w:val="0"/>
        <w:bidi w:val="0"/>
        <w:snapToGrid/>
        <w:spacing w:line="360" w:lineRule="auto"/>
        <w:jc w:val="both"/>
        <w:rPr>
          <w:rFonts w:hint="eastAsia" w:ascii="宋体" w:hAnsi="宋体" w:eastAsia="宋体" w:cs="宋体"/>
          <w:color w:val="auto"/>
          <w:highlight w:val="none"/>
        </w:rPr>
      </w:pPr>
      <w:bookmarkStart w:id="42" w:name="_Toc5380"/>
      <w:bookmarkStart w:id="43" w:name="_Toc18778"/>
      <w:r>
        <w:rPr>
          <w:rFonts w:hint="eastAsia" w:ascii="宋体" w:hAnsi="宋体" w:eastAsia="宋体" w:cs="宋体"/>
          <w:color w:val="auto"/>
          <w:highlight w:val="none"/>
        </w:rPr>
        <w:t>2采购文件</w:t>
      </w:r>
      <w:bookmarkEnd w:id="42"/>
      <w:bookmarkEnd w:id="43"/>
    </w:p>
    <w:p>
      <w:pPr>
        <w:pStyle w:val="6"/>
        <w:pageBreakBefore w:val="0"/>
        <w:kinsoku/>
        <w:overflowPunct/>
        <w:topLinePunct w:val="0"/>
        <w:bidi w:val="0"/>
        <w:snapToGrid/>
        <w:spacing w:line="360" w:lineRule="auto"/>
        <w:rPr>
          <w:rFonts w:hint="eastAsia" w:ascii="宋体" w:hAnsi="宋体" w:eastAsia="宋体" w:cs="宋体"/>
          <w:color w:val="auto"/>
          <w:highlight w:val="none"/>
        </w:rPr>
      </w:pPr>
      <w:bookmarkStart w:id="44" w:name="_Toc8902"/>
      <w:bookmarkStart w:id="45" w:name="_Toc5281"/>
      <w:r>
        <w:rPr>
          <w:rFonts w:hint="eastAsia" w:ascii="宋体" w:hAnsi="宋体" w:eastAsia="宋体" w:cs="宋体"/>
          <w:color w:val="auto"/>
          <w:highlight w:val="none"/>
        </w:rPr>
        <w:t>2.1 采购文件的组成</w:t>
      </w:r>
      <w:bookmarkEnd w:id="44"/>
      <w:bookmarkEnd w:id="45"/>
    </w:p>
    <w:p>
      <w:pPr>
        <w:pStyle w:val="16"/>
        <w:pageBreakBefore w:val="0"/>
        <w:widowControl/>
        <w:kinsoku/>
        <w:overflowPunct/>
        <w:topLinePunct w:val="0"/>
        <w:bidi w:val="0"/>
        <w:snapToGrid/>
        <w:spacing w:beforeAutospacing="0" w:afterAutospacing="0" w:line="360" w:lineRule="auto"/>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本采购文件包括∶</w:t>
      </w:r>
    </w:p>
    <w:p>
      <w:pPr>
        <w:pStyle w:val="16"/>
        <w:pageBreakBefore w:val="0"/>
        <w:widowControl/>
        <w:kinsoku/>
        <w:overflowPunct/>
        <w:topLinePunct w:val="0"/>
        <w:bidi w:val="0"/>
        <w:snapToGrid/>
        <w:spacing w:beforeAutospacing="0" w:afterAutospacing="0" w:line="360" w:lineRule="auto"/>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（1）询比采购公告（或询比采购邀请书）;</w:t>
      </w:r>
    </w:p>
    <w:p>
      <w:pPr>
        <w:pStyle w:val="16"/>
        <w:pageBreakBefore w:val="0"/>
        <w:widowControl/>
        <w:kinsoku/>
        <w:overflowPunct/>
        <w:topLinePunct w:val="0"/>
        <w:bidi w:val="0"/>
        <w:snapToGrid/>
        <w:spacing w:beforeAutospacing="0" w:afterAutospacing="0" w:line="360" w:lineRule="auto"/>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（2）</w:t>
      </w:r>
      <w:r>
        <w:rPr>
          <w:rFonts w:hint="eastAsia" w:ascii="宋体" w:hAnsi="宋体" w:eastAsia="宋体" w:cs="宋体"/>
          <w:color w:val="auto"/>
          <w:highlight w:val="none"/>
          <w:lang w:eastAsia="zh-CN"/>
        </w:rPr>
        <w:t>询比响应人</w:t>
      </w:r>
      <w:r>
        <w:rPr>
          <w:rFonts w:hint="eastAsia" w:ascii="宋体" w:hAnsi="宋体" w:eastAsia="宋体" w:cs="宋体"/>
          <w:color w:val="auto"/>
          <w:highlight w:val="none"/>
        </w:rPr>
        <w:t>须知;</w:t>
      </w:r>
    </w:p>
    <w:p>
      <w:pPr>
        <w:pStyle w:val="16"/>
        <w:pageBreakBefore w:val="0"/>
        <w:widowControl/>
        <w:kinsoku/>
        <w:overflowPunct/>
        <w:topLinePunct w:val="0"/>
        <w:bidi w:val="0"/>
        <w:snapToGrid/>
        <w:spacing w:beforeAutospacing="0" w:afterAutospacing="0" w:line="360" w:lineRule="auto"/>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（3）评审办法;</w:t>
      </w:r>
    </w:p>
    <w:p>
      <w:pPr>
        <w:pStyle w:val="16"/>
        <w:pageBreakBefore w:val="0"/>
        <w:widowControl/>
        <w:kinsoku/>
        <w:overflowPunct/>
        <w:topLinePunct w:val="0"/>
        <w:bidi w:val="0"/>
        <w:snapToGrid/>
        <w:spacing w:beforeAutospacing="0" w:afterAutospacing="0" w:line="360" w:lineRule="auto"/>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（4）合同条款及格式;</w:t>
      </w:r>
    </w:p>
    <w:p>
      <w:pPr>
        <w:pStyle w:val="16"/>
        <w:pageBreakBefore w:val="0"/>
        <w:widowControl/>
        <w:kinsoku/>
        <w:overflowPunct/>
        <w:topLinePunct w:val="0"/>
        <w:bidi w:val="0"/>
        <w:snapToGrid/>
        <w:spacing w:beforeAutospacing="0" w:afterAutospacing="0" w:line="360" w:lineRule="auto"/>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（5）采购需求;</w:t>
      </w:r>
    </w:p>
    <w:p>
      <w:pPr>
        <w:pStyle w:val="16"/>
        <w:pageBreakBefore w:val="0"/>
        <w:widowControl/>
        <w:kinsoku/>
        <w:overflowPunct/>
        <w:topLinePunct w:val="0"/>
        <w:bidi w:val="0"/>
        <w:snapToGrid/>
        <w:spacing w:beforeAutospacing="0" w:afterAutospacing="0" w:line="360" w:lineRule="auto"/>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（6）响应文件格式;</w:t>
      </w:r>
    </w:p>
    <w:p>
      <w:pPr>
        <w:pStyle w:val="16"/>
        <w:pageBreakBefore w:val="0"/>
        <w:widowControl/>
        <w:kinsoku/>
        <w:overflowPunct/>
        <w:topLinePunct w:val="0"/>
        <w:bidi w:val="0"/>
        <w:snapToGrid/>
        <w:spacing w:beforeAutospacing="0" w:afterAutospacing="0" w:line="360" w:lineRule="auto"/>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（7）</w:t>
      </w:r>
      <w:r>
        <w:rPr>
          <w:rFonts w:hint="eastAsia" w:ascii="宋体" w:hAnsi="宋体" w:eastAsia="宋体" w:cs="宋体"/>
          <w:color w:val="auto"/>
          <w:highlight w:val="none"/>
          <w:lang w:eastAsia="zh-CN"/>
        </w:rPr>
        <w:t>询比响应人</w:t>
      </w:r>
      <w:r>
        <w:rPr>
          <w:rFonts w:hint="eastAsia" w:ascii="宋体" w:hAnsi="宋体" w:eastAsia="宋体" w:cs="宋体"/>
          <w:color w:val="auto"/>
          <w:highlight w:val="none"/>
        </w:rPr>
        <w:t>须知前附表规定的其他资料。</w:t>
      </w:r>
    </w:p>
    <w:p>
      <w:pPr>
        <w:pStyle w:val="16"/>
        <w:pageBreakBefore w:val="0"/>
        <w:widowControl/>
        <w:kinsoku/>
        <w:overflowPunct/>
        <w:topLinePunct w:val="0"/>
        <w:bidi w:val="0"/>
        <w:snapToGrid/>
        <w:spacing w:beforeAutospacing="0" w:afterAutospacing="0" w:line="360" w:lineRule="auto"/>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lang w:eastAsia="zh-CN"/>
        </w:rPr>
        <w:t>招标</w:t>
      </w:r>
      <w:r>
        <w:rPr>
          <w:rFonts w:hint="eastAsia" w:ascii="宋体" w:hAnsi="宋体" w:eastAsia="宋体" w:cs="宋体"/>
          <w:color w:val="auto"/>
          <w:highlight w:val="none"/>
        </w:rPr>
        <w:t>人依照本章规定，对采购文件所作的澄清、修改，构成采购文件的组成部分。</w:t>
      </w:r>
    </w:p>
    <w:p>
      <w:pPr>
        <w:pStyle w:val="6"/>
        <w:pageBreakBefore w:val="0"/>
        <w:kinsoku/>
        <w:overflowPunct/>
        <w:topLinePunct w:val="0"/>
        <w:bidi w:val="0"/>
        <w:snapToGrid/>
        <w:spacing w:line="360" w:lineRule="auto"/>
        <w:rPr>
          <w:rFonts w:hint="eastAsia" w:ascii="宋体" w:hAnsi="宋体" w:eastAsia="宋体" w:cs="宋体"/>
          <w:color w:val="auto"/>
          <w:highlight w:val="none"/>
        </w:rPr>
      </w:pPr>
      <w:bookmarkStart w:id="46" w:name="_Toc4770"/>
      <w:bookmarkStart w:id="47" w:name="_Toc18063"/>
      <w:r>
        <w:rPr>
          <w:rFonts w:hint="eastAsia" w:ascii="宋体" w:hAnsi="宋体" w:eastAsia="宋体" w:cs="宋体"/>
          <w:color w:val="auto"/>
          <w:highlight w:val="none"/>
        </w:rPr>
        <w:t>2.2 采购文件的澄清和修改</w:t>
      </w:r>
      <w:bookmarkEnd w:id="46"/>
      <w:bookmarkEnd w:id="47"/>
    </w:p>
    <w:p>
      <w:pPr>
        <w:pStyle w:val="16"/>
        <w:pageBreakBefore w:val="0"/>
        <w:widowControl/>
        <w:kinsoku/>
        <w:overflowPunct/>
        <w:topLinePunct w:val="0"/>
        <w:bidi w:val="0"/>
        <w:snapToGrid/>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2.2.1 </w:t>
      </w:r>
      <w:r>
        <w:rPr>
          <w:rFonts w:hint="eastAsia" w:ascii="宋体" w:hAnsi="宋体" w:eastAsia="宋体" w:cs="宋体"/>
          <w:color w:val="auto"/>
          <w:highlight w:val="none"/>
          <w:lang w:eastAsia="zh-CN"/>
        </w:rPr>
        <w:t>询比响应人</w:t>
      </w:r>
      <w:r>
        <w:rPr>
          <w:rFonts w:hint="eastAsia" w:ascii="宋体" w:hAnsi="宋体" w:eastAsia="宋体" w:cs="宋体"/>
          <w:color w:val="auto"/>
          <w:highlight w:val="none"/>
        </w:rPr>
        <w:t>应仔细阅读和检查采购文件的全部内容。如发现缺页或内容不全，应及时向</w:t>
      </w:r>
      <w:r>
        <w:rPr>
          <w:rFonts w:hint="eastAsia" w:ascii="宋体" w:hAnsi="宋体" w:eastAsia="宋体" w:cs="宋体"/>
          <w:color w:val="auto"/>
          <w:highlight w:val="none"/>
          <w:lang w:eastAsia="zh-CN"/>
        </w:rPr>
        <w:t>招标</w:t>
      </w:r>
      <w:r>
        <w:rPr>
          <w:rFonts w:hint="eastAsia" w:ascii="宋体" w:hAnsi="宋体" w:eastAsia="宋体" w:cs="宋体"/>
          <w:color w:val="auto"/>
          <w:highlight w:val="none"/>
        </w:rPr>
        <w:t>人提出，以便补齐。如有疑问，应在</w:t>
      </w:r>
      <w:r>
        <w:rPr>
          <w:rFonts w:hint="eastAsia" w:ascii="宋体" w:hAnsi="宋体" w:eastAsia="宋体" w:cs="宋体"/>
          <w:color w:val="auto"/>
          <w:highlight w:val="none"/>
          <w:lang w:eastAsia="zh-CN"/>
        </w:rPr>
        <w:t>询比响应人</w:t>
      </w:r>
      <w:r>
        <w:rPr>
          <w:rFonts w:hint="eastAsia" w:ascii="宋体" w:hAnsi="宋体" w:eastAsia="宋体" w:cs="宋体"/>
          <w:color w:val="auto"/>
          <w:highlight w:val="none"/>
        </w:rPr>
        <w:t>须知前附表规定的时间前，以书面形式要求</w:t>
      </w:r>
      <w:r>
        <w:rPr>
          <w:rFonts w:hint="eastAsia" w:ascii="宋体" w:hAnsi="宋体" w:eastAsia="宋体" w:cs="宋体"/>
          <w:color w:val="auto"/>
          <w:highlight w:val="none"/>
          <w:lang w:eastAsia="zh-CN"/>
        </w:rPr>
        <w:t>招标</w:t>
      </w:r>
      <w:r>
        <w:rPr>
          <w:rFonts w:hint="eastAsia" w:ascii="宋体" w:hAnsi="宋体" w:eastAsia="宋体" w:cs="宋体"/>
          <w:color w:val="auto"/>
          <w:highlight w:val="none"/>
        </w:rPr>
        <w:t>人对采购文件予以澄清。</w:t>
      </w:r>
    </w:p>
    <w:p>
      <w:pPr>
        <w:pStyle w:val="16"/>
        <w:pageBreakBefore w:val="0"/>
        <w:widowControl/>
        <w:kinsoku/>
        <w:overflowPunct/>
        <w:topLinePunct w:val="0"/>
        <w:bidi w:val="0"/>
        <w:snapToGrid/>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2.2.2 </w:t>
      </w:r>
      <w:r>
        <w:rPr>
          <w:rFonts w:hint="eastAsia" w:ascii="宋体" w:hAnsi="宋体" w:eastAsia="宋体" w:cs="宋体"/>
          <w:color w:val="auto"/>
          <w:highlight w:val="none"/>
          <w:lang w:eastAsia="zh-CN"/>
        </w:rPr>
        <w:t>招标</w:t>
      </w:r>
      <w:r>
        <w:rPr>
          <w:rFonts w:hint="eastAsia" w:ascii="宋体" w:hAnsi="宋体" w:eastAsia="宋体" w:cs="宋体"/>
          <w:color w:val="auto"/>
          <w:highlight w:val="none"/>
        </w:rPr>
        <w:t>人可根据</w:t>
      </w:r>
      <w:r>
        <w:rPr>
          <w:rFonts w:hint="eastAsia" w:ascii="宋体" w:hAnsi="宋体" w:eastAsia="宋体" w:cs="宋体"/>
          <w:color w:val="auto"/>
          <w:highlight w:val="none"/>
          <w:lang w:eastAsia="zh-CN"/>
        </w:rPr>
        <w:t>询比响应人</w:t>
      </w:r>
      <w:r>
        <w:rPr>
          <w:rFonts w:hint="eastAsia" w:ascii="宋体" w:hAnsi="宋体" w:eastAsia="宋体" w:cs="宋体"/>
          <w:color w:val="auto"/>
          <w:highlight w:val="none"/>
        </w:rPr>
        <w:t>的要求或主动对采购文件进行澄清或修改。澄清或修改的内容以补充文件的形式发给所有获取采购文件的</w:t>
      </w:r>
      <w:r>
        <w:rPr>
          <w:rFonts w:hint="eastAsia" w:ascii="宋体" w:hAnsi="宋体" w:eastAsia="宋体" w:cs="宋体"/>
          <w:color w:val="auto"/>
          <w:highlight w:val="none"/>
          <w:lang w:eastAsia="zh-CN"/>
        </w:rPr>
        <w:t>询比响应人</w:t>
      </w:r>
      <w:r>
        <w:rPr>
          <w:rFonts w:hint="eastAsia" w:ascii="宋体" w:hAnsi="宋体" w:eastAsia="宋体" w:cs="宋体"/>
          <w:color w:val="auto"/>
          <w:highlight w:val="none"/>
        </w:rPr>
        <w:t>。</w:t>
      </w:r>
      <w:r>
        <w:rPr>
          <w:rFonts w:hint="eastAsia" w:ascii="宋体" w:hAnsi="宋体" w:eastAsia="宋体" w:cs="宋体"/>
          <w:color w:val="auto"/>
          <w:highlight w:val="none"/>
          <w:lang w:eastAsia="zh-CN"/>
        </w:rPr>
        <w:t>招标</w:t>
      </w:r>
      <w:r>
        <w:rPr>
          <w:rFonts w:hint="eastAsia" w:ascii="宋体" w:hAnsi="宋体" w:eastAsia="宋体" w:cs="宋体"/>
          <w:color w:val="auto"/>
          <w:highlight w:val="none"/>
        </w:rPr>
        <w:t>人可视具体情况在补充文件中通知</w:t>
      </w:r>
      <w:r>
        <w:rPr>
          <w:rFonts w:hint="eastAsia" w:ascii="宋体" w:hAnsi="宋体" w:eastAsia="宋体" w:cs="宋体"/>
          <w:color w:val="auto"/>
          <w:highlight w:val="none"/>
          <w:lang w:eastAsia="zh-CN"/>
        </w:rPr>
        <w:t>询比响应人</w:t>
      </w:r>
      <w:r>
        <w:rPr>
          <w:rFonts w:hint="eastAsia" w:ascii="宋体" w:hAnsi="宋体" w:eastAsia="宋体" w:cs="宋体"/>
          <w:color w:val="auto"/>
          <w:highlight w:val="none"/>
        </w:rPr>
        <w:t>推迟递交响应文件的截止时间。</w:t>
      </w:r>
    </w:p>
    <w:p>
      <w:pPr>
        <w:pStyle w:val="16"/>
        <w:pageBreakBefore w:val="0"/>
        <w:widowControl/>
        <w:kinsoku/>
        <w:overflowPunct/>
        <w:topLinePunct w:val="0"/>
        <w:bidi w:val="0"/>
        <w:snapToGrid/>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2.2.3 </w:t>
      </w:r>
      <w:r>
        <w:rPr>
          <w:rFonts w:hint="eastAsia" w:ascii="宋体" w:hAnsi="宋体" w:eastAsia="宋体" w:cs="宋体"/>
          <w:color w:val="auto"/>
          <w:highlight w:val="none"/>
          <w:lang w:eastAsia="zh-CN"/>
        </w:rPr>
        <w:t>询比响应人</w:t>
      </w:r>
      <w:r>
        <w:rPr>
          <w:rFonts w:hint="eastAsia" w:ascii="宋体" w:hAnsi="宋体" w:eastAsia="宋体" w:cs="宋体"/>
          <w:color w:val="auto"/>
          <w:highlight w:val="none"/>
        </w:rPr>
        <w:t>在收到补充文件后，应按</w:t>
      </w:r>
      <w:r>
        <w:rPr>
          <w:rFonts w:hint="eastAsia" w:ascii="宋体" w:hAnsi="宋体" w:eastAsia="宋体" w:cs="宋体"/>
          <w:color w:val="auto"/>
          <w:highlight w:val="none"/>
          <w:lang w:eastAsia="zh-CN"/>
        </w:rPr>
        <w:t>询比响应人</w:t>
      </w:r>
      <w:r>
        <w:rPr>
          <w:rFonts w:hint="eastAsia" w:ascii="宋体" w:hAnsi="宋体" w:eastAsia="宋体" w:cs="宋体"/>
          <w:color w:val="auto"/>
          <w:highlight w:val="none"/>
        </w:rPr>
        <w:t>须知前附表规定的时间和方式通知</w:t>
      </w:r>
      <w:r>
        <w:rPr>
          <w:rFonts w:hint="eastAsia" w:ascii="宋体" w:hAnsi="宋体" w:eastAsia="宋体" w:cs="宋体"/>
          <w:color w:val="auto"/>
          <w:highlight w:val="none"/>
          <w:lang w:eastAsia="zh-CN"/>
        </w:rPr>
        <w:t>招标</w:t>
      </w:r>
      <w:r>
        <w:rPr>
          <w:rFonts w:hint="eastAsia" w:ascii="宋体" w:hAnsi="宋体" w:eastAsia="宋体" w:cs="宋体"/>
          <w:color w:val="auto"/>
          <w:highlight w:val="none"/>
        </w:rPr>
        <w:t>人，确认已收到该补充文件。</w:t>
      </w:r>
    </w:p>
    <w:p>
      <w:pPr>
        <w:pStyle w:val="16"/>
        <w:pageBreakBefore w:val="0"/>
        <w:widowControl/>
        <w:kinsoku/>
        <w:overflowPunct/>
        <w:topLinePunct w:val="0"/>
        <w:bidi w:val="0"/>
        <w:snapToGrid/>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2.2.4 除非确有必要，</w:t>
      </w:r>
      <w:r>
        <w:rPr>
          <w:rFonts w:hint="eastAsia" w:ascii="宋体" w:hAnsi="宋体" w:eastAsia="宋体" w:cs="宋体"/>
          <w:color w:val="auto"/>
          <w:highlight w:val="none"/>
          <w:lang w:eastAsia="zh-CN"/>
        </w:rPr>
        <w:t>招标</w:t>
      </w:r>
      <w:r>
        <w:rPr>
          <w:rFonts w:hint="eastAsia" w:ascii="宋体" w:hAnsi="宋体" w:eastAsia="宋体" w:cs="宋体"/>
          <w:color w:val="auto"/>
          <w:highlight w:val="none"/>
        </w:rPr>
        <w:t>人有权拒绝回复</w:t>
      </w:r>
      <w:r>
        <w:rPr>
          <w:rFonts w:hint="eastAsia" w:ascii="宋体" w:hAnsi="宋体" w:eastAsia="宋体" w:cs="宋体"/>
          <w:color w:val="auto"/>
          <w:highlight w:val="none"/>
          <w:lang w:eastAsia="zh-CN"/>
        </w:rPr>
        <w:t>询比响应人</w:t>
      </w:r>
      <w:r>
        <w:rPr>
          <w:rFonts w:hint="eastAsia" w:ascii="宋体" w:hAnsi="宋体" w:eastAsia="宋体" w:cs="宋体"/>
          <w:color w:val="auto"/>
          <w:highlight w:val="none"/>
        </w:rPr>
        <w:t>在本章第2.2.1项规定的时间后提出的任何澄清要求。</w:t>
      </w:r>
    </w:p>
    <w:p>
      <w:pPr>
        <w:pStyle w:val="4"/>
        <w:pageBreakBefore w:val="0"/>
        <w:kinsoku/>
        <w:overflowPunct/>
        <w:topLinePunct w:val="0"/>
        <w:bidi w:val="0"/>
        <w:snapToGrid/>
        <w:spacing w:line="360" w:lineRule="auto"/>
        <w:jc w:val="both"/>
        <w:rPr>
          <w:rFonts w:hint="eastAsia" w:ascii="宋体" w:hAnsi="宋体" w:eastAsia="宋体" w:cs="宋体"/>
          <w:color w:val="auto"/>
          <w:highlight w:val="none"/>
        </w:rPr>
      </w:pPr>
      <w:bookmarkStart w:id="48" w:name="_Toc5389"/>
      <w:bookmarkStart w:id="49" w:name="_Toc18676"/>
      <w:r>
        <w:rPr>
          <w:rFonts w:hint="eastAsia" w:ascii="宋体" w:hAnsi="宋体" w:eastAsia="宋体" w:cs="宋体"/>
          <w:color w:val="auto"/>
          <w:highlight w:val="none"/>
        </w:rPr>
        <w:t>3响应文件</w:t>
      </w:r>
      <w:bookmarkEnd w:id="48"/>
      <w:bookmarkEnd w:id="49"/>
    </w:p>
    <w:p>
      <w:pPr>
        <w:pStyle w:val="6"/>
        <w:pageBreakBefore w:val="0"/>
        <w:kinsoku/>
        <w:overflowPunct/>
        <w:topLinePunct w:val="0"/>
        <w:bidi w:val="0"/>
        <w:snapToGrid/>
        <w:spacing w:line="360" w:lineRule="auto"/>
        <w:rPr>
          <w:rFonts w:hint="eastAsia" w:ascii="宋体" w:hAnsi="宋体" w:eastAsia="宋体" w:cs="宋体"/>
          <w:color w:val="auto"/>
          <w:highlight w:val="none"/>
        </w:rPr>
      </w:pPr>
      <w:bookmarkStart w:id="50" w:name="_Toc1204"/>
      <w:bookmarkStart w:id="51" w:name="_Toc14777"/>
      <w:r>
        <w:rPr>
          <w:rFonts w:hint="eastAsia" w:ascii="宋体" w:hAnsi="宋体" w:eastAsia="宋体" w:cs="宋体"/>
          <w:color w:val="auto"/>
          <w:highlight w:val="none"/>
        </w:rPr>
        <w:t>3.1 响应文件的组成</w:t>
      </w:r>
      <w:bookmarkEnd w:id="50"/>
      <w:bookmarkEnd w:id="51"/>
    </w:p>
    <w:p>
      <w:pPr>
        <w:pStyle w:val="16"/>
        <w:pageBreakBefore w:val="0"/>
        <w:widowControl/>
        <w:kinsoku/>
        <w:overflowPunct/>
        <w:topLinePunct w:val="0"/>
        <w:bidi w:val="0"/>
        <w:snapToGrid/>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3.1.1 响应文件应包括下列内容∶</w:t>
      </w:r>
    </w:p>
    <w:p>
      <w:pPr>
        <w:pStyle w:val="16"/>
        <w:pageBreakBefore w:val="0"/>
        <w:widowControl/>
        <w:kinsoku/>
        <w:overflowPunct/>
        <w:topLinePunct w:val="0"/>
        <w:bidi w:val="0"/>
        <w:snapToGrid/>
        <w:spacing w:beforeAutospacing="0" w:afterAutospacing="0" w:line="360" w:lineRule="auto"/>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（1）响应函;</w:t>
      </w:r>
    </w:p>
    <w:p>
      <w:pPr>
        <w:pStyle w:val="16"/>
        <w:pageBreakBefore w:val="0"/>
        <w:widowControl/>
        <w:kinsoku/>
        <w:overflowPunct/>
        <w:topLinePunct w:val="0"/>
        <w:bidi w:val="0"/>
        <w:snapToGrid/>
        <w:spacing w:beforeAutospacing="0" w:afterAutospacing="0" w:line="360" w:lineRule="auto"/>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（2）授权委托书（如有）;</w:t>
      </w:r>
    </w:p>
    <w:p>
      <w:pPr>
        <w:pStyle w:val="16"/>
        <w:pageBreakBefore w:val="0"/>
        <w:widowControl/>
        <w:kinsoku/>
        <w:overflowPunct/>
        <w:topLinePunct w:val="0"/>
        <w:bidi w:val="0"/>
        <w:snapToGrid/>
        <w:spacing w:beforeAutospacing="0" w:afterAutospacing="0" w:line="360" w:lineRule="auto"/>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（3）联合体协议书（如有）;</w:t>
      </w:r>
    </w:p>
    <w:p>
      <w:pPr>
        <w:pStyle w:val="16"/>
        <w:pageBreakBefore w:val="0"/>
        <w:widowControl/>
        <w:kinsoku/>
        <w:overflowPunct/>
        <w:topLinePunct w:val="0"/>
        <w:bidi w:val="0"/>
        <w:snapToGrid/>
        <w:spacing w:beforeAutospacing="0" w:afterAutospacing="0" w:line="360" w:lineRule="auto"/>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（4）响应保证金（如有）;</w:t>
      </w:r>
    </w:p>
    <w:p>
      <w:pPr>
        <w:pStyle w:val="16"/>
        <w:pageBreakBefore w:val="0"/>
        <w:widowControl/>
        <w:kinsoku/>
        <w:overflowPunct/>
        <w:topLinePunct w:val="0"/>
        <w:bidi w:val="0"/>
        <w:snapToGrid/>
        <w:spacing w:beforeAutospacing="0" w:afterAutospacing="0" w:line="360" w:lineRule="auto"/>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（5）商务和技术偏差表;</w:t>
      </w:r>
    </w:p>
    <w:p>
      <w:pPr>
        <w:pStyle w:val="16"/>
        <w:pageBreakBefore w:val="0"/>
        <w:widowControl/>
        <w:kinsoku/>
        <w:overflowPunct/>
        <w:topLinePunct w:val="0"/>
        <w:bidi w:val="0"/>
        <w:snapToGrid/>
        <w:spacing w:beforeAutospacing="0" w:afterAutospacing="0" w:line="360" w:lineRule="auto"/>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（6）报价表;</w:t>
      </w:r>
    </w:p>
    <w:p>
      <w:pPr>
        <w:pStyle w:val="16"/>
        <w:pageBreakBefore w:val="0"/>
        <w:widowControl/>
        <w:kinsoku/>
        <w:overflowPunct/>
        <w:topLinePunct w:val="0"/>
        <w:bidi w:val="0"/>
        <w:snapToGrid/>
        <w:spacing w:beforeAutospacing="0" w:afterAutospacing="0" w:line="360" w:lineRule="auto"/>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（7）资格审查资料;</w:t>
      </w:r>
    </w:p>
    <w:p>
      <w:pPr>
        <w:pStyle w:val="16"/>
        <w:pageBreakBefore w:val="0"/>
        <w:widowControl/>
        <w:kinsoku/>
        <w:overflowPunct/>
        <w:topLinePunct w:val="0"/>
        <w:bidi w:val="0"/>
        <w:snapToGrid/>
        <w:spacing w:beforeAutospacing="0" w:afterAutospacing="0" w:line="360" w:lineRule="auto"/>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（8）响应方案;</w:t>
      </w:r>
    </w:p>
    <w:p>
      <w:pPr>
        <w:pStyle w:val="16"/>
        <w:pageBreakBefore w:val="0"/>
        <w:widowControl/>
        <w:kinsoku/>
        <w:overflowPunct/>
        <w:topLinePunct w:val="0"/>
        <w:bidi w:val="0"/>
        <w:snapToGrid/>
        <w:spacing w:beforeAutospacing="0" w:afterAutospacing="0" w:line="360" w:lineRule="auto"/>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（9）</w:t>
      </w:r>
      <w:r>
        <w:rPr>
          <w:rFonts w:hint="eastAsia" w:ascii="宋体" w:hAnsi="宋体" w:eastAsia="宋体" w:cs="宋体"/>
          <w:color w:val="auto"/>
          <w:highlight w:val="none"/>
          <w:lang w:eastAsia="zh-CN"/>
        </w:rPr>
        <w:t>询比响应人</w:t>
      </w:r>
      <w:r>
        <w:rPr>
          <w:rFonts w:hint="eastAsia" w:ascii="宋体" w:hAnsi="宋体" w:eastAsia="宋体" w:cs="宋体"/>
          <w:color w:val="auto"/>
          <w:highlight w:val="none"/>
        </w:rPr>
        <w:t>须知前附表规定的其他资料。</w:t>
      </w:r>
    </w:p>
    <w:p>
      <w:pPr>
        <w:pStyle w:val="16"/>
        <w:pageBreakBefore w:val="0"/>
        <w:widowControl/>
        <w:kinsoku/>
        <w:overflowPunct/>
        <w:topLinePunct w:val="0"/>
        <w:bidi w:val="0"/>
        <w:snapToGrid/>
        <w:spacing w:beforeAutospacing="0" w:afterAutospacing="0" w:line="360" w:lineRule="auto"/>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lang w:eastAsia="zh-CN"/>
        </w:rPr>
        <w:t>询比响应人</w:t>
      </w:r>
      <w:r>
        <w:rPr>
          <w:rFonts w:hint="eastAsia" w:ascii="宋体" w:hAnsi="宋体" w:eastAsia="宋体" w:cs="宋体"/>
          <w:color w:val="auto"/>
          <w:highlight w:val="none"/>
        </w:rPr>
        <w:t>在评审过程中作出的符合采购文件要求的澄清、说明和补正，构成响应文件的组成部分。</w:t>
      </w:r>
    </w:p>
    <w:p>
      <w:pPr>
        <w:pStyle w:val="16"/>
        <w:pageBreakBefore w:val="0"/>
        <w:widowControl/>
        <w:kinsoku/>
        <w:overflowPunct/>
        <w:topLinePunct w:val="0"/>
        <w:bidi w:val="0"/>
        <w:snapToGrid/>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3.1.2 </w:t>
      </w:r>
      <w:r>
        <w:rPr>
          <w:rFonts w:hint="eastAsia" w:ascii="宋体" w:hAnsi="宋体" w:eastAsia="宋体" w:cs="宋体"/>
          <w:color w:val="auto"/>
          <w:highlight w:val="none"/>
          <w:lang w:eastAsia="zh-CN"/>
        </w:rPr>
        <w:t>询比响应人</w:t>
      </w:r>
      <w:r>
        <w:rPr>
          <w:rFonts w:hint="eastAsia" w:ascii="宋体" w:hAnsi="宋体" w:eastAsia="宋体" w:cs="宋体"/>
          <w:color w:val="auto"/>
          <w:highlight w:val="none"/>
        </w:rPr>
        <w:t>的法定代表人（单位负责人）亲自签署响应文件、亲自参加询比的，响应文件不包括第3.1.1（2）目所指的授权委托书。第一章"询比采购公告/询比采购邀请书"规定不接受联合体的，或</w:t>
      </w:r>
      <w:r>
        <w:rPr>
          <w:rFonts w:hint="eastAsia" w:ascii="宋体" w:hAnsi="宋体" w:eastAsia="宋体" w:cs="宋体"/>
          <w:color w:val="auto"/>
          <w:highlight w:val="none"/>
          <w:lang w:eastAsia="zh-CN"/>
        </w:rPr>
        <w:t>询比响应人</w:t>
      </w:r>
      <w:r>
        <w:rPr>
          <w:rFonts w:hint="eastAsia" w:ascii="宋体" w:hAnsi="宋体" w:eastAsia="宋体" w:cs="宋体"/>
          <w:color w:val="auto"/>
          <w:highlight w:val="none"/>
        </w:rPr>
        <w:t>没有组成联合体的，响应文件不包括第3.1.1（3）目所指的联合体协议书。</w:t>
      </w:r>
      <w:r>
        <w:rPr>
          <w:rFonts w:hint="eastAsia" w:ascii="宋体" w:hAnsi="宋体" w:eastAsia="宋体" w:cs="宋体"/>
          <w:color w:val="auto"/>
          <w:highlight w:val="none"/>
          <w:lang w:eastAsia="zh-CN"/>
        </w:rPr>
        <w:t>询比响应人</w:t>
      </w:r>
      <w:r>
        <w:rPr>
          <w:rFonts w:hint="eastAsia" w:ascii="宋体" w:hAnsi="宋体" w:eastAsia="宋体" w:cs="宋体"/>
          <w:color w:val="auto"/>
          <w:highlight w:val="none"/>
        </w:rPr>
        <w:t>须知前附表未要求</w:t>
      </w:r>
      <w:r>
        <w:rPr>
          <w:rFonts w:hint="eastAsia" w:ascii="宋体" w:hAnsi="宋体" w:eastAsia="宋体" w:cs="宋体"/>
          <w:color w:val="auto"/>
          <w:highlight w:val="none"/>
          <w:lang w:eastAsia="zh-CN"/>
        </w:rPr>
        <w:t>询比响应人</w:t>
      </w:r>
      <w:r>
        <w:rPr>
          <w:rFonts w:hint="eastAsia" w:ascii="宋体" w:hAnsi="宋体" w:eastAsia="宋体" w:cs="宋体"/>
          <w:color w:val="auto"/>
          <w:highlight w:val="none"/>
        </w:rPr>
        <w:t>递交响应保证金的，响应文件不包括第3.1.1（4）目所指的响应保证金。</w:t>
      </w:r>
    </w:p>
    <w:p>
      <w:pPr>
        <w:pStyle w:val="6"/>
        <w:pageBreakBefore w:val="0"/>
        <w:kinsoku/>
        <w:overflowPunct/>
        <w:topLinePunct w:val="0"/>
        <w:bidi w:val="0"/>
        <w:snapToGrid/>
        <w:spacing w:line="360" w:lineRule="auto"/>
        <w:rPr>
          <w:rFonts w:hint="eastAsia" w:ascii="宋体" w:hAnsi="宋体" w:eastAsia="宋体" w:cs="宋体"/>
          <w:color w:val="auto"/>
          <w:highlight w:val="none"/>
        </w:rPr>
      </w:pPr>
      <w:bookmarkStart w:id="52" w:name="_Toc19575"/>
      <w:bookmarkStart w:id="53" w:name="_Toc31742"/>
      <w:r>
        <w:rPr>
          <w:rFonts w:hint="eastAsia" w:ascii="宋体" w:hAnsi="宋体" w:eastAsia="宋体" w:cs="宋体"/>
          <w:color w:val="auto"/>
          <w:highlight w:val="none"/>
        </w:rPr>
        <w:t>3.2 报价</w:t>
      </w:r>
      <w:bookmarkEnd w:id="52"/>
      <w:bookmarkEnd w:id="53"/>
    </w:p>
    <w:p>
      <w:pPr>
        <w:pStyle w:val="16"/>
        <w:pageBreakBefore w:val="0"/>
        <w:widowControl/>
        <w:kinsoku/>
        <w:overflowPunct/>
        <w:topLinePunct w:val="0"/>
        <w:bidi w:val="0"/>
        <w:snapToGrid/>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3.2.1 </w:t>
      </w:r>
      <w:r>
        <w:rPr>
          <w:rFonts w:hint="eastAsia" w:ascii="宋体" w:hAnsi="宋体" w:eastAsia="宋体" w:cs="宋体"/>
          <w:color w:val="auto"/>
          <w:highlight w:val="none"/>
          <w:lang w:eastAsia="zh-CN"/>
        </w:rPr>
        <w:t>询比响应人</w:t>
      </w:r>
      <w:r>
        <w:rPr>
          <w:rFonts w:hint="eastAsia" w:ascii="宋体" w:hAnsi="宋体" w:eastAsia="宋体" w:cs="宋体"/>
          <w:color w:val="auto"/>
          <w:highlight w:val="none"/>
        </w:rPr>
        <w:t>应按采购文件提供的格式（见第六章"响应文件格式"）在响应函和报价表中进行报价。响应函中报价应为包含国家规定的增值税在内的含税价格，同时应列明不含税价格和增值税税额。</w:t>
      </w:r>
      <w:r>
        <w:rPr>
          <w:rFonts w:hint="eastAsia" w:ascii="宋体" w:hAnsi="宋体" w:eastAsia="宋体" w:cs="宋体"/>
          <w:color w:val="auto"/>
          <w:highlight w:val="none"/>
          <w:lang w:eastAsia="zh-CN"/>
        </w:rPr>
        <w:t>招标</w:t>
      </w:r>
      <w:r>
        <w:rPr>
          <w:rFonts w:hint="eastAsia" w:ascii="宋体" w:hAnsi="宋体" w:eastAsia="宋体" w:cs="宋体"/>
          <w:color w:val="auto"/>
          <w:highlight w:val="none"/>
        </w:rPr>
        <w:t>人将根据项目情况，在第三章"评审办法"第2.2.2项中选择按照含税价格或不含税价格对</w:t>
      </w:r>
      <w:r>
        <w:rPr>
          <w:rFonts w:hint="eastAsia" w:ascii="宋体" w:hAnsi="宋体" w:eastAsia="宋体" w:cs="宋体"/>
          <w:color w:val="auto"/>
          <w:highlight w:val="none"/>
          <w:lang w:eastAsia="zh-CN"/>
        </w:rPr>
        <w:t>询比响应人</w:t>
      </w:r>
      <w:r>
        <w:rPr>
          <w:rFonts w:hint="eastAsia" w:ascii="宋体" w:hAnsi="宋体" w:eastAsia="宋体" w:cs="宋体"/>
          <w:color w:val="auto"/>
          <w:highlight w:val="none"/>
        </w:rPr>
        <w:t>进行价格评审。</w:t>
      </w:r>
    </w:p>
    <w:p>
      <w:pPr>
        <w:pStyle w:val="16"/>
        <w:pageBreakBefore w:val="0"/>
        <w:widowControl/>
        <w:kinsoku/>
        <w:overflowPunct/>
        <w:topLinePunct w:val="0"/>
        <w:bidi w:val="0"/>
        <w:snapToGrid/>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3.2.2 </w:t>
      </w:r>
      <w:r>
        <w:rPr>
          <w:rFonts w:hint="eastAsia" w:ascii="宋体" w:hAnsi="宋体" w:eastAsia="宋体" w:cs="宋体"/>
          <w:color w:val="auto"/>
          <w:highlight w:val="none"/>
          <w:lang w:eastAsia="zh-CN"/>
        </w:rPr>
        <w:t>询比响应人</w:t>
      </w:r>
      <w:r>
        <w:rPr>
          <w:rFonts w:hint="eastAsia" w:ascii="宋体" w:hAnsi="宋体" w:eastAsia="宋体" w:cs="宋体"/>
          <w:color w:val="auto"/>
          <w:highlight w:val="none"/>
        </w:rPr>
        <w:t>应充分了解采购项目的总体情况以及影响报价的其他要素。对于货物和服务采购项目，</w:t>
      </w:r>
      <w:r>
        <w:rPr>
          <w:rFonts w:hint="eastAsia" w:ascii="宋体" w:hAnsi="宋体" w:eastAsia="宋体" w:cs="宋体"/>
          <w:color w:val="auto"/>
          <w:highlight w:val="none"/>
          <w:lang w:eastAsia="zh-CN"/>
        </w:rPr>
        <w:t>招标</w:t>
      </w:r>
      <w:r>
        <w:rPr>
          <w:rFonts w:hint="eastAsia" w:ascii="宋体" w:hAnsi="宋体" w:eastAsia="宋体" w:cs="宋体"/>
          <w:color w:val="auto"/>
          <w:highlight w:val="none"/>
        </w:rPr>
        <w:t>人在签署采购合同时及合同履行过程中，有权在</w:t>
      </w:r>
      <w:r>
        <w:rPr>
          <w:rFonts w:hint="eastAsia" w:ascii="宋体" w:hAnsi="宋体" w:eastAsia="宋体" w:cs="宋体"/>
          <w:color w:val="auto"/>
          <w:highlight w:val="none"/>
          <w:lang w:eastAsia="zh-CN"/>
        </w:rPr>
        <w:t>询比响应人</w:t>
      </w:r>
      <w:r>
        <w:rPr>
          <w:rFonts w:hint="eastAsia" w:ascii="宋体" w:hAnsi="宋体" w:eastAsia="宋体" w:cs="宋体"/>
          <w:color w:val="auto"/>
          <w:highlight w:val="none"/>
        </w:rPr>
        <w:t>须知前附表规定的幅度内对采购标的的数量进行增加或减少。</w:t>
      </w:r>
    </w:p>
    <w:p>
      <w:pPr>
        <w:pStyle w:val="16"/>
        <w:pageBreakBefore w:val="0"/>
        <w:widowControl/>
        <w:kinsoku/>
        <w:overflowPunct/>
        <w:topLinePunct w:val="0"/>
        <w:bidi w:val="0"/>
        <w:snapToGrid/>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3.2.3 </w:t>
      </w:r>
      <w:r>
        <w:rPr>
          <w:rFonts w:hint="eastAsia" w:ascii="宋体" w:hAnsi="宋体" w:eastAsia="宋体" w:cs="宋体"/>
          <w:color w:val="auto"/>
          <w:highlight w:val="none"/>
          <w:lang w:eastAsia="zh-CN"/>
        </w:rPr>
        <w:t>招标</w:t>
      </w:r>
      <w:r>
        <w:rPr>
          <w:rFonts w:hint="eastAsia" w:ascii="宋体" w:hAnsi="宋体" w:eastAsia="宋体" w:cs="宋体"/>
          <w:color w:val="auto"/>
          <w:highlight w:val="none"/>
        </w:rPr>
        <w:t>人设有最高限价的，</w:t>
      </w:r>
      <w:r>
        <w:rPr>
          <w:rFonts w:hint="eastAsia" w:ascii="宋体" w:hAnsi="宋体" w:eastAsia="宋体" w:cs="宋体"/>
          <w:color w:val="auto"/>
          <w:highlight w:val="none"/>
          <w:lang w:eastAsia="zh-CN"/>
        </w:rPr>
        <w:t>询比响应人</w:t>
      </w:r>
      <w:r>
        <w:rPr>
          <w:rFonts w:hint="eastAsia" w:ascii="宋体" w:hAnsi="宋体" w:eastAsia="宋体" w:cs="宋体"/>
          <w:color w:val="auto"/>
          <w:highlight w:val="none"/>
        </w:rPr>
        <w:t>的报价不得超过最高限价。最高限价或最高限价计算方法在</w:t>
      </w:r>
      <w:r>
        <w:rPr>
          <w:rFonts w:hint="eastAsia" w:ascii="宋体" w:hAnsi="宋体" w:eastAsia="宋体" w:cs="宋体"/>
          <w:color w:val="auto"/>
          <w:highlight w:val="none"/>
          <w:lang w:eastAsia="zh-CN"/>
        </w:rPr>
        <w:t>询比响应人</w:t>
      </w:r>
      <w:r>
        <w:rPr>
          <w:rFonts w:hint="eastAsia" w:ascii="宋体" w:hAnsi="宋体" w:eastAsia="宋体" w:cs="宋体"/>
          <w:color w:val="auto"/>
          <w:highlight w:val="none"/>
        </w:rPr>
        <w:t>须知前附表中载明。</w:t>
      </w:r>
    </w:p>
    <w:p>
      <w:pPr>
        <w:pStyle w:val="16"/>
        <w:pageBreakBefore w:val="0"/>
        <w:widowControl/>
        <w:kinsoku/>
        <w:overflowPunct/>
        <w:topLinePunct w:val="0"/>
        <w:bidi w:val="0"/>
        <w:snapToGrid/>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3.2.4 报价的其他要求见</w:t>
      </w:r>
      <w:r>
        <w:rPr>
          <w:rFonts w:hint="eastAsia" w:ascii="宋体" w:hAnsi="宋体" w:eastAsia="宋体" w:cs="宋体"/>
          <w:color w:val="auto"/>
          <w:highlight w:val="none"/>
          <w:lang w:eastAsia="zh-CN"/>
        </w:rPr>
        <w:t>询比响应人</w:t>
      </w:r>
      <w:r>
        <w:rPr>
          <w:rFonts w:hint="eastAsia" w:ascii="宋体" w:hAnsi="宋体" w:eastAsia="宋体" w:cs="宋体"/>
          <w:color w:val="auto"/>
          <w:highlight w:val="none"/>
        </w:rPr>
        <w:t>须知前附表。</w:t>
      </w:r>
    </w:p>
    <w:p>
      <w:pPr>
        <w:pStyle w:val="6"/>
        <w:pageBreakBefore w:val="0"/>
        <w:kinsoku/>
        <w:overflowPunct/>
        <w:topLinePunct w:val="0"/>
        <w:bidi w:val="0"/>
        <w:snapToGrid/>
        <w:spacing w:line="360" w:lineRule="auto"/>
        <w:rPr>
          <w:rFonts w:hint="eastAsia" w:ascii="宋体" w:hAnsi="宋体" w:eastAsia="宋体" w:cs="宋体"/>
          <w:color w:val="auto"/>
          <w:highlight w:val="none"/>
        </w:rPr>
      </w:pPr>
      <w:bookmarkStart w:id="54" w:name="_Toc32440"/>
      <w:bookmarkStart w:id="55" w:name="_Toc16932"/>
      <w:r>
        <w:rPr>
          <w:rFonts w:hint="eastAsia" w:ascii="宋体" w:hAnsi="宋体" w:eastAsia="宋体" w:cs="宋体"/>
          <w:color w:val="auto"/>
          <w:highlight w:val="none"/>
        </w:rPr>
        <w:t>3.3响应文件有效期</w:t>
      </w:r>
      <w:bookmarkEnd w:id="54"/>
      <w:bookmarkEnd w:id="55"/>
    </w:p>
    <w:p>
      <w:pPr>
        <w:pStyle w:val="16"/>
        <w:pageBreakBefore w:val="0"/>
        <w:widowControl/>
        <w:kinsoku/>
        <w:overflowPunct/>
        <w:topLinePunct w:val="0"/>
        <w:bidi w:val="0"/>
        <w:snapToGrid/>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3.3.1 除</w:t>
      </w:r>
      <w:r>
        <w:rPr>
          <w:rFonts w:hint="eastAsia" w:ascii="宋体" w:hAnsi="宋体" w:eastAsia="宋体" w:cs="宋体"/>
          <w:color w:val="auto"/>
          <w:highlight w:val="none"/>
          <w:lang w:eastAsia="zh-CN"/>
        </w:rPr>
        <w:t>询比响应人</w:t>
      </w:r>
      <w:r>
        <w:rPr>
          <w:rFonts w:hint="eastAsia" w:ascii="宋体" w:hAnsi="宋体" w:eastAsia="宋体" w:cs="宋体"/>
          <w:color w:val="auto"/>
          <w:highlight w:val="none"/>
        </w:rPr>
        <w:t>须知前附表另有规定外，响应文件有效期应为90日，从采购文件规定的递交响应文件的截止时间开始计算。</w:t>
      </w:r>
    </w:p>
    <w:p>
      <w:pPr>
        <w:pStyle w:val="16"/>
        <w:pageBreakBefore w:val="0"/>
        <w:widowControl/>
        <w:kinsoku/>
        <w:overflowPunct/>
        <w:topLinePunct w:val="0"/>
        <w:bidi w:val="0"/>
        <w:snapToGrid/>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3.3.2 出现特殊情况需要延长响应文件有效期的，</w:t>
      </w:r>
      <w:r>
        <w:rPr>
          <w:rFonts w:hint="eastAsia" w:ascii="宋体" w:hAnsi="宋体" w:eastAsia="宋体" w:cs="宋体"/>
          <w:color w:val="auto"/>
          <w:highlight w:val="none"/>
          <w:lang w:eastAsia="zh-CN"/>
        </w:rPr>
        <w:t>招标</w:t>
      </w:r>
      <w:r>
        <w:rPr>
          <w:rFonts w:hint="eastAsia" w:ascii="宋体" w:hAnsi="宋体" w:eastAsia="宋体" w:cs="宋体"/>
          <w:color w:val="auto"/>
          <w:highlight w:val="none"/>
        </w:rPr>
        <w:t>人以书面形式通知所有</w:t>
      </w:r>
      <w:r>
        <w:rPr>
          <w:rFonts w:hint="eastAsia" w:ascii="宋体" w:hAnsi="宋体" w:eastAsia="宋体" w:cs="宋体"/>
          <w:color w:val="auto"/>
          <w:highlight w:val="none"/>
          <w:lang w:eastAsia="zh-CN"/>
        </w:rPr>
        <w:t>询比响应人</w:t>
      </w:r>
      <w:r>
        <w:rPr>
          <w:rFonts w:hint="eastAsia" w:ascii="宋体" w:hAnsi="宋体" w:eastAsia="宋体" w:cs="宋体"/>
          <w:color w:val="auto"/>
          <w:highlight w:val="none"/>
        </w:rPr>
        <w:t>延长响应文件有效期，</w:t>
      </w:r>
      <w:r>
        <w:rPr>
          <w:rFonts w:hint="eastAsia" w:ascii="宋体" w:hAnsi="宋体" w:eastAsia="宋体" w:cs="宋体"/>
          <w:color w:val="auto"/>
          <w:highlight w:val="none"/>
          <w:lang w:eastAsia="zh-CN"/>
        </w:rPr>
        <w:t>询比响应人</w:t>
      </w:r>
      <w:r>
        <w:rPr>
          <w:rFonts w:hint="eastAsia" w:ascii="宋体" w:hAnsi="宋体" w:eastAsia="宋体" w:cs="宋体"/>
          <w:color w:val="auto"/>
          <w:highlight w:val="none"/>
        </w:rPr>
        <w:t>应予以书面答复。同意延长的，应相应延长其响应保证金的有效期，但不得修改其响应文件;</w:t>
      </w:r>
      <w:r>
        <w:rPr>
          <w:rFonts w:hint="eastAsia" w:ascii="宋体" w:hAnsi="宋体" w:eastAsia="宋体" w:cs="宋体"/>
          <w:color w:val="auto"/>
          <w:highlight w:val="none"/>
          <w:lang w:eastAsia="zh-CN"/>
        </w:rPr>
        <w:t>询比响应人</w:t>
      </w:r>
      <w:r>
        <w:rPr>
          <w:rFonts w:hint="eastAsia" w:ascii="宋体" w:hAnsi="宋体" w:eastAsia="宋体" w:cs="宋体"/>
          <w:color w:val="auto"/>
          <w:highlight w:val="none"/>
        </w:rPr>
        <w:t>拒绝延长的，其响应文件在原有效期届满后失效，但</w:t>
      </w:r>
      <w:r>
        <w:rPr>
          <w:rFonts w:hint="eastAsia" w:ascii="宋体" w:hAnsi="宋体" w:eastAsia="宋体" w:cs="宋体"/>
          <w:color w:val="auto"/>
          <w:highlight w:val="none"/>
          <w:lang w:eastAsia="zh-CN"/>
        </w:rPr>
        <w:t>询比响应人</w:t>
      </w:r>
      <w:r>
        <w:rPr>
          <w:rFonts w:hint="eastAsia" w:ascii="宋体" w:hAnsi="宋体" w:eastAsia="宋体" w:cs="宋体"/>
          <w:color w:val="auto"/>
          <w:highlight w:val="none"/>
        </w:rPr>
        <w:t>有权收回其响应保证金。</w:t>
      </w:r>
    </w:p>
    <w:p>
      <w:pPr>
        <w:pStyle w:val="6"/>
        <w:pageBreakBefore w:val="0"/>
        <w:kinsoku/>
        <w:overflowPunct/>
        <w:topLinePunct w:val="0"/>
        <w:bidi w:val="0"/>
        <w:snapToGrid/>
        <w:spacing w:line="360" w:lineRule="auto"/>
        <w:rPr>
          <w:rFonts w:hint="eastAsia" w:ascii="宋体" w:hAnsi="宋体" w:eastAsia="宋体" w:cs="宋体"/>
          <w:color w:val="auto"/>
          <w:highlight w:val="none"/>
        </w:rPr>
      </w:pPr>
      <w:bookmarkStart w:id="56" w:name="_Toc10430"/>
      <w:bookmarkStart w:id="57" w:name="_Toc8777"/>
      <w:r>
        <w:rPr>
          <w:rFonts w:hint="eastAsia" w:ascii="宋体" w:hAnsi="宋体" w:eastAsia="宋体" w:cs="宋体"/>
          <w:color w:val="auto"/>
          <w:highlight w:val="none"/>
        </w:rPr>
        <w:t>3.4 响应保证金</w:t>
      </w:r>
      <w:bookmarkEnd w:id="56"/>
      <w:bookmarkEnd w:id="57"/>
    </w:p>
    <w:p>
      <w:pPr>
        <w:pStyle w:val="16"/>
        <w:pageBreakBefore w:val="0"/>
        <w:widowControl/>
        <w:kinsoku/>
        <w:overflowPunct/>
        <w:topLinePunct w:val="0"/>
        <w:bidi w:val="0"/>
        <w:snapToGrid/>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3.4.1 </w:t>
      </w:r>
      <w:r>
        <w:rPr>
          <w:rFonts w:hint="eastAsia" w:ascii="宋体" w:hAnsi="宋体" w:eastAsia="宋体" w:cs="宋体"/>
          <w:color w:val="auto"/>
          <w:highlight w:val="none"/>
          <w:lang w:eastAsia="zh-CN"/>
        </w:rPr>
        <w:t>询比响应人</w:t>
      </w:r>
      <w:r>
        <w:rPr>
          <w:rFonts w:hint="eastAsia" w:ascii="宋体" w:hAnsi="宋体" w:eastAsia="宋体" w:cs="宋体"/>
          <w:color w:val="auto"/>
          <w:highlight w:val="none"/>
        </w:rPr>
        <w:t>须知前附表规定要求递交响应保证金的，</w:t>
      </w:r>
      <w:r>
        <w:rPr>
          <w:rFonts w:hint="eastAsia" w:ascii="宋体" w:hAnsi="宋体" w:eastAsia="宋体" w:cs="宋体"/>
          <w:color w:val="auto"/>
          <w:highlight w:val="none"/>
          <w:lang w:eastAsia="zh-CN"/>
        </w:rPr>
        <w:t>询比响应人</w:t>
      </w:r>
      <w:r>
        <w:rPr>
          <w:rFonts w:hint="eastAsia" w:ascii="宋体" w:hAnsi="宋体" w:eastAsia="宋体" w:cs="宋体"/>
          <w:color w:val="auto"/>
          <w:highlight w:val="none"/>
        </w:rPr>
        <w:t>在递交响应文件的同时，应按</w:t>
      </w:r>
      <w:r>
        <w:rPr>
          <w:rFonts w:hint="eastAsia" w:ascii="宋体" w:hAnsi="宋体" w:eastAsia="宋体" w:cs="宋体"/>
          <w:color w:val="auto"/>
          <w:highlight w:val="none"/>
          <w:lang w:eastAsia="zh-CN"/>
        </w:rPr>
        <w:t>询比响应人</w:t>
      </w:r>
      <w:r>
        <w:rPr>
          <w:rFonts w:hint="eastAsia" w:ascii="宋体" w:hAnsi="宋体" w:eastAsia="宋体" w:cs="宋体"/>
          <w:color w:val="auto"/>
          <w:highlight w:val="none"/>
        </w:rPr>
        <w:t>须知前附表规定的金额、形式和采购文件提供的格式（见第六章"响应文件格式"四、响应保证金）递交响应保证金，并作为其响应文件的组成部分。</w:t>
      </w:r>
      <w:r>
        <w:rPr>
          <w:rFonts w:hint="eastAsia" w:ascii="宋体" w:hAnsi="宋体" w:eastAsia="宋体" w:cs="宋体"/>
          <w:color w:val="auto"/>
          <w:highlight w:val="none"/>
          <w:lang w:eastAsia="zh-CN"/>
        </w:rPr>
        <w:t>询比响应人</w:t>
      </w:r>
      <w:r>
        <w:rPr>
          <w:rFonts w:hint="eastAsia" w:ascii="宋体" w:hAnsi="宋体" w:eastAsia="宋体" w:cs="宋体"/>
          <w:color w:val="auto"/>
          <w:highlight w:val="none"/>
        </w:rPr>
        <w:t>不按要求递交响应保证金的，其响应文件将被视为无效。</w:t>
      </w:r>
    </w:p>
    <w:p>
      <w:pPr>
        <w:pStyle w:val="16"/>
        <w:pageBreakBefore w:val="0"/>
        <w:widowControl/>
        <w:kinsoku/>
        <w:overflowPunct/>
        <w:topLinePunct w:val="0"/>
        <w:bidi w:val="0"/>
        <w:snapToGrid/>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3.4.2 除</w:t>
      </w:r>
      <w:r>
        <w:rPr>
          <w:rFonts w:hint="eastAsia" w:ascii="宋体" w:hAnsi="宋体" w:eastAsia="宋体" w:cs="宋体"/>
          <w:color w:val="auto"/>
          <w:highlight w:val="none"/>
          <w:lang w:eastAsia="zh-CN"/>
        </w:rPr>
        <w:t>询比响应人</w:t>
      </w:r>
      <w:r>
        <w:rPr>
          <w:rFonts w:hint="eastAsia" w:ascii="宋体" w:hAnsi="宋体" w:eastAsia="宋体" w:cs="宋体"/>
          <w:color w:val="auto"/>
          <w:highlight w:val="none"/>
        </w:rPr>
        <w:t>须知前附表另有规定外，</w:t>
      </w:r>
      <w:r>
        <w:rPr>
          <w:rFonts w:hint="eastAsia" w:ascii="宋体" w:hAnsi="宋体" w:eastAsia="宋体" w:cs="宋体"/>
          <w:color w:val="auto"/>
          <w:highlight w:val="none"/>
          <w:lang w:eastAsia="zh-CN"/>
        </w:rPr>
        <w:t>招标</w:t>
      </w:r>
      <w:r>
        <w:rPr>
          <w:rFonts w:hint="eastAsia" w:ascii="宋体" w:hAnsi="宋体" w:eastAsia="宋体" w:cs="宋体"/>
          <w:color w:val="auto"/>
          <w:highlight w:val="none"/>
        </w:rPr>
        <w:t>人将在发出成交通知书后5日内向除候选成交</w:t>
      </w:r>
      <w:r>
        <w:rPr>
          <w:rFonts w:hint="eastAsia" w:ascii="宋体" w:hAnsi="宋体" w:eastAsia="宋体" w:cs="宋体"/>
          <w:color w:val="auto"/>
          <w:highlight w:val="none"/>
          <w:lang w:eastAsia="zh-CN"/>
        </w:rPr>
        <w:t>询比响应人</w:t>
      </w:r>
      <w:r>
        <w:rPr>
          <w:rFonts w:hint="eastAsia" w:ascii="宋体" w:hAnsi="宋体" w:eastAsia="宋体" w:cs="宋体"/>
          <w:color w:val="auto"/>
          <w:highlight w:val="none"/>
        </w:rPr>
        <w:t>外的其他</w:t>
      </w:r>
      <w:r>
        <w:rPr>
          <w:rFonts w:hint="eastAsia" w:ascii="宋体" w:hAnsi="宋体" w:eastAsia="宋体" w:cs="宋体"/>
          <w:color w:val="auto"/>
          <w:highlight w:val="none"/>
          <w:lang w:eastAsia="zh-CN"/>
        </w:rPr>
        <w:t>询比响应人</w:t>
      </w:r>
      <w:r>
        <w:rPr>
          <w:rFonts w:hint="eastAsia" w:ascii="宋体" w:hAnsi="宋体" w:eastAsia="宋体" w:cs="宋体"/>
          <w:color w:val="auto"/>
          <w:highlight w:val="none"/>
        </w:rPr>
        <w:t>原额退还响应保证金，并在采购合同签订后5日内向成交</w:t>
      </w:r>
      <w:r>
        <w:rPr>
          <w:rFonts w:hint="eastAsia" w:ascii="宋体" w:hAnsi="宋体" w:eastAsia="宋体" w:cs="宋体"/>
          <w:color w:val="auto"/>
          <w:highlight w:val="none"/>
          <w:lang w:eastAsia="zh-CN"/>
        </w:rPr>
        <w:t>询比响应人</w:t>
      </w:r>
      <w:r>
        <w:rPr>
          <w:rFonts w:hint="eastAsia" w:ascii="宋体" w:hAnsi="宋体" w:eastAsia="宋体" w:cs="宋体"/>
          <w:color w:val="auto"/>
          <w:highlight w:val="none"/>
        </w:rPr>
        <w:t>和未成交的其他候选成交</w:t>
      </w:r>
      <w:r>
        <w:rPr>
          <w:rFonts w:hint="eastAsia" w:ascii="宋体" w:hAnsi="宋体" w:eastAsia="宋体" w:cs="宋体"/>
          <w:color w:val="auto"/>
          <w:highlight w:val="none"/>
          <w:lang w:eastAsia="zh-CN"/>
        </w:rPr>
        <w:t>询比响应人</w:t>
      </w:r>
      <w:r>
        <w:rPr>
          <w:rFonts w:hint="eastAsia" w:ascii="宋体" w:hAnsi="宋体" w:eastAsia="宋体" w:cs="宋体"/>
          <w:color w:val="auto"/>
          <w:highlight w:val="none"/>
        </w:rPr>
        <w:t>原额退还响应保证金。采用银行保函、担保机构担保函、保险机构保险单形式递交的响应保证金，经</w:t>
      </w:r>
      <w:r>
        <w:rPr>
          <w:rFonts w:hint="eastAsia" w:ascii="宋体" w:hAnsi="宋体" w:eastAsia="宋体" w:cs="宋体"/>
          <w:color w:val="auto"/>
          <w:highlight w:val="none"/>
          <w:lang w:eastAsia="zh-CN"/>
        </w:rPr>
        <w:t>询比响应人</w:t>
      </w:r>
      <w:r>
        <w:rPr>
          <w:rFonts w:hint="eastAsia" w:ascii="宋体" w:hAnsi="宋体" w:eastAsia="宋体" w:cs="宋体"/>
          <w:color w:val="auto"/>
          <w:highlight w:val="none"/>
        </w:rPr>
        <w:t>同意后</w:t>
      </w:r>
      <w:r>
        <w:rPr>
          <w:rFonts w:hint="eastAsia" w:ascii="宋体" w:hAnsi="宋体" w:eastAsia="宋体" w:cs="宋体"/>
          <w:color w:val="auto"/>
          <w:highlight w:val="none"/>
          <w:lang w:eastAsia="zh-CN"/>
        </w:rPr>
        <w:t>招标</w:t>
      </w:r>
      <w:r>
        <w:rPr>
          <w:rFonts w:hint="eastAsia" w:ascii="宋体" w:hAnsi="宋体" w:eastAsia="宋体" w:cs="宋体"/>
          <w:color w:val="auto"/>
          <w:highlight w:val="none"/>
        </w:rPr>
        <w:t>人可以不再退还。</w:t>
      </w:r>
    </w:p>
    <w:p>
      <w:pPr>
        <w:pStyle w:val="16"/>
        <w:pageBreakBefore w:val="0"/>
        <w:widowControl/>
        <w:kinsoku/>
        <w:overflowPunct/>
        <w:topLinePunct w:val="0"/>
        <w:bidi w:val="0"/>
        <w:snapToGrid/>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3.4.3 有下列情形之一的，响应保证金将不予退还∶</w:t>
      </w:r>
    </w:p>
    <w:p>
      <w:pPr>
        <w:pStyle w:val="16"/>
        <w:pageBreakBefore w:val="0"/>
        <w:widowControl/>
        <w:kinsoku/>
        <w:overflowPunct/>
        <w:topLinePunct w:val="0"/>
        <w:bidi w:val="0"/>
        <w:snapToGrid/>
        <w:spacing w:beforeAutospacing="0" w:afterAutospacing="0" w:line="360" w:lineRule="auto"/>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（1）</w:t>
      </w:r>
      <w:r>
        <w:rPr>
          <w:rFonts w:hint="eastAsia" w:ascii="宋体" w:hAnsi="宋体" w:eastAsia="宋体" w:cs="宋体"/>
          <w:color w:val="auto"/>
          <w:highlight w:val="none"/>
          <w:lang w:eastAsia="zh-CN"/>
        </w:rPr>
        <w:t>询比响应人</w:t>
      </w:r>
      <w:r>
        <w:rPr>
          <w:rFonts w:hint="eastAsia" w:ascii="宋体" w:hAnsi="宋体" w:eastAsia="宋体" w:cs="宋体"/>
          <w:color w:val="auto"/>
          <w:highlight w:val="none"/>
        </w:rPr>
        <w:t>在响应文件有效期内撤销响应文件;</w:t>
      </w:r>
    </w:p>
    <w:p>
      <w:pPr>
        <w:pStyle w:val="16"/>
        <w:pageBreakBefore w:val="0"/>
        <w:widowControl/>
        <w:kinsoku/>
        <w:overflowPunct/>
        <w:topLinePunct w:val="0"/>
        <w:bidi w:val="0"/>
        <w:snapToGrid/>
        <w:spacing w:beforeAutospacing="0" w:afterAutospacing="0" w:line="360" w:lineRule="auto"/>
        <w:ind w:firstLine="480" w:firstLineChars="200"/>
        <w:rPr>
          <w:rFonts w:hint="eastAsia" w:ascii="宋体" w:hAnsi="宋体" w:eastAsia="宋体" w:cs="宋体"/>
          <w:color w:val="auto"/>
          <w:spacing w:val="-6"/>
          <w:highlight w:val="none"/>
        </w:rPr>
      </w:pPr>
      <w:r>
        <w:rPr>
          <w:rFonts w:hint="eastAsia" w:ascii="宋体" w:hAnsi="宋体" w:eastAsia="宋体" w:cs="宋体"/>
          <w:color w:val="auto"/>
          <w:highlight w:val="none"/>
        </w:rPr>
        <w:t>（2）</w:t>
      </w:r>
      <w:r>
        <w:rPr>
          <w:rFonts w:hint="eastAsia" w:ascii="宋体" w:hAnsi="宋体" w:eastAsia="宋体" w:cs="宋体"/>
          <w:color w:val="auto"/>
          <w:spacing w:val="-6"/>
          <w:highlight w:val="none"/>
        </w:rPr>
        <w:t>成交</w:t>
      </w:r>
      <w:r>
        <w:rPr>
          <w:rFonts w:hint="eastAsia" w:ascii="宋体" w:hAnsi="宋体" w:eastAsia="宋体" w:cs="宋体"/>
          <w:color w:val="auto"/>
          <w:spacing w:val="-6"/>
          <w:highlight w:val="none"/>
          <w:lang w:eastAsia="zh-CN"/>
        </w:rPr>
        <w:t>询比响应人</w:t>
      </w:r>
      <w:r>
        <w:rPr>
          <w:rFonts w:hint="eastAsia" w:ascii="宋体" w:hAnsi="宋体" w:eastAsia="宋体" w:cs="宋体"/>
          <w:color w:val="auto"/>
          <w:spacing w:val="-6"/>
          <w:highlight w:val="none"/>
        </w:rPr>
        <w:t>在收到成交通知书后，无正当理由不与</w:t>
      </w:r>
      <w:r>
        <w:rPr>
          <w:rFonts w:hint="eastAsia" w:ascii="宋体" w:hAnsi="宋体" w:eastAsia="宋体" w:cs="宋体"/>
          <w:color w:val="auto"/>
          <w:highlight w:val="none"/>
          <w:lang w:eastAsia="zh-CN"/>
        </w:rPr>
        <w:t>招标</w:t>
      </w:r>
      <w:r>
        <w:rPr>
          <w:rFonts w:hint="eastAsia" w:ascii="宋体" w:hAnsi="宋体" w:eastAsia="宋体" w:cs="宋体"/>
          <w:color w:val="auto"/>
          <w:spacing w:val="-6"/>
          <w:highlight w:val="none"/>
        </w:rPr>
        <w:t>人订立合同，在签订合同时向</w:t>
      </w:r>
      <w:r>
        <w:rPr>
          <w:rFonts w:hint="eastAsia" w:ascii="宋体" w:hAnsi="宋体" w:eastAsia="宋体" w:cs="宋体"/>
          <w:color w:val="auto"/>
          <w:highlight w:val="none"/>
          <w:lang w:eastAsia="zh-CN"/>
        </w:rPr>
        <w:t>招标</w:t>
      </w:r>
      <w:r>
        <w:rPr>
          <w:rFonts w:hint="eastAsia" w:ascii="宋体" w:hAnsi="宋体" w:eastAsia="宋体" w:cs="宋体"/>
          <w:color w:val="auto"/>
          <w:spacing w:val="-6"/>
          <w:highlight w:val="none"/>
        </w:rPr>
        <w:t>人提出附加条件，或者不按照采购文件要求递交履约保证金;</w:t>
      </w:r>
    </w:p>
    <w:p>
      <w:pPr>
        <w:pStyle w:val="16"/>
        <w:pageBreakBefore w:val="0"/>
        <w:widowControl/>
        <w:kinsoku/>
        <w:overflowPunct/>
        <w:topLinePunct w:val="0"/>
        <w:bidi w:val="0"/>
        <w:snapToGrid/>
        <w:spacing w:beforeAutospacing="0" w:afterAutospacing="0" w:line="360" w:lineRule="auto"/>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（3）发生</w:t>
      </w:r>
      <w:r>
        <w:rPr>
          <w:rFonts w:hint="eastAsia" w:ascii="宋体" w:hAnsi="宋体" w:eastAsia="宋体" w:cs="宋体"/>
          <w:color w:val="auto"/>
          <w:highlight w:val="none"/>
          <w:lang w:eastAsia="zh-CN"/>
        </w:rPr>
        <w:t>询比响应人</w:t>
      </w:r>
      <w:r>
        <w:rPr>
          <w:rFonts w:hint="eastAsia" w:ascii="宋体" w:hAnsi="宋体" w:eastAsia="宋体" w:cs="宋体"/>
          <w:color w:val="auto"/>
          <w:highlight w:val="none"/>
        </w:rPr>
        <w:t>须知前附表规定的其他不予退还响应保证金的情形。</w:t>
      </w:r>
    </w:p>
    <w:p>
      <w:pPr>
        <w:pStyle w:val="6"/>
        <w:pageBreakBefore w:val="0"/>
        <w:kinsoku/>
        <w:overflowPunct/>
        <w:topLinePunct w:val="0"/>
        <w:bidi w:val="0"/>
        <w:snapToGrid/>
        <w:spacing w:line="360" w:lineRule="auto"/>
        <w:rPr>
          <w:rFonts w:hint="eastAsia" w:ascii="宋体" w:hAnsi="宋体" w:eastAsia="宋体" w:cs="宋体"/>
          <w:color w:val="auto"/>
          <w:highlight w:val="none"/>
        </w:rPr>
      </w:pPr>
      <w:bookmarkStart w:id="58" w:name="_Toc17353"/>
      <w:bookmarkStart w:id="59" w:name="_Toc27136"/>
      <w:r>
        <w:rPr>
          <w:rFonts w:hint="eastAsia" w:ascii="宋体" w:hAnsi="宋体" w:eastAsia="宋体" w:cs="宋体"/>
          <w:color w:val="auto"/>
          <w:highlight w:val="none"/>
        </w:rPr>
        <w:t>3.5 资格审查资料</w:t>
      </w:r>
      <w:bookmarkEnd w:id="58"/>
      <w:bookmarkEnd w:id="59"/>
    </w:p>
    <w:p>
      <w:pPr>
        <w:pStyle w:val="16"/>
        <w:pageBreakBefore w:val="0"/>
        <w:widowControl/>
        <w:kinsoku/>
        <w:overflowPunct/>
        <w:topLinePunct w:val="0"/>
        <w:bidi w:val="0"/>
        <w:snapToGrid/>
        <w:spacing w:beforeAutospacing="0" w:afterAutospacing="0" w:line="360" w:lineRule="auto"/>
        <w:ind w:firstLine="456" w:firstLineChars="200"/>
        <w:rPr>
          <w:rFonts w:hint="eastAsia" w:ascii="宋体" w:hAnsi="宋体" w:eastAsia="宋体" w:cs="宋体"/>
          <w:color w:val="auto"/>
          <w:spacing w:val="-6"/>
          <w:highlight w:val="none"/>
        </w:rPr>
      </w:pPr>
      <w:r>
        <w:rPr>
          <w:rFonts w:hint="eastAsia" w:ascii="宋体" w:hAnsi="宋体" w:eastAsia="宋体" w:cs="宋体"/>
          <w:color w:val="auto"/>
          <w:spacing w:val="-6"/>
          <w:highlight w:val="none"/>
          <w:lang w:eastAsia="zh-CN"/>
        </w:rPr>
        <w:t>询比响应人</w:t>
      </w:r>
      <w:r>
        <w:rPr>
          <w:rFonts w:hint="eastAsia" w:ascii="宋体" w:hAnsi="宋体" w:eastAsia="宋体" w:cs="宋体"/>
          <w:color w:val="auto"/>
          <w:spacing w:val="-6"/>
          <w:highlight w:val="none"/>
        </w:rPr>
        <w:t>应提供</w:t>
      </w:r>
      <w:r>
        <w:rPr>
          <w:rFonts w:hint="eastAsia" w:ascii="宋体" w:hAnsi="宋体" w:eastAsia="宋体" w:cs="宋体"/>
          <w:color w:val="auto"/>
          <w:spacing w:val="-6"/>
          <w:highlight w:val="none"/>
          <w:lang w:eastAsia="zh-CN"/>
        </w:rPr>
        <w:t>询比响应人</w:t>
      </w:r>
      <w:r>
        <w:rPr>
          <w:rFonts w:hint="eastAsia" w:ascii="宋体" w:hAnsi="宋体" w:eastAsia="宋体" w:cs="宋体"/>
          <w:color w:val="auto"/>
          <w:spacing w:val="-6"/>
          <w:highlight w:val="none"/>
        </w:rPr>
        <w:t>须知前附表3.5（1）-3.5（9）中规定的资格审查资料，以证明其满足第一章""询比采购公告/询比采购邀请书"对</w:t>
      </w:r>
      <w:r>
        <w:rPr>
          <w:rFonts w:hint="eastAsia" w:ascii="宋体" w:hAnsi="宋体" w:eastAsia="宋体" w:cs="宋体"/>
          <w:color w:val="auto"/>
          <w:spacing w:val="-6"/>
          <w:highlight w:val="none"/>
          <w:lang w:eastAsia="zh-CN"/>
        </w:rPr>
        <w:t>询比响应人</w:t>
      </w:r>
      <w:r>
        <w:rPr>
          <w:rFonts w:hint="eastAsia" w:ascii="宋体" w:hAnsi="宋体" w:eastAsia="宋体" w:cs="宋体"/>
          <w:color w:val="auto"/>
          <w:spacing w:val="-6"/>
          <w:highlight w:val="none"/>
        </w:rPr>
        <w:t>的各项资格要求。</w:t>
      </w:r>
    </w:p>
    <w:p>
      <w:pPr>
        <w:pStyle w:val="6"/>
        <w:pageBreakBefore w:val="0"/>
        <w:kinsoku/>
        <w:overflowPunct/>
        <w:topLinePunct w:val="0"/>
        <w:bidi w:val="0"/>
        <w:snapToGrid/>
        <w:spacing w:line="360" w:lineRule="auto"/>
        <w:rPr>
          <w:rFonts w:hint="eastAsia" w:ascii="宋体" w:hAnsi="宋体" w:eastAsia="宋体" w:cs="宋体"/>
          <w:color w:val="auto"/>
          <w:highlight w:val="none"/>
        </w:rPr>
      </w:pPr>
      <w:bookmarkStart w:id="60" w:name="_Toc18726"/>
      <w:bookmarkStart w:id="61" w:name="_Toc9848"/>
      <w:r>
        <w:rPr>
          <w:rFonts w:hint="eastAsia" w:ascii="宋体" w:hAnsi="宋体" w:eastAsia="宋体" w:cs="宋体"/>
          <w:color w:val="auto"/>
          <w:highlight w:val="none"/>
        </w:rPr>
        <w:t>3.6 响应方案</w:t>
      </w:r>
      <w:bookmarkEnd w:id="60"/>
      <w:bookmarkEnd w:id="61"/>
    </w:p>
    <w:p>
      <w:pPr>
        <w:pStyle w:val="16"/>
        <w:pageBreakBefore w:val="0"/>
        <w:widowControl/>
        <w:kinsoku/>
        <w:overflowPunct/>
        <w:topLinePunct w:val="0"/>
        <w:bidi w:val="0"/>
        <w:snapToGrid/>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3.6.1 响应文件应当对采购文件中的实质性内容作出响应。采购需求中明确为关键条款（标记"*"）的，</w:t>
      </w:r>
      <w:r>
        <w:rPr>
          <w:rFonts w:hint="eastAsia" w:ascii="宋体" w:hAnsi="宋体" w:eastAsia="宋体" w:cs="宋体"/>
          <w:color w:val="auto"/>
          <w:highlight w:val="none"/>
          <w:lang w:eastAsia="zh-CN"/>
        </w:rPr>
        <w:t>询比响应人</w:t>
      </w:r>
      <w:r>
        <w:rPr>
          <w:rFonts w:hint="eastAsia" w:ascii="宋体" w:hAnsi="宋体" w:eastAsia="宋体" w:cs="宋体"/>
          <w:color w:val="auto"/>
          <w:highlight w:val="none"/>
        </w:rPr>
        <w:t>还应按照</w:t>
      </w:r>
      <w:r>
        <w:rPr>
          <w:rFonts w:hint="eastAsia" w:ascii="宋体" w:hAnsi="宋体" w:eastAsia="宋体" w:cs="宋体"/>
          <w:color w:val="auto"/>
          <w:highlight w:val="none"/>
          <w:lang w:eastAsia="zh-CN"/>
        </w:rPr>
        <w:t>询比响应人</w:t>
      </w:r>
      <w:r>
        <w:rPr>
          <w:rFonts w:hint="eastAsia" w:ascii="宋体" w:hAnsi="宋体" w:eastAsia="宋体" w:cs="宋体"/>
          <w:color w:val="auto"/>
          <w:highlight w:val="none"/>
        </w:rPr>
        <w:t>须知前附表的规定提供有关证据或证明材料。</w:t>
      </w:r>
    </w:p>
    <w:p>
      <w:pPr>
        <w:pStyle w:val="16"/>
        <w:pageBreakBefore w:val="0"/>
        <w:widowControl/>
        <w:kinsoku/>
        <w:overflowPunct/>
        <w:topLinePunct w:val="0"/>
        <w:bidi w:val="0"/>
        <w:snapToGrid/>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3.6.2 </w:t>
      </w:r>
      <w:r>
        <w:rPr>
          <w:rFonts w:hint="eastAsia" w:ascii="宋体" w:hAnsi="宋体" w:eastAsia="宋体" w:cs="宋体"/>
          <w:color w:val="auto"/>
          <w:highlight w:val="none"/>
          <w:lang w:eastAsia="zh-CN"/>
        </w:rPr>
        <w:t>询比响应人</w:t>
      </w:r>
      <w:r>
        <w:rPr>
          <w:rFonts w:hint="eastAsia" w:ascii="宋体" w:hAnsi="宋体" w:eastAsia="宋体" w:cs="宋体"/>
          <w:color w:val="auto"/>
          <w:highlight w:val="none"/>
        </w:rPr>
        <w:t>只能提出唯一的响应方案。</w:t>
      </w:r>
      <w:r>
        <w:rPr>
          <w:rFonts w:hint="eastAsia" w:ascii="宋体" w:hAnsi="宋体" w:eastAsia="宋体" w:cs="宋体"/>
          <w:color w:val="auto"/>
          <w:highlight w:val="none"/>
          <w:lang w:eastAsia="zh-CN"/>
        </w:rPr>
        <w:t>询比响应人</w:t>
      </w:r>
      <w:r>
        <w:rPr>
          <w:rFonts w:hint="eastAsia" w:ascii="宋体" w:hAnsi="宋体" w:eastAsia="宋体" w:cs="宋体"/>
          <w:color w:val="auto"/>
          <w:highlight w:val="none"/>
        </w:rPr>
        <w:t>在响应文件中提出多个响应方案的，其响应文件将被视为无效。</w:t>
      </w:r>
    </w:p>
    <w:p>
      <w:pPr>
        <w:pStyle w:val="16"/>
        <w:pageBreakBefore w:val="0"/>
        <w:widowControl/>
        <w:kinsoku/>
        <w:overflowPunct/>
        <w:topLinePunct w:val="0"/>
        <w:bidi w:val="0"/>
        <w:snapToGrid/>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3.6.3 响应文件对采购文件的全部偏差，均应在响应文件的商务和技术偏差表中列明。响应文件偏差表中未列明的内容，将视为响应采购文件的要求;但如发现响应文件的其他部分与商务和技术偏差表的描述不一致或</w:t>
      </w:r>
      <w:r>
        <w:rPr>
          <w:rFonts w:hint="eastAsia" w:ascii="宋体" w:hAnsi="宋体" w:eastAsia="宋体" w:cs="宋体"/>
          <w:color w:val="auto"/>
          <w:highlight w:val="none"/>
          <w:lang w:eastAsia="zh-CN"/>
        </w:rPr>
        <w:t>询比响应人</w:t>
      </w:r>
      <w:r>
        <w:rPr>
          <w:rFonts w:hint="eastAsia" w:ascii="宋体" w:hAnsi="宋体" w:eastAsia="宋体" w:cs="宋体"/>
          <w:color w:val="auto"/>
          <w:highlight w:val="none"/>
        </w:rPr>
        <w:t>的响应缺乏支持性文件，则评审小组有权要求</w:t>
      </w:r>
      <w:r>
        <w:rPr>
          <w:rFonts w:hint="eastAsia" w:ascii="宋体" w:hAnsi="宋体" w:eastAsia="宋体" w:cs="宋体"/>
          <w:color w:val="auto"/>
          <w:highlight w:val="none"/>
          <w:lang w:eastAsia="zh-CN"/>
        </w:rPr>
        <w:t>询比响应人</w:t>
      </w:r>
      <w:r>
        <w:rPr>
          <w:rFonts w:hint="eastAsia" w:ascii="宋体" w:hAnsi="宋体" w:eastAsia="宋体" w:cs="宋体"/>
          <w:color w:val="auto"/>
          <w:highlight w:val="none"/>
        </w:rPr>
        <w:t>对相关问题进行澄清，并根据澄清结果对</w:t>
      </w:r>
      <w:r>
        <w:rPr>
          <w:rFonts w:hint="eastAsia" w:ascii="宋体" w:hAnsi="宋体" w:eastAsia="宋体" w:cs="宋体"/>
          <w:color w:val="auto"/>
          <w:highlight w:val="none"/>
          <w:lang w:eastAsia="zh-CN"/>
        </w:rPr>
        <w:t>询比响应人</w:t>
      </w:r>
      <w:r>
        <w:rPr>
          <w:rFonts w:hint="eastAsia" w:ascii="宋体" w:hAnsi="宋体" w:eastAsia="宋体" w:cs="宋体"/>
          <w:color w:val="auto"/>
          <w:highlight w:val="none"/>
        </w:rPr>
        <w:t>的响应文件进行评审。</w:t>
      </w:r>
    </w:p>
    <w:p>
      <w:pPr>
        <w:pStyle w:val="6"/>
        <w:pageBreakBefore w:val="0"/>
        <w:kinsoku/>
        <w:overflowPunct/>
        <w:topLinePunct w:val="0"/>
        <w:bidi w:val="0"/>
        <w:snapToGrid/>
        <w:spacing w:line="360" w:lineRule="auto"/>
        <w:rPr>
          <w:rFonts w:hint="eastAsia" w:ascii="宋体" w:hAnsi="宋体" w:eastAsia="宋体" w:cs="宋体"/>
          <w:color w:val="auto"/>
          <w:highlight w:val="none"/>
        </w:rPr>
      </w:pPr>
      <w:bookmarkStart w:id="62" w:name="_Toc4134"/>
      <w:bookmarkStart w:id="63" w:name="_Toc4619"/>
      <w:r>
        <w:rPr>
          <w:rFonts w:hint="eastAsia" w:ascii="宋体" w:hAnsi="宋体" w:eastAsia="宋体" w:cs="宋体"/>
          <w:color w:val="auto"/>
          <w:highlight w:val="none"/>
        </w:rPr>
        <w:t>3.7 响应文件的编制</w:t>
      </w:r>
      <w:bookmarkEnd w:id="62"/>
      <w:bookmarkEnd w:id="63"/>
    </w:p>
    <w:p>
      <w:pPr>
        <w:pStyle w:val="16"/>
        <w:pageBreakBefore w:val="0"/>
        <w:widowControl/>
        <w:kinsoku/>
        <w:overflowPunct/>
        <w:topLinePunct w:val="0"/>
        <w:bidi w:val="0"/>
        <w:snapToGrid/>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3.7.1 响应文件应按第六章"响应文件格式"进行编写，如有必要，可以增加附页，作为响应文件的组成部分。</w:t>
      </w:r>
    </w:p>
    <w:p>
      <w:pPr>
        <w:pStyle w:val="16"/>
        <w:pageBreakBefore w:val="0"/>
        <w:widowControl/>
        <w:kinsoku/>
        <w:overflowPunct/>
        <w:topLinePunct w:val="0"/>
        <w:bidi w:val="0"/>
        <w:snapToGrid/>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3.7.2响应文件应用不褪色的材料书写或打印。</w:t>
      </w:r>
    </w:p>
    <w:p>
      <w:pPr>
        <w:pStyle w:val="16"/>
        <w:pageBreakBefore w:val="0"/>
        <w:widowControl/>
        <w:kinsoku/>
        <w:overflowPunct/>
        <w:topLinePunct w:val="0"/>
        <w:bidi w:val="0"/>
        <w:snapToGrid/>
        <w:spacing w:beforeAutospacing="0" w:afterAutospacing="0" w:line="360" w:lineRule="auto"/>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响应函应由</w:t>
      </w:r>
      <w:r>
        <w:rPr>
          <w:rFonts w:hint="eastAsia" w:ascii="宋体" w:hAnsi="宋体" w:eastAsia="宋体" w:cs="宋体"/>
          <w:color w:val="auto"/>
          <w:highlight w:val="none"/>
          <w:lang w:eastAsia="zh-CN"/>
        </w:rPr>
        <w:t>询比响应人</w:t>
      </w:r>
      <w:r>
        <w:rPr>
          <w:rFonts w:hint="eastAsia" w:ascii="宋体" w:hAnsi="宋体" w:eastAsia="宋体" w:cs="宋体"/>
          <w:color w:val="auto"/>
          <w:highlight w:val="none"/>
        </w:rPr>
        <w:t>的法定代表人（单位负责人）或其授权的代理人签字并加盖单位章。</w:t>
      </w:r>
    </w:p>
    <w:p>
      <w:pPr>
        <w:pStyle w:val="16"/>
        <w:pageBreakBefore w:val="0"/>
        <w:widowControl/>
        <w:kinsoku/>
        <w:overflowPunct/>
        <w:topLinePunct w:val="0"/>
        <w:bidi w:val="0"/>
        <w:snapToGrid/>
        <w:spacing w:beforeAutospacing="0" w:afterAutospacing="0" w:line="360" w:lineRule="auto"/>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联合体协议书（如有）应由联合体各方的法定代表人（单位负责人）或其授权的代理人签字并加盖单位章。</w:t>
      </w:r>
    </w:p>
    <w:p>
      <w:pPr>
        <w:pStyle w:val="16"/>
        <w:pageBreakBefore w:val="0"/>
        <w:widowControl/>
        <w:kinsoku/>
        <w:overflowPunct/>
        <w:topLinePunct w:val="0"/>
        <w:bidi w:val="0"/>
        <w:snapToGrid/>
        <w:spacing w:beforeAutospacing="0" w:afterAutospacing="0" w:line="360" w:lineRule="auto"/>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响应函或联合体协议书（如有）由代理人签字的，应在响应文件中附授权委托书，授权委托书应由</w:t>
      </w:r>
      <w:r>
        <w:rPr>
          <w:rFonts w:hint="eastAsia" w:ascii="宋体" w:hAnsi="宋体" w:eastAsia="宋体" w:cs="宋体"/>
          <w:color w:val="auto"/>
          <w:highlight w:val="none"/>
          <w:lang w:eastAsia="zh-CN"/>
        </w:rPr>
        <w:t>询比响应人</w:t>
      </w:r>
      <w:r>
        <w:rPr>
          <w:rFonts w:hint="eastAsia" w:ascii="宋体" w:hAnsi="宋体" w:eastAsia="宋体" w:cs="宋体"/>
          <w:color w:val="auto"/>
          <w:highlight w:val="none"/>
        </w:rPr>
        <w:t>或联合体各方的法定代表人（单位负责人）签字并加盖单位章。</w:t>
      </w:r>
    </w:p>
    <w:p>
      <w:pPr>
        <w:pStyle w:val="16"/>
        <w:pageBreakBefore w:val="0"/>
        <w:widowControl/>
        <w:kinsoku/>
        <w:overflowPunct/>
        <w:topLinePunct w:val="0"/>
        <w:bidi w:val="0"/>
        <w:snapToGrid/>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3.7.3 评审过程中</w:t>
      </w:r>
      <w:r>
        <w:rPr>
          <w:rFonts w:hint="eastAsia" w:ascii="宋体" w:hAnsi="宋体" w:eastAsia="宋体" w:cs="宋体"/>
          <w:color w:val="auto"/>
          <w:highlight w:val="none"/>
          <w:lang w:eastAsia="zh-CN"/>
        </w:rPr>
        <w:t>询比响应人</w:t>
      </w:r>
      <w:r>
        <w:rPr>
          <w:rFonts w:hint="eastAsia" w:ascii="宋体" w:hAnsi="宋体" w:eastAsia="宋体" w:cs="宋体"/>
          <w:color w:val="auto"/>
          <w:highlight w:val="none"/>
        </w:rPr>
        <w:t>对响应文件的澄清、说明和补正应由</w:t>
      </w:r>
      <w:r>
        <w:rPr>
          <w:rFonts w:hint="eastAsia" w:ascii="宋体" w:hAnsi="宋体" w:eastAsia="宋体" w:cs="宋体"/>
          <w:color w:val="auto"/>
          <w:highlight w:val="none"/>
          <w:lang w:eastAsia="zh-CN"/>
        </w:rPr>
        <w:t>询比响应人</w:t>
      </w:r>
      <w:r>
        <w:rPr>
          <w:rFonts w:hint="eastAsia" w:ascii="宋体" w:hAnsi="宋体" w:eastAsia="宋体" w:cs="宋体"/>
          <w:color w:val="auto"/>
          <w:highlight w:val="none"/>
        </w:rPr>
        <w:t>的法定代表人（单位负责人）或其授权的代理人签字或加盖单位章。</w:t>
      </w:r>
    </w:p>
    <w:p>
      <w:pPr>
        <w:pStyle w:val="16"/>
        <w:pageBreakBefore w:val="0"/>
        <w:widowControl/>
        <w:kinsoku/>
        <w:overflowPunct/>
        <w:topLinePunct w:val="0"/>
        <w:bidi w:val="0"/>
        <w:snapToGrid/>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3.7.4 响应文件应尽量避免涂改、行间插字或删除。如果出现上述情况，改动之处应由</w:t>
      </w:r>
      <w:r>
        <w:rPr>
          <w:rFonts w:hint="eastAsia" w:ascii="宋体" w:hAnsi="宋体" w:eastAsia="宋体" w:cs="宋体"/>
          <w:color w:val="auto"/>
          <w:highlight w:val="none"/>
          <w:lang w:eastAsia="zh-CN"/>
        </w:rPr>
        <w:t>询比响应人</w:t>
      </w:r>
      <w:r>
        <w:rPr>
          <w:rFonts w:hint="eastAsia" w:ascii="宋体" w:hAnsi="宋体" w:eastAsia="宋体" w:cs="宋体"/>
          <w:color w:val="auto"/>
          <w:highlight w:val="none"/>
        </w:rPr>
        <w:t>的法定代表人单位负责人）或其授权的代理人签字或加盖单位章。3.7.5 响应文件正本一份，副本份数见</w:t>
      </w:r>
      <w:r>
        <w:rPr>
          <w:rFonts w:hint="eastAsia" w:ascii="宋体" w:hAnsi="宋体" w:eastAsia="宋体" w:cs="宋体"/>
          <w:color w:val="auto"/>
          <w:highlight w:val="none"/>
          <w:lang w:eastAsia="zh-CN"/>
        </w:rPr>
        <w:t>询比响应人</w:t>
      </w:r>
      <w:r>
        <w:rPr>
          <w:rFonts w:hint="eastAsia" w:ascii="宋体" w:hAnsi="宋体" w:eastAsia="宋体" w:cs="宋体"/>
          <w:color w:val="auto"/>
          <w:highlight w:val="none"/>
        </w:rPr>
        <w:t>须知前附表。正本和副本的封面右上角应清楚地标记"正本"或"副本"的字样。</w:t>
      </w:r>
      <w:r>
        <w:rPr>
          <w:rFonts w:hint="eastAsia" w:ascii="宋体" w:hAnsi="宋体" w:eastAsia="宋体" w:cs="宋体"/>
          <w:color w:val="auto"/>
          <w:highlight w:val="none"/>
          <w:lang w:eastAsia="zh-CN"/>
        </w:rPr>
        <w:t>询比响应人</w:t>
      </w:r>
      <w:r>
        <w:rPr>
          <w:rFonts w:hint="eastAsia" w:ascii="宋体" w:hAnsi="宋体" w:eastAsia="宋体" w:cs="宋体"/>
          <w:color w:val="auto"/>
          <w:highlight w:val="none"/>
        </w:rPr>
        <w:t>应根据</w:t>
      </w:r>
      <w:r>
        <w:rPr>
          <w:rFonts w:hint="eastAsia" w:ascii="宋体" w:hAnsi="宋体" w:eastAsia="宋体" w:cs="宋体"/>
          <w:color w:val="auto"/>
          <w:highlight w:val="none"/>
          <w:lang w:eastAsia="zh-CN"/>
        </w:rPr>
        <w:t>询比响应人</w:t>
      </w:r>
      <w:r>
        <w:rPr>
          <w:rFonts w:hint="eastAsia" w:ascii="宋体" w:hAnsi="宋体" w:eastAsia="宋体" w:cs="宋体"/>
          <w:color w:val="auto"/>
          <w:highlight w:val="none"/>
        </w:rPr>
        <w:t>须知前附表要求提供电子版文件。当副本和正本不一致，或电子版文件和纸质正本文件不一致时，以纸质正本文件为准。</w:t>
      </w:r>
    </w:p>
    <w:p>
      <w:pPr>
        <w:pStyle w:val="16"/>
        <w:pageBreakBefore w:val="0"/>
        <w:widowControl/>
        <w:kinsoku/>
        <w:overflowPunct/>
        <w:topLinePunct w:val="0"/>
        <w:bidi w:val="0"/>
        <w:snapToGrid/>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3.7.6 响应文件的正本与副本应分别装订，并编制目录。响应文件需分册装订的，具体分册装订要求见</w:t>
      </w:r>
      <w:r>
        <w:rPr>
          <w:rFonts w:hint="eastAsia" w:ascii="宋体" w:hAnsi="宋体" w:eastAsia="宋体" w:cs="宋体"/>
          <w:color w:val="auto"/>
          <w:highlight w:val="none"/>
          <w:lang w:eastAsia="zh-CN"/>
        </w:rPr>
        <w:t>询比响应人</w:t>
      </w:r>
      <w:r>
        <w:rPr>
          <w:rFonts w:hint="eastAsia" w:ascii="宋体" w:hAnsi="宋体" w:eastAsia="宋体" w:cs="宋体"/>
          <w:color w:val="auto"/>
          <w:highlight w:val="none"/>
        </w:rPr>
        <w:t>须知前附表规定。</w:t>
      </w:r>
    </w:p>
    <w:p>
      <w:pPr>
        <w:pStyle w:val="4"/>
        <w:pageBreakBefore w:val="0"/>
        <w:kinsoku/>
        <w:overflowPunct/>
        <w:topLinePunct w:val="0"/>
        <w:bidi w:val="0"/>
        <w:snapToGrid/>
        <w:spacing w:line="360" w:lineRule="auto"/>
        <w:jc w:val="both"/>
        <w:rPr>
          <w:rFonts w:hint="eastAsia" w:ascii="宋体" w:hAnsi="宋体" w:eastAsia="宋体" w:cs="宋体"/>
          <w:color w:val="auto"/>
          <w:highlight w:val="none"/>
        </w:rPr>
      </w:pPr>
      <w:bookmarkStart w:id="64" w:name="_Toc14285"/>
      <w:bookmarkStart w:id="65" w:name="_Toc18259"/>
      <w:r>
        <w:rPr>
          <w:rFonts w:hint="eastAsia" w:ascii="宋体" w:hAnsi="宋体" w:eastAsia="宋体" w:cs="宋体"/>
          <w:color w:val="auto"/>
          <w:highlight w:val="none"/>
        </w:rPr>
        <w:t>4 响应文件的递交</w:t>
      </w:r>
      <w:bookmarkEnd w:id="64"/>
      <w:bookmarkEnd w:id="65"/>
    </w:p>
    <w:p>
      <w:pPr>
        <w:pStyle w:val="6"/>
        <w:pageBreakBefore w:val="0"/>
        <w:kinsoku/>
        <w:overflowPunct/>
        <w:topLinePunct w:val="0"/>
        <w:bidi w:val="0"/>
        <w:snapToGrid/>
        <w:spacing w:line="360" w:lineRule="auto"/>
        <w:rPr>
          <w:rFonts w:hint="eastAsia" w:ascii="宋体" w:hAnsi="宋体" w:eastAsia="宋体" w:cs="宋体"/>
          <w:color w:val="auto"/>
          <w:highlight w:val="none"/>
        </w:rPr>
      </w:pPr>
      <w:bookmarkStart w:id="66" w:name="_Toc1294"/>
      <w:bookmarkStart w:id="67" w:name="_Toc28323"/>
      <w:r>
        <w:rPr>
          <w:rFonts w:hint="eastAsia" w:ascii="宋体" w:hAnsi="宋体" w:eastAsia="宋体" w:cs="宋体"/>
          <w:color w:val="auto"/>
          <w:highlight w:val="none"/>
        </w:rPr>
        <w:t>4.1 响应文件的包装与标记</w:t>
      </w:r>
      <w:bookmarkEnd w:id="66"/>
      <w:bookmarkEnd w:id="67"/>
    </w:p>
    <w:p>
      <w:pPr>
        <w:pStyle w:val="16"/>
        <w:pageBreakBefore w:val="0"/>
        <w:widowControl/>
        <w:kinsoku/>
        <w:overflowPunct/>
        <w:topLinePunct w:val="0"/>
        <w:bidi w:val="0"/>
        <w:snapToGrid/>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4.1.1 响应文件应密封包装，未密封的响应文件，</w:t>
      </w:r>
      <w:r>
        <w:rPr>
          <w:rFonts w:hint="eastAsia" w:ascii="宋体" w:hAnsi="宋体" w:eastAsia="宋体" w:cs="宋体"/>
          <w:color w:val="auto"/>
          <w:highlight w:val="none"/>
          <w:lang w:eastAsia="zh-CN"/>
        </w:rPr>
        <w:t>招标</w:t>
      </w:r>
      <w:r>
        <w:rPr>
          <w:rFonts w:hint="eastAsia" w:ascii="宋体" w:hAnsi="宋体" w:eastAsia="宋体" w:cs="宋体"/>
          <w:color w:val="auto"/>
          <w:highlight w:val="none"/>
        </w:rPr>
        <w:t>人将拒绝接收。</w:t>
      </w:r>
    </w:p>
    <w:p>
      <w:pPr>
        <w:pStyle w:val="16"/>
        <w:pageBreakBefore w:val="0"/>
        <w:widowControl/>
        <w:kinsoku/>
        <w:overflowPunct/>
        <w:topLinePunct w:val="0"/>
        <w:bidi w:val="0"/>
        <w:snapToGrid/>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4.1.2 响应文件封套上应载明的内容见</w:t>
      </w:r>
      <w:r>
        <w:rPr>
          <w:rFonts w:hint="eastAsia" w:ascii="宋体" w:hAnsi="宋体" w:eastAsia="宋体" w:cs="宋体"/>
          <w:color w:val="auto"/>
          <w:highlight w:val="none"/>
          <w:lang w:eastAsia="zh-CN"/>
        </w:rPr>
        <w:t>询比响应人</w:t>
      </w:r>
      <w:r>
        <w:rPr>
          <w:rFonts w:hint="eastAsia" w:ascii="宋体" w:hAnsi="宋体" w:eastAsia="宋体" w:cs="宋体"/>
          <w:color w:val="auto"/>
          <w:highlight w:val="none"/>
        </w:rPr>
        <w:t>须知前附表。</w:t>
      </w:r>
    </w:p>
    <w:p>
      <w:pPr>
        <w:pStyle w:val="6"/>
        <w:pageBreakBefore w:val="0"/>
        <w:kinsoku/>
        <w:overflowPunct/>
        <w:topLinePunct w:val="0"/>
        <w:bidi w:val="0"/>
        <w:snapToGrid/>
        <w:spacing w:line="360" w:lineRule="auto"/>
        <w:rPr>
          <w:rFonts w:hint="eastAsia" w:ascii="宋体" w:hAnsi="宋体" w:eastAsia="宋体" w:cs="宋体"/>
          <w:color w:val="auto"/>
          <w:highlight w:val="none"/>
        </w:rPr>
      </w:pPr>
      <w:bookmarkStart w:id="68" w:name="_Toc21926"/>
      <w:bookmarkStart w:id="69" w:name="_Toc25115"/>
      <w:r>
        <w:rPr>
          <w:rFonts w:hint="eastAsia" w:ascii="宋体" w:hAnsi="宋体" w:eastAsia="宋体" w:cs="宋体"/>
          <w:color w:val="auto"/>
          <w:highlight w:val="none"/>
        </w:rPr>
        <w:t>4.2 响应文件的递交</w:t>
      </w:r>
      <w:bookmarkEnd w:id="68"/>
      <w:bookmarkEnd w:id="69"/>
    </w:p>
    <w:p>
      <w:pPr>
        <w:pStyle w:val="16"/>
        <w:pageBreakBefore w:val="0"/>
        <w:widowControl/>
        <w:kinsoku/>
        <w:overflowPunct/>
        <w:topLinePunct w:val="0"/>
        <w:bidi w:val="0"/>
        <w:snapToGrid/>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4.2.1 </w:t>
      </w:r>
      <w:r>
        <w:rPr>
          <w:rFonts w:hint="eastAsia" w:ascii="宋体" w:hAnsi="宋体" w:eastAsia="宋体" w:cs="宋体"/>
          <w:color w:val="auto"/>
          <w:highlight w:val="none"/>
          <w:lang w:eastAsia="zh-CN"/>
        </w:rPr>
        <w:t>询比响应人</w:t>
      </w:r>
      <w:r>
        <w:rPr>
          <w:rFonts w:hint="eastAsia" w:ascii="宋体" w:hAnsi="宋体" w:eastAsia="宋体" w:cs="宋体"/>
          <w:color w:val="auto"/>
          <w:highlight w:val="none"/>
        </w:rPr>
        <w:t>应在</w:t>
      </w:r>
      <w:r>
        <w:rPr>
          <w:rFonts w:hint="eastAsia" w:ascii="宋体" w:hAnsi="宋体" w:eastAsia="宋体" w:cs="宋体"/>
          <w:color w:val="auto"/>
          <w:highlight w:val="none"/>
          <w:lang w:eastAsia="zh-CN"/>
        </w:rPr>
        <w:t>询比响应人</w:t>
      </w:r>
      <w:r>
        <w:rPr>
          <w:rFonts w:hint="eastAsia" w:ascii="宋体" w:hAnsi="宋体" w:eastAsia="宋体" w:cs="宋体"/>
          <w:color w:val="auto"/>
          <w:highlight w:val="none"/>
        </w:rPr>
        <w:t>须知前附表规定的递交响应文件的截止时间前，将响应文件递交到</w:t>
      </w:r>
      <w:r>
        <w:rPr>
          <w:rFonts w:hint="eastAsia" w:ascii="宋体" w:hAnsi="宋体" w:eastAsia="宋体" w:cs="宋体"/>
          <w:color w:val="auto"/>
          <w:highlight w:val="none"/>
          <w:lang w:eastAsia="zh-CN"/>
        </w:rPr>
        <w:t>询比响应人</w:t>
      </w:r>
      <w:r>
        <w:rPr>
          <w:rFonts w:hint="eastAsia" w:ascii="宋体" w:hAnsi="宋体" w:eastAsia="宋体" w:cs="宋体"/>
          <w:color w:val="auto"/>
          <w:highlight w:val="none"/>
        </w:rPr>
        <w:t>须知前附表规定的地点。逾期送达的或者未送达指定地点的响应文件，</w:t>
      </w:r>
      <w:r>
        <w:rPr>
          <w:rFonts w:hint="eastAsia" w:ascii="宋体" w:hAnsi="宋体" w:eastAsia="宋体" w:cs="宋体"/>
          <w:color w:val="auto"/>
          <w:highlight w:val="none"/>
          <w:lang w:eastAsia="zh-CN"/>
        </w:rPr>
        <w:t>招标</w:t>
      </w:r>
      <w:r>
        <w:rPr>
          <w:rFonts w:hint="eastAsia" w:ascii="宋体" w:hAnsi="宋体" w:eastAsia="宋体" w:cs="宋体"/>
          <w:color w:val="auto"/>
          <w:highlight w:val="none"/>
        </w:rPr>
        <w:t>人将拒绝接收。</w:t>
      </w:r>
      <w:r>
        <w:rPr>
          <w:rFonts w:hint="eastAsia" w:ascii="宋体" w:hAnsi="宋体" w:eastAsia="宋体" w:cs="宋体"/>
          <w:color w:val="auto"/>
          <w:highlight w:val="none"/>
          <w:lang w:eastAsia="zh-CN"/>
        </w:rPr>
        <w:t>招标</w:t>
      </w:r>
      <w:r>
        <w:rPr>
          <w:rFonts w:hint="eastAsia" w:ascii="宋体" w:hAnsi="宋体" w:eastAsia="宋体" w:cs="宋体"/>
          <w:color w:val="auto"/>
          <w:highlight w:val="none"/>
        </w:rPr>
        <w:t>人收到响应文件后，向</w:t>
      </w:r>
      <w:r>
        <w:rPr>
          <w:rFonts w:hint="eastAsia" w:ascii="宋体" w:hAnsi="宋体" w:eastAsia="宋体" w:cs="宋体"/>
          <w:color w:val="auto"/>
          <w:highlight w:val="none"/>
          <w:lang w:eastAsia="zh-CN"/>
        </w:rPr>
        <w:t>询比响应人</w:t>
      </w:r>
      <w:r>
        <w:rPr>
          <w:rFonts w:hint="eastAsia" w:ascii="宋体" w:hAnsi="宋体" w:eastAsia="宋体" w:cs="宋体"/>
          <w:color w:val="auto"/>
          <w:highlight w:val="none"/>
        </w:rPr>
        <w:t>出具接收凭证。4.2.2 除</w:t>
      </w:r>
      <w:r>
        <w:rPr>
          <w:rFonts w:hint="eastAsia" w:ascii="宋体" w:hAnsi="宋体" w:eastAsia="宋体" w:cs="宋体"/>
          <w:color w:val="auto"/>
          <w:highlight w:val="none"/>
          <w:lang w:eastAsia="zh-CN"/>
        </w:rPr>
        <w:t>询比响应人</w:t>
      </w:r>
      <w:r>
        <w:rPr>
          <w:rFonts w:hint="eastAsia" w:ascii="宋体" w:hAnsi="宋体" w:eastAsia="宋体" w:cs="宋体"/>
          <w:color w:val="auto"/>
          <w:highlight w:val="none"/>
        </w:rPr>
        <w:t>须知前附表另有规定外，</w:t>
      </w:r>
      <w:r>
        <w:rPr>
          <w:rFonts w:hint="eastAsia" w:ascii="宋体" w:hAnsi="宋体" w:eastAsia="宋体" w:cs="宋体"/>
          <w:color w:val="auto"/>
          <w:highlight w:val="none"/>
          <w:lang w:eastAsia="zh-CN"/>
        </w:rPr>
        <w:t>询比响应人</w:t>
      </w:r>
      <w:r>
        <w:rPr>
          <w:rFonts w:hint="eastAsia" w:ascii="宋体" w:hAnsi="宋体" w:eastAsia="宋体" w:cs="宋体"/>
          <w:color w:val="auto"/>
          <w:highlight w:val="none"/>
        </w:rPr>
        <w:t>所递交的响应文件不予退还。</w:t>
      </w:r>
    </w:p>
    <w:p>
      <w:pPr>
        <w:pStyle w:val="6"/>
        <w:pageBreakBefore w:val="0"/>
        <w:kinsoku/>
        <w:overflowPunct/>
        <w:topLinePunct w:val="0"/>
        <w:bidi w:val="0"/>
        <w:snapToGrid/>
        <w:spacing w:line="360" w:lineRule="auto"/>
        <w:rPr>
          <w:rFonts w:hint="eastAsia" w:ascii="宋体" w:hAnsi="宋体" w:eastAsia="宋体" w:cs="宋体"/>
          <w:color w:val="auto"/>
          <w:highlight w:val="none"/>
        </w:rPr>
      </w:pPr>
      <w:bookmarkStart w:id="70" w:name="_Toc2102"/>
      <w:bookmarkStart w:id="71" w:name="_Toc12918"/>
      <w:r>
        <w:rPr>
          <w:rFonts w:hint="eastAsia" w:ascii="宋体" w:hAnsi="宋体" w:eastAsia="宋体" w:cs="宋体"/>
          <w:color w:val="auto"/>
          <w:highlight w:val="none"/>
        </w:rPr>
        <w:t>4.3 响应文件的修改与撤回</w:t>
      </w:r>
      <w:bookmarkEnd w:id="70"/>
      <w:bookmarkEnd w:id="71"/>
    </w:p>
    <w:p>
      <w:pPr>
        <w:pStyle w:val="16"/>
        <w:pageBreakBefore w:val="0"/>
        <w:widowControl/>
        <w:kinsoku/>
        <w:overflowPunct/>
        <w:topLinePunct w:val="0"/>
        <w:bidi w:val="0"/>
        <w:snapToGrid/>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4.3.1 在本章第4.2.1项规定的递交响应文件的截止时间前，</w:t>
      </w:r>
      <w:r>
        <w:rPr>
          <w:rFonts w:hint="eastAsia" w:ascii="宋体" w:hAnsi="宋体" w:eastAsia="宋体" w:cs="宋体"/>
          <w:color w:val="auto"/>
          <w:highlight w:val="none"/>
          <w:lang w:eastAsia="zh-CN"/>
        </w:rPr>
        <w:t>询比响应人</w:t>
      </w:r>
      <w:r>
        <w:rPr>
          <w:rFonts w:hint="eastAsia" w:ascii="宋体" w:hAnsi="宋体" w:eastAsia="宋体" w:cs="宋体"/>
          <w:color w:val="auto"/>
          <w:highlight w:val="none"/>
        </w:rPr>
        <w:t>可以修改或撤回已递交的响应文件，但应以书面形式通知</w:t>
      </w:r>
      <w:r>
        <w:rPr>
          <w:rFonts w:hint="eastAsia" w:ascii="宋体" w:hAnsi="宋体" w:eastAsia="宋体" w:cs="宋体"/>
          <w:color w:val="auto"/>
          <w:highlight w:val="none"/>
          <w:lang w:eastAsia="zh-CN"/>
        </w:rPr>
        <w:t>招标</w:t>
      </w:r>
      <w:r>
        <w:rPr>
          <w:rFonts w:hint="eastAsia" w:ascii="宋体" w:hAnsi="宋体" w:eastAsia="宋体" w:cs="宋体"/>
          <w:color w:val="auto"/>
          <w:highlight w:val="none"/>
        </w:rPr>
        <w:t>人。</w:t>
      </w:r>
    </w:p>
    <w:p>
      <w:pPr>
        <w:pStyle w:val="16"/>
        <w:pageBreakBefore w:val="0"/>
        <w:widowControl/>
        <w:kinsoku/>
        <w:overflowPunct/>
        <w:topLinePunct w:val="0"/>
        <w:bidi w:val="0"/>
        <w:snapToGrid/>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4.3.2 响应文件的修改文件或</w:t>
      </w:r>
      <w:r>
        <w:rPr>
          <w:rFonts w:hint="eastAsia" w:ascii="宋体" w:hAnsi="宋体" w:eastAsia="宋体" w:cs="宋体"/>
          <w:color w:val="auto"/>
          <w:highlight w:val="none"/>
          <w:lang w:eastAsia="zh-CN"/>
        </w:rPr>
        <w:t>询比响应人</w:t>
      </w:r>
      <w:r>
        <w:rPr>
          <w:rFonts w:hint="eastAsia" w:ascii="宋体" w:hAnsi="宋体" w:eastAsia="宋体" w:cs="宋体"/>
          <w:color w:val="auto"/>
          <w:highlight w:val="none"/>
        </w:rPr>
        <w:t>撤回已递交响应文件的书面通知应由</w:t>
      </w:r>
      <w:r>
        <w:rPr>
          <w:rFonts w:hint="eastAsia" w:ascii="宋体" w:hAnsi="宋体" w:eastAsia="宋体" w:cs="宋体"/>
          <w:color w:val="auto"/>
          <w:highlight w:val="none"/>
          <w:lang w:eastAsia="zh-CN"/>
        </w:rPr>
        <w:t>询比响应人</w:t>
      </w:r>
      <w:r>
        <w:rPr>
          <w:rFonts w:hint="eastAsia" w:ascii="宋体" w:hAnsi="宋体" w:eastAsia="宋体" w:cs="宋体"/>
          <w:color w:val="auto"/>
          <w:highlight w:val="none"/>
        </w:rPr>
        <w:t>的法定代表人（单位负责人）或其授权的代理人签字并加盖单位章。</w:t>
      </w:r>
      <w:r>
        <w:rPr>
          <w:rFonts w:hint="eastAsia" w:ascii="宋体" w:hAnsi="宋体" w:eastAsia="宋体" w:cs="宋体"/>
          <w:color w:val="auto"/>
          <w:highlight w:val="none"/>
          <w:lang w:eastAsia="zh-CN"/>
        </w:rPr>
        <w:t>招标</w:t>
      </w:r>
      <w:r>
        <w:rPr>
          <w:rFonts w:hint="eastAsia" w:ascii="宋体" w:hAnsi="宋体" w:eastAsia="宋体" w:cs="宋体"/>
          <w:color w:val="auto"/>
          <w:highlight w:val="none"/>
        </w:rPr>
        <w:t>人收到</w:t>
      </w:r>
      <w:r>
        <w:rPr>
          <w:rFonts w:hint="eastAsia" w:ascii="宋体" w:hAnsi="宋体" w:eastAsia="宋体" w:cs="宋体"/>
          <w:color w:val="auto"/>
          <w:highlight w:val="none"/>
          <w:lang w:eastAsia="zh-CN"/>
        </w:rPr>
        <w:t>询比响应人</w:t>
      </w:r>
      <w:r>
        <w:rPr>
          <w:rFonts w:hint="eastAsia" w:ascii="宋体" w:hAnsi="宋体" w:eastAsia="宋体" w:cs="宋体"/>
          <w:color w:val="auto"/>
          <w:highlight w:val="none"/>
        </w:rPr>
        <w:t>修改响应文件的书面文件后，向</w:t>
      </w:r>
      <w:r>
        <w:rPr>
          <w:rFonts w:hint="eastAsia" w:ascii="宋体" w:hAnsi="宋体" w:eastAsia="宋体" w:cs="宋体"/>
          <w:color w:val="auto"/>
          <w:highlight w:val="none"/>
          <w:lang w:eastAsia="zh-CN"/>
        </w:rPr>
        <w:t>询比响应人</w:t>
      </w:r>
      <w:r>
        <w:rPr>
          <w:rFonts w:hint="eastAsia" w:ascii="宋体" w:hAnsi="宋体" w:eastAsia="宋体" w:cs="宋体"/>
          <w:color w:val="auto"/>
          <w:highlight w:val="none"/>
        </w:rPr>
        <w:t>出具接收凭证;</w:t>
      </w:r>
      <w:r>
        <w:rPr>
          <w:rFonts w:hint="eastAsia" w:ascii="宋体" w:hAnsi="宋体" w:eastAsia="宋体" w:cs="宋体"/>
          <w:color w:val="auto"/>
          <w:highlight w:val="none"/>
          <w:lang w:eastAsia="zh-CN"/>
        </w:rPr>
        <w:t>招标</w:t>
      </w:r>
      <w:r>
        <w:rPr>
          <w:rFonts w:hint="eastAsia" w:ascii="宋体" w:hAnsi="宋体" w:eastAsia="宋体" w:cs="宋体"/>
          <w:color w:val="auto"/>
          <w:highlight w:val="none"/>
        </w:rPr>
        <w:t>人收到</w:t>
      </w:r>
      <w:r>
        <w:rPr>
          <w:rFonts w:hint="eastAsia" w:ascii="宋体" w:hAnsi="宋体" w:eastAsia="宋体" w:cs="宋体"/>
          <w:color w:val="auto"/>
          <w:highlight w:val="none"/>
          <w:lang w:eastAsia="zh-CN"/>
        </w:rPr>
        <w:t>询比响应人</w:t>
      </w:r>
      <w:r>
        <w:rPr>
          <w:rFonts w:hint="eastAsia" w:ascii="宋体" w:hAnsi="宋体" w:eastAsia="宋体" w:cs="宋体"/>
          <w:color w:val="auto"/>
          <w:highlight w:val="none"/>
        </w:rPr>
        <w:t>撤回响应文件的书面通知后，退回</w:t>
      </w:r>
      <w:r>
        <w:rPr>
          <w:rFonts w:hint="eastAsia" w:ascii="宋体" w:hAnsi="宋体" w:eastAsia="宋体" w:cs="宋体"/>
          <w:color w:val="auto"/>
          <w:highlight w:val="none"/>
          <w:lang w:eastAsia="zh-CN"/>
        </w:rPr>
        <w:t>询比响应人</w:t>
      </w:r>
      <w:r>
        <w:rPr>
          <w:rFonts w:hint="eastAsia" w:ascii="宋体" w:hAnsi="宋体" w:eastAsia="宋体" w:cs="宋体"/>
          <w:color w:val="auto"/>
          <w:highlight w:val="none"/>
        </w:rPr>
        <w:t>的响应文件。</w:t>
      </w:r>
    </w:p>
    <w:p>
      <w:pPr>
        <w:pStyle w:val="16"/>
        <w:pageBreakBefore w:val="0"/>
        <w:widowControl/>
        <w:kinsoku/>
        <w:overflowPunct/>
        <w:topLinePunct w:val="0"/>
        <w:bidi w:val="0"/>
        <w:snapToGrid/>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4.3.3 除</w:t>
      </w:r>
      <w:r>
        <w:rPr>
          <w:rFonts w:hint="eastAsia" w:ascii="宋体" w:hAnsi="宋体" w:eastAsia="宋体" w:cs="宋体"/>
          <w:color w:val="auto"/>
          <w:highlight w:val="none"/>
          <w:lang w:eastAsia="zh-CN"/>
        </w:rPr>
        <w:t>询比响应人</w:t>
      </w:r>
      <w:r>
        <w:rPr>
          <w:rFonts w:hint="eastAsia" w:ascii="宋体" w:hAnsi="宋体" w:eastAsia="宋体" w:cs="宋体"/>
          <w:color w:val="auto"/>
          <w:highlight w:val="none"/>
        </w:rPr>
        <w:t>须知前附表另有规定外，</w:t>
      </w:r>
      <w:r>
        <w:rPr>
          <w:rFonts w:hint="eastAsia" w:ascii="宋体" w:hAnsi="宋体" w:eastAsia="宋体" w:cs="宋体"/>
          <w:color w:val="auto"/>
          <w:highlight w:val="none"/>
          <w:lang w:eastAsia="zh-CN"/>
        </w:rPr>
        <w:t>询比响应人</w:t>
      </w:r>
      <w:r>
        <w:rPr>
          <w:rFonts w:hint="eastAsia" w:ascii="宋体" w:hAnsi="宋体" w:eastAsia="宋体" w:cs="宋体"/>
          <w:color w:val="auto"/>
          <w:highlight w:val="none"/>
        </w:rPr>
        <w:t>撤回响应文件的，</w:t>
      </w:r>
      <w:r>
        <w:rPr>
          <w:rFonts w:hint="eastAsia" w:ascii="宋体" w:hAnsi="宋体" w:eastAsia="宋体" w:cs="宋体"/>
          <w:color w:val="auto"/>
          <w:highlight w:val="none"/>
          <w:lang w:eastAsia="zh-CN"/>
        </w:rPr>
        <w:t>招标</w:t>
      </w:r>
      <w:r>
        <w:rPr>
          <w:rFonts w:hint="eastAsia" w:ascii="宋体" w:hAnsi="宋体" w:eastAsia="宋体" w:cs="宋体"/>
          <w:color w:val="auto"/>
          <w:highlight w:val="none"/>
        </w:rPr>
        <w:t>人应在5日内退还已收取的响应保证金。</w:t>
      </w:r>
    </w:p>
    <w:p>
      <w:pPr>
        <w:pStyle w:val="16"/>
        <w:pageBreakBefore w:val="0"/>
        <w:widowControl/>
        <w:kinsoku/>
        <w:overflowPunct/>
        <w:topLinePunct w:val="0"/>
        <w:bidi w:val="0"/>
        <w:snapToGrid/>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4.3.4 修改的内容为响应文件的组成部分。响应文件的修改文件应按照本章第3条、第4条的规定进行编制、包装、标记和递交，并标明"修改"字样。</w:t>
      </w:r>
    </w:p>
    <w:p>
      <w:pPr>
        <w:pStyle w:val="4"/>
        <w:pageBreakBefore w:val="0"/>
        <w:kinsoku/>
        <w:overflowPunct/>
        <w:topLinePunct w:val="0"/>
        <w:bidi w:val="0"/>
        <w:snapToGrid/>
        <w:spacing w:line="360" w:lineRule="auto"/>
        <w:jc w:val="both"/>
        <w:rPr>
          <w:rFonts w:hint="eastAsia" w:ascii="宋体" w:hAnsi="宋体" w:eastAsia="宋体" w:cs="宋体"/>
          <w:color w:val="auto"/>
          <w:highlight w:val="none"/>
        </w:rPr>
      </w:pPr>
      <w:bookmarkStart w:id="72" w:name="_Toc31501"/>
      <w:bookmarkStart w:id="73" w:name="_Toc11371"/>
      <w:r>
        <w:rPr>
          <w:rFonts w:hint="eastAsia" w:ascii="宋体" w:hAnsi="宋体" w:eastAsia="宋体" w:cs="宋体"/>
          <w:color w:val="auto"/>
          <w:highlight w:val="none"/>
        </w:rPr>
        <w:t>5 开启响应文件</w:t>
      </w:r>
      <w:bookmarkEnd w:id="72"/>
      <w:bookmarkEnd w:id="73"/>
    </w:p>
    <w:p>
      <w:pPr>
        <w:pStyle w:val="6"/>
        <w:pageBreakBefore w:val="0"/>
        <w:kinsoku/>
        <w:overflowPunct/>
        <w:topLinePunct w:val="0"/>
        <w:bidi w:val="0"/>
        <w:snapToGrid/>
        <w:spacing w:line="360" w:lineRule="auto"/>
        <w:rPr>
          <w:rFonts w:hint="eastAsia" w:ascii="宋体" w:hAnsi="宋体" w:eastAsia="宋体" w:cs="宋体"/>
          <w:color w:val="auto"/>
          <w:highlight w:val="none"/>
        </w:rPr>
      </w:pPr>
      <w:bookmarkStart w:id="74" w:name="_Toc23615"/>
      <w:bookmarkStart w:id="75" w:name="_Toc31628"/>
      <w:r>
        <w:rPr>
          <w:rFonts w:hint="eastAsia" w:ascii="宋体" w:hAnsi="宋体" w:eastAsia="宋体" w:cs="宋体"/>
          <w:color w:val="auto"/>
          <w:highlight w:val="none"/>
        </w:rPr>
        <w:t>5.1 开启响应文件的时间和地点</w:t>
      </w:r>
      <w:bookmarkEnd w:id="74"/>
      <w:bookmarkEnd w:id="75"/>
    </w:p>
    <w:p>
      <w:pPr>
        <w:pStyle w:val="16"/>
        <w:pageBreakBefore w:val="0"/>
        <w:widowControl/>
        <w:kinsoku/>
        <w:overflowPunct/>
        <w:topLinePunct w:val="0"/>
        <w:bidi w:val="0"/>
        <w:snapToGrid/>
        <w:spacing w:beforeAutospacing="0" w:afterAutospacing="0" w:line="360" w:lineRule="auto"/>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lang w:eastAsia="zh-CN"/>
        </w:rPr>
        <w:t>招标</w:t>
      </w:r>
      <w:r>
        <w:rPr>
          <w:rFonts w:hint="eastAsia" w:ascii="宋体" w:hAnsi="宋体" w:eastAsia="宋体" w:cs="宋体"/>
          <w:color w:val="auto"/>
          <w:highlight w:val="none"/>
        </w:rPr>
        <w:t>人在本章第4.2.1项规定的递交响应文件的截止时间和地点公开开启响应文件，并邀请所有</w:t>
      </w:r>
      <w:r>
        <w:rPr>
          <w:rFonts w:hint="eastAsia" w:ascii="宋体" w:hAnsi="宋体" w:eastAsia="宋体" w:cs="宋体"/>
          <w:color w:val="auto"/>
          <w:highlight w:val="none"/>
          <w:lang w:eastAsia="zh-CN"/>
        </w:rPr>
        <w:t>询比响应人</w:t>
      </w:r>
      <w:r>
        <w:rPr>
          <w:rFonts w:hint="eastAsia" w:ascii="宋体" w:hAnsi="宋体" w:eastAsia="宋体" w:cs="宋体"/>
          <w:color w:val="auto"/>
          <w:highlight w:val="none"/>
        </w:rPr>
        <w:t>的法定代表人（单位负责人）或其授权的代理人参加开启会议，</w:t>
      </w:r>
      <w:r>
        <w:rPr>
          <w:rFonts w:hint="eastAsia" w:ascii="宋体" w:hAnsi="宋体" w:eastAsia="宋体" w:cs="宋体"/>
          <w:color w:val="auto"/>
          <w:highlight w:val="none"/>
          <w:lang w:eastAsia="zh-CN"/>
        </w:rPr>
        <w:t>询比响应人</w:t>
      </w:r>
      <w:r>
        <w:rPr>
          <w:rFonts w:hint="eastAsia" w:ascii="宋体" w:hAnsi="宋体" w:eastAsia="宋体" w:cs="宋体"/>
          <w:color w:val="auto"/>
          <w:highlight w:val="none"/>
        </w:rPr>
        <w:t>未派代表参加的，视为默认开启结果。</w:t>
      </w:r>
    </w:p>
    <w:p>
      <w:pPr>
        <w:pStyle w:val="6"/>
        <w:pageBreakBefore w:val="0"/>
        <w:kinsoku/>
        <w:overflowPunct/>
        <w:topLinePunct w:val="0"/>
        <w:bidi w:val="0"/>
        <w:snapToGrid/>
        <w:spacing w:line="360" w:lineRule="auto"/>
        <w:rPr>
          <w:rFonts w:hint="eastAsia" w:ascii="宋体" w:hAnsi="宋体" w:eastAsia="宋体" w:cs="宋体"/>
          <w:color w:val="auto"/>
          <w:highlight w:val="none"/>
        </w:rPr>
      </w:pPr>
      <w:bookmarkStart w:id="76" w:name="_Toc4087"/>
      <w:bookmarkStart w:id="77" w:name="_Toc19613"/>
      <w:r>
        <w:rPr>
          <w:rFonts w:hint="eastAsia" w:ascii="宋体" w:hAnsi="宋体" w:eastAsia="宋体" w:cs="宋体"/>
          <w:color w:val="auto"/>
          <w:highlight w:val="none"/>
        </w:rPr>
        <w:t>5.2开启程序</w:t>
      </w:r>
      <w:bookmarkEnd w:id="76"/>
      <w:bookmarkEnd w:id="77"/>
    </w:p>
    <w:p>
      <w:pPr>
        <w:pStyle w:val="16"/>
        <w:pageBreakBefore w:val="0"/>
        <w:widowControl/>
        <w:kinsoku/>
        <w:overflowPunct/>
        <w:topLinePunct w:val="0"/>
        <w:bidi w:val="0"/>
        <w:snapToGrid/>
        <w:spacing w:beforeAutospacing="0" w:afterAutospacing="0" w:line="360" w:lineRule="auto"/>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主持人按下列程序公开开启响应文件∶</w:t>
      </w:r>
    </w:p>
    <w:p>
      <w:pPr>
        <w:pStyle w:val="16"/>
        <w:pageBreakBefore w:val="0"/>
        <w:widowControl/>
        <w:numPr>
          <w:ilvl w:val="0"/>
          <w:numId w:val="4"/>
        </w:numPr>
        <w:kinsoku/>
        <w:overflowPunct/>
        <w:topLinePunct w:val="0"/>
        <w:bidi w:val="0"/>
        <w:snapToGrid/>
        <w:spacing w:beforeAutospacing="0" w:afterAutospacing="0" w:line="360" w:lineRule="auto"/>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宣布开启会议纪律;</w:t>
      </w:r>
    </w:p>
    <w:p>
      <w:pPr>
        <w:pStyle w:val="16"/>
        <w:pageBreakBefore w:val="0"/>
        <w:widowControl/>
        <w:numPr>
          <w:ilvl w:val="0"/>
          <w:numId w:val="4"/>
        </w:numPr>
        <w:kinsoku/>
        <w:overflowPunct/>
        <w:topLinePunct w:val="0"/>
        <w:bidi w:val="0"/>
        <w:snapToGrid/>
        <w:spacing w:beforeAutospacing="0" w:afterAutospacing="0" w:line="360" w:lineRule="auto"/>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宣布参加开启会议的工作人员姓名;</w:t>
      </w:r>
    </w:p>
    <w:p>
      <w:pPr>
        <w:pStyle w:val="16"/>
        <w:pageBreakBefore w:val="0"/>
        <w:widowControl/>
        <w:kinsoku/>
        <w:overflowPunct/>
        <w:topLinePunct w:val="0"/>
        <w:bidi w:val="0"/>
        <w:snapToGrid/>
        <w:spacing w:beforeAutospacing="0" w:afterAutospacing="0" w:line="360" w:lineRule="auto"/>
        <w:ind w:left="420" w:leftChars="200"/>
        <w:rPr>
          <w:rFonts w:hint="eastAsia" w:ascii="宋体" w:hAnsi="宋体" w:eastAsia="宋体" w:cs="宋体"/>
          <w:color w:val="auto"/>
          <w:highlight w:val="none"/>
        </w:rPr>
      </w:pPr>
      <w:r>
        <w:rPr>
          <w:rFonts w:hint="eastAsia" w:ascii="宋体" w:hAnsi="宋体" w:eastAsia="宋体" w:cs="宋体"/>
          <w:color w:val="auto"/>
          <w:highlight w:val="none"/>
        </w:rPr>
        <w:t>（3）</w:t>
      </w:r>
      <w:r>
        <w:rPr>
          <w:rFonts w:hint="eastAsia" w:ascii="宋体" w:hAnsi="宋体" w:eastAsia="宋体" w:cs="宋体"/>
          <w:color w:val="auto"/>
          <w:highlight w:val="none"/>
          <w:lang w:eastAsia="zh-CN"/>
        </w:rPr>
        <w:t>询比响应人</w:t>
      </w:r>
      <w:r>
        <w:rPr>
          <w:rFonts w:hint="eastAsia" w:ascii="宋体" w:hAnsi="宋体" w:eastAsia="宋体" w:cs="宋体"/>
          <w:color w:val="auto"/>
          <w:highlight w:val="none"/>
        </w:rPr>
        <w:t>代表检查确认响应文件的密封情况;</w:t>
      </w:r>
    </w:p>
    <w:p>
      <w:pPr>
        <w:pStyle w:val="16"/>
        <w:pageBreakBefore w:val="0"/>
        <w:widowControl/>
        <w:kinsoku/>
        <w:overflowPunct/>
        <w:topLinePunct w:val="0"/>
        <w:bidi w:val="0"/>
        <w:snapToGrid/>
        <w:spacing w:beforeAutospacing="0" w:afterAutospacing="0" w:line="360" w:lineRule="auto"/>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（4）按照</w:t>
      </w:r>
      <w:r>
        <w:rPr>
          <w:rFonts w:hint="eastAsia" w:ascii="宋体" w:hAnsi="宋体" w:eastAsia="宋体" w:cs="宋体"/>
          <w:color w:val="auto"/>
          <w:highlight w:val="none"/>
          <w:lang w:eastAsia="zh-CN"/>
        </w:rPr>
        <w:t>询比响应人</w:t>
      </w:r>
      <w:r>
        <w:rPr>
          <w:rFonts w:hint="eastAsia" w:ascii="宋体" w:hAnsi="宋体" w:eastAsia="宋体" w:cs="宋体"/>
          <w:color w:val="auto"/>
          <w:highlight w:val="none"/>
        </w:rPr>
        <w:t>须知前附表规定的开启顺序开启响应文件，公布递交响应文件的</w:t>
      </w:r>
      <w:r>
        <w:rPr>
          <w:rFonts w:hint="eastAsia" w:ascii="宋体" w:hAnsi="宋体" w:eastAsia="宋体" w:cs="宋体"/>
          <w:color w:val="auto"/>
          <w:highlight w:val="none"/>
          <w:lang w:eastAsia="zh-CN"/>
        </w:rPr>
        <w:t>询比响应人</w:t>
      </w:r>
      <w:r>
        <w:rPr>
          <w:rFonts w:hint="eastAsia" w:ascii="宋体" w:hAnsi="宋体" w:eastAsia="宋体" w:cs="宋体"/>
          <w:color w:val="auto"/>
          <w:highlight w:val="none"/>
        </w:rPr>
        <w:t>名称、响应报价及</w:t>
      </w:r>
      <w:r>
        <w:rPr>
          <w:rFonts w:hint="eastAsia" w:ascii="宋体" w:hAnsi="宋体" w:eastAsia="宋体" w:cs="宋体"/>
          <w:color w:val="auto"/>
          <w:highlight w:val="none"/>
          <w:lang w:eastAsia="zh-CN"/>
        </w:rPr>
        <w:t>询比响应人</w:t>
      </w:r>
      <w:r>
        <w:rPr>
          <w:rFonts w:hint="eastAsia" w:ascii="宋体" w:hAnsi="宋体" w:eastAsia="宋体" w:cs="宋体"/>
          <w:color w:val="auto"/>
          <w:highlight w:val="none"/>
        </w:rPr>
        <w:t>须知前附表规定的其他应公布的信息，并记录在案;</w:t>
      </w:r>
    </w:p>
    <w:p>
      <w:pPr>
        <w:pStyle w:val="16"/>
        <w:pageBreakBefore w:val="0"/>
        <w:widowControl/>
        <w:kinsoku/>
        <w:overflowPunct/>
        <w:topLinePunct w:val="0"/>
        <w:bidi w:val="0"/>
        <w:snapToGrid/>
        <w:spacing w:beforeAutospacing="0" w:afterAutospacing="0" w:line="360" w:lineRule="auto"/>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（5）</w:t>
      </w:r>
      <w:r>
        <w:rPr>
          <w:rFonts w:hint="eastAsia" w:ascii="宋体" w:hAnsi="宋体" w:eastAsia="宋体" w:cs="宋体"/>
          <w:color w:val="auto"/>
          <w:highlight w:val="none"/>
          <w:lang w:eastAsia="zh-CN"/>
        </w:rPr>
        <w:t>询比响应人</w:t>
      </w:r>
      <w:r>
        <w:rPr>
          <w:rFonts w:hint="eastAsia" w:ascii="宋体" w:hAnsi="宋体" w:eastAsia="宋体" w:cs="宋体"/>
          <w:color w:val="auto"/>
          <w:highlight w:val="none"/>
        </w:rPr>
        <w:t>代表及相关工作人员等在响应文件开启记录上签字确认;</w:t>
      </w:r>
    </w:p>
    <w:p>
      <w:pPr>
        <w:pStyle w:val="16"/>
        <w:pageBreakBefore w:val="0"/>
        <w:widowControl/>
        <w:kinsoku/>
        <w:overflowPunct/>
        <w:topLinePunct w:val="0"/>
        <w:bidi w:val="0"/>
        <w:snapToGrid/>
        <w:spacing w:beforeAutospacing="0" w:afterAutospacing="0" w:line="360" w:lineRule="auto"/>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（6）宣布有关注意事项;</w:t>
      </w:r>
    </w:p>
    <w:p>
      <w:pPr>
        <w:pStyle w:val="16"/>
        <w:pageBreakBefore w:val="0"/>
        <w:widowControl/>
        <w:kinsoku/>
        <w:overflowPunct/>
        <w:topLinePunct w:val="0"/>
        <w:bidi w:val="0"/>
        <w:snapToGrid/>
        <w:spacing w:beforeAutospacing="0" w:afterAutospacing="0" w:line="360" w:lineRule="auto"/>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（7）开启会议结束。</w:t>
      </w:r>
    </w:p>
    <w:p>
      <w:pPr>
        <w:pStyle w:val="6"/>
        <w:pageBreakBefore w:val="0"/>
        <w:kinsoku/>
        <w:overflowPunct/>
        <w:topLinePunct w:val="0"/>
        <w:bidi w:val="0"/>
        <w:snapToGrid/>
        <w:spacing w:line="360" w:lineRule="auto"/>
        <w:rPr>
          <w:rFonts w:hint="eastAsia" w:ascii="宋体" w:hAnsi="宋体" w:eastAsia="宋体" w:cs="宋体"/>
          <w:color w:val="auto"/>
          <w:highlight w:val="none"/>
        </w:rPr>
      </w:pPr>
      <w:bookmarkStart w:id="78" w:name="_Toc8601"/>
      <w:bookmarkStart w:id="79" w:name="_Toc32188"/>
      <w:r>
        <w:rPr>
          <w:rFonts w:hint="eastAsia" w:ascii="宋体" w:hAnsi="宋体" w:eastAsia="宋体" w:cs="宋体"/>
          <w:color w:val="auto"/>
          <w:highlight w:val="none"/>
        </w:rPr>
        <w:t>5.3递交响应文件的</w:t>
      </w:r>
      <w:r>
        <w:rPr>
          <w:rFonts w:hint="eastAsia" w:ascii="宋体" w:hAnsi="宋体" w:eastAsia="宋体" w:cs="宋体"/>
          <w:color w:val="auto"/>
          <w:highlight w:val="none"/>
          <w:lang w:eastAsia="zh-CN"/>
        </w:rPr>
        <w:t>询比响应人</w:t>
      </w:r>
      <w:r>
        <w:rPr>
          <w:rFonts w:hint="eastAsia" w:ascii="宋体" w:hAnsi="宋体" w:eastAsia="宋体" w:cs="宋体"/>
          <w:color w:val="auto"/>
          <w:highlight w:val="none"/>
        </w:rPr>
        <w:t>不足的情形</w:t>
      </w:r>
      <w:bookmarkEnd w:id="78"/>
      <w:bookmarkEnd w:id="79"/>
    </w:p>
    <w:p>
      <w:pPr>
        <w:pStyle w:val="16"/>
        <w:pageBreakBefore w:val="0"/>
        <w:widowControl/>
        <w:kinsoku/>
        <w:overflowPunct/>
        <w:topLinePunct w:val="0"/>
        <w:bidi w:val="0"/>
        <w:snapToGrid/>
        <w:spacing w:beforeAutospacing="0" w:afterAutospacing="0" w:line="360" w:lineRule="auto"/>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采购项目选择一家成交</w:t>
      </w:r>
      <w:r>
        <w:rPr>
          <w:rFonts w:hint="eastAsia" w:ascii="宋体" w:hAnsi="宋体" w:eastAsia="宋体" w:cs="宋体"/>
          <w:color w:val="auto"/>
          <w:highlight w:val="none"/>
          <w:lang w:eastAsia="zh-CN"/>
        </w:rPr>
        <w:t>询比响应人</w:t>
      </w:r>
      <w:r>
        <w:rPr>
          <w:rFonts w:hint="eastAsia" w:ascii="宋体" w:hAnsi="宋体" w:eastAsia="宋体" w:cs="宋体"/>
          <w:color w:val="auto"/>
          <w:highlight w:val="none"/>
        </w:rPr>
        <w:t>时，递交响应文件的</w:t>
      </w:r>
      <w:r>
        <w:rPr>
          <w:rFonts w:hint="eastAsia" w:ascii="宋体" w:hAnsi="宋体" w:eastAsia="宋体" w:cs="宋体"/>
          <w:color w:val="auto"/>
          <w:highlight w:val="none"/>
          <w:lang w:eastAsia="zh-CN"/>
        </w:rPr>
        <w:t>询比响应人</w:t>
      </w:r>
      <w:r>
        <w:rPr>
          <w:rFonts w:hint="eastAsia" w:ascii="宋体" w:hAnsi="宋体" w:eastAsia="宋体" w:cs="宋体"/>
          <w:color w:val="auto"/>
          <w:highlight w:val="none"/>
        </w:rPr>
        <w:t>数量不足三家的，或采购项目选择多家成交</w:t>
      </w:r>
      <w:r>
        <w:rPr>
          <w:rFonts w:hint="eastAsia" w:ascii="宋体" w:hAnsi="宋体" w:eastAsia="宋体" w:cs="宋体"/>
          <w:color w:val="auto"/>
          <w:highlight w:val="none"/>
          <w:lang w:eastAsia="zh-CN"/>
        </w:rPr>
        <w:t>询比响应人</w:t>
      </w:r>
      <w:r>
        <w:rPr>
          <w:rFonts w:hint="eastAsia" w:ascii="宋体" w:hAnsi="宋体" w:eastAsia="宋体" w:cs="宋体"/>
          <w:color w:val="auto"/>
          <w:highlight w:val="none"/>
        </w:rPr>
        <w:t>时，递交响应文件的</w:t>
      </w:r>
      <w:r>
        <w:rPr>
          <w:rFonts w:hint="eastAsia" w:ascii="宋体" w:hAnsi="宋体" w:eastAsia="宋体" w:cs="宋体"/>
          <w:color w:val="auto"/>
          <w:highlight w:val="none"/>
          <w:lang w:eastAsia="zh-CN"/>
        </w:rPr>
        <w:t>询比响应人</w:t>
      </w:r>
      <w:r>
        <w:rPr>
          <w:rFonts w:hint="eastAsia" w:ascii="宋体" w:hAnsi="宋体" w:eastAsia="宋体" w:cs="宋体"/>
          <w:color w:val="auto"/>
          <w:highlight w:val="none"/>
        </w:rPr>
        <w:t>数量少于</w:t>
      </w:r>
      <w:r>
        <w:rPr>
          <w:rFonts w:hint="eastAsia" w:ascii="宋体" w:hAnsi="宋体" w:eastAsia="宋体" w:cs="宋体"/>
          <w:color w:val="auto"/>
          <w:highlight w:val="none"/>
          <w:lang w:eastAsia="zh-CN"/>
        </w:rPr>
        <w:t>询比响应人</w:t>
      </w:r>
      <w:r>
        <w:rPr>
          <w:rFonts w:hint="eastAsia" w:ascii="宋体" w:hAnsi="宋体" w:eastAsia="宋体" w:cs="宋体"/>
          <w:color w:val="auto"/>
          <w:highlight w:val="none"/>
        </w:rPr>
        <w:t>须知前附表规定数量的，</w:t>
      </w:r>
      <w:r>
        <w:rPr>
          <w:rFonts w:hint="eastAsia" w:ascii="宋体" w:hAnsi="宋体" w:eastAsia="宋体" w:cs="宋体"/>
          <w:color w:val="auto"/>
          <w:highlight w:val="none"/>
          <w:lang w:eastAsia="zh-CN"/>
        </w:rPr>
        <w:t>招标</w:t>
      </w:r>
      <w:r>
        <w:rPr>
          <w:rFonts w:hint="eastAsia" w:ascii="宋体" w:hAnsi="宋体" w:eastAsia="宋体" w:cs="宋体"/>
          <w:color w:val="auto"/>
          <w:highlight w:val="none"/>
        </w:rPr>
        <w:t>人可按照下述情形分别处理：</w:t>
      </w:r>
    </w:p>
    <w:p>
      <w:pPr>
        <w:pStyle w:val="16"/>
        <w:pageBreakBefore w:val="0"/>
        <w:widowControl/>
        <w:numPr>
          <w:ilvl w:val="0"/>
          <w:numId w:val="5"/>
        </w:numPr>
        <w:kinsoku/>
        <w:overflowPunct/>
        <w:topLinePunct w:val="0"/>
        <w:bidi w:val="0"/>
        <w:snapToGrid/>
        <w:spacing w:beforeAutospacing="0" w:afterAutospacing="0" w:line="360" w:lineRule="auto"/>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终止询比并重新组织采购</w:t>
      </w:r>
    </w:p>
    <w:p>
      <w:pPr>
        <w:pStyle w:val="16"/>
        <w:pageBreakBefore w:val="0"/>
        <w:widowControl/>
        <w:kinsoku/>
        <w:overflowPunct/>
        <w:topLinePunct w:val="0"/>
        <w:bidi w:val="0"/>
        <w:snapToGrid/>
        <w:spacing w:beforeAutospacing="0" w:afterAutospacing="0" w:line="360" w:lineRule="auto"/>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采购项目存在影响公平竞争情形的，</w:t>
      </w:r>
      <w:r>
        <w:rPr>
          <w:rFonts w:hint="eastAsia" w:ascii="宋体" w:hAnsi="宋体" w:eastAsia="宋体" w:cs="宋体"/>
          <w:color w:val="auto"/>
          <w:highlight w:val="none"/>
          <w:lang w:eastAsia="zh-CN"/>
        </w:rPr>
        <w:t>招标</w:t>
      </w:r>
      <w:r>
        <w:rPr>
          <w:rFonts w:hint="eastAsia" w:ascii="宋体" w:hAnsi="宋体" w:eastAsia="宋体" w:cs="宋体"/>
          <w:color w:val="auto"/>
          <w:highlight w:val="none"/>
        </w:rPr>
        <w:t>人应当终止询比采购，并根据不同情形和原因，采取相应纠正措施，重新组织采购。</w:t>
      </w:r>
    </w:p>
    <w:p>
      <w:pPr>
        <w:pStyle w:val="16"/>
        <w:pageBreakBefore w:val="0"/>
        <w:widowControl/>
        <w:kinsoku/>
        <w:overflowPunct/>
        <w:topLinePunct w:val="0"/>
        <w:bidi w:val="0"/>
        <w:snapToGrid/>
        <w:spacing w:beforeAutospacing="0" w:afterAutospacing="0" w:line="360" w:lineRule="auto"/>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采购项目不存在影响公平竞争情形的，</w:t>
      </w:r>
      <w:r>
        <w:rPr>
          <w:rFonts w:hint="eastAsia" w:ascii="宋体" w:hAnsi="宋体" w:eastAsia="宋体" w:cs="宋体"/>
          <w:color w:val="auto"/>
          <w:highlight w:val="none"/>
          <w:lang w:eastAsia="zh-CN"/>
        </w:rPr>
        <w:t>招标</w:t>
      </w:r>
      <w:r>
        <w:rPr>
          <w:rFonts w:hint="eastAsia" w:ascii="宋体" w:hAnsi="宋体" w:eastAsia="宋体" w:cs="宋体"/>
          <w:color w:val="auto"/>
          <w:highlight w:val="none"/>
        </w:rPr>
        <w:t>人也可以选择终止询比采购，采取相应完善措施，重新组织采购。</w:t>
      </w:r>
    </w:p>
    <w:p>
      <w:pPr>
        <w:pStyle w:val="16"/>
        <w:pageBreakBefore w:val="0"/>
        <w:widowControl/>
        <w:kinsoku/>
        <w:overflowPunct/>
        <w:topLinePunct w:val="0"/>
        <w:bidi w:val="0"/>
        <w:snapToGrid/>
        <w:spacing w:beforeAutospacing="0" w:afterAutospacing="0" w:line="360" w:lineRule="auto"/>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（2）继续询比采购</w:t>
      </w:r>
    </w:p>
    <w:p>
      <w:pPr>
        <w:pStyle w:val="16"/>
        <w:pageBreakBefore w:val="0"/>
        <w:widowControl/>
        <w:kinsoku/>
        <w:overflowPunct/>
        <w:topLinePunct w:val="0"/>
        <w:bidi w:val="0"/>
        <w:snapToGrid/>
        <w:spacing w:beforeAutospacing="0" w:afterAutospacing="0" w:line="360" w:lineRule="auto"/>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采购项目不存在应该终止询比情形，且</w:t>
      </w:r>
      <w:r>
        <w:rPr>
          <w:rFonts w:hint="eastAsia" w:ascii="宋体" w:hAnsi="宋体" w:eastAsia="宋体" w:cs="宋体"/>
          <w:color w:val="auto"/>
          <w:highlight w:val="none"/>
          <w:lang w:eastAsia="zh-CN"/>
        </w:rPr>
        <w:t>招标</w:t>
      </w:r>
      <w:r>
        <w:rPr>
          <w:rFonts w:hint="eastAsia" w:ascii="宋体" w:hAnsi="宋体" w:eastAsia="宋体" w:cs="宋体"/>
          <w:color w:val="auto"/>
          <w:highlight w:val="none"/>
        </w:rPr>
        <w:t>人也没有自行选择终止询比采购</w:t>
      </w:r>
    </w:p>
    <w:p>
      <w:pPr>
        <w:pStyle w:val="16"/>
        <w:pageBreakBefore w:val="0"/>
        <w:widowControl/>
        <w:kinsoku/>
        <w:overflowPunct/>
        <w:topLinePunct w:val="0"/>
        <w:bidi w:val="0"/>
        <w:snapToGrid/>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的，</w:t>
      </w:r>
      <w:r>
        <w:rPr>
          <w:rFonts w:hint="eastAsia" w:ascii="宋体" w:hAnsi="宋体" w:eastAsia="宋体" w:cs="宋体"/>
          <w:color w:val="auto"/>
          <w:highlight w:val="none"/>
          <w:lang w:eastAsia="zh-CN"/>
        </w:rPr>
        <w:t>招标</w:t>
      </w:r>
      <w:r>
        <w:rPr>
          <w:rFonts w:hint="eastAsia" w:ascii="宋体" w:hAnsi="宋体" w:eastAsia="宋体" w:cs="宋体"/>
          <w:color w:val="auto"/>
          <w:highlight w:val="none"/>
        </w:rPr>
        <w:t>人应按照本章第5.2款规定的程序继续开启响应文件，并按第三章“评审办法”规定的规则组织响应文件评审，完成询比采购后续程序。</w:t>
      </w:r>
    </w:p>
    <w:p>
      <w:pPr>
        <w:pStyle w:val="4"/>
        <w:pageBreakBefore w:val="0"/>
        <w:kinsoku/>
        <w:overflowPunct/>
        <w:topLinePunct w:val="0"/>
        <w:bidi w:val="0"/>
        <w:snapToGrid/>
        <w:spacing w:line="360" w:lineRule="auto"/>
        <w:jc w:val="both"/>
        <w:rPr>
          <w:rFonts w:hint="eastAsia" w:ascii="宋体" w:hAnsi="宋体" w:eastAsia="宋体" w:cs="宋体"/>
          <w:color w:val="auto"/>
          <w:highlight w:val="none"/>
        </w:rPr>
      </w:pPr>
      <w:bookmarkStart w:id="80" w:name="_Toc3655"/>
      <w:bookmarkStart w:id="81" w:name="_Toc7766"/>
      <w:r>
        <w:rPr>
          <w:rFonts w:hint="eastAsia" w:ascii="宋体" w:hAnsi="宋体" w:eastAsia="宋体" w:cs="宋体"/>
          <w:color w:val="auto"/>
          <w:highlight w:val="none"/>
        </w:rPr>
        <w:t>6 评审</w:t>
      </w:r>
      <w:bookmarkEnd w:id="80"/>
      <w:bookmarkEnd w:id="81"/>
    </w:p>
    <w:p>
      <w:pPr>
        <w:pStyle w:val="6"/>
        <w:pageBreakBefore w:val="0"/>
        <w:kinsoku/>
        <w:overflowPunct/>
        <w:topLinePunct w:val="0"/>
        <w:bidi w:val="0"/>
        <w:snapToGrid/>
        <w:spacing w:line="360" w:lineRule="auto"/>
        <w:rPr>
          <w:rFonts w:hint="eastAsia" w:ascii="宋体" w:hAnsi="宋体" w:eastAsia="宋体" w:cs="宋体"/>
          <w:color w:val="auto"/>
          <w:highlight w:val="none"/>
        </w:rPr>
      </w:pPr>
      <w:bookmarkStart w:id="82" w:name="_Toc11182"/>
      <w:bookmarkStart w:id="83" w:name="_Toc32215"/>
      <w:r>
        <w:rPr>
          <w:rFonts w:hint="eastAsia" w:ascii="宋体" w:hAnsi="宋体" w:eastAsia="宋体" w:cs="宋体"/>
          <w:color w:val="auto"/>
          <w:highlight w:val="none"/>
        </w:rPr>
        <w:t>6.1 评审小组</w:t>
      </w:r>
      <w:bookmarkEnd w:id="82"/>
      <w:bookmarkEnd w:id="83"/>
    </w:p>
    <w:p>
      <w:pPr>
        <w:pStyle w:val="16"/>
        <w:pageBreakBefore w:val="0"/>
        <w:widowControl/>
        <w:kinsoku/>
        <w:overflowPunct/>
        <w:topLinePunct w:val="0"/>
        <w:bidi w:val="0"/>
        <w:snapToGrid/>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6.1.1 评审由</w:t>
      </w:r>
      <w:r>
        <w:rPr>
          <w:rFonts w:hint="eastAsia" w:ascii="宋体" w:hAnsi="宋体" w:eastAsia="宋体" w:cs="宋体"/>
          <w:color w:val="auto"/>
          <w:highlight w:val="none"/>
          <w:lang w:eastAsia="zh-CN"/>
        </w:rPr>
        <w:t>招标</w:t>
      </w:r>
      <w:r>
        <w:rPr>
          <w:rFonts w:hint="eastAsia" w:ascii="宋体" w:hAnsi="宋体" w:eastAsia="宋体" w:cs="宋体"/>
          <w:color w:val="auto"/>
          <w:highlight w:val="none"/>
        </w:rPr>
        <w:t>人组建的评审小组负责。</w:t>
      </w:r>
    </w:p>
    <w:p>
      <w:pPr>
        <w:pStyle w:val="16"/>
        <w:pageBreakBefore w:val="0"/>
        <w:widowControl/>
        <w:kinsoku/>
        <w:overflowPunct/>
        <w:topLinePunct w:val="0"/>
        <w:bidi w:val="0"/>
        <w:snapToGrid/>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6.1.2 评审小组成员有下列情形之一的，应当回避：</w:t>
      </w:r>
    </w:p>
    <w:p>
      <w:pPr>
        <w:pStyle w:val="16"/>
        <w:pageBreakBefore w:val="0"/>
        <w:widowControl/>
        <w:kinsoku/>
        <w:overflowPunct/>
        <w:topLinePunct w:val="0"/>
        <w:bidi w:val="0"/>
        <w:snapToGrid/>
        <w:spacing w:beforeAutospacing="0" w:afterAutospacing="0" w:line="360" w:lineRule="auto"/>
        <w:ind w:firstLine="480"/>
        <w:rPr>
          <w:rFonts w:hint="eastAsia" w:ascii="宋体" w:hAnsi="宋体" w:eastAsia="宋体" w:cs="宋体"/>
          <w:color w:val="auto"/>
          <w:highlight w:val="none"/>
        </w:rPr>
      </w:pPr>
      <w:r>
        <w:rPr>
          <w:rFonts w:hint="eastAsia" w:ascii="宋体" w:hAnsi="宋体" w:eastAsia="宋体" w:cs="宋体"/>
          <w:color w:val="auto"/>
          <w:highlight w:val="none"/>
        </w:rPr>
        <w:t>（1）</w:t>
      </w:r>
      <w:r>
        <w:rPr>
          <w:rFonts w:hint="eastAsia" w:ascii="宋体" w:hAnsi="宋体" w:eastAsia="宋体" w:cs="宋体"/>
          <w:color w:val="auto"/>
          <w:highlight w:val="none"/>
          <w:lang w:eastAsia="zh-CN"/>
        </w:rPr>
        <w:t>询比响应人</w:t>
      </w:r>
      <w:r>
        <w:rPr>
          <w:rFonts w:hint="eastAsia" w:ascii="宋体" w:hAnsi="宋体" w:eastAsia="宋体" w:cs="宋体"/>
          <w:color w:val="auto"/>
          <w:highlight w:val="none"/>
        </w:rPr>
        <w:t>主要负责人或</w:t>
      </w:r>
      <w:r>
        <w:rPr>
          <w:rFonts w:hint="eastAsia" w:ascii="宋体" w:hAnsi="宋体" w:eastAsia="宋体" w:cs="宋体"/>
          <w:color w:val="auto"/>
          <w:highlight w:val="none"/>
          <w:lang w:eastAsia="zh-CN"/>
        </w:rPr>
        <w:t>询比响应人</w:t>
      </w:r>
      <w:r>
        <w:rPr>
          <w:rFonts w:hint="eastAsia" w:ascii="宋体" w:hAnsi="宋体" w:eastAsia="宋体" w:cs="宋体"/>
          <w:color w:val="auto"/>
          <w:highlight w:val="none"/>
        </w:rPr>
        <w:t>主要负责人的近亲属；</w:t>
      </w:r>
    </w:p>
    <w:p>
      <w:pPr>
        <w:pStyle w:val="16"/>
        <w:pageBreakBefore w:val="0"/>
        <w:widowControl/>
        <w:kinsoku/>
        <w:overflowPunct/>
        <w:topLinePunct w:val="0"/>
        <w:bidi w:val="0"/>
        <w:snapToGrid/>
        <w:spacing w:beforeAutospacing="0" w:afterAutospacing="0" w:line="360" w:lineRule="auto"/>
        <w:ind w:firstLine="480"/>
        <w:rPr>
          <w:rFonts w:hint="eastAsia" w:ascii="宋体" w:hAnsi="宋体" w:eastAsia="宋体" w:cs="宋体"/>
          <w:color w:val="auto"/>
          <w:highlight w:val="none"/>
        </w:rPr>
      </w:pPr>
      <w:r>
        <w:rPr>
          <w:rFonts w:hint="eastAsia" w:ascii="宋体" w:hAnsi="宋体" w:eastAsia="宋体" w:cs="宋体"/>
          <w:color w:val="auto"/>
          <w:highlight w:val="none"/>
        </w:rPr>
        <w:t>（2）与</w:t>
      </w:r>
      <w:r>
        <w:rPr>
          <w:rFonts w:hint="eastAsia" w:ascii="宋体" w:hAnsi="宋体" w:eastAsia="宋体" w:cs="宋体"/>
          <w:color w:val="auto"/>
          <w:highlight w:val="none"/>
          <w:lang w:eastAsia="zh-CN"/>
        </w:rPr>
        <w:t>询比响应人</w:t>
      </w:r>
      <w:r>
        <w:rPr>
          <w:rFonts w:hint="eastAsia" w:ascii="宋体" w:hAnsi="宋体" w:eastAsia="宋体" w:cs="宋体"/>
          <w:color w:val="auto"/>
          <w:highlight w:val="none"/>
        </w:rPr>
        <w:t>有经济利益关系或其他利害关系，可能影响公正评审的。</w:t>
      </w:r>
    </w:p>
    <w:p>
      <w:pPr>
        <w:pStyle w:val="16"/>
        <w:pageBreakBefore w:val="0"/>
        <w:widowControl/>
        <w:kinsoku/>
        <w:overflowPunct/>
        <w:topLinePunct w:val="0"/>
        <w:bidi w:val="0"/>
        <w:snapToGrid/>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6.1.3 评审小组组建后，评审小组成员共同推选或由</w:t>
      </w:r>
      <w:r>
        <w:rPr>
          <w:rFonts w:hint="eastAsia" w:ascii="宋体" w:hAnsi="宋体" w:eastAsia="宋体" w:cs="宋体"/>
          <w:color w:val="auto"/>
          <w:highlight w:val="none"/>
          <w:lang w:eastAsia="zh-CN"/>
        </w:rPr>
        <w:t>招标</w:t>
      </w:r>
      <w:r>
        <w:rPr>
          <w:rFonts w:hint="eastAsia" w:ascii="宋体" w:hAnsi="宋体" w:eastAsia="宋体" w:cs="宋体"/>
          <w:color w:val="auto"/>
          <w:highlight w:val="none"/>
        </w:rPr>
        <w:t>人指定评审小组组长，评审小组组长负责组织评审工作。</w:t>
      </w:r>
    </w:p>
    <w:p>
      <w:pPr>
        <w:pStyle w:val="16"/>
        <w:pageBreakBefore w:val="0"/>
        <w:widowControl/>
        <w:kinsoku/>
        <w:overflowPunct/>
        <w:topLinePunct w:val="0"/>
        <w:bidi w:val="0"/>
        <w:snapToGrid/>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6.1.4 在评审过程中，评审小组成员对需要共同认定的事项存在争议的，将按照少数服从多数的原则作出结论。持不同意见的评审小组成员应当在评审报告上签署不同意见及理由，否则视为同意评审报告。</w:t>
      </w:r>
    </w:p>
    <w:p>
      <w:pPr>
        <w:pStyle w:val="6"/>
        <w:pageBreakBefore w:val="0"/>
        <w:kinsoku/>
        <w:overflowPunct/>
        <w:topLinePunct w:val="0"/>
        <w:bidi w:val="0"/>
        <w:snapToGrid/>
        <w:spacing w:line="360" w:lineRule="auto"/>
        <w:rPr>
          <w:rFonts w:hint="eastAsia" w:ascii="宋体" w:hAnsi="宋体" w:eastAsia="宋体" w:cs="宋体"/>
          <w:color w:val="auto"/>
          <w:highlight w:val="none"/>
        </w:rPr>
      </w:pPr>
      <w:bookmarkStart w:id="84" w:name="_Toc4240"/>
      <w:bookmarkStart w:id="85" w:name="_Toc17365"/>
      <w:r>
        <w:rPr>
          <w:rFonts w:hint="eastAsia" w:ascii="宋体" w:hAnsi="宋体" w:eastAsia="宋体" w:cs="宋体"/>
          <w:color w:val="auto"/>
          <w:highlight w:val="none"/>
        </w:rPr>
        <w:t>6.2 评审</w:t>
      </w:r>
      <w:bookmarkEnd w:id="84"/>
      <w:bookmarkEnd w:id="85"/>
    </w:p>
    <w:p>
      <w:pPr>
        <w:pStyle w:val="16"/>
        <w:pageBreakBefore w:val="0"/>
        <w:widowControl/>
        <w:kinsoku/>
        <w:overflowPunct/>
        <w:topLinePunct w:val="0"/>
        <w:bidi w:val="0"/>
        <w:snapToGrid/>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6.2.1 评审小组按照第三章“评审办法”规定的评审标准和程序对响应文件进行评审和比较。</w:t>
      </w:r>
    </w:p>
    <w:p>
      <w:pPr>
        <w:pStyle w:val="16"/>
        <w:pageBreakBefore w:val="0"/>
        <w:widowControl/>
        <w:kinsoku/>
        <w:overflowPunct/>
        <w:topLinePunct w:val="0"/>
        <w:bidi w:val="0"/>
        <w:snapToGrid/>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6.2.2 评审完成后，评审小组应当向</w:t>
      </w:r>
      <w:r>
        <w:rPr>
          <w:rFonts w:hint="eastAsia" w:ascii="宋体" w:hAnsi="宋体" w:eastAsia="宋体" w:cs="宋体"/>
          <w:color w:val="auto"/>
          <w:highlight w:val="none"/>
          <w:lang w:eastAsia="zh-CN"/>
        </w:rPr>
        <w:t>招标</w:t>
      </w:r>
      <w:r>
        <w:rPr>
          <w:rFonts w:hint="eastAsia" w:ascii="宋体" w:hAnsi="宋体" w:eastAsia="宋体" w:cs="宋体"/>
          <w:color w:val="auto"/>
          <w:highlight w:val="none"/>
        </w:rPr>
        <w:t>人提交书面评审报告和候选成交</w:t>
      </w:r>
      <w:r>
        <w:rPr>
          <w:rFonts w:hint="eastAsia" w:ascii="宋体" w:hAnsi="宋体" w:eastAsia="宋体" w:cs="宋体"/>
          <w:color w:val="auto"/>
          <w:highlight w:val="none"/>
          <w:lang w:eastAsia="zh-CN"/>
        </w:rPr>
        <w:t>询比响应人</w:t>
      </w:r>
      <w:r>
        <w:rPr>
          <w:rFonts w:hint="eastAsia" w:ascii="宋体" w:hAnsi="宋体" w:eastAsia="宋体" w:cs="宋体"/>
          <w:color w:val="auto"/>
          <w:highlight w:val="none"/>
        </w:rPr>
        <w:t>名称。评审小组推荐候选成立</w:t>
      </w:r>
      <w:r>
        <w:rPr>
          <w:rFonts w:hint="eastAsia" w:ascii="宋体" w:hAnsi="宋体" w:eastAsia="宋体" w:cs="宋体"/>
          <w:color w:val="auto"/>
          <w:highlight w:val="none"/>
          <w:lang w:eastAsia="zh-CN"/>
        </w:rPr>
        <w:t>询比响应人</w:t>
      </w:r>
      <w:r>
        <w:rPr>
          <w:rFonts w:hint="eastAsia" w:ascii="宋体" w:hAnsi="宋体" w:eastAsia="宋体" w:cs="宋体"/>
          <w:color w:val="auto"/>
          <w:highlight w:val="none"/>
        </w:rPr>
        <w:t>的排序要求及数量见</w:t>
      </w:r>
      <w:r>
        <w:rPr>
          <w:rFonts w:hint="eastAsia" w:ascii="宋体" w:hAnsi="宋体" w:eastAsia="宋体" w:cs="宋体"/>
          <w:color w:val="auto"/>
          <w:highlight w:val="none"/>
          <w:lang w:eastAsia="zh-CN"/>
        </w:rPr>
        <w:t>询比响应人</w:t>
      </w:r>
      <w:r>
        <w:rPr>
          <w:rFonts w:hint="eastAsia" w:ascii="宋体" w:hAnsi="宋体" w:eastAsia="宋体" w:cs="宋体"/>
          <w:color w:val="auto"/>
          <w:highlight w:val="none"/>
        </w:rPr>
        <w:t>须知前附表。</w:t>
      </w:r>
    </w:p>
    <w:p>
      <w:pPr>
        <w:pStyle w:val="4"/>
        <w:pageBreakBefore w:val="0"/>
        <w:kinsoku/>
        <w:overflowPunct/>
        <w:topLinePunct w:val="0"/>
        <w:bidi w:val="0"/>
        <w:snapToGrid/>
        <w:spacing w:line="360" w:lineRule="auto"/>
        <w:jc w:val="both"/>
        <w:rPr>
          <w:rFonts w:hint="eastAsia" w:ascii="宋体" w:hAnsi="宋体" w:eastAsia="宋体" w:cs="宋体"/>
          <w:color w:val="auto"/>
          <w:highlight w:val="none"/>
        </w:rPr>
      </w:pPr>
      <w:bookmarkStart w:id="86" w:name="_Toc2823"/>
      <w:bookmarkStart w:id="87" w:name="_Toc13400"/>
      <w:r>
        <w:rPr>
          <w:rFonts w:hint="eastAsia" w:ascii="宋体" w:hAnsi="宋体" w:eastAsia="宋体" w:cs="宋体"/>
          <w:color w:val="auto"/>
          <w:highlight w:val="none"/>
        </w:rPr>
        <w:t>7 合同授予</w:t>
      </w:r>
      <w:bookmarkEnd w:id="86"/>
      <w:bookmarkEnd w:id="87"/>
    </w:p>
    <w:p>
      <w:pPr>
        <w:pStyle w:val="6"/>
        <w:pageBreakBefore w:val="0"/>
        <w:kinsoku/>
        <w:overflowPunct/>
        <w:topLinePunct w:val="0"/>
        <w:bidi w:val="0"/>
        <w:snapToGrid/>
        <w:spacing w:line="360" w:lineRule="auto"/>
        <w:rPr>
          <w:rFonts w:hint="eastAsia" w:ascii="宋体" w:hAnsi="宋体" w:eastAsia="宋体" w:cs="宋体"/>
          <w:color w:val="auto"/>
          <w:highlight w:val="none"/>
        </w:rPr>
      </w:pPr>
      <w:bookmarkStart w:id="88" w:name="_Toc21986"/>
      <w:bookmarkStart w:id="89" w:name="_Toc29868"/>
      <w:r>
        <w:rPr>
          <w:rFonts w:hint="eastAsia" w:ascii="宋体" w:hAnsi="宋体" w:eastAsia="宋体" w:cs="宋体"/>
          <w:color w:val="auto"/>
          <w:highlight w:val="none"/>
        </w:rPr>
        <w:t>7.1 候选成交</w:t>
      </w:r>
      <w:r>
        <w:rPr>
          <w:rFonts w:hint="eastAsia" w:ascii="宋体" w:hAnsi="宋体" w:eastAsia="宋体" w:cs="宋体"/>
          <w:color w:val="auto"/>
          <w:highlight w:val="none"/>
          <w:lang w:eastAsia="zh-CN"/>
        </w:rPr>
        <w:t>询比响应人</w:t>
      </w:r>
      <w:r>
        <w:rPr>
          <w:rFonts w:hint="eastAsia" w:ascii="宋体" w:hAnsi="宋体" w:eastAsia="宋体" w:cs="宋体"/>
          <w:color w:val="auto"/>
          <w:highlight w:val="none"/>
        </w:rPr>
        <w:t>履约能力核查</w:t>
      </w:r>
      <w:bookmarkEnd w:id="88"/>
      <w:bookmarkEnd w:id="89"/>
    </w:p>
    <w:p>
      <w:pPr>
        <w:pStyle w:val="16"/>
        <w:pageBreakBefore w:val="0"/>
        <w:widowControl/>
        <w:kinsoku/>
        <w:overflowPunct/>
        <w:topLinePunct w:val="0"/>
        <w:bidi w:val="0"/>
        <w:snapToGrid/>
        <w:spacing w:beforeAutospacing="0" w:afterAutospacing="0" w:line="360" w:lineRule="auto"/>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lang w:eastAsia="zh-CN"/>
        </w:rPr>
        <w:t>招标</w:t>
      </w:r>
      <w:r>
        <w:rPr>
          <w:rFonts w:hint="eastAsia" w:ascii="宋体" w:hAnsi="宋体" w:eastAsia="宋体" w:cs="宋体"/>
          <w:color w:val="auto"/>
          <w:highlight w:val="none"/>
        </w:rPr>
        <w:t>人可对候选成交</w:t>
      </w:r>
      <w:r>
        <w:rPr>
          <w:rFonts w:hint="eastAsia" w:ascii="宋体" w:hAnsi="宋体" w:eastAsia="宋体" w:cs="宋体"/>
          <w:color w:val="auto"/>
          <w:highlight w:val="none"/>
          <w:lang w:eastAsia="zh-CN"/>
        </w:rPr>
        <w:t>询比响应人</w:t>
      </w:r>
      <w:r>
        <w:rPr>
          <w:rFonts w:hint="eastAsia" w:ascii="宋体" w:hAnsi="宋体" w:eastAsia="宋体" w:cs="宋体"/>
          <w:color w:val="auto"/>
          <w:highlight w:val="none"/>
        </w:rPr>
        <w:t>的相关证明材料原件进行核验或组织现场考察，以确认候选成交</w:t>
      </w:r>
      <w:r>
        <w:rPr>
          <w:rFonts w:hint="eastAsia" w:ascii="宋体" w:hAnsi="宋体" w:eastAsia="宋体" w:cs="宋体"/>
          <w:color w:val="auto"/>
          <w:highlight w:val="none"/>
          <w:lang w:eastAsia="zh-CN"/>
        </w:rPr>
        <w:t>询比响应人</w:t>
      </w:r>
      <w:r>
        <w:rPr>
          <w:rFonts w:hint="eastAsia" w:ascii="宋体" w:hAnsi="宋体" w:eastAsia="宋体" w:cs="宋体"/>
          <w:color w:val="auto"/>
          <w:highlight w:val="none"/>
        </w:rPr>
        <w:t>的生产经营、财务等实际状况与响应文件是否存在其他可能影响</w:t>
      </w:r>
      <w:r>
        <w:rPr>
          <w:rFonts w:hint="eastAsia" w:ascii="宋体" w:hAnsi="宋体" w:eastAsia="宋体" w:cs="宋体"/>
          <w:color w:val="auto"/>
          <w:highlight w:val="none"/>
          <w:lang w:eastAsia="zh-CN"/>
        </w:rPr>
        <w:t>询比响应人</w:t>
      </w:r>
      <w:r>
        <w:rPr>
          <w:rFonts w:hint="eastAsia" w:ascii="宋体" w:hAnsi="宋体" w:eastAsia="宋体" w:cs="宋体"/>
          <w:color w:val="auto"/>
          <w:highlight w:val="none"/>
        </w:rPr>
        <w:t>履约能力的情况。核查结果将作为</w:t>
      </w:r>
      <w:r>
        <w:rPr>
          <w:rFonts w:hint="eastAsia" w:ascii="宋体" w:hAnsi="宋体" w:eastAsia="宋体" w:cs="宋体"/>
          <w:color w:val="auto"/>
          <w:highlight w:val="none"/>
          <w:lang w:eastAsia="zh-CN"/>
        </w:rPr>
        <w:t>招标</w:t>
      </w:r>
      <w:r>
        <w:rPr>
          <w:rFonts w:hint="eastAsia" w:ascii="宋体" w:hAnsi="宋体" w:eastAsia="宋体" w:cs="宋体"/>
          <w:color w:val="auto"/>
          <w:highlight w:val="none"/>
        </w:rPr>
        <w:t>人选择确定预成交</w:t>
      </w:r>
      <w:r>
        <w:rPr>
          <w:rFonts w:hint="eastAsia" w:ascii="宋体" w:hAnsi="宋体" w:eastAsia="宋体" w:cs="宋体"/>
          <w:color w:val="auto"/>
          <w:highlight w:val="none"/>
          <w:lang w:eastAsia="zh-CN"/>
        </w:rPr>
        <w:t>询比响应人</w:t>
      </w:r>
      <w:r>
        <w:rPr>
          <w:rFonts w:hint="eastAsia" w:ascii="宋体" w:hAnsi="宋体" w:eastAsia="宋体" w:cs="宋体"/>
          <w:color w:val="auto"/>
          <w:highlight w:val="none"/>
        </w:rPr>
        <w:t>的依据之一</w:t>
      </w:r>
    </w:p>
    <w:p>
      <w:pPr>
        <w:pStyle w:val="6"/>
        <w:pageBreakBefore w:val="0"/>
        <w:kinsoku/>
        <w:overflowPunct/>
        <w:topLinePunct w:val="0"/>
        <w:bidi w:val="0"/>
        <w:snapToGrid/>
        <w:spacing w:line="360" w:lineRule="auto"/>
        <w:rPr>
          <w:rFonts w:hint="eastAsia" w:ascii="宋体" w:hAnsi="宋体" w:eastAsia="宋体" w:cs="宋体"/>
          <w:color w:val="auto"/>
          <w:highlight w:val="none"/>
          <w:lang w:eastAsia="zh-CN"/>
        </w:rPr>
      </w:pPr>
      <w:bookmarkStart w:id="90" w:name="_Toc4140"/>
      <w:bookmarkStart w:id="91" w:name="_Toc2012"/>
      <w:r>
        <w:rPr>
          <w:rFonts w:hint="eastAsia" w:ascii="宋体" w:hAnsi="宋体" w:eastAsia="宋体" w:cs="宋体"/>
          <w:color w:val="auto"/>
          <w:highlight w:val="none"/>
        </w:rPr>
        <w:t>7.2 确定预成交</w:t>
      </w:r>
      <w:bookmarkEnd w:id="90"/>
      <w:r>
        <w:rPr>
          <w:rFonts w:hint="eastAsia" w:ascii="宋体" w:hAnsi="宋体" w:eastAsia="宋体" w:cs="宋体"/>
          <w:color w:val="auto"/>
          <w:highlight w:val="none"/>
          <w:lang w:eastAsia="zh-CN"/>
        </w:rPr>
        <w:t>询比响应人</w:t>
      </w:r>
      <w:bookmarkEnd w:id="91"/>
    </w:p>
    <w:p>
      <w:pPr>
        <w:pStyle w:val="16"/>
        <w:pageBreakBefore w:val="0"/>
        <w:widowControl/>
        <w:kinsoku/>
        <w:overflowPunct/>
        <w:topLinePunct w:val="0"/>
        <w:bidi w:val="0"/>
        <w:snapToGrid/>
        <w:spacing w:beforeAutospacing="0" w:afterAutospacing="0" w:line="360" w:lineRule="auto"/>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lang w:eastAsia="zh-CN"/>
        </w:rPr>
        <w:t>招标</w:t>
      </w:r>
      <w:r>
        <w:rPr>
          <w:rFonts w:hint="eastAsia" w:ascii="宋体" w:hAnsi="宋体" w:eastAsia="宋体" w:cs="宋体"/>
          <w:color w:val="auto"/>
          <w:highlight w:val="none"/>
        </w:rPr>
        <w:t>人将根据评审报告及核查结果（如有），对候选成交</w:t>
      </w:r>
      <w:r>
        <w:rPr>
          <w:rFonts w:hint="eastAsia" w:ascii="宋体" w:hAnsi="宋体" w:eastAsia="宋体" w:cs="宋体"/>
          <w:color w:val="auto"/>
          <w:highlight w:val="none"/>
          <w:lang w:eastAsia="zh-CN"/>
        </w:rPr>
        <w:t>询比响应人</w:t>
      </w:r>
      <w:r>
        <w:rPr>
          <w:rFonts w:hint="eastAsia" w:ascii="宋体" w:hAnsi="宋体" w:eastAsia="宋体" w:cs="宋体"/>
          <w:color w:val="auto"/>
          <w:highlight w:val="none"/>
        </w:rPr>
        <w:t>综合评估后从中选择确定预成交</w:t>
      </w:r>
      <w:r>
        <w:rPr>
          <w:rFonts w:hint="eastAsia" w:ascii="宋体" w:hAnsi="宋体" w:eastAsia="宋体" w:cs="宋体"/>
          <w:color w:val="auto"/>
          <w:highlight w:val="none"/>
          <w:lang w:eastAsia="zh-CN"/>
        </w:rPr>
        <w:t>询比响应人</w:t>
      </w:r>
      <w:r>
        <w:rPr>
          <w:rFonts w:hint="eastAsia" w:ascii="宋体" w:hAnsi="宋体" w:eastAsia="宋体" w:cs="宋体"/>
          <w:color w:val="auto"/>
          <w:highlight w:val="none"/>
        </w:rPr>
        <w:t>。</w:t>
      </w:r>
    </w:p>
    <w:p>
      <w:pPr>
        <w:pStyle w:val="6"/>
        <w:pageBreakBefore w:val="0"/>
        <w:kinsoku/>
        <w:overflowPunct/>
        <w:topLinePunct w:val="0"/>
        <w:bidi w:val="0"/>
        <w:snapToGrid/>
        <w:spacing w:line="360" w:lineRule="auto"/>
        <w:rPr>
          <w:rFonts w:hint="eastAsia" w:ascii="宋体" w:hAnsi="宋体" w:eastAsia="宋体" w:cs="宋体"/>
          <w:color w:val="auto"/>
          <w:highlight w:val="none"/>
        </w:rPr>
      </w:pPr>
      <w:bookmarkStart w:id="92" w:name="_Toc23594"/>
      <w:bookmarkStart w:id="93" w:name="_Toc3128"/>
      <w:r>
        <w:rPr>
          <w:rFonts w:hint="eastAsia" w:ascii="宋体" w:hAnsi="宋体" w:eastAsia="宋体" w:cs="宋体"/>
          <w:color w:val="auto"/>
          <w:highlight w:val="none"/>
        </w:rPr>
        <w:t>7.3 预成交结果公示</w:t>
      </w:r>
      <w:bookmarkEnd w:id="92"/>
      <w:bookmarkEnd w:id="93"/>
    </w:p>
    <w:p>
      <w:pPr>
        <w:pStyle w:val="16"/>
        <w:pageBreakBefore w:val="0"/>
        <w:widowControl/>
        <w:kinsoku/>
        <w:overflowPunct/>
        <w:topLinePunct w:val="0"/>
        <w:bidi w:val="0"/>
        <w:snapToGrid/>
        <w:spacing w:beforeAutospacing="0" w:afterAutospacing="0" w:line="360" w:lineRule="auto"/>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预成交</w:t>
      </w:r>
      <w:r>
        <w:rPr>
          <w:rFonts w:hint="eastAsia" w:ascii="宋体" w:hAnsi="宋体" w:eastAsia="宋体" w:cs="宋体"/>
          <w:color w:val="auto"/>
          <w:highlight w:val="none"/>
          <w:lang w:eastAsia="zh-CN"/>
        </w:rPr>
        <w:t>询比响应人</w:t>
      </w:r>
      <w:r>
        <w:rPr>
          <w:rFonts w:hint="eastAsia" w:ascii="宋体" w:hAnsi="宋体" w:eastAsia="宋体" w:cs="宋体"/>
          <w:color w:val="auto"/>
          <w:highlight w:val="none"/>
        </w:rPr>
        <w:t>选定后，</w:t>
      </w:r>
      <w:r>
        <w:rPr>
          <w:rFonts w:hint="eastAsia" w:ascii="宋体" w:hAnsi="宋体" w:eastAsia="宋体" w:cs="宋体"/>
          <w:color w:val="auto"/>
          <w:highlight w:val="none"/>
          <w:lang w:eastAsia="zh-CN"/>
        </w:rPr>
        <w:t>招标人</w:t>
      </w:r>
      <w:r>
        <w:rPr>
          <w:rFonts w:hint="eastAsia" w:ascii="宋体" w:hAnsi="宋体" w:eastAsia="宋体" w:cs="宋体"/>
          <w:color w:val="auto"/>
          <w:highlight w:val="none"/>
        </w:rPr>
        <w:t>将按照</w:t>
      </w:r>
      <w:r>
        <w:rPr>
          <w:rFonts w:hint="eastAsia" w:ascii="宋体" w:hAnsi="宋体" w:eastAsia="宋体" w:cs="宋体"/>
          <w:color w:val="auto"/>
          <w:highlight w:val="none"/>
          <w:lang w:eastAsia="zh-CN"/>
        </w:rPr>
        <w:t>询比响应人</w:t>
      </w:r>
      <w:r>
        <w:rPr>
          <w:rFonts w:hint="eastAsia" w:ascii="宋体" w:hAnsi="宋体" w:eastAsia="宋体" w:cs="宋体"/>
          <w:color w:val="auto"/>
          <w:highlight w:val="none"/>
        </w:rPr>
        <w:t>须知前附表规定的公示媒介和公示期限进行公示，公示信息包括如下内容∶</w:t>
      </w:r>
    </w:p>
    <w:p>
      <w:pPr>
        <w:pStyle w:val="16"/>
        <w:pageBreakBefore w:val="0"/>
        <w:widowControl/>
        <w:kinsoku/>
        <w:overflowPunct/>
        <w:topLinePunct w:val="0"/>
        <w:bidi w:val="0"/>
        <w:snapToGrid/>
        <w:spacing w:beforeAutospacing="0" w:afterAutospacing="0" w:line="360" w:lineRule="auto"/>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（1）所有候选成交</w:t>
      </w:r>
      <w:r>
        <w:rPr>
          <w:rFonts w:hint="eastAsia" w:ascii="宋体" w:hAnsi="宋体" w:eastAsia="宋体" w:cs="宋体"/>
          <w:color w:val="auto"/>
          <w:highlight w:val="none"/>
          <w:lang w:eastAsia="zh-CN"/>
        </w:rPr>
        <w:t>询比响应人</w:t>
      </w:r>
      <w:r>
        <w:rPr>
          <w:rFonts w:hint="eastAsia" w:ascii="宋体" w:hAnsi="宋体" w:eastAsia="宋体" w:cs="宋体"/>
          <w:color w:val="auto"/>
          <w:highlight w:val="none"/>
        </w:rPr>
        <w:t>名称、响应价格及工期/交货期/服务期限;</w:t>
      </w:r>
    </w:p>
    <w:p>
      <w:pPr>
        <w:pStyle w:val="16"/>
        <w:pageBreakBefore w:val="0"/>
        <w:widowControl/>
        <w:kinsoku/>
        <w:overflowPunct/>
        <w:topLinePunct w:val="0"/>
        <w:bidi w:val="0"/>
        <w:snapToGrid/>
        <w:spacing w:beforeAutospacing="0" w:afterAutospacing="0" w:line="360" w:lineRule="auto"/>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（2）预成交</w:t>
      </w:r>
      <w:r>
        <w:rPr>
          <w:rFonts w:hint="eastAsia" w:ascii="宋体" w:hAnsi="宋体" w:eastAsia="宋体" w:cs="宋体"/>
          <w:color w:val="auto"/>
          <w:highlight w:val="none"/>
          <w:lang w:eastAsia="zh-CN"/>
        </w:rPr>
        <w:t>询比响应人</w:t>
      </w:r>
      <w:r>
        <w:rPr>
          <w:rFonts w:hint="eastAsia" w:ascii="宋体" w:hAnsi="宋体" w:eastAsia="宋体" w:cs="宋体"/>
          <w:color w:val="auto"/>
          <w:highlight w:val="none"/>
        </w:rPr>
        <w:t>名称、预成交份额（如有）及选择原因;</w:t>
      </w:r>
    </w:p>
    <w:p>
      <w:pPr>
        <w:pStyle w:val="16"/>
        <w:pageBreakBefore w:val="0"/>
        <w:widowControl/>
        <w:kinsoku/>
        <w:overflowPunct/>
        <w:topLinePunct w:val="0"/>
        <w:bidi w:val="0"/>
        <w:snapToGrid/>
        <w:spacing w:beforeAutospacing="0" w:afterAutospacing="0" w:line="360" w:lineRule="auto"/>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（3）</w:t>
      </w:r>
      <w:r>
        <w:rPr>
          <w:rFonts w:hint="eastAsia" w:ascii="宋体" w:hAnsi="宋体" w:eastAsia="宋体" w:cs="宋体"/>
          <w:color w:val="auto"/>
          <w:highlight w:val="none"/>
          <w:lang w:eastAsia="zh-CN"/>
        </w:rPr>
        <w:t>询比响应人</w:t>
      </w:r>
      <w:r>
        <w:rPr>
          <w:rFonts w:hint="eastAsia" w:ascii="宋体" w:hAnsi="宋体" w:eastAsia="宋体" w:cs="宋体"/>
          <w:color w:val="auto"/>
          <w:highlight w:val="none"/>
        </w:rPr>
        <w:t>须知前附表规定的其他内容。</w:t>
      </w:r>
    </w:p>
    <w:p>
      <w:pPr>
        <w:pStyle w:val="6"/>
        <w:pageBreakBefore w:val="0"/>
        <w:kinsoku/>
        <w:overflowPunct/>
        <w:topLinePunct w:val="0"/>
        <w:bidi w:val="0"/>
        <w:snapToGrid/>
        <w:spacing w:line="360" w:lineRule="auto"/>
        <w:rPr>
          <w:rFonts w:hint="eastAsia" w:ascii="宋体" w:hAnsi="宋体" w:eastAsia="宋体" w:cs="宋体"/>
          <w:color w:val="auto"/>
          <w:highlight w:val="none"/>
        </w:rPr>
      </w:pPr>
      <w:bookmarkStart w:id="94" w:name="_Toc22029"/>
      <w:bookmarkStart w:id="95" w:name="_Toc25932"/>
      <w:r>
        <w:rPr>
          <w:rFonts w:hint="eastAsia" w:ascii="宋体" w:hAnsi="宋体" w:eastAsia="宋体" w:cs="宋体"/>
          <w:color w:val="auto"/>
          <w:highlight w:val="none"/>
        </w:rPr>
        <w:t>7.4 发出成交通知书</w:t>
      </w:r>
      <w:bookmarkEnd w:id="94"/>
      <w:bookmarkEnd w:id="95"/>
    </w:p>
    <w:p>
      <w:pPr>
        <w:pStyle w:val="16"/>
        <w:pageBreakBefore w:val="0"/>
        <w:widowControl/>
        <w:kinsoku/>
        <w:overflowPunct/>
        <w:topLinePunct w:val="0"/>
        <w:bidi w:val="0"/>
        <w:snapToGrid/>
        <w:spacing w:beforeAutospacing="0" w:afterAutospacing="0" w:line="360" w:lineRule="auto"/>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公示期结束后，在本章第3.3款规定的响应文件有效期内，</w:t>
      </w:r>
      <w:r>
        <w:rPr>
          <w:rFonts w:hint="eastAsia" w:ascii="宋体" w:hAnsi="宋体" w:eastAsia="宋体" w:cs="宋体"/>
          <w:color w:val="auto"/>
          <w:highlight w:val="none"/>
          <w:lang w:eastAsia="zh-CN"/>
        </w:rPr>
        <w:t>招标人</w:t>
      </w:r>
      <w:r>
        <w:rPr>
          <w:rFonts w:hint="eastAsia" w:ascii="宋体" w:hAnsi="宋体" w:eastAsia="宋体" w:cs="宋体"/>
          <w:color w:val="auto"/>
          <w:highlight w:val="none"/>
        </w:rPr>
        <w:t>以书面形式向预成交</w:t>
      </w:r>
      <w:r>
        <w:rPr>
          <w:rFonts w:hint="eastAsia" w:ascii="宋体" w:hAnsi="宋体" w:eastAsia="宋体" w:cs="宋体"/>
          <w:color w:val="auto"/>
          <w:highlight w:val="none"/>
          <w:lang w:eastAsia="zh-CN"/>
        </w:rPr>
        <w:t>询比响应人</w:t>
      </w:r>
      <w:r>
        <w:rPr>
          <w:rFonts w:hint="eastAsia" w:ascii="宋体" w:hAnsi="宋体" w:eastAsia="宋体" w:cs="宋体"/>
          <w:color w:val="auto"/>
          <w:highlight w:val="none"/>
        </w:rPr>
        <w:t>发出成交通知书。</w:t>
      </w:r>
    </w:p>
    <w:p>
      <w:pPr>
        <w:pStyle w:val="6"/>
        <w:pageBreakBefore w:val="0"/>
        <w:kinsoku/>
        <w:overflowPunct/>
        <w:topLinePunct w:val="0"/>
        <w:bidi w:val="0"/>
        <w:snapToGrid/>
        <w:spacing w:line="360" w:lineRule="auto"/>
        <w:rPr>
          <w:rFonts w:hint="eastAsia" w:ascii="宋体" w:hAnsi="宋体" w:eastAsia="宋体" w:cs="宋体"/>
          <w:color w:val="auto"/>
          <w:highlight w:val="none"/>
        </w:rPr>
      </w:pPr>
      <w:bookmarkStart w:id="96" w:name="_Toc10623"/>
      <w:bookmarkStart w:id="97" w:name="_Toc448"/>
      <w:r>
        <w:rPr>
          <w:rFonts w:hint="eastAsia" w:ascii="宋体" w:hAnsi="宋体" w:eastAsia="宋体" w:cs="宋体"/>
          <w:color w:val="auto"/>
          <w:highlight w:val="none"/>
        </w:rPr>
        <w:t>7.5发布成交公告</w:t>
      </w:r>
      <w:bookmarkEnd w:id="96"/>
      <w:bookmarkEnd w:id="97"/>
    </w:p>
    <w:p>
      <w:pPr>
        <w:pStyle w:val="16"/>
        <w:pageBreakBefore w:val="0"/>
        <w:widowControl/>
        <w:kinsoku/>
        <w:overflowPunct/>
        <w:topLinePunct w:val="0"/>
        <w:bidi w:val="0"/>
        <w:snapToGrid/>
        <w:spacing w:beforeAutospacing="0" w:afterAutospacing="0" w:line="360" w:lineRule="auto"/>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在发出成交通知书的同时，</w:t>
      </w:r>
      <w:r>
        <w:rPr>
          <w:rFonts w:hint="eastAsia" w:ascii="宋体" w:hAnsi="宋体" w:eastAsia="宋体" w:cs="宋体"/>
          <w:color w:val="auto"/>
          <w:highlight w:val="none"/>
          <w:lang w:eastAsia="zh-CN"/>
        </w:rPr>
        <w:t>招标人</w:t>
      </w:r>
      <w:r>
        <w:rPr>
          <w:rFonts w:hint="eastAsia" w:ascii="宋体" w:hAnsi="宋体" w:eastAsia="宋体" w:cs="宋体"/>
          <w:color w:val="auto"/>
          <w:highlight w:val="none"/>
        </w:rPr>
        <w:t>将在</w:t>
      </w:r>
      <w:r>
        <w:rPr>
          <w:rFonts w:hint="eastAsia" w:ascii="宋体" w:hAnsi="宋体" w:eastAsia="宋体" w:cs="宋体"/>
          <w:color w:val="auto"/>
          <w:highlight w:val="none"/>
          <w:lang w:eastAsia="zh-CN"/>
        </w:rPr>
        <w:t>询比响应人</w:t>
      </w:r>
      <w:r>
        <w:rPr>
          <w:rFonts w:hint="eastAsia" w:ascii="宋体" w:hAnsi="宋体" w:eastAsia="宋体" w:cs="宋体"/>
          <w:color w:val="auto"/>
          <w:highlight w:val="none"/>
        </w:rPr>
        <w:t>须知前附表规定的公告媒介发布成交公告，公告信息包括成交</w:t>
      </w:r>
      <w:r>
        <w:rPr>
          <w:rFonts w:hint="eastAsia" w:ascii="宋体" w:hAnsi="宋体" w:eastAsia="宋体" w:cs="宋体"/>
          <w:color w:val="auto"/>
          <w:highlight w:val="none"/>
          <w:lang w:eastAsia="zh-CN"/>
        </w:rPr>
        <w:t>询比响应人</w:t>
      </w:r>
      <w:r>
        <w:rPr>
          <w:rFonts w:hint="eastAsia" w:ascii="宋体" w:hAnsi="宋体" w:eastAsia="宋体" w:cs="宋体"/>
          <w:color w:val="auto"/>
          <w:highlight w:val="none"/>
        </w:rPr>
        <w:t>名称、响应价格及工期/交货期/服务期限、成交份额（如有）及</w:t>
      </w:r>
      <w:r>
        <w:rPr>
          <w:rFonts w:hint="eastAsia" w:ascii="宋体" w:hAnsi="宋体" w:eastAsia="宋体" w:cs="宋体"/>
          <w:color w:val="auto"/>
          <w:highlight w:val="none"/>
          <w:lang w:eastAsia="zh-CN"/>
        </w:rPr>
        <w:t>询比响应人</w:t>
      </w:r>
      <w:r>
        <w:rPr>
          <w:rFonts w:hint="eastAsia" w:ascii="宋体" w:hAnsi="宋体" w:eastAsia="宋体" w:cs="宋体"/>
          <w:color w:val="auto"/>
          <w:highlight w:val="none"/>
        </w:rPr>
        <w:t>须知前附表规定的其他内容。</w:t>
      </w:r>
    </w:p>
    <w:p>
      <w:pPr>
        <w:pStyle w:val="6"/>
        <w:pageBreakBefore w:val="0"/>
        <w:kinsoku/>
        <w:overflowPunct/>
        <w:topLinePunct w:val="0"/>
        <w:bidi w:val="0"/>
        <w:snapToGrid/>
        <w:spacing w:line="360" w:lineRule="auto"/>
        <w:rPr>
          <w:rFonts w:hint="eastAsia" w:ascii="宋体" w:hAnsi="宋体" w:eastAsia="宋体" w:cs="宋体"/>
          <w:color w:val="auto"/>
          <w:highlight w:val="none"/>
        </w:rPr>
      </w:pPr>
      <w:bookmarkStart w:id="98" w:name="_Toc2380"/>
      <w:bookmarkStart w:id="99" w:name="_Toc31046"/>
      <w:r>
        <w:rPr>
          <w:rFonts w:hint="eastAsia" w:ascii="宋体" w:hAnsi="宋体" w:eastAsia="宋体" w:cs="宋体"/>
          <w:color w:val="auto"/>
          <w:highlight w:val="none"/>
        </w:rPr>
        <w:t>7.6 履约保证金</w:t>
      </w:r>
      <w:bookmarkEnd w:id="98"/>
      <w:bookmarkEnd w:id="99"/>
    </w:p>
    <w:p>
      <w:pPr>
        <w:pStyle w:val="16"/>
        <w:pageBreakBefore w:val="0"/>
        <w:widowControl/>
        <w:kinsoku/>
        <w:overflowPunct/>
        <w:topLinePunct w:val="0"/>
        <w:bidi w:val="0"/>
        <w:snapToGrid/>
        <w:spacing w:beforeAutospacing="0" w:afterAutospacing="0" w:line="360" w:lineRule="auto"/>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lang w:eastAsia="zh-CN"/>
        </w:rPr>
        <w:t>询比响应人</w:t>
      </w:r>
      <w:r>
        <w:rPr>
          <w:rFonts w:hint="eastAsia" w:ascii="宋体" w:hAnsi="宋体" w:eastAsia="宋体" w:cs="宋体"/>
          <w:color w:val="auto"/>
          <w:highlight w:val="none"/>
        </w:rPr>
        <w:t>须知前附表规定递交履约保证金的，成交</w:t>
      </w:r>
      <w:r>
        <w:rPr>
          <w:rFonts w:hint="eastAsia" w:ascii="宋体" w:hAnsi="宋体" w:eastAsia="宋体" w:cs="宋体"/>
          <w:color w:val="auto"/>
          <w:highlight w:val="none"/>
          <w:lang w:eastAsia="zh-CN"/>
        </w:rPr>
        <w:t>询比响应人</w:t>
      </w:r>
      <w:r>
        <w:rPr>
          <w:rFonts w:hint="eastAsia" w:ascii="宋体" w:hAnsi="宋体" w:eastAsia="宋体" w:cs="宋体"/>
          <w:color w:val="auto"/>
          <w:highlight w:val="none"/>
        </w:rPr>
        <w:t>应按</w:t>
      </w:r>
      <w:r>
        <w:rPr>
          <w:rFonts w:hint="eastAsia" w:ascii="宋体" w:hAnsi="宋体" w:eastAsia="宋体" w:cs="宋体"/>
          <w:color w:val="auto"/>
          <w:highlight w:val="none"/>
          <w:lang w:eastAsia="zh-CN"/>
        </w:rPr>
        <w:t>询比响应人</w:t>
      </w:r>
      <w:r>
        <w:rPr>
          <w:rFonts w:hint="eastAsia" w:ascii="宋体" w:hAnsi="宋体" w:eastAsia="宋体" w:cs="宋体"/>
          <w:color w:val="auto"/>
          <w:highlight w:val="none"/>
        </w:rPr>
        <w:t>须知前附表规定的形式、有效期限和递交时间向</w:t>
      </w:r>
      <w:r>
        <w:rPr>
          <w:rFonts w:hint="eastAsia" w:ascii="宋体" w:hAnsi="宋体" w:eastAsia="宋体" w:cs="宋体"/>
          <w:color w:val="auto"/>
          <w:highlight w:val="none"/>
          <w:lang w:eastAsia="zh-CN"/>
        </w:rPr>
        <w:t>招标人</w:t>
      </w:r>
      <w:r>
        <w:rPr>
          <w:rFonts w:hint="eastAsia" w:ascii="宋体" w:hAnsi="宋体" w:eastAsia="宋体" w:cs="宋体"/>
          <w:color w:val="auto"/>
          <w:highlight w:val="none"/>
        </w:rPr>
        <w:t>递交履约保证金。除</w:t>
      </w:r>
      <w:r>
        <w:rPr>
          <w:rFonts w:hint="eastAsia" w:ascii="宋体" w:hAnsi="宋体" w:eastAsia="宋体" w:cs="宋体"/>
          <w:color w:val="auto"/>
          <w:highlight w:val="none"/>
          <w:lang w:eastAsia="zh-CN"/>
        </w:rPr>
        <w:t>询比响应人</w:t>
      </w:r>
      <w:r>
        <w:rPr>
          <w:rFonts w:hint="eastAsia" w:ascii="宋体" w:hAnsi="宋体" w:eastAsia="宋体" w:cs="宋体"/>
          <w:color w:val="auto"/>
          <w:highlight w:val="none"/>
        </w:rPr>
        <w:t>须知前附表另有规定外，履约保证金为采购合同金额的5%。</w:t>
      </w:r>
    </w:p>
    <w:p>
      <w:pPr>
        <w:pStyle w:val="6"/>
        <w:pageBreakBefore w:val="0"/>
        <w:kinsoku/>
        <w:overflowPunct/>
        <w:topLinePunct w:val="0"/>
        <w:bidi w:val="0"/>
        <w:snapToGrid/>
        <w:spacing w:line="360" w:lineRule="auto"/>
        <w:rPr>
          <w:rFonts w:hint="eastAsia" w:ascii="宋体" w:hAnsi="宋体" w:eastAsia="宋体" w:cs="宋体"/>
          <w:color w:val="auto"/>
          <w:highlight w:val="none"/>
        </w:rPr>
      </w:pPr>
      <w:bookmarkStart w:id="100" w:name="_Toc8259"/>
      <w:bookmarkStart w:id="101" w:name="_Toc17191"/>
      <w:r>
        <w:rPr>
          <w:rFonts w:hint="eastAsia" w:ascii="宋体" w:hAnsi="宋体" w:eastAsia="宋体" w:cs="宋体"/>
          <w:color w:val="auto"/>
          <w:highlight w:val="none"/>
        </w:rPr>
        <w:t>7.7签订合同</w:t>
      </w:r>
      <w:bookmarkEnd w:id="100"/>
      <w:bookmarkEnd w:id="101"/>
    </w:p>
    <w:p>
      <w:pPr>
        <w:pStyle w:val="16"/>
        <w:pageBreakBefore w:val="0"/>
        <w:widowControl/>
        <w:kinsoku/>
        <w:overflowPunct/>
        <w:topLinePunct w:val="0"/>
        <w:bidi w:val="0"/>
        <w:snapToGrid/>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7.7.1 </w:t>
      </w:r>
      <w:r>
        <w:rPr>
          <w:rFonts w:hint="eastAsia" w:ascii="宋体" w:hAnsi="宋体" w:eastAsia="宋体" w:cs="宋体"/>
          <w:color w:val="auto"/>
          <w:spacing w:val="-6"/>
          <w:highlight w:val="none"/>
          <w:lang w:eastAsia="zh-CN"/>
        </w:rPr>
        <w:t>招标人</w:t>
      </w:r>
      <w:r>
        <w:rPr>
          <w:rFonts w:hint="eastAsia" w:ascii="宋体" w:hAnsi="宋体" w:eastAsia="宋体" w:cs="宋体"/>
          <w:color w:val="auto"/>
          <w:spacing w:val="-6"/>
          <w:highlight w:val="none"/>
        </w:rPr>
        <w:t>和成交</w:t>
      </w:r>
      <w:r>
        <w:rPr>
          <w:rFonts w:hint="eastAsia" w:ascii="宋体" w:hAnsi="宋体" w:eastAsia="宋体" w:cs="宋体"/>
          <w:color w:val="auto"/>
          <w:spacing w:val="-6"/>
          <w:highlight w:val="none"/>
          <w:lang w:eastAsia="zh-CN"/>
        </w:rPr>
        <w:t>询比响应人</w:t>
      </w:r>
      <w:r>
        <w:rPr>
          <w:rFonts w:hint="eastAsia" w:ascii="宋体" w:hAnsi="宋体" w:eastAsia="宋体" w:cs="宋体"/>
          <w:color w:val="auto"/>
          <w:spacing w:val="-6"/>
          <w:highlight w:val="none"/>
        </w:rPr>
        <w:t>应当在成交通知书规定的期限内，根据采购文件和成交</w:t>
      </w:r>
      <w:r>
        <w:rPr>
          <w:rFonts w:hint="eastAsia" w:ascii="宋体" w:hAnsi="宋体" w:eastAsia="宋体" w:cs="宋体"/>
          <w:color w:val="auto"/>
          <w:spacing w:val="-6"/>
          <w:highlight w:val="none"/>
          <w:lang w:eastAsia="zh-CN"/>
        </w:rPr>
        <w:t>询比响应人</w:t>
      </w:r>
      <w:r>
        <w:rPr>
          <w:rFonts w:hint="eastAsia" w:ascii="宋体" w:hAnsi="宋体" w:eastAsia="宋体" w:cs="宋体"/>
          <w:color w:val="auto"/>
          <w:spacing w:val="-6"/>
          <w:highlight w:val="none"/>
        </w:rPr>
        <w:t>的响应文件订立书面合同。成交</w:t>
      </w:r>
      <w:r>
        <w:rPr>
          <w:rFonts w:hint="eastAsia" w:ascii="宋体" w:hAnsi="宋体" w:eastAsia="宋体" w:cs="宋体"/>
          <w:color w:val="auto"/>
          <w:spacing w:val="-6"/>
          <w:highlight w:val="none"/>
          <w:lang w:eastAsia="zh-CN"/>
        </w:rPr>
        <w:t>询比响应人</w:t>
      </w:r>
      <w:r>
        <w:rPr>
          <w:rFonts w:hint="eastAsia" w:ascii="宋体" w:hAnsi="宋体" w:eastAsia="宋体" w:cs="宋体"/>
          <w:color w:val="auto"/>
          <w:spacing w:val="-6"/>
          <w:highlight w:val="none"/>
        </w:rPr>
        <w:t>无正当理由拒绝签订合同，在签订合同时向</w:t>
      </w:r>
      <w:r>
        <w:rPr>
          <w:rFonts w:hint="eastAsia" w:ascii="宋体" w:hAnsi="宋体" w:eastAsia="宋体" w:cs="宋体"/>
          <w:color w:val="auto"/>
          <w:spacing w:val="-6"/>
          <w:highlight w:val="none"/>
          <w:lang w:eastAsia="zh-CN"/>
        </w:rPr>
        <w:t>招标人</w:t>
      </w:r>
      <w:r>
        <w:rPr>
          <w:rFonts w:hint="eastAsia" w:ascii="宋体" w:hAnsi="宋体" w:eastAsia="宋体" w:cs="宋体"/>
          <w:color w:val="auto"/>
          <w:spacing w:val="-6"/>
          <w:highlight w:val="none"/>
        </w:rPr>
        <w:t>提出附加条件，或者不按照采购文件要求递交履约保证金的，</w:t>
      </w:r>
      <w:r>
        <w:rPr>
          <w:rFonts w:hint="eastAsia" w:ascii="宋体" w:hAnsi="宋体" w:eastAsia="宋体" w:cs="宋体"/>
          <w:color w:val="auto"/>
          <w:spacing w:val="-6"/>
          <w:highlight w:val="none"/>
          <w:lang w:eastAsia="zh-CN"/>
        </w:rPr>
        <w:t>招标人</w:t>
      </w:r>
      <w:r>
        <w:rPr>
          <w:rFonts w:hint="eastAsia" w:ascii="宋体" w:hAnsi="宋体" w:eastAsia="宋体" w:cs="宋体"/>
          <w:color w:val="auto"/>
          <w:spacing w:val="-6"/>
          <w:highlight w:val="none"/>
        </w:rPr>
        <w:t>取</w:t>
      </w:r>
      <w:r>
        <w:rPr>
          <w:rFonts w:hint="eastAsia" w:ascii="宋体" w:hAnsi="宋体" w:eastAsia="宋体" w:cs="宋体"/>
          <w:color w:val="auto"/>
          <w:spacing w:val="-11"/>
          <w:highlight w:val="none"/>
        </w:rPr>
        <w:t>消其成交资格，其响应保证金不予退还;给</w:t>
      </w:r>
      <w:r>
        <w:rPr>
          <w:rFonts w:hint="eastAsia" w:ascii="宋体" w:hAnsi="宋体" w:eastAsia="宋体" w:cs="宋体"/>
          <w:color w:val="auto"/>
          <w:spacing w:val="-11"/>
          <w:highlight w:val="none"/>
          <w:lang w:eastAsia="zh-CN"/>
        </w:rPr>
        <w:t>招标人</w:t>
      </w:r>
      <w:r>
        <w:rPr>
          <w:rFonts w:hint="eastAsia" w:ascii="宋体" w:hAnsi="宋体" w:eastAsia="宋体" w:cs="宋体"/>
          <w:color w:val="auto"/>
          <w:spacing w:val="-11"/>
          <w:highlight w:val="none"/>
        </w:rPr>
        <w:t>造成的损失超过响应保证金数额的，成</w:t>
      </w:r>
    </w:p>
    <w:p>
      <w:pPr>
        <w:pStyle w:val="16"/>
        <w:pageBreakBefore w:val="0"/>
        <w:widowControl/>
        <w:kinsoku/>
        <w:overflowPunct/>
        <w:topLinePunct w:val="0"/>
        <w:bidi w:val="0"/>
        <w:snapToGrid/>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交</w:t>
      </w:r>
      <w:r>
        <w:rPr>
          <w:rFonts w:hint="eastAsia" w:ascii="宋体" w:hAnsi="宋体" w:eastAsia="宋体" w:cs="宋体"/>
          <w:color w:val="auto"/>
          <w:highlight w:val="none"/>
          <w:lang w:eastAsia="zh-CN"/>
        </w:rPr>
        <w:t>询比响应人</w:t>
      </w:r>
      <w:r>
        <w:rPr>
          <w:rFonts w:hint="eastAsia" w:ascii="宋体" w:hAnsi="宋体" w:eastAsia="宋体" w:cs="宋体"/>
          <w:color w:val="auto"/>
          <w:highlight w:val="none"/>
        </w:rPr>
        <w:t>还应当对超过部分予以赔偿。</w:t>
      </w:r>
    </w:p>
    <w:p>
      <w:pPr>
        <w:pStyle w:val="16"/>
        <w:pageBreakBefore w:val="0"/>
        <w:widowControl/>
        <w:kinsoku/>
        <w:overflowPunct/>
        <w:topLinePunct w:val="0"/>
        <w:bidi w:val="0"/>
        <w:snapToGrid/>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7.7.2 发出成交通知书后，</w:t>
      </w:r>
      <w:r>
        <w:rPr>
          <w:rFonts w:hint="eastAsia" w:ascii="宋体" w:hAnsi="宋体" w:eastAsia="宋体" w:cs="宋体"/>
          <w:color w:val="auto"/>
          <w:highlight w:val="none"/>
          <w:lang w:eastAsia="zh-CN"/>
        </w:rPr>
        <w:t>招标人</w:t>
      </w:r>
      <w:r>
        <w:rPr>
          <w:rFonts w:hint="eastAsia" w:ascii="宋体" w:hAnsi="宋体" w:eastAsia="宋体" w:cs="宋体"/>
          <w:color w:val="auto"/>
          <w:highlight w:val="none"/>
        </w:rPr>
        <w:t>无正当理由拒绝签订合同，或者在签订合同时向成交</w:t>
      </w:r>
      <w:r>
        <w:rPr>
          <w:rFonts w:hint="eastAsia" w:ascii="宋体" w:hAnsi="宋体" w:eastAsia="宋体" w:cs="宋体"/>
          <w:color w:val="auto"/>
          <w:highlight w:val="none"/>
          <w:lang w:eastAsia="zh-CN"/>
        </w:rPr>
        <w:t>询比响应人</w:t>
      </w:r>
      <w:r>
        <w:rPr>
          <w:rFonts w:hint="eastAsia" w:ascii="宋体" w:hAnsi="宋体" w:eastAsia="宋体" w:cs="宋体"/>
          <w:color w:val="auto"/>
          <w:highlight w:val="none"/>
        </w:rPr>
        <w:t>提出附加条件的，</w:t>
      </w:r>
      <w:r>
        <w:rPr>
          <w:rFonts w:hint="eastAsia" w:ascii="宋体" w:hAnsi="宋体" w:eastAsia="宋体" w:cs="宋体"/>
          <w:color w:val="auto"/>
          <w:highlight w:val="none"/>
          <w:lang w:eastAsia="zh-CN"/>
        </w:rPr>
        <w:t>招标人</w:t>
      </w:r>
      <w:r>
        <w:rPr>
          <w:rFonts w:hint="eastAsia" w:ascii="宋体" w:hAnsi="宋体" w:eastAsia="宋体" w:cs="宋体"/>
          <w:color w:val="auto"/>
          <w:highlight w:val="none"/>
        </w:rPr>
        <w:t>向成交</w:t>
      </w:r>
      <w:r>
        <w:rPr>
          <w:rFonts w:hint="eastAsia" w:ascii="宋体" w:hAnsi="宋体" w:eastAsia="宋体" w:cs="宋体"/>
          <w:color w:val="auto"/>
          <w:highlight w:val="none"/>
          <w:lang w:eastAsia="zh-CN"/>
        </w:rPr>
        <w:t>询比响应人</w:t>
      </w:r>
      <w:r>
        <w:rPr>
          <w:rFonts w:hint="eastAsia" w:ascii="宋体" w:hAnsi="宋体" w:eastAsia="宋体" w:cs="宋体"/>
          <w:color w:val="auto"/>
          <w:highlight w:val="none"/>
        </w:rPr>
        <w:t>退还响应保证金;给成交</w:t>
      </w:r>
      <w:r>
        <w:rPr>
          <w:rFonts w:hint="eastAsia" w:ascii="宋体" w:hAnsi="宋体" w:eastAsia="宋体" w:cs="宋体"/>
          <w:color w:val="auto"/>
          <w:highlight w:val="none"/>
          <w:lang w:eastAsia="zh-CN"/>
        </w:rPr>
        <w:t>询比响应人</w:t>
      </w:r>
      <w:r>
        <w:rPr>
          <w:rFonts w:hint="eastAsia" w:ascii="宋体" w:hAnsi="宋体" w:eastAsia="宋体" w:cs="宋体"/>
          <w:color w:val="auto"/>
          <w:highlight w:val="none"/>
        </w:rPr>
        <w:t>造成损失的，还应当赔偿损失。</w:t>
      </w:r>
    </w:p>
    <w:p>
      <w:pPr>
        <w:pStyle w:val="16"/>
        <w:pageBreakBefore w:val="0"/>
        <w:widowControl/>
        <w:kinsoku/>
        <w:overflowPunct/>
        <w:topLinePunct w:val="0"/>
        <w:bidi w:val="0"/>
        <w:snapToGrid/>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7.7.3 联合体成交的，联合体各方应当共同与</w:t>
      </w:r>
      <w:r>
        <w:rPr>
          <w:rFonts w:hint="eastAsia" w:ascii="宋体" w:hAnsi="宋体" w:eastAsia="宋体" w:cs="宋体"/>
          <w:color w:val="auto"/>
          <w:highlight w:val="none"/>
          <w:lang w:eastAsia="zh-CN"/>
        </w:rPr>
        <w:t>招标人</w:t>
      </w:r>
      <w:r>
        <w:rPr>
          <w:rFonts w:hint="eastAsia" w:ascii="宋体" w:hAnsi="宋体" w:eastAsia="宋体" w:cs="宋体"/>
          <w:color w:val="auto"/>
          <w:highlight w:val="none"/>
        </w:rPr>
        <w:t>签订合同，就成交项目向</w:t>
      </w:r>
      <w:r>
        <w:rPr>
          <w:rFonts w:hint="eastAsia" w:ascii="宋体" w:hAnsi="宋体" w:eastAsia="宋体" w:cs="宋体"/>
          <w:color w:val="auto"/>
          <w:highlight w:val="none"/>
          <w:lang w:eastAsia="zh-CN"/>
        </w:rPr>
        <w:t>招标人</w:t>
      </w:r>
      <w:r>
        <w:rPr>
          <w:rFonts w:hint="eastAsia" w:ascii="宋体" w:hAnsi="宋体" w:eastAsia="宋体" w:cs="宋体"/>
          <w:color w:val="auto"/>
          <w:highlight w:val="none"/>
        </w:rPr>
        <w:t>承担连带责任。</w:t>
      </w:r>
    </w:p>
    <w:p>
      <w:pPr>
        <w:pStyle w:val="16"/>
        <w:pageBreakBefore w:val="0"/>
        <w:widowControl/>
        <w:kinsoku/>
        <w:overflowPunct/>
        <w:topLinePunct w:val="0"/>
        <w:bidi w:val="0"/>
        <w:snapToGrid/>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7.7.4 除</w:t>
      </w:r>
      <w:r>
        <w:rPr>
          <w:rFonts w:hint="eastAsia" w:ascii="宋体" w:hAnsi="宋体" w:eastAsia="宋体" w:cs="宋体"/>
          <w:color w:val="auto"/>
          <w:highlight w:val="none"/>
          <w:lang w:eastAsia="zh-CN"/>
        </w:rPr>
        <w:t>询比响应人</w:t>
      </w:r>
      <w:r>
        <w:rPr>
          <w:rFonts w:hint="eastAsia" w:ascii="宋体" w:hAnsi="宋体" w:eastAsia="宋体" w:cs="宋体"/>
          <w:color w:val="auto"/>
          <w:highlight w:val="none"/>
        </w:rPr>
        <w:t>须知前附表另有规定外，按照第三章"评审办法"第2.2.3项规定对最终报价进行修正后，若修正后的最终报价小于按照第三章"评审办法"第2.2.2项规定确定的评审价格，则签订合同时以修正后的最终报价为准;若修正后的响应报价大于评审价格，则签订合同时以评审价格为准，同时按比例修正相应子目的单价或合价（采购文件不允许调整的费率和金额除外）。</w:t>
      </w:r>
    </w:p>
    <w:p>
      <w:pPr>
        <w:pStyle w:val="6"/>
        <w:pageBreakBefore w:val="0"/>
        <w:kinsoku/>
        <w:overflowPunct/>
        <w:topLinePunct w:val="0"/>
        <w:bidi w:val="0"/>
        <w:snapToGrid/>
        <w:spacing w:line="360" w:lineRule="auto"/>
        <w:rPr>
          <w:rFonts w:hint="eastAsia" w:ascii="宋体" w:hAnsi="宋体" w:eastAsia="宋体" w:cs="宋体"/>
          <w:color w:val="auto"/>
          <w:highlight w:val="none"/>
        </w:rPr>
      </w:pPr>
      <w:bookmarkStart w:id="102" w:name="_Toc19026"/>
      <w:bookmarkStart w:id="103" w:name="_Toc11905"/>
      <w:r>
        <w:rPr>
          <w:rFonts w:hint="eastAsia" w:ascii="宋体" w:hAnsi="宋体" w:eastAsia="宋体" w:cs="宋体"/>
          <w:color w:val="auto"/>
          <w:highlight w:val="none"/>
        </w:rPr>
        <w:t>7.8 特殊情形处理</w:t>
      </w:r>
      <w:bookmarkEnd w:id="102"/>
      <w:bookmarkEnd w:id="103"/>
    </w:p>
    <w:p>
      <w:pPr>
        <w:pStyle w:val="16"/>
        <w:pageBreakBefore w:val="0"/>
        <w:widowControl/>
        <w:kinsoku/>
        <w:overflowPunct/>
        <w:topLinePunct w:val="0"/>
        <w:bidi w:val="0"/>
        <w:snapToGrid/>
        <w:spacing w:beforeAutospacing="0" w:afterAutospacing="0" w:line="360" w:lineRule="auto"/>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因</w:t>
      </w:r>
      <w:r>
        <w:rPr>
          <w:rFonts w:hint="eastAsia" w:ascii="宋体" w:hAnsi="宋体" w:eastAsia="宋体" w:cs="宋体"/>
          <w:color w:val="auto"/>
          <w:highlight w:val="none"/>
          <w:lang w:eastAsia="zh-CN"/>
        </w:rPr>
        <w:t>询比响应人</w:t>
      </w:r>
      <w:r>
        <w:rPr>
          <w:rFonts w:hint="eastAsia" w:ascii="宋体" w:hAnsi="宋体" w:eastAsia="宋体" w:cs="宋体"/>
          <w:color w:val="auto"/>
          <w:highlight w:val="none"/>
        </w:rPr>
        <w:t>对预成交结果提出异议、成交</w:t>
      </w:r>
      <w:r>
        <w:rPr>
          <w:rFonts w:hint="eastAsia" w:ascii="宋体" w:hAnsi="宋体" w:eastAsia="宋体" w:cs="宋体"/>
          <w:color w:val="auto"/>
          <w:highlight w:val="none"/>
          <w:lang w:eastAsia="zh-CN"/>
        </w:rPr>
        <w:t>询比响应人</w:t>
      </w:r>
      <w:r>
        <w:rPr>
          <w:rFonts w:hint="eastAsia" w:ascii="宋体" w:hAnsi="宋体" w:eastAsia="宋体" w:cs="宋体"/>
          <w:color w:val="auto"/>
          <w:highlight w:val="none"/>
        </w:rPr>
        <w:t>无正当理由拒绝签订合同、成交</w:t>
      </w:r>
      <w:r>
        <w:rPr>
          <w:rFonts w:hint="eastAsia" w:ascii="宋体" w:hAnsi="宋体" w:eastAsia="宋体" w:cs="宋体"/>
          <w:color w:val="auto"/>
          <w:highlight w:val="none"/>
          <w:lang w:eastAsia="zh-CN"/>
        </w:rPr>
        <w:t>询比响应人</w:t>
      </w:r>
      <w:r>
        <w:rPr>
          <w:rFonts w:hint="eastAsia" w:ascii="宋体" w:hAnsi="宋体" w:eastAsia="宋体" w:cs="宋体"/>
          <w:color w:val="auto"/>
          <w:highlight w:val="none"/>
        </w:rPr>
        <w:t>在签订合同时向</w:t>
      </w:r>
      <w:r>
        <w:rPr>
          <w:rFonts w:hint="eastAsia" w:ascii="宋体" w:hAnsi="宋体" w:eastAsia="宋体" w:cs="宋体"/>
          <w:color w:val="auto"/>
          <w:highlight w:val="none"/>
          <w:lang w:eastAsia="zh-CN"/>
        </w:rPr>
        <w:t>招标人</w:t>
      </w:r>
      <w:r>
        <w:rPr>
          <w:rFonts w:hint="eastAsia" w:ascii="宋体" w:hAnsi="宋体" w:eastAsia="宋体" w:cs="宋体"/>
          <w:color w:val="auto"/>
          <w:highlight w:val="none"/>
        </w:rPr>
        <w:t>提出附加条件或者不按照采购文件要求递交履约保证金等导致</w:t>
      </w:r>
      <w:r>
        <w:rPr>
          <w:rFonts w:hint="eastAsia" w:ascii="宋体" w:hAnsi="宋体" w:eastAsia="宋体" w:cs="宋体"/>
          <w:color w:val="auto"/>
          <w:highlight w:val="none"/>
          <w:lang w:eastAsia="zh-CN"/>
        </w:rPr>
        <w:t>招标人</w:t>
      </w:r>
      <w:r>
        <w:rPr>
          <w:rFonts w:hint="eastAsia" w:ascii="宋体" w:hAnsi="宋体" w:eastAsia="宋体" w:cs="宋体"/>
          <w:color w:val="auto"/>
          <w:highlight w:val="none"/>
        </w:rPr>
        <w:t>变更成交结果的，</w:t>
      </w:r>
      <w:r>
        <w:rPr>
          <w:rFonts w:hint="eastAsia" w:ascii="宋体" w:hAnsi="宋体" w:eastAsia="宋体" w:cs="宋体"/>
          <w:color w:val="auto"/>
          <w:highlight w:val="none"/>
          <w:lang w:eastAsia="zh-CN"/>
        </w:rPr>
        <w:t>招标人</w:t>
      </w:r>
      <w:r>
        <w:rPr>
          <w:rFonts w:hint="eastAsia" w:ascii="宋体" w:hAnsi="宋体" w:eastAsia="宋体" w:cs="宋体"/>
          <w:color w:val="auto"/>
          <w:highlight w:val="none"/>
        </w:rPr>
        <w:t>应按照本条规定的程序重新选择确定预成交</w:t>
      </w:r>
      <w:r>
        <w:rPr>
          <w:rFonts w:hint="eastAsia" w:ascii="宋体" w:hAnsi="宋体" w:eastAsia="宋体" w:cs="宋体"/>
          <w:color w:val="auto"/>
          <w:highlight w:val="none"/>
          <w:lang w:eastAsia="zh-CN"/>
        </w:rPr>
        <w:t>询比响应人</w:t>
      </w:r>
      <w:r>
        <w:rPr>
          <w:rFonts w:hint="eastAsia" w:ascii="宋体" w:hAnsi="宋体" w:eastAsia="宋体" w:cs="宋体"/>
          <w:color w:val="auto"/>
          <w:highlight w:val="none"/>
        </w:rPr>
        <w:t>、进行公示并公告。</w:t>
      </w:r>
    </w:p>
    <w:p>
      <w:pPr>
        <w:pStyle w:val="4"/>
        <w:pageBreakBefore w:val="0"/>
        <w:kinsoku/>
        <w:overflowPunct/>
        <w:topLinePunct w:val="0"/>
        <w:bidi w:val="0"/>
        <w:snapToGrid/>
        <w:spacing w:line="360" w:lineRule="auto"/>
        <w:jc w:val="both"/>
        <w:rPr>
          <w:rFonts w:hint="eastAsia" w:ascii="宋体" w:hAnsi="宋体" w:eastAsia="宋体" w:cs="宋体"/>
          <w:color w:val="auto"/>
          <w:highlight w:val="none"/>
        </w:rPr>
      </w:pPr>
      <w:bookmarkStart w:id="104" w:name="_Toc22531"/>
      <w:bookmarkStart w:id="105" w:name="_Toc29601"/>
      <w:r>
        <w:rPr>
          <w:rFonts w:hint="eastAsia" w:ascii="宋体" w:hAnsi="宋体" w:eastAsia="宋体" w:cs="宋体"/>
          <w:color w:val="auto"/>
          <w:highlight w:val="none"/>
        </w:rPr>
        <w:t>8 异议</w:t>
      </w:r>
      <w:bookmarkEnd w:id="104"/>
      <w:bookmarkEnd w:id="105"/>
    </w:p>
    <w:p>
      <w:pPr>
        <w:pStyle w:val="6"/>
        <w:pageBreakBefore w:val="0"/>
        <w:kinsoku/>
        <w:overflowPunct/>
        <w:topLinePunct w:val="0"/>
        <w:bidi w:val="0"/>
        <w:snapToGrid/>
        <w:spacing w:line="360" w:lineRule="auto"/>
        <w:rPr>
          <w:rFonts w:hint="eastAsia" w:ascii="宋体" w:hAnsi="宋体" w:eastAsia="宋体" w:cs="宋体"/>
          <w:color w:val="auto"/>
          <w:highlight w:val="none"/>
        </w:rPr>
      </w:pPr>
      <w:bookmarkStart w:id="106" w:name="_Toc22761"/>
      <w:bookmarkStart w:id="107" w:name="_Toc4225"/>
      <w:r>
        <w:rPr>
          <w:rFonts w:hint="eastAsia" w:ascii="宋体" w:hAnsi="宋体" w:eastAsia="宋体" w:cs="宋体"/>
          <w:color w:val="auto"/>
          <w:highlight w:val="none"/>
        </w:rPr>
        <w:t>8.1 提出异议</w:t>
      </w:r>
      <w:bookmarkEnd w:id="106"/>
      <w:bookmarkEnd w:id="107"/>
    </w:p>
    <w:p>
      <w:pPr>
        <w:pStyle w:val="16"/>
        <w:pageBreakBefore w:val="0"/>
        <w:widowControl/>
        <w:kinsoku/>
        <w:overflowPunct/>
        <w:topLinePunct w:val="0"/>
        <w:bidi w:val="0"/>
        <w:snapToGrid/>
        <w:spacing w:beforeAutospacing="0" w:afterAutospacing="0" w:line="360" w:lineRule="auto"/>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lang w:eastAsia="zh-CN"/>
        </w:rPr>
        <w:t>询比响应人</w:t>
      </w:r>
      <w:r>
        <w:rPr>
          <w:rFonts w:hint="eastAsia" w:ascii="宋体" w:hAnsi="宋体" w:eastAsia="宋体" w:cs="宋体"/>
          <w:color w:val="auto"/>
          <w:highlight w:val="none"/>
        </w:rPr>
        <w:t>或者其他利害关系人可以对预成交结果提出异议。异议应在预成交结果公示期间通过</w:t>
      </w:r>
      <w:r>
        <w:rPr>
          <w:rFonts w:hint="eastAsia" w:ascii="宋体" w:hAnsi="宋体" w:eastAsia="宋体" w:cs="宋体"/>
          <w:color w:val="auto"/>
          <w:highlight w:val="none"/>
          <w:lang w:eastAsia="zh-CN"/>
        </w:rPr>
        <w:t>询比响应人</w:t>
      </w:r>
      <w:r>
        <w:rPr>
          <w:rFonts w:hint="eastAsia" w:ascii="宋体" w:hAnsi="宋体" w:eastAsia="宋体" w:cs="宋体"/>
          <w:color w:val="auto"/>
          <w:highlight w:val="none"/>
        </w:rPr>
        <w:t>须知前附表规定的异议渠道提出，并递交异议函和必要的证明材料。异议函包括但不限于下列内容∶</w:t>
      </w:r>
    </w:p>
    <w:p>
      <w:pPr>
        <w:pStyle w:val="16"/>
        <w:pageBreakBefore w:val="0"/>
        <w:widowControl/>
        <w:numPr>
          <w:ilvl w:val="0"/>
          <w:numId w:val="6"/>
        </w:numPr>
        <w:kinsoku/>
        <w:overflowPunct/>
        <w:topLinePunct w:val="0"/>
        <w:bidi w:val="0"/>
        <w:snapToGrid/>
        <w:spacing w:beforeAutospacing="0" w:afterAutospacing="0" w:line="360" w:lineRule="auto"/>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异议人名称、地址、邮政编码、联系人及联系电话;</w:t>
      </w:r>
    </w:p>
    <w:p>
      <w:pPr>
        <w:pStyle w:val="16"/>
        <w:pageBreakBefore w:val="0"/>
        <w:widowControl/>
        <w:kinsoku/>
        <w:overflowPunct/>
        <w:topLinePunct w:val="0"/>
        <w:bidi w:val="0"/>
        <w:snapToGrid/>
        <w:spacing w:beforeAutospacing="0" w:afterAutospacing="0" w:line="360" w:lineRule="auto"/>
        <w:ind w:left="420" w:leftChars="200"/>
        <w:rPr>
          <w:rFonts w:hint="eastAsia" w:ascii="宋体" w:hAnsi="宋体" w:eastAsia="宋体" w:cs="宋体"/>
          <w:color w:val="auto"/>
          <w:highlight w:val="none"/>
        </w:rPr>
      </w:pPr>
      <w:r>
        <w:rPr>
          <w:rFonts w:hint="eastAsia" w:ascii="宋体" w:hAnsi="宋体" w:eastAsia="宋体" w:cs="宋体"/>
          <w:color w:val="auto"/>
          <w:highlight w:val="none"/>
        </w:rPr>
        <w:t>（2）具体、明确的异议事项、事实依据及与异议事项相关的请求。</w:t>
      </w:r>
    </w:p>
    <w:p>
      <w:pPr>
        <w:pStyle w:val="16"/>
        <w:pageBreakBefore w:val="0"/>
        <w:widowControl/>
        <w:kinsoku/>
        <w:overflowPunct/>
        <w:topLinePunct w:val="0"/>
        <w:bidi w:val="0"/>
        <w:snapToGrid/>
        <w:spacing w:beforeAutospacing="0" w:afterAutospacing="0" w:line="360" w:lineRule="auto"/>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异议函应由异议人的法定代表人（单位负责人）或其授权的代理人签字并加盖单位章。</w:t>
      </w:r>
    </w:p>
    <w:p>
      <w:pPr>
        <w:pStyle w:val="6"/>
        <w:pageBreakBefore w:val="0"/>
        <w:kinsoku/>
        <w:overflowPunct/>
        <w:topLinePunct w:val="0"/>
        <w:bidi w:val="0"/>
        <w:snapToGrid/>
        <w:spacing w:line="360" w:lineRule="auto"/>
        <w:rPr>
          <w:rFonts w:hint="eastAsia" w:ascii="宋体" w:hAnsi="宋体" w:eastAsia="宋体" w:cs="宋体"/>
          <w:color w:val="auto"/>
          <w:highlight w:val="none"/>
        </w:rPr>
      </w:pPr>
      <w:bookmarkStart w:id="108" w:name="_Toc29379"/>
      <w:bookmarkStart w:id="109" w:name="_Toc27780"/>
      <w:r>
        <w:rPr>
          <w:rFonts w:hint="eastAsia" w:ascii="宋体" w:hAnsi="宋体" w:eastAsia="宋体" w:cs="宋体"/>
          <w:color w:val="auto"/>
          <w:highlight w:val="none"/>
        </w:rPr>
        <w:t>8.2 异议处理</w:t>
      </w:r>
      <w:bookmarkEnd w:id="108"/>
      <w:bookmarkEnd w:id="109"/>
    </w:p>
    <w:p>
      <w:pPr>
        <w:pStyle w:val="16"/>
        <w:pageBreakBefore w:val="0"/>
        <w:widowControl/>
        <w:kinsoku/>
        <w:overflowPunct/>
        <w:topLinePunct w:val="0"/>
        <w:bidi w:val="0"/>
        <w:snapToGrid/>
        <w:spacing w:beforeAutospacing="0" w:afterAutospacing="0" w:line="360" w:lineRule="auto"/>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lang w:eastAsia="zh-CN"/>
        </w:rPr>
        <w:t>招标人</w:t>
      </w:r>
      <w:r>
        <w:rPr>
          <w:rFonts w:hint="eastAsia" w:ascii="宋体" w:hAnsi="宋体" w:eastAsia="宋体" w:cs="宋体"/>
          <w:color w:val="auto"/>
          <w:highlight w:val="none"/>
        </w:rPr>
        <w:t>将针对异议事项进行核查，经过核查，发现异议人对相关问题理解有误的，应作出解释;发现采购活动中确实存在错误或不当行为的，应及时予以改正或补救。</w:t>
      </w:r>
    </w:p>
    <w:p>
      <w:pPr>
        <w:pStyle w:val="16"/>
        <w:pageBreakBefore w:val="0"/>
        <w:widowControl/>
        <w:kinsoku/>
        <w:overflowPunct/>
        <w:topLinePunct w:val="0"/>
        <w:bidi w:val="0"/>
        <w:snapToGrid/>
        <w:spacing w:beforeAutospacing="0" w:afterAutospacing="0" w:line="360" w:lineRule="auto"/>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异议人与</w:t>
      </w:r>
      <w:r>
        <w:rPr>
          <w:rFonts w:hint="eastAsia" w:ascii="宋体" w:hAnsi="宋体" w:eastAsia="宋体" w:cs="宋体"/>
          <w:color w:val="auto"/>
          <w:highlight w:val="none"/>
          <w:lang w:eastAsia="zh-CN"/>
        </w:rPr>
        <w:t>招标人</w:t>
      </w:r>
      <w:r>
        <w:rPr>
          <w:rFonts w:hint="eastAsia" w:ascii="宋体" w:hAnsi="宋体" w:eastAsia="宋体" w:cs="宋体"/>
          <w:color w:val="auto"/>
          <w:highlight w:val="none"/>
        </w:rPr>
        <w:t>对异议事项无法达成一致的，异议人可向</w:t>
      </w:r>
      <w:r>
        <w:rPr>
          <w:rFonts w:hint="eastAsia" w:ascii="宋体" w:hAnsi="宋体" w:eastAsia="宋体" w:cs="宋体"/>
          <w:color w:val="auto"/>
          <w:highlight w:val="none"/>
          <w:lang w:eastAsia="zh-CN"/>
        </w:rPr>
        <w:t>询比响应人</w:t>
      </w:r>
      <w:r>
        <w:rPr>
          <w:rFonts w:hint="eastAsia" w:ascii="宋体" w:hAnsi="宋体" w:eastAsia="宋体" w:cs="宋体"/>
          <w:color w:val="auto"/>
          <w:highlight w:val="none"/>
        </w:rPr>
        <w:t>须知前附表规定的行业组织或专业咨询机构申请调解或进行反映。</w:t>
      </w:r>
    </w:p>
    <w:p>
      <w:pPr>
        <w:pStyle w:val="16"/>
        <w:pageBreakBefore w:val="0"/>
        <w:widowControl/>
        <w:kinsoku/>
        <w:overflowPunct/>
        <w:topLinePunct w:val="0"/>
        <w:bidi w:val="0"/>
        <w:snapToGrid/>
        <w:spacing w:beforeAutospacing="0" w:afterAutospacing="0" w:line="360" w:lineRule="auto"/>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lang w:eastAsia="zh-CN"/>
        </w:rPr>
        <w:t>招标人</w:t>
      </w:r>
      <w:r>
        <w:rPr>
          <w:rFonts w:hint="eastAsia" w:ascii="宋体" w:hAnsi="宋体" w:eastAsia="宋体" w:cs="宋体"/>
          <w:color w:val="auto"/>
          <w:highlight w:val="none"/>
        </w:rPr>
        <w:t>认为异议不成立或不影响采购结果的，可以继续进行采购活动。</w:t>
      </w:r>
    </w:p>
    <w:p>
      <w:pPr>
        <w:pStyle w:val="4"/>
        <w:pageBreakBefore w:val="0"/>
        <w:kinsoku/>
        <w:overflowPunct/>
        <w:topLinePunct w:val="0"/>
        <w:bidi w:val="0"/>
        <w:snapToGrid/>
        <w:spacing w:line="360" w:lineRule="auto"/>
        <w:jc w:val="both"/>
        <w:rPr>
          <w:rFonts w:hint="eastAsia" w:ascii="宋体" w:hAnsi="宋体" w:eastAsia="宋体" w:cs="宋体"/>
          <w:color w:val="auto"/>
          <w:highlight w:val="none"/>
        </w:rPr>
      </w:pPr>
      <w:bookmarkStart w:id="110" w:name="_Toc22394"/>
      <w:bookmarkStart w:id="111" w:name="_Toc778"/>
      <w:r>
        <w:rPr>
          <w:rFonts w:hint="eastAsia" w:ascii="宋体" w:hAnsi="宋体" w:eastAsia="宋体" w:cs="宋体"/>
          <w:color w:val="auto"/>
          <w:highlight w:val="none"/>
        </w:rPr>
        <w:t>9纪律要求</w:t>
      </w:r>
      <w:bookmarkEnd w:id="110"/>
      <w:bookmarkEnd w:id="111"/>
    </w:p>
    <w:p>
      <w:pPr>
        <w:pStyle w:val="6"/>
        <w:pageBreakBefore w:val="0"/>
        <w:kinsoku/>
        <w:overflowPunct/>
        <w:topLinePunct w:val="0"/>
        <w:bidi w:val="0"/>
        <w:snapToGrid/>
        <w:spacing w:line="360" w:lineRule="auto"/>
        <w:rPr>
          <w:rFonts w:hint="eastAsia" w:ascii="宋体" w:hAnsi="宋体" w:eastAsia="宋体" w:cs="宋体"/>
          <w:color w:val="auto"/>
          <w:highlight w:val="none"/>
        </w:rPr>
      </w:pPr>
      <w:bookmarkStart w:id="112" w:name="_Toc14438"/>
      <w:bookmarkStart w:id="113" w:name="_Toc15057"/>
      <w:r>
        <w:rPr>
          <w:rFonts w:hint="eastAsia" w:ascii="宋体" w:hAnsi="宋体" w:eastAsia="宋体" w:cs="宋体"/>
          <w:color w:val="auto"/>
          <w:highlight w:val="none"/>
        </w:rPr>
        <w:t>9.1对</w:t>
      </w:r>
      <w:r>
        <w:rPr>
          <w:rFonts w:hint="eastAsia" w:ascii="宋体" w:hAnsi="宋体" w:eastAsia="宋体" w:cs="宋体"/>
          <w:color w:val="auto"/>
          <w:highlight w:val="none"/>
          <w:lang w:eastAsia="zh-CN"/>
        </w:rPr>
        <w:t>招标人</w:t>
      </w:r>
      <w:r>
        <w:rPr>
          <w:rFonts w:hint="eastAsia" w:ascii="宋体" w:hAnsi="宋体" w:eastAsia="宋体" w:cs="宋体"/>
          <w:color w:val="auto"/>
          <w:highlight w:val="none"/>
        </w:rPr>
        <w:t>的纪律要求</w:t>
      </w:r>
      <w:bookmarkEnd w:id="112"/>
      <w:bookmarkEnd w:id="113"/>
    </w:p>
    <w:p>
      <w:pPr>
        <w:pStyle w:val="16"/>
        <w:pageBreakBefore w:val="0"/>
        <w:widowControl/>
        <w:kinsoku/>
        <w:overflowPunct/>
        <w:topLinePunct w:val="0"/>
        <w:bidi w:val="0"/>
        <w:snapToGrid/>
        <w:spacing w:beforeAutospacing="0" w:afterAutospacing="0" w:line="360" w:lineRule="auto"/>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lang w:eastAsia="zh-CN"/>
        </w:rPr>
        <w:t>招标人</w:t>
      </w:r>
      <w:r>
        <w:rPr>
          <w:rFonts w:hint="eastAsia" w:ascii="宋体" w:hAnsi="宋体" w:eastAsia="宋体" w:cs="宋体"/>
          <w:color w:val="auto"/>
          <w:highlight w:val="none"/>
        </w:rPr>
        <w:t>不得泄露询比采购活动中应当保密的情况和资料，不得与</w:t>
      </w:r>
      <w:r>
        <w:rPr>
          <w:rFonts w:hint="eastAsia" w:ascii="宋体" w:hAnsi="宋体" w:eastAsia="宋体" w:cs="宋体"/>
          <w:color w:val="auto"/>
          <w:highlight w:val="none"/>
          <w:lang w:eastAsia="zh-CN"/>
        </w:rPr>
        <w:t>询比响应人</w:t>
      </w:r>
      <w:r>
        <w:rPr>
          <w:rFonts w:hint="eastAsia" w:ascii="宋体" w:hAnsi="宋体" w:eastAsia="宋体" w:cs="宋体"/>
          <w:color w:val="auto"/>
          <w:highlight w:val="none"/>
        </w:rPr>
        <w:t>串通损害国家利益、社会公共利益或者他人合法权益。</w:t>
      </w:r>
    </w:p>
    <w:p>
      <w:pPr>
        <w:pStyle w:val="6"/>
        <w:pageBreakBefore w:val="0"/>
        <w:kinsoku/>
        <w:overflowPunct/>
        <w:topLinePunct w:val="0"/>
        <w:bidi w:val="0"/>
        <w:snapToGrid/>
        <w:spacing w:line="360" w:lineRule="auto"/>
        <w:rPr>
          <w:rFonts w:hint="eastAsia" w:ascii="宋体" w:hAnsi="宋体" w:eastAsia="宋体" w:cs="宋体"/>
          <w:color w:val="auto"/>
          <w:highlight w:val="none"/>
        </w:rPr>
      </w:pPr>
      <w:bookmarkStart w:id="114" w:name="_Toc137"/>
      <w:bookmarkStart w:id="115" w:name="_Toc9915"/>
      <w:r>
        <w:rPr>
          <w:rFonts w:hint="eastAsia" w:ascii="宋体" w:hAnsi="宋体" w:eastAsia="宋体" w:cs="宋体"/>
          <w:color w:val="auto"/>
          <w:highlight w:val="none"/>
        </w:rPr>
        <w:t>9.2对</w:t>
      </w:r>
      <w:r>
        <w:rPr>
          <w:rFonts w:hint="eastAsia" w:ascii="宋体" w:hAnsi="宋体" w:eastAsia="宋体" w:cs="宋体"/>
          <w:color w:val="auto"/>
          <w:highlight w:val="none"/>
          <w:lang w:eastAsia="zh-CN"/>
        </w:rPr>
        <w:t>询比响应人</w:t>
      </w:r>
      <w:r>
        <w:rPr>
          <w:rFonts w:hint="eastAsia" w:ascii="宋体" w:hAnsi="宋体" w:eastAsia="宋体" w:cs="宋体"/>
          <w:color w:val="auto"/>
          <w:highlight w:val="none"/>
        </w:rPr>
        <w:t>的纪律要求</w:t>
      </w:r>
      <w:bookmarkEnd w:id="114"/>
      <w:bookmarkEnd w:id="115"/>
    </w:p>
    <w:p>
      <w:pPr>
        <w:pStyle w:val="16"/>
        <w:pageBreakBefore w:val="0"/>
        <w:widowControl/>
        <w:kinsoku/>
        <w:overflowPunct/>
        <w:topLinePunct w:val="0"/>
        <w:bidi w:val="0"/>
        <w:snapToGrid/>
        <w:spacing w:beforeAutospacing="0" w:afterAutospacing="0" w:line="360" w:lineRule="auto"/>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lang w:eastAsia="zh-CN"/>
        </w:rPr>
        <w:t>招标人</w:t>
      </w:r>
      <w:r>
        <w:rPr>
          <w:rFonts w:hint="eastAsia" w:ascii="宋体" w:hAnsi="宋体" w:eastAsia="宋体" w:cs="宋体"/>
          <w:color w:val="auto"/>
          <w:highlight w:val="none"/>
        </w:rPr>
        <w:t>不得泄露询比采购活动中应当保密的情况和资料，不得与</w:t>
      </w:r>
      <w:r>
        <w:rPr>
          <w:rFonts w:hint="eastAsia" w:ascii="宋体" w:hAnsi="宋体" w:eastAsia="宋体" w:cs="宋体"/>
          <w:color w:val="auto"/>
          <w:highlight w:val="none"/>
          <w:lang w:eastAsia="zh-CN"/>
        </w:rPr>
        <w:t>询比响应人</w:t>
      </w:r>
      <w:r>
        <w:rPr>
          <w:rFonts w:hint="eastAsia" w:ascii="宋体" w:hAnsi="宋体" w:eastAsia="宋体" w:cs="宋体"/>
          <w:color w:val="auto"/>
          <w:highlight w:val="none"/>
        </w:rPr>
        <w:t>串通损害国家利益、社会公共利益或者他人合法权益。</w:t>
      </w:r>
    </w:p>
    <w:p>
      <w:pPr>
        <w:pStyle w:val="6"/>
        <w:pageBreakBefore w:val="0"/>
        <w:kinsoku/>
        <w:overflowPunct/>
        <w:topLinePunct w:val="0"/>
        <w:bidi w:val="0"/>
        <w:snapToGrid/>
        <w:spacing w:line="360" w:lineRule="auto"/>
        <w:rPr>
          <w:rFonts w:hint="eastAsia" w:ascii="宋体" w:hAnsi="宋体" w:eastAsia="宋体" w:cs="宋体"/>
          <w:color w:val="auto"/>
          <w:highlight w:val="none"/>
        </w:rPr>
      </w:pPr>
      <w:bookmarkStart w:id="116" w:name="_Toc13206"/>
      <w:bookmarkStart w:id="117" w:name="_Toc1261"/>
      <w:r>
        <w:rPr>
          <w:rFonts w:hint="eastAsia" w:ascii="宋体" w:hAnsi="宋体" w:eastAsia="宋体" w:cs="宋体"/>
          <w:color w:val="auto"/>
          <w:highlight w:val="none"/>
        </w:rPr>
        <w:t>9.3对评审小组成员的纪律要求</w:t>
      </w:r>
      <w:bookmarkEnd w:id="116"/>
      <w:bookmarkEnd w:id="117"/>
    </w:p>
    <w:p>
      <w:pPr>
        <w:pStyle w:val="16"/>
        <w:pageBreakBefore w:val="0"/>
        <w:widowControl/>
        <w:kinsoku/>
        <w:overflowPunct/>
        <w:topLinePunct w:val="0"/>
        <w:bidi w:val="0"/>
        <w:snapToGrid/>
        <w:spacing w:beforeAutospacing="0" w:afterAutospacing="0" w:line="360" w:lineRule="auto"/>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评审小组成员不得收受他人的财物或者其他好处，不得向他人透露对响应文件的评审和比较、候选成交</w:t>
      </w:r>
      <w:r>
        <w:rPr>
          <w:rFonts w:hint="eastAsia" w:ascii="宋体" w:hAnsi="宋体" w:eastAsia="宋体" w:cs="宋体"/>
          <w:color w:val="auto"/>
          <w:highlight w:val="none"/>
          <w:lang w:eastAsia="zh-CN"/>
        </w:rPr>
        <w:t>询比响应人</w:t>
      </w:r>
      <w:r>
        <w:rPr>
          <w:rFonts w:hint="eastAsia" w:ascii="宋体" w:hAnsi="宋体" w:eastAsia="宋体" w:cs="宋体"/>
          <w:color w:val="auto"/>
          <w:highlight w:val="none"/>
        </w:rPr>
        <w:t>的推荐情况以及评审有关的其他情况。在评审活动中，评审小组成员应当客观、公正地履行职责，遵守职业道德，不得擅离职守、影响评审工作正常进行，不得使用第三章"评审办法"没有规定的评审因素和标准进行评审。</w:t>
      </w:r>
    </w:p>
    <w:p>
      <w:pPr>
        <w:pStyle w:val="6"/>
        <w:pageBreakBefore w:val="0"/>
        <w:kinsoku/>
        <w:overflowPunct/>
        <w:topLinePunct w:val="0"/>
        <w:bidi w:val="0"/>
        <w:snapToGrid/>
        <w:spacing w:line="360" w:lineRule="auto"/>
        <w:rPr>
          <w:rFonts w:hint="eastAsia" w:ascii="宋体" w:hAnsi="宋体" w:eastAsia="宋体" w:cs="宋体"/>
          <w:color w:val="auto"/>
          <w:highlight w:val="none"/>
        </w:rPr>
      </w:pPr>
      <w:bookmarkStart w:id="118" w:name="_Toc12660"/>
      <w:bookmarkStart w:id="119" w:name="_Toc21375"/>
      <w:r>
        <w:rPr>
          <w:rFonts w:hint="eastAsia" w:ascii="宋体" w:hAnsi="宋体" w:eastAsia="宋体" w:cs="宋体"/>
          <w:color w:val="auto"/>
          <w:highlight w:val="none"/>
        </w:rPr>
        <w:t>9.4 对与询比活动有关的工作人员的纪律要求</w:t>
      </w:r>
      <w:bookmarkEnd w:id="118"/>
      <w:bookmarkEnd w:id="119"/>
    </w:p>
    <w:p>
      <w:pPr>
        <w:pStyle w:val="16"/>
        <w:pageBreakBefore w:val="0"/>
        <w:widowControl/>
        <w:kinsoku/>
        <w:overflowPunct/>
        <w:topLinePunct w:val="0"/>
        <w:bidi w:val="0"/>
        <w:snapToGrid/>
        <w:spacing w:beforeAutospacing="0" w:afterAutospacing="0" w:line="360" w:lineRule="auto"/>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与询比活动有关的工作人员不得收受他人的财物或者其他好处，不得向他人透露对响应文件的评审和比较、候选成交</w:t>
      </w:r>
      <w:r>
        <w:rPr>
          <w:rFonts w:hint="eastAsia" w:ascii="宋体" w:hAnsi="宋体" w:eastAsia="宋体" w:cs="宋体"/>
          <w:color w:val="auto"/>
          <w:highlight w:val="none"/>
          <w:lang w:eastAsia="zh-CN"/>
        </w:rPr>
        <w:t>询比响应人</w:t>
      </w:r>
      <w:r>
        <w:rPr>
          <w:rFonts w:hint="eastAsia" w:ascii="宋体" w:hAnsi="宋体" w:eastAsia="宋体" w:cs="宋体"/>
          <w:color w:val="auto"/>
          <w:highlight w:val="none"/>
        </w:rPr>
        <w:t>的推荐情况以及询比有关的其他情况。在询比活动中，与询比活动有关的工作人员不得擅离职守，影响评审工作正常进行。</w:t>
      </w:r>
    </w:p>
    <w:p>
      <w:pPr>
        <w:pStyle w:val="4"/>
        <w:pageBreakBefore w:val="0"/>
        <w:kinsoku/>
        <w:overflowPunct/>
        <w:topLinePunct w:val="0"/>
        <w:bidi w:val="0"/>
        <w:snapToGrid/>
        <w:spacing w:line="360" w:lineRule="auto"/>
        <w:jc w:val="both"/>
        <w:rPr>
          <w:rFonts w:hint="eastAsia" w:ascii="宋体" w:hAnsi="宋体" w:eastAsia="宋体" w:cs="宋体"/>
          <w:color w:val="auto"/>
          <w:highlight w:val="none"/>
        </w:rPr>
      </w:pPr>
      <w:bookmarkStart w:id="120" w:name="_Toc14215"/>
      <w:bookmarkStart w:id="121" w:name="_Toc20089"/>
      <w:r>
        <w:rPr>
          <w:rFonts w:hint="eastAsia" w:ascii="宋体" w:hAnsi="宋体" w:eastAsia="宋体" w:cs="宋体"/>
          <w:color w:val="auto"/>
          <w:highlight w:val="none"/>
        </w:rPr>
        <w:t>10 需要补充的其他内容</w:t>
      </w:r>
      <w:bookmarkEnd w:id="120"/>
      <w:bookmarkEnd w:id="121"/>
    </w:p>
    <w:p>
      <w:pPr>
        <w:pStyle w:val="6"/>
        <w:pageBreakBefore w:val="0"/>
        <w:kinsoku/>
        <w:overflowPunct/>
        <w:topLinePunct w:val="0"/>
        <w:bidi w:val="0"/>
        <w:snapToGrid/>
        <w:spacing w:line="360" w:lineRule="auto"/>
        <w:rPr>
          <w:rFonts w:hint="eastAsia" w:ascii="宋体" w:hAnsi="宋体" w:eastAsia="宋体" w:cs="宋体"/>
          <w:color w:val="auto"/>
          <w:highlight w:val="none"/>
        </w:rPr>
      </w:pPr>
      <w:bookmarkStart w:id="122" w:name="_Toc13143"/>
      <w:bookmarkStart w:id="123" w:name="_Toc26576"/>
      <w:r>
        <w:rPr>
          <w:rFonts w:hint="eastAsia" w:ascii="宋体" w:hAnsi="宋体" w:eastAsia="宋体" w:cs="宋体"/>
          <w:color w:val="auto"/>
          <w:highlight w:val="none"/>
        </w:rPr>
        <w:t xml:space="preserve">10.1 </w:t>
      </w:r>
      <w:r>
        <w:rPr>
          <w:rFonts w:hint="eastAsia" w:ascii="宋体" w:hAnsi="宋体" w:eastAsia="宋体" w:cs="宋体"/>
          <w:color w:val="auto"/>
          <w:highlight w:val="none"/>
          <w:lang w:eastAsia="zh-CN"/>
        </w:rPr>
        <w:t>招标</w:t>
      </w:r>
      <w:r>
        <w:rPr>
          <w:rFonts w:hint="eastAsia" w:ascii="宋体" w:hAnsi="宋体" w:eastAsia="宋体" w:cs="宋体"/>
          <w:color w:val="auto"/>
          <w:highlight w:val="none"/>
        </w:rPr>
        <w:t>代理服务费</w:t>
      </w:r>
      <w:bookmarkEnd w:id="122"/>
      <w:bookmarkEnd w:id="123"/>
    </w:p>
    <w:p>
      <w:pPr>
        <w:pStyle w:val="16"/>
        <w:pageBreakBefore w:val="0"/>
        <w:widowControl/>
        <w:kinsoku/>
        <w:overflowPunct/>
        <w:topLinePunct w:val="0"/>
        <w:bidi w:val="0"/>
        <w:snapToGrid/>
        <w:spacing w:beforeAutospacing="0" w:afterAutospacing="0" w:line="360" w:lineRule="auto"/>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lang w:eastAsia="zh-CN"/>
        </w:rPr>
        <w:t>询比响应人</w:t>
      </w:r>
      <w:r>
        <w:rPr>
          <w:rFonts w:hint="eastAsia" w:ascii="宋体" w:hAnsi="宋体" w:eastAsia="宋体" w:cs="宋体"/>
          <w:color w:val="auto"/>
          <w:highlight w:val="none"/>
        </w:rPr>
        <w:t>须知前附表规定由</w:t>
      </w:r>
      <w:r>
        <w:rPr>
          <w:rFonts w:hint="eastAsia" w:ascii="宋体" w:hAnsi="宋体" w:eastAsia="宋体" w:cs="宋体"/>
          <w:color w:val="auto"/>
          <w:highlight w:val="none"/>
          <w:lang w:eastAsia="zh-CN"/>
        </w:rPr>
        <w:t>询比响应人</w:t>
      </w:r>
      <w:r>
        <w:rPr>
          <w:rFonts w:hint="eastAsia" w:ascii="宋体" w:hAnsi="宋体" w:eastAsia="宋体" w:cs="宋体"/>
          <w:color w:val="auto"/>
          <w:highlight w:val="none"/>
        </w:rPr>
        <w:t>承担</w:t>
      </w:r>
      <w:r>
        <w:rPr>
          <w:rFonts w:hint="eastAsia" w:ascii="宋体" w:hAnsi="宋体" w:eastAsia="宋体" w:cs="宋体"/>
          <w:color w:val="auto"/>
          <w:highlight w:val="none"/>
          <w:lang w:eastAsia="zh-CN"/>
        </w:rPr>
        <w:t>招标</w:t>
      </w:r>
      <w:r>
        <w:rPr>
          <w:rFonts w:hint="eastAsia" w:ascii="宋体" w:hAnsi="宋体" w:eastAsia="宋体" w:cs="宋体"/>
          <w:color w:val="auto"/>
          <w:highlight w:val="none"/>
        </w:rPr>
        <w:t>代理服务费的，</w:t>
      </w:r>
      <w:r>
        <w:rPr>
          <w:rFonts w:hint="eastAsia" w:ascii="宋体" w:hAnsi="宋体" w:eastAsia="宋体" w:cs="宋体"/>
          <w:color w:val="auto"/>
          <w:highlight w:val="none"/>
          <w:lang w:eastAsia="zh-CN"/>
        </w:rPr>
        <w:t>询比响应人</w:t>
      </w:r>
      <w:r>
        <w:rPr>
          <w:rFonts w:hint="eastAsia" w:ascii="宋体" w:hAnsi="宋体" w:eastAsia="宋体" w:cs="宋体"/>
          <w:color w:val="auto"/>
          <w:highlight w:val="none"/>
        </w:rPr>
        <w:t>应按照</w:t>
      </w:r>
      <w:r>
        <w:rPr>
          <w:rFonts w:hint="eastAsia" w:ascii="宋体" w:hAnsi="宋体" w:eastAsia="宋体" w:cs="宋体"/>
          <w:color w:val="auto"/>
          <w:highlight w:val="none"/>
          <w:lang w:eastAsia="zh-CN"/>
        </w:rPr>
        <w:t>询比响应人</w:t>
      </w:r>
      <w:r>
        <w:rPr>
          <w:rFonts w:hint="eastAsia" w:ascii="宋体" w:hAnsi="宋体" w:eastAsia="宋体" w:cs="宋体"/>
          <w:color w:val="auto"/>
          <w:highlight w:val="none"/>
        </w:rPr>
        <w:t>须知前附表规定的费用标准或金额、交费时间和方式向</w:t>
      </w:r>
      <w:r>
        <w:rPr>
          <w:rFonts w:hint="eastAsia" w:ascii="宋体" w:hAnsi="宋体" w:eastAsia="宋体" w:cs="宋体"/>
          <w:color w:val="auto"/>
          <w:highlight w:val="none"/>
          <w:lang w:eastAsia="zh-CN"/>
        </w:rPr>
        <w:t>招标代理机构</w:t>
      </w:r>
      <w:r>
        <w:rPr>
          <w:rFonts w:hint="eastAsia" w:ascii="宋体" w:hAnsi="宋体" w:eastAsia="宋体" w:cs="宋体"/>
          <w:color w:val="auto"/>
          <w:highlight w:val="none"/>
        </w:rPr>
        <w:t>支付代理服务费。</w:t>
      </w:r>
    </w:p>
    <w:p>
      <w:pPr>
        <w:pStyle w:val="6"/>
        <w:pageBreakBefore w:val="0"/>
        <w:kinsoku/>
        <w:overflowPunct/>
        <w:topLinePunct w:val="0"/>
        <w:bidi w:val="0"/>
        <w:snapToGrid/>
        <w:spacing w:line="360" w:lineRule="auto"/>
        <w:rPr>
          <w:rFonts w:hint="eastAsia" w:ascii="宋体" w:hAnsi="宋体" w:eastAsia="宋体" w:cs="宋体"/>
          <w:color w:val="auto"/>
          <w:highlight w:val="none"/>
        </w:rPr>
      </w:pPr>
      <w:bookmarkStart w:id="124" w:name="_Toc518"/>
      <w:bookmarkStart w:id="125" w:name="_Toc11939"/>
      <w:r>
        <w:rPr>
          <w:rFonts w:hint="eastAsia" w:ascii="宋体" w:hAnsi="宋体" w:eastAsia="宋体" w:cs="宋体"/>
          <w:color w:val="auto"/>
          <w:highlight w:val="none"/>
        </w:rPr>
        <w:t>10.2其他</w:t>
      </w:r>
      <w:bookmarkEnd w:id="124"/>
      <w:bookmarkEnd w:id="125"/>
    </w:p>
    <w:p>
      <w:pPr>
        <w:pStyle w:val="16"/>
        <w:pageBreakBefore w:val="0"/>
        <w:widowControl/>
        <w:kinsoku/>
        <w:overflowPunct/>
        <w:topLinePunct w:val="0"/>
        <w:bidi w:val="0"/>
        <w:snapToGrid/>
        <w:spacing w:beforeAutospacing="0" w:afterAutospacing="0" w:line="360" w:lineRule="auto"/>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需要补充的其他内容∶见</w:t>
      </w:r>
      <w:r>
        <w:rPr>
          <w:rFonts w:hint="eastAsia" w:ascii="宋体" w:hAnsi="宋体" w:eastAsia="宋体" w:cs="宋体"/>
          <w:color w:val="auto"/>
          <w:highlight w:val="none"/>
          <w:lang w:eastAsia="zh-CN"/>
        </w:rPr>
        <w:t>询比响应人</w:t>
      </w:r>
      <w:r>
        <w:rPr>
          <w:rFonts w:hint="eastAsia" w:ascii="宋体" w:hAnsi="宋体" w:eastAsia="宋体" w:cs="宋体"/>
          <w:color w:val="auto"/>
          <w:highlight w:val="none"/>
        </w:rPr>
        <w:t>须知前附表。</w:t>
      </w:r>
    </w:p>
    <w:p>
      <w:pPr>
        <w:pStyle w:val="16"/>
        <w:pageBreakBefore w:val="0"/>
        <w:widowControl/>
        <w:kinsoku/>
        <w:overflowPunct/>
        <w:topLinePunct w:val="0"/>
        <w:bidi w:val="0"/>
        <w:snapToGrid/>
        <w:spacing w:beforeAutospacing="0" w:afterAutospacing="0" w:line="360" w:lineRule="auto"/>
        <w:rPr>
          <w:rFonts w:hint="eastAsia" w:ascii="宋体" w:hAnsi="宋体" w:eastAsia="宋体" w:cs="宋体"/>
          <w:color w:val="auto"/>
          <w:highlight w:val="none"/>
        </w:rPr>
      </w:pPr>
    </w:p>
    <w:p>
      <w:pPr>
        <w:pStyle w:val="16"/>
        <w:pageBreakBefore w:val="0"/>
        <w:widowControl/>
        <w:kinsoku/>
        <w:overflowPunct/>
        <w:topLinePunct w:val="0"/>
        <w:bidi w:val="0"/>
        <w:snapToGrid/>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sz w:val="21"/>
          <w:szCs w:val="21"/>
          <w:highlight w:val="none"/>
        </w:rPr>
        <w:br w:type="page"/>
      </w:r>
    </w:p>
    <w:p>
      <w:pPr>
        <w:pStyle w:val="6"/>
        <w:pageBreakBefore w:val="0"/>
        <w:kinsoku/>
        <w:overflowPunct/>
        <w:topLinePunct w:val="0"/>
        <w:bidi w:val="0"/>
        <w:snapToGrid/>
        <w:spacing w:line="360" w:lineRule="auto"/>
        <w:rPr>
          <w:rFonts w:hint="eastAsia" w:ascii="宋体" w:hAnsi="宋体" w:eastAsia="宋体" w:cs="宋体"/>
          <w:color w:val="auto"/>
          <w:highlight w:val="none"/>
        </w:rPr>
      </w:pPr>
      <w:bookmarkStart w:id="126" w:name="_Toc6757"/>
      <w:bookmarkStart w:id="127" w:name="_Toc32060"/>
      <w:r>
        <w:rPr>
          <w:rFonts w:hint="eastAsia" w:ascii="宋体" w:hAnsi="宋体" w:eastAsia="宋体" w:cs="宋体"/>
          <w:color w:val="auto"/>
          <w:highlight w:val="none"/>
        </w:rPr>
        <w:t>附件1 开启记录表</w:t>
      </w:r>
      <w:bookmarkEnd w:id="126"/>
      <w:bookmarkEnd w:id="127"/>
    </w:p>
    <w:p>
      <w:pPr>
        <w:pStyle w:val="16"/>
        <w:pageBreakBefore w:val="0"/>
        <w:widowControl/>
        <w:kinsoku/>
        <w:overflowPunct/>
        <w:topLinePunct w:val="0"/>
        <w:bidi w:val="0"/>
        <w:snapToGrid/>
        <w:spacing w:beforeAutospacing="0" w:afterAutospacing="0" w:line="360" w:lineRule="auto"/>
        <w:rPr>
          <w:rFonts w:hint="eastAsia" w:ascii="宋体" w:hAnsi="宋体" w:eastAsia="宋体" w:cs="宋体"/>
          <w:color w:val="auto"/>
          <w:highlight w:val="none"/>
        </w:rPr>
      </w:pPr>
    </w:p>
    <w:p>
      <w:pPr>
        <w:pStyle w:val="16"/>
        <w:pageBreakBefore w:val="0"/>
        <w:widowControl/>
        <w:kinsoku/>
        <w:overflowPunct/>
        <w:topLinePunct w:val="0"/>
        <w:bidi w:val="0"/>
        <w:snapToGrid/>
        <w:spacing w:beforeAutospacing="0" w:afterAutospacing="0" w:line="360" w:lineRule="auto"/>
        <w:jc w:val="center"/>
        <w:rPr>
          <w:rFonts w:hint="eastAsia" w:ascii="宋体" w:hAnsi="宋体" w:eastAsia="宋体" w:cs="宋体"/>
          <w:color w:val="auto"/>
          <w:sz w:val="36"/>
          <w:szCs w:val="36"/>
          <w:highlight w:val="none"/>
        </w:rPr>
      </w:pPr>
      <w:r>
        <w:rPr>
          <w:rFonts w:hint="eastAsia" w:ascii="宋体" w:hAnsi="宋体" w:eastAsia="宋体" w:cs="宋体"/>
          <w:color w:val="auto"/>
          <w:sz w:val="36"/>
          <w:szCs w:val="36"/>
          <w:highlight w:val="none"/>
        </w:rPr>
        <w:t>开启记录表</w:t>
      </w:r>
    </w:p>
    <w:p>
      <w:pPr>
        <w:pStyle w:val="16"/>
        <w:pageBreakBefore w:val="0"/>
        <w:widowControl/>
        <w:kinsoku/>
        <w:overflowPunct/>
        <w:topLinePunct w:val="0"/>
        <w:bidi w:val="0"/>
        <w:snapToGrid/>
        <w:spacing w:beforeAutospacing="0" w:afterAutospacing="0" w:line="360" w:lineRule="auto"/>
        <w:jc w:val="center"/>
        <w:rPr>
          <w:rFonts w:hint="eastAsia" w:ascii="宋体" w:hAnsi="宋体" w:eastAsia="宋体" w:cs="宋体"/>
          <w:color w:val="auto"/>
          <w:highlight w:val="none"/>
        </w:rPr>
      </w:pPr>
    </w:p>
    <w:p>
      <w:pPr>
        <w:pStyle w:val="16"/>
        <w:pageBreakBefore w:val="0"/>
        <w:widowControl/>
        <w:kinsoku/>
        <w:overflowPunct/>
        <w:topLinePunct w:val="0"/>
        <w:bidi w:val="0"/>
        <w:snapToGrid/>
        <w:spacing w:beforeAutospacing="0" w:afterAutospacing="0"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开启时间∶</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年</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月</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时</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分</w:t>
      </w:r>
    </w:p>
    <w:tbl>
      <w:tblPr>
        <w:tblStyle w:val="20"/>
        <w:tblW w:w="985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66"/>
        <w:gridCol w:w="1262"/>
        <w:gridCol w:w="1838"/>
        <w:gridCol w:w="3128"/>
        <w:gridCol w:w="854"/>
        <w:gridCol w:w="190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5" w:hRule="atLeast"/>
        </w:trPr>
        <w:tc>
          <w:tcPr>
            <w:tcW w:w="866" w:type="dxa"/>
            <w:vAlign w:val="center"/>
          </w:tcPr>
          <w:p>
            <w:pPr>
              <w:pStyle w:val="16"/>
              <w:pageBreakBefore w:val="0"/>
              <w:widowControl/>
              <w:kinsoku/>
              <w:overflowPunct/>
              <w:topLinePunct w:val="0"/>
              <w:bidi w:val="0"/>
              <w:snapToGrid/>
              <w:spacing w:beforeAutospacing="0" w:afterAutospacing="0"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序号</w:t>
            </w:r>
          </w:p>
        </w:tc>
        <w:tc>
          <w:tcPr>
            <w:tcW w:w="1262" w:type="dxa"/>
            <w:vAlign w:val="center"/>
          </w:tcPr>
          <w:p>
            <w:pPr>
              <w:pStyle w:val="16"/>
              <w:pageBreakBefore w:val="0"/>
              <w:widowControl/>
              <w:kinsoku/>
              <w:overflowPunct/>
              <w:topLinePunct w:val="0"/>
              <w:bidi w:val="0"/>
              <w:snapToGrid/>
              <w:spacing w:beforeAutospacing="0" w:afterAutospacing="0" w:line="360" w:lineRule="auto"/>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询比响应人</w:t>
            </w:r>
          </w:p>
        </w:tc>
        <w:tc>
          <w:tcPr>
            <w:tcW w:w="1838" w:type="dxa"/>
            <w:vAlign w:val="center"/>
          </w:tcPr>
          <w:p>
            <w:pPr>
              <w:pStyle w:val="16"/>
              <w:pageBreakBefore w:val="0"/>
              <w:widowControl/>
              <w:kinsoku/>
              <w:overflowPunct/>
              <w:topLinePunct w:val="0"/>
              <w:bidi w:val="0"/>
              <w:snapToGrid/>
              <w:spacing w:beforeAutospacing="0" w:afterAutospacing="0"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响应报价</w:t>
            </w:r>
          </w:p>
        </w:tc>
        <w:tc>
          <w:tcPr>
            <w:tcW w:w="3128" w:type="dxa"/>
            <w:vAlign w:val="center"/>
          </w:tcPr>
          <w:p>
            <w:pPr>
              <w:pStyle w:val="16"/>
              <w:pageBreakBefore w:val="0"/>
              <w:widowControl/>
              <w:kinsoku/>
              <w:overflowPunct/>
              <w:topLinePunct w:val="0"/>
              <w:bidi w:val="0"/>
              <w:snapToGrid/>
              <w:spacing w:beforeAutospacing="0" w:afterAutospacing="0"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eastAsia="zh-CN"/>
              </w:rPr>
              <w:t>询比响应人</w:t>
            </w:r>
            <w:r>
              <w:rPr>
                <w:rFonts w:hint="eastAsia" w:ascii="宋体" w:hAnsi="宋体" w:eastAsia="宋体" w:cs="宋体"/>
                <w:color w:val="auto"/>
                <w:sz w:val="21"/>
                <w:szCs w:val="21"/>
                <w:highlight w:val="none"/>
              </w:rPr>
              <w:t>须知前附表规定的</w:t>
            </w:r>
          </w:p>
          <w:p>
            <w:pPr>
              <w:pStyle w:val="16"/>
              <w:pageBreakBefore w:val="0"/>
              <w:widowControl/>
              <w:kinsoku/>
              <w:overflowPunct/>
              <w:topLinePunct w:val="0"/>
              <w:bidi w:val="0"/>
              <w:snapToGrid/>
              <w:spacing w:beforeAutospacing="0" w:afterAutospacing="0"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其他应公布的信息）</w:t>
            </w:r>
          </w:p>
        </w:tc>
        <w:tc>
          <w:tcPr>
            <w:tcW w:w="854" w:type="dxa"/>
            <w:vAlign w:val="center"/>
          </w:tcPr>
          <w:p>
            <w:pPr>
              <w:pStyle w:val="16"/>
              <w:pageBreakBefore w:val="0"/>
              <w:widowControl/>
              <w:kinsoku/>
              <w:overflowPunct/>
              <w:topLinePunct w:val="0"/>
              <w:bidi w:val="0"/>
              <w:snapToGrid/>
              <w:spacing w:beforeAutospacing="0" w:afterAutospacing="0"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备注</w:t>
            </w:r>
          </w:p>
        </w:tc>
        <w:tc>
          <w:tcPr>
            <w:tcW w:w="1908" w:type="dxa"/>
            <w:vAlign w:val="center"/>
          </w:tcPr>
          <w:p>
            <w:pPr>
              <w:pStyle w:val="16"/>
              <w:pageBreakBefore w:val="0"/>
              <w:widowControl/>
              <w:kinsoku/>
              <w:overflowPunct/>
              <w:topLinePunct w:val="0"/>
              <w:bidi w:val="0"/>
              <w:snapToGrid/>
              <w:spacing w:beforeAutospacing="0" w:afterAutospacing="0"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询比响应人</w:t>
            </w:r>
            <w:r>
              <w:rPr>
                <w:rFonts w:hint="eastAsia" w:ascii="宋体" w:hAnsi="宋体" w:eastAsia="宋体" w:cs="宋体"/>
                <w:color w:val="auto"/>
                <w:sz w:val="21"/>
                <w:szCs w:val="21"/>
                <w:highlight w:val="none"/>
              </w:rPr>
              <w:t>代表签名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7" w:hRule="atLeast"/>
        </w:trPr>
        <w:tc>
          <w:tcPr>
            <w:tcW w:w="866" w:type="dxa"/>
            <w:vAlign w:val="center"/>
          </w:tcPr>
          <w:p>
            <w:pPr>
              <w:pStyle w:val="16"/>
              <w:pageBreakBefore w:val="0"/>
              <w:widowControl/>
              <w:kinsoku/>
              <w:overflowPunct/>
              <w:topLinePunct w:val="0"/>
              <w:bidi w:val="0"/>
              <w:snapToGrid/>
              <w:spacing w:beforeAutospacing="0" w:afterAutospacing="0" w:line="360" w:lineRule="auto"/>
              <w:jc w:val="center"/>
              <w:rPr>
                <w:rFonts w:hint="eastAsia" w:ascii="宋体" w:hAnsi="宋体" w:eastAsia="宋体" w:cs="宋体"/>
                <w:color w:val="auto"/>
                <w:sz w:val="21"/>
                <w:szCs w:val="21"/>
                <w:highlight w:val="none"/>
              </w:rPr>
            </w:pPr>
          </w:p>
        </w:tc>
        <w:tc>
          <w:tcPr>
            <w:tcW w:w="1262" w:type="dxa"/>
            <w:vAlign w:val="center"/>
          </w:tcPr>
          <w:p>
            <w:pPr>
              <w:pStyle w:val="16"/>
              <w:pageBreakBefore w:val="0"/>
              <w:widowControl/>
              <w:kinsoku/>
              <w:overflowPunct/>
              <w:topLinePunct w:val="0"/>
              <w:bidi w:val="0"/>
              <w:snapToGrid/>
              <w:spacing w:beforeAutospacing="0" w:afterAutospacing="0" w:line="360" w:lineRule="auto"/>
              <w:jc w:val="center"/>
              <w:rPr>
                <w:rFonts w:hint="eastAsia" w:ascii="宋体" w:hAnsi="宋体" w:eastAsia="宋体" w:cs="宋体"/>
                <w:color w:val="auto"/>
                <w:sz w:val="21"/>
                <w:szCs w:val="21"/>
                <w:highlight w:val="none"/>
              </w:rPr>
            </w:pPr>
          </w:p>
        </w:tc>
        <w:tc>
          <w:tcPr>
            <w:tcW w:w="1838" w:type="dxa"/>
            <w:vAlign w:val="center"/>
          </w:tcPr>
          <w:p>
            <w:pPr>
              <w:pStyle w:val="16"/>
              <w:pageBreakBefore w:val="0"/>
              <w:widowControl/>
              <w:kinsoku/>
              <w:overflowPunct/>
              <w:topLinePunct w:val="0"/>
              <w:bidi w:val="0"/>
              <w:snapToGrid/>
              <w:spacing w:beforeAutospacing="0" w:afterAutospacing="0" w:line="360" w:lineRule="auto"/>
              <w:jc w:val="center"/>
              <w:rPr>
                <w:rFonts w:hint="eastAsia" w:ascii="宋体" w:hAnsi="宋体" w:eastAsia="宋体" w:cs="宋体"/>
                <w:color w:val="auto"/>
                <w:sz w:val="21"/>
                <w:szCs w:val="21"/>
                <w:highlight w:val="none"/>
              </w:rPr>
            </w:pPr>
          </w:p>
        </w:tc>
        <w:tc>
          <w:tcPr>
            <w:tcW w:w="3128" w:type="dxa"/>
            <w:vAlign w:val="center"/>
          </w:tcPr>
          <w:p>
            <w:pPr>
              <w:pStyle w:val="16"/>
              <w:pageBreakBefore w:val="0"/>
              <w:widowControl/>
              <w:kinsoku/>
              <w:overflowPunct/>
              <w:topLinePunct w:val="0"/>
              <w:bidi w:val="0"/>
              <w:snapToGrid/>
              <w:spacing w:beforeAutospacing="0" w:afterAutospacing="0" w:line="360" w:lineRule="auto"/>
              <w:jc w:val="center"/>
              <w:rPr>
                <w:rFonts w:hint="eastAsia" w:ascii="宋体" w:hAnsi="宋体" w:eastAsia="宋体" w:cs="宋体"/>
                <w:color w:val="auto"/>
                <w:sz w:val="21"/>
                <w:szCs w:val="21"/>
                <w:highlight w:val="none"/>
              </w:rPr>
            </w:pPr>
          </w:p>
        </w:tc>
        <w:tc>
          <w:tcPr>
            <w:tcW w:w="854" w:type="dxa"/>
            <w:vAlign w:val="center"/>
          </w:tcPr>
          <w:p>
            <w:pPr>
              <w:pStyle w:val="16"/>
              <w:pageBreakBefore w:val="0"/>
              <w:widowControl/>
              <w:kinsoku/>
              <w:overflowPunct/>
              <w:topLinePunct w:val="0"/>
              <w:bidi w:val="0"/>
              <w:snapToGrid/>
              <w:spacing w:beforeAutospacing="0" w:afterAutospacing="0" w:line="360" w:lineRule="auto"/>
              <w:jc w:val="center"/>
              <w:rPr>
                <w:rFonts w:hint="eastAsia" w:ascii="宋体" w:hAnsi="宋体" w:eastAsia="宋体" w:cs="宋体"/>
                <w:color w:val="auto"/>
                <w:sz w:val="21"/>
                <w:szCs w:val="21"/>
                <w:highlight w:val="none"/>
              </w:rPr>
            </w:pPr>
          </w:p>
        </w:tc>
        <w:tc>
          <w:tcPr>
            <w:tcW w:w="1908" w:type="dxa"/>
            <w:vAlign w:val="center"/>
          </w:tcPr>
          <w:p>
            <w:pPr>
              <w:pStyle w:val="16"/>
              <w:pageBreakBefore w:val="0"/>
              <w:widowControl/>
              <w:kinsoku/>
              <w:overflowPunct/>
              <w:topLinePunct w:val="0"/>
              <w:bidi w:val="0"/>
              <w:snapToGrid/>
              <w:spacing w:beforeAutospacing="0" w:afterAutospacing="0" w:line="360" w:lineRule="auto"/>
              <w:jc w:val="center"/>
              <w:rPr>
                <w:rFonts w:hint="eastAsia" w:ascii="宋体" w:hAnsi="宋体" w:eastAsia="宋体" w:cs="宋体"/>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7" w:hRule="atLeast"/>
        </w:trPr>
        <w:tc>
          <w:tcPr>
            <w:tcW w:w="866" w:type="dxa"/>
            <w:vAlign w:val="center"/>
          </w:tcPr>
          <w:p>
            <w:pPr>
              <w:pStyle w:val="16"/>
              <w:pageBreakBefore w:val="0"/>
              <w:widowControl/>
              <w:kinsoku/>
              <w:overflowPunct/>
              <w:topLinePunct w:val="0"/>
              <w:bidi w:val="0"/>
              <w:snapToGrid/>
              <w:spacing w:beforeAutospacing="0" w:afterAutospacing="0" w:line="360" w:lineRule="auto"/>
              <w:jc w:val="center"/>
              <w:rPr>
                <w:rFonts w:hint="eastAsia" w:ascii="宋体" w:hAnsi="宋体" w:eastAsia="宋体" w:cs="宋体"/>
                <w:color w:val="auto"/>
                <w:sz w:val="21"/>
                <w:szCs w:val="21"/>
                <w:highlight w:val="none"/>
              </w:rPr>
            </w:pPr>
          </w:p>
        </w:tc>
        <w:tc>
          <w:tcPr>
            <w:tcW w:w="1262" w:type="dxa"/>
            <w:vAlign w:val="center"/>
          </w:tcPr>
          <w:p>
            <w:pPr>
              <w:pStyle w:val="16"/>
              <w:pageBreakBefore w:val="0"/>
              <w:widowControl/>
              <w:kinsoku/>
              <w:overflowPunct/>
              <w:topLinePunct w:val="0"/>
              <w:bidi w:val="0"/>
              <w:snapToGrid/>
              <w:spacing w:beforeAutospacing="0" w:afterAutospacing="0" w:line="360" w:lineRule="auto"/>
              <w:jc w:val="center"/>
              <w:rPr>
                <w:rFonts w:hint="eastAsia" w:ascii="宋体" w:hAnsi="宋体" w:eastAsia="宋体" w:cs="宋体"/>
                <w:color w:val="auto"/>
                <w:sz w:val="21"/>
                <w:szCs w:val="21"/>
                <w:highlight w:val="none"/>
              </w:rPr>
            </w:pPr>
          </w:p>
        </w:tc>
        <w:tc>
          <w:tcPr>
            <w:tcW w:w="1838" w:type="dxa"/>
            <w:vAlign w:val="center"/>
          </w:tcPr>
          <w:p>
            <w:pPr>
              <w:pStyle w:val="16"/>
              <w:pageBreakBefore w:val="0"/>
              <w:widowControl/>
              <w:kinsoku/>
              <w:overflowPunct/>
              <w:topLinePunct w:val="0"/>
              <w:bidi w:val="0"/>
              <w:snapToGrid/>
              <w:spacing w:beforeAutospacing="0" w:afterAutospacing="0" w:line="360" w:lineRule="auto"/>
              <w:jc w:val="center"/>
              <w:rPr>
                <w:rFonts w:hint="eastAsia" w:ascii="宋体" w:hAnsi="宋体" w:eastAsia="宋体" w:cs="宋体"/>
                <w:color w:val="auto"/>
                <w:sz w:val="21"/>
                <w:szCs w:val="21"/>
                <w:highlight w:val="none"/>
              </w:rPr>
            </w:pPr>
          </w:p>
        </w:tc>
        <w:tc>
          <w:tcPr>
            <w:tcW w:w="3128" w:type="dxa"/>
            <w:vAlign w:val="center"/>
          </w:tcPr>
          <w:p>
            <w:pPr>
              <w:pStyle w:val="16"/>
              <w:pageBreakBefore w:val="0"/>
              <w:widowControl/>
              <w:kinsoku/>
              <w:overflowPunct/>
              <w:topLinePunct w:val="0"/>
              <w:bidi w:val="0"/>
              <w:snapToGrid/>
              <w:spacing w:beforeAutospacing="0" w:afterAutospacing="0" w:line="360" w:lineRule="auto"/>
              <w:jc w:val="center"/>
              <w:rPr>
                <w:rFonts w:hint="eastAsia" w:ascii="宋体" w:hAnsi="宋体" w:eastAsia="宋体" w:cs="宋体"/>
                <w:color w:val="auto"/>
                <w:sz w:val="21"/>
                <w:szCs w:val="21"/>
                <w:highlight w:val="none"/>
              </w:rPr>
            </w:pPr>
          </w:p>
        </w:tc>
        <w:tc>
          <w:tcPr>
            <w:tcW w:w="854" w:type="dxa"/>
            <w:vAlign w:val="center"/>
          </w:tcPr>
          <w:p>
            <w:pPr>
              <w:pStyle w:val="16"/>
              <w:pageBreakBefore w:val="0"/>
              <w:widowControl/>
              <w:kinsoku/>
              <w:overflowPunct/>
              <w:topLinePunct w:val="0"/>
              <w:bidi w:val="0"/>
              <w:snapToGrid/>
              <w:spacing w:beforeAutospacing="0" w:afterAutospacing="0" w:line="360" w:lineRule="auto"/>
              <w:jc w:val="center"/>
              <w:rPr>
                <w:rFonts w:hint="eastAsia" w:ascii="宋体" w:hAnsi="宋体" w:eastAsia="宋体" w:cs="宋体"/>
                <w:color w:val="auto"/>
                <w:sz w:val="21"/>
                <w:szCs w:val="21"/>
                <w:highlight w:val="none"/>
              </w:rPr>
            </w:pPr>
          </w:p>
        </w:tc>
        <w:tc>
          <w:tcPr>
            <w:tcW w:w="1908" w:type="dxa"/>
            <w:vAlign w:val="center"/>
          </w:tcPr>
          <w:p>
            <w:pPr>
              <w:pStyle w:val="16"/>
              <w:pageBreakBefore w:val="0"/>
              <w:widowControl/>
              <w:kinsoku/>
              <w:overflowPunct/>
              <w:topLinePunct w:val="0"/>
              <w:bidi w:val="0"/>
              <w:snapToGrid/>
              <w:spacing w:beforeAutospacing="0" w:afterAutospacing="0" w:line="360" w:lineRule="auto"/>
              <w:jc w:val="center"/>
              <w:rPr>
                <w:rFonts w:hint="eastAsia" w:ascii="宋体" w:hAnsi="宋体" w:eastAsia="宋体" w:cs="宋体"/>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7" w:hRule="atLeast"/>
        </w:trPr>
        <w:tc>
          <w:tcPr>
            <w:tcW w:w="866" w:type="dxa"/>
            <w:vAlign w:val="center"/>
          </w:tcPr>
          <w:p>
            <w:pPr>
              <w:pStyle w:val="16"/>
              <w:pageBreakBefore w:val="0"/>
              <w:widowControl/>
              <w:kinsoku/>
              <w:overflowPunct/>
              <w:topLinePunct w:val="0"/>
              <w:bidi w:val="0"/>
              <w:snapToGrid/>
              <w:spacing w:beforeAutospacing="0" w:afterAutospacing="0" w:line="360" w:lineRule="auto"/>
              <w:jc w:val="center"/>
              <w:rPr>
                <w:rFonts w:hint="eastAsia" w:ascii="宋体" w:hAnsi="宋体" w:eastAsia="宋体" w:cs="宋体"/>
                <w:color w:val="auto"/>
                <w:sz w:val="21"/>
                <w:szCs w:val="21"/>
                <w:highlight w:val="none"/>
              </w:rPr>
            </w:pPr>
          </w:p>
        </w:tc>
        <w:tc>
          <w:tcPr>
            <w:tcW w:w="1262" w:type="dxa"/>
            <w:vAlign w:val="center"/>
          </w:tcPr>
          <w:p>
            <w:pPr>
              <w:pStyle w:val="16"/>
              <w:pageBreakBefore w:val="0"/>
              <w:widowControl/>
              <w:kinsoku/>
              <w:overflowPunct/>
              <w:topLinePunct w:val="0"/>
              <w:bidi w:val="0"/>
              <w:snapToGrid/>
              <w:spacing w:beforeAutospacing="0" w:afterAutospacing="0" w:line="360" w:lineRule="auto"/>
              <w:jc w:val="center"/>
              <w:rPr>
                <w:rFonts w:hint="eastAsia" w:ascii="宋体" w:hAnsi="宋体" w:eastAsia="宋体" w:cs="宋体"/>
                <w:color w:val="auto"/>
                <w:sz w:val="21"/>
                <w:szCs w:val="21"/>
                <w:highlight w:val="none"/>
              </w:rPr>
            </w:pPr>
          </w:p>
        </w:tc>
        <w:tc>
          <w:tcPr>
            <w:tcW w:w="1838" w:type="dxa"/>
            <w:vAlign w:val="center"/>
          </w:tcPr>
          <w:p>
            <w:pPr>
              <w:pStyle w:val="16"/>
              <w:pageBreakBefore w:val="0"/>
              <w:widowControl/>
              <w:kinsoku/>
              <w:overflowPunct/>
              <w:topLinePunct w:val="0"/>
              <w:bidi w:val="0"/>
              <w:snapToGrid/>
              <w:spacing w:beforeAutospacing="0" w:afterAutospacing="0" w:line="360" w:lineRule="auto"/>
              <w:jc w:val="center"/>
              <w:rPr>
                <w:rFonts w:hint="eastAsia" w:ascii="宋体" w:hAnsi="宋体" w:eastAsia="宋体" w:cs="宋体"/>
                <w:color w:val="auto"/>
                <w:sz w:val="21"/>
                <w:szCs w:val="21"/>
                <w:highlight w:val="none"/>
              </w:rPr>
            </w:pPr>
          </w:p>
        </w:tc>
        <w:tc>
          <w:tcPr>
            <w:tcW w:w="3128" w:type="dxa"/>
            <w:vAlign w:val="center"/>
          </w:tcPr>
          <w:p>
            <w:pPr>
              <w:pStyle w:val="16"/>
              <w:pageBreakBefore w:val="0"/>
              <w:widowControl/>
              <w:kinsoku/>
              <w:overflowPunct/>
              <w:topLinePunct w:val="0"/>
              <w:bidi w:val="0"/>
              <w:snapToGrid/>
              <w:spacing w:beforeAutospacing="0" w:afterAutospacing="0" w:line="360" w:lineRule="auto"/>
              <w:jc w:val="center"/>
              <w:rPr>
                <w:rFonts w:hint="eastAsia" w:ascii="宋体" w:hAnsi="宋体" w:eastAsia="宋体" w:cs="宋体"/>
                <w:color w:val="auto"/>
                <w:sz w:val="21"/>
                <w:szCs w:val="21"/>
                <w:highlight w:val="none"/>
              </w:rPr>
            </w:pPr>
          </w:p>
        </w:tc>
        <w:tc>
          <w:tcPr>
            <w:tcW w:w="854" w:type="dxa"/>
            <w:vAlign w:val="center"/>
          </w:tcPr>
          <w:p>
            <w:pPr>
              <w:pStyle w:val="16"/>
              <w:pageBreakBefore w:val="0"/>
              <w:widowControl/>
              <w:kinsoku/>
              <w:overflowPunct/>
              <w:topLinePunct w:val="0"/>
              <w:bidi w:val="0"/>
              <w:snapToGrid/>
              <w:spacing w:beforeAutospacing="0" w:afterAutospacing="0" w:line="360" w:lineRule="auto"/>
              <w:jc w:val="center"/>
              <w:rPr>
                <w:rFonts w:hint="eastAsia" w:ascii="宋体" w:hAnsi="宋体" w:eastAsia="宋体" w:cs="宋体"/>
                <w:color w:val="auto"/>
                <w:sz w:val="21"/>
                <w:szCs w:val="21"/>
                <w:highlight w:val="none"/>
              </w:rPr>
            </w:pPr>
          </w:p>
        </w:tc>
        <w:tc>
          <w:tcPr>
            <w:tcW w:w="1908" w:type="dxa"/>
            <w:vAlign w:val="center"/>
          </w:tcPr>
          <w:p>
            <w:pPr>
              <w:pStyle w:val="16"/>
              <w:pageBreakBefore w:val="0"/>
              <w:widowControl/>
              <w:kinsoku/>
              <w:overflowPunct/>
              <w:topLinePunct w:val="0"/>
              <w:bidi w:val="0"/>
              <w:snapToGrid/>
              <w:spacing w:beforeAutospacing="0" w:afterAutospacing="0" w:line="360" w:lineRule="auto"/>
              <w:jc w:val="center"/>
              <w:rPr>
                <w:rFonts w:hint="eastAsia" w:ascii="宋体" w:hAnsi="宋体" w:eastAsia="宋体" w:cs="宋体"/>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7" w:hRule="atLeast"/>
        </w:trPr>
        <w:tc>
          <w:tcPr>
            <w:tcW w:w="866" w:type="dxa"/>
            <w:vAlign w:val="center"/>
          </w:tcPr>
          <w:p>
            <w:pPr>
              <w:pStyle w:val="16"/>
              <w:pageBreakBefore w:val="0"/>
              <w:widowControl/>
              <w:kinsoku/>
              <w:overflowPunct/>
              <w:topLinePunct w:val="0"/>
              <w:bidi w:val="0"/>
              <w:snapToGrid/>
              <w:spacing w:beforeAutospacing="0" w:afterAutospacing="0" w:line="360" w:lineRule="auto"/>
              <w:jc w:val="center"/>
              <w:rPr>
                <w:rFonts w:hint="eastAsia" w:ascii="宋体" w:hAnsi="宋体" w:eastAsia="宋体" w:cs="宋体"/>
                <w:color w:val="auto"/>
                <w:sz w:val="21"/>
                <w:szCs w:val="21"/>
                <w:highlight w:val="none"/>
              </w:rPr>
            </w:pPr>
          </w:p>
        </w:tc>
        <w:tc>
          <w:tcPr>
            <w:tcW w:w="1262" w:type="dxa"/>
            <w:vAlign w:val="center"/>
          </w:tcPr>
          <w:p>
            <w:pPr>
              <w:pStyle w:val="16"/>
              <w:pageBreakBefore w:val="0"/>
              <w:widowControl/>
              <w:kinsoku/>
              <w:overflowPunct/>
              <w:topLinePunct w:val="0"/>
              <w:bidi w:val="0"/>
              <w:snapToGrid/>
              <w:spacing w:beforeAutospacing="0" w:afterAutospacing="0" w:line="360" w:lineRule="auto"/>
              <w:jc w:val="center"/>
              <w:rPr>
                <w:rFonts w:hint="eastAsia" w:ascii="宋体" w:hAnsi="宋体" w:eastAsia="宋体" w:cs="宋体"/>
                <w:color w:val="auto"/>
                <w:sz w:val="21"/>
                <w:szCs w:val="21"/>
                <w:highlight w:val="none"/>
              </w:rPr>
            </w:pPr>
          </w:p>
        </w:tc>
        <w:tc>
          <w:tcPr>
            <w:tcW w:w="1838" w:type="dxa"/>
            <w:vAlign w:val="center"/>
          </w:tcPr>
          <w:p>
            <w:pPr>
              <w:pStyle w:val="16"/>
              <w:pageBreakBefore w:val="0"/>
              <w:widowControl/>
              <w:kinsoku/>
              <w:overflowPunct/>
              <w:topLinePunct w:val="0"/>
              <w:bidi w:val="0"/>
              <w:snapToGrid/>
              <w:spacing w:beforeAutospacing="0" w:afterAutospacing="0" w:line="360" w:lineRule="auto"/>
              <w:jc w:val="center"/>
              <w:rPr>
                <w:rFonts w:hint="eastAsia" w:ascii="宋体" w:hAnsi="宋体" w:eastAsia="宋体" w:cs="宋体"/>
                <w:color w:val="auto"/>
                <w:sz w:val="21"/>
                <w:szCs w:val="21"/>
                <w:highlight w:val="none"/>
              </w:rPr>
            </w:pPr>
          </w:p>
        </w:tc>
        <w:tc>
          <w:tcPr>
            <w:tcW w:w="3128" w:type="dxa"/>
            <w:vAlign w:val="center"/>
          </w:tcPr>
          <w:p>
            <w:pPr>
              <w:pStyle w:val="16"/>
              <w:pageBreakBefore w:val="0"/>
              <w:widowControl/>
              <w:kinsoku/>
              <w:overflowPunct/>
              <w:topLinePunct w:val="0"/>
              <w:bidi w:val="0"/>
              <w:snapToGrid/>
              <w:spacing w:beforeAutospacing="0" w:afterAutospacing="0" w:line="360" w:lineRule="auto"/>
              <w:jc w:val="center"/>
              <w:rPr>
                <w:rFonts w:hint="eastAsia" w:ascii="宋体" w:hAnsi="宋体" w:eastAsia="宋体" w:cs="宋体"/>
                <w:color w:val="auto"/>
                <w:sz w:val="21"/>
                <w:szCs w:val="21"/>
                <w:highlight w:val="none"/>
              </w:rPr>
            </w:pPr>
          </w:p>
        </w:tc>
        <w:tc>
          <w:tcPr>
            <w:tcW w:w="854" w:type="dxa"/>
            <w:vAlign w:val="center"/>
          </w:tcPr>
          <w:p>
            <w:pPr>
              <w:pStyle w:val="16"/>
              <w:pageBreakBefore w:val="0"/>
              <w:widowControl/>
              <w:kinsoku/>
              <w:overflowPunct/>
              <w:topLinePunct w:val="0"/>
              <w:bidi w:val="0"/>
              <w:snapToGrid/>
              <w:spacing w:beforeAutospacing="0" w:afterAutospacing="0" w:line="360" w:lineRule="auto"/>
              <w:jc w:val="center"/>
              <w:rPr>
                <w:rFonts w:hint="eastAsia" w:ascii="宋体" w:hAnsi="宋体" w:eastAsia="宋体" w:cs="宋体"/>
                <w:color w:val="auto"/>
                <w:sz w:val="21"/>
                <w:szCs w:val="21"/>
                <w:highlight w:val="none"/>
              </w:rPr>
            </w:pPr>
          </w:p>
        </w:tc>
        <w:tc>
          <w:tcPr>
            <w:tcW w:w="1908" w:type="dxa"/>
            <w:vAlign w:val="center"/>
          </w:tcPr>
          <w:p>
            <w:pPr>
              <w:pStyle w:val="16"/>
              <w:pageBreakBefore w:val="0"/>
              <w:widowControl/>
              <w:kinsoku/>
              <w:overflowPunct/>
              <w:topLinePunct w:val="0"/>
              <w:bidi w:val="0"/>
              <w:snapToGrid/>
              <w:spacing w:beforeAutospacing="0" w:afterAutospacing="0" w:line="360" w:lineRule="auto"/>
              <w:jc w:val="center"/>
              <w:rPr>
                <w:rFonts w:hint="eastAsia" w:ascii="宋体" w:hAnsi="宋体" w:eastAsia="宋体" w:cs="宋体"/>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7" w:hRule="atLeast"/>
        </w:trPr>
        <w:tc>
          <w:tcPr>
            <w:tcW w:w="866" w:type="dxa"/>
            <w:vAlign w:val="center"/>
          </w:tcPr>
          <w:p>
            <w:pPr>
              <w:pStyle w:val="16"/>
              <w:pageBreakBefore w:val="0"/>
              <w:widowControl/>
              <w:kinsoku/>
              <w:overflowPunct/>
              <w:topLinePunct w:val="0"/>
              <w:bidi w:val="0"/>
              <w:snapToGrid/>
              <w:spacing w:beforeAutospacing="0" w:afterAutospacing="0" w:line="360" w:lineRule="auto"/>
              <w:jc w:val="center"/>
              <w:rPr>
                <w:rFonts w:hint="eastAsia" w:ascii="宋体" w:hAnsi="宋体" w:eastAsia="宋体" w:cs="宋体"/>
                <w:color w:val="auto"/>
                <w:sz w:val="21"/>
                <w:szCs w:val="21"/>
                <w:highlight w:val="none"/>
              </w:rPr>
            </w:pPr>
          </w:p>
        </w:tc>
        <w:tc>
          <w:tcPr>
            <w:tcW w:w="1262" w:type="dxa"/>
            <w:vAlign w:val="center"/>
          </w:tcPr>
          <w:p>
            <w:pPr>
              <w:pStyle w:val="16"/>
              <w:pageBreakBefore w:val="0"/>
              <w:widowControl/>
              <w:kinsoku/>
              <w:overflowPunct/>
              <w:topLinePunct w:val="0"/>
              <w:bidi w:val="0"/>
              <w:snapToGrid/>
              <w:spacing w:beforeAutospacing="0" w:afterAutospacing="0" w:line="360" w:lineRule="auto"/>
              <w:jc w:val="center"/>
              <w:rPr>
                <w:rFonts w:hint="eastAsia" w:ascii="宋体" w:hAnsi="宋体" w:eastAsia="宋体" w:cs="宋体"/>
                <w:color w:val="auto"/>
                <w:sz w:val="21"/>
                <w:szCs w:val="21"/>
                <w:highlight w:val="none"/>
              </w:rPr>
            </w:pPr>
          </w:p>
        </w:tc>
        <w:tc>
          <w:tcPr>
            <w:tcW w:w="1838" w:type="dxa"/>
            <w:vAlign w:val="center"/>
          </w:tcPr>
          <w:p>
            <w:pPr>
              <w:pStyle w:val="16"/>
              <w:pageBreakBefore w:val="0"/>
              <w:widowControl/>
              <w:kinsoku/>
              <w:overflowPunct/>
              <w:topLinePunct w:val="0"/>
              <w:bidi w:val="0"/>
              <w:snapToGrid/>
              <w:spacing w:beforeAutospacing="0" w:afterAutospacing="0" w:line="360" w:lineRule="auto"/>
              <w:jc w:val="center"/>
              <w:rPr>
                <w:rFonts w:hint="eastAsia" w:ascii="宋体" w:hAnsi="宋体" w:eastAsia="宋体" w:cs="宋体"/>
                <w:color w:val="auto"/>
                <w:sz w:val="21"/>
                <w:szCs w:val="21"/>
                <w:highlight w:val="none"/>
              </w:rPr>
            </w:pPr>
          </w:p>
        </w:tc>
        <w:tc>
          <w:tcPr>
            <w:tcW w:w="3128" w:type="dxa"/>
            <w:vAlign w:val="center"/>
          </w:tcPr>
          <w:p>
            <w:pPr>
              <w:pStyle w:val="16"/>
              <w:pageBreakBefore w:val="0"/>
              <w:widowControl/>
              <w:kinsoku/>
              <w:overflowPunct/>
              <w:topLinePunct w:val="0"/>
              <w:bidi w:val="0"/>
              <w:snapToGrid/>
              <w:spacing w:beforeAutospacing="0" w:afterAutospacing="0" w:line="360" w:lineRule="auto"/>
              <w:jc w:val="center"/>
              <w:rPr>
                <w:rFonts w:hint="eastAsia" w:ascii="宋体" w:hAnsi="宋体" w:eastAsia="宋体" w:cs="宋体"/>
                <w:color w:val="auto"/>
                <w:sz w:val="21"/>
                <w:szCs w:val="21"/>
                <w:highlight w:val="none"/>
              </w:rPr>
            </w:pPr>
          </w:p>
        </w:tc>
        <w:tc>
          <w:tcPr>
            <w:tcW w:w="854" w:type="dxa"/>
            <w:vAlign w:val="center"/>
          </w:tcPr>
          <w:p>
            <w:pPr>
              <w:pStyle w:val="16"/>
              <w:pageBreakBefore w:val="0"/>
              <w:widowControl/>
              <w:kinsoku/>
              <w:overflowPunct/>
              <w:topLinePunct w:val="0"/>
              <w:bidi w:val="0"/>
              <w:snapToGrid/>
              <w:spacing w:beforeAutospacing="0" w:afterAutospacing="0" w:line="360" w:lineRule="auto"/>
              <w:jc w:val="center"/>
              <w:rPr>
                <w:rFonts w:hint="eastAsia" w:ascii="宋体" w:hAnsi="宋体" w:eastAsia="宋体" w:cs="宋体"/>
                <w:color w:val="auto"/>
                <w:sz w:val="21"/>
                <w:szCs w:val="21"/>
                <w:highlight w:val="none"/>
              </w:rPr>
            </w:pPr>
          </w:p>
        </w:tc>
        <w:tc>
          <w:tcPr>
            <w:tcW w:w="1908" w:type="dxa"/>
            <w:vAlign w:val="center"/>
          </w:tcPr>
          <w:p>
            <w:pPr>
              <w:pStyle w:val="16"/>
              <w:pageBreakBefore w:val="0"/>
              <w:widowControl/>
              <w:kinsoku/>
              <w:overflowPunct/>
              <w:topLinePunct w:val="0"/>
              <w:bidi w:val="0"/>
              <w:snapToGrid/>
              <w:spacing w:beforeAutospacing="0" w:afterAutospacing="0" w:line="360" w:lineRule="auto"/>
              <w:jc w:val="center"/>
              <w:rPr>
                <w:rFonts w:hint="eastAsia" w:ascii="宋体" w:hAnsi="宋体" w:eastAsia="宋体" w:cs="宋体"/>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7" w:hRule="atLeast"/>
        </w:trPr>
        <w:tc>
          <w:tcPr>
            <w:tcW w:w="866" w:type="dxa"/>
            <w:vAlign w:val="center"/>
          </w:tcPr>
          <w:p>
            <w:pPr>
              <w:pStyle w:val="16"/>
              <w:pageBreakBefore w:val="0"/>
              <w:widowControl/>
              <w:kinsoku/>
              <w:overflowPunct/>
              <w:topLinePunct w:val="0"/>
              <w:bidi w:val="0"/>
              <w:snapToGrid/>
              <w:spacing w:beforeAutospacing="0" w:afterAutospacing="0" w:line="360" w:lineRule="auto"/>
              <w:jc w:val="center"/>
              <w:rPr>
                <w:rFonts w:hint="eastAsia" w:ascii="宋体" w:hAnsi="宋体" w:eastAsia="宋体" w:cs="宋体"/>
                <w:color w:val="auto"/>
                <w:sz w:val="21"/>
                <w:szCs w:val="21"/>
                <w:highlight w:val="none"/>
              </w:rPr>
            </w:pPr>
          </w:p>
        </w:tc>
        <w:tc>
          <w:tcPr>
            <w:tcW w:w="1262" w:type="dxa"/>
            <w:vAlign w:val="center"/>
          </w:tcPr>
          <w:p>
            <w:pPr>
              <w:pStyle w:val="16"/>
              <w:pageBreakBefore w:val="0"/>
              <w:widowControl/>
              <w:kinsoku/>
              <w:overflowPunct/>
              <w:topLinePunct w:val="0"/>
              <w:bidi w:val="0"/>
              <w:snapToGrid/>
              <w:spacing w:beforeAutospacing="0" w:afterAutospacing="0" w:line="360" w:lineRule="auto"/>
              <w:jc w:val="center"/>
              <w:rPr>
                <w:rFonts w:hint="eastAsia" w:ascii="宋体" w:hAnsi="宋体" w:eastAsia="宋体" w:cs="宋体"/>
                <w:color w:val="auto"/>
                <w:sz w:val="21"/>
                <w:szCs w:val="21"/>
                <w:highlight w:val="none"/>
              </w:rPr>
            </w:pPr>
          </w:p>
        </w:tc>
        <w:tc>
          <w:tcPr>
            <w:tcW w:w="1838" w:type="dxa"/>
            <w:vAlign w:val="center"/>
          </w:tcPr>
          <w:p>
            <w:pPr>
              <w:pStyle w:val="16"/>
              <w:pageBreakBefore w:val="0"/>
              <w:widowControl/>
              <w:kinsoku/>
              <w:overflowPunct/>
              <w:topLinePunct w:val="0"/>
              <w:bidi w:val="0"/>
              <w:snapToGrid/>
              <w:spacing w:beforeAutospacing="0" w:afterAutospacing="0" w:line="360" w:lineRule="auto"/>
              <w:jc w:val="center"/>
              <w:rPr>
                <w:rFonts w:hint="eastAsia" w:ascii="宋体" w:hAnsi="宋体" w:eastAsia="宋体" w:cs="宋体"/>
                <w:color w:val="auto"/>
                <w:sz w:val="21"/>
                <w:szCs w:val="21"/>
                <w:highlight w:val="none"/>
              </w:rPr>
            </w:pPr>
          </w:p>
        </w:tc>
        <w:tc>
          <w:tcPr>
            <w:tcW w:w="3128" w:type="dxa"/>
            <w:vAlign w:val="center"/>
          </w:tcPr>
          <w:p>
            <w:pPr>
              <w:pStyle w:val="16"/>
              <w:pageBreakBefore w:val="0"/>
              <w:widowControl/>
              <w:kinsoku/>
              <w:overflowPunct/>
              <w:topLinePunct w:val="0"/>
              <w:bidi w:val="0"/>
              <w:snapToGrid/>
              <w:spacing w:beforeAutospacing="0" w:afterAutospacing="0" w:line="360" w:lineRule="auto"/>
              <w:jc w:val="center"/>
              <w:rPr>
                <w:rFonts w:hint="eastAsia" w:ascii="宋体" w:hAnsi="宋体" w:eastAsia="宋体" w:cs="宋体"/>
                <w:color w:val="auto"/>
                <w:sz w:val="21"/>
                <w:szCs w:val="21"/>
                <w:highlight w:val="none"/>
              </w:rPr>
            </w:pPr>
          </w:p>
        </w:tc>
        <w:tc>
          <w:tcPr>
            <w:tcW w:w="854" w:type="dxa"/>
            <w:vAlign w:val="center"/>
          </w:tcPr>
          <w:p>
            <w:pPr>
              <w:pStyle w:val="16"/>
              <w:pageBreakBefore w:val="0"/>
              <w:widowControl/>
              <w:kinsoku/>
              <w:overflowPunct/>
              <w:topLinePunct w:val="0"/>
              <w:bidi w:val="0"/>
              <w:snapToGrid/>
              <w:spacing w:beforeAutospacing="0" w:afterAutospacing="0" w:line="360" w:lineRule="auto"/>
              <w:jc w:val="center"/>
              <w:rPr>
                <w:rFonts w:hint="eastAsia" w:ascii="宋体" w:hAnsi="宋体" w:eastAsia="宋体" w:cs="宋体"/>
                <w:color w:val="auto"/>
                <w:sz w:val="21"/>
                <w:szCs w:val="21"/>
                <w:highlight w:val="none"/>
              </w:rPr>
            </w:pPr>
          </w:p>
        </w:tc>
        <w:tc>
          <w:tcPr>
            <w:tcW w:w="1908" w:type="dxa"/>
            <w:vAlign w:val="center"/>
          </w:tcPr>
          <w:p>
            <w:pPr>
              <w:pStyle w:val="16"/>
              <w:pageBreakBefore w:val="0"/>
              <w:widowControl/>
              <w:kinsoku/>
              <w:overflowPunct/>
              <w:topLinePunct w:val="0"/>
              <w:bidi w:val="0"/>
              <w:snapToGrid/>
              <w:spacing w:beforeAutospacing="0" w:afterAutospacing="0" w:line="360" w:lineRule="auto"/>
              <w:jc w:val="center"/>
              <w:rPr>
                <w:rFonts w:hint="eastAsia" w:ascii="宋体" w:hAnsi="宋体" w:eastAsia="宋体" w:cs="宋体"/>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7" w:hRule="atLeast"/>
        </w:trPr>
        <w:tc>
          <w:tcPr>
            <w:tcW w:w="866" w:type="dxa"/>
            <w:vAlign w:val="center"/>
          </w:tcPr>
          <w:p>
            <w:pPr>
              <w:pStyle w:val="16"/>
              <w:pageBreakBefore w:val="0"/>
              <w:widowControl/>
              <w:kinsoku/>
              <w:overflowPunct/>
              <w:topLinePunct w:val="0"/>
              <w:bidi w:val="0"/>
              <w:snapToGrid/>
              <w:spacing w:beforeAutospacing="0" w:afterAutospacing="0" w:line="360" w:lineRule="auto"/>
              <w:jc w:val="center"/>
              <w:rPr>
                <w:rFonts w:hint="eastAsia" w:ascii="宋体" w:hAnsi="宋体" w:eastAsia="宋体" w:cs="宋体"/>
                <w:color w:val="auto"/>
                <w:sz w:val="21"/>
                <w:szCs w:val="21"/>
                <w:highlight w:val="none"/>
              </w:rPr>
            </w:pPr>
          </w:p>
        </w:tc>
        <w:tc>
          <w:tcPr>
            <w:tcW w:w="1262" w:type="dxa"/>
            <w:vAlign w:val="center"/>
          </w:tcPr>
          <w:p>
            <w:pPr>
              <w:pStyle w:val="16"/>
              <w:pageBreakBefore w:val="0"/>
              <w:widowControl/>
              <w:kinsoku/>
              <w:overflowPunct/>
              <w:topLinePunct w:val="0"/>
              <w:bidi w:val="0"/>
              <w:snapToGrid/>
              <w:spacing w:beforeAutospacing="0" w:afterAutospacing="0" w:line="360" w:lineRule="auto"/>
              <w:jc w:val="center"/>
              <w:rPr>
                <w:rFonts w:hint="eastAsia" w:ascii="宋体" w:hAnsi="宋体" w:eastAsia="宋体" w:cs="宋体"/>
                <w:color w:val="auto"/>
                <w:sz w:val="21"/>
                <w:szCs w:val="21"/>
                <w:highlight w:val="none"/>
              </w:rPr>
            </w:pPr>
          </w:p>
        </w:tc>
        <w:tc>
          <w:tcPr>
            <w:tcW w:w="1838" w:type="dxa"/>
            <w:vAlign w:val="center"/>
          </w:tcPr>
          <w:p>
            <w:pPr>
              <w:pStyle w:val="16"/>
              <w:pageBreakBefore w:val="0"/>
              <w:widowControl/>
              <w:kinsoku/>
              <w:overflowPunct/>
              <w:topLinePunct w:val="0"/>
              <w:bidi w:val="0"/>
              <w:snapToGrid/>
              <w:spacing w:beforeAutospacing="0" w:afterAutospacing="0" w:line="360" w:lineRule="auto"/>
              <w:jc w:val="center"/>
              <w:rPr>
                <w:rFonts w:hint="eastAsia" w:ascii="宋体" w:hAnsi="宋体" w:eastAsia="宋体" w:cs="宋体"/>
                <w:color w:val="auto"/>
                <w:sz w:val="21"/>
                <w:szCs w:val="21"/>
                <w:highlight w:val="none"/>
              </w:rPr>
            </w:pPr>
          </w:p>
        </w:tc>
        <w:tc>
          <w:tcPr>
            <w:tcW w:w="3128" w:type="dxa"/>
            <w:vAlign w:val="center"/>
          </w:tcPr>
          <w:p>
            <w:pPr>
              <w:pStyle w:val="16"/>
              <w:pageBreakBefore w:val="0"/>
              <w:widowControl/>
              <w:kinsoku/>
              <w:overflowPunct/>
              <w:topLinePunct w:val="0"/>
              <w:bidi w:val="0"/>
              <w:snapToGrid/>
              <w:spacing w:beforeAutospacing="0" w:afterAutospacing="0" w:line="360" w:lineRule="auto"/>
              <w:jc w:val="center"/>
              <w:rPr>
                <w:rFonts w:hint="eastAsia" w:ascii="宋体" w:hAnsi="宋体" w:eastAsia="宋体" w:cs="宋体"/>
                <w:color w:val="auto"/>
                <w:sz w:val="21"/>
                <w:szCs w:val="21"/>
                <w:highlight w:val="none"/>
              </w:rPr>
            </w:pPr>
          </w:p>
        </w:tc>
        <w:tc>
          <w:tcPr>
            <w:tcW w:w="854" w:type="dxa"/>
            <w:vAlign w:val="center"/>
          </w:tcPr>
          <w:p>
            <w:pPr>
              <w:pStyle w:val="16"/>
              <w:pageBreakBefore w:val="0"/>
              <w:widowControl/>
              <w:kinsoku/>
              <w:overflowPunct/>
              <w:topLinePunct w:val="0"/>
              <w:bidi w:val="0"/>
              <w:snapToGrid/>
              <w:spacing w:beforeAutospacing="0" w:afterAutospacing="0" w:line="360" w:lineRule="auto"/>
              <w:jc w:val="center"/>
              <w:rPr>
                <w:rFonts w:hint="eastAsia" w:ascii="宋体" w:hAnsi="宋体" w:eastAsia="宋体" w:cs="宋体"/>
                <w:color w:val="auto"/>
                <w:sz w:val="21"/>
                <w:szCs w:val="21"/>
                <w:highlight w:val="none"/>
              </w:rPr>
            </w:pPr>
          </w:p>
        </w:tc>
        <w:tc>
          <w:tcPr>
            <w:tcW w:w="1908" w:type="dxa"/>
            <w:vAlign w:val="center"/>
          </w:tcPr>
          <w:p>
            <w:pPr>
              <w:pStyle w:val="16"/>
              <w:pageBreakBefore w:val="0"/>
              <w:widowControl/>
              <w:kinsoku/>
              <w:overflowPunct/>
              <w:topLinePunct w:val="0"/>
              <w:bidi w:val="0"/>
              <w:snapToGrid/>
              <w:spacing w:beforeAutospacing="0" w:afterAutospacing="0" w:line="360" w:lineRule="auto"/>
              <w:jc w:val="center"/>
              <w:rPr>
                <w:rFonts w:hint="eastAsia" w:ascii="宋体" w:hAnsi="宋体" w:eastAsia="宋体" w:cs="宋体"/>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7" w:hRule="atLeast"/>
        </w:trPr>
        <w:tc>
          <w:tcPr>
            <w:tcW w:w="866" w:type="dxa"/>
            <w:vAlign w:val="center"/>
          </w:tcPr>
          <w:p>
            <w:pPr>
              <w:pStyle w:val="16"/>
              <w:pageBreakBefore w:val="0"/>
              <w:widowControl/>
              <w:kinsoku/>
              <w:overflowPunct/>
              <w:topLinePunct w:val="0"/>
              <w:bidi w:val="0"/>
              <w:snapToGrid/>
              <w:spacing w:beforeAutospacing="0" w:afterAutospacing="0" w:line="360" w:lineRule="auto"/>
              <w:jc w:val="center"/>
              <w:rPr>
                <w:rFonts w:hint="eastAsia" w:ascii="宋体" w:hAnsi="宋体" w:eastAsia="宋体" w:cs="宋体"/>
                <w:color w:val="auto"/>
                <w:sz w:val="21"/>
                <w:szCs w:val="21"/>
                <w:highlight w:val="none"/>
              </w:rPr>
            </w:pPr>
          </w:p>
        </w:tc>
        <w:tc>
          <w:tcPr>
            <w:tcW w:w="1262" w:type="dxa"/>
            <w:vAlign w:val="center"/>
          </w:tcPr>
          <w:p>
            <w:pPr>
              <w:pStyle w:val="16"/>
              <w:pageBreakBefore w:val="0"/>
              <w:widowControl/>
              <w:kinsoku/>
              <w:overflowPunct/>
              <w:topLinePunct w:val="0"/>
              <w:bidi w:val="0"/>
              <w:snapToGrid/>
              <w:spacing w:beforeAutospacing="0" w:afterAutospacing="0" w:line="360" w:lineRule="auto"/>
              <w:jc w:val="center"/>
              <w:rPr>
                <w:rFonts w:hint="eastAsia" w:ascii="宋体" w:hAnsi="宋体" w:eastAsia="宋体" w:cs="宋体"/>
                <w:color w:val="auto"/>
                <w:sz w:val="21"/>
                <w:szCs w:val="21"/>
                <w:highlight w:val="none"/>
              </w:rPr>
            </w:pPr>
          </w:p>
        </w:tc>
        <w:tc>
          <w:tcPr>
            <w:tcW w:w="1838" w:type="dxa"/>
            <w:vAlign w:val="center"/>
          </w:tcPr>
          <w:p>
            <w:pPr>
              <w:pStyle w:val="16"/>
              <w:pageBreakBefore w:val="0"/>
              <w:widowControl/>
              <w:kinsoku/>
              <w:overflowPunct/>
              <w:topLinePunct w:val="0"/>
              <w:bidi w:val="0"/>
              <w:snapToGrid/>
              <w:spacing w:beforeAutospacing="0" w:afterAutospacing="0" w:line="360" w:lineRule="auto"/>
              <w:jc w:val="center"/>
              <w:rPr>
                <w:rFonts w:hint="eastAsia" w:ascii="宋体" w:hAnsi="宋体" w:eastAsia="宋体" w:cs="宋体"/>
                <w:color w:val="auto"/>
                <w:sz w:val="21"/>
                <w:szCs w:val="21"/>
                <w:highlight w:val="none"/>
              </w:rPr>
            </w:pPr>
          </w:p>
        </w:tc>
        <w:tc>
          <w:tcPr>
            <w:tcW w:w="3128" w:type="dxa"/>
            <w:vAlign w:val="center"/>
          </w:tcPr>
          <w:p>
            <w:pPr>
              <w:pStyle w:val="16"/>
              <w:pageBreakBefore w:val="0"/>
              <w:widowControl/>
              <w:kinsoku/>
              <w:overflowPunct/>
              <w:topLinePunct w:val="0"/>
              <w:bidi w:val="0"/>
              <w:snapToGrid/>
              <w:spacing w:beforeAutospacing="0" w:afterAutospacing="0" w:line="360" w:lineRule="auto"/>
              <w:jc w:val="center"/>
              <w:rPr>
                <w:rFonts w:hint="eastAsia" w:ascii="宋体" w:hAnsi="宋体" w:eastAsia="宋体" w:cs="宋体"/>
                <w:color w:val="auto"/>
                <w:sz w:val="21"/>
                <w:szCs w:val="21"/>
                <w:highlight w:val="none"/>
              </w:rPr>
            </w:pPr>
          </w:p>
        </w:tc>
        <w:tc>
          <w:tcPr>
            <w:tcW w:w="854" w:type="dxa"/>
            <w:vAlign w:val="center"/>
          </w:tcPr>
          <w:p>
            <w:pPr>
              <w:pStyle w:val="16"/>
              <w:pageBreakBefore w:val="0"/>
              <w:widowControl/>
              <w:kinsoku/>
              <w:overflowPunct/>
              <w:topLinePunct w:val="0"/>
              <w:bidi w:val="0"/>
              <w:snapToGrid/>
              <w:spacing w:beforeAutospacing="0" w:afterAutospacing="0" w:line="360" w:lineRule="auto"/>
              <w:jc w:val="center"/>
              <w:rPr>
                <w:rFonts w:hint="eastAsia" w:ascii="宋体" w:hAnsi="宋体" w:eastAsia="宋体" w:cs="宋体"/>
                <w:color w:val="auto"/>
                <w:sz w:val="21"/>
                <w:szCs w:val="21"/>
                <w:highlight w:val="none"/>
              </w:rPr>
            </w:pPr>
          </w:p>
        </w:tc>
        <w:tc>
          <w:tcPr>
            <w:tcW w:w="1908" w:type="dxa"/>
            <w:vAlign w:val="center"/>
          </w:tcPr>
          <w:p>
            <w:pPr>
              <w:pStyle w:val="16"/>
              <w:pageBreakBefore w:val="0"/>
              <w:widowControl/>
              <w:kinsoku/>
              <w:overflowPunct/>
              <w:topLinePunct w:val="0"/>
              <w:bidi w:val="0"/>
              <w:snapToGrid/>
              <w:spacing w:beforeAutospacing="0" w:afterAutospacing="0" w:line="360" w:lineRule="auto"/>
              <w:jc w:val="center"/>
              <w:rPr>
                <w:rFonts w:hint="eastAsia" w:ascii="宋体" w:hAnsi="宋体" w:eastAsia="宋体" w:cs="宋体"/>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7" w:hRule="atLeast"/>
        </w:trPr>
        <w:tc>
          <w:tcPr>
            <w:tcW w:w="866" w:type="dxa"/>
            <w:vAlign w:val="center"/>
          </w:tcPr>
          <w:p>
            <w:pPr>
              <w:pStyle w:val="16"/>
              <w:pageBreakBefore w:val="0"/>
              <w:widowControl/>
              <w:kinsoku/>
              <w:overflowPunct/>
              <w:topLinePunct w:val="0"/>
              <w:bidi w:val="0"/>
              <w:snapToGrid/>
              <w:spacing w:beforeAutospacing="0" w:afterAutospacing="0" w:line="360" w:lineRule="auto"/>
              <w:jc w:val="center"/>
              <w:rPr>
                <w:rFonts w:hint="eastAsia" w:ascii="宋体" w:hAnsi="宋体" w:eastAsia="宋体" w:cs="宋体"/>
                <w:color w:val="auto"/>
                <w:sz w:val="21"/>
                <w:szCs w:val="21"/>
                <w:highlight w:val="none"/>
              </w:rPr>
            </w:pPr>
          </w:p>
        </w:tc>
        <w:tc>
          <w:tcPr>
            <w:tcW w:w="1262" w:type="dxa"/>
            <w:vAlign w:val="center"/>
          </w:tcPr>
          <w:p>
            <w:pPr>
              <w:pStyle w:val="16"/>
              <w:pageBreakBefore w:val="0"/>
              <w:widowControl/>
              <w:kinsoku/>
              <w:overflowPunct/>
              <w:topLinePunct w:val="0"/>
              <w:bidi w:val="0"/>
              <w:snapToGrid/>
              <w:spacing w:beforeAutospacing="0" w:afterAutospacing="0" w:line="360" w:lineRule="auto"/>
              <w:jc w:val="center"/>
              <w:rPr>
                <w:rFonts w:hint="eastAsia" w:ascii="宋体" w:hAnsi="宋体" w:eastAsia="宋体" w:cs="宋体"/>
                <w:color w:val="auto"/>
                <w:sz w:val="21"/>
                <w:szCs w:val="21"/>
                <w:highlight w:val="none"/>
              </w:rPr>
            </w:pPr>
          </w:p>
        </w:tc>
        <w:tc>
          <w:tcPr>
            <w:tcW w:w="1838" w:type="dxa"/>
            <w:vAlign w:val="center"/>
          </w:tcPr>
          <w:p>
            <w:pPr>
              <w:pStyle w:val="16"/>
              <w:pageBreakBefore w:val="0"/>
              <w:widowControl/>
              <w:kinsoku/>
              <w:overflowPunct/>
              <w:topLinePunct w:val="0"/>
              <w:bidi w:val="0"/>
              <w:snapToGrid/>
              <w:spacing w:beforeAutospacing="0" w:afterAutospacing="0" w:line="360" w:lineRule="auto"/>
              <w:jc w:val="center"/>
              <w:rPr>
                <w:rFonts w:hint="eastAsia" w:ascii="宋体" w:hAnsi="宋体" w:eastAsia="宋体" w:cs="宋体"/>
                <w:color w:val="auto"/>
                <w:sz w:val="21"/>
                <w:szCs w:val="21"/>
                <w:highlight w:val="none"/>
              </w:rPr>
            </w:pPr>
          </w:p>
        </w:tc>
        <w:tc>
          <w:tcPr>
            <w:tcW w:w="3128" w:type="dxa"/>
            <w:vAlign w:val="center"/>
          </w:tcPr>
          <w:p>
            <w:pPr>
              <w:pStyle w:val="16"/>
              <w:pageBreakBefore w:val="0"/>
              <w:widowControl/>
              <w:kinsoku/>
              <w:overflowPunct/>
              <w:topLinePunct w:val="0"/>
              <w:bidi w:val="0"/>
              <w:snapToGrid/>
              <w:spacing w:beforeAutospacing="0" w:afterAutospacing="0" w:line="360" w:lineRule="auto"/>
              <w:jc w:val="center"/>
              <w:rPr>
                <w:rFonts w:hint="eastAsia" w:ascii="宋体" w:hAnsi="宋体" w:eastAsia="宋体" w:cs="宋体"/>
                <w:color w:val="auto"/>
                <w:sz w:val="21"/>
                <w:szCs w:val="21"/>
                <w:highlight w:val="none"/>
              </w:rPr>
            </w:pPr>
          </w:p>
        </w:tc>
        <w:tc>
          <w:tcPr>
            <w:tcW w:w="854" w:type="dxa"/>
            <w:vAlign w:val="center"/>
          </w:tcPr>
          <w:p>
            <w:pPr>
              <w:pStyle w:val="16"/>
              <w:pageBreakBefore w:val="0"/>
              <w:widowControl/>
              <w:kinsoku/>
              <w:overflowPunct/>
              <w:topLinePunct w:val="0"/>
              <w:bidi w:val="0"/>
              <w:snapToGrid/>
              <w:spacing w:beforeAutospacing="0" w:afterAutospacing="0" w:line="360" w:lineRule="auto"/>
              <w:jc w:val="center"/>
              <w:rPr>
                <w:rFonts w:hint="eastAsia" w:ascii="宋体" w:hAnsi="宋体" w:eastAsia="宋体" w:cs="宋体"/>
                <w:color w:val="auto"/>
                <w:sz w:val="21"/>
                <w:szCs w:val="21"/>
                <w:highlight w:val="none"/>
              </w:rPr>
            </w:pPr>
          </w:p>
        </w:tc>
        <w:tc>
          <w:tcPr>
            <w:tcW w:w="1908" w:type="dxa"/>
            <w:vAlign w:val="center"/>
          </w:tcPr>
          <w:p>
            <w:pPr>
              <w:pStyle w:val="16"/>
              <w:pageBreakBefore w:val="0"/>
              <w:widowControl/>
              <w:kinsoku/>
              <w:overflowPunct/>
              <w:topLinePunct w:val="0"/>
              <w:bidi w:val="0"/>
              <w:snapToGrid/>
              <w:spacing w:beforeAutospacing="0" w:afterAutospacing="0" w:line="360" w:lineRule="auto"/>
              <w:jc w:val="center"/>
              <w:rPr>
                <w:rFonts w:hint="eastAsia" w:ascii="宋体" w:hAnsi="宋体" w:eastAsia="宋体" w:cs="宋体"/>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7" w:hRule="atLeast"/>
        </w:trPr>
        <w:tc>
          <w:tcPr>
            <w:tcW w:w="866" w:type="dxa"/>
            <w:vAlign w:val="center"/>
          </w:tcPr>
          <w:p>
            <w:pPr>
              <w:pStyle w:val="16"/>
              <w:pageBreakBefore w:val="0"/>
              <w:widowControl/>
              <w:kinsoku/>
              <w:overflowPunct/>
              <w:topLinePunct w:val="0"/>
              <w:bidi w:val="0"/>
              <w:snapToGrid/>
              <w:spacing w:beforeAutospacing="0" w:afterAutospacing="0" w:line="360" w:lineRule="auto"/>
              <w:jc w:val="center"/>
              <w:rPr>
                <w:rFonts w:hint="eastAsia" w:ascii="宋体" w:hAnsi="宋体" w:eastAsia="宋体" w:cs="宋体"/>
                <w:color w:val="auto"/>
                <w:sz w:val="21"/>
                <w:szCs w:val="21"/>
                <w:highlight w:val="none"/>
              </w:rPr>
            </w:pPr>
          </w:p>
        </w:tc>
        <w:tc>
          <w:tcPr>
            <w:tcW w:w="1262" w:type="dxa"/>
            <w:vAlign w:val="center"/>
          </w:tcPr>
          <w:p>
            <w:pPr>
              <w:pStyle w:val="16"/>
              <w:pageBreakBefore w:val="0"/>
              <w:widowControl/>
              <w:kinsoku/>
              <w:overflowPunct/>
              <w:topLinePunct w:val="0"/>
              <w:bidi w:val="0"/>
              <w:snapToGrid/>
              <w:spacing w:beforeAutospacing="0" w:afterAutospacing="0" w:line="360" w:lineRule="auto"/>
              <w:jc w:val="center"/>
              <w:rPr>
                <w:rFonts w:hint="eastAsia" w:ascii="宋体" w:hAnsi="宋体" w:eastAsia="宋体" w:cs="宋体"/>
                <w:color w:val="auto"/>
                <w:sz w:val="21"/>
                <w:szCs w:val="21"/>
                <w:highlight w:val="none"/>
              </w:rPr>
            </w:pPr>
          </w:p>
        </w:tc>
        <w:tc>
          <w:tcPr>
            <w:tcW w:w="1838" w:type="dxa"/>
            <w:vAlign w:val="center"/>
          </w:tcPr>
          <w:p>
            <w:pPr>
              <w:pStyle w:val="16"/>
              <w:pageBreakBefore w:val="0"/>
              <w:widowControl/>
              <w:kinsoku/>
              <w:overflowPunct/>
              <w:topLinePunct w:val="0"/>
              <w:bidi w:val="0"/>
              <w:snapToGrid/>
              <w:spacing w:beforeAutospacing="0" w:afterAutospacing="0" w:line="360" w:lineRule="auto"/>
              <w:jc w:val="center"/>
              <w:rPr>
                <w:rFonts w:hint="eastAsia" w:ascii="宋体" w:hAnsi="宋体" w:eastAsia="宋体" w:cs="宋体"/>
                <w:color w:val="auto"/>
                <w:sz w:val="21"/>
                <w:szCs w:val="21"/>
                <w:highlight w:val="none"/>
              </w:rPr>
            </w:pPr>
          </w:p>
        </w:tc>
        <w:tc>
          <w:tcPr>
            <w:tcW w:w="3128" w:type="dxa"/>
            <w:vAlign w:val="center"/>
          </w:tcPr>
          <w:p>
            <w:pPr>
              <w:pStyle w:val="16"/>
              <w:pageBreakBefore w:val="0"/>
              <w:widowControl/>
              <w:kinsoku/>
              <w:overflowPunct/>
              <w:topLinePunct w:val="0"/>
              <w:bidi w:val="0"/>
              <w:snapToGrid/>
              <w:spacing w:beforeAutospacing="0" w:afterAutospacing="0" w:line="360" w:lineRule="auto"/>
              <w:jc w:val="center"/>
              <w:rPr>
                <w:rFonts w:hint="eastAsia" w:ascii="宋体" w:hAnsi="宋体" w:eastAsia="宋体" w:cs="宋体"/>
                <w:color w:val="auto"/>
                <w:sz w:val="21"/>
                <w:szCs w:val="21"/>
                <w:highlight w:val="none"/>
              </w:rPr>
            </w:pPr>
          </w:p>
        </w:tc>
        <w:tc>
          <w:tcPr>
            <w:tcW w:w="854" w:type="dxa"/>
            <w:vAlign w:val="center"/>
          </w:tcPr>
          <w:p>
            <w:pPr>
              <w:pStyle w:val="16"/>
              <w:pageBreakBefore w:val="0"/>
              <w:widowControl/>
              <w:kinsoku/>
              <w:overflowPunct/>
              <w:topLinePunct w:val="0"/>
              <w:bidi w:val="0"/>
              <w:snapToGrid/>
              <w:spacing w:beforeAutospacing="0" w:afterAutospacing="0" w:line="360" w:lineRule="auto"/>
              <w:jc w:val="center"/>
              <w:rPr>
                <w:rFonts w:hint="eastAsia" w:ascii="宋体" w:hAnsi="宋体" w:eastAsia="宋体" w:cs="宋体"/>
                <w:color w:val="auto"/>
                <w:sz w:val="21"/>
                <w:szCs w:val="21"/>
                <w:highlight w:val="none"/>
              </w:rPr>
            </w:pPr>
          </w:p>
        </w:tc>
        <w:tc>
          <w:tcPr>
            <w:tcW w:w="1908" w:type="dxa"/>
            <w:vAlign w:val="center"/>
          </w:tcPr>
          <w:p>
            <w:pPr>
              <w:pStyle w:val="16"/>
              <w:pageBreakBefore w:val="0"/>
              <w:widowControl/>
              <w:kinsoku/>
              <w:overflowPunct/>
              <w:topLinePunct w:val="0"/>
              <w:bidi w:val="0"/>
              <w:snapToGrid/>
              <w:spacing w:beforeAutospacing="0" w:afterAutospacing="0" w:line="360" w:lineRule="auto"/>
              <w:jc w:val="center"/>
              <w:rPr>
                <w:rFonts w:hint="eastAsia" w:ascii="宋体" w:hAnsi="宋体" w:eastAsia="宋体" w:cs="宋体"/>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7" w:hRule="atLeast"/>
        </w:trPr>
        <w:tc>
          <w:tcPr>
            <w:tcW w:w="866" w:type="dxa"/>
            <w:vAlign w:val="center"/>
          </w:tcPr>
          <w:p>
            <w:pPr>
              <w:pStyle w:val="16"/>
              <w:pageBreakBefore w:val="0"/>
              <w:widowControl/>
              <w:kinsoku/>
              <w:overflowPunct/>
              <w:topLinePunct w:val="0"/>
              <w:bidi w:val="0"/>
              <w:snapToGrid/>
              <w:spacing w:beforeAutospacing="0" w:afterAutospacing="0" w:line="360" w:lineRule="auto"/>
              <w:jc w:val="center"/>
              <w:rPr>
                <w:rFonts w:hint="eastAsia" w:ascii="宋体" w:hAnsi="宋体" w:eastAsia="宋体" w:cs="宋体"/>
                <w:color w:val="auto"/>
                <w:sz w:val="21"/>
                <w:szCs w:val="21"/>
                <w:highlight w:val="none"/>
              </w:rPr>
            </w:pPr>
          </w:p>
        </w:tc>
        <w:tc>
          <w:tcPr>
            <w:tcW w:w="1262" w:type="dxa"/>
            <w:vAlign w:val="center"/>
          </w:tcPr>
          <w:p>
            <w:pPr>
              <w:pStyle w:val="16"/>
              <w:pageBreakBefore w:val="0"/>
              <w:widowControl/>
              <w:kinsoku/>
              <w:overflowPunct/>
              <w:topLinePunct w:val="0"/>
              <w:bidi w:val="0"/>
              <w:snapToGrid/>
              <w:spacing w:beforeAutospacing="0" w:afterAutospacing="0" w:line="360" w:lineRule="auto"/>
              <w:jc w:val="center"/>
              <w:rPr>
                <w:rFonts w:hint="eastAsia" w:ascii="宋体" w:hAnsi="宋体" w:eastAsia="宋体" w:cs="宋体"/>
                <w:color w:val="auto"/>
                <w:sz w:val="21"/>
                <w:szCs w:val="21"/>
                <w:highlight w:val="none"/>
              </w:rPr>
            </w:pPr>
          </w:p>
        </w:tc>
        <w:tc>
          <w:tcPr>
            <w:tcW w:w="1838" w:type="dxa"/>
            <w:vAlign w:val="center"/>
          </w:tcPr>
          <w:p>
            <w:pPr>
              <w:pStyle w:val="16"/>
              <w:pageBreakBefore w:val="0"/>
              <w:widowControl/>
              <w:kinsoku/>
              <w:overflowPunct/>
              <w:topLinePunct w:val="0"/>
              <w:bidi w:val="0"/>
              <w:snapToGrid/>
              <w:spacing w:beforeAutospacing="0" w:afterAutospacing="0" w:line="360" w:lineRule="auto"/>
              <w:jc w:val="center"/>
              <w:rPr>
                <w:rFonts w:hint="eastAsia" w:ascii="宋体" w:hAnsi="宋体" w:eastAsia="宋体" w:cs="宋体"/>
                <w:color w:val="auto"/>
                <w:sz w:val="21"/>
                <w:szCs w:val="21"/>
                <w:highlight w:val="none"/>
              </w:rPr>
            </w:pPr>
          </w:p>
        </w:tc>
        <w:tc>
          <w:tcPr>
            <w:tcW w:w="3128" w:type="dxa"/>
            <w:vAlign w:val="center"/>
          </w:tcPr>
          <w:p>
            <w:pPr>
              <w:pStyle w:val="16"/>
              <w:pageBreakBefore w:val="0"/>
              <w:widowControl/>
              <w:kinsoku/>
              <w:overflowPunct/>
              <w:topLinePunct w:val="0"/>
              <w:bidi w:val="0"/>
              <w:snapToGrid/>
              <w:spacing w:beforeAutospacing="0" w:afterAutospacing="0" w:line="360" w:lineRule="auto"/>
              <w:jc w:val="center"/>
              <w:rPr>
                <w:rFonts w:hint="eastAsia" w:ascii="宋体" w:hAnsi="宋体" w:eastAsia="宋体" w:cs="宋体"/>
                <w:color w:val="auto"/>
                <w:sz w:val="21"/>
                <w:szCs w:val="21"/>
                <w:highlight w:val="none"/>
              </w:rPr>
            </w:pPr>
          </w:p>
        </w:tc>
        <w:tc>
          <w:tcPr>
            <w:tcW w:w="854" w:type="dxa"/>
            <w:vAlign w:val="center"/>
          </w:tcPr>
          <w:p>
            <w:pPr>
              <w:pStyle w:val="16"/>
              <w:pageBreakBefore w:val="0"/>
              <w:widowControl/>
              <w:kinsoku/>
              <w:overflowPunct/>
              <w:topLinePunct w:val="0"/>
              <w:bidi w:val="0"/>
              <w:snapToGrid/>
              <w:spacing w:beforeAutospacing="0" w:afterAutospacing="0" w:line="360" w:lineRule="auto"/>
              <w:jc w:val="center"/>
              <w:rPr>
                <w:rFonts w:hint="eastAsia" w:ascii="宋体" w:hAnsi="宋体" w:eastAsia="宋体" w:cs="宋体"/>
                <w:color w:val="auto"/>
                <w:sz w:val="21"/>
                <w:szCs w:val="21"/>
                <w:highlight w:val="none"/>
              </w:rPr>
            </w:pPr>
          </w:p>
        </w:tc>
        <w:tc>
          <w:tcPr>
            <w:tcW w:w="1908" w:type="dxa"/>
            <w:vAlign w:val="center"/>
          </w:tcPr>
          <w:p>
            <w:pPr>
              <w:pStyle w:val="16"/>
              <w:pageBreakBefore w:val="0"/>
              <w:widowControl/>
              <w:kinsoku/>
              <w:overflowPunct/>
              <w:topLinePunct w:val="0"/>
              <w:bidi w:val="0"/>
              <w:snapToGrid/>
              <w:spacing w:beforeAutospacing="0" w:afterAutospacing="0" w:line="360" w:lineRule="auto"/>
              <w:jc w:val="center"/>
              <w:rPr>
                <w:rFonts w:hint="eastAsia" w:ascii="宋体" w:hAnsi="宋体" w:eastAsia="宋体" w:cs="宋体"/>
                <w:color w:val="auto"/>
                <w:sz w:val="21"/>
                <w:szCs w:val="21"/>
                <w:highlight w:val="none"/>
              </w:rPr>
            </w:pPr>
          </w:p>
        </w:tc>
      </w:tr>
    </w:tbl>
    <w:p>
      <w:pPr>
        <w:pStyle w:val="16"/>
        <w:pageBreakBefore w:val="0"/>
        <w:widowControl/>
        <w:kinsoku/>
        <w:overflowPunct/>
        <w:topLinePunct w:val="0"/>
        <w:bidi w:val="0"/>
        <w:snapToGrid/>
        <w:spacing w:beforeAutospacing="0" w:afterAutospacing="0" w:line="360" w:lineRule="auto"/>
        <w:rPr>
          <w:rFonts w:hint="eastAsia" w:ascii="宋体" w:hAnsi="宋体" w:eastAsia="宋体" w:cs="宋体"/>
          <w:color w:val="auto"/>
          <w:sz w:val="21"/>
          <w:szCs w:val="21"/>
          <w:highlight w:val="none"/>
        </w:rPr>
      </w:pPr>
    </w:p>
    <w:p>
      <w:pPr>
        <w:pStyle w:val="16"/>
        <w:pageBreakBefore w:val="0"/>
        <w:widowControl/>
        <w:kinsoku/>
        <w:overflowPunct/>
        <w:topLinePunct w:val="0"/>
        <w:bidi w:val="0"/>
        <w:snapToGrid/>
        <w:spacing w:beforeAutospacing="0" w:afterAutospacing="0"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lang w:eastAsia="zh-CN"/>
        </w:rPr>
        <w:t>招标人</w:t>
      </w:r>
      <w:r>
        <w:rPr>
          <w:rFonts w:hint="eastAsia" w:ascii="宋体" w:hAnsi="宋体" w:eastAsia="宋体" w:cs="宋体"/>
          <w:color w:val="auto"/>
          <w:sz w:val="21"/>
          <w:szCs w:val="21"/>
          <w:highlight w:val="none"/>
        </w:rPr>
        <w:t>代表∶</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    记录人∶</w:t>
      </w:r>
      <w:r>
        <w:rPr>
          <w:rFonts w:hint="eastAsia" w:ascii="宋体" w:hAnsi="宋体" w:eastAsia="宋体" w:cs="宋体"/>
          <w:color w:val="auto"/>
          <w:sz w:val="21"/>
          <w:szCs w:val="21"/>
          <w:highlight w:val="none"/>
          <w:u w:val="single"/>
        </w:rPr>
        <w:t xml:space="preserve">           </w:t>
      </w:r>
    </w:p>
    <w:p>
      <w:pPr>
        <w:pStyle w:val="16"/>
        <w:pageBreakBefore w:val="0"/>
        <w:widowControl/>
        <w:kinsoku/>
        <w:overflowPunct/>
        <w:topLinePunct w:val="0"/>
        <w:bidi w:val="0"/>
        <w:snapToGrid/>
        <w:spacing w:beforeAutospacing="0" w:afterAutospacing="0" w:line="360" w:lineRule="auto"/>
        <w:ind w:firstLine="210" w:firstLineChars="100"/>
        <w:rPr>
          <w:rFonts w:hint="eastAsia" w:ascii="宋体" w:hAnsi="宋体" w:eastAsia="宋体" w:cs="宋体"/>
          <w:color w:val="auto"/>
          <w:sz w:val="21"/>
          <w:szCs w:val="21"/>
          <w:highlight w:val="none"/>
          <w:u w:val="single"/>
        </w:rPr>
      </w:pPr>
    </w:p>
    <w:p>
      <w:pPr>
        <w:pStyle w:val="16"/>
        <w:pageBreakBefore w:val="0"/>
        <w:widowControl/>
        <w:kinsoku/>
        <w:overflowPunct/>
        <w:topLinePunct w:val="0"/>
        <w:bidi w:val="0"/>
        <w:snapToGrid/>
        <w:spacing w:beforeAutospacing="0" w:afterAutospacing="0" w:line="360" w:lineRule="auto"/>
        <w:ind w:firstLine="210" w:firstLineChars="100"/>
        <w:rPr>
          <w:rFonts w:hint="eastAsia" w:ascii="宋体" w:hAnsi="宋体" w:eastAsia="宋体" w:cs="宋体"/>
          <w:color w:val="auto"/>
          <w:sz w:val="21"/>
          <w:szCs w:val="21"/>
          <w:highlight w:val="none"/>
          <w:u w:val="single"/>
        </w:rPr>
      </w:pPr>
    </w:p>
    <w:p>
      <w:pPr>
        <w:pStyle w:val="16"/>
        <w:pageBreakBefore w:val="0"/>
        <w:widowControl/>
        <w:kinsoku/>
        <w:overflowPunct/>
        <w:topLinePunct w:val="0"/>
        <w:bidi w:val="0"/>
        <w:snapToGrid/>
        <w:spacing w:beforeAutospacing="0" w:afterAutospacing="0" w:line="360" w:lineRule="auto"/>
        <w:ind w:firstLine="6090" w:firstLineChars="29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年</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月</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日</w:t>
      </w:r>
    </w:p>
    <w:p>
      <w:pPr>
        <w:pageBreakBefore w:val="0"/>
        <w:kinsoku/>
        <w:overflowPunct/>
        <w:topLinePunct w:val="0"/>
        <w:bidi w:val="0"/>
        <w:snapToGrid/>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br w:type="page"/>
      </w:r>
    </w:p>
    <w:p>
      <w:pPr>
        <w:pStyle w:val="6"/>
        <w:pageBreakBefore w:val="0"/>
        <w:kinsoku/>
        <w:overflowPunct/>
        <w:topLinePunct w:val="0"/>
        <w:bidi w:val="0"/>
        <w:snapToGrid/>
        <w:spacing w:line="360" w:lineRule="auto"/>
        <w:rPr>
          <w:rFonts w:hint="eastAsia" w:ascii="宋体" w:hAnsi="宋体" w:eastAsia="宋体" w:cs="宋体"/>
          <w:color w:val="auto"/>
          <w:highlight w:val="none"/>
        </w:rPr>
      </w:pPr>
      <w:bookmarkStart w:id="128" w:name="_Toc27111"/>
      <w:bookmarkStart w:id="129" w:name="_Toc3894"/>
      <w:r>
        <w:rPr>
          <w:rFonts w:hint="eastAsia" w:ascii="宋体" w:hAnsi="宋体" w:eastAsia="宋体" w:cs="宋体"/>
          <w:color w:val="auto"/>
          <w:highlight w:val="none"/>
        </w:rPr>
        <w:t>附件2  问题澄清通知</w:t>
      </w:r>
      <w:bookmarkEnd w:id="128"/>
      <w:bookmarkEnd w:id="129"/>
    </w:p>
    <w:p>
      <w:pPr>
        <w:pStyle w:val="16"/>
        <w:pageBreakBefore w:val="0"/>
        <w:widowControl/>
        <w:kinsoku/>
        <w:overflowPunct/>
        <w:topLinePunct w:val="0"/>
        <w:bidi w:val="0"/>
        <w:snapToGrid/>
        <w:spacing w:beforeAutospacing="0" w:afterAutospacing="0" w:line="360" w:lineRule="auto"/>
        <w:rPr>
          <w:rFonts w:hint="eastAsia" w:ascii="宋体" w:hAnsi="宋体" w:eastAsia="宋体" w:cs="宋体"/>
          <w:color w:val="auto"/>
          <w:highlight w:val="none"/>
        </w:rPr>
      </w:pPr>
    </w:p>
    <w:p>
      <w:pPr>
        <w:pStyle w:val="16"/>
        <w:pageBreakBefore w:val="0"/>
        <w:widowControl/>
        <w:kinsoku/>
        <w:overflowPunct/>
        <w:topLinePunct w:val="0"/>
        <w:bidi w:val="0"/>
        <w:snapToGrid/>
        <w:spacing w:beforeAutospacing="0" w:afterAutospacing="0" w:line="360" w:lineRule="auto"/>
        <w:rPr>
          <w:rFonts w:hint="eastAsia" w:ascii="宋体" w:hAnsi="宋体" w:eastAsia="宋体" w:cs="宋体"/>
          <w:color w:val="auto"/>
          <w:highlight w:val="none"/>
        </w:rPr>
      </w:pPr>
    </w:p>
    <w:p>
      <w:pPr>
        <w:pStyle w:val="16"/>
        <w:pageBreakBefore w:val="0"/>
        <w:widowControl/>
        <w:kinsoku/>
        <w:overflowPunct/>
        <w:topLinePunct w:val="0"/>
        <w:bidi w:val="0"/>
        <w:snapToGrid/>
        <w:spacing w:beforeAutospacing="0" w:afterAutospacing="0" w:line="360" w:lineRule="auto"/>
        <w:jc w:val="center"/>
        <w:rPr>
          <w:rFonts w:hint="eastAsia" w:ascii="宋体" w:hAnsi="宋体" w:eastAsia="宋体" w:cs="宋体"/>
          <w:color w:val="auto"/>
          <w:sz w:val="36"/>
          <w:szCs w:val="36"/>
          <w:highlight w:val="none"/>
        </w:rPr>
      </w:pPr>
      <w:r>
        <w:rPr>
          <w:rFonts w:hint="eastAsia" w:ascii="宋体" w:hAnsi="宋体" w:eastAsia="宋体" w:cs="宋体"/>
          <w:color w:val="auto"/>
          <w:sz w:val="36"/>
          <w:szCs w:val="36"/>
          <w:highlight w:val="none"/>
        </w:rPr>
        <w:t>问题澄清通知</w:t>
      </w:r>
    </w:p>
    <w:p>
      <w:pPr>
        <w:pStyle w:val="16"/>
        <w:pageBreakBefore w:val="0"/>
        <w:widowControl/>
        <w:kinsoku/>
        <w:overflowPunct/>
        <w:topLinePunct w:val="0"/>
        <w:bidi w:val="0"/>
        <w:snapToGrid/>
        <w:spacing w:beforeAutospacing="0" w:afterAutospacing="0" w:line="360" w:lineRule="auto"/>
        <w:jc w:val="center"/>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（编号：</w:t>
      </w:r>
      <w:r>
        <w:rPr>
          <w:rFonts w:hint="eastAsia" w:ascii="宋体" w:hAnsi="宋体" w:eastAsia="宋体" w:cs="宋体"/>
          <w:color w:val="auto"/>
          <w:sz w:val="30"/>
          <w:szCs w:val="30"/>
          <w:highlight w:val="none"/>
          <w:u w:val="single"/>
        </w:rPr>
        <w:t xml:space="preserve">         </w:t>
      </w:r>
      <w:r>
        <w:rPr>
          <w:rFonts w:hint="eastAsia" w:ascii="宋体" w:hAnsi="宋体" w:eastAsia="宋体" w:cs="宋体"/>
          <w:color w:val="auto"/>
          <w:sz w:val="30"/>
          <w:szCs w:val="30"/>
          <w:highlight w:val="none"/>
        </w:rPr>
        <w:t>）</w:t>
      </w:r>
    </w:p>
    <w:p>
      <w:pPr>
        <w:pStyle w:val="16"/>
        <w:pageBreakBefore w:val="0"/>
        <w:widowControl/>
        <w:kinsoku/>
        <w:overflowPunct/>
        <w:topLinePunct w:val="0"/>
        <w:bidi w:val="0"/>
        <w:snapToGrid/>
        <w:spacing w:beforeAutospacing="0" w:afterAutospacing="0" w:line="360" w:lineRule="auto"/>
        <w:jc w:val="center"/>
        <w:rPr>
          <w:rFonts w:hint="eastAsia" w:ascii="宋体" w:hAnsi="宋体" w:eastAsia="宋体" w:cs="宋体"/>
          <w:color w:val="auto"/>
          <w:sz w:val="21"/>
          <w:szCs w:val="21"/>
          <w:highlight w:val="none"/>
        </w:rPr>
      </w:pPr>
    </w:p>
    <w:p>
      <w:pPr>
        <w:pStyle w:val="16"/>
        <w:pageBreakBefore w:val="0"/>
        <w:widowControl/>
        <w:kinsoku/>
        <w:overflowPunct/>
        <w:topLinePunct w:val="0"/>
        <w:bidi w:val="0"/>
        <w:snapToGrid/>
        <w:spacing w:beforeAutospacing="0" w:afterAutospacing="0" w:line="360" w:lineRule="auto"/>
        <w:jc w:val="center"/>
        <w:rPr>
          <w:rFonts w:hint="eastAsia" w:ascii="宋体" w:hAnsi="宋体" w:eastAsia="宋体" w:cs="宋体"/>
          <w:color w:val="auto"/>
          <w:sz w:val="21"/>
          <w:szCs w:val="21"/>
          <w:highlight w:val="none"/>
        </w:rPr>
      </w:pPr>
    </w:p>
    <w:p>
      <w:pPr>
        <w:pStyle w:val="16"/>
        <w:pageBreakBefore w:val="0"/>
        <w:widowControl/>
        <w:kinsoku/>
        <w:overflowPunct/>
        <w:topLinePunct w:val="0"/>
        <w:bidi w:val="0"/>
        <w:snapToGrid/>
        <w:spacing w:beforeAutospacing="0" w:afterAutospacing="0" w:line="360" w:lineRule="auto"/>
        <w:jc w:val="both"/>
        <w:rPr>
          <w:rFonts w:hint="eastAsia" w:ascii="宋体" w:hAnsi="宋体" w:eastAsia="宋体" w:cs="宋体"/>
          <w:color w:val="auto"/>
          <w:highlight w:val="none"/>
        </w:rPr>
      </w:pP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lang w:eastAsia="zh-CN"/>
        </w:rPr>
        <w:t>询比响应人</w:t>
      </w:r>
      <w:r>
        <w:rPr>
          <w:rFonts w:hint="eastAsia" w:ascii="宋体" w:hAnsi="宋体" w:eastAsia="宋体" w:cs="宋体"/>
          <w:color w:val="auto"/>
          <w:highlight w:val="none"/>
          <w:u w:val="single"/>
        </w:rPr>
        <w:t>名称）</w:t>
      </w:r>
      <w:r>
        <w:rPr>
          <w:rFonts w:hint="eastAsia" w:ascii="宋体" w:hAnsi="宋体" w:eastAsia="宋体" w:cs="宋体"/>
          <w:color w:val="auto"/>
          <w:highlight w:val="none"/>
        </w:rPr>
        <w:t>：</w:t>
      </w:r>
    </w:p>
    <w:p>
      <w:pPr>
        <w:pStyle w:val="16"/>
        <w:pageBreakBefore w:val="0"/>
        <w:widowControl/>
        <w:kinsoku/>
        <w:overflowPunct/>
        <w:topLinePunct w:val="0"/>
        <w:bidi w:val="0"/>
        <w:snapToGrid/>
        <w:spacing w:beforeAutospacing="0" w:afterAutospacing="0" w:line="360" w:lineRule="auto"/>
        <w:ind w:firstLine="480" w:firstLineChars="200"/>
        <w:rPr>
          <w:rFonts w:hint="eastAsia" w:ascii="宋体" w:hAnsi="宋体" w:eastAsia="宋体" w:cs="宋体"/>
          <w:color w:val="auto"/>
          <w:highlight w:val="none"/>
        </w:rPr>
      </w:pPr>
    </w:p>
    <w:p>
      <w:pPr>
        <w:pStyle w:val="16"/>
        <w:pageBreakBefore w:val="0"/>
        <w:widowControl/>
        <w:kinsoku/>
        <w:overflowPunct/>
        <w:topLinePunct w:val="0"/>
        <w:bidi w:val="0"/>
        <w:snapToGrid/>
        <w:spacing w:beforeAutospacing="0" w:afterAutospacing="0" w:line="360" w:lineRule="auto"/>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评审小组对你方的响应文件进行了仔细审查，现需你方对下列问题以书面形式予以澄清、说明和补正：</w:t>
      </w:r>
    </w:p>
    <w:p>
      <w:pPr>
        <w:pStyle w:val="16"/>
        <w:pageBreakBefore w:val="0"/>
        <w:widowControl/>
        <w:kinsoku/>
        <w:overflowPunct/>
        <w:topLinePunct w:val="0"/>
        <w:bidi w:val="0"/>
        <w:snapToGrid/>
        <w:spacing w:beforeAutospacing="0" w:afterAutospacing="0" w:line="360" w:lineRule="auto"/>
        <w:ind w:firstLine="480" w:firstLineChars="200"/>
        <w:rPr>
          <w:rFonts w:hint="eastAsia" w:ascii="宋体" w:hAnsi="宋体" w:eastAsia="宋体" w:cs="宋体"/>
          <w:color w:val="auto"/>
          <w:highlight w:val="none"/>
        </w:rPr>
      </w:pPr>
    </w:p>
    <w:p>
      <w:pPr>
        <w:pStyle w:val="16"/>
        <w:pageBreakBefore w:val="0"/>
        <w:widowControl/>
        <w:kinsoku/>
        <w:overflowPunct/>
        <w:topLinePunct w:val="0"/>
        <w:bidi w:val="0"/>
        <w:snapToGrid/>
        <w:spacing w:beforeAutospacing="0" w:afterAutospacing="0" w:line="360" w:lineRule="auto"/>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1、</w:t>
      </w:r>
    </w:p>
    <w:p>
      <w:pPr>
        <w:pStyle w:val="16"/>
        <w:pageBreakBefore w:val="0"/>
        <w:widowControl/>
        <w:kinsoku/>
        <w:overflowPunct/>
        <w:topLinePunct w:val="0"/>
        <w:bidi w:val="0"/>
        <w:snapToGrid/>
        <w:spacing w:beforeAutospacing="0" w:afterAutospacing="0" w:line="360" w:lineRule="auto"/>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2、</w:t>
      </w:r>
    </w:p>
    <w:p>
      <w:pPr>
        <w:pStyle w:val="16"/>
        <w:pageBreakBefore w:val="0"/>
        <w:widowControl/>
        <w:kinsoku/>
        <w:overflowPunct/>
        <w:topLinePunct w:val="0"/>
        <w:bidi w:val="0"/>
        <w:snapToGrid/>
        <w:spacing w:beforeAutospacing="0" w:afterAutospacing="0" w:line="360" w:lineRule="auto"/>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w:t>
      </w:r>
    </w:p>
    <w:p>
      <w:pPr>
        <w:pStyle w:val="16"/>
        <w:pageBreakBefore w:val="0"/>
        <w:widowControl/>
        <w:kinsoku/>
        <w:overflowPunct/>
        <w:topLinePunct w:val="0"/>
        <w:bidi w:val="0"/>
        <w:snapToGrid/>
        <w:spacing w:beforeAutospacing="0" w:afterAutospacing="0" w:line="360" w:lineRule="auto"/>
        <w:ind w:firstLine="480" w:firstLineChars="200"/>
        <w:rPr>
          <w:rFonts w:hint="eastAsia" w:ascii="宋体" w:hAnsi="宋体" w:eastAsia="宋体" w:cs="宋体"/>
          <w:color w:val="auto"/>
          <w:highlight w:val="none"/>
        </w:rPr>
      </w:pPr>
    </w:p>
    <w:p>
      <w:pPr>
        <w:pStyle w:val="16"/>
        <w:pageBreakBefore w:val="0"/>
        <w:widowControl/>
        <w:kinsoku/>
        <w:overflowPunct/>
        <w:topLinePunct w:val="0"/>
        <w:bidi w:val="0"/>
        <w:snapToGrid/>
        <w:spacing w:beforeAutospacing="0" w:afterAutospacing="0" w:line="360" w:lineRule="auto"/>
        <w:ind w:firstLine="480" w:firstLineChars="200"/>
        <w:rPr>
          <w:rFonts w:hint="eastAsia" w:ascii="宋体" w:hAnsi="宋体" w:eastAsia="宋体" w:cs="宋体"/>
          <w:color w:val="auto"/>
          <w:highlight w:val="none"/>
          <w:u w:val="single"/>
        </w:rPr>
      </w:pPr>
      <w:r>
        <w:rPr>
          <w:rFonts w:hint="eastAsia" w:ascii="宋体" w:hAnsi="宋体" w:eastAsia="宋体" w:cs="宋体"/>
          <w:color w:val="auto"/>
          <w:highlight w:val="none"/>
        </w:rPr>
        <w:t>请将上述问题的澄清、说明和补正于</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年</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月</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日</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时前递交至</w:t>
      </w:r>
      <w:r>
        <w:rPr>
          <w:rFonts w:hint="eastAsia" w:ascii="宋体" w:hAnsi="宋体" w:eastAsia="宋体" w:cs="宋体"/>
          <w:color w:val="auto"/>
          <w:highlight w:val="none"/>
          <w:u w:val="single"/>
        </w:rPr>
        <w:t xml:space="preserve">                      （详细地址）</w:t>
      </w:r>
      <w:r>
        <w:rPr>
          <w:rFonts w:hint="eastAsia" w:ascii="宋体" w:hAnsi="宋体" w:eastAsia="宋体" w:cs="宋体"/>
          <w:color w:val="auto"/>
          <w:highlight w:val="none"/>
        </w:rPr>
        <w:t>或发电子邮件至</w:t>
      </w:r>
      <w:r>
        <w:rPr>
          <w:rFonts w:hint="eastAsia" w:ascii="宋体" w:hAnsi="宋体" w:eastAsia="宋体" w:cs="宋体"/>
          <w:color w:val="auto"/>
          <w:highlight w:val="none"/>
          <w:u w:val="single"/>
        </w:rPr>
        <w:t xml:space="preserve">             </w:t>
      </w:r>
    </w:p>
    <w:p>
      <w:pPr>
        <w:pStyle w:val="16"/>
        <w:pageBreakBefore w:val="0"/>
        <w:widowControl/>
        <w:kinsoku/>
        <w:overflowPunct/>
        <w:topLinePunct w:val="0"/>
        <w:bidi w:val="0"/>
        <w:snapToGrid/>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 （电子邮箱地址）。采用电子邮件方式的，应在</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年</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月</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日</w:t>
      </w:r>
    </w:p>
    <w:p>
      <w:pPr>
        <w:pStyle w:val="16"/>
        <w:pageBreakBefore w:val="0"/>
        <w:widowControl/>
        <w:kinsoku/>
        <w:overflowPunct/>
        <w:topLinePunct w:val="0"/>
        <w:bidi w:val="0"/>
        <w:snapToGrid/>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时前将原件递交至</w:t>
      </w:r>
      <w:r>
        <w:rPr>
          <w:rFonts w:hint="eastAsia" w:ascii="宋体" w:hAnsi="宋体" w:eastAsia="宋体" w:cs="宋体"/>
          <w:color w:val="auto"/>
          <w:highlight w:val="none"/>
          <w:u w:val="single"/>
        </w:rPr>
        <w:t xml:space="preserve">                           （详细地址）</w:t>
      </w:r>
      <w:r>
        <w:rPr>
          <w:rFonts w:hint="eastAsia" w:ascii="宋体" w:hAnsi="宋体" w:eastAsia="宋体" w:cs="宋体"/>
          <w:color w:val="auto"/>
          <w:highlight w:val="none"/>
        </w:rPr>
        <w:t>。</w:t>
      </w:r>
    </w:p>
    <w:p>
      <w:pPr>
        <w:pStyle w:val="16"/>
        <w:pageBreakBefore w:val="0"/>
        <w:widowControl/>
        <w:kinsoku/>
        <w:overflowPunct/>
        <w:topLinePunct w:val="0"/>
        <w:bidi w:val="0"/>
        <w:snapToGrid/>
        <w:spacing w:beforeAutospacing="0" w:afterAutospacing="0" w:line="360" w:lineRule="auto"/>
        <w:rPr>
          <w:rFonts w:hint="eastAsia" w:ascii="宋体" w:hAnsi="宋体" w:eastAsia="宋体" w:cs="宋体"/>
          <w:color w:val="auto"/>
          <w:highlight w:val="none"/>
        </w:rPr>
      </w:pPr>
    </w:p>
    <w:p>
      <w:pPr>
        <w:pStyle w:val="16"/>
        <w:pageBreakBefore w:val="0"/>
        <w:widowControl/>
        <w:kinsoku/>
        <w:overflowPunct/>
        <w:topLinePunct w:val="0"/>
        <w:bidi w:val="0"/>
        <w:snapToGrid/>
        <w:spacing w:beforeAutospacing="0" w:afterAutospacing="0" w:line="360" w:lineRule="auto"/>
        <w:rPr>
          <w:rFonts w:hint="eastAsia" w:ascii="宋体" w:hAnsi="宋体" w:eastAsia="宋体" w:cs="宋体"/>
          <w:color w:val="auto"/>
          <w:highlight w:val="none"/>
        </w:rPr>
      </w:pPr>
    </w:p>
    <w:p>
      <w:pPr>
        <w:pStyle w:val="16"/>
        <w:pageBreakBefore w:val="0"/>
        <w:widowControl/>
        <w:kinsoku/>
        <w:overflowPunct/>
        <w:topLinePunct w:val="0"/>
        <w:bidi w:val="0"/>
        <w:snapToGrid/>
        <w:spacing w:beforeAutospacing="0" w:afterAutospacing="0" w:line="360" w:lineRule="auto"/>
        <w:ind w:left="1260" w:firstLine="420"/>
        <w:rPr>
          <w:rFonts w:hint="eastAsia" w:ascii="宋体" w:hAnsi="宋体" w:eastAsia="宋体" w:cs="宋体"/>
          <w:color w:val="auto"/>
          <w:highlight w:val="none"/>
        </w:rPr>
      </w:pPr>
      <w:r>
        <w:rPr>
          <w:rFonts w:hint="eastAsia" w:ascii="宋体" w:hAnsi="宋体" w:eastAsia="宋体" w:cs="宋体"/>
          <w:color w:val="auto"/>
          <w:highlight w:val="none"/>
          <w:lang w:eastAsia="zh-CN"/>
        </w:rPr>
        <w:t>招标人</w:t>
      </w:r>
      <w:r>
        <w:rPr>
          <w:rFonts w:hint="eastAsia" w:ascii="宋体" w:hAnsi="宋体" w:eastAsia="宋体" w:cs="宋体"/>
          <w:color w:val="auto"/>
          <w:highlight w:val="none"/>
        </w:rPr>
        <w:t>（或</w:t>
      </w:r>
      <w:r>
        <w:rPr>
          <w:rFonts w:hint="eastAsia" w:ascii="宋体" w:hAnsi="宋体" w:eastAsia="宋体" w:cs="宋体"/>
          <w:color w:val="auto"/>
          <w:highlight w:val="none"/>
          <w:lang w:eastAsia="zh-CN"/>
        </w:rPr>
        <w:t>招标代理机构</w:t>
      </w:r>
      <w:r>
        <w:rPr>
          <w:rFonts w:hint="eastAsia" w:ascii="宋体" w:hAnsi="宋体" w:eastAsia="宋体" w:cs="宋体"/>
          <w:color w:val="auto"/>
          <w:highlight w:val="none"/>
        </w:rPr>
        <w:t>）：</w:t>
      </w:r>
      <w:r>
        <w:rPr>
          <w:rFonts w:hint="eastAsia" w:ascii="宋体" w:hAnsi="宋体" w:eastAsia="宋体" w:cs="宋体"/>
          <w:color w:val="auto"/>
          <w:highlight w:val="none"/>
          <w:u w:val="single"/>
        </w:rPr>
        <w:t xml:space="preserve">            （签字或盖单位章）</w:t>
      </w:r>
    </w:p>
    <w:p>
      <w:pPr>
        <w:pageBreakBefore w:val="0"/>
        <w:kinsoku/>
        <w:overflowPunct/>
        <w:topLinePunct w:val="0"/>
        <w:bidi w:val="0"/>
        <w:snapToGrid/>
        <w:spacing w:line="360" w:lineRule="auto"/>
        <w:rPr>
          <w:rFonts w:hint="eastAsia" w:ascii="宋体" w:hAnsi="宋体" w:eastAsia="宋体" w:cs="宋体"/>
          <w:color w:val="auto"/>
          <w:sz w:val="24"/>
          <w:highlight w:val="none"/>
        </w:rPr>
      </w:pPr>
    </w:p>
    <w:p>
      <w:pPr>
        <w:pageBreakBefore w:val="0"/>
        <w:kinsoku/>
        <w:overflowPunct/>
        <w:topLinePunct w:val="0"/>
        <w:bidi w:val="0"/>
        <w:snapToGrid/>
        <w:spacing w:line="360" w:lineRule="auto"/>
        <w:ind w:left="5040" w:firstLine="420"/>
        <w:rPr>
          <w:rFonts w:hint="eastAsia" w:ascii="宋体" w:hAnsi="宋体" w:eastAsia="宋体" w:cs="宋体"/>
          <w:color w:val="auto"/>
          <w:highlight w:val="none"/>
        </w:rPr>
      </w:pP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年</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月</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日</w:t>
      </w:r>
    </w:p>
    <w:p>
      <w:pPr>
        <w:pageBreakBefore w:val="0"/>
        <w:kinsoku/>
        <w:overflowPunct/>
        <w:topLinePunct w:val="0"/>
        <w:bidi w:val="0"/>
        <w:snapToGrid/>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br w:type="page"/>
      </w:r>
    </w:p>
    <w:p>
      <w:pPr>
        <w:pStyle w:val="6"/>
        <w:pageBreakBefore w:val="0"/>
        <w:kinsoku/>
        <w:overflowPunct/>
        <w:topLinePunct w:val="0"/>
        <w:bidi w:val="0"/>
        <w:snapToGrid/>
        <w:spacing w:line="360" w:lineRule="auto"/>
        <w:rPr>
          <w:rFonts w:hint="eastAsia" w:ascii="宋体" w:hAnsi="宋体" w:eastAsia="宋体" w:cs="宋体"/>
          <w:color w:val="auto"/>
          <w:highlight w:val="none"/>
        </w:rPr>
      </w:pPr>
      <w:bookmarkStart w:id="130" w:name="_Toc3249"/>
      <w:bookmarkStart w:id="131" w:name="_Toc24100"/>
      <w:r>
        <w:rPr>
          <w:rFonts w:hint="eastAsia" w:ascii="宋体" w:hAnsi="宋体" w:eastAsia="宋体" w:cs="宋体"/>
          <w:color w:val="auto"/>
          <w:highlight w:val="none"/>
        </w:rPr>
        <w:t>附件3  问题的澄清</w:t>
      </w:r>
      <w:bookmarkEnd w:id="130"/>
      <w:bookmarkEnd w:id="131"/>
    </w:p>
    <w:p>
      <w:pPr>
        <w:pStyle w:val="16"/>
        <w:pageBreakBefore w:val="0"/>
        <w:widowControl/>
        <w:kinsoku/>
        <w:overflowPunct/>
        <w:topLinePunct w:val="0"/>
        <w:bidi w:val="0"/>
        <w:snapToGrid/>
        <w:spacing w:beforeAutospacing="0" w:afterAutospacing="0" w:line="360" w:lineRule="auto"/>
        <w:rPr>
          <w:rFonts w:hint="eastAsia" w:ascii="宋体" w:hAnsi="宋体" w:eastAsia="宋体" w:cs="宋体"/>
          <w:color w:val="auto"/>
          <w:highlight w:val="none"/>
        </w:rPr>
      </w:pPr>
    </w:p>
    <w:p>
      <w:pPr>
        <w:pStyle w:val="16"/>
        <w:pageBreakBefore w:val="0"/>
        <w:widowControl/>
        <w:kinsoku/>
        <w:overflowPunct/>
        <w:topLinePunct w:val="0"/>
        <w:bidi w:val="0"/>
        <w:snapToGrid/>
        <w:spacing w:beforeAutospacing="0" w:afterAutospacing="0" w:line="360" w:lineRule="auto"/>
        <w:rPr>
          <w:rFonts w:hint="eastAsia" w:ascii="宋体" w:hAnsi="宋体" w:eastAsia="宋体" w:cs="宋体"/>
          <w:color w:val="auto"/>
          <w:highlight w:val="none"/>
        </w:rPr>
      </w:pPr>
    </w:p>
    <w:p>
      <w:pPr>
        <w:pStyle w:val="16"/>
        <w:pageBreakBefore w:val="0"/>
        <w:widowControl/>
        <w:kinsoku/>
        <w:overflowPunct/>
        <w:topLinePunct w:val="0"/>
        <w:bidi w:val="0"/>
        <w:snapToGrid/>
        <w:spacing w:beforeAutospacing="0" w:afterAutospacing="0" w:line="360" w:lineRule="auto"/>
        <w:jc w:val="center"/>
        <w:rPr>
          <w:rFonts w:hint="eastAsia" w:ascii="宋体" w:hAnsi="宋体" w:eastAsia="宋体" w:cs="宋体"/>
          <w:color w:val="auto"/>
          <w:sz w:val="36"/>
          <w:szCs w:val="36"/>
          <w:highlight w:val="none"/>
        </w:rPr>
      </w:pPr>
      <w:r>
        <w:rPr>
          <w:rFonts w:hint="eastAsia" w:ascii="宋体" w:hAnsi="宋体" w:eastAsia="宋体" w:cs="宋体"/>
          <w:color w:val="auto"/>
          <w:sz w:val="36"/>
          <w:szCs w:val="36"/>
          <w:highlight w:val="none"/>
        </w:rPr>
        <w:t>问题的澄清</w:t>
      </w:r>
    </w:p>
    <w:p>
      <w:pPr>
        <w:pStyle w:val="16"/>
        <w:pageBreakBefore w:val="0"/>
        <w:widowControl/>
        <w:kinsoku/>
        <w:overflowPunct/>
        <w:topLinePunct w:val="0"/>
        <w:bidi w:val="0"/>
        <w:snapToGrid/>
        <w:spacing w:beforeAutospacing="0" w:afterAutospacing="0" w:line="360" w:lineRule="auto"/>
        <w:jc w:val="center"/>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（编号：</w:t>
      </w:r>
      <w:r>
        <w:rPr>
          <w:rFonts w:hint="eastAsia" w:ascii="宋体" w:hAnsi="宋体" w:eastAsia="宋体" w:cs="宋体"/>
          <w:color w:val="auto"/>
          <w:sz w:val="30"/>
          <w:szCs w:val="30"/>
          <w:highlight w:val="none"/>
          <w:u w:val="single"/>
        </w:rPr>
        <w:t xml:space="preserve">         </w:t>
      </w:r>
      <w:r>
        <w:rPr>
          <w:rFonts w:hint="eastAsia" w:ascii="宋体" w:hAnsi="宋体" w:eastAsia="宋体" w:cs="宋体"/>
          <w:color w:val="auto"/>
          <w:sz w:val="30"/>
          <w:szCs w:val="30"/>
          <w:highlight w:val="none"/>
        </w:rPr>
        <w:t>）</w:t>
      </w:r>
    </w:p>
    <w:p>
      <w:pPr>
        <w:pStyle w:val="16"/>
        <w:pageBreakBefore w:val="0"/>
        <w:widowControl/>
        <w:kinsoku/>
        <w:overflowPunct/>
        <w:topLinePunct w:val="0"/>
        <w:bidi w:val="0"/>
        <w:snapToGrid/>
        <w:spacing w:beforeAutospacing="0" w:afterAutospacing="0" w:line="360" w:lineRule="auto"/>
        <w:jc w:val="center"/>
        <w:rPr>
          <w:rFonts w:hint="eastAsia" w:ascii="宋体" w:hAnsi="宋体" w:eastAsia="宋体" w:cs="宋体"/>
          <w:color w:val="auto"/>
          <w:sz w:val="21"/>
          <w:szCs w:val="21"/>
          <w:highlight w:val="none"/>
        </w:rPr>
      </w:pPr>
    </w:p>
    <w:p>
      <w:pPr>
        <w:pStyle w:val="16"/>
        <w:pageBreakBefore w:val="0"/>
        <w:widowControl/>
        <w:kinsoku/>
        <w:overflowPunct/>
        <w:topLinePunct w:val="0"/>
        <w:bidi w:val="0"/>
        <w:snapToGrid/>
        <w:spacing w:beforeAutospacing="0" w:afterAutospacing="0" w:line="360" w:lineRule="auto"/>
        <w:jc w:val="center"/>
        <w:rPr>
          <w:rFonts w:hint="eastAsia" w:ascii="宋体" w:hAnsi="宋体" w:eastAsia="宋体" w:cs="宋体"/>
          <w:color w:val="auto"/>
          <w:sz w:val="21"/>
          <w:szCs w:val="21"/>
          <w:highlight w:val="none"/>
        </w:rPr>
      </w:pPr>
    </w:p>
    <w:p>
      <w:pPr>
        <w:pStyle w:val="16"/>
        <w:pageBreakBefore w:val="0"/>
        <w:widowControl/>
        <w:kinsoku/>
        <w:overflowPunct/>
        <w:topLinePunct w:val="0"/>
        <w:bidi w:val="0"/>
        <w:snapToGrid/>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评审小组：</w:t>
      </w:r>
    </w:p>
    <w:p>
      <w:pPr>
        <w:pStyle w:val="16"/>
        <w:pageBreakBefore w:val="0"/>
        <w:widowControl/>
        <w:kinsoku/>
        <w:overflowPunct/>
        <w:topLinePunct w:val="0"/>
        <w:bidi w:val="0"/>
        <w:snapToGrid/>
        <w:spacing w:beforeAutospacing="0" w:afterAutospacing="0" w:line="360" w:lineRule="auto"/>
        <w:rPr>
          <w:rFonts w:hint="eastAsia" w:ascii="宋体" w:hAnsi="宋体" w:eastAsia="宋体" w:cs="宋体"/>
          <w:color w:val="auto"/>
          <w:highlight w:val="none"/>
        </w:rPr>
      </w:pPr>
    </w:p>
    <w:p>
      <w:pPr>
        <w:pStyle w:val="16"/>
        <w:pageBreakBefore w:val="0"/>
        <w:widowControl/>
        <w:kinsoku/>
        <w:overflowPunct/>
        <w:topLinePunct w:val="0"/>
        <w:bidi w:val="0"/>
        <w:snapToGrid/>
        <w:spacing w:beforeAutospacing="0" w:afterAutospacing="0" w:line="360" w:lineRule="auto"/>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问题澄清通知（编号：</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）已收悉，现澄清、说明和补正如下：</w:t>
      </w:r>
    </w:p>
    <w:p>
      <w:pPr>
        <w:pStyle w:val="16"/>
        <w:pageBreakBefore w:val="0"/>
        <w:widowControl/>
        <w:kinsoku/>
        <w:overflowPunct/>
        <w:topLinePunct w:val="0"/>
        <w:bidi w:val="0"/>
        <w:snapToGrid/>
        <w:spacing w:beforeAutospacing="0" w:afterAutospacing="0" w:line="360" w:lineRule="auto"/>
        <w:ind w:firstLine="480" w:firstLineChars="200"/>
        <w:rPr>
          <w:rFonts w:hint="eastAsia" w:ascii="宋体" w:hAnsi="宋体" w:eastAsia="宋体" w:cs="宋体"/>
          <w:color w:val="auto"/>
          <w:highlight w:val="none"/>
        </w:rPr>
      </w:pPr>
    </w:p>
    <w:p>
      <w:pPr>
        <w:pStyle w:val="16"/>
        <w:pageBreakBefore w:val="0"/>
        <w:widowControl/>
        <w:kinsoku/>
        <w:overflowPunct/>
        <w:topLinePunct w:val="0"/>
        <w:bidi w:val="0"/>
        <w:snapToGrid/>
        <w:spacing w:beforeAutospacing="0" w:afterAutospacing="0" w:line="360" w:lineRule="auto"/>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1、</w:t>
      </w:r>
    </w:p>
    <w:p>
      <w:pPr>
        <w:pStyle w:val="16"/>
        <w:pageBreakBefore w:val="0"/>
        <w:widowControl/>
        <w:kinsoku/>
        <w:overflowPunct/>
        <w:topLinePunct w:val="0"/>
        <w:bidi w:val="0"/>
        <w:snapToGrid/>
        <w:spacing w:beforeAutospacing="0" w:afterAutospacing="0" w:line="360" w:lineRule="auto"/>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2、</w:t>
      </w:r>
    </w:p>
    <w:p>
      <w:pPr>
        <w:pStyle w:val="16"/>
        <w:pageBreakBefore w:val="0"/>
        <w:widowControl/>
        <w:kinsoku/>
        <w:overflowPunct/>
        <w:topLinePunct w:val="0"/>
        <w:bidi w:val="0"/>
        <w:snapToGrid/>
        <w:spacing w:beforeAutospacing="0" w:afterAutospacing="0" w:line="360" w:lineRule="auto"/>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w:t>
      </w:r>
    </w:p>
    <w:p>
      <w:pPr>
        <w:pStyle w:val="16"/>
        <w:pageBreakBefore w:val="0"/>
        <w:widowControl/>
        <w:kinsoku/>
        <w:overflowPunct/>
        <w:topLinePunct w:val="0"/>
        <w:bidi w:val="0"/>
        <w:snapToGrid/>
        <w:spacing w:beforeAutospacing="0" w:afterAutospacing="0" w:line="360" w:lineRule="auto"/>
        <w:ind w:firstLine="480" w:firstLineChars="200"/>
        <w:rPr>
          <w:rFonts w:hint="eastAsia" w:ascii="宋体" w:hAnsi="宋体" w:eastAsia="宋体" w:cs="宋体"/>
          <w:color w:val="auto"/>
          <w:highlight w:val="none"/>
        </w:rPr>
      </w:pPr>
    </w:p>
    <w:p>
      <w:pPr>
        <w:pStyle w:val="16"/>
        <w:pageBreakBefore w:val="0"/>
        <w:widowControl/>
        <w:kinsoku/>
        <w:overflowPunct/>
        <w:topLinePunct w:val="0"/>
        <w:bidi w:val="0"/>
        <w:snapToGrid/>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    上述问题澄清、说明和补正，构成我方响应文件的组成部分。</w:t>
      </w:r>
    </w:p>
    <w:p>
      <w:pPr>
        <w:pStyle w:val="16"/>
        <w:pageBreakBefore w:val="0"/>
        <w:widowControl/>
        <w:kinsoku/>
        <w:overflowPunct/>
        <w:topLinePunct w:val="0"/>
        <w:bidi w:val="0"/>
        <w:snapToGrid/>
        <w:spacing w:beforeAutospacing="0" w:afterAutospacing="0" w:line="360" w:lineRule="auto"/>
        <w:rPr>
          <w:rFonts w:hint="eastAsia" w:ascii="宋体" w:hAnsi="宋体" w:eastAsia="宋体" w:cs="宋体"/>
          <w:color w:val="auto"/>
          <w:highlight w:val="none"/>
        </w:rPr>
      </w:pPr>
    </w:p>
    <w:p>
      <w:pPr>
        <w:pStyle w:val="16"/>
        <w:pageBreakBefore w:val="0"/>
        <w:widowControl/>
        <w:kinsoku/>
        <w:overflowPunct/>
        <w:topLinePunct w:val="0"/>
        <w:bidi w:val="0"/>
        <w:snapToGrid/>
        <w:spacing w:beforeAutospacing="0" w:afterAutospacing="0" w:line="360" w:lineRule="auto"/>
        <w:rPr>
          <w:rFonts w:hint="eastAsia" w:ascii="宋体" w:hAnsi="宋体" w:eastAsia="宋体" w:cs="宋体"/>
          <w:color w:val="auto"/>
          <w:highlight w:val="none"/>
        </w:rPr>
      </w:pPr>
    </w:p>
    <w:p>
      <w:pPr>
        <w:pStyle w:val="16"/>
        <w:pageBreakBefore w:val="0"/>
        <w:widowControl/>
        <w:kinsoku/>
        <w:overflowPunct/>
        <w:topLinePunct w:val="0"/>
        <w:bidi w:val="0"/>
        <w:snapToGrid/>
        <w:spacing w:beforeAutospacing="0" w:afterAutospacing="0" w:line="360" w:lineRule="auto"/>
        <w:ind w:left="1260" w:firstLine="420"/>
        <w:rPr>
          <w:rFonts w:hint="eastAsia" w:ascii="宋体" w:hAnsi="宋体" w:eastAsia="宋体" w:cs="宋体"/>
          <w:color w:val="auto"/>
          <w:highlight w:val="none"/>
        </w:rPr>
      </w:pPr>
      <w:r>
        <w:rPr>
          <w:rFonts w:hint="eastAsia" w:ascii="宋体" w:hAnsi="宋体" w:eastAsia="宋体" w:cs="宋体"/>
          <w:color w:val="auto"/>
          <w:highlight w:val="none"/>
          <w:lang w:eastAsia="zh-CN"/>
        </w:rPr>
        <w:t>询比响应人</w:t>
      </w:r>
      <w:r>
        <w:rPr>
          <w:rFonts w:hint="eastAsia" w:ascii="宋体" w:hAnsi="宋体" w:eastAsia="宋体" w:cs="宋体"/>
          <w:color w:val="auto"/>
          <w:highlight w:val="none"/>
        </w:rPr>
        <w:t>∶</w:t>
      </w:r>
      <w:r>
        <w:rPr>
          <w:rFonts w:hint="eastAsia" w:ascii="宋体" w:hAnsi="宋体" w:eastAsia="宋体" w:cs="宋体"/>
          <w:color w:val="auto"/>
          <w:highlight w:val="none"/>
          <w:u w:val="single"/>
        </w:rPr>
        <w:t xml:space="preserve">                                    （盖单位盖）</w:t>
      </w:r>
    </w:p>
    <w:p>
      <w:pPr>
        <w:pStyle w:val="16"/>
        <w:pageBreakBefore w:val="0"/>
        <w:widowControl/>
        <w:kinsoku/>
        <w:overflowPunct/>
        <w:topLinePunct w:val="0"/>
        <w:bidi w:val="0"/>
        <w:snapToGrid/>
        <w:spacing w:beforeAutospacing="0" w:afterAutospacing="0" w:line="360" w:lineRule="auto"/>
        <w:ind w:left="1260" w:firstLine="420"/>
        <w:rPr>
          <w:rFonts w:hint="eastAsia" w:ascii="宋体" w:hAnsi="宋体" w:eastAsia="宋体" w:cs="宋体"/>
          <w:color w:val="auto"/>
          <w:highlight w:val="none"/>
        </w:rPr>
      </w:pPr>
      <w:r>
        <w:rPr>
          <w:rFonts w:hint="eastAsia" w:ascii="宋体" w:hAnsi="宋体" w:eastAsia="宋体" w:cs="宋体"/>
          <w:color w:val="auto"/>
          <w:highlight w:val="none"/>
        </w:rPr>
        <w:t>或</w:t>
      </w:r>
    </w:p>
    <w:p>
      <w:pPr>
        <w:pStyle w:val="16"/>
        <w:pageBreakBefore w:val="0"/>
        <w:widowControl/>
        <w:kinsoku/>
        <w:overflowPunct/>
        <w:topLinePunct w:val="0"/>
        <w:bidi w:val="0"/>
        <w:snapToGrid/>
        <w:spacing w:beforeAutospacing="0" w:afterAutospacing="0" w:line="360" w:lineRule="auto"/>
        <w:ind w:left="1260" w:firstLine="420"/>
        <w:rPr>
          <w:rFonts w:hint="eastAsia" w:ascii="宋体" w:hAnsi="宋体" w:eastAsia="宋体" w:cs="宋体"/>
          <w:color w:val="auto"/>
          <w:highlight w:val="none"/>
        </w:rPr>
      </w:pPr>
      <w:r>
        <w:rPr>
          <w:rFonts w:hint="eastAsia" w:ascii="宋体" w:hAnsi="宋体" w:eastAsia="宋体" w:cs="宋体"/>
          <w:color w:val="auto"/>
          <w:highlight w:val="none"/>
        </w:rPr>
        <w:t>法定代表人（单位负责人）或其授权的代理人：</w:t>
      </w:r>
      <w:r>
        <w:rPr>
          <w:rFonts w:hint="eastAsia" w:ascii="宋体" w:hAnsi="宋体" w:eastAsia="宋体" w:cs="宋体"/>
          <w:color w:val="auto"/>
          <w:highlight w:val="none"/>
          <w:u w:val="single"/>
        </w:rPr>
        <w:t xml:space="preserve">       （签字）</w:t>
      </w:r>
    </w:p>
    <w:p>
      <w:pPr>
        <w:pageBreakBefore w:val="0"/>
        <w:kinsoku/>
        <w:overflowPunct/>
        <w:topLinePunct w:val="0"/>
        <w:bidi w:val="0"/>
        <w:snapToGrid/>
        <w:spacing w:line="360" w:lineRule="auto"/>
        <w:rPr>
          <w:rFonts w:hint="eastAsia" w:ascii="宋体" w:hAnsi="宋体" w:eastAsia="宋体" w:cs="宋体"/>
          <w:color w:val="auto"/>
          <w:sz w:val="24"/>
          <w:highlight w:val="none"/>
        </w:rPr>
      </w:pPr>
    </w:p>
    <w:p>
      <w:pPr>
        <w:pageBreakBefore w:val="0"/>
        <w:kinsoku/>
        <w:overflowPunct/>
        <w:topLinePunct w:val="0"/>
        <w:bidi w:val="0"/>
        <w:snapToGrid/>
        <w:spacing w:line="360" w:lineRule="auto"/>
        <w:rPr>
          <w:rFonts w:hint="eastAsia" w:ascii="宋体" w:hAnsi="宋体" w:eastAsia="宋体" w:cs="宋体"/>
          <w:color w:val="auto"/>
          <w:sz w:val="24"/>
          <w:highlight w:val="none"/>
        </w:rPr>
      </w:pPr>
    </w:p>
    <w:p>
      <w:pPr>
        <w:pageBreakBefore w:val="0"/>
        <w:kinsoku/>
        <w:overflowPunct/>
        <w:topLinePunct w:val="0"/>
        <w:bidi w:val="0"/>
        <w:snapToGrid/>
        <w:spacing w:line="360" w:lineRule="auto"/>
        <w:ind w:left="5040" w:firstLine="420"/>
        <w:rPr>
          <w:rFonts w:hint="eastAsia" w:ascii="宋体" w:hAnsi="宋体" w:eastAsia="宋体" w:cs="宋体"/>
          <w:color w:val="auto"/>
          <w:highlight w:val="none"/>
        </w:rPr>
      </w:pP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年</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月</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日</w:t>
      </w:r>
    </w:p>
    <w:p>
      <w:pPr>
        <w:pageBreakBefore w:val="0"/>
        <w:kinsoku/>
        <w:overflowPunct/>
        <w:topLinePunct w:val="0"/>
        <w:bidi w:val="0"/>
        <w:snapToGrid/>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br w:type="page"/>
      </w:r>
    </w:p>
    <w:p>
      <w:pPr>
        <w:pStyle w:val="6"/>
        <w:pageBreakBefore w:val="0"/>
        <w:kinsoku/>
        <w:overflowPunct/>
        <w:topLinePunct w:val="0"/>
        <w:bidi w:val="0"/>
        <w:snapToGrid/>
        <w:spacing w:line="360" w:lineRule="auto"/>
        <w:rPr>
          <w:rFonts w:hint="eastAsia" w:ascii="宋体" w:hAnsi="宋体" w:eastAsia="宋体" w:cs="宋体"/>
          <w:color w:val="auto"/>
          <w:highlight w:val="none"/>
        </w:rPr>
      </w:pPr>
      <w:bookmarkStart w:id="132" w:name="_Toc29611"/>
      <w:bookmarkStart w:id="133" w:name="_Toc21344"/>
      <w:r>
        <w:rPr>
          <w:rFonts w:hint="eastAsia" w:ascii="宋体" w:hAnsi="宋体" w:eastAsia="宋体" w:cs="宋体"/>
          <w:color w:val="auto"/>
          <w:highlight w:val="none"/>
        </w:rPr>
        <w:t>附件4  成交通知书</w:t>
      </w:r>
      <w:bookmarkEnd w:id="132"/>
      <w:bookmarkEnd w:id="133"/>
    </w:p>
    <w:p>
      <w:pPr>
        <w:pStyle w:val="16"/>
        <w:pageBreakBefore w:val="0"/>
        <w:widowControl/>
        <w:kinsoku/>
        <w:overflowPunct/>
        <w:topLinePunct w:val="0"/>
        <w:bidi w:val="0"/>
        <w:snapToGrid/>
        <w:spacing w:beforeAutospacing="0" w:afterAutospacing="0" w:line="360" w:lineRule="auto"/>
        <w:rPr>
          <w:rFonts w:hint="eastAsia" w:ascii="宋体" w:hAnsi="宋体" w:eastAsia="宋体" w:cs="宋体"/>
          <w:color w:val="auto"/>
          <w:highlight w:val="none"/>
        </w:rPr>
      </w:pPr>
    </w:p>
    <w:p>
      <w:pPr>
        <w:pStyle w:val="16"/>
        <w:pageBreakBefore w:val="0"/>
        <w:widowControl/>
        <w:kinsoku/>
        <w:overflowPunct/>
        <w:topLinePunct w:val="0"/>
        <w:bidi w:val="0"/>
        <w:snapToGrid/>
        <w:spacing w:beforeAutospacing="0" w:afterAutospacing="0" w:line="360" w:lineRule="auto"/>
        <w:rPr>
          <w:rFonts w:hint="eastAsia" w:ascii="宋体" w:hAnsi="宋体" w:eastAsia="宋体" w:cs="宋体"/>
          <w:color w:val="auto"/>
          <w:highlight w:val="none"/>
        </w:rPr>
      </w:pPr>
    </w:p>
    <w:p>
      <w:pPr>
        <w:pStyle w:val="16"/>
        <w:pageBreakBefore w:val="0"/>
        <w:widowControl/>
        <w:kinsoku/>
        <w:overflowPunct/>
        <w:topLinePunct w:val="0"/>
        <w:bidi w:val="0"/>
        <w:snapToGrid/>
        <w:spacing w:beforeAutospacing="0" w:afterAutospacing="0" w:line="360" w:lineRule="auto"/>
        <w:jc w:val="center"/>
        <w:rPr>
          <w:rFonts w:hint="eastAsia" w:ascii="宋体" w:hAnsi="宋体" w:eastAsia="宋体" w:cs="宋体"/>
          <w:color w:val="auto"/>
          <w:sz w:val="30"/>
          <w:szCs w:val="30"/>
          <w:highlight w:val="none"/>
        </w:rPr>
      </w:pPr>
      <w:r>
        <w:rPr>
          <w:rFonts w:hint="eastAsia" w:ascii="宋体" w:hAnsi="宋体" w:eastAsia="宋体" w:cs="宋体"/>
          <w:color w:val="auto"/>
          <w:sz w:val="36"/>
          <w:szCs w:val="36"/>
          <w:highlight w:val="none"/>
        </w:rPr>
        <w:t>成交通知书</w:t>
      </w:r>
    </w:p>
    <w:p>
      <w:pPr>
        <w:pStyle w:val="16"/>
        <w:pageBreakBefore w:val="0"/>
        <w:widowControl/>
        <w:kinsoku/>
        <w:overflowPunct/>
        <w:topLinePunct w:val="0"/>
        <w:bidi w:val="0"/>
        <w:snapToGrid/>
        <w:spacing w:beforeAutospacing="0" w:afterAutospacing="0" w:line="360" w:lineRule="auto"/>
        <w:jc w:val="center"/>
        <w:rPr>
          <w:rFonts w:hint="eastAsia" w:ascii="宋体" w:hAnsi="宋体" w:eastAsia="宋体" w:cs="宋体"/>
          <w:color w:val="auto"/>
          <w:sz w:val="21"/>
          <w:szCs w:val="21"/>
          <w:highlight w:val="none"/>
        </w:rPr>
      </w:pPr>
    </w:p>
    <w:p>
      <w:pPr>
        <w:pStyle w:val="16"/>
        <w:pageBreakBefore w:val="0"/>
        <w:widowControl/>
        <w:kinsoku/>
        <w:overflowPunct/>
        <w:topLinePunct w:val="0"/>
        <w:bidi w:val="0"/>
        <w:snapToGrid/>
        <w:spacing w:beforeAutospacing="0" w:afterAutospacing="0" w:line="360" w:lineRule="auto"/>
        <w:jc w:val="center"/>
        <w:rPr>
          <w:rFonts w:hint="eastAsia" w:ascii="宋体" w:hAnsi="宋体" w:eastAsia="宋体" w:cs="宋体"/>
          <w:color w:val="auto"/>
          <w:sz w:val="21"/>
          <w:szCs w:val="21"/>
          <w:highlight w:val="none"/>
        </w:rPr>
      </w:pPr>
    </w:p>
    <w:p>
      <w:pPr>
        <w:pStyle w:val="16"/>
        <w:pageBreakBefore w:val="0"/>
        <w:widowControl/>
        <w:kinsoku/>
        <w:overflowPunct/>
        <w:topLinePunct w:val="0"/>
        <w:bidi w:val="0"/>
        <w:snapToGrid/>
        <w:spacing w:beforeAutospacing="0" w:afterAutospacing="0" w:line="360" w:lineRule="auto"/>
        <w:jc w:val="both"/>
        <w:rPr>
          <w:rFonts w:hint="eastAsia" w:ascii="宋体" w:hAnsi="宋体" w:eastAsia="宋体" w:cs="宋体"/>
          <w:color w:val="auto"/>
          <w:highlight w:val="none"/>
        </w:rPr>
      </w:pPr>
      <w:r>
        <w:rPr>
          <w:rFonts w:hint="eastAsia" w:ascii="宋体" w:hAnsi="宋体" w:eastAsia="宋体" w:cs="宋体"/>
          <w:color w:val="auto"/>
          <w:highlight w:val="none"/>
          <w:u w:val="single"/>
        </w:rPr>
        <w:t xml:space="preserve">                       （成交</w:t>
      </w:r>
      <w:r>
        <w:rPr>
          <w:rFonts w:hint="eastAsia" w:ascii="宋体" w:hAnsi="宋体" w:eastAsia="宋体" w:cs="宋体"/>
          <w:color w:val="auto"/>
          <w:highlight w:val="none"/>
          <w:u w:val="single"/>
          <w:lang w:eastAsia="zh-CN"/>
        </w:rPr>
        <w:t>询比响应人</w:t>
      </w:r>
      <w:r>
        <w:rPr>
          <w:rFonts w:hint="eastAsia" w:ascii="宋体" w:hAnsi="宋体" w:eastAsia="宋体" w:cs="宋体"/>
          <w:color w:val="auto"/>
          <w:highlight w:val="none"/>
          <w:u w:val="single"/>
        </w:rPr>
        <w:t>名称）</w:t>
      </w:r>
      <w:r>
        <w:rPr>
          <w:rFonts w:hint="eastAsia" w:ascii="宋体" w:hAnsi="宋体" w:eastAsia="宋体" w:cs="宋体"/>
          <w:color w:val="auto"/>
          <w:highlight w:val="none"/>
        </w:rPr>
        <w:t>：</w:t>
      </w:r>
    </w:p>
    <w:p>
      <w:pPr>
        <w:pStyle w:val="16"/>
        <w:pageBreakBefore w:val="0"/>
        <w:widowControl/>
        <w:kinsoku/>
        <w:overflowPunct/>
        <w:topLinePunct w:val="0"/>
        <w:bidi w:val="0"/>
        <w:snapToGrid/>
        <w:spacing w:beforeAutospacing="0" w:afterAutospacing="0" w:line="360" w:lineRule="auto"/>
        <w:ind w:firstLine="480" w:firstLineChars="200"/>
        <w:rPr>
          <w:rFonts w:hint="eastAsia" w:ascii="宋体" w:hAnsi="宋体" w:eastAsia="宋体" w:cs="宋体"/>
          <w:color w:val="auto"/>
          <w:highlight w:val="none"/>
        </w:rPr>
      </w:pPr>
    </w:p>
    <w:p>
      <w:pPr>
        <w:pStyle w:val="16"/>
        <w:pageBreakBefore w:val="0"/>
        <w:widowControl/>
        <w:kinsoku/>
        <w:overflowPunct/>
        <w:topLinePunct w:val="0"/>
        <w:bidi w:val="0"/>
        <w:snapToGrid/>
        <w:spacing w:beforeAutospacing="0" w:afterAutospacing="0" w:line="360" w:lineRule="auto"/>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你方所递交的</w:t>
      </w:r>
      <w:r>
        <w:rPr>
          <w:rFonts w:hint="eastAsia" w:ascii="宋体" w:hAnsi="宋体" w:eastAsia="宋体" w:cs="宋体"/>
          <w:color w:val="auto"/>
          <w:highlight w:val="none"/>
          <w:u w:val="single"/>
        </w:rPr>
        <w:t xml:space="preserve">             （项目名称）</w:t>
      </w:r>
      <w:r>
        <w:rPr>
          <w:rFonts w:hint="eastAsia" w:ascii="宋体" w:hAnsi="宋体" w:eastAsia="宋体" w:cs="宋体"/>
          <w:color w:val="auto"/>
          <w:highlight w:val="none"/>
        </w:rPr>
        <w:t>的响应文件已被我方接受，被确定为成交</w:t>
      </w:r>
      <w:r>
        <w:rPr>
          <w:rFonts w:hint="eastAsia" w:ascii="宋体" w:hAnsi="宋体" w:eastAsia="宋体" w:cs="宋体"/>
          <w:color w:val="auto"/>
          <w:highlight w:val="none"/>
          <w:lang w:eastAsia="zh-CN"/>
        </w:rPr>
        <w:t>询比响应人</w:t>
      </w:r>
      <w:r>
        <w:rPr>
          <w:rFonts w:hint="eastAsia" w:ascii="宋体" w:hAnsi="宋体" w:eastAsia="宋体" w:cs="宋体"/>
          <w:color w:val="auto"/>
          <w:highlight w:val="none"/>
        </w:rPr>
        <w:t>。</w:t>
      </w:r>
    </w:p>
    <w:p>
      <w:pPr>
        <w:pStyle w:val="16"/>
        <w:pageBreakBefore w:val="0"/>
        <w:widowControl/>
        <w:kinsoku/>
        <w:overflowPunct/>
        <w:topLinePunct w:val="0"/>
        <w:bidi w:val="0"/>
        <w:snapToGrid/>
        <w:spacing w:beforeAutospacing="0" w:afterAutospacing="0" w:line="360" w:lineRule="auto"/>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成交价：</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w:t>
      </w:r>
    </w:p>
    <w:p>
      <w:pPr>
        <w:pStyle w:val="16"/>
        <w:pageBreakBefore w:val="0"/>
        <w:widowControl/>
        <w:kinsoku/>
        <w:overflowPunct/>
        <w:topLinePunct w:val="0"/>
        <w:bidi w:val="0"/>
        <w:snapToGrid/>
        <w:spacing w:beforeAutospacing="0" w:afterAutospacing="0" w:line="360" w:lineRule="auto"/>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成交份额：</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。（如有）</w:t>
      </w:r>
    </w:p>
    <w:p>
      <w:pPr>
        <w:pStyle w:val="16"/>
        <w:pageBreakBefore w:val="0"/>
        <w:widowControl/>
        <w:kinsoku/>
        <w:overflowPunct/>
        <w:topLinePunct w:val="0"/>
        <w:bidi w:val="0"/>
        <w:snapToGrid/>
        <w:spacing w:beforeAutospacing="0" w:afterAutospacing="0" w:line="360" w:lineRule="auto"/>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请你方在接到本通知书后的</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日内到</w:t>
      </w:r>
      <w:r>
        <w:rPr>
          <w:rFonts w:hint="eastAsia" w:ascii="宋体" w:hAnsi="宋体" w:eastAsia="宋体" w:cs="宋体"/>
          <w:color w:val="auto"/>
          <w:highlight w:val="none"/>
          <w:u w:val="single"/>
        </w:rPr>
        <w:t xml:space="preserve">             （指定地点）</w:t>
      </w:r>
      <w:r>
        <w:rPr>
          <w:rFonts w:hint="eastAsia" w:ascii="宋体" w:hAnsi="宋体" w:eastAsia="宋体" w:cs="宋体"/>
          <w:color w:val="auto"/>
          <w:highlight w:val="none"/>
        </w:rPr>
        <w:t>与我方签订采购合同，并按采购文件第二章“</w:t>
      </w:r>
      <w:r>
        <w:rPr>
          <w:rFonts w:hint="eastAsia" w:ascii="宋体" w:hAnsi="宋体" w:eastAsia="宋体" w:cs="宋体"/>
          <w:color w:val="auto"/>
          <w:highlight w:val="none"/>
          <w:lang w:eastAsia="zh-CN"/>
        </w:rPr>
        <w:t>询比响应人</w:t>
      </w:r>
      <w:r>
        <w:rPr>
          <w:rFonts w:hint="eastAsia" w:ascii="宋体" w:hAnsi="宋体" w:eastAsia="宋体" w:cs="宋体"/>
          <w:color w:val="auto"/>
          <w:highlight w:val="none"/>
        </w:rPr>
        <w:t>须知”第7.6款规定向我方递交履约保证金。</w:t>
      </w:r>
    </w:p>
    <w:p>
      <w:pPr>
        <w:pStyle w:val="16"/>
        <w:pageBreakBefore w:val="0"/>
        <w:widowControl/>
        <w:kinsoku/>
        <w:overflowPunct/>
        <w:topLinePunct w:val="0"/>
        <w:bidi w:val="0"/>
        <w:snapToGrid/>
        <w:spacing w:beforeAutospacing="0" w:afterAutospacing="0" w:line="360" w:lineRule="auto"/>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特此通知。</w:t>
      </w:r>
    </w:p>
    <w:p>
      <w:pPr>
        <w:pStyle w:val="16"/>
        <w:pageBreakBefore w:val="0"/>
        <w:widowControl/>
        <w:kinsoku/>
        <w:overflowPunct/>
        <w:topLinePunct w:val="0"/>
        <w:bidi w:val="0"/>
        <w:snapToGrid/>
        <w:spacing w:beforeAutospacing="0" w:afterAutospacing="0" w:line="360" w:lineRule="auto"/>
        <w:rPr>
          <w:rFonts w:hint="eastAsia" w:ascii="宋体" w:hAnsi="宋体" w:eastAsia="宋体" w:cs="宋体"/>
          <w:color w:val="auto"/>
          <w:highlight w:val="none"/>
        </w:rPr>
      </w:pPr>
    </w:p>
    <w:p>
      <w:pPr>
        <w:pStyle w:val="16"/>
        <w:pageBreakBefore w:val="0"/>
        <w:widowControl/>
        <w:kinsoku/>
        <w:overflowPunct/>
        <w:topLinePunct w:val="0"/>
        <w:bidi w:val="0"/>
        <w:snapToGrid/>
        <w:spacing w:beforeAutospacing="0" w:afterAutospacing="0" w:line="360" w:lineRule="auto"/>
        <w:ind w:firstLine="720" w:firstLineChars="300"/>
        <w:rPr>
          <w:rFonts w:hint="eastAsia" w:ascii="宋体" w:hAnsi="宋体" w:eastAsia="宋体" w:cs="宋体"/>
          <w:color w:val="auto"/>
          <w:highlight w:val="none"/>
        </w:rPr>
      </w:pPr>
      <w:r>
        <w:rPr>
          <w:rFonts w:hint="eastAsia" w:ascii="宋体" w:hAnsi="宋体" w:eastAsia="宋体" w:cs="宋体"/>
          <w:color w:val="auto"/>
          <w:highlight w:val="none"/>
          <w:lang w:eastAsia="zh-CN"/>
        </w:rPr>
        <w:t>招标人</w:t>
      </w:r>
      <w:r>
        <w:rPr>
          <w:rFonts w:hint="eastAsia" w:ascii="宋体" w:hAnsi="宋体" w:eastAsia="宋体" w:cs="宋体"/>
          <w:color w:val="auto"/>
          <w:highlight w:val="none"/>
        </w:rPr>
        <w:t>（或</w:t>
      </w:r>
      <w:r>
        <w:rPr>
          <w:rFonts w:hint="eastAsia" w:ascii="宋体" w:hAnsi="宋体" w:eastAsia="宋体" w:cs="宋体"/>
          <w:color w:val="auto"/>
          <w:highlight w:val="none"/>
          <w:lang w:eastAsia="zh-CN"/>
        </w:rPr>
        <w:t>招标代理机构</w:t>
      </w:r>
      <w:r>
        <w:rPr>
          <w:rFonts w:hint="eastAsia" w:ascii="宋体" w:hAnsi="宋体" w:eastAsia="宋体" w:cs="宋体"/>
          <w:color w:val="auto"/>
          <w:highlight w:val="none"/>
        </w:rPr>
        <w:t>）∶</w:t>
      </w:r>
      <w:r>
        <w:rPr>
          <w:rFonts w:hint="eastAsia" w:ascii="宋体" w:hAnsi="宋体" w:eastAsia="宋体" w:cs="宋体"/>
          <w:color w:val="auto"/>
          <w:highlight w:val="none"/>
          <w:u w:val="single"/>
        </w:rPr>
        <w:t xml:space="preserve">                         （盖单位章）</w:t>
      </w:r>
    </w:p>
    <w:p>
      <w:pPr>
        <w:pageBreakBefore w:val="0"/>
        <w:kinsoku/>
        <w:overflowPunct/>
        <w:topLinePunct w:val="0"/>
        <w:bidi w:val="0"/>
        <w:snapToGrid/>
        <w:spacing w:line="360" w:lineRule="auto"/>
        <w:rPr>
          <w:rFonts w:hint="eastAsia" w:ascii="宋体" w:hAnsi="宋体" w:eastAsia="宋体" w:cs="宋体"/>
          <w:color w:val="auto"/>
          <w:sz w:val="24"/>
          <w:highlight w:val="none"/>
        </w:rPr>
      </w:pPr>
    </w:p>
    <w:p>
      <w:pPr>
        <w:pageBreakBefore w:val="0"/>
        <w:kinsoku/>
        <w:overflowPunct/>
        <w:topLinePunct w:val="0"/>
        <w:bidi w:val="0"/>
        <w:snapToGrid/>
        <w:spacing w:line="360" w:lineRule="auto"/>
        <w:ind w:left="5040" w:firstLine="420"/>
        <w:rPr>
          <w:rFonts w:hint="eastAsia" w:ascii="宋体" w:hAnsi="宋体" w:eastAsia="宋体" w:cs="宋体"/>
          <w:color w:val="auto"/>
          <w:highlight w:val="none"/>
        </w:rPr>
      </w:pP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年</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月</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日</w:t>
      </w:r>
    </w:p>
    <w:p>
      <w:pPr>
        <w:pageBreakBefore w:val="0"/>
        <w:kinsoku/>
        <w:overflowPunct/>
        <w:topLinePunct w:val="0"/>
        <w:bidi w:val="0"/>
        <w:snapToGrid/>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br w:type="page"/>
      </w:r>
    </w:p>
    <w:p>
      <w:pPr>
        <w:pStyle w:val="6"/>
        <w:pageBreakBefore w:val="0"/>
        <w:kinsoku/>
        <w:overflowPunct/>
        <w:topLinePunct w:val="0"/>
        <w:bidi w:val="0"/>
        <w:snapToGrid/>
        <w:spacing w:line="360" w:lineRule="auto"/>
        <w:rPr>
          <w:rFonts w:hint="eastAsia" w:ascii="宋体" w:hAnsi="宋体" w:eastAsia="宋体" w:cs="宋体"/>
          <w:color w:val="auto"/>
          <w:highlight w:val="none"/>
        </w:rPr>
      </w:pPr>
      <w:bookmarkStart w:id="134" w:name="_Toc19667"/>
      <w:bookmarkStart w:id="135" w:name="_Toc30172"/>
      <w:r>
        <w:rPr>
          <w:rFonts w:hint="eastAsia" w:ascii="宋体" w:hAnsi="宋体" w:eastAsia="宋体" w:cs="宋体"/>
          <w:color w:val="auto"/>
          <w:highlight w:val="none"/>
        </w:rPr>
        <w:t>附件5  确认通知</w:t>
      </w:r>
      <w:bookmarkEnd w:id="134"/>
      <w:bookmarkEnd w:id="135"/>
    </w:p>
    <w:p>
      <w:pPr>
        <w:pStyle w:val="16"/>
        <w:pageBreakBefore w:val="0"/>
        <w:widowControl/>
        <w:kinsoku/>
        <w:overflowPunct/>
        <w:topLinePunct w:val="0"/>
        <w:bidi w:val="0"/>
        <w:snapToGrid/>
        <w:spacing w:beforeAutospacing="0" w:afterAutospacing="0" w:line="360" w:lineRule="auto"/>
        <w:rPr>
          <w:rFonts w:hint="eastAsia" w:ascii="宋体" w:hAnsi="宋体" w:eastAsia="宋体" w:cs="宋体"/>
          <w:color w:val="auto"/>
          <w:highlight w:val="none"/>
        </w:rPr>
      </w:pPr>
    </w:p>
    <w:p>
      <w:pPr>
        <w:pStyle w:val="16"/>
        <w:pageBreakBefore w:val="0"/>
        <w:widowControl/>
        <w:kinsoku/>
        <w:overflowPunct/>
        <w:topLinePunct w:val="0"/>
        <w:bidi w:val="0"/>
        <w:snapToGrid/>
        <w:spacing w:beforeAutospacing="0" w:afterAutospacing="0" w:line="360" w:lineRule="auto"/>
        <w:rPr>
          <w:rFonts w:hint="eastAsia" w:ascii="宋体" w:hAnsi="宋体" w:eastAsia="宋体" w:cs="宋体"/>
          <w:color w:val="auto"/>
          <w:highlight w:val="none"/>
        </w:rPr>
      </w:pPr>
    </w:p>
    <w:p>
      <w:pPr>
        <w:pStyle w:val="16"/>
        <w:pageBreakBefore w:val="0"/>
        <w:widowControl/>
        <w:kinsoku/>
        <w:overflowPunct/>
        <w:topLinePunct w:val="0"/>
        <w:bidi w:val="0"/>
        <w:snapToGrid/>
        <w:spacing w:beforeAutospacing="0" w:afterAutospacing="0" w:line="360" w:lineRule="auto"/>
        <w:jc w:val="center"/>
        <w:rPr>
          <w:rFonts w:hint="eastAsia" w:ascii="宋体" w:hAnsi="宋体" w:eastAsia="宋体" w:cs="宋体"/>
          <w:color w:val="auto"/>
          <w:sz w:val="36"/>
          <w:szCs w:val="36"/>
          <w:highlight w:val="none"/>
        </w:rPr>
      </w:pPr>
      <w:r>
        <w:rPr>
          <w:rFonts w:hint="eastAsia" w:ascii="宋体" w:hAnsi="宋体" w:eastAsia="宋体" w:cs="宋体"/>
          <w:color w:val="auto"/>
          <w:sz w:val="36"/>
          <w:szCs w:val="36"/>
          <w:highlight w:val="none"/>
        </w:rPr>
        <w:t>确 认 通 知</w:t>
      </w:r>
    </w:p>
    <w:p>
      <w:pPr>
        <w:pStyle w:val="16"/>
        <w:pageBreakBefore w:val="0"/>
        <w:widowControl/>
        <w:kinsoku/>
        <w:overflowPunct/>
        <w:topLinePunct w:val="0"/>
        <w:bidi w:val="0"/>
        <w:snapToGrid/>
        <w:spacing w:beforeAutospacing="0" w:afterAutospacing="0" w:line="360" w:lineRule="auto"/>
        <w:jc w:val="center"/>
        <w:rPr>
          <w:rFonts w:hint="eastAsia" w:ascii="宋体" w:hAnsi="宋体" w:eastAsia="宋体" w:cs="宋体"/>
          <w:color w:val="auto"/>
          <w:sz w:val="21"/>
          <w:szCs w:val="21"/>
          <w:highlight w:val="none"/>
        </w:rPr>
      </w:pPr>
    </w:p>
    <w:p>
      <w:pPr>
        <w:pStyle w:val="16"/>
        <w:pageBreakBefore w:val="0"/>
        <w:widowControl/>
        <w:kinsoku/>
        <w:overflowPunct/>
        <w:topLinePunct w:val="0"/>
        <w:bidi w:val="0"/>
        <w:snapToGrid/>
        <w:spacing w:beforeAutospacing="0" w:afterAutospacing="0" w:line="360" w:lineRule="auto"/>
        <w:jc w:val="center"/>
        <w:rPr>
          <w:rFonts w:hint="eastAsia" w:ascii="宋体" w:hAnsi="宋体" w:eastAsia="宋体" w:cs="宋体"/>
          <w:color w:val="auto"/>
          <w:sz w:val="21"/>
          <w:szCs w:val="21"/>
          <w:highlight w:val="none"/>
        </w:rPr>
      </w:pPr>
    </w:p>
    <w:p>
      <w:pPr>
        <w:pStyle w:val="16"/>
        <w:pageBreakBefore w:val="0"/>
        <w:widowControl/>
        <w:kinsoku/>
        <w:overflowPunct/>
        <w:topLinePunct w:val="0"/>
        <w:bidi w:val="0"/>
        <w:snapToGrid/>
        <w:spacing w:beforeAutospacing="0" w:afterAutospacing="0" w:line="360" w:lineRule="auto"/>
        <w:jc w:val="both"/>
        <w:rPr>
          <w:rFonts w:hint="eastAsia" w:ascii="宋体" w:hAnsi="宋体" w:eastAsia="宋体" w:cs="宋体"/>
          <w:color w:val="auto"/>
          <w:highlight w:val="none"/>
        </w:rPr>
      </w:pP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lang w:eastAsia="zh-CN"/>
        </w:rPr>
        <w:t>招标人</w:t>
      </w:r>
      <w:r>
        <w:rPr>
          <w:rFonts w:hint="eastAsia" w:ascii="宋体" w:hAnsi="宋体" w:eastAsia="宋体" w:cs="宋体"/>
          <w:color w:val="auto"/>
          <w:highlight w:val="none"/>
          <w:u w:val="single"/>
        </w:rPr>
        <w:t>或</w:t>
      </w:r>
      <w:r>
        <w:rPr>
          <w:rFonts w:hint="eastAsia" w:ascii="宋体" w:hAnsi="宋体" w:eastAsia="宋体" w:cs="宋体"/>
          <w:color w:val="auto"/>
          <w:highlight w:val="none"/>
          <w:u w:val="single"/>
          <w:lang w:eastAsia="zh-CN"/>
        </w:rPr>
        <w:t>招标代理机构</w:t>
      </w:r>
      <w:r>
        <w:rPr>
          <w:rFonts w:hint="eastAsia" w:ascii="宋体" w:hAnsi="宋体" w:eastAsia="宋体" w:cs="宋体"/>
          <w:color w:val="auto"/>
          <w:highlight w:val="none"/>
          <w:u w:val="single"/>
        </w:rPr>
        <w:t>名称）</w:t>
      </w:r>
      <w:r>
        <w:rPr>
          <w:rFonts w:hint="eastAsia" w:ascii="宋体" w:hAnsi="宋体" w:eastAsia="宋体" w:cs="宋体"/>
          <w:color w:val="auto"/>
          <w:highlight w:val="none"/>
        </w:rPr>
        <w:t>：</w:t>
      </w:r>
    </w:p>
    <w:p>
      <w:pPr>
        <w:pStyle w:val="16"/>
        <w:pageBreakBefore w:val="0"/>
        <w:widowControl/>
        <w:kinsoku/>
        <w:overflowPunct/>
        <w:topLinePunct w:val="0"/>
        <w:bidi w:val="0"/>
        <w:snapToGrid/>
        <w:spacing w:beforeAutospacing="0" w:afterAutospacing="0" w:line="360" w:lineRule="auto"/>
        <w:ind w:firstLine="480" w:firstLineChars="200"/>
        <w:rPr>
          <w:rFonts w:hint="eastAsia" w:ascii="宋体" w:hAnsi="宋体" w:eastAsia="宋体" w:cs="宋体"/>
          <w:color w:val="auto"/>
          <w:highlight w:val="none"/>
        </w:rPr>
      </w:pPr>
    </w:p>
    <w:p>
      <w:pPr>
        <w:pStyle w:val="16"/>
        <w:pageBreakBefore w:val="0"/>
        <w:widowControl/>
        <w:kinsoku/>
        <w:overflowPunct/>
        <w:topLinePunct w:val="0"/>
        <w:bidi w:val="0"/>
        <w:snapToGrid/>
        <w:spacing w:beforeAutospacing="0" w:afterAutospacing="0" w:line="360" w:lineRule="auto"/>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你方于</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年</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月</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日发出的</w:t>
      </w:r>
      <w:r>
        <w:rPr>
          <w:rFonts w:hint="eastAsia" w:ascii="宋体" w:hAnsi="宋体" w:eastAsia="宋体" w:cs="宋体"/>
          <w:color w:val="auto"/>
          <w:highlight w:val="none"/>
          <w:u w:val="single"/>
        </w:rPr>
        <w:t xml:space="preserve">            （项目名称）</w:t>
      </w:r>
      <w:r>
        <w:rPr>
          <w:rFonts w:hint="eastAsia" w:ascii="宋体" w:hAnsi="宋体" w:eastAsia="宋体" w:cs="宋体"/>
          <w:color w:val="auto"/>
          <w:highlight w:val="none"/>
        </w:rPr>
        <w:t>采购文件的澄清/修改的通知，我方已于</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年</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月</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日收到。</w:t>
      </w:r>
    </w:p>
    <w:p>
      <w:pPr>
        <w:pStyle w:val="16"/>
        <w:pageBreakBefore w:val="0"/>
        <w:widowControl/>
        <w:kinsoku/>
        <w:overflowPunct/>
        <w:topLinePunct w:val="0"/>
        <w:bidi w:val="0"/>
        <w:snapToGrid/>
        <w:spacing w:beforeAutospacing="0" w:afterAutospacing="0" w:line="360" w:lineRule="auto"/>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特此确认。</w:t>
      </w:r>
    </w:p>
    <w:p>
      <w:pPr>
        <w:pStyle w:val="16"/>
        <w:pageBreakBefore w:val="0"/>
        <w:widowControl/>
        <w:kinsoku/>
        <w:overflowPunct/>
        <w:topLinePunct w:val="0"/>
        <w:bidi w:val="0"/>
        <w:snapToGrid/>
        <w:spacing w:beforeAutospacing="0" w:afterAutospacing="0" w:line="360" w:lineRule="auto"/>
        <w:ind w:firstLine="480" w:firstLineChars="200"/>
        <w:rPr>
          <w:rFonts w:hint="eastAsia" w:ascii="宋体" w:hAnsi="宋体" w:eastAsia="宋体" w:cs="宋体"/>
          <w:color w:val="auto"/>
          <w:highlight w:val="none"/>
        </w:rPr>
      </w:pPr>
    </w:p>
    <w:p>
      <w:pPr>
        <w:pStyle w:val="16"/>
        <w:pageBreakBefore w:val="0"/>
        <w:widowControl/>
        <w:kinsoku/>
        <w:overflowPunct/>
        <w:topLinePunct w:val="0"/>
        <w:bidi w:val="0"/>
        <w:snapToGrid/>
        <w:spacing w:beforeAutospacing="0" w:afterAutospacing="0" w:line="360" w:lineRule="auto"/>
        <w:ind w:firstLine="480" w:firstLineChars="200"/>
        <w:rPr>
          <w:rFonts w:hint="eastAsia" w:ascii="宋体" w:hAnsi="宋体" w:eastAsia="宋体" w:cs="宋体"/>
          <w:color w:val="auto"/>
          <w:highlight w:val="none"/>
        </w:rPr>
      </w:pPr>
    </w:p>
    <w:p>
      <w:pPr>
        <w:pStyle w:val="16"/>
        <w:pageBreakBefore w:val="0"/>
        <w:widowControl/>
        <w:kinsoku/>
        <w:overflowPunct/>
        <w:topLinePunct w:val="0"/>
        <w:bidi w:val="0"/>
        <w:snapToGrid/>
        <w:spacing w:beforeAutospacing="0" w:afterAutospacing="0" w:line="360" w:lineRule="auto"/>
        <w:ind w:left="2520" w:firstLine="720" w:firstLineChars="300"/>
        <w:rPr>
          <w:rFonts w:hint="eastAsia" w:ascii="宋体" w:hAnsi="宋体" w:eastAsia="宋体" w:cs="宋体"/>
          <w:color w:val="auto"/>
          <w:highlight w:val="none"/>
        </w:rPr>
      </w:pPr>
      <w:r>
        <w:rPr>
          <w:rFonts w:hint="eastAsia" w:ascii="宋体" w:hAnsi="宋体" w:eastAsia="宋体" w:cs="宋体"/>
          <w:color w:val="auto"/>
          <w:highlight w:val="none"/>
          <w:lang w:eastAsia="zh-CN"/>
        </w:rPr>
        <w:t>询比响应人</w:t>
      </w:r>
      <w:r>
        <w:rPr>
          <w:rFonts w:hint="eastAsia" w:ascii="宋体" w:hAnsi="宋体" w:eastAsia="宋体" w:cs="宋体"/>
          <w:color w:val="auto"/>
          <w:highlight w:val="none"/>
        </w:rPr>
        <w:t>∶</w:t>
      </w:r>
      <w:r>
        <w:rPr>
          <w:rFonts w:hint="eastAsia" w:ascii="宋体" w:hAnsi="宋体" w:eastAsia="宋体" w:cs="宋体"/>
          <w:color w:val="auto"/>
          <w:highlight w:val="none"/>
          <w:u w:val="single"/>
        </w:rPr>
        <w:t xml:space="preserve">                     （盖单位章）</w:t>
      </w:r>
    </w:p>
    <w:p>
      <w:pPr>
        <w:pageBreakBefore w:val="0"/>
        <w:kinsoku/>
        <w:overflowPunct/>
        <w:topLinePunct w:val="0"/>
        <w:bidi w:val="0"/>
        <w:snapToGrid/>
        <w:spacing w:line="360" w:lineRule="auto"/>
        <w:rPr>
          <w:rFonts w:hint="eastAsia" w:ascii="宋体" w:hAnsi="宋体" w:eastAsia="宋体" w:cs="宋体"/>
          <w:color w:val="auto"/>
          <w:sz w:val="24"/>
          <w:highlight w:val="none"/>
        </w:rPr>
      </w:pPr>
    </w:p>
    <w:p>
      <w:pPr>
        <w:pageBreakBefore w:val="0"/>
        <w:kinsoku/>
        <w:overflowPunct/>
        <w:topLinePunct w:val="0"/>
        <w:bidi w:val="0"/>
        <w:snapToGrid/>
        <w:spacing w:line="360" w:lineRule="auto"/>
        <w:ind w:left="5040" w:firstLine="420"/>
        <w:rPr>
          <w:rFonts w:hint="eastAsia" w:ascii="宋体" w:hAnsi="宋体" w:eastAsia="宋体" w:cs="宋体"/>
          <w:color w:val="auto"/>
          <w:highlight w:val="none"/>
        </w:rPr>
      </w:pP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年</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月</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日</w:t>
      </w:r>
    </w:p>
    <w:p>
      <w:pPr>
        <w:pageBreakBefore w:val="0"/>
        <w:kinsoku/>
        <w:overflowPunct/>
        <w:topLinePunct w:val="0"/>
        <w:bidi w:val="0"/>
        <w:snapToGrid/>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br w:type="page"/>
      </w:r>
    </w:p>
    <w:p>
      <w:pPr>
        <w:pageBreakBefore w:val="0"/>
        <w:kinsoku/>
        <w:overflowPunct/>
        <w:topLinePunct w:val="0"/>
        <w:bidi w:val="0"/>
        <w:snapToGrid/>
        <w:spacing w:line="360" w:lineRule="auto"/>
        <w:jc w:val="center"/>
        <w:rPr>
          <w:rFonts w:hint="eastAsia" w:ascii="宋体" w:hAnsi="宋体" w:eastAsia="宋体" w:cs="宋体"/>
          <w:b/>
          <w:bCs/>
          <w:color w:val="auto"/>
          <w:sz w:val="44"/>
          <w:szCs w:val="44"/>
          <w:highlight w:val="none"/>
        </w:rPr>
      </w:pPr>
    </w:p>
    <w:p>
      <w:pPr>
        <w:pageBreakBefore w:val="0"/>
        <w:kinsoku/>
        <w:overflowPunct/>
        <w:topLinePunct w:val="0"/>
        <w:bidi w:val="0"/>
        <w:snapToGrid/>
        <w:spacing w:line="360" w:lineRule="auto"/>
        <w:jc w:val="center"/>
        <w:rPr>
          <w:rFonts w:hint="eastAsia" w:ascii="宋体" w:hAnsi="宋体" w:eastAsia="宋体" w:cs="宋体"/>
          <w:b/>
          <w:bCs/>
          <w:color w:val="auto"/>
          <w:sz w:val="44"/>
          <w:szCs w:val="44"/>
          <w:highlight w:val="none"/>
        </w:rPr>
      </w:pPr>
    </w:p>
    <w:p>
      <w:pPr>
        <w:pageBreakBefore w:val="0"/>
        <w:kinsoku/>
        <w:overflowPunct/>
        <w:topLinePunct w:val="0"/>
        <w:bidi w:val="0"/>
        <w:snapToGrid/>
        <w:spacing w:line="360" w:lineRule="auto"/>
        <w:jc w:val="center"/>
        <w:rPr>
          <w:rFonts w:hint="eastAsia" w:ascii="宋体" w:hAnsi="宋体" w:eastAsia="宋体" w:cs="宋体"/>
          <w:b/>
          <w:bCs/>
          <w:color w:val="auto"/>
          <w:sz w:val="44"/>
          <w:szCs w:val="44"/>
          <w:highlight w:val="none"/>
        </w:rPr>
      </w:pPr>
    </w:p>
    <w:p>
      <w:pPr>
        <w:pageBreakBefore w:val="0"/>
        <w:kinsoku/>
        <w:overflowPunct/>
        <w:topLinePunct w:val="0"/>
        <w:bidi w:val="0"/>
        <w:snapToGrid/>
        <w:spacing w:line="360" w:lineRule="auto"/>
        <w:jc w:val="center"/>
        <w:rPr>
          <w:rFonts w:hint="eastAsia" w:ascii="宋体" w:hAnsi="宋体" w:eastAsia="宋体" w:cs="宋体"/>
          <w:b/>
          <w:bCs/>
          <w:color w:val="auto"/>
          <w:sz w:val="44"/>
          <w:szCs w:val="44"/>
          <w:highlight w:val="none"/>
        </w:rPr>
      </w:pPr>
    </w:p>
    <w:p>
      <w:pPr>
        <w:pageBreakBefore w:val="0"/>
        <w:kinsoku/>
        <w:overflowPunct/>
        <w:topLinePunct w:val="0"/>
        <w:bidi w:val="0"/>
        <w:snapToGrid/>
        <w:spacing w:line="360" w:lineRule="auto"/>
        <w:rPr>
          <w:rFonts w:hint="eastAsia" w:ascii="宋体" w:hAnsi="宋体" w:eastAsia="宋体" w:cs="宋体"/>
          <w:color w:val="auto"/>
          <w:highlight w:val="none"/>
        </w:rPr>
      </w:pPr>
    </w:p>
    <w:p>
      <w:pPr>
        <w:pStyle w:val="3"/>
        <w:pageBreakBefore w:val="0"/>
        <w:kinsoku/>
        <w:overflowPunct/>
        <w:topLinePunct w:val="0"/>
        <w:bidi w:val="0"/>
        <w:snapToGrid/>
        <w:spacing w:line="360" w:lineRule="auto"/>
        <w:ind w:firstLine="1767" w:firstLineChars="400"/>
        <w:jc w:val="center"/>
        <w:rPr>
          <w:rFonts w:hint="eastAsia" w:ascii="宋体" w:hAnsi="宋体" w:eastAsia="宋体" w:cs="宋体"/>
          <w:color w:val="auto"/>
          <w:highlight w:val="none"/>
        </w:rPr>
      </w:pPr>
      <w:bookmarkStart w:id="136" w:name="_Toc21007"/>
      <w:bookmarkStart w:id="137" w:name="_Toc24510"/>
      <w:r>
        <w:rPr>
          <w:rFonts w:hint="eastAsia" w:ascii="宋体" w:hAnsi="宋体" w:eastAsia="宋体" w:cs="宋体"/>
          <w:color w:val="auto"/>
          <w:highlight w:val="none"/>
        </w:rPr>
        <w:t>第三章  评审办法</w:t>
      </w:r>
      <w:bookmarkEnd w:id="136"/>
      <w:bookmarkEnd w:id="137"/>
    </w:p>
    <w:p>
      <w:pPr>
        <w:pageBreakBefore w:val="0"/>
        <w:kinsoku/>
        <w:overflowPunct/>
        <w:topLinePunct w:val="0"/>
        <w:bidi w:val="0"/>
        <w:snapToGrid/>
        <w:spacing w:line="360" w:lineRule="auto"/>
        <w:rPr>
          <w:rFonts w:hint="eastAsia" w:ascii="宋体" w:hAnsi="宋体" w:eastAsia="宋体" w:cs="宋体"/>
          <w:b/>
          <w:bCs/>
          <w:color w:val="auto"/>
          <w:spacing w:val="20"/>
          <w:sz w:val="44"/>
          <w:szCs w:val="44"/>
          <w:highlight w:val="none"/>
        </w:rPr>
      </w:pPr>
      <w:r>
        <w:rPr>
          <w:rFonts w:hint="eastAsia" w:ascii="宋体" w:hAnsi="宋体" w:eastAsia="宋体" w:cs="宋体"/>
          <w:b/>
          <w:bCs/>
          <w:color w:val="auto"/>
          <w:spacing w:val="20"/>
          <w:sz w:val="44"/>
          <w:szCs w:val="44"/>
          <w:highlight w:val="none"/>
        </w:rPr>
        <w:br w:type="page"/>
      </w:r>
    </w:p>
    <w:p>
      <w:pPr>
        <w:pStyle w:val="4"/>
        <w:pageBreakBefore w:val="0"/>
        <w:kinsoku/>
        <w:overflowPunct/>
        <w:topLinePunct w:val="0"/>
        <w:bidi w:val="0"/>
        <w:snapToGrid/>
        <w:spacing w:line="360" w:lineRule="auto"/>
        <w:ind w:firstLine="3092" w:firstLineChars="1100"/>
        <w:jc w:val="both"/>
        <w:rPr>
          <w:rFonts w:hint="eastAsia" w:ascii="宋体" w:hAnsi="宋体" w:eastAsia="宋体" w:cs="宋体"/>
          <w:color w:val="auto"/>
          <w:highlight w:val="none"/>
        </w:rPr>
      </w:pPr>
      <w:bookmarkStart w:id="138" w:name="_Toc20294"/>
      <w:bookmarkStart w:id="139" w:name="_Toc22646"/>
      <w:bookmarkStart w:id="140" w:name="bookmark457"/>
      <w:bookmarkStart w:id="141" w:name="bookmark459"/>
      <w:bookmarkStart w:id="142" w:name="_Toc13937"/>
      <w:bookmarkStart w:id="143" w:name="bookmark458"/>
      <w:r>
        <w:rPr>
          <w:rFonts w:hint="eastAsia" w:ascii="宋体" w:hAnsi="宋体" w:eastAsia="宋体" w:cs="宋体"/>
          <w:color w:val="auto"/>
          <w:highlight w:val="none"/>
        </w:rPr>
        <w:t>评审办法前附表</w:t>
      </w:r>
      <w:bookmarkEnd w:id="138"/>
      <w:bookmarkEnd w:id="139"/>
      <w:bookmarkEnd w:id="140"/>
      <w:bookmarkEnd w:id="141"/>
      <w:bookmarkEnd w:id="142"/>
      <w:bookmarkEnd w:id="143"/>
    </w:p>
    <w:tbl>
      <w:tblPr>
        <w:tblStyle w:val="19"/>
        <w:tblW w:w="10534" w:type="dxa"/>
        <w:jc w:val="center"/>
        <w:tblLayout w:type="autofit"/>
        <w:tblCellMar>
          <w:top w:w="0" w:type="dxa"/>
          <w:left w:w="10" w:type="dxa"/>
          <w:bottom w:w="0" w:type="dxa"/>
          <w:right w:w="10" w:type="dxa"/>
        </w:tblCellMar>
      </w:tblPr>
      <w:tblGrid>
        <w:gridCol w:w="840"/>
        <w:gridCol w:w="931"/>
        <w:gridCol w:w="1565"/>
        <w:gridCol w:w="7198"/>
      </w:tblGrid>
      <w:tr>
        <w:tblPrEx>
          <w:tblCellMar>
            <w:top w:w="0" w:type="dxa"/>
            <w:left w:w="10" w:type="dxa"/>
            <w:bottom w:w="0" w:type="dxa"/>
            <w:right w:w="10" w:type="dxa"/>
          </w:tblCellMar>
        </w:tblPrEx>
        <w:trPr>
          <w:trHeight w:val="695" w:hRule="exact"/>
          <w:jc w:val="center"/>
        </w:trPr>
        <w:tc>
          <w:tcPr>
            <w:tcW w:w="1771" w:type="dxa"/>
            <w:gridSpan w:val="2"/>
            <w:tcBorders>
              <w:top w:val="single" w:color="auto" w:sz="4" w:space="0"/>
              <w:left w:val="single" w:color="auto" w:sz="4" w:space="0"/>
            </w:tcBorders>
            <w:shd w:val="clear" w:color="auto" w:fill="FFFFFF"/>
            <w:vAlign w:val="center"/>
          </w:tcPr>
          <w:p>
            <w:pPr>
              <w:pageBreakBefore w:val="0"/>
              <w:kinsoku/>
              <w:overflowPunct/>
              <w:topLinePunct w:val="0"/>
              <w:bidi w:val="0"/>
              <w:snapToGrid/>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条款号及名称</w:t>
            </w:r>
          </w:p>
        </w:tc>
        <w:tc>
          <w:tcPr>
            <w:tcW w:w="1565" w:type="dxa"/>
            <w:tcBorders>
              <w:top w:val="single" w:color="auto" w:sz="4" w:space="0"/>
              <w:left w:val="single" w:color="auto" w:sz="4" w:space="0"/>
            </w:tcBorders>
            <w:shd w:val="clear" w:color="auto" w:fill="FFFFFF"/>
            <w:vAlign w:val="center"/>
          </w:tcPr>
          <w:p>
            <w:pPr>
              <w:pageBreakBefore w:val="0"/>
              <w:kinsoku/>
              <w:overflowPunct/>
              <w:topLinePunct w:val="0"/>
              <w:bidi w:val="0"/>
              <w:snapToGrid/>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评审因素</w:t>
            </w:r>
          </w:p>
        </w:tc>
        <w:tc>
          <w:tcPr>
            <w:tcW w:w="7198" w:type="dxa"/>
            <w:tcBorders>
              <w:top w:val="single" w:color="auto" w:sz="4" w:space="0"/>
              <w:left w:val="single" w:color="auto" w:sz="4" w:space="0"/>
              <w:right w:val="single" w:color="auto" w:sz="4" w:space="0"/>
            </w:tcBorders>
            <w:shd w:val="clear" w:color="auto" w:fill="FFFFFF"/>
            <w:vAlign w:val="center"/>
          </w:tcPr>
          <w:p>
            <w:pPr>
              <w:pageBreakBefore w:val="0"/>
              <w:kinsoku/>
              <w:overflowPunct/>
              <w:topLinePunct w:val="0"/>
              <w:bidi w:val="0"/>
              <w:snapToGrid/>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评审标准</w:t>
            </w:r>
          </w:p>
        </w:tc>
      </w:tr>
      <w:tr>
        <w:tblPrEx>
          <w:tblCellMar>
            <w:top w:w="0" w:type="dxa"/>
            <w:left w:w="10" w:type="dxa"/>
            <w:bottom w:w="0" w:type="dxa"/>
            <w:right w:w="10" w:type="dxa"/>
          </w:tblCellMar>
        </w:tblPrEx>
        <w:trPr>
          <w:trHeight w:val="975" w:hRule="exact"/>
          <w:jc w:val="center"/>
        </w:trPr>
        <w:tc>
          <w:tcPr>
            <w:tcW w:w="840" w:type="dxa"/>
            <w:tcBorders>
              <w:top w:val="single" w:color="auto" w:sz="4" w:space="0"/>
              <w:left w:val="single" w:color="auto" w:sz="4" w:space="0"/>
            </w:tcBorders>
            <w:shd w:val="clear" w:color="auto" w:fill="FFFFFF"/>
            <w:vAlign w:val="center"/>
          </w:tcPr>
          <w:p>
            <w:pPr>
              <w:pageBreakBefore w:val="0"/>
              <w:kinsoku/>
              <w:overflowPunct/>
              <w:topLinePunct w:val="0"/>
              <w:bidi w:val="0"/>
              <w:snapToGrid/>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p>
        </w:tc>
        <w:tc>
          <w:tcPr>
            <w:tcW w:w="931" w:type="dxa"/>
            <w:tcBorders>
              <w:top w:val="single" w:color="auto" w:sz="4" w:space="0"/>
              <w:left w:val="single" w:color="auto" w:sz="4" w:space="0"/>
            </w:tcBorders>
            <w:shd w:val="clear" w:color="auto" w:fill="FFFFFF"/>
            <w:vAlign w:val="center"/>
          </w:tcPr>
          <w:p>
            <w:pPr>
              <w:pageBreakBefore w:val="0"/>
              <w:kinsoku/>
              <w:overflowPunct/>
              <w:topLinePunct w:val="0"/>
              <w:bidi w:val="0"/>
              <w:snapToGrid/>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评审方法</w:t>
            </w:r>
          </w:p>
        </w:tc>
        <w:tc>
          <w:tcPr>
            <w:tcW w:w="1565" w:type="dxa"/>
            <w:tcBorders>
              <w:top w:val="single" w:color="auto" w:sz="4" w:space="0"/>
              <w:left w:val="single" w:color="auto" w:sz="4" w:space="0"/>
            </w:tcBorders>
            <w:shd w:val="clear" w:color="auto" w:fill="FFFFFF"/>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评审方法</w:t>
            </w:r>
          </w:p>
        </w:tc>
        <w:tc>
          <w:tcPr>
            <w:tcW w:w="7198" w:type="dxa"/>
            <w:tcBorders>
              <w:top w:val="single" w:color="auto" w:sz="4" w:space="0"/>
              <w:left w:val="single" w:color="auto" w:sz="4" w:space="0"/>
              <w:right w:val="single" w:color="auto" w:sz="4" w:space="0"/>
            </w:tcBorders>
            <w:shd w:val="clear" w:color="auto" w:fill="FFFFFF"/>
            <w:vAlign w:val="center"/>
          </w:tcPr>
          <w:p>
            <w:pPr>
              <w:pageBreakBefore w:val="0"/>
              <w:kinsoku/>
              <w:overflowPunct/>
              <w:topLinePunct w:val="0"/>
              <w:bidi w:val="0"/>
              <w:snapToGrid/>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口最低价法</w:t>
            </w:r>
          </w:p>
          <w:p>
            <w:pPr>
              <w:pageBreakBefore w:val="0"/>
              <w:kinsoku/>
              <w:overflowPunct/>
              <w:topLinePunct w:val="0"/>
              <w:bidi w:val="0"/>
              <w:snapToGrid/>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sym w:font="Wingdings 2" w:char="0052"/>
            </w:r>
            <w:r>
              <w:rPr>
                <w:rFonts w:hint="eastAsia" w:ascii="宋体" w:hAnsi="宋体" w:eastAsia="宋体" w:cs="宋体"/>
                <w:color w:val="auto"/>
                <w:sz w:val="24"/>
                <w:szCs w:val="24"/>
                <w:highlight w:val="none"/>
              </w:rPr>
              <w:t>综合评分法</w:t>
            </w:r>
          </w:p>
        </w:tc>
      </w:tr>
      <w:tr>
        <w:tblPrEx>
          <w:tblCellMar>
            <w:top w:w="0" w:type="dxa"/>
            <w:left w:w="10" w:type="dxa"/>
            <w:bottom w:w="0" w:type="dxa"/>
            <w:right w:w="10" w:type="dxa"/>
          </w:tblCellMar>
        </w:tblPrEx>
        <w:trPr>
          <w:trHeight w:val="1070" w:hRule="exact"/>
          <w:jc w:val="center"/>
        </w:trPr>
        <w:tc>
          <w:tcPr>
            <w:tcW w:w="840" w:type="dxa"/>
            <w:vMerge w:val="restart"/>
            <w:tcBorders>
              <w:top w:val="single" w:color="auto" w:sz="4" w:space="0"/>
              <w:left w:val="single" w:color="auto" w:sz="4" w:space="0"/>
            </w:tcBorders>
            <w:shd w:val="clear" w:color="auto" w:fill="FFFFFF"/>
            <w:vAlign w:val="center"/>
          </w:tcPr>
          <w:p>
            <w:pPr>
              <w:pageBreakBefore w:val="0"/>
              <w:kinsoku/>
              <w:overflowPunct/>
              <w:topLinePunct w:val="0"/>
              <w:bidi w:val="0"/>
              <w:snapToGrid/>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en-US"/>
              </w:rPr>
              <w:t xml:space="preserve">2. 1. </w:t>
            </w:r>
            <w:r>
              <w:rPr>
                <w:rFonts w:hint="eastAsia" w:ascii="宋体" w:hAnsi="宋体" w:eastAsia="宋体" w:cs="宋体"/>
                <w:color w:val="auto"/>
                <w:sz w:val="24"/>
                <w:szCs w:val="24"/>
                <w:highlight w:val="none"/>
              </w:rPr>
              <w:t>1</w:t>
            </w:r>
          </w:p>
        </w:tc>
        <w:tc>
          <w:tcPr>
            <w:tcW w:w="931" w:type="dxa"/>
            <w:vMerge w:val="restart"/>
            <w:tcBorders>
              <w:top w:val="single" w:color="auto" w:sz="4" w:space="0"/>
              <w:left w:val="single" w:color="auto" w:sz="4" w:space="0"/>
            </w:tcBorders>
            <w:shd w:val="clear" w:color="auto" w:fill="FFFFFF"/>
            <w:vAlign w:val="center"/>
          </w:tcPr>
          <w:p>
            <w:pPr>
              <w:pageBreakBefore w:val="0"/>
              <w:kinsoku/>
              <w:overflowPunct/>
              <w:topLinePunct w:val="0"/>
              <w:bidi w:val="0"/>
              <w:snapToGrid/>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形式评审标准</w:t>
            </w:r>
          </w:p>
        </w:tc>
        <w:tc>
          <w:tcPr>
            <w:tcW w:w="1565" w:type="dxa"/>
            <w:tcBorders>
              <w:top w:val="single" w:color="auto" w:sz="4" w:space="0"/>
              <w:left w:val="single" w:color="auto" w:sz="4" w:space="0"/>
            </w:tcBorders>
            <w:shd w:val="clear" w:color="auto" w:fill="FFFFFF"/>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询比响应人</w:t>
            </w:r>
            <w:r>
              <w:rPr>
                <w:rFonts w:hint="eastAsia" w:ascii="宋体" w:hAnsi="宋体" w:eastAsia="宋体" w:cs="宋体"/>
                <w:color w:val="auto"/>
                <w:sz w:val="24"/>
                <w:szCs w:val="24"/>
                <w:highlight w:val="none"/>
              </w:rPr>
              <w:t>名称</w:t>
            </w:r>
          </w:p>
        </w:tc>
        <w:tc>
          <w:tcPr>
            <w:tcW w:w="7198" w:type="dxa"/>
            <w:tcBorders>
              <w:top w:val="single" w:color="auto" w:sz="4" w:space="0"/>
              <w:left w:val="single" w:color="auto" w:sz="4" w:space="0"/>
              <w:right w:val="single" w:color="auto" w:sz="4" w:space="0"/>
            </w:tcBorders>
            <w:shd w:val="clear" w:color="auto" w:fill="FFFFFF"/>
            <w:vAlign w:val="center"/>
          </w:tcPr>
          <w:p>
            <w:pPr>
              <w:pageBreakBefore w:val="0"/>
              <w:kinsoku/>
              <w:overflowPunct/>
              <w:topLinePunct w:val="0"/>
              <w:bidi w:val="0"/>
              <w:snapToGrid/>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与市场监管部门或其他行政机关颁发的可以合法开展业务的执照或证书一致</w:t>
            </w:r>
          </w:p>
        </w:tc>
      </w:tr>
      <w:tr>
        <w:tblPrEx>
          <w:tblCellMar>
            <w:top w:w="0" w:type="dxa"/>
            <w:left w:w="10" w:type="dxa"/>
            <w:bottom w:w="0" w:type="dxa"/>
            <w:right w:w="10" w:type="dxa"/>
          </w:tblCellMar>
        </w:tblPrEx>
        <w:trPr>
          <w:trHeight w:val="885" w:hRule="exact"/>
          <w:jc w:val="center"/>
        </w:trPr>
        <w:tc>
          <w:tcPr>
            <w:tcW w:w="840" w:type="dxa"/>
            <w:vMerge w:val="continue"/>
            <w:tcBorders>
              <w:left w:val="single" w:color="auto" w:sz="4" w:space="0"/>
            </w:tcBorders>
            <w:shd w:val="clear" w:color="auto" w:fill="FFFFFF"/>
            <w:vAlign w:val="center"/>
          </w:tcPr>
          <w:p>
            <w:pPr>
              <w:pageBreakBefore w:val="0"/>
              <w:kinsoku/>
              <w:overflowPunct/>
              <w:topLinePunct w:val="0"/>
              <w:bidi w:val="0"/>
              <w:snapToGrid/>
              <w:spacing w:line="360" w:lineRule="auto"/>
              <w:jc w:val="center"/>
              <w:rPr>
                <w:rFonts w:hint="eastAsia" w:ascii="宋体" w:hAnsi="宋体" w:eastAsia="宋体" w:cs="宋体"/>
                <w:color w:val="auto"/>
                <w:sz w:val="24"/>
                <w:szCs w:val="24"/>
                <w:highlight w:val="none"/>
              </w:rPr>
            </w:pPr>
          </w:p>
        </w:tc>
        <w:tc>
          <w:tcPr>
            <w:tcW w:w="931" w:type="dxa"/>
            <w:vMerge w:val="continue"/>
            <w:tcBorders>
              <w:left w:val="single" w:color="auto" w:sz="4" w:space="0"/>
            </w:tcBorders>
            <w:shd w:val="clear" w:color="auto" w:fill="FFFFFF"/>
            <w:vAlign w:val="center"/>
          </w:tcPr>
          <w:p>
            <w:pPr>
              <w:pageBreakBefore w:val="0"/>
              <w:kinsoku/>
              <w:overflowPunct/>
              <w:topLinePunct w:val="0"/>
              <w:bidi w:val="0"/>
              <w:snapToGrid/>
              <w:spacing w:line="360" w:lineRule="auto"/>
              <w:jc w:val="center"/>
              <w:rPr>
                <w:rFonts w:hint="eastAsia" w:ascii="宋体" w:hAnsi="宋体" w:eastAsia="宋体" w:cs="宋体"/>
                <w:color w:val="auto"/>
                <w:sz w:val="24"/>
                <w:szCs w:val="24"/>
                <w:highlight w:val="none"/>
              </w:rPr>
            </w:pPr>
          </w:p>
        </w:tc>
        <w:tc>
          <w:tcPr>
            <w:tcW w:w="1565" w:type="dxa"/>
            <w:tcBorders>
              <w:top w:val="single" w:color="auto" w:sz="4" w:space="0"/>
              <w:left w:val="single" w:color="auto" w:sz="4" w:space="0"/>
            </w:tcBorders>
            <w:shd w:val="clear" w:color="auto" w:fill="FFFFFF"/>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响应文件签字盖章</w:t>
            </w:r>
          </w:p>
        </w:tc>
        <w:tc>
          <w:tcPr>
            <w:tcW w:w="7198" w:type="dxa"/>
            <w:tcBorders>
              <w:top w:val="single" w:color="auto" w:sz="4" w:space="0"/>
              <w:left w:val="single" w:color="auto" w:sz="4" w:space="0"/>
              <w:right w:val="single" w:color="auto" w:sz="4" w:space="0"/>
            </w:tcBorders>
            <w:shd w:val="clear" w:color="auto" w:fill="FFFFFF"/>
            <w:vAlign w:val="center"/>
          </w:tcPr>
          <w:p>
            <w:pPr>
              <w:pageBreakBefore w:val="0"/>
              <w:kinsoku/>
              <w:overflowPunct/>
              <w:topLinePunct w:val="0"/>
              <w:bidi w:val="0"/>
              <w:snapToGrid/>
              <w:spacing w:line="360" w:lineRule="auto"/>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highlight w:val="none"/>
                <w:lang w:eastAsia="zh-CN"/>
              </w:rPr>
              <w:t>按照询比采购文件要求签字或盖章</w:t>
            </w:r>
          </w:p>
        </w:tc>
      </w:tr>
      <w:tr>
        <w:tblPrEx>
          <w:tblCellMar>
            <w:top w:w="0" w:type="dxa"/>
            <w:left w:w="10" w:type="dxa"/>
            <w:bottom w:w="0" w:type="dxa"/>
            <w:right w:w="10" w:type="dxa"/>
          </w:tblCellMar>
        </w:tblPrEx>
        <w:trPr>
          <w:trHeight w:val="825" w:hRule="exact"/>
          <w:jc w:val="center"/>
        </w:trPr>
        <w:tc>
          <w:tcPr>
            <w:tcW w:w="840" w:type="dxa"/>
            <w:vMerge w:val="continue"/>
            <w:tcBorders>
              <w:left w:val="single" w:color="auto" w:sz="4" w:space="0"/>
            </w:tcBorders>
            <w:shd w:val="clear" w:color="auto" w:fill="FFFFFF"/>
            <w:vAlign w:val="center"/>
          </w:tcPr>
          <w:p>
            <w:pPr>
              <w:pageBreakBefore w:val="0"/>
              <w:kinsoku/>
              <w:overflowPunct/>
              <w:topLinePunct w:val="0"/>
              <w:bidi w:val="0"/>
              <w:snapToGrid/>
              <w:spacing w:line="360" w:lineRule="auto"/>
              <w:jc w:val="center"/>
              <w:rPr>
                <w:rFonts w:hint="eastAsia" w:ascii="宋体" w:hAnsi="宋体" w:eastAsia="宋体" w:cs="宋体"/>
                <w:color w:val="auto"/>
                <w:sz w:val="24"/>
                <w:szCs w:val="24"/>
                <w:highlight w:val="none"/>
              </w:rPr>
            </w:pPr>
          </w:p>
        </w:tc>
        <w:tc>
          <w:tcPr>
            <w:tcW w:w="931" w:type="dxa"/>
            <w:vMerge w:val="continue"/>
            <w:tcBorders>
              <w:left w:val="single" w:color="auto" w:sz="4" w:space="0"/>
            </w:tcBorders>
            <w:shd w:val="clear" w:color="auto" w:fill="FFFFFF"/>
            <w:vAlign w:val="center"/>
          </w:tcPr>
          <w:p>
            <w:pPr>
              <w:pageBreakBefore w:val="0"/>
              <w:kinsoku/>
              <w:overflowPunct/>
              <w:topLinePunct w:val="0"/>
              <w:bidi w:val="0"/>
              <w:snapToGrid/>
              <w:spacing w:line="360" w:lineRule="auto"/>
              <w:jc w:val="center"/>
              <w:rPr>
                <w:rFonts w:hint="eastAsia" w:ascii="宋体" w:hAnsi="宋体" w:eastAsia="宋体" w:cs="宋体"/>
                <w:color w:val="auto"/>
                <w:sz w:val="24"/>
                <w:szCs w:val="24"/>
                <w:highlight w:val="none"/>
              </w:rPr>
            </w:pPr>
          </w:p>
        </w:tc>
        <w:tc>
          <w:tcPr>
            <w:tcW w:w="1565" w:type="dxa"/>
            <w:tcBorders>
              <w:top w:val="single" w:color="auto" w:sz="4" w:space="0"/>
              <w:left w:val="single" w:color="auto" w:sz="4" w:space="0"/>
            </w:tcBorders>
            <w:shd w:val="clear" w:color="auto" w:fill="FFFFFF"/>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联合体协议书</w:t>
            </w:r>
          </w:p>
        </w:tc>
        <w:tc>
          <w:tcPr>
            <w:tcW w:w="7198" w:type="dxa"/>
            <w:tcBorders>
              <w:top w:val="single" w:color="auto" w:sz="4" w:space="0"/>
              <w:left w:val="single" w:color="auto" w:sz="4" w:space="0"/>
              <w:right w:val="single" w:color="auto" w:sz="4" w:space="0"/>
            </w:tcBorders>
            <w:shd w:val="clear" w:color="auto" w:fill="FFFFFF"/>
            <w:vAlign w:val="center"/>
          </w:tcPr>
          <w:p>
            <w:pPr>
              <w:pageBreakBefore w:val="0"/>
              <w:kinsoku/>
              <w:overflowPunct/>
              <w:topLinePunct w:val="0"/>
              <w:bidi w:val="0"/>
              <w:snapToGrid/>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递交联合体协议书，并明确联合体牵头人</w:t>
            </w:r>
          </w:p>
        </w:tc>
      </w:tr>
      <w:tr>
        <w:tblPrEx>
          <w:tblCellMar>
            <w:top w:w="0" w:type="dxa"/>
            <w:left w:w="10" w:type="dxa"/>
            <w:bottom w:w="0" w:type="dxa"/>
            <w:right w:w="10" w:type="dxa"/>
          </w:tblCellMar>
        </w:tblPrEx>
        <w:trPr>
          <w:trHeight w:val="900" w:hRule="exact"/>
          <w:jc w:val="center"/>
        </w:trPr>
        <w:tc>
          <w:tcPr>
            <w:tcW w:w="840" w:type="dxa"/>
            <w:vMerge w:val="continue"/>
            <w:tcBorders>
              <w:left w:val="single" w:color="auto" w:sz="4" w:space="0"/>
            </w:tcBorders>
            <w:shd w:val="clear" w:color="auto" w:fill="FFFFFF"/>
            <w:vAlign w:val="center"/>
          </w:tcPr>
          <w:p>
            <w:pPr>
              <w:pageBreakBefore w:val="0"/>
              <w:kinsoku/>
              <w:overflowPunct/>
              <w:topLinePunct w:val="0"/>
              <w:bidi w:val="0"/>
              <w:snapToGrid/>
              <w:spacing w:line="360" w:lineRule="auto"/>
              <w:jc w:val="center"/>
              <w:rPr>
                <w:rFonts w:hint="eastAsia" w:ascii="宋体" w:hAnsi="宋体" w:eastAsia="宋体" w:cs="宋体"/>
                <w:color w:val="auto"/>
                <w:sz w:val="24"/>
                <w:szCs w:val="24"/>
                <w:highlight w:val="none"/>
              </w:rPr>
            </w:pPr>
          </w:p>
        </w:tc>
        <w:tc>
          <w:tcPr>
            <w:tcW w:w="931" w:type="dxa"/>
            <w:vMerge w:val="continue"/>
            <w:tcBorders>
              <w:left w:val="single" w:color="auto" w:sz="4" w:space="0"/>
            </w:tcBorders>
            <w:shd w:val="clear" w:color="auto" w:fill="FFFFFF"/>
            <w:vAlign w:val="center"/>
          </w:tcPr>
          <w:p>
            <w:pPr>
              <w:pageBreakBefore w:val="0"/>
              <w:kinsoku/>
              <w:overflowPunct/>
              <w:topLinePunct w:val="0"/>
              <w:bidi w:val="0"/>
              <w:snapToGrid/>
              <w:spacing w:line="360" w:lineRule="auto"/>
              <w:jc w:val="center"/>
              <w:rPr>
                <w:rFonts w:hint="eastAsia" w:ascii="宋体" w:hAnsi="宋体" w:eastAsia="宋体" w:cs="宋体"/>
                <w:color w:val="auto"/>
                <w:sz w:val="24"/>
                <w:szCs w:val="24"/>
                <w:highlight w:val="none"/>
              </w:rPr>
            </w:pPr>
          </w:p>
        </w:tc>
        <w:tc>
          <w:tcPr>
            <w:tcW w:w="1565" w:type="dxa"/>
            <w:tcBorders>
              <w:top w:val="single" w:color="auto" w:sz="4" w:space="0"/>
              <w:left w:val="single" w:color="auto" w:sz="4" w:space="0"/>
            </w:tcBorders>
            <w:shd w:val="clear" w:color="auto" w:fill="FFFFFF"/>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响应函中实质性内容</w:t>
            </w:r>
          </w:p>
        </w:tc>
        <w:tc>
          <w:tcPr>
            <w:tcW w:w="7198" w:type="dxa"/>
            <w:tcBorders>
              <w:top w:val="single" w:color="auto" w:sz="4" w:space="0"/>
              <w:left w:val="single" w:color="auto" w:sz="4" w:space="0"/>
              <w:right w:val="single" w:color="auto" w:sz="4" w:space="0"/>
            </w:tcBorders>
            <w:shd w:val="clear" w:color="auto" w:fill="FFFFFF"/>
            <w:vAlign w:val="center"/>
          </w:tcPr>
          <w:p>
            <w:pPr>
              <w:pageBreakBefore w:val="0"/>
              <w:kinsoku/>
              <w:overflowPunct/>
              <w:topLinePunct w:val="0"/>
              <w:bidi w:val="0"/>
              <w:snapToGrid/>
              <w:spacing w:line="360" w:lineRule="auto"/>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响应函</w:t>
            </w:r>
            <w:r>
              <w:rPr>
                <w:rFonts w:hint="eastAsia" w:ascii="宋体" w:hAnsi="宋体" w:eastAsia="宋体" w:cs="宋体"/>
                <w:color w:val="auto"/>
                <w:sz w:val="24"/>
                <w:szCs w:val="24"/>
                <w:highlight w:val="none"/>
                <w:lang w:eastAsia="zh-CN"/>
              </w:rPr>
              <w:t>具体要求</w:t>
            </w:r>
          </w:p>
        </w:tc>
      </w:tr>
      <w:tr>
        <w:tblPrEx>
          <w:tblCellMar>
            <w:top w:w="0" w:type="dxa"/>
            <w:left w:w="10" w:type="dxa"/>
            <w:bottom w:w="0" w:type="dxa"/>
            <w:right w:w="10" w:type="dxa"/>
          </w:tblCellMar>
        </w:tblPrEx>
        <w:trPr>
          <w:trHeight w:val="925" w:hRule="exact"/>
          <w:jc w:val="center"/>
        </w:trPr>
        <w:tc>
          <w:tcPr>
            <w:tcW w:w="840" w:type="dxa"/>
            <w:vMerge w:val="restart"/>
            <w:tcBorders>
              <w:top w:val="single" w:color="auto" w:sz="4" w:space="0"/>
              <w:left w:val="single" w:color="auto" w:sz="4" w:space="0"/>
            </w:tcBorders>
            <w:shd w:val="clear" w:color="auto" w:fill="FFFFFF"/>
            <w:vAlign w:val="center"/>
          </w:tcPr>
          <w:p>
            <w:pPr>
              <w:pageBreakBefore w:val="0"/>
              <w:kinsoku/>
              <w:overflowPunct/>
              <w:topLinePunct w:val="0"/>
              <w:bidi w:val="0"/>
              <w:snapToGrid/>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en-US"/>
              </w:rPr>
              <w:t>2. 1.2</w:t>
            </w:r>
          </w:p>
        </w:tc>
        <w:tc>
          <w:tcPr>
            <w:tcW w:w="931" w:type="dxa"/>
            <w:vMerge w:val="restart"/>
            <w:tcBorders>
              <w:top w:val="single" w:color="auto" w:sz="4" w:space="0"/>
              <w:left w:val="single" w:color="auto" w:sz="4" w:space="0"/>
            </w:tcBorders>
            <w:shd w:val="clear" w:color="auto" w:fill="FFFFFF"/>
            <w:vAlign w:val="center"/>
          </w:tcPr>
          <w:p>
            <w:pPr>
              <w:pageBreakBefore w:val="0"/>
              <w:kinsoku/>
              <w:overflowPunct/>
              <w:topLinePunct w:val="0"/>
              <w:bidi w:val="0"/>
              <w:snapToGrid/>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资格评审标准</w:t>
            </w:r>
          </w:p>
        </w:tc>
        <w:tc>
          <w:tcPr>
            <w:tcW w:w="1565" w:type="dxa"/>
            <w:tcBorders>
              <w:top w:val="single" w:color="auto" w:sz="4" w:space="0"/>
              <w:left w:val="single" w:color="auto" w:sz="4" w:space="0"/>
            </w:tcBorders>
            <w:shd w:val="clear" w:color="auto" w:fill="FFFFFF"/>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依法设立</w:t>
            </w:r>
          </w:p>
        </w:tc>
        <w:tc>
          <w:tcPr>
            <w:tcW w:w="7198" w:type="dxa"/>
            <w:tcBorders>
              <w:top w:val="single" w:color="auto" w:sz="4" w:space="0"/>
              <w:left w:val="single" w:color="auto" w:sz="4" w:space="0"/>
              <w:right w:val="single" w:color="auto" w:sz="4" w:space="0"/>
            </w:tcBorders>
            <w:shd w:val="clear" w:color="auto" w:fill="FFFFFF"/>
            <w:vAlign w:val="center"/>
          </w:tcPr>
          <w:p>
            <w:pPr>
              <w:pageBreakBefore w:val="0"/>
              <w:kinsoku/>
              <w:overflowPunct/>
              <w:topLinePunct w:val="0"/>
              <w:bidi w:val="0"/>
              <w:snapToGrid/>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符合第一章第</w:t>
            </w:r>
            <w:r>
              <w:rPr>
                <w:rFonts w:hint="eastAsia" w:ascii="宋体" w:hAnsi="宋体" w:eastAsia="宋体" w:cs="宋体"/>
                <w:color w:val="auto"/>
                <w:sz w:val="24"/>
                <w:szCs w:val="24"/>
                <w:highlight w:val="none"/>
                <w:lang w:val="en-US" w:eastAsia="zh-CN"/>
              </w:rPr>
              <w:t>3.1</w:t>
            </w:r>
            <w:r>
              <w:rPr>
                <w:rFonts w:hint="eastAsia" w:ascii="宋体" w:hAnsi="宋体" w:eastAsia="宋体" w:cs="宋体"/>
                <w:color w:val="auto"/>
                <w:sz w:val="24"/>
                <w:szCs w:val="24"/>
                <w:highlight w:val="none"/>
              </w:rPr>
              <w:t>款及</w:t>
            </w:r>
            <w:r>
              <w:rPr>
                <w:rFonts w:hint="eastAsia" w:ascii="宋体" w:hAnsi="宋体" w:eastAsia="宋体" w:cs="宋体"/>
                <w:color w:val="auto"/>
                <w:sz w:val="24"/>
                <w:szCs w:val="24"/>
                <w:highlight w:val="none"/>
                <w:lang w:eastAsia="zh-CN"/>
              </w:rPr>
              <w:t>询比响应人</w:t>
            </w:r>
            <w:r>
              <w:rPr>
                <w:rFonts w:hint="eastAsia" w:ascii="宋体" w:hAnsi="宋体" w:eastAsia="宋体" w:cs="宋体"/>
                <w:color w:val="auto"/>
                <w:sz w:val="24"/>
                <w:szCs w:val="24"/>
                <w:highlight w:val="none"/>
              </w:rPr>
              <w:t>须知前附表第</w:t>
            </w:r>
            <w:r>
              <w:rPr>
                <w:rFonts w:hint="eastAsia" w:ascii="宋体" w:hAnsi="宋体" w:eastAsia="宋体" w:cs="宋体"/>
                <w:color w:val="auto"/>
                <w:sz w:val="24"/>
                <w:szCs w:val="24"/>
                <w:highlight w:val="none"/>
                <w:lang w:val="en-US" w:eastAsia="zh-CN"/>
              </w:rPr>
              <w:t xml:space="preserve">3. </w:t>
            </w:r>
            <w:r>
              <w:rPr>
                <w:rFonts w:hint="eastAsia" w:ascii="宋体" w:hAnsi="宋体" w:eastAsia="宋体" w:cs="宋体"/>
                <w:color w:val="auto"/>
                <w:sz w:val="24"/>
                <w:szCs w:val="24"/>
                <w:highlight w:val="none"/>
              </w:rPr>
              <w:t>5 (1) 款规定</w:t>
            </w:r>
          </w:p>
        </w:tc>
      </w:tr>
      <w:tr>
        <w:tblPrEx>
          <w:tblCellMar>
            <w:top w:w="0" w:type="dxa"/>
            <w:left w:w="10" w:type="dxa"/>
            <w:bottom w:w="0" w:type="dxa"/>
            <w:right w:w="10" w:type="dxa"/>
          </w:tblCellMar>
        </w:tblPrEx>
        <w:trPr>
          <w:trHeight w:val="975" w:hRule="exact"/>
          <w:jc w:val="center"/>
        </w:trPr>
        <w:tc>
          <w:tcPr>
            <w:tcW w:w="840" w:type="dxa"/>
            <w:vMerge w:val="continue"/>
            <w:tcBorders>
              <w:left w:val="single" w:color="auto" w:sz="4" w:space="0"/>
            </w:tcBorders>
            <w:shd w:val="clear" w:color="auto" w:fill="FFFFFF"/>
            <w:vAlign w:val="center"/>
          </w:tcPr>
          <w:p>
            <w:pPr>
              <w:pageBreakBefore w:val="0"/>
              <w:kinsoku/>
              <w:overflowPunct/>
              <w:topLinePunct w:val="0"/>
              <w:bidi w:val="0"/>
              <w:snapToGrid/>
              <w:spacing w:line="360" w:lineRule="auto"/>
              <w:jc w:val="center"/>
              <w:rPr>
                <w:rFonts w:hint="eastAsia" w:ascii="宋体" w:hAnsi="宋体" w:eastAsia="宋体" w:cs="宋体"/>
                <w:color w:val="auto"/>
                <w:sz w:val="24"/>
                <w:szCs w:val="24"/>
                <w:highlight w:val="none"/>
              </w:rPr>
            </w:pPr>
          </w:p>
        </w:tc>
        <w:tc>
          <w:tcPr>
            <w:tcW w:w="931" w:type="dxa"/>
            <w:vMerge w:val="continue"/>
            <w:tcBorders>
              <w:left w:val="single" w:color="auto" w:sz="4" w:space="0"/>
            </w:tcBorders>
            <w:shd w:val="clear" w:color="auto" w:fill="FFFFFF"/>
            <w:vAlign w:val="center"/>
          </w:tcPr>
          <w:p>
            <w:pPr>
              <w:pageBreakBefore w:val="0"/>
              <w:kinsoku/>
              <w:overflowPunct/>
              <w:topLinePunct w:val="0"/>
              <w:bidi w:val="0"/>
              <w:snapToGrid/>
              <w:spacing w:line="360" w:lineRule="auto"/>
              <w:jc w:val="center"/>
              <w:rPr>
                <w:rFonts w:hint="eastAsia" w:ascii="宋体" w:hAnsi="宋体" w:eastAsia="宋体" w:cs="宋体"/>
                <w:color w:val="auto"/>
                <w:sz w:val="24"/>
                <w:szCs w:val="24"/>
                <w:highlight w:val="none"/>
              </w:rPr>
            </w:pPr>
          </w:p>
        </w:tc>
        <w:tc>
          <w:tcPr>
            <w:tcW w:w="1565" w:type="dxa"/>
            <w:tcBorders>
              <w:top w:val="single" w:color="auto" w:sz="4" w:space="0"/>
              <w:left w:val="single" w:color="auto" w:sz="4" w:space="0"/>
            </w:tcBorders>
            <w:shd w:val="clear" w:color="auto" w:fill="FFFFFF"/>
            <w:vAlign w:val="center"/>
          </w:tcPr>
          <w:p>
            <w:pPr>
              <w:pageBreakBefore w:val="0"/>
              <w:kinsoku/>
              <w:overflowPunct/>
              <w:topLinePunct w:val="0"/>
              <w:bidi w:val="0"/>
              <w:snapToGrid/>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资质要求</w:t>
            </w:r>
          </w:p>
        </w:tc>
        <w:tc>
          <w:tcPr>
            <w:tcW w:w="7198" w:type="dxa"/>
            <w:tcBorders>
              <w:top w:val="single" w:color="auto" w:sz="4" w:space="0"/>
              <w:left w:val="single" w:color="auto" w:sz="4" w:space="0"/>
              <w:right w:val="single" w:color="auto" w:sz="4" w:space="0"/>
            </w:tcBorders>
            <w:shd w:val="clear" w:color="auto" w:fill="FFFFFF"/>
            <w:vAlign w:val="center"/>
          </w:tcPr>
          <w:p>
            <w:pPr>
              <w:pageBreakBefore w:val="0"/>
              <w:kinsoku/>
              <w:overflowPunct/>
              <w:topLinePunct w:val="0"/>
              <w:bidi w:val="0"/>
              <w:snapToGrid/>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符合第一章第</w:t>
            </w:r>
            <w:r>
              <w:rPr>
                <w:rFonts w:hint="eastAsia" w:ascii="宋体" w:hAnsi="宋体" w:eastAsia="宋体" w:cs="宋体"/>
                <w:color w:val="auto"/>
                <w:sz w:val="24"/>
                <w:szCs w:val="24"/>
                <w:highlight w:val="none"/>
                <w:lang w:val="en-US" w:eastAsia="zh-CN"/>
              </w:rPr>
              <w:t>3.1</w:t>
            </w:r>
            <w:r>
              <w:rPr>
                <w:rFonts w:hint="eastAsia" w:ascii="宋体" w:hAnsi="宋体" w:eastAsia="宋体" w:cs="宋体"/>
                <w:color w:val="auto"/>
                <w:sz w:val="24"/>
                <w:szCs w:val="24"/>
                <w:highlight w:val="none"/>
              </w:rPr>
              <w:t>款及</w:t>
            </w:r>
            <w:r>
              <w:rPr>
                <w:rFonts w:hint="eastAsia" w:ascii="宋体" w:hAnsi="宋体" w:eastAsia="宋体" w:cs="宋体"/>
                <w:color w:val="auto"/>
                <w:sz w:val="24"/>
                <w:szCs w:val="24"/>
                <w:highlight w:val="none"/>
                <w:lang w:eastAsia="zh-CN"/>
              </w:rPr>
              <w:t>询比响应人</w:t>
            </w:r>
            <w:r>
              <w:rPr>
                <w:rFonts w:hint="eastAsia" w:ascii="宋体" w:hAnsi="宋体" w:eastAsia="宋体" w:cs="宋体"/>
                <w:color w:val="auto"/>
                <w:sz w:val="24"/>
                <w:szCs w:val="24"/>
                <w:highlight w:val="none"/>
              </w:rPr>
              <w:t>须知前附表第</w:t>
            </w:r>
            <w:r>
              <w:rPr>
                <w:rFonts w:hint="eastAsia" w:ascii="宋体" w:hAnsi="宋体" w:eastAsia="宋体" w:cs="宋体"/>
                <w:color w:val="auto"/>
                <w:sz w:val="24"/>
                <w:szCs w:val="24"/>
                <w:highlight w:val="none"/>
                <w:lang w:val="en-US" w:eastAsia="zh-CN"/>
              </w:rPr>
              <w:t xml:space="preserve">3. </w:t>
            </w:r>
            <w:r>
              <w:rPr>
                <w:rFonts w:hint="eastAsia" w:ascii="宋体" w:hAnsi="宋体" w:eastAsia="宋体" w:cs="宋体"/>
                <w:color w:val="auto"/>
                <w:sz w:val="24"/>
                <w:szCs w:val="24"/>
                <w:highlight w:val="none"/>
              </w:rPr>
              <w:t>5 (2) 款规定</w:t>
            </w:r>
          </w:p>
        </w:tc>
      </w:tr>
      <w:tr>
        <w:tblPrEx>
          <w:tblCellMar>
            <w:top w:w="0" w:type="dxa"/>
            <w:left w:w="10" w:type="dxa"/>
            <w:bottom w:w="0" w:type="dxa"/>
            <w:right w:w="10" w:type="dxa"/>
          </w:tblCellMar>
        </w:tblPrEx>
        <w:trPr>
          <w:trHeight w:val="1005" w:hRule="exact"/>
          <w:jc w:val="center"/>
        </w:trPr>
        <w:tc>
          <w:tcPr>
            <w:tcW w:w="840" w:type="dxa"/>
            <w:vMerge w:val="continue"/>
            <w:tcBorders>
              <w:left w:val="single" w:color="auto" w:sz="4" w:space="0"/>
            </w:tcBorders>
            <w:shd w:val="clear" w:color="auto" w:fill="FFFFFF"/>
            <w:vAlign w:val="center"/>
          </w:tcPr>
          <w:p>
            <w:pPr>
              <w:pageBreakBefore w:val="0"/>
              <w:kinsoku/>
              <w:overflowPunct/>
              <w:topLinePunct w:val="0"/>
              <w:bidi w:val="0"/>
              <w:snapToGrid/>
              <w:spacing w:line="360" w:lineRule="auto"/>
              <w:jc w:val="center"/>
              <w:rPr>
                <w:rFonts w:hint="eastAsia" w:ascii="宋体" w:hAnsi="宋体" w:eastAsia="宋体" w:cs="宋体"/>
                <w:color w:val="auto"/>
                <w:sz w:val="24"/>
                <w:szCs w:val="24"/>
                <w:highlight w:val="none"/>
              </w:rPr>
            </w:pPr>
          </w:p>
        </w:tc>
        <w:tc>
          <w:tcPr>
            <w:tcW w:w="931" w:type="dxa"/>
            <w:vMerge w:val="continue"/>
            <w:tcBorders>
              <w:left w:val="single" w:color="auto" w:sz="4" w:space="0"/>
            </w:tcBorders>
            <w:shd w:val="clear" w:color="auto" w:fill="FFFFFF"/>
            <w:vAlign w:val="center"/>
          </w:tcPr>
          <w:p>
            <w:pPr>
              <w:pageBreakBefore w:val="0"/>
              <w:kinsoku/>
              <w:overflowPunct/>
              <w:topLinePunct w:val="0"/>
              <w:bidi w:val="0"/>
              <w:snapToGrid/>
              <w:spacing w:line="360" w:lineRule="auto"/>
              <w:jc w:val="center"/>
              <w:rPr>
                <w:rFonts w:hint="eastAsia" w:ascii="宋体" w:hAnsi="宋体" w:eastAsia="宋体" w:cs="宋体"/>
                <w:color w:val="auto"/>
                <w:sz w:val="24"/>
                <w:szCs w:val="24"/>
                <w:highlight w:val="none"/>
              </w:rPr>
            </w:pPr>
          </w:p>
        </w:tc>
        <w:tc>
          <w:tcPr>
            <w:tcW w:w="1565" w:type="dxa"/>
            <w:tcBorders>
              <w:top w:val="single" w:color="auto" w:sz="4" w:space="0"/>
              <w:left w:val="single" w:color="auto" w:sz="4" w:space="0"/>
            </w:tcBorders>
            <w:shd w:val="clear" w:color="auto" w:fill="FFFFFF"/>
            <w:vAlign w:val="center"/>
          </w:tcPr>
          <w:p>
            <w:pPr>
              <w:pageBreakBefore w:val="0"/>
              <w:kinsoku/>
              <w:overflowPunct/>
              <w:topLinePunct w:val="0"/>
              <w:bidi w:val="0"/>
              <w:snapToGrid/>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财务要求</w:t>
            </w:r>
          </w:p>
        </w:tc>
        <w:tc>
          <w:tcPr>
            <w:tcW w:w="7198" w:type="dxa"/>
            <w:tcBorders>
              <w:top w:val="single" w:color="auto" w:sz="4" w:space="0"/>
              <w:left w:val="single" w:color="auto" w:sz="4" w:space="0"/>
              <w:right w:val="single" w:color="auto" w:sz="4" w:space="0"/>
            </w:tcBorders>
            <w:shd w:val="clear" w:color="auto" w:fill="FFFFFF"/>
            <w:vAlign w:val="center"/>
          </w:tcPr>
          <w:p>
            <w:pPr>
              <w:pageBreakBefore w:val="0"/>
              <w:kinsoku/>
              <w:overflowPunct/>
              <w:topLinePunct w:val="0"/>
              <w:bidi w:val="0"/>
              <w:snapToGrid/>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符合第一章第</w:t>
            </w:r>
            <w:r>
              <w:rPr>
                <w:rFonts w:hint="eastAsia" w:ascii="宋体" w:hAnsi="宋体" w:eastAsia="宋体" w:cs="宋体"/>
                <w:color w:val="auto"/>
                <w:sz w:val="24"/>
                <w:szCs w:val="24"/>
                <w:highlight w:val="none"/>
                <w:lang w:val="en-US" w:eastAsia="zh-CN"/>
              </w:rPr>
              <w:t>3.1</w:t>
            </w:r>
            <w:r>
              <w:rPr>
                <w:rFonts w:hint="eastAsia" w:ascii="宋体" w:hAnsi="宋体" w:eastAsia="宋体" w:cs="宋体"/>
                <w:color w:val="auto"/>
                <w:sz w:val="24"/>
                <w:szCs w:val="24"/>
                <w:highlight w:val="none"/>
              </w:rPr>
              <w:t>款及</w:t>
            </w:r>
            <w:r>
              <w:rPr>
                <w:rFonts w:hint="eastAsia" w:ascii="宋体" w:hAnsi="宋体" w:eastAsia="宋体" w:cs="宋体"/>
                <w:color w:val="auto"/>
                <w:sz w:val="24"/>
                <w:szCs w:val="24"/>
                <w:highlight w:val="none"/>
                <w:lang w:eastAsia="zh-CN"/>
              </w:rPr>
              <w:t>询比响应人</w:t>
            </w:r>
            <w:r>
              <w:rPr>
                <w:rFonts w:hint="eastAsia" w:ascii="宋体" w:hAnsi="宋体" w:eastAsia="宋体" w:cs="宋体"/>
                <w:color w:val="auto"/>
                <w:sz w:val="24"/>
                <w:szCs w:val="24"/>
                <w:highlight w:val="none"/>
              </w:rPr>
              <w:t>须知前附表第</w:t>
            </w:r>
            <w:r>
              <w:rPr>
                <w:rFonts w:hint="eastAsia" w:ascii="宋体" w:hAnsi="宋体" w:eastAsia="宋体" w:cs="宋体"/>
                <w:color w:val="auto"/>
                <w:sz w:val="24"/>
                <w:szCs w:val="24"/>
                <w:highlight w:val="none"/>
                <w:lang w:val="en-US" w:eastAsia="zh-CN"/>
              </w:rPr>
              <w:t xml:space="preserve">3. </w:t>
            </w:r>
            <w:r>
              <w:rPr>
                <w:rFonts w:hint="eastAsia" w:ascii="宋体" w:hAnsi="宋体" w:eastAsia="宋体" w:cs="宋体"/>
                <w:color w:val="auto"/>
                <w:sz w:val="24"/>
                <w:szCs w:val="24"/>
                <w:highlight w:val="none"/>
              </w:rPr>
              <w:t>5 (3) 款规定</w:t>
            </w:r>
          </w:p>
        </w:tc>
      </w:tr>
      <w:tr>
        <w:tblPrEx>
          <w:tblCellMar>
            <w:top w:w="0" w:type="dxa"/>
            <w:left w:w="10" w:type="dxa"/>
            <w:bottom w:w="0" w:type="dxa"/>
            <w:right w:w="10" w:type="dxa"/>
          </w:tblCellMar>
        </w:tblPrEx>
        <w:trPr>
          <w:trHeight w:val="915" w:hRule="exact"/>
          <w:jc w:val="center"/>
        </w:trPr>
        <w:tc>
          <w:tcPr>
            <w:tcW w:w="840" w:type="dxa"/>
            <w:vMerge w:val="continue"/>
            <w:tcBorders>
              <w:left w:val="single" w:color="auto" w:sz="4" w:space="0"/>
            </w:tcBorders>
            <w:shd w:val="clear" w:color="auto" w:fill="FFFFFF"/>
            <w:vAlign w:val="center"/>
          </w:tcPr>
          <w:p>
            <w:pPr>
              <w:pageBreakBefore w:val="0"/>
              <w:kinsoku/>
              <w:overflowPunct/>
              <w:topLinePunct w:val="0"/>
              <w:bidi w:val="0"/>
              <w:snapToGrid/>
              <w:spacing w:line="360" w:lineRule="auto"/>
              <w:jc w:val="center"/>
              <w:rPr>
                <w:rFonts w:hint="eastAsia" w:ascii="宋体" w:hAnsi="宋体" w:eastAsia="宋体" w:cs="宋体"/>
                <w:color w:val="auto"/>
                <w:sz w:val="24"/>
                <w:szCs w:val="24"/>
                <w:highlight w:val="none"/>
              </w:rPr>
            </w:pPr>
          </w:p>
        </w:tc>
        <w:tc>
          <w:tcPr>
            <w:tcW w:w="931" w:type="dxa"/>
            <w:vMerge w:val="continue"/>
            <w:tcBorders>
              <w:left w:val="single" w:color="auto" w:sz="4" w:space="0"/>
            </w:tcBorders>
            <w:shd w:val="clear" w:color="auto" w:fill="FFFFFF"/>
            <w:vAlign w:val="center"/>
          </w:tcPr>
          <w:p>
            <w:pPr>
              <w:pageBreakBefore w:val="0"/>
              <w:kinsoku/>
              <w:overflowPunct/>
              <w:topLinePunct w:val="0"/>
              <w:bidi w:val="0"/>
              <w:snapToGrid/>
              <w:spacing w:line="360" w:lineRule="auto"/>
              <w:jc w:val="center"/>
              <w:rPr>
                <w:rFonts w:hint="eastAsia" w:ascii="宋体" w:hAnsi="宋体" w:eastAsia="宋体" w:cs="宋体"/>
                <w:color w:val="auto"/>
                <w:sz w:val="24"/>
                <w:szCs w:val="24"/>
                <w:highlight w:val="none"/>
              </w:rPr>
            </w:pPr>
          </w:p>
        </w:tc>
        <w:tc>
          <w:tcPr>
            <w:tcW w:w="1565" w:type="dxa"/>
            <w:tcBorders>
              <w:top w:val="single" w:color="auto" w:sz="4" w:space="0"/>
              <w:left w:val="single" w:color="auto" w:sz="4" w:space="0"/>
            </w:tcBorders>
            <w:shd w:val="clear" w:color="auto" w:fill="FFFFFF"/>
            <w:vAlign w:val="center"/>
          </w:tcPr>
          <w:p>
            <w:pPr>
              <w:pageBreakBefore w:val="0"/>
              <w:kinsoku/>
              <w:overflowPunct/>
              <w:topLinePunct w:val="0"/>
              <w:bidi w:val="0"/>
              <w:snapToGrid/>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业绩要求</w:t>
            </w:r>
          </w:p>
        </w:tc>
        <w:tc>
          <w:tcPr>
            <w:tcW w:w="7198" w:type="dxa"/>
            <w:tcBorders>
              <w:top w:val="single" w:color="auto" w:sz="4" w:space="0"/>
              <w:left w:val="single" w:color="auto" w:sz="4" w:space="0"/>
              <w:right w:val="single" w:color="auto" w:sz="4" w:space="0"/>
            </w:tcBorders>
            <w:shd w:val="clear" w:color="auto" w:fill="FFFFFF"/>
            <w:vAlign w:val="center"/>
          </w:tcPr>
          <w:p>
            <w:pPr>
              <w:pageBreakBefore w:val="0"/>
              <w:kinsoku/>
              <w:overflowPunct/>
              <w:topLinePunct w:val="0"/>
              <w:bidi w:val="0"/>
              <w:snapToGrid/>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符合第一章第</w:t>
            </w:r>
            <w:r>
              <w:rPr>
                <w:rFonts w:hint="eastAsia" w:ascii="宋体" w:hAnsi="宋体" w:eastAsia="宋体" w:cs="宋体"/>
                <w:color w:val="auto"/>
                <w:sz w:val="24"/>
                <w:szCs w:val="24"/>
                <w:highlight w:val="none"/>
                <w:lang w:val="en-US" w:eastAsia="zh-CN"/>
              </w:rPr>
              <w:t xml:space="preserve">3. </w:t>
            </w:r>
            <w:r>
              <w:rPr>
                <w:rFonts w:hint="eastAsia" w:ascii="宋体" w:hAnsi="宋体" w:eastAsia="宋体" w:cs="宋体"/>
                <w:color w:val="auto"/>
                <w:sz w:val="24"/>
                <w:szCs w:val="24"/>
                <w:highlight w:val="none"/>
              </w:rPr>
              <w:t>1款及</w:t>
            </w:r>
            <w:r>
              <w:rPr>
                <w:rFonts w:hint="eastAsia" w:ascii="宋体" w:hAnsi="宋体" w:eastAsia="宋体" w:cs="宋体"/>
                <w:color w:val="auto"/>
                <w:sz w:val="24"/>
                <w:szCs w:val="24"/>
                <w:highlight w:val="none"/>
                <w:lang w:eastAsia="zh-CN"/>
              </w:rPr>
              <w:t>询比响应人</w:t>
            </w:r>
            <w:r>
              <w:rPr>
                <w:rFonts w:hint="eastAsia" w:ascii="宋体" w:hAnsi="宋体" w:eastAsia="宋体" w:cs="宋体"/>
                <w:color w:val="auto"/>
                <w:sz w:val="24"/>
                <w:szCs w:val="24"/>
                <w:highlight w:val="none"/>
              </w:rPr>
              <w:t>须知前附表第</w:t>
            </w:r>
            <w:r>
              <w:rPr>
                <w:rFonts w:hint="eastAsia" w:ascii="宋体" w:hAnsi="宋体" w:eastAsia="宋体" w:cs="宋体"/>
                <w:color w:val="auto"/>
                <w:sz w:val="24"/>
                <w:szCs w:val="24"/>
                <w:highlight w:val="none"/>
                <w:lang w:val="en-US" w:eastAsia="zh-CN"/>
              </w:rPr>
              <w:t xml:space="preserve">3. </w:t>
            </w:r>
            <w:r>
              <w:rPr>
                <w:rFonts w:hint="eastAsia" w:ascii="宋体" w:hAnsi="宋体" w:eastAsia="宋体" w:cs="宋体"/>
                <w:color w:val="auto"/>
                <w:sz w:val="24"/>
                <w:szCs w:val="24"/>
                <w:highlight w:val="none"/>
              </w:rPr>
              <w:t>5 (4) 款规定</w:t>
            </w:r>
          </w:p>
        </w:tc>
      </w:tr>
      <w:tr>
        <w:tblPrEx>
          <w:tblCellMar>
            <w:top w:w="0" w:type="dxa"/>
            <w:left w:w="10" w:type="dxa"/>
            <w:bottom w:w="0" w:type="dxa"/>
            <w:right w:w="10" w:type="dxa"/>
          </w:tblCellMar>
        </w:tblPrEx>
        <w:trPr>
          <w:trHeight w:val="855" w:hRule="exact"/>
          <w:jc w:val="center"/>
        </w:trPr>
        <w:tc>
          <w:tcPr>
            <w:tcW w:w="840" w:type="dxa"/>
            <w:vMerge w:val="continue"/>
            <w:tcBorders>
              <w:left w:val="single" w:color="auto" w:sz="4" w:space="0"/>
            </w:tcBorders>
            <w:shd w:val="clear" w:color="auto" w:fill="FFFFFF"/>
            <w:vAlign w:val="center"/>
          </w:tcPr>
          <w:p>
            <w:pPr>
              <w:pageBreakBefore w:val="0"/>
              <w:kinsoku/>
              <w:overflowPunct/>
              <w:topLinePunct w:val="0"/>
              <w:bidi w:val="0"/>
              <w:snapToGrid/>
              <w:spacing w:line="360" w:lineRule="auto"/>
              <w:jc w:val="center"/>
              <w:rPr>
                <w:rFonts w:hint="eastAsia" w:ascii="宋体" w:hAnsi="宋体" w:eastAsia="宋体" w:cs="宋体"/>
                <w:color w:val="auto"/>
                <w:sz w:val="24"/>
                <w:szCs w:val="24"/>
                <w:highlight w:val="none"/>
              </w:rPr>
            </w:pPr>
          </w:p>
        </w:tc>
        <w:tc>
          <w:tcPr>
            <w:tcW w:w="931" w:type="dxa"/>
            <w:vMerge w:val="continue"/>
            <w:tcBorders>
              <w:left w:val="single" w:color="auto" w:sz="4" w:space="0"/>
            </w:tcBorders>
            <w:shd w:val="clear" w:color="auto" w:fill="FFFFFF"/>
            <w:vAlign w:val="center"/>
          </w:tcPr>
          <w:p>
            <w:pPr>
              <w:pageBreakBefore w:val="0"/>
              <w:kinsoku/>
              <w:overflowPunct/>
              <w:topLinePunct w:val="0"/>
              <w:bidi w:val="0"/>
              <w:snapToGrid/>
              <w:spacing w:line="360" w:lineRule="auto"/>
              <w:jc w:val="center"/>
              <w:rPr>
                <w:rFonts w:hint="eastAsia" w:ascii="宋体" w:hAnsi="宋体" w:eastAsia="宋体" w:cs="宋体"/>
                <w:color w:val="auto"/>
                <w:sz w:val="24"/>
                <w:szCs w:val="24"/>
                <w:highlight w:val="none"/>
              </w:rPr>
            </w:pPr>
          </w:p>
        </w:tc>
        <w:tc>
          <w:tcPr>
            <w:tcW w:w="1565" w:type="dxa"/>
            <w:tcBorders>
              <w:top w:val="single" w:color="auto" w:sz="4" w:space="0"/>
              <w:left w:val="single" w:color="auto" w:sz="4" w:space="0"/>
            </w:tcBorders>
            <w:shd w:val="clear" w:color="auto" w:fill="FFFFFF"/>
            <w:vAlign w:val="center"/>
          </w:tcPr>
          <w:p>
            <w:pPr>
              <w:pageBreakBefore w:val="0"/>
              <w:kinsoku/>
              <w:overflowPunct/>
              <w:topLinePunct w:val="0"/>
              <w:bidi w:val="0"/>
              <w:snapToGrid/>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信誉要求</w:t>
            </w:r>
          </w:p>
        </w:tc>
        <w:tc>
          <w:tcPr>
            <w:tcW w:w="7198" w:type="dxa"/>
            <w:tcBorders>
              <w:top w:val="single" w:color="auto" w:sz="4" w:space="0"/>
              <w:left w:val="single" w:color="auto" w:sz="4" w:space="0"/>
              <w:right w:val="single" w:color="auto" w:sz="4" w:space="0"/>
            </w:tcBorders>
            <w:shd w:val="clear" w:color="auto" w:fill="FFFFFF"/>
            <w:vAlign w:val="center"/>
          </w:tcPr>
          <w:p>
            <w:pPr>
              <w:pageBreakBefore w:val="0"/>
              <w:kinsoku/>
              <w:overflowPunct/>
              <w:topLinePunct w:val="0"/>
              <w:bidi w:val="0"/>
              <w:snapToGrid/>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符合第一章第</w:t>
            </w:r>
            <w:r>
              <w:rPr>
                <w:rFonts w:hint="eastAsia" w:ascii="宋体" w:hAnsi="宋体" w:eastAsia="宋体" w:cs="宋体"/>
                <w:color w:val="auto"/>
                <w:sz w:val="24"/>
                <w:szCs w:val="24"/>
                <w:highlight w:val="none"/>
                <w:lang w:val="en-US" w:eastAsia="zh-CN"/>
              </w:rPr>
              <w:t>3.1</w:t>
            </w:r>
            <w:r>
              <w:rPr>
                <w:rFonts w:hint="eastAsia" w:ascii="宋体" w:hAnsi="宋体" w:eastAsia="宋体" w:cs="宋体"/>
                <w:color w:val="auto"/>
                <w:sz w:val="24"/>
                <w:szCs w:val="24"/>
                <w:highlight w:val="none"/>
              </w:rPr>
              <w:t>款及</w:t>
            </w:r>
            <w:r>
              <w:rPr>
                <w:rFonts w:hint="eastAsia" w:ascii="宋体" w:hAnsi="宋体" w:eastAsia="宋体" w:cs="宋体"/>
                <w:color w:val="auto"/>
                <w:sz w:val="24"/>
                <w:szCs w:val="24"/>
                <w:highlight w:val="none"/>
                <w:lang w:eastAsia="zh-CN"/>
              </w:rPr>
              <w:t>询比响应人</w:t>
            </w:r>
            <w:r>
              <w:rPr>
                <w:rFonts w:hint="eastAsia" w:ascii="宋体" w:hAnsi="宋体" w:eastAsia="宋体" w:cs="宋体"/>
                <w:color w:val="auto"/>
                <w:sz w:val="24"/>
                <w:szCs w:val="24"/>
                <w:highlight w:val="none"/>
              </w:rPr>
              <w:t>须知前附表第</w:t>
            </w:r>
            <w:r>
              <w:rPr>
                <w:rFonts w:hint="eastAsia" w:ascii="宋体" w:hAnsi="宋体" w:eastAsia="宋体" w:cs="宋体"/>
                <w:color w:val="auto"/>
                <w:sz w:val="24"/>
                <w:szCs w:val="24"/>
                <w:highlight w:val="none"/>
                <w:lang w:val="en-US" w:eastAsia="zh-CN"/>
              </w:rPr>
              <w:t xml:space="preserve">3. </w:t>
            </w:r>
            <w:r>
              <w:rPr>
                <w:rFonts w:hint="eastAsia" w:ascii="宋体" w:hAnsi="宋体" w:eastAsia="宋体" w:cs="宋体"/>
                <w:color w:val="auto"/>
                <w:sz w:val="24"/>
                <w:szCs w:val="24"/>
                <w:highlight w:val="none"/>
              </w:rPr>
              <w:t>5 (5) 款规定</w:t>
            </w:r>
          </w:p>
        </w:tc>
      </w:tr>
      <w:tr>
        <w:tblPrEx>
          <w:tblCellMar>
            <w:top w:w="0" w:type="dxa"/>
            <w:left w:w="10" w:type="dxa"/>
            <w:bottom w:w="0" w:type="dxa"/>
            <w:right w:w="10" w:type="dxa"/>
          </w:tblCellMar>
        </w:tblPrEx>
        <w:trPr>
          <w:trHeight w:val="555" w:hRule="exact"/>
          <w:jc w:val="center"/>
        </w:trPr>
        <w:tc>
          <w:tcPr>
            <w:tcW w:w="840" w:type="dxa"/>
            <w:vMerge w:val="continue"/>
            <w:tcBorders>
              <w:left w:val="single" w:color="auto" w:sz="4" w:space="0"/>
            </w:tcBorders>
            <w:shd w:val="clear" w:color="auto" w:fill="FFFFFF"/>
            <w:vAlign w:val="center"/>
          </w:tcPr>
          <w:p>
            <w:pPr>
              <w:pageBreakBefore w:val="0"/>
              <w:kinsoku/>
              <w:overflowPunct/>
              <w:topLinePunct w:val="0"/>
              <w:bidi w:val="0"/>
              <w:snapToGrid/>
              <w:spacing w:line="360" w:lineRule="auto"/>
              <w:jc w:val="center"/>
              <w:rPr>
                <w:rFonts w:hint="eastAsia" w:ascii="宋体" w:hAnsi="宋体" w:eastAsia="宋体" w:cs="宋体"/>
                <w:color w:val="auto"/>
                <w:sz w:val="24"/>
                <w:szCs w:val="24"/>
                <w:highlight w:val="none"/>
              </w:rPr>
            </w:pPr>
          </w:p>
        </w:tc>
        <w:tc>
          <w:tcPr>
            <w:tcW w:w="931" w:type="dxa"/>
            <w:vMerge w:val="continue"/>
            <w:tcBorders>
              <w:left w:val="single" w:color="auto" w:sz="4" w:space="0"/>
            </w:tcBorders>
            <w:shd w:val="clear" w:color="auto" w:fill="FFFFFF"/>
            <w:vAlign w:val="center"/>
          </w:tcPr>
          <w:p>
            <w:pPr>
              <w:pageBreakBefore w:val="0"/>
              <w:kinsoku/>
              <w:overflowPunct/>
              <w:topLinePunct w:val="0"/>
              <w:bidi w:val="0"/>
              <w:snapToGrid/>
              <w:spacing w:line="360" w:lineRule="auto"/>
              <w:jc w:val="center"/>
              <w:rPr>
                <w:rFonts w:hint="eastAsia" w:ascii="宋体" w:hAnsi="宋体" w:eastAsia="宋体" w:cs="宋体"/>
                <w:color w:val="auto"/>
                <w:sz w:val="24"/>
                <w:szCs w:val="24"/>
                <w:highlight w:val="none"/>
              </w:rPr>
            </w:pPr>
          </w:p>
        </w:tc>
        <w:tc>
          <w:tcPr>
            <w:tcW w:w="1565" w:type="dxa"/>
            <w:tcBorders>
              <w:top w:val="single" w:color="auto" w:sz="4" w:space="0"/>
              <w:left w:val="single" w:color="auto" w:sz="4" w:space="0"/>
            </w:tcBorders>
            <w:shd w:val="clear" w:color="auto" w:fill="FFFFFF"/>
            <w:vAlign w:val="center"/>
          </w:tcPr>
          <w:p>
            <w:pPr>
              <w:pageBreakBefore w:val="0"/>
              <w:kinsoku/>
              <w:overflowPunct/>
              <w:topLinePunct w:val="0"/>
              <w:bidi w:val="0"/>
              <w:snapToGrid/>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人员要求</w:t>
            </w:r>
          </w:p>
        </w:tc>
        <w:tc>
          <w:tcPr>
            <w:tcW w:w="7198" w:type="dxa"/>
            <w:tcBorders>
              <w:top w:val="single" w:color="auto" w:sz="4" w:space="0"/>
              <w:left w:val="single" w:color="auto" w:sz="4" w:space="0"/>
              <w:right w:val="single" w:color="auto" w:sz="4" w:space="0"/>
            </w:tcBorders>
            <w:shd w:val="clear" w:color="auto" w:fill="FFFFFF"/>
            <w:vAlign w:val="center"/>
          </w:tcPr>
          <w:p>
            <w:pPr>
              <w:pageBreakBefore w:val="0"/>
              <w:kinsoku/>
              <w:overflowPunct/>
              <w:topLinePunct w:val="0"/>
              <w:bidi w:val="0"/>
              <w:snapToGrid/>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符合第一章第</w:t>
            </w:r>
            <w:r>
              <w:rPr>
                <w:rFonts w:hint="eastAsia" w:ascii="宋体" w:hAnsi="宋体" w:eastAsia="宋体" w:cs="宋体"/>
                <w:color w:val="auto"/>
                <w:sz w:val="24"/>
                <w:szCs w:val="24"/>
                <w:highlight w:val="none"/>
                <w:lang w:val="en-US" w:eastAsia="zh-CN"/>
              </w:rPr>
              <w:t>3.1</w:t>
            </w:r>
            <w:r>
              <w:rPr>
                <w:rFonts w:hint="eastAsia" w:ascii="宋体" w:hAnsi="宋体" w:eastAsia="宋体" w:cs="宋体"/>
                <w:color w:val="auto"/>
                <w:sz w:val="24"/>
                <w:szCs w:val="24"/>
                <w:highlight w:val="none"/>
              </w:rPr>
              <w:t>款及</w:t>
            </w:r>
            <w:r>
              <w:rPr>
                <w:rFonts w:hint="eastAsia" w:ascii="宋体" w:hAnsi="宋体" w:eastAsia="宋体" w:cs="宋体"/>
                <w:color w:val="auto"/>
                <w:sz w:val="24"/>
                <w:szCs w:val="24"/>
                <w:highlight w:val="none"/>
                <w:lang w:eastAsia="zh-CN"/>
              </w:rPr>
              <w:t>询比响应人</w:t>
            </w:r>
            <w:r>
              <w:rPr>
                <w:rFonts w:hint="eastAsia" w:ascii="宋体" w:hAnsi="宋体" w:eastAsia="宋体" w:cs="宋体"/>
                <w:color w:val="auto"/>
                <w:sz w:val="24"/>
                <w:szCs w:val="24"/>
                <w:highlight w:val="none"/>
              </w:rPr>
              <w:t>须知前附表第</w:t>
            </w:r>
            <w:r>
              <w:rPr>
                <w:rFonts w:hint="eastAsia" w:ascii="宋体" w:hAnsi="宋体" w:eastAsia="宋体" w:cs="宋体"/>
                <w:color w:val="auto"/>
                <w:sz w:val="24"/>
                <w:szCs w:val="24"/>
                <w:highlight w:val="none"/>
                <w:lang w:val="en-US" w:eastAsia="zh-CN"/>
              </w:rPr>
              <w:t xml:space="preserve">3. </w:t>
            </w:r>
            <w:r>
              <w:rPr>
                <w:rFonts w:hint="eastAsia" w:ascii="宋体" w:hAnsi="宋体" w:eastAsia="宋体" w:cs="宋体"/>
                <w:color w:val="auto"/>
                <w:sz w:val="24"/>
                <w:szCs w:val="24"/>
                <w:highlight w:val="none"/>
              </w:rPr>
              <w:t>5 (6) 款规定</w:t>
            </w:r>
          </w:p>
        </w:tc>
      </w:tr>
      <w:tr>
        <w:tblPrEx>
          <w:tblCellMar>
            <w:top w:w="0" w:type="dxa"/>
            <w:left w:w="10" w:type="dxa"/>
            <w:bottom w:w="0" w:type="dxa"/>
            <w:right w:w="10" w:type="dxa"/>
          </w:tblCellMar>
        </w:tblPrEx>
        <w:trPr>
          <w:trHeight w:val="1317" w:hRule="exact"/>
          <w:jc w:val="center"/>
        </w:trPr>
        <w:tc>
          <w:tcPr>
            <w:tcW w:w="840" w:type="dxa"/>
            <w:vMerge w:val="continue"/>
            <w:tcBorders>
              <w:left w:val="single" w:color="auto" w:sz="4" w:space="0"/>
            </w:tcBorders>
            <w:shd w:val="clear" w:color="auto" w:fill="FFFFFF"/>
            <w:vAlign w:val="center"/>
          </w:tcPr>
          <w:p>
            <w:pPr>
              <w:pageBreakBefore w:val="0"/>
              <w:kinsoku/>
              <w:overflowPunct/>
              <w:topLinePunct w:val="0"/>
              <w:bidi w:val="0"/>
              <w:snapToGrid/>
              <w:spacing w:line="360" w:lineRule="auto"/>
              <w:jc w:val="center"/>
              <w:rPr>
                <w:rFonts w:hint="eastAsia" w:ascii="宋体" w:hAnsi="宋体" w:eastAsia="宋体" w:cs="宋体"/>
                <w:color w:val="auto"/>
                <w:sz w:val="24"/>
                <w:szCs w:val="24"/>
                <w:highlight w:val="none"/>
              </w:rPr>
            </w:pPr>
          </w:p>
        </w:tc>
        <w:tc>
          <w:tcPr>
            <w:tcW w:w="931" w:type="dxa"/>
            <w:vMerge w:val="continue"/>
            <w:tcBorders>
              <w:left w:val="single" w:color="auto" w:sz="4" w:space="0"/>
            </w:tcBorders>
            <w:shd w:val="clear" w:color="auto" w:fill="FFFFFF"/>
            <w:vAlign w:val="center"/>
          </w:tcPr>
          <w:p>
            <w:pPr>
              <w:pageBreakBefore w:val="0"/>
              <w:kinsoku/>
              <w:overflowPunct/>
              <w:topLinePunct w:val="0"/>
              <w:bidi w:val="0"/>
              <w:snapToGrid/>
              <w:spacing w:line="360" w:lineRule="auto"/>
              <w:jc w:val="center"/>
              <w:rPr>
                <w:rFonts w:hint="eastAsia" w:ascii="宋体" w:hAnsi="宋体" w:eastAsia="宋体" w:cs="宋体"/>
                <w:color w:val="auto"/>
                <w:sz w:val="24"/>
                <w:szCs w:val="24"/>
                <w:highlight w:val="none"/>
              </w:rPr>
            </w:pPr>
          </w:p>
        </w:tc>
        <w:tc>
          <w:tcPr>
            <w:tcW w:w="1565" w:type="dxa"/>
            <w:tcBorders>
              <w:top w:val="single" w:color="auto" w:sz="4" w:space="0"/>
              <w:left w:val="single" w:color="auto" w:sz="4" w:space="0"/>
            </w:tcBorders>
            <w:shd w:val="clear" w:color="auto" w:fill="FFFFFF"/>
            <w:vAlign w:val="center"/>
          </w:tcPr>
          <w:p>
            <w:pPr>
              <w:pageBreakBefore w:val="0"/>
              <w:kinsoku/>
              <w:overflowPunct/>
              <w:topLinePunct w:val="0"/>
              <w:bidi w:val="0"/>
              <w:snapToGrid/>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其他要求</w:t>
            </w:r>
          </w:p>
        </w:tc>
        <w:tc>
          <w:tcPr>
            <w:tcW w:w="7198" w:type="dxa"/>
            <w:tcBorders>
              <w:top w:val="single" w:color="auto" w:sz="4" w:space="0"/>
              <w:left w:val="single" w:color="auto" w:sz="4" w:space="0"/>
              <w:right w:val="single" w:color="auto" w:sz="4" w:space="0"/>
            </w:tcBorders>
            <w:shd w:val="clear" w:color="auto" w:fill="FFFFFF"/>
            <w:vAlign w:val="center"/>
          </w:tcPr>
          <w:p>
            <w:pPr>
              <w:pageBreakBefore w:val="0"/>
              <w:kinsoku/>
              <w:overflowPunct/>
              <w:topLinePunct w:val="0"/>
              <w:bidi w:val="0"/>
              <w:snapToGrid/>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符合第一章第</w:t>
            </w:r>
            <w:r>
              <w:rPr>
                <w:rFonts w:hint="eastAsia" w:ascii="宋体" w:hAnsi="宋体" w:eastAsia="宋体" w:cs="宋体"/>
                <w:color w:val="auto"/>
                <w:sz w:val="24"/>
                <w:szCs w:val="24"/>
                <w:highlight w:val="none"/>
                <w:lang w:val="en-US" w:eastAsia="zh-CN"/>
              </w:rPr>
              <w:t xml:space="preserve">3. </w:t>
            </w:r>
            <w:r>
              <w:rPr>
                <w:rFonts w:hint="eastAsia" w:ascii="宋体" w:hAnsi="宋体" w:eastAsia="宋体" w:cs="宋体"/>
                <w:color w:val="auto"/>
                <w:sz w:val="24"/>
                <w:szCs w:val="24"/>
                <w:highlight w:val="none"/>
              </w:rPr>
              <w:t>1款及</w:t>
            </w:r>
            <w:r>
              <w:rPr>
                <w:rFonts w:hint="eastAsia" w:ascii="宋体" w:hAnsi="宋体" w:eastAsia="宋体" w:cs="宋体"/>
                <w:color w:val="auto"/>
                <w:sz w:val="24"/>
                <w:szCs w:val="24"/>
                <w:highlight w:val="none"/>
                <w:lang w:eastAsia="zh-CN"/>
              </w:rPr>
              <w:t>询比响应人</w:t>
            </w:r>
            <w:r>
              <w:rPr>
                <w:rFonts w:hint="eastAsia" w:ascii="宋体" w:hAnsi="宋体" w:eastAsia="宋体" w:cs="宋体"/>
                <w:color w:val="auto"/>
                <w:sz w:val="24"/>
                <w:szCs w:val="24"/>
                <w:highlight w:val="none"/>
              </w:rPr>
              <w:t>须知前附表第</w:t>
            </w:r>
            <w:r>
              <w:rPr>
                <w:rFonts w:hint="eastAsia" w:ascii="宋体" w:hAnsi="宋体" w:eastAsia="宋体" w:cs="宋体"/>
                <w:color w:val="auto"/>
                <w:sz w:val="24"/>
                <w:szCs w:val="24"/>
                <w:highlight w:val="none"/>
                <w:lang w:val="en-US" w:eastAsia="zh-CN"/>
              </w:rPr>
              <w:t xml:space="preserve">3.5 </w:t>
            </w:r>
            <w:r>
              <w:rPr>
                <w:rFonts w:hint="eastAsia" w:ascii="宋体" w:hAnsi="宋体" w:eastAsia="宋体" w:cs="宋体"/>
                <w:color w:val="auto"/>
                <w:sz w:val="24"/>
                <w:szCs w:val="24"/>
                <w:highlight w:val="none"/>
              </w:rPr>
              <w:t>(7) 款规定</w:t>
            </w:r>
          </w:p>
        </w:tc>
      </w:tr>
      <w:tr>
        <w:tblPrEx>
          <w:tblCellMar>
            <w:top w:w="0" w:type="dxa"/>
            <w:left w:w="10" w:type="dxa"/>
            <w:bottom w:w="0" w:type="dxa"/>
            <w:right w:w="10" w:type="dxa"/>
          </w:tblCellMar>
        </w:tblPrEx>
        <w:trPr>
          <w:trHeight w:val="1065" w:hRule="exact"/>
          <w:jc w:val="center"/>
        </w:trPr>
        <w:tc>
          <w:tcPr>
            <w:tcW w:w="840" w:type="dxa"/>
            <w:vMerge w:val="continue"/>
            <w:tcBorders>
              <w:left w:val="single" w:color="auto" w:sz="4" w:space="0"/>
            </w:tcBorders>
            <w:shd w:val="clear" w:color="auto" w:fill="FFFFFF"/>
            <w:vAlign w:val="center"/>
          </w:tcPr>
          <w:p>
            <w:pPr>
              <w:pageBreakBefore w:val="0"/>
              <w:kinsoku/>
              <w:overflowPunct/>
              <w:topLinePunct w:val="0"/>
              <w:bidi w:val="0"/>
              <w:snapToGrid/>
              <w:spacing w:line="360" w:lineRule="auto"/>
              <w:jc w:val="center"/>
              <w:rPr>
                <w:rFonts w:hint="eastAsia" w:ascii="宋体" w:hAnsi="宋体" w:eastAsia="宋体" w:cs="宋体"/>
                <w:color w:val="auto"/>
                <w:sz w:val="24"/>
                <w:szCs w:val="24"/>
                <w:highlight w:val="none"/>
              </w:rPr>
            </w:pPr>
          </w:p>
        </w:tc>
        <w:tc>
          <w:tcPr>
            <w:tcW w:w="931" w:type="dxa"/>
            <w:vMerge w:val="continue"/>
            <w:tcBorders>
              <w:left w:val="single" w:color="auto" w:sz="4" w:space="0"/>
            </w:tcBorders>
            <w:shd w:val="clear" w:color="auto" w:fill="FFFFFF"/>
            <w:vAlign w:val="center"/>
          </w:tcPr>
          <w:p>
            <w:pPr>
              <w:pageBreakBefore w:val="0"/>
              <w:kinsoku/>
              <w:overflowPunct/>
              <w:topLinePunct w:val="0"/>
              <w:bidi w:val="0"/>
              <w:snapToGrid/>
              <w:spacing w:line="360" w:lineRule="auto"/>
              <w:jc w:val="center"/>
              <w:rPr>
                <w:rFonts w:hint="eastAsia" w:ascii="宋体" w:hAnsi="宋体" w:eastAsia="宋体" w:cs="宋体"/>
                <w:color w:val="auto"/>
                <w:sz w:val="24"/>
                <w:szCs w:val="24"/>
                <w:highlight w:val="none"/>
              </w:rPr>
            </w:pPr>
          </w:p>
        </w:tc>
        <w:tc>
          <w:tcPr>
            <w:tcW w:w="1565" w:type="dxa"/>
            <w:tcBorders>
              <w:top w:val="single" w:color="auto" w:sz="4" w:space="0"/>
              <w:left w:val="single" w:color="auto" w:sz="4" w:space="0"/>
            </w:tcBorders>
            <w:shd w:val="clear" w:color="auto" w:fill="FFFFFF"/>
            <w:vAlign w:val="center"/>
          </w:tcPr>
          <w:p>
            <w:pPr>
              <w:pageBreakBefore w:val="0"/>
              <w:kinsoku/>
              <w:overflowPunct/>
              <w:topLinePunct w:val="0"/>
              <w:bidi w:val="0"/>
              <w:snapToGrid/>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不存在第一</w:t>
            </w:r>
            <w:r>
              <w:rPr>
                <w:rFonts w:hint="eastAsia" w:ascii="宋体" w:hAnsi="宋体" w:eastAsia="宋体" w:cs="宋体"/>
                <w:color w:val="auto"/>
                <w:sz w:val="24"/>
                <w:szCs w:val="24"/>
                <w:highlight w:val="none"/>
                <w:lang w:eastAsia="zh-CN"/>
              </w:rPr>
              <w:t>章</w:t>
            </w:r>
            <w:r>
              <w:rPr>
                <w:rFonts w:hint="eastAsia" w:ascii="宋体" w:hAnsi="宋体" w:eastAsia="宋体" w:cs="宋体"/>
                <w:color w:val="auto"/>
                <w:sz w:val="24"/>
                <w:szCs w:val="24"/>
                <w:highlight w:val="none"/>
              </w:rPr>
              <w:t>第</w:t>
            </w:r>
            <w:r>
              <w:rPr>
                <w:rFonts w:hint="eastAsia" w:ascii="宋体" w:hAnsi="宋体" w:eastAsia="宋体" w:cs="宋体"/>
                <w:color w:val="auto"/>
                <w:sz w:val="24"/>
                <w:szCs w:val="24"/>
                <w:highlight w:val="none"/>
                <w:lang w:val="en-US" w:eastAsia="en-US"/>
              </w:rPr>
              <w:t xml:space="preserve">3. </w:t>
            </w:r>
            <w:r>
              <w:rPr>
                <w:rFonts w:hint="eastAsia" w:ascii="宋体" w:hAnsi="宋体" w:eastAsia="宋体" w:cs="宋体"/>
                <w:color w:val="auto"/>
                <w:sz w:val="24"/>
                <w:szCs w:val="24"/>
                <w:highlight w:val="none"/>
              </w:rPr>
              <w:t>2款情形</w:t>
            </w:r>
          </w:p>
        </w:tc>
        <w:tc>
          <w:tcPr>
            <w:tcW w:w="7198" w:type="dxa"/>
            <w:tcBorders>
              <w:top w:val="single" w:color="auto" w:sz="4" w:space="0"/>
              <w:left w:val="single" w:color="auto" w:sz="4" w:space="0"/>
              <w:right w:val="single" w:color="auto" w:sz="4" w:space="0"/>
            </w:tcBorders>
            <w:shd w:val="clear" w:color="auto" w:fill="FFFFFF"/>
            <w:vAlign w:val="center"/>
          </w:tcPr>
          <w:p>
            <w:pPr>
              <w:pageBreakBefore w:val="0"/>
              <w:kinsoku/>
              <w:overflowPunct/>
              <w:topLinePunct w:val="0"/>
              <w:bidi w:val="0"/>
              <w:snapToGrid/>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符合第一章第</w:t>
            </w:r>
            <w:r>
              <w:rPr>
                <w:rFonts w:hint="eastAsia" w:ascii="宋体" w:hAnsi="宋体" w:eastAsia="宋体" w:cs="宋体"/>
                <w:color w:val="auto"/>
                <w:sz w:val="24"/>
                <w:szCs w:val="24"/>
                <w:highlight w:val="none"/>
                <w:lang w:val="en-US" w:eastAsia="zh-CN"/>
              </w:rPr>
              <w:t xml:space="preserve">3. </w:t>
            </w:r>
            <w:r>
              <w:rPr>
                <w:rFonts w:hint="eastAsia" w:ascii="宋体" w:hAnsi="宋体" w:eastAsia="宋体" w:cs="宋体"/>
                <w:color w:val="auto"/>
                <w:sz w:val="24"/>
                <w:szCs w:val="24"/>
                <w:highlight w:val="none"/>
              </w:rPr>
              <w:t>2款及</w:t>
            </w:r>
            <w:r>
              <w:rPr>
                <w:rFonts w:hint="eastAsia" w:ascii="宋体" w:hAnsi="宋体" w:eastAsia="宋体" w:cs="宋体"/>
                <w:color w:val="auto"/>
                <w:sz w:val="24"/>
                <w:szCs w:val="24"/>
                <w:highlight w:val="none"/>
                <w:lang w:eastAsia="zh-CN"/>
              </w:rPr>
              <w:t>询比响应人</w:t>
            </w:r>
            <w:r>
              <w:rPr>
                <w:rFonts w:hint="eastAsia" w:ascii="宋体" w:hAnsi="宋体" w:eastAsia="宋体" w:cs="宋体"/>
                <w:color w:val="auto"/>
                <w:sz w:val="24"/>
                <w:szCs w:val="24"/>
                <w:highlight w:val="none"/>
              </w:rPr>
              <w:t>须知前附表第</w:t>
            </w:r>
            <w:r>
              <w:rPr>
                <w:rFonts w:hint="eastAsia" w:ascii="宋体" w:hAnsi="宋体" w:eastAsia="宋体" w:cs="宋体"/>
                <w:color w:val="auto"/>
                <w:sz w:val="24"/>
                <w:szCs w:val="24"/>
                <w:highlight w:val="none"/>
                <w:lang w:val="en-US" w:eastAsia="zh-CN"/>
              </w:rPr>
              <w:t xml:space="preserve">3. </w:t>
            </w:r>
            <w:r>
              <w:rPr>
                <w:rFonts w:hint="eastAsia" w:ascii="宋体" w:hAnsi="宋体" w:eastAsia="宋体" w:cs="宋体"/>
                <w:color w:val="auto"/>
                <w:sz w:val="24"/>
                <w:szCs w:val="24"/>
                <w:highlight w:val="none"/>
              </w:rPr>
              <w:t>5 (8) 款规定</w:t>
            </w:r>
          </w:p>
        </w:tc>
      </w:tr>
      <w:tr>
        <w:tblPrEx>
          <w:tblCellMar>
            <w:top w:w="0" w:type="dxa"/>
            <w:left w:w="10" w:type="dxa"/>
            <w:bottom w:w="0" w:type="dxa"/>
            <w:right w:w="10" w:type="dxa"/>
          </w:tblCellMar>
        </w:tblPrEx>
        <w:trPr>
          <w:trHeight w:val="810" w:hRule="exact"/>
          <w:jc w:val="center"/>
        </w:trPr>
        <w:tc>
          <w:tcPr>
            <w:tcW w:w="840" w:type="dxa"/>
            <w:vMerge w:val="continue"/>
            <w:tcBorders>
              <w:left w:val="single" w:color="auto" w:sz="4" w:space="0"/>
            </w:tcBorders>
            <w:shd w:val="clear" w:color="auto" w:fill="FFFFFF"/>
            <w:vAlign w:val="center"/>
          </w:tcPr>
          <w:p>
            <w:pPr>
              <w:pageBreakBefore w:val="0"/>
              <w:kinsoku/>
              <w:overflowPunct/>
              <w:topLinePunct w:val="0"/>
              <w:bidi w:val="0"/>
              <w:snapToGrid/>
              <w:spacing w:line="360" w:lineRule="auto"/>
              <w:jc w:val="center"/>
              <w:rPr>
                <w:rFonts w:hint="eastAsia" w:ascii="宋体" w:hAnsi="宋体" w:eastAsia="宋体" w:cs="宋体"/>
                <w:color w:val="auto"/>
                <w:sz w:val="24"/>
                <w:szCs w:val="24"/>
                <w:highlight w:val="none"/>
              </w:rPr>
            </w:pPr>
          </w:p>
        </w:tc>
        <w:tc>
          <w:tcPr>
            <w:tcW w:w="931" w:type="dxa"/>
            <w:vMerge w:val="continue"/>
            <w:tcBorders>
              <w:left w:val="single" w:color="auto" w:sz="4" w:space="0"/>
            </w:tcBorders>
            <w:shd w:val="clear" w:color="auto" w:fill="FFFFFF"/>
            <w:vAlign w:val="center"/>
          </w:tcPr>
          <w:p>
            <w:pPr>
              <w:pageBreakBefore w:val="0"/>
              <w:kinsoku/>
              <w:overflowPunct/>
              <w:topLinePunct w:val="0"/>
              <w:bidi w:val="0"/>
              <w:snapToGrid/>
              <w:spacing w:line="360" w:lineRule="auto"/>
              <w:jc w:val="center"/>
              <w:rPr>
                <w:rFonts w:hint="eastAsia" w:ascii="宋体" w:hAnsi="宋体" w:eastAsia="宋体" w:cs="宋体"/>
                <w:color w:val="auto"/>
                <w:sz w:val="24"/>
                <w:szCs w:val="24"/>
                <w:highlight w:val="none"/>
              </w:rPr>
            </w:pPr>
          </w:p>
        </w:tc>
        <w:tc>
          <w:tcPr>
            <w:tcW w:w="1565" w:type="dxa"/>
            <w:tcBorders>
              <w:top w:val="single" w:color="auto" w:sz="4" w:space="0"/>
              <w:left w:val="single" w:color="auto" w:sz="4" w:space="0"/>
            </w:tcBorders>
            <w:shd w:val="clear" w:color="auto" w:fill="FFFFFF"/>
            <w:vAlign w:val="center"/>
          </w:tcPr>
          <w:p>
            <w:pPr>
              <w:pageBreakBefore w:val="0"/>
              <w:kinsoku/>
              <w:overflowPunct/>
              <w:topLinePunct w:val="0"/>
              <w:bidi w:val="0"/>
              <w:snapToGrid/>
              <w:spacing w:line="360" w:lineRule="auto"/>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联合体</w:t>
            </w:r>
            <w:r>
              <w:rPr>
                <w:rFonts w:hint="eastAsia" w:ascii="宋体" w:hAnsi="宋体" w:eastAsia="宋体" w:cs="宋体"/>
                <w:color w:val="auto"/>
                <w:sz w:val="24"/>
                <w:szCs w:val="24"/>
                <w:highlight w:val="none"/>
                <w:lang w:eastAsia="zh-CN"/>
              </w:rPr>
              <w:t>询比响应人</w:t>
            </w:r>
          </w:p>
        </w:tc>
        <w:tc>
          <w:tcPr>
            <w:tcW w:w="7198" w:type="dxa"/>
            <w:tcBorders>
              <w:top w:val="single" w:color="auto" w:sz="4" w:space="0"/>
              <w:left w:val="single" w:color="auto" w:sz="4" w:space="0"/>
              <w:right w:val="single" w:color="auto" w:sz="4" w:space="0"/>
            </w:tcBorders>
            <w:shd w:val="clear" w:color="auto" w:fill="FFFFFF"/>
            <w:vAlign w:val="center"/>
          </w:tcPr>
          <w:p>
            <w:pPr>
              <w:pageBreakBefore w:val="0"/>
              <w:kinsoku/>
              <w:overflowPunct/>
              <w:topLinePunct w:val="0"/>
              <w:bidi w:val="0"/>
              <w:snapToGrid/>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符合第一章第</w:t>
            </w:r>
            <w:r>
              <w:rPr>
                <w:rFonts w:hint="eastAsia" w:ascii="宋体" w:hAnsi="宋体" w:eastAsia="宋体" w:cs="宋体"/>
                <w:color w:val="auto"/>
                <w:sz w:val="24"/>
                <w:szCs w:val="24"/>
                <w:highlight w:val="none"/>
                <w:lang w:val="en-US" w:eastAsia="zh-CN"/>
              </w:rPr>
              <w:t xml:space="preserve">3. </w:t>
            </w:r>
            <w:r>
              <w:rPr>
                <w:rFonts w:hint="eastAsia" w:ascii="宋体" w:hAnsi="宋体" w:eastAsia="宋体" w:cs="宋体"/>
                <w:color w:val="auto"/>
                <w:sz w:val="24"/>
                <w:szCs w:val="24"/>
                <w:highlight w:val="none"/>
              </w:rPr>
              <w:t>3款及</w:t>
            </w:r>
            <w:r>
              <w:rPr>
                <w:rFonts w:hint="eastAsia" w:ascii="宋体" w:hAnsi="宋体" w:eastAsia="宋体" w:cs="宋体"/>
                <w:color w:val="auto"/>
                <w:sz w:val="24"/>
                <w:szCs w:val="24"/>
                <w:highlight w:val="none"/>
                <w:lang w:eastAsia="zh-CN"/>
              </w:rPr>
              <w:t>询比响应人</w:t>
            </w:r>
            <w:r>
              <w:rPr>
                <w:rFonts w:hint="eastAsia" w:ascii="宋体" w:hAnsi="宋体" w:eastAsia="宋体" w:cs="宋体"/>
                <w:color w:val="auto"/>
                <w:sz w:val="24"/>
                <w:szCs w:val="24"/>
                <w:highlight w:val="none"/>
              </w:rPr>
              <w:t>须知前附表第</w:t>
            </w:r>
            <w:r>
              <w:rPr>
                <w:rFonts w:hint="eastAsia" w:ascii="宋体" w:hAnsi="宋体" w:eastAsia="宋体" w:cs="宋体"/>
                <w:color w:val="auto"/>
                <w:sz w:val="24"/>
                <w:szCs w:val="24"/>
                <w:highlight w:val="none"/>
                <w:lang w:val="en-US" w:eastAsia="zh-CN"/>
              </w:rPr>
              <w:t xml:space="preserve">3. </w:t>
            </w:r>
            <w:r>
              <w:rPr>
                <w:rFonts w:hint="eastAsia" w:ascii="宋体" w:hAnsi="宋体" w:eastAsia="宋体" w:cs="宋体"/>
                <w:color w:val="auto"/>
                <w:sz w:val="24"/>
                <w:szCs w:val="24"/>
                <w:highlight w:val="none"/>
              </w:rPr>
              <w:t>5 (9) 款规定</w:t>
            </w:r>
          </w:p>
        </w:tc>
      </w:tr>
      <w:tr>
        <w:tblPrEx>
          <w:tblCellMar>
            <w:top w:w="0" w:type="dxa"/>
            <w:left w:w="10" w:type="dxa"/>
            <w:bottom w:w="0" w:type="dxa"/>
            <w:right w:w="10" w:type="dxa"/>
          </w:tblCellMar>
        </w:tblPrEx>
        <w:trPr>
          <w:trHeight w:val="495" w:hRule="exact"/>
          <w:jc w:val="center"/>
        </w:trPr>
        <w:tc>
          <w:tcPr>
            <w:tcW w:w="840" w:type="dxa"/>
            <w:vMerge w:val="continue"/>
            <w:tcBorders>
              <w:left w:val="single" w:color="auto" w:sz="4" w:space="0"/>
              <w:bottom w:val="single" w:color="auto" w:sz="4" w:space="0"/>
            </w:tcBorders>
            <w:shd w:val="clear" w:color="auto" w:fill="FFFFFF"/>
            <w:vAlign w:val="center"/>
          </w:tcPr>
          <w:p>
            <w:pPr>
              <w:pageBreakBefore w:val="0"/>
              <w:kinsoku/>
              <w:overflowPunct/>
              <w:topLinePunct w:val="0"/>
              <w:bidi w:val="0"/>
              <w:snapToGrid/>
              <w:spacing w:line="360" w:lineRule="auto"/>
              <w:jc w:val="center"/>
              <w:rPr>
                <w:rFonts w:hint="eastAsia" w:ascii="宋体" w:hAnsi="宋体" w:eastAsia="宋体" w:cs="宋体"/>
                <w:color w:val="auto"/>
                <w:sz w:val="24"/>
                <w:szCs w:val="24"/>
                <w:highlight w:val="none"/>
              </w:rPr>
            </w:pPr>
          </w:p>
        </w:tc>
        <w:tc>
          <w:tcPr>
            <w:tcW w:w="931" w:type="dxa"/>
            <w:vMerge w:val="continue"/>
            <w:tcBorders>
              <w:left w:val="single" w:color="auto" w:sz="4" w:space="0"/>
              <w:bottom w:val="single" w:color="auto" w:sz="4" w:space="0"/>
            </w:tcBorders>
            <w:shd w:val="clear" w:color="auto" w:fill="FFFFFF"/>
            <w:vAlign w:val="center"/>
          </w:tcPr>
          <w:p>
            <w:pPr>
              <w:pageBreakBefore w:val="0"/>
              <w:kinsoku/>
              <w:overflowPunct/>
              <w:topLinePunct w:val="0"/>
              <w:bidi w:val="0"/>
              <w:snapToGrid/>
              <w:spacing w:line="360" w:lineRule="auto"/>
              <w:jc w:val="center"/>
              <w:rPr>
                <w:rFonts w:hint="eastAsia" w:ascii="宋体" w:hAnsi="宋体" w:eastAsia="宋体" w:cs="宋体"/>
                <w:color w:val="auto"/>
                <w:sz w:val="24"/>
                <w:szCs w:val="24"/>
                <w:highlight w:val="none"/>
              </w:rPr>
            </w:pPr>
          </w:p>
        </w:tc>
        <w:tc>
          <w:tcPr>
            <w:tcW w:w="1565" w:type="dxa"/>
            <w:tcBorders>
              <w:top w:val="single" w:color="auto" w:sz="4" w:space="0"/>
              <w:left w:val="single" w:color="auto" w:sz="4" w:space="0"/>
              <w:bottom w:val="single" w:color="auto" w:sz="4" w:space="0"/>
            </w:tcBorders>
            <w:shd w:val="clear" w:color="auto" w:fill="FFFFFF"/>
            <w:vAlign w:val="center"/>
          </w:tcPr>
          <w:p>
            <w:pPr>
              <w:pageBreakBefore w:val="0"/>
              <w:kinsoku/>
              <w:overflowPunct/>
              <w:topLinePunct w:val="0"/>
              <w:bidi w:val="0"/>
              <w:snapToGrid/>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p>
        </w:tc>
        <w:tc>
          <w:tcPr>
            <w:tcW w:w="7198" w:type="dxa"/>
            <w:tcBorders>
              <w:top w:val="single" w:color="auto" w:sz="4" w:space="0"/>
              <w:left w:val="single" w:color="auto" w:sz="4" w:space="0"/>
              <w:bottom w:val="single" w:color="auto" w:sz="4" w:space="0"/>
              <w:right w:val="single" w:color="auto" w:sz="4" w:space="0"/>
            </w:tcBorders>
            <w:shd w:val="clear" w:color="auto" w:fill="FFFFFF"/>
            <w:vAlign w:val="center"/>
          </w:tcPr>
          <w:p>
            <w:pPr>
              <w:pageBreakBefore w:val="0"/>
              <w:kinsoku/>
              <w:overflowPunct/>
              <w:topLinePunct w:val="0"/>
              <w:bidi w:val="0"/>
              <w:snapToGrid/>
              <w:spacing w:line="360" w:lineRule="auto"/>
              <w:jc w:val="center"/>
              <w:rPr>
                <w:rFonts w:hint="eastAsia" w:ascii="宋体" w:hAnsi="宋体" w:eastAsia="宋体" w:cs="宋体"/>
                <w:color w:val="auto"/>
                <w:sz w:val="24"/>
                <w:szCs w:val="24"/>
                <w:highlight w:val="none"/>
              </w:rPr>
            </w:pPr>
          </w:p>
        </w:tc>
      </w:tr>
    </w:tbl>
    <w:p>
      <w:pPr>
        <w:pStyle w:val="33"/>
        <w:pageBreakBefore w:val="0"/>
        <w:kinsoku/>
        <w:overflowPunct/>
        <w:topLinePunct w:val="0"/>
        <w:bidi w:val="0"/>
        <w:snapToGrid/>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续</w:t>
      </w:r>
      <w:r>
        <w:rPr>
          <w:rFonts w:hint="eastAsia" w:ascii="宋体" w:hAnsi="宋体" w:eastAsia="宋体" w:cs="宋体"/>
          <w:b w:val="0"/>
          <w:bCs w:val="0"/>
          <w:color w:val="auto"/>
          <w:sz w:val="24"/>
          <w:szCs w:val="24"/>
          <w:highlight w:val="none"/>
          <w:lang w:val="en-US" w:eastAsia="zh-CN"/>
        </w:rPr>
        <w:t xml:space="preserve"> </w:t>
      </w:r>
      <w:r>
        <w:rPr>
          <w:rFonts w:hint="eastAsia" w:ascii="宋体" w:hAnsi="宋体" w:eastAsia="宋体" w:cs="宋体"/>
          <w:b w:val="0"/>
          <w:bCs w:val="0"/>
          <w:color w:val="auto"/>
          <w:sz w:val="24"/>
          <w:szCs w:val="24"/>
          <w:highlight w:val="none"/>
        </w:rPr>
        <w:t>表</w:t>
      </w:r>
    </w:p>
    <w:tbl>
      <w:tblPr>
        <w:tblStyle w:val="19"/>
        <w:tblW w:w="1059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 w:type="dxa"/>
          <w:bottom w:w="0" w:type="dxa"/>
          <w:right w:w="10" w:type="dxa"/>
        </w:tblCellMar>
      </w:tblPr>
      <w:tblGrid>
        <w:gridCol w:w="914"/>
        <w:gridCol w:w="1306"/>
        <w:gridCol w:w="1704"/>
        <w:gridCol w:w="666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400" w:hRule="exact"/>
          <w:jc w:val="center"/>
        </w:trPr>
        <w:tc>
          <w:tcPr>
            <w:tcW w:w="2220" w:type="dxa"/>
            <w:gridSpan w:val="2"/>
            <w:shd w:val="clear" w:color="auto" w:fill="FFFFFF"/>
            <w:vAlign w:val="center"/>
          </w:tcPr>
          <w:p>
            <w:pPr>
              <w:pStyle w:val="31"/>
              <w:keepNext w:val="0"/>
              <w:keepLines w:val="0"/>
              <w:pageBreakBefore w:val="0"/>
              <w:widowControl w:val="0"/>
              <w:kinsoku/>
              <w:wordWrap/>
              <w:overflowPunct/>
              <w:topLinePunct w:val="0"/>
              <w:autoSpaceDE/>
              <w:autoSpaceDN/>
              <w:bidi w:val="0"/>
              <w:adjustRightInd w:val="0"/>
              <w:snapToGrid/>
              <w:spacing w:line="360" w:lineRule="auto"/>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条款号及名称</w:t>
            </w:r>
          </w:p>
        </w:tc>
        <w:tc>
          <w:tcPr>
            <w:tcW w:w="1704" w:type="dxa"/>
            <w:shd w:val="clear" w:color="auto" w:fill="FFFFFF"/>
            <w:vAlign w:val="center"/>
          </w:tcPr>
          <w:p>
            <w:pPr>
              <w:pStyle w:val="31"/>
              <w:keepNext w:val="0"/>
              <w:keepLines w:val="0"/>
              <w:pageBreakBefore w:val="0"/>
              <w:widowControl w:val="0"/>
              <w:kinsoku/>
              <w:wordWrap/>
              <w:overflowPunct/>
              <w:topLinePunct w:val="0"/>
              <w:autoSpaceDE/>
              <w:autoSpaceDN/>
              <w:bidi w:val="0"/>
              <w:adjustRightInd w:val="0"/>
              <w:snapToGrid/>
              <w:spacing w:line="360" w:lineRule="auto"/>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评审因素</w:t>
            </w:r>
          </w:p>
        </w:tc>
        <w:tc>
          <w:tcPr>
            <w:tcW w:w="6668" w:type="dxa"/>
            <w:shd w:val="clear" w:color="auto" w:fill="FFFFFF"/>
            <w:vAlign w:val="center"/>
          </w:tcPr>
          <w:p>
            <w:pPr>
              <w:pStyle w:val="31"/>
              <w:keepNext w:val="0"/>
              <w:keepLines w:val="0"/>
              <w:pageBreakBefore w:val="0"/>
              <w:widowControl w:val="0"/>
              <w:kinsoku/>
              <w:wordWrap/>
              <w:overflowPunct/>
              <w:topLinePunct w:val="0"/>
              <w:autoSpaceDE/>
              <w:autoSpaceDN/>
              <w:bidi w:val="0"/>
              <w:adjustRightInd w:val="0"/>
              <w:snapToGrid/>
              <w:spacing w:line="360" w:lineRule="auto"/>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评审标准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451" w:hRule="exact"/>
          <w:jc w:val="center"/>
        </w:trPr>
        <w:tc>
          <w:tcPr>
            <w:tcW w:w="914" w:type="dxa"/>
            <w:vMerge w:val="restart"/>
            <w:shd w:val="clear" w:color="auto" w:fill="FFFFFF"/>
            <w:vAlign w:val="center"/>
          </w:tcPr>
          <w:p>
            <w:pPr>
              <w:pStyle w:val="31"/>
              <w:keepNext w:val="0"/>
              <w:keepLines w:val="0"/>
              <w:pageBreakBefore w:val="0"/>
              <w:widowControl w:val="0"/>
              <w:kinsoku/>
              <w:wordWrap/>
              <w:overflowPunct/>
              <w:topLinePunct w:val="0"/>
              <w:autoSpaceDE/>
              <w:autoSpaceDN/>
              <w:bidi w:val="0"/>
              <w:adjustRightInd w:val="0"/>
              <w:snapToGrid/>
              <w:spacing w:line="360" w:lineRule="auto"/>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2.1.3</w:t>
            </w:r>
          </w:p>
        </w:tc>
        <w:tc>
          <w:tcPr>
            <w:tcW w:w="1306" w:type="dxa"/>
            <w:vMerge w:val="restart"/>
            <w:shd w:val="clear" w:color="auto" w:fill="FFFFFF"/>
            <w:vAlign w:val="center"/>
          </w:tcPr>
          <w:p>
            <w:pPr>
              <w:pStyle w:val="31"/>
              <w:keepNext w:val="0"/>
              <w:keepLines w:val="0"/>
              <w:pageBreakBefore w:val="0"/>
              <w:widowControl w:val="0"/>
              <w:kinsoku/>
              <w:wordWrap/>
              <w:overflowPunct/>
              <w:topLinePunct w:val="0"/>
              <w:autoSpaceDE/>
              <w:autoSpaceDN/>
              <w:bidi w:val="0"/>
              <w:adjustRightInd w:val="0"/>
              <w:snapToGrid/>
              <w:spacing w:line="360" w:lineRule="auto"/>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响应性 </w:t>
            </w:r>
          </w:p>
          <w:p>
            <w:pPr>
              <w:pStyle w:val="31"/>
              <w:keepNext w:val="0"/>
              <w:keepLines w:val="0"/>
              <w:pageBreakBefore w:val="0"/>
              <w:widowControl w:val="0"/>
              <w:kinsoku/>
              <w:wordWrap/>
              <w:overflowPunct/>
              <w:topLinePunct w:val="0"/>
              <w:autoSpaceDE/>
              <w:autoSpaceDN/>
              <w:bidi w:val="0"/>
              <w:adjustRightInd w:val="0"/>
              <w:snapToGrid/>
              <w:spacing w:line="360" w:lineRule="auto"/>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评审</w:t>
            </w:r>
          </w:p>
          <w:p>
            <w:pPr>
              <w:pStyle w:val="31"/>
              <w:keepNext w:val="0"/>
              <w:keepLines w:val="0"/>
              <w:pageBreakBefore w:val="0"/>
              <w:widowControl w:val="0"/>
              <w:kinsoku/>
              <w:wordWrap/>
              <w:overflowPunct/>
              <w:topLinePunct w:val="0"/>
              <w:autoSpaceDE/>
              <w:autoSpaceDN/>
              <w:bidi w:val="0"/>
              <w:adjustRightInd w:val="0"/>
              <w:snapToGrid/>
              <w:spacing w:line="360" w:lineRule="auto"/>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标准</w:t>
            </w:r>
          </w:p>
        </w:tc>
        <w:tc>
          <w:tcPr>
            <w:tcW w:w="1704" w:type="dxa"/>
            <w:shd w:val="clear" w:color="auto" w:fill="FFFFFF"/>
            <w:vAlign w:val="center"/>
          </w:tcPr>
          <w:p>
            <w:pPr>
              <w:pStyle w:val="31"/>
              <w:keepNext w:val="0"/>
              <w:keepLines w:val="0"/>
              <w:pageBreakBefore w:val="0"/>
              <w:widowControl w:val="0"/>
              <w:kinsoku/>
              <w:wordWrap/>
              <w:overflowPunct/>
              <w:topLinePunct w:val="0"/>
              <w:autoSpaceDE/>
              <w:autoSpaceDN/>
              <w:bidi w:val="0"/>
              <w:adjustRightInd w:val="0"/>
              <w:snapToGrid/>
              <w:spacing w:line="360" w:lineRule="auto"/>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报价</w:t>
            </w:r>
          </w:p>
        </w:tc>
        <w:tc>
          <w:tcPr>
            <w:tcW w:w="6668" w:type="dxa"/>
            <w:shd w:val="clear" w:color="auto" w:fill="FFFFFF"/>
            <w:vAlign w:val="center"/>
          </w:tcPr>
          <w:p>
            <w:pPr>
              <w:pStyle w:val="31"/>
              <w:keepNext w:val="0"/>
              <w:keepLines w:val="0"/>
              <w:pageBreakBefore w:val="0"/>
              <w:widowControl w:val="0"/>
              <w:kinsoku/>
              <w:wordWrap/>
              <w:overflowPunct/>
              <w:topLinePunct w:val="0"/>
              <w:autoSpaceDE/>
              <w:autoSpaceDN/>
              <w:bidi w:val="0"/>
              <w:adjustRightInd w:val="0"/>
              <w:snapToGrid/>
              <w:spacing w:line="360" w:lineRule="auto"/>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符合第二章第</w:t>
            </w:r>
            <w:r>
              <w:rPr>
                <w:rFonts w:hint="eastAsia" w:ascii="宋体" w:hAnsi="宋体" w:eastAsia="宋体" w:cs="宋体"/>
                <w:color w:val="auto"/>
                <w:sz w:val="24"/>
                <w:szCs w:val="24"/>
                <w:highlight w:val="none"/>
                <w:lang w:val="en-US" w:eastAsia="en-US"/>
              </w:rPr>
              <w:t xml:space="preserve">3. </w:t>
            </w:r>
            <w:r>
              <w:rPr>
                <w:rFonts w:hint="eastAsia" w:ascii="宋体" w:hAnsi="宋体" w:eastAsia="宋体" w:cs="宋体"/>
                <w:color w:val="auto"/>
                <w:sz w:val="24"/>
                <w:szCs w:val="24"/>
                <w:highlight w:val="none"/>
              </w:rPr>
              <w:t>2款规定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451" w:hRule="exact"/>
          <w:jc w:val="center"/>
        </w:trPr>
        <w:tc>
          <w:tcPr>
            <w:tcW w:w="914" w:type="dxa"/>
            <w:vMerge w:val="continue"/>
            <w:shd w:val="clear" w:color="auto" w:fill="FFFFFF"/>
            <w:vAlign w:val="center"/>
          </w:tcPr>
          <w:p>
            <w:pPr>
              <w:pStyle w:val="31"/>
              <w:keepNext w:val="0"/>
              <w:keepLines w:val="0"/>
              <w:pageBreakBefore w:val="0"/>
              <w:widowControl w:val="0"/>
              <w:kinsoku/>
              <w:wordWrap/>
              <w:overflowPunct/>
              <w:topLinePunct w:val="0"/>
              <w:autoSpaceDE/>
              <w:autoSpaceDN/>
              <w:bidi w:val="0"/>
              <w:adjustRightInd w:val="0"/>
              <w:snapToGrid/>
              <w:spacing w:line="360" w:lineRule="auto"/>
              <w:textAlignment w:val="auto"/>
              <w:rPr>
                <w:rFonts w:hint="eastAsia" w:ascii="宋体" w:hAnsi="宋体" w:eastAsia="宋体" w:cs="宋体"/>
                <w:color w:val="auto"/>
                <w:sz w:val="24"/>
                <w:szCs w:val="24"/>
                <w:highlight w:val="none"/>
              </w:rPr>
            </w:pPr>
          </w:p>
        </w:tc>
        <w:tc>
          <w:tcPr>
            <w:tcW w:w="1306" w:type="dxa"/>
            <w:vMerge w:val="continue"/>
            <w:shd w:val="clear" w:color="auto" w:fill="FFFFFF"/>
            <w:vAlign w:val="center"/>
          </w:tcPr>
          <w:p>
            <w:pPr>
              <w:pStyle w:val="31"/>
              <w:keepNext w:val="0"/>
              <w:keepLines w:val="0"/>
              <w:pageBreakBefore w:val="0"/>
              <w:widowControl w:val="0"/>
              <w:kinsoku/>
              <w:wordWrap/>
              <w:overflowPunct/>
              <w:topLinePunct w:val="0"/>
              <w:autoSpaceDE/>
              <w:autoSpaceDN/>
              <w:bidi w:val="0"/>
              <w:adjustRightInd w:val="0"/>
              <w:snapToGrid/>
              <w:spacing w:line="360" w:lineRule="auto"/>
              <w:textAlignment w:val="auto"/>
              <w:rPr>
                <w:rFonts w:hint="eastAsia" w:ascii="宋体" w:hAnsi="宋体" w:eastAsia="宋体" w:cs="宋体"/>
                <w:color w:val="auto"/>
                <w:sz w:val="24"/>
                <w:szCs w:val="24"/>
                <w:highlight w:val="none"/>
              </w:rPr>
            </w:pPr>
          </w:p>
        </w:tc>
        <w:tc>
          <w:tcPr>
            <w:tcW w:w="1704" w:type="dxa"/>
            <w:shd w:val="clear" w:color="auto" w:fill="FFFFFF"/>
            <w:vAlign w:val="center"/>
          </w:tcPr>
          <w:p>
            <w:pPr>
              <w:pStyle w:val="31"/>
              <w:keepNext w:val="0"/>
              <w:keepLines w:val="0"/>
              <w:pageBreakBefore w:val="0"/>
              <w:widowControl w:val="0"/>
              <w:kinsoku/>
              <w:wordWrap/>
              <w:overflowPunct/>
              <w:topLinePunct w:val="0"/>
              <w:autoSpaceDE/>
              <w:autoSpaceDN/>
              <w:bidi w:val="0"/>
              <w:adjustRightInd w:val="0"/>
              <w:snapToGrid/>
              <w:spacing w:line="360" w:lineRule="auto"/>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响应文件有效期</w:t>
            </w:r>
          </w:p>
        </w:tc>
        <w:tc>
          <w:tcPr>
            <w:tcW w:w="6668" w:type="dxa"/>
            <w:shd w:val="clear" w:color="auto" w:fill="FFFFFF"/>
            <w:vAlign w:val="center"/>
          </w:tcPr>
          <w:p>
            <w:pPr>
              <w:pStyle w:val="31"/>
              <w:keepNext w:val="0"/>
              <w:keepLines w:val="0"/>
              <w:pageBreakBefore w:val="0"/>
              <w:widowControl w:val="0"/>
              <w:kinsoku/>
              <w:wordWrap/>
              <w:overflowPunct/>
              <w:topLinePunct w:val="0"/>
              <w:autoSpaceDE/>
              <w:autoSpaceDN/>
              <w:bidi w:val="0"/>
              <w:adjustRightInd w:val="0"/>
              <w:snapToGrid/>
              <w:spacing w:line="360" w:lineRule="auto"/>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符合第二章第</w:t>
            </w:r>
            <w:r>
              <w:rPr>
                <w:rFonts w:hint="eastAsia" w:ascii="宋体" w:hAnsi="宋体" w:eastAsia="宋体" w:cs="宋体"/>
                <w:color w:val="auto"/>
                <w:sz w:val="24"/>
                <w:szCs w:val="24"/>
                <w:highlight w:val="none"/>
                <w:lang w:val="en-US" w:eastAsia="en-US"/>
              </w:rPr>
              <w:t xml:space="preserve">3. 3. </w:t>
            </w:r>
            <w:r>
              <w:rPr>
                <w:rFonts w:hint="eastAsia" w:ascii="宋体" w:hAnsi="宋体" w:eastAsia="宋体" w:cs="宋体"/>
                <w:color w:val="auto"/>
                <w:sz w:val="24"/>
                <w:szCs w:val="24"/>
                <w:highlight w:val="none"/>
              </w:rPr>
              <w:t>1项规定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451" w:hRule="exact"/>
          <w:jc w:val="center"/>
        </w:trPr>
        <w:tc>
          <w:tcPr>
            <w:tcW w:w="914" w:type="dxa"/>
            <w:vMerge w:val="continue"/>
            <w:shd w:val="clear" w:color="auto" w:fill="FFFFFF"/>
            <w:vAlign w:val="center"/>
          </w:tcPr>
          <w:p>
            <w:pPr>
              <w:pStyle w:val="31"/>
              <w:keepNext w:val="0"/>
              <w:keepLines w:val="0"/>
              <w:pageBreakBefore w:val="0"/>
              <w:widowControl w:val="0"/>
              <w:kinsoku/>
              <w:wordWrap/>
              <w:overflowPunct/>
              <w:topLinePunct w:val="0"/>
              <w:autoSpaceDE/>
              <w:autoSpaceDN/>
              <w:bidi w:val="0"/>
              <w:adjustRightInd w:val="0"/>
              <w:snapToGrid/>
              <w:spacing w:line="360" w:lineRule="auto"/>
              <w:textAlignment w:val="auto"/>
              <w:rPr>
                <w:rFonts w:hint="eastAsia" w:ascii="宋体" w:hAnsi="宋体" w:eastAsia="宋体" w:cs="宋体"/>
                <w:color w:val="auto"/>
                <w:sz w:val="24"/>
                <w:szCs w:val="24"/>
                <w:highlight w:val="none"/>
              </w:rPr>
            </w:pPr>
          </w:p>
        </w:tc>
        <w:tc>
          <w:tcPr>
            <w:tcW w:w="1306" w:type="dxa"/>
            <w:vMerge w:val="continue"/>
            <w:shd w:val="clear" w:color="auto" w:fill="FFFFFF"/>
            <w:vAlign w:val="center"/>
          </w:tcPr>
          <w:p>
            <w:pPr>
              <w:pStyle w:val="31"/>
              <w:keepNext w:val="0"/>
              <w:keepLines w:val="0"/>
              <w:pageBreakBefore w:val="0"/>
              <w:widowControl w:val="0"/>
              <w:kinsoku/>
              <w:wordWrap/>
              <w:overflowPunct/>
              <w:topLinePunct w:val="0"/>
              <w:autoSpaceDE/>
              <w:autoSpaceDN/>
              <w:bidi w:val="0"/>
              <w:adjustRightInd w:val="0"/>
              <w:snapToGrid/>
              <w:spacing w:line="360" w:lineRule="auto"/>
              <w:textAlignment w:val="auto"/>
              <w:rPr>
                <w:rFonts w:hint="eastAsia" w:ascii="宋体" w:hAnsi="宋体" w:eastAsia="宋体" w:cs="宋体"/>
                <w:color w:val="auto"/>
                <w:sz w:val="24"/>
                <w:szCs w:val="24"/>
                <w:highlight w:val="none"/>
              </w:rPr>
            </w:pPr>
          </w:p>
        </w:tc>
        <w:tc>
          <w:tcPr>
            <w:tcW w:w="1704" w:type="dxa"/>
            <w:shd w:val="clear" w:color="auto" w:fill="FFFFFF"/>
            <w:vAlign w:val="center"/>
          </w:tcPr>
          <w:p>
            <w:pPr>
              <w:pStyle w:val="31"/>
              <w:keepNext w:val="0"/>
              <w:keepLines w:val="0"/>
              <w:pageBreakBefore w:val="0"/>
              <w:widowControl w:val="0"/>
              <w:kinsoku/>
              <w:wordWrap/>
              <w:overflowPunct/>
              <w:topLinePunct w:val="0"/>
              <w:autoSpaceDE/>
              <w:autoSpaceDN/>
              <w:bidi w:val="0"/>
              <w:adjustRightInd w:val="0"/>
              <w:snapToGrid/>
              <w:spacing w:line="360" w:lineRule="auto"/>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响应保证金</w:t>
            </w:r>
          </w:p>
        </w:tc>
        <w:tc>
          <w:tcPr>
            <w:tcW w:w="6668" w:type="dxa"/>
            <w:shd w:val="clear" w:color="auto" w:fill="FFFFFF"/>
            <w:vAlign w:val="center"/>
          </w:tcPr>
          <w:p>
            <w:pPr>
              <w:pStyle w:val="31"/>
              <w:keepNext w:val="0"/>
              <w:keepLines w:val="0"/>
              <w:pageBreakBefore w:val="0"/>
              <w:widowControl w:val="0"/>
              <w:kinsoku/>
              <w:wordWrap/>
              <w:overflowPunct/>
              <w:topLinePunct w:val="0"/>
              <w:autoSpaceDE/>
              <w:autoSpaceDN/>
              <w:bidi w:val="0"/>
              <w:adjustRightInd w:val="0"/>
              <w:snapToGrid/>
              <w:spacing w:line="360" w:lineRule="auto"/>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符合第二章第</w:t>
            </w:r>
            <w:r>
              <w:rPr>
                <w:rFonts w:hint="eastAsia" w:ascii="宋体" w:hAnsi="宋体" w:eastAsia="宋体" w:cs="宋体"/>
                <w:color w:val="auto"/>
                <w:sz w:val="24"/>
                <w:szCs w:val="24"/>
                <w:highlight w:val="none"/>
                <w:lang w:val="en-US" w:eastAsia="en-US"/>
              </w:rPr>
              <w:t xml:space="preserve">3.4. </w:t>
            </w:r>
            <w:r>
              <w:rPr>
                <w:rFonts w:hint="eastAsia" w:ascii="宋体" w:hAnsi="宋体" w:eastAsia="宋体" w:cs="宋体"/>
                <w:color w:val="auto"/>
                <w:sz w:val="24"/>
                <w:szCs w:val="24"/>
                <w:highlight w:val="none"/>
              </w:rPr>
              <w:t>1项规定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451" w:hRule="exact"/>
          <w:jc w:val="center"/>
        </w:trPr>
        <w:tc>
          <w:tcPr>
            <w:tcW w:w="914" w:type="dxa"/>
            <w:vMerge w:val="continue"/>
            <w:shd w:val="clear" w:color="auto" w:fill="FFFFFF"/>
            <w:vAlign w:val="center"/>
          </w:tcPr>
          <w:p>
            <w:pPr>
              <w:pStyle w:val="31"/>
              <w:keepNext w:val="0"/>
              <w:keepLines w:val="0"/>
              <w:pageBreakBefore w:val="0"/>
              <w:widowControl w:val="0"/>
              <w:kinsoku/>
              <w:wordWrap/>
              <w:overflowPunct/>
              <w:topLinePunct w:val="0"/>
              <w:autoSpaceDE/>
              <w:autoSpaceDN/>
              <w:bidi w:val="0"/>
              <w:adjustRightInd w:val="0"/>
              <w:snapToGrid/>
              <w:spacing w:line="360" w:lineRule="auto"/>
              <w:textAlignment w:val="auto"/>
              <w:rPr>
                <w:rFonts w:hint="eastAsia" w:ascii="宋体" w:hAnsi="宋体" w:eastAsia="宋体" w:cs="宋体"/>
                <w:color w:val="auto"/>
                <w:sz w:val="24"/>
                <w:szCs w:val="24"/>
                <w:highlight w:val="none"/>
              </w:rPr>
            </w:pPr>
          </w:p>
        </w:tc>
        <w:tc>
          <w:tcPr>
            <w:tcW w:w="1306" w:type="dxa"/>
            <w:vMerge w:val="continue"/>
            <w:shd w:val="clear" w:color="auto" w:fill="FFFFFF"/>
            <w:vAlign w:val="center"/>
          </w:tcPr>
          <w:p>
            <w:pPr>
              <w:pStyle w:val="31"/>
              <w:keepNext w:val="0"/>
              <w:keepLines w:val="0"/>
              <w:pageBreakBefore w:val="0"/>
              <w:widowControl w:val="0"/>
              <w:kinsoku/>
              <w:wordWrap/>
              <w:overflowPunct/>
              <w:topLinePunct w:val="0"/>
              <w:autoSpaceDE/>
              <w:autoSpaceDN/>
              <w:bidi w:val="0"/>
              <w:adjustRightInd w:val="0"/>
              <w:snapToGrid/>
              <w:spacing w:line="360" w:lineRule="auto"/>
              <w:textAlignment w:val="auto"/>
              <w:rPr>
                <w:rFonts w:hint="eastAsia" w:ascii="宋体" w:hAnsi="宋体" w:eastAsia="宋体" w:cs="宋体"/>
                <w:color w:val="auto"/>
                <w:sz w:val="24"/>
                <w:szCs w:val="24"/>
                <w:highlight w:val="none"/>
              </w:rPr>
            </w:pPr>
          </w:p>
        </w:tc>
        <w:tc>
          <w:tcPr>
            <w:tcW w:w="1704" w:type="dxa"/>
            <w:shd w:val="clear" w:color="auto" w:fill="FFFFFF"/>
            <w:vAlign w:val="center"/>
          </w:tcPr>
          <w:p>
            <w:pPr>
              <w:pStyle w:val="31"/>
              <w:keepNext w:val="0"/>
              <w:keepLines w:val="0"/>
              <w:pageBreakBefore w:val="0"/>
              <w:widowControl w:val="0"/>
              <w:kinsoku/>
              <w:wordWrap/>
              <w:overflowPunct/>
              <w:topLinePunct w:val="0"/>
              <w:autoSpaceDE/>
              <w:autoSpaceDN/>
              <w:bidi w:val="0"/>
              <w:adjustRightInd w:val="0"/>
              <w:snapToGrid/>
              <w:spacing w:line="360" w:lineRule="auto"/>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响应方案</w:t>
            </w:r>
          </w:p>
        </w:tc>
        <w:tc>
          <w:tcPr>
            <w:tcW w:w="6668" w:type="dxa"/>
            <w:shd w:val="clear" w:color="auto" w:fill="FFFFFF"/>
            <w:vAlign w:val="center"/>
          </w:tcPr>
          <w:p>
            <w:pPr>
              <w:pStyle w:val="31"/>
              <w:keepNext w:val="0"/>
              <w:keepLines w:val="0"/>
              <w:pageBreakBefore w:val="0"/>
              <w:widowControl w:val="0"/>
              <w:kinsoku/>
              <w:wordWrap/>
              <w:overflowPunct/>
              <w:topLinePunct w:val="0"/>
              <w:autoSpaceDE/>
              <w:autoSpaceDN/>
              <w:bidi w:val="0"/>
              <w:adjustRightInd w:val="0"/>
              <w:snapToGrid/>
              <w:spacing w:line="360" w:lineRule="auto"/>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符合第二章第</w:t>
            </w:r>
            <w:r>
              <w:rPr>
                <w:rFonts w:hint="eastAsia" w:ascii="宋体" w:hAnsi="宋体" w:eastAsia="宋体" w:cs="宋体"/>
                <w:color w:val="auto"/>
                <w:sz w:val="24"/>
                <w:szCs w:val="24"/>
                <w:highlight w:val="none"/>
                <w:lang w:val="en-US" w:eastAsia="en-US"/>
              </w:rPr>
              <w:t>3.6</w:t>
            </w:r>
            <w:r>
              <w:rPr>
                <w:rFonts w:hint="eastAsia" w:ascii="宋体" w:hAnsi="宋体" w:eastAsia="宋体" w:cs="宋体"/>
                <w:color w:val="auto"/>
                <w:sz w:val="24"/>
                <w:szCs w:val="24"/>
                <w:highlight w:val="none"/>
              </w:rPr>
              <w:t>款规定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451" w:hRule="exact"/>
          <w:jc w:val="center"/>
        </w:trPr>
        <w:tc>
          <w:tcPr>
            <w:tcW w:w="914" w:type="dxa"/>
            <w:vMerge w:val="continue"/>
            <w:shd w:val="clear" w:color="auto" w:fill="FFFFFF"/>
            <w:vAlign w:val="center"/>
          </w:tcPr>
          <w:p>
            <w:pPr>
              <w:pStyle w:val="31"/>
              <w:keepNext w:val="0"/>
              <w:keepLines w:val="0"/>
              <w:pageBreakBefore w:val="0"/>
              <w:widowControl w:val="0"/>
              <w:kinsoku/>
              <w:wordWrap/>
              <w:overflowPunct/>
              <w:topLinePunct w:val="0"/>
              <w:autoSpaceDE/>
              <w:autoSpaceDN/>
              <w:bidi w:val="0"/>
              <w:adjustRightInd w:val="0"/>
              <w:snapToGrid/>
              <w:spacing w:line="360" w:lineRule="auto"/>
              <w:textAlignment w:val="auto"/>
              <w:rPr>
                <w:rFonts w:hint="eastAsia" w:ascii="宋体" w:hAnsi="宋体" w:eastAsia="宋体" w:cs="宋体"/>
                <w:color w:val="auto"/>
                <w:sz w:val="24"/>
                <w:szCs w:val="24"/>
                <w:highlight w:val="none"/>
              </w:rPr>
            </w:pPr>
          </w:p>
        </w:tc>
        <w:tc>
          <w:tcPr>
            <w:tcW w:w="1306" w:type="dxa"/>
            <w:vMerge w:val="continue"/>
            <w:shd w:val="clear" w:color="auto" w:fill="FFFFFF"/>
            <w:vAlign w:val="center"/>
          </w:tcPr>
          <w:p>
            <w:pPr>
              <w:pStyle w:val="31"/>
              <w:keepNext w:val="0"/>
              <w:keepLines w:val="0"/>
              <w:pageBreakBefore w:val="0"/>
              <w:widowControl w:val="0"/>
              <w:kinsoku/>
              <w:wordWrap/>
              <w:overflowPunct/>
              <w:topLinePunct w:val="0"/>
              <w:autoSpaceDE/>
              <w:autoSpaceDN/>
              <w:bidi w:val="0"/>
              <w:adjustRightInd w:val="0"/>
              <w:snapToGrid/>
              <w:spacing w:line="360" w:lineRule="auto"/>
              <w:textAlignment w:val="auto"/>
              <w:rPr>
                <w:rFonts w:hint="eastAsia" w:ascii="宋体" w:hAnsi="宋体" w:eastAsia="宋体" w:cs="宋体"/>
                <w:color w:val="auto"/>
                <w:sz w:val="24"/>
                <w:szCs w:val="24"/>
                <w:highlight w:val="none"/>
              </w:rPr>
            </w:pPr>
          </w:p>
        </w:tc>
        <w:tc>
          <w:tcPr>
            <w:tcW w:w="1704" w:type="dxa"/>
            <w:shd w:val="clear" w:color="auto" w:fill="FFFFFF"/>
            <w:vAlign w:val="center"/>
          </w:tcPr>
          <w:p>
            <w:pPr>
              <w:pStyle w:val="31"/>
              <w:keepNext w:val="0"/>
              <w:keepLines w:val="0"/>
              <w:pageBreakBefore w:val="0"/>
              <w:widowControl w:val="0"/>
              <w:kinsoku/>
              <w:wordWrap/>
              <w:overflowPunct/>
              <w:topLinePunct w:val="0"/>
              <w:autoSpaceDE/>
              <w:autoSpaceDN/>
              <w:bidi w:val="0"/>
              <w:adjustRightInd w:val="0"/>
              <w:snapToGrid/>
              <w:spacing w:line="360" w:lineRule="auto"/>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质量标准</w:t>
            </w:r>
          </w:p>
        </w:tc>
        <w:tc>
          <w:tcPr>
            <w:tcW w:w="6668" w:type="dxa"/>
            <w:shd w:val="clear" w:color="auto" w:fill="FFFFFF"/>
            <w:vAlign w:val="center"/>
          </w:tcPr>
          <w:p>
            <w:pPr>
              <w:pStyle w:val="31"/>
              <w:keepNext w:val="0"/>
              <w:keepLines w:val="0"/>
              <w:pageBreakBefore w:val="0"/>
              <w:widowControl w:val="0"/>
              <w:kinsoku/>
              <w:wordWrap/>
              <w:overflowPunct/>
              <w:topLinePunct w:val="0"/>
              <w:autoSpaceDE/>
              <w:autoSpaceDN/>
              <w:bidi w:val="0"/>
              <w:adjustRightInd w:val="0"/>
              <w:snapToGrid/>
              <w:spacing w:line="360" w:lineRule="auto"/>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符合第一章第2条规定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456" w:hRule="exact"/>
          <w:jc w:val="center"/>
        </w:trPr>
        <w:tc>
          <w:tcPr>
            <w:tcW w:w="914" w:type="dxa"/>
            <w:vMerge w:val="continue"/>
            <w:shd w:val="clear" w:color="auto" w:fill="FFFFFF"/>
            <w:vAlign w:val="center"/>
          </w:tcPr>
          <w:p>
            <w:pPr>
              <w:pStyle w:val="31"/>
              <w:keepNext w:val="0"/>
              <w:keepLines w:val="0"/>
              <w:pageBreakBefore w:val="0"/>
              <w:widowControl w:val="0"/>
              <w:kinsoku/>
              <w:wordWrap/>
              <w:overflowPunct/>
              <w:topLinePunct w:val="0"/>
              <w:autoSpaceDE/>
              <w:autoSpaceDN/>
              <w:bidi w:val="0"/>
              <w:adjustRightInd w:val="0"/>
              <w:snapToGrid/>
              <w:spacing w:line="360" w:lineRule="auto"/>
              <w:textAlignment w:val="auto"/>
              <w:rPr>
                <w:rFonts w:hint="eastAsia" w:ascii="宋体" w:hAnsi="宋体" w:eastAsia="宋体" w:cs="宋体"/>
                <w:color w:val="auto"/>
                <w:sz w:val="24"/>
                <w:szCs w:val="24"/>
                <w:highlight w:val="none"/>
              </w:rPr>
            </w:pPr>
          </w:p>
        </w:tc>
        <w:tc>
          <w:tcPr>
            <w:tcW w:w="1306" w:type="dxa"/>
            <w:vMerge w:val="continue"/>
            <w:shd w:val="clear" w:color="auto" w:fill="FFFFFF"/>
            <w:vAlign w:val="center"/>
          </w:tcPr>
          <w:p>
            <w:pPr>
              <w:pStyle w:val="31"/>
              <w:keepNext w:val="0"/>
              <w:keepLines w:val="0"/>
              <w:pageBreakBefore w:val="0"/>
              <w:widowControl w:val="0"/>
              <w:kinsoku/>
              <w:wordWrap/>
              <w:overflowPunct/>
              <w:topLinePunct w:val="0"/>
              <w:autoSpaceDE/>
              <w:autoSpaceDN/>
              <w:bidi w:val="0"/>
              <w:adjustRightInd w:val="0"/>
              <w:snapToGrid/>
              <w:spacing w:line="360" w:lineRule="auto"/>
              <w:textAlignment w:val="auto"/>
              <w:rPr>
                <w:rFonts w:hint="eastAsia" w:ascii="宋体" w:hAnsi="宋体" w:eastAsia="宋体" w:cs="宋体"/>
                <w:color w:val="auto"/>
                <w:sz w:val="24"/>
                <w:szCs w:val="24"/>
                <w:highlight w:val="none"/>
              </w:rPr>
            </w:pPr>
          </w:p>
        </w:tc>
        <w:tc>
          <w:tcPr>
            <w:tcW w:w="1704" w:type="dxa"/>
            <w:shd w:val="clear" w:color="auto" w:fill="FFFFFF"/>
            <w:vAlign w:val="center"/>
          </w:tcPr>
          <w:p>
            <w:pPr>
              <w:pStyle w:val="31"/>
              <w:keepNext w:val="0"/>
              <w:keepLines w:val="0"/>
              <w:pageBreakBefore w:val="0"/>
              <w:widowControl w:val="0"/>
              <w:kinsoku/>
              <w:wordWrap/>
              <w:overflowPunct/>
              <w:topLinePunct w:val="0"/>
              <w:autoSpaceDE/>
              <w:autoSpaceDN/>
              <w:bidi w:val="0"/>
              <w:adjustRightInd w:val="0"/>
              <w:snapToGrid/>
              <w:spacing w:line="360" w:lineRule="auto"/>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完成期限</w:t>
            </w:r>
          </w:p>
        </w:tc>
        <w:tc>
          <w:tcPr>
            <w:tcW w:w="6668" w:type="dxa"/>
            <w:shd w:val="clear" w:color="auto" w:fill="FFFFFF"/>
            <w:vAlign w:val="center"/>
          </w:tcPr>
          <w:p>
            <w:pPr>
              <w:pStyle w:val="31"/>
              <w:keepNext w:val="0"/>
              <w:keepLines w:val="0"/>
              <w:pageBreakBefore w:val="0"/>
              <w:widowControl w:val="0"/>
              <w:kinsoku/>
              <w:wordWrap/>
              <w:overflowPunct/>
              <w:topLinePunct w:val="0"/>
              <w:autoSpaceDE/>
              <w:autoSpaceDN/>
              <w:bidi w:val="0"/>
              <w:adjustRightInd w:val="0"/>
              <w:snapToGrid/>
              <w:spacing w:line="360" w:lineRule="auto"/>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符合第一章第2条规定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451" w:hRule="exact"/>
          <w:jc w:val="center"/>
        </w:trPr>
        <w:tc>
          <w:tcPr>
            <w:tcW w:w="914" w:type="dxa"/>
            <w:vMerge w:val="continue"/>
            <w:shd w:val="clear" w:color="auto" w:fill="FFFFFF"/>
            <w:vAlign w:val="center"/>
          </w:tcPr>
          <w:p>
            <w:pPr>
              <w:pStyle w:val="31"/>
              <w:keepNext w:val="0"/>
              <w:keepLines w:val="0"/>
              <w:pageBreakBefore w:val="0"/>
              <w:widowControl w:val="0"/>
              <w:kinsoku/>
              <w:wordWrap/>
              <w:overflowPunct/>
              <w:topLinePunct w:val="0"/>
              <w:autoSpaceDE/>
              <w:autoSpaceDN/>
              <w:bidi w:val="0"/>
              <w:adjustRightInd w:val="0"/>
              <w:snapToGrid/>
              <w:spacing w:line="360" w:lineRule="auto"/>
              <w:textAlignment w:val="auto"/>
              <w:rPr>
                <w:rFonts w:hint="eastAsia" w:ascii="宋体" w:hAnsi="宋体" w:eastAsia="宋体" w:cs="宋体"/>
                <w:color w:val="auto"/>
                <w:sz w:val="24"/>
                <w:szCs w:val="24"/>
                <w:highlight w:val="none"/>
              </w:rPr>
            </w:pPr>
          </w:p>
        </w:tc>
        <w:tc>
          <w:tcPr>
            <w:tcW w:w="1306" w:type="dxa"/>
            <w:vMerge w:val="continue"/>
            <w:shd w:val="clear" w:color="auto" w:fill="FFFFFF"/>
            <w:vAlign w:val="center"/>
          </w:tcPr>
          <w:p>
            <w:pPr>
              <w:pStyle w:val="31"/>
              <w:keepNext w:val="0"/>
              <w:keepLines w:val="0"/>
              <w:pageBreakBefore w:val="0"/>
              <w:widowControl w:val="0"/>
              <w:kinsoku/>
              <w:wordWrap/>
              <w:overflowPunct/>
              <w:topLinePunct w:val="0"/>
              <w:autoSpaceDE/>
              <w:autoSpaceDN/>
              <w:bidi w:val="0"/>
              <w:adjustRightInd w:val="0"/>
              <w:snapToGrid/>
              <w:spacing w:line="360" w:lineRule="auto"/>
              <w:textAlignment w:val="auto"/>
              <w:rPr>
                <w:rFonts w:hint="eastAsia" w:ascii="宋体" w:hAnsi="宋体" w:eastAsia="宋体" w:cs="宋体"/>
                <w:color w:val="auto"/>
                <w:sz w:val="24"/>
                <w:szCs w:val="24"/>
                <w:highlight w:val="none"/>
              </w:rPr>
            </w:pPr>
          </w:p>
        </w:tc>
        <w:tc>
          <w:tcPr>
            <w:tcW w:w="1704" w:type="dxa"/>
            <w:shd w:val="clear" w:color="auto" w:fill="FFFFFF"/>
            <w:vAlign w:val="center"/>
          </w:tcPr>
          <w:p>
            <w:pPr>
              <w:pStyle w:val="31"/>
              <w:keepNext w:val="0"/>
              <w:keepLines w:val="0"/>
              <w:pageBreakBefore w:val="0"/>
              <w:widowControl w:val="0"/>
              <w:kinsoku/>
              <w:wordWrap/>
              <w:overflowPunct/>
              <w:topLinePunct w:val="0"/>
              <w:autoSpaceDE/>
              <w:autoSpaceDN/>
              <w:bidi w:val="0"/>
              <w:adjustRightInd w:val="0"/>
              <w:snapToGrid/>
              <w:spacing w:line="360" w:lineRule="auto"/>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合同条款</w:t>
            </w:r>
          </w:p>
        </w:tc>
        <w:tc>
          <w:tcPr>
            <w:tcW w:w="6668" w:type="dxa"/>
            <w:shd w:val="clear" w:color="auto" w:fill="FFFFFF"/>
            <w:vAlign w:val="center"/>
          </w:tcPr>
          <w:p>
            <w:pPr>
              <w:pStyle w:val="31"/>
              <w:keepNext w:val="0"/>
              <w:keepLines w:val="0"/>
              <w:pageBreakBefore w:val="0"/>
              <w:widowControl w:val="0"/>
              <w:kinsoku/>
              <w:wordWrap/>
              <w:overflowPunct/>
              <w:topLinePunct w:val="0"/>
              <w:autoSpaceDE/>
              <w:autoSpaceDN/>
              <w:bidi w:val="0"/>
              <w:adjustRightInd w:val="0"/>
              <w:snapToGrid/>
              <w:spacing w:line="360" w:lineRule="auto"/>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符合第二章第</w:t>
            </w:r>
            <w:r>
              <w:rPr>
                <w:rFonts w:hint="eastAsia" w:ascii="宋体" w:hAnsi="宋体" w:eastAsia="宋体" w:cs="宋体"/>
                <w:color w:val="auto"/>
                <w:sz w:val="24"/>
                <w:szCs w:val="24"/>
                <w:highlight w:val="none"/>
                <w:lang w:val="en-US" w:eastAsia="en-US"/>
              </w:rPr>
              <w:t xml:space="preserve">1. 10. </w:t>
            </w:r>
            <w:r>
              <w:rPr>
                <w:rFonts w:hint="eastAsia" w:ascii="宋体" w:hAnsi="宋体" w:eastAsia="宋体" w:cs="宋体"/>
                <w:color w:val="auto"/>
                <w:sz w:val="24"/>
                <w:szCs w:val="24"/>
                <w:highlight w:val="none"/>
              </w:rPr>
              <w:t>1项规定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1096" w:hRule="exact"/>
          <w:jc w:val="center"/>
        </w:trPr>
        <w:tc>
          <w:tcPr>
            <w:tcW w:w="914" w:type="dxa"/>
            <w:vMerge w:val="continue"/>
            <w:shd w:val="clear" w:color="auto" w:fill="FFFFFF"/>
            <w:vAlign w:val="center"/>
          </w:tcPr>
          <w:p>
            <w:pPr>
              <w:pStyle w:val="31"/>
              <w:keepNext w:val="0"/>
              <w:keepLines w:val="0"/>
              <w:pageBreakBefore w:val="0"/>
              <w:widowControl w:val="0"/>
              <w:kinsoku/>
              <w:wordWrap/>
              <w:overflowPunct/>
              <w:topLinePunct w:val="0"/>
              <w:autoSpaceDE/>
              <w:autoSpaceDN/>
              <w:bidi w:val="0"/>
              <w:adjustRightInd w:val="0"/>
              <w:snapToGrid/>
              <w:spacing w:line="360" w:lineRule="auto"/>
              <w:textAlignment w:val="auto"/>
              <w:rPr>
                <w:rFonts w:hint="eastAsia" w:ascii="宋体" w:hAnsi="宋体" w:eastAsia="宋体" w:cs="宋体"/>
                <w:color w:val="auto"/>
                <w:sz w:val="24"/>
                <w:szCs w:val="24"/>
                <w:highlight w:val="none"/>
              </w:rPr>
            </w:pPr>
          </w:p>
        </w:tc>
        <w:tc>
          <w:tcPr>
            <w:tcW w:w="1306" w:type="dxa"/>
            <w:vMerge w:val="continue"/>
            <w:shd w:val="clear" w:color="auto" w:fill="FFFFFF"/>
            <w:vAlign w:val="center"/>
          </w:tcPr>
          <w:p>
            <w:pPr>
              <w:pStyle w:val="31"/>
              <w:keepNext w:val="0"/>
              <w:keepLines w:val="0"/>
              <w:pageBreakBefore w:val="0"/>
              <w:widowControl w:val="0"/>
              <w:kinsoku/>
              <w:wordWrap/>
              <w:overflowPunct/>
              <w:topLinePunct w:val="0"/>
              <w:autoSpaceDE/>
              <w:autoSpaceDN/>
              <w:bidi w:val="0"/>
              <w:adjustRightInd w:val="0"/>
              <w:snapToGrid/>
              <w:spacing w:line="360" w:lineRule="auto"/>
              <w:textAlignment w:val="auto"/>
              <w:rPr>
                <w:rFonts w:hint="eastAsia" w:ascii="宋体" w:hAnsi="宋体" w:eastAsia="宋体" w:cs="宋体"/>
                <w:color w:val="auto"/>
                <w:sz w:val="24"/>
                <w:szCs w:val="24"/>
                <w:highlight w:val="none"/>
              </w:rPr>
            </w:pPr>
          </w:p>
        </w:tc>
        <w:tc>
          <w:tcPr>
            <w:tcW w:w="1704" w:type="dxa"/>
            <w:shd w:val="clear" w:color="auto" w:fill="FFFFFF"/>
            <w:vAlign w:val="center"/>
          </w:tcPr>
          <w:p>
            <w:pPr>
              <w:pStyle w:val="31"/>
              <w:keepNext w:val="0"/>
              <w:keepLines w:val="0"/>
              <w:pageBreakBefore w:val="0"/>
              <w:widowControl w:val="0"/>
              <w:kinsoku/>
              <w:wordWrap/>
              <w:overflowPunct/>
              <w:topLinePunct w:val="0"/>
              <w:autoSpaceDE/>
              <w:autoSpaceDN/>
              <w:bidi w:val="0"/>
              <w:adjustRightInd w:val="0"/>
              <w:snapToGrid/>
              <w:spacing w:line="360" w:lineRule="auto"/>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对非关键条款的偏差</w:t>
            </w:r>
          </w:p>
        </w:tc>
        <w:tc>
          <w:tcPr>
            <w:tcW w:w="6668" w:type="dxa"/>
            <w:shd w:val="clear" w:color="auto" w:fill="FFFFFF"/>
            <w:vAlign w:val="center"/>
          </w:tcPr>
          <w:p>
            <w:pPr>
              <w:pStyle w:val="31"/>
              <w:keepNext w:val="0"/>
              <w:keepLines w:val="0"/>
              <w:pageBreakBefore w:val="0"/>
              <w:widowControl w:val="0"/>
              <w:kinsoku/>
              <w:wordWrap/>
              <w:overflowPunct/>
              <w:topLinePunct w:val="0"/>
              <w:autoSpaceDE/>
              <w:autoSpaceDN/>
              <w:bidi w:val="0"/>
              <w:adjustRightInd w:val="0"/>
              <w:snapToGrid/>
              <w:spacing w:line="360" w:lineRule="auto"/>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偏差范围和偏差项数符合第二章第</w:t>
            </w:r>
            <w:r>
              <w:rPr>
                <w:rFonts w:hint="eastAsia" w:ascii="宋体" w:hAnsi="宋体" w:eastAsia="宋体" w:cs="宋体"/>
                <w:color w:val="auto"/>
                <w:sz w:val="24"/>
                <w:szCs w:val="24"/>
                <w:highlight w:val="none"/>
                <w:lang w:val="en-US" w:eastAsia="zh-CN"/>
              </w:rPr>
              <w:t>1.10.2</w:t>
            </w:r>
            <w:r>
              <w:rPr>
                <w:rFonts w:hint="eastAsia" w:ascii="宋体" w:hAnsi="宋体" w:eastAsia="宋体" w:cs="宋体"/>
                <w:color w:val="auto"/>
                <w:sz w:val="24"/>
                <w:szCs w:val="24"/>
                <w:highlight w:val="none"/>
              </w:rPr>
              <w:t>项的规定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512" w:hRule="exact"/>
          <w:jc w:val="center"/>
        </w:trPr>
        <w:tc>
          <w:tcPr>
            <w:tcW w:w="914" w:type="dxa"/>
            <w:vMerge w:val="continue"/>
            <w:shd w:val="clear" w:color="auto" w:fill="FFFFFF"/>
            <w:vAlign w:val="center"/>
          </w:tcPr>
          <w:p>
            <w:pPr>
              <w:pStyle w:val="31"/>
              <w:keepNext w:val="0"/>
              <w:keepLines w:val="0"/>
              <w:pageBreakBefore w:val="0"/>
              <w:widowControl w:val="0"/>
              <w:kinsoku/>
              <w:wordWrap/>
              <w:overflowPunct/>
              <w:topLinePunct w:val="0"/>
              <w:autoSpaceDE/>
              <w:autoSpaceDN/>
              <w:bidi w:val="0"/>
              <w:adjustRightInd w:val="0"/>
              <w:snapToGrid/>
              <w:spacing w:line="360" w:lineRule="auto"/>
              <w:textAlignment w:val="auto"/>
              <w:rPr>
                <w:rFonts w:hint="eastAsia" w:ascii="宋体" w:hAnsi="宋体" w:eastAsia="宋体" w:cs="宋体"/>
                <w:color w:val="auto"/>
                <w:sz w:val="24"/>
                <w:szCs w:val="24"/>
                <w:highlight w:val="none"/>
              </w:rPr>
            </w:pPr>
          </w:p>
        </w:tc>
        <w:tc>
          <w:tcPr>
            <w:tcW w:w="1306" w:type="dxa"/>
            <w:vMerge w:val="continue"/>
            <w:shd w:val="clear" w:color="auto" w:fill="FFFFFF"/>
            <w:vAlign w:val="center"/>
          </w:tcPr>
          <w:p>
            <w:pPr>
              <w:pStyle w:val="31"/>
              <w:keepNext w:val="0"/>
              <w:keepLines w:val="0"/>
              <w:pageBreakBefore w:val="0"/>
              <w:widowControl w:val="0"/>
              <w:kinsoku/>
              <w:wordWrap/>
              <w:overflowPunct/>
              <w:topLinePunct w:val="0"/>
              <w:autoSpaceDE/>
              <w:autoSpaceDN/>
              <w:bidi w:val="0"/>
              <w:adjustRightInd w:val="0"/>
              <w:snapToGrid/>
              <w:spacing w:line="360" w:lineRule="auto"/>
              <w:textAlignment w:val="auto"/>
              <w:rPr>
                <w:rFonts w:hint="eastAsia" w:ascii="宋体" w:hAnsi="宋体" w:eastAsia="宋体" w:cs="宋体"/>
                <w:color w:val="auto"/>
                <w:sz w:val="24"/>
                <w:szCs w:val="24"/>
                <w:highlight w:val="none"/>
              </w:rPr>
            </w:pPr>
          </w:p>
        </w:tc>
        <w:tc>
          <w:tcPr>
            <w:tcW w:w="1704" w:type="dxa"/>
            <w:shd w:val="clear" w:color="auto" w:fill="FFFFFF"/>
            <w:vAlign w:val="center"/>
          </w:tcPr>
          <w:p>
            <w:pPr>
              <w:pStyle w:val="31"/>
              <w:keepNext w:val="0"/>
              <w:keepLines w:val="0"/>
              <w:pageBreakBefore w:val="0"/>
              <w:widowControl w:val="0"/>
              <w:kinsoku/>
              <w:wordWrap/>
              <w:overflowPunct/>
              <w:topLinePunct w:val="0"/>
              <w:autoSpaceDE/>
              <w:autoSpaceDN/>
              <w:bidi w:val="0"/>
              <w:adjustRightInd w:val="0"/>
              <w:snapToGrid/>
              <w:spacing w:line="360" w:lineRule="auto"/>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w:t>
            </w:r>
          </w:p>
        </w:tc>
        <w:tc>
          <w:tcPr>
            <w:tcW w:w="6668" w:type="dxa"/>
            <w:shd w:val="clear" w:color="auto" w:fill="FFFFFF"/>
            <w:vAlign w:val="center"/>
          </w:tcPr>
          <w:p>
            <w:pPr>
              <w:pStyle w:val="31"/>
              <w:keepNext w:val="0"/>
              <w:keepLines w:val="0"/>
              <w:pageBreakBefore w:val="0"/>
              <w:widowControl w:val="0"/>
              <w:kinsoku/>
              <w:wordWrap/>
              <w:overflowPunct/>
              <w:topLinePunct w:val="0"/>
              <w:autoSpaceDE/>
              <w:autoSpaceDN/>
              <w:bidi w:val="0"/>
              <w:adjustRightInd w:val="0"/>
              <w:snapToGrid/>
              <w:spacing w:line="360" w:lineRule="auto"/>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451" w:hRule="exact"/>
          <w:jc w:val="center"/>
        </w:trPr>
        <w:tc>
          <w:tcPr>
            <w:tcW w:w="2220" w:type="dxa"/>
            <w:gridSpan w:val="2"/>
            <w:shd w:val="clear" w:color="auto" w:fill="FFFFFF"/>
            <w:vAlign w:val="center"/>
          </w:tcPr>
          <w:p>
            <w:pPr>
              <w:pStyle w:val="31"/>
              <w:keepNext w:val="0"/>
              <w:keepLines w:val="0"/>
              <w:pageBreakBefore w:val="0"/>
              <w:widowControl w:val="0"/>
              <w:kinsoku/>
              <w:wordWrap/>
              <w:overflowPunct/>
              <w:topLinePunct w:val="0"/>
              <w:autoSpaceDE/>
              <w:autoSpaceDN/>
              <w:bidi w:val="0"/>
              <w:adjustRightInd w:val="0"/>
              <w:snapToGrid/>
              <w:spacing w:line="360" w:lineRule="auto"/>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en-US"/>
              </w:rPr>
              <w:t xml:space="preserve">3. 1. </w:t>
            </w:r>
            <w:r>
              <w:rPr>
                <w:rFonts w:hint="eastAsia" w:ascii="宋体" w:hAnsi="宋体" w:eastAsia="宋体" w:cs="宋体"/>
                <w:color w:val="auto"/>
                <w:sz w:val="24"/>
                <w:szCs w:val="24"/>
                <w:highlight w:val="none"/>
              </w:rPr>
              <w:t>1</w:t>
            </w:r>
          </w:p>
        </w:tc>
        <w:tc>
          <w:tcPr>
            <w:tcW w:w="1704" w:type="dxa"/>
            <w:shd w:val="clear" w:color="auto" w:fill="FFFFFF"/>
            <w:vAlign w:val="center"/>
          </w:tcPr>
          <w:p>
            <w:pPr>
              <w:pStyle w:val="31"/>
              <w:keepNext w:val="0"/>
              <w:keepLines w:val="0"/>
              <w:pageBreakBefore w:val="0"/>
              <w:widowControl w:val="0"/>
              <w:kinsoku/>
              <w:wordWrap/>
              <w:overflowPunct/>
              <w:topLinePunct w:val="0"/>
              <w:autoSpaceDE/>
              <w:autoSpaceDN/>
              <w:bidi w:val="0"/>
              <w:adjustRightInd w:val="0"/>
              <w:snapToGrid/>
              <w:spacing w:line="360" w:lineRule="auto"/>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评审价格</w:t>
            </w:r>
          </w:p>
        </w:tc>
        <w:tc>
          <w:tcPr>
            <w:tcW w:w="6668" w:type="dxa"/>
            <w:shd w:val="clear" w:color="auto" w:fill="FFFFFF"/>
            <w:vAlign w:val="center"/>
          </w:tcPr>
          <w:p>
            <w:pPr>
              <w:pStyle w:val="31"/>
              <w:keepNext w:val="0"/>
              <w:keepLines w:val="0"/>
              <w:pageBreakBefore w:val="0"/>
              <w:widowControl w:val="0"/>
              <w:kinsoku/>
              <w:wordWrap/>
              <w:overflowPunct/>
              <w:topLinePunct w:val="0"/>
              <w:autoSpaceDE/>
              <w:autoSpaceDN/>
              <w:bidi w:val="0"/>
              <w:adjustRightInd w:val="0"/>
              <w:snapToGrid/>
              <w:spacing w:line="360" w:lineRule="auto"/>
              <w:textAlignment w:val="auto"/>
              <w:rPr>
                <w:rFonts w:hint="eastAsia" w:ascii="宋体" w:hAnsi="宋体" w:eastAsia="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391" w:hRule="exact"/>
          <w:jc w:val="center"/>
        </w:trPr>
        <w:tc>
          <w:tcPr>
            <w:tcW w:w="2220" w:type="dxa"/>
            <w:gridSpan w:val="2"/>
            <w:shd w:val="clear" w:color="auto" w:fill="FFFFFF"/>
            <w:vAlign w:val="center"/>
          </w:tcPr>
          <w:p>
            <w:pPr>
              <w:pStyle w:val="31"/>
              <w:keepNext w:val="0"/>
              <w:keepLines w:val="0"/>
              <w:pageBreakBefore w:val="0"/>
              <w:widowControl w:val="0"/>
              <w:kinsoku/>
              <w:wordWrap/>
              <w:overflowPunct/>
              <w:topLinePunct w:val="0"/>
              <w:autoSpaceDE/>
              <w:autoSpaceDN/>
              <w:bidi w:val="0"/>
              <w:adjustRightInd w:val="0"/>
              <w:snapToGrid/>
              <w:spacing w:line="360" w:lineRule="auto"/>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条款号</w:t>
            </w:r>
          </w:p>
        </w:tc>
        <w:tc>
          <w:tcPr>
            <w:tcW w:w="1704" w:type="dxa"/>
            <w:shd w:val="clear" w:color="auto" w:fill="FFFFFF"/>
            <w:vAlign w:val="center"/>
          </w:tcPr>
          <w:p>
            <w:pPr>
              <w:pStyle w:val="31"/>
              <w:keepNext w:val="0"/>
              <w:keepLines w:val="0"/>
              <w:pageBreakBefore w:val="0"/>
              <w:widowControl w:val="0"/>
              <w:kinsoku/>
              <w:wordWrap/>
              <w:overflowPunct/>
              <w:topLinePunct w:val="0"/>
              <w:autoSpaceDE/>
              <w:autoSpaceDN/>
              <w:bidi w:val="0"/>
              <w:adjustRightInd w:val="0"/>
              <w:snapToGrid/>
              <w:spacing w:line="360" w:lineRule="auto"/>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条款内容</w:t>
            </w:r>
          </w:p>
        </w:tc>
        <w:tc>
          <w:tcPr>
            <w:tcW w:w="6668" w:type="dxa"/>
            <w:shd w:val="clear" w:color="auto" w:fill="FFFFFF"/>
            <w:vAlign w:val="center"/>
          </w:tcPr>
          <w:p>
            <w:pPr>
              <w:pStyle w:val="31"/>
              <w:keepNext w:val="0"/>
              <w:keepLines w:val="0"/>
              <w:pageBreakBefore w:val="0"/>
              <w:widowControl w:val="0"/>
              <w:kinsoku/>
              <w:wordWrap/>
              <w:overflowPunct/>
              <w:topLinePunct w:val="0"/>
              <w:autoSpaceDE/>
              <w:autoSpaceDN/>
              <w:bidi w:val="0"/>
              <w:adjustRightInd w:val="0"/>
              <w:snapToGrid/>
              <w:spacing w:line="360" w:lineRule="auto"/>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编</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列</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内</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391" w:hRule="exact"/>
          <w:jc w:val="center"/>
        </w:trPr>
        <w:tc>
          <w:tcPr>
            <w:tcW w:w="10592" w:type="dxa"/>
            <w:gridSpan w:val="4"/>
            <w:shd w:val="clear" w:color="auto" w:fill="FFFFFF"/>
            <w:vAlign w:val="center"/>
          </w:tcPr>
          <w:p>
            <w:pPr>
              <w:pStyle w:val="31"/>
              <w:keepNext w:val="0"/>
              <w:keepLines w:val="0"/>
              <w:pageBreakBefore w:val="0"/>
              <w:widowControl w:val="0"/>
              <w:kinsoku/>
              <w:wordWrap/>
              <w:overflowPunct/>
              <w:topLinePunct w:val="0"/>
              <w:autoSpaceDE/>
              <w:autoSpaceDN/>
              <w:bidi w:val="0"/>
              <w:adjustRightInd w:val="0"/>
              <w:snapToGrid/>
              <w:spacing w:line="360" w:lineRule="auto"/>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3 详细评审标准和程序</w:t>
            </w:r>
            <w:r>
              <w:rPr>
                <w:rFonts w:hint="eastAsia" w:ascii="宋体" w:hAnsi="宋体" w:eastAsia="宋体" w:cs="宋体"/>
                <w:color w:val="auto"/>
                <w:sz w:val="24"/>
                <w:szCs w:val="24"/>
                <w:highlight w:val="none"/>
              </w:rPr>
              <w:t>(最低价法)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4051" w:hRule="exact"/>
          <w:jc w:val="center"/>
        </w:trPr>
        <w:tc>
          <w:tcPr>
            <w:tcW w:w="2220" w:type="dxa"/>
            <w:gridSpan w:val="2"/>
            <w:shd w:val="clear" w:color="auto" w:fill="FFFFFF"/>
            <w:vAlign w:val="center"/>
          </w:tcPr>
          <w:p>
            <w:pPr>
              <w:pStyle w:val="31"/>
              <w:keepNext w:val="0"/>
              <w:keepLines w:val="0"/>
              <w:pageBreakBefore w:val="0"/>
              <w:widowControl w:val="0"/>
              <w:kinsoku/>
              <w:wordWrap/>
              <w:overflowPunct/>
              <w:topLinePunct w:val="0"/>
              <w:autoSpaceDE/>
              <w:autoSpaceDN/>
              <w:bidi w:val="0"/>
              <w:adjustRightInd w:val="0"/>
              <w:snapToGrid/>
              <w:spacing w:line="360" w:lineRule="auto"/>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en-US"/>
              </w:rPr>
              <w:t>3</w:t>
            </w:r>
          </w:p>
        </w:tc>
        <w:tc>
          <w:tcPr>
            <w:tcW w:w="1704" w:type="dxa"/>
            <w:shd w:val="clear" w:color="auto" w:fill="FFFFFF"/>
            <w:vAlign w:val="center"/>
          </w:tcPr>
          <w:p>
            <w:pPr>
              <w:pStyle w:val="31"/>
              <w:keepNext w:val="0"/>
              <w:keepLines w:val="0"/>
              <w:pageBreakBefore w:val="0"/>
              <w:widowControl w:val="0"/>
              <w:kinsoku/>
              <w:wordWrap/>
              <w:overflowPunct/>
              <w:topLinePunct w:val="0"/>
              <w:autoSpaceDE/>
              <w:autoSpaceDN/>
              <w:bidi w:val="0"/>
              <w:adjustRightInd w:val="0"/>
              <w:snapToGrid/>
              <w:spacing w:line="360" w:lineRule="auto"/>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询比响应人</w:t>
            </w:r>
            <w:r>
              <w:rPr>
                <w:rFonts w:hint="eastAsia" w:ascii="宋体" w:hAnsi="宋体" w:eastAsia="宋体" w:cs="宋体"/>
                <w:color w:val="auto"/>
                <w:sz w:val="24"/>
                <w:szCs w:val="24"/>
                <w:highlight w:val="none"/>
              </w:rPr>
              <w:t xml:space="preserve">并列时确定 </w:t>
            </w:r>
          </w:p>
          <w:p>
            <w:pPr>
              <w:pStyle w:val="31"/>
              <w:keepNext w:val="0"/>
              <w:keepLines w:val="0"/>
              <w:pageBreakBefore w:val="0"/>
              <w:widowControl w:val="0"/>
              <w:kinsoku/>
              <w:wordWrap/>
              <w:overflowPunct/>
              <w:topLinePunct w:val="0"/>
              <w:autoSpaceDE/>
              <w:autoSpaceDN/>
              <w:bidi w:val="0"/>
              <w:adjustRightInd w:val="0"/>
              <w:snapToGrid/>
              <w:spacing w:line="360" w:lineRule="auto"/>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询比响应人</w:t>
            </w:r>
            <w:r>
              <w:rPr>
                <w:rFonts w:hint="eastAsia" w:ascii="宋体" w:hAnsi="宋体" w:eastAsia="宋体" w:cs="宋体"/>
                <w:color w:val="auto"/>
                <w:sz w:val="24"/>
                <w:szCs w:val="24"/>
                <w:highlight w:val="none"/>
              </w:rPr>
              <w:t>优先顺序</w:t>
            </w:r>
          </w:p>
          <w:p>
            <w:pPr>
              <w:pStyle w:val="31"/>
              <w:keepNext w:val="0"/>
              <w:keepLines w:val="0"/>
              <w:pageBreakBefore w:val="0"/>
              <w:widowControl w:val="0"/>
              <w:kinsoku/>
              <w:wordWrap/>
              <w:overflowPunct/>
              <w:topLinePunct w:val="0"/>
              <w:autoSpaceDE/>
              <w:autoSpaceDN/>
              <w:bidi w:val="0"/>
              <w:adjustRightInd w:val="0"/>
              <w:snapToGrid/>
              <w:spacing w:line="360" w:lineRule="auto"/>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的规则</w:t>
            </w:r>
          </w:p>
        </w:tc>
        <w:tc>
          <w:tcPr>
            <w:tcW w:w="6668" w:type="dxa"/>
            <w:shd w:val="clear" w:color="auto" w:fill="FFFFFF"/>
            <w:vAlign w:val="center"/>
          </w:tcPr>
          <w:p>
            <w:pPr>
              <w:pStyle w:val="31"/>
              <w:keepNext w:val="0"/>
              <w:keepLines w:val="0"/>
              <w:pageBreakBefore w:val="0"/>
              <w:widowControl w:val="0"/>
              <w:kinsoku/>
              <w:wordWrap/>
              <w:overflowPunct/>
              <w:topLinePunct w:val="0"/>
              <w:autoSpaceDE/>
              <w:autoSpaceDN/>
              <w:bidi w:val="0"/>
              <w:adjustRightInd w:val="0"/>
              <w:snapToGrid/>
              <w:spacing w:line="360" w:lineRule="auto"/>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□由</w:t>
            </w:r>
            <w:r>
              <w:rPr>
                <w:rFonts w:hint="eastAsia" w:ascii="宋体" w:hAnsi="宋体" w:eastAsia="宋体" w:cs="宋体"/>
                <w:color w:val="auto"/>
                <w:sz w:val="24"/>
                <w:szCs w:val="24"/>
                <w:highlight w:val="none"/>
                <w:lang w:val="en-US" w:eastAsia="zh-CN"/>
              </w:rPr>
              <w:t>评审</w:t>
            </w:r>
            <w:r>
              <w:rPr>
                <w:rFonts w:hint="eastAsia" w:ascii="宋体" w:hAnsi="宋体" w:eastAsia="宋体" w:cs="宋体"/>
                <w:color w:val="auto"/>
                <w:sz w:val="24"/>
                <w:szCs w:val="24"/>
                <w:highlight w:val="none"/>
              </w:rPr>
              <w:t>小组投票决定</w:t>
            </w:r>
          </w:p>
          <w:p>
            <w:pPr>
              <w:pStyle w:val="31"/>
              <w:keepNext w:val="0"/>
              <w:keepLines w:val="0"/>
              <w:pageBreakBefore w:val="0"/>
              <w:widowControl w:val="0"/>
              <w:kinsoku/>
              <w:wordWrap/>
              <w:overflowPunct/>
              <w:topLinePunct w:val="0"/>
              <w:autoSpaceDE/>
              <w:autoSpaceDN/>
              <w:bidi w:val="0"/>
              <w:adjustRightInd w:val="0"/>
              <w:snapToGrid/>
              <w:spacing w:line="360" w:lineRule="auto"/>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□由</w:t>
            </w:r>
            <w:r>
              <w:rPr>
                <w:rFonts w:hint="eastAsia" w:ascii="宋体" w:hAnsi="宋体" w:eastAsia="宋体" w:cs="宋体"/>
                <w:color w:val="auto"/>
                <w:sz w:val="24"/>
                <w:szCs w:val="24"/>
                <w:highlight w:val="none"/>
                <w:lang w:val="en-US" w:eastAsia="zh-CN"/>
              </w:rPr>
              <w:t>评审</w:t>
            </w:r>
            <w:r>
              <w:rPr>
                <w:rFonts w:hint="eastAsia" w:ascii="宋体" w:hAnsi="宋体" w:eastAsia="宋体" w:cs="宋体"/>
                <w:color w:val="auto"/>
                <w:sz w:val="24"/>
                <w:szCs w:val="24"/>
                <w:highlight w:val="none"/>
              </w:rPr>
              <w:t>小组抽签决定</w:t>
            </w:r>
          </w:p>
          <w:p>
            <w:pPr>
              <w:pStyle w:val="31"/>
              <w:keepNext w:val="0"/>
              <w:keepLines w:val="0"/>
              <w:pageBreakBefore w:val="0"/>
              <w:widowControl w:val="0"/>
              <w:kinsoku/>
              <w:wordWrap/>
              <w:overflowPunct/>
              <w:topLinePunct w:val="0"/>
              <w:autoSpaceDE/>
              <w:autoSpaceDN/>
              <w:bidi w:val="0"/>
              <w:adjustRightInd w:val="0"/>
              <w:snapToGrid/>
              <w:spacing w:line="360" w:lineRule="auto"/>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sym w:font="Wingdings 2" w:char="0052"/>
            </w:r>
            <w:r>
              <w:rPr>
                <w:rFonts w:hint="eastAsia" w:ascii="宋体" w:hAnsi="宋体" w:eastAsia="宋体" w:cs="宋体"/>
                <w:color w:val="auto"/>
                <w:sz w:val="24"/>
                <w:szCs w:val="24"/>
                <w:highlight w:val="none"/>
              </w:rPr>
              <w:t>其他方法：</w:t>
            </w:r>
            <w:r>
              <w:rPr>
                <w:rFonts w:hint="eastAsia" w:ascii="宋体" w:hAnsi="宋体" w:eastAsia="宋体" w:cs="宋体"/>
                <w:color w:val="auto"/>
                <w:sz w:val="24"/>
                <w:szCs w:val="24"/>
                <w:highlight w:val="none"/>
                <w:lang w:eastAsia="zh-CN"/>
              </w:rPr>
              <w:t>评审小组对投标人进行排序时,如果出现投标人最终得分相同地情况,以评分因素中针对项目经理地得分高低排定名次,项目经理地得分也相同时,以评分因素中针对类似项目业绩地得分高低排定名次.企业业绩地得分也相同时，采取抽签</w:t>
            </w:r>
            <w:r>
              <w:rPr>
                <w:rFonts w:hint="eastAsia" w:ascii="宋体" w:hAnsi="宋体" w:eastAsia="宋体" w:cs="宋体"/>
                <w:color w:val="auto"/>
                <w:sz w:val="24"/>
                <w:szCs w:val="24"/>
                <w:highlight w:val="none"/>
              </w:rPr>
              <w:t>决定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491" w:hRule="exact"/>
          <w:jc w:val="center"/>
        </w:trPr>
        <w:tc>
          <w:tcPr>
            <w:tcW w:w="10592" w:type="dxa"/>
            <w:gridSpan w:val="4"/>
            <w:shd w:val="clear" w:color="auto" w:fill="FFFFFF"/>
            <w:vAlign w:val="center"/>
          </w:tcPr>
          <w:p>
            <w:pPr>
              <w:pStyle w:val="31"/>
              <w:keepNext w:val="0"/>
              <w:keepLines w:val="0"/>
              <w:pageBreakBefore w:val="0"/>
              <w:widowControl w:val="0"/>
              <w:kinsoku/>
              <w:wordWrap/>
              <w:overflowPunct/>
              <w:topLinePunct w:val="0"/>
              <w:autoSpaceDE/>
              <w:autoSpaceDN/>
              <w:bidi w:val="0"/>
              <w:adjustRightInd w:val="0"/>
              <w:snapToGrid/>
              <w:spacing w:line="360" w:lineRule="auto"/>
              <w:ind w:firstLine="241" w:firstLineChars="100"/>
              <w:jc w:val="center"/>
              <w:textAlignment w:val="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lang w:val="en-US" w:eastAsia="zh-CN"/>
              </w:rPr>
              <w:t>3 详细评审标准和程序</w:t>
            </w:r>
            <w:r>
              <w:rPr>
                <w:rFonts w:hint="eastAsia" w:ascii="宋体" w:hAnsi="宋体" w:eastAsia="宋体" w:cs="宋体"/>
                <w:b/>
                <w:bCs/>
                <w:color w:val="auto"/>
                <w:sz w:val="24"/>
                <w:szCs w:val="24"/>
                <w:highlight w:val="none"/>
              </w:rPr>
              <w:t>(综合评分法)</w:t>
            </w:r>
          </w:p>
        </w:tc>
      </w:tr>
    </w:tbl>
    <w:tbl>
      <w:tblPr>
        <w:tblStyle w:val="19"/>
        <w:tblpPr w:leftFromText="180" w:rightFromText="180" w:vertAnchor="text" w:horzAnchor="page" w:tblpXSpec="center" w:tblpY="155"/>
        <w:tblOverlap w:val="never"/>
        <w:tblW w:w="10592" w:type="dxa"/>
        <w:jc w:val="center"/>
        <w:tblLayout w:type="fixed"/>
        <w:tblCellMar>
          <w:top w:w="0" w:type="dxa"/>
          <w:left w:w="10" w:type="dxa"/>
          <w:bottom w:w="0" w:type="dxa"/>
          <w:right w:w="10" w:type="dxa"/>
        </w:tblCellMar>
      </w:tblPr>
      <w:tblGrid>
        <w:gridCol w:w="914"/>
        <w:gridCol w:w="196"/>
        <w:gridCol w:w="1110"/>
        <w:gridCol w:w="1704"/>
        <w:gridCol w:w="6668"/>
      </w:tblGrid>
      <w:tr>
        <w:tblPrEx>
          <w:tblCellMar>
            <w:top w:w="0" w:type="dxa"/>
            <w:left w:w="10" w:type="dxa"/>
            <w:bottom w:w="0" w:type="dxa"/>
            <w:right w:w="10" w:type="dxa"/>
          </w:tblCellMar>
        </w:tblPrEx>
        <w:trPr>
          <w:trHeight w:val="2337" w:hRule="exact"/>
          <w:jc w:val="center"/>
        </w:trPr>
        <w:tc>
          <w:tcPr>
            <w:tcW w:w="2220" w:type="dxa"/>
            <w:gridSpan w:val="3"/>
            <w:tcBorders>
              <w:top w:val="single" w:color="auto" w:sz="4" w:space="0"/>
              <w:left w:val="single" w:color="auto" w:sz="4" w:space="0"/>
            </w:tcBorders>
            <w:shd w:val="clear" w:color="auto" w:fill="FFFFFF"/>
            <w:vAlign w:val="center"/>
          </w:tcPr>
          <w:p>
            <w:pPr>
              <w:pStyle w:val="31"/>
              <w:adjustRightInd w:val="0"/>
              <w:spacing w:line="360" w:lineRule="auto"/>
              <w:jc w:val="center"/>
              <w:rPr>
                <w:color w:val="000000"/>
                <w:sz w:val="24"/>
              </w:rPr>
            </w:pPr>
            <w:bookmarkStart w:id="144" w:name="bookmark460"/>
            <w:bookmarkStart w:id="145" w:name="_Toc21912"/>
            <w:bookmarkStart w:id="146" w:name="bookmark462"/>
            <w:bookmarkStart w:id="147" w:name="bookmark461"/>
            <w:bookmarkStart w:id="148" w:name="_Toc14126"/>
            <w:r>
              <w:rPr>
                <w:rFonts w:hint="eastAsia"/>
                <w:color w:val="000000"/>
                <w:sz w:val="24"/>
                <w:lang w:val="en-US" w:eastAsia="en-US"/>
              </w:rPr>
              <w:t>3.</w:t>
            </w:r>
            <w:r>
              <w:rPr>
                <w:rFonts w:hint="eastAsia"/>
                <w:color w:val="000000"/>
                <w:sz w:val="24"/>
              </w:rPr>
              <w:t>1</w:t>
            </w:r>
          </w:p>
        </w:tc>
        <w:tc>
          <w:tcPr>
            <w:tcW w:w="1704" w:type="dxa"/>
            <w:tcBorders>
              <w:top w:val="single" w:color="auto" w:sz="4" w:space="0"/>
              <w:left w:val="single" w:color="auto" w:sz="4" w:space="0"/>
            </w:tcBorders>
            <w:shd w:val="clear" w:color="auto" w:fill="FFFFFF"/>
            <w:vAlign w:val="center"/>
          </w:tcPr>
          <w:p>
            <w:pPr>
              <w:pStyle w:val="31"/>
              <w:adjustRightInd w:val="0"/>
              <w:spacing w:line="360" w:lineRule="auto"/>
              <w:rPr>
                <w:color w:val="000000"/>
                <w:sz w:val="24"/>
              </w:rPr>
            </w:pPr>
            <w:r>
              <w:rPr>
                <w:rFonts w:hint="eastAsia"/>
                <w:color w:val="000000"/>
                <w:sz w:val="24"/>
              </w:rPr>
              <w:t xml:space="preserve">分值构成 </w:t>
            </w:r>
          </w:p>
          <w:p>
            <w:pPr>
              <w:pStyle w:val="31"/>
              <w:adjustRightInd w:val="0"/>
              <w:spacing w:line="360" w:lineRule="auto"/>
              <w:rPr>
                <w:color w:val="000000"/>
                <w:sz w:val="24"/>
              </w:rPr>
            </w:pPr>
            <w:r>
              <w:rPr>
                <w:rFonts w:hint="eastAsia"/>
                <w:color w:val="000000"/>
                <w:sz w:val="24"/>
              </w:rPr>
              <w:t>(总分100分)</w:t>
            </w:r>
          </w:p>
        </w:tc>
        <w:tc>
          <w:tcPr>
            <w:tcW w:w="6668" w:type="dxa"/>
            <w:tcBorders>
              <w:top w:val="single" w:color="auto" w:sz="4" w:space="0"/>
              <w:left w:val="single" w:color="auto" w:sz="4" w:space="0"/>
              <w:right w:val="single" w:color="auto" w:sz="4" w:space="0"/>
            </w:tcBorders>
            <w:shd w:val="clear" w:color="auto" w:fill="FFFFFF"/>
            <w:vAlign w:val="center"/>
          </w:tcPr>
          <w:p>
            <w:pPr>
              <w:pStyle w:val="31"/>
              <w:adjustRightInd w:val="0"/>
              <w:spacing w:line="360" w:lineRule="auto"/>
              <w:rPr>
                <w:color w:val="000000"/>
                <w:sz w:val="24"/>
              </w:rPr>
            </w:pPr>
            <w:r>
              <w:rPr>
                <w:rFonts w:hint="eastAsia"/>
                <w:sz w:val="24"/>
                <w:lang w:eastAsia="zh-CN"/>
              </w:rPr>
              <w:t>技术</w:t>
            </w:r>
            <w:r>
              <w:rPr>
                <w:rFonts w:hint="eastAsia"/>
                <w:sz w:val="24"/>
              </w:rPr>
              <w:t>评分标准</w:t>
            </w:r>
            <w:r>
              <w:rPr>
                <w:rFonts w:hint="eastAsia"/>
                <w:color w:val="000000"/>
                <w:sz w:val="24"/>
              </w:rPr>
              <w:t>：</w:t>
            </w:r>
            <w:r>
              <w:rPr>
                <w:rFonts w:hint="eastAsia"/>
                <w:color w:val="000000"/>
                <w:sz w:val="24"/>
                <w:lang w:val="en-US" w:eastAsia="zh-CN"/>
              </w:rPr>
              <w:t>55</w:t>
            </w:r>
            <w:r>
              <w:rPr>
                <w:rFonts w:hint="eastAsia"/>
                <w:color w:val="000000"/>
                <w:sz w:val="24"/>
              </w:rPr>
              <w:t>分</w:t>
            </w:r>
          </w:p>
          <w:p>
            <w:pPr>
              <w:pStyle w:val="31"/>
              <w:adjustRightInd w:val="0"/>
              <w:spacing w:line="360" w:lineRule="auto"/>
              <w:rPr>
                <w:color w:val="000000"/>
                <w:sz w:val="24"/>
              </w:rPr>
            </w:pPr>
            <w:r>
              <w:rPr>
                <w:rFonts w:hint="eastAsia"/>
                <w:sz w:val="24"/>
              </w:rPr>
              <w:t>技术</w:t>
            </w:r>
            <w:r>
              <w:rPr>
                <w:rFonts w:hint="eastAsia"/>
                <w:sz w:val="24"/>
                <w:lang w:eastAsia="zh-CN"/>
              </w:rPr>
              <w:t>实力</w:t>
            </w:r>
            <w:r>
              <w:rPr>
                <w:rFonts w:hint="eastAsia"/>
                <w:sz w:val="24"/>
              </w:rPr>
              <w:t>标准</w:t>
            </w:r>
            <w:r>
              <w:rPr>
                <w:rFonts w:hint="eastAsia"/>
                <w:color w:val="000000"/>
                <w:sz w:val="24"/>
              </w:rPr>
              <w:t>：</w:t>
            </w:r>
            <w:r>
              <w:rPr>
                <w:rFonts w:hint="eastAsia"/>
                <w:color w:val="000000"/>
                <w:sz w:val="24"/>
                <w:lang w:val="en-US" w:eastAsia="zh-CN"/>
              </w:rPr>
              <w:t>15</w:t>
            </w:r>
            <w:r>
              <w:rPr>
                <w:rFonts w:hint="eastAsia"/>
                <w:color w:val="000000"/>
                <w:sz w:val="24"/>
              </w:rPr>
              <w:t>分</w:t>
            </w:r>
          </w:p>
          <w:p>
            <w:pPr>
              <w:pStyle w:val="31"/>
              <w:adjustRightInd w:val="0"/>
              <w:spacing w:line="360" w:lineRule="auto"/>
              <w:rPr>
                <w:color w:val="000000"/>
                <w:sz w:val="24"/>
                <w:lang w:val="en-US"/>
              </w:rPr>
            </w:pPr>
            <w:r>
              <w:rPr>
                <w:rFonts w:hint="eastAsia"/>
                <w:sz w:val="24"/>
                <w:lang w:val="en-US" w:eastAsia="zh-CN"/>
              </w:rPr>
              <w:t>报价合理性：/</w:t>
            </w:r>
          </w:p>
          <w:p>
            <w:pPr>
              <w:pStyle w:val="31"/>
              <w:adjustRightInd w:val="0"/>
              <w:spacing w:line="360" w:lineRule="auto"/>
              <w:rPr>
                <w:color w:val="000000"/>
                <w:sz w:val="24"/>
              </w:rPr>
            </w:pPr>
            <w:r>
              <w:rPr>
                <w:rFonts w:hint="eastAsia"/>
                <w:color w:val="000000"/>
                <w:sz w:val="24"/>
              </w:rPr>
              <w:t>报价：</w:t>
            </w:r>
            <w:r>
              <w:rPr>
                <w:rFonts w:hint="eastAsia"/>
                <w:color w:val="000000"/>
                <w:sz w:val="24"/>
                <w:lang w:val="en-US" w:eastAsia="zh-CN"/>
              </w:rPr>
              <w:t>30</w:t>
            </w:r>
            <w:r>
              <w:rPr>
                <w:rFonts w:hint="eastAsia"/>
                <w:color w:val="000000"/>
                <w:sz w:val="24"/>
              </w:rPr>
              <w:t>分</w:t>
            </w:r>
          </w:p>
        </w:tc>
      </w:tr>
      <w:tr>
        <w:tblPrEx>
          <w:tblCellMar>
            <w:top w:w="0" w:type="dxa"/>
            <w:left w:w="10" w:type="dxa"/>
            <w:bottom w:w="0" w:type="dxa"/>
            <w:right w:w="10" w:type="dxa"/>
          </w:tblCellMar>
        </w:tblPrEx>
        <w:trPr>
          <w:trHeight w:val="4441" w:hRule="exact"/>
          <w:jc w:val="center"/>
        </w:trPr>
        <w:tc>
          <w:tcPr>
            <w:tcW w:w="2220" w:type="dxa"/>
            <w:gridSpan w:val="3"/>
            <w:tcBorders>
              <w:top w:val="single" w:color="auto" w:sz="4" w:space="0"/>
              <w:left w:val="single" w:color="auto" w:sz="4" w:space="0"/>
            </w:tcBorders>
            <w:shd w:val="clear" w:color="auto" w:fill="FFFFFF"/>
            <w:vAlign w:val="center"/>
          </w:tcPr>
          <w:p>
            <w:pPr>
              <w:pStyle w:val="31"/>
              <w:adjustRightInd w:val="0"/>
              <w:spacing w:line="360" w:lineRule="auto"/>
              <w:jc w:val="center"/>
              <w:rPr>
                <w:color w:val="000000"/>
                <w:sz w:val="24"/>
              </w:rPr>
            </w:pPr>
            <w:r>
              <w:rPr>
                <w:rFonts w:hint="eastAsia"/>
                <w:color w:val="000000"/>
                <w:sz w:val="24"/>
                <w:lang w:val="en-US" w:eastAsia="en-US"/>
              </w:rPr>
              <w:t>3.2</w:t>
            </w:r>
            <w:r>
              <w:rPr>
                <w:rFonts w:hint="eastAsia"/>
                <w:color w:val="000000"/>
                <w:sz w:val="24"/>
              </w:rPr>
              <w:t>(2)</w:t>
            </w:r>
          </w:p>
        </w:tc>
        <w:tc>
          <w:tcPr>
            <w:tcW w:w="1704" w:type="dxa"/>
            <w:tcBorders>
              <w:top w:val="single" w:color="auto" w:sz="4" w:space="0"/>
              <w:left w:val="single" w:color="auto" w:sz="4" w:space="0"/>
            </w:tcBorders>
            <w:shd w:val="clear" w:color="auto" w:fill="FFFFFF"/>
            <w:vAlign w:val="center"/>
          </w:tcPr>
          <w:p>
            <w:pPr>
              <w:pStyle w:val="31"/>
              <w:adjustRightInd w:val="0"/>
              <w:spacing w:line="360" w:lineRule="auto"/>
              <w:rPr>
                <w:color w:val="000000"/>
                <w:sz w:val="24"/>
              </w:rPr>
            </w:pPr>
            <w:r>
              <w:rPr>
                <w:rFonts w:hint="eastAsia"/>
                <w:color w:val="000000"/>
                <w:sz w:val="24"/>
              </w:rPr>
              <w:t>评审基准价计算方法</w:t>
            </w:r>
          </w:p>
        </w:tc>
        <w:tc>
          <w:tcPr>
            <w:tcW w:w="6668" w:type="dxa"/>
            <w:tcBorders>
              <w:top w:val="single" w:color="auto" w:sz="4" w:space="0"/>
              <w:left w:val="single" w:color="auto" w:sz="4" w:space="0"/>
              <w:right w:val="single" w:color="auto" w:sz="4" w:space="0"/>
            </w:tcBorders>
            <w:shd w:val="clear" w:color="auto" w:fill="FFFFFF"/>
            <w:vAlign w:val="center"/>
          </w:tcPr>
          <w:p>
            <w:pPr>
              <w:pStyle w:val="31"/>
              <w:adjustRightInd w:val="0"/>
              <w:spacing w:line="360" w:lineRule="auto"/>
              <w:rPr>
                <w:color w:val="000000"/>
                <w:sz w:val="24"/>
                <w:lang w:eastAsia="zh-CN"/>
              </w:rPr>
            </w:pPr>
            <w:r>
              <w:rPr>
                <w:rFonts w:hint="eastAsia"/>
                <w:color w:val="000000"/>
                <w:sz w:val="24"/>
              </w:rPr>
              <w:sym w:font="Wingdings 2" w:char="0052"/>
            </w:r>
            <w:r>
              <w:rPr>
                <w:rFonts w:hint="eastAsia"/>
                <w:color w:val="000000"/>
                <w:sz w:val="24"/>
              </w:rPr>
              <w:t>方法一</w:t>
            </w:r>
            <w:r>
              <w:rPr>
                <w:rFonts w:hint="eastAsia"/>
                <w:color w:val="000000"/>
                <w:sz w:val="24"/>
                <w:lang w:eastAsia="zh-CN"/>
              </w:rPr>
              <w:t>：</w:t>
            </w:r>
          </w:p>
          <w:p>
            <w:pPr>
              <w:pStyle w:val="31"/>
              <w:adjustRightInd w:val="0"/>
              <w:spacing w:line="360" w:lineRule="auto"/>
              <w:rPr>
                <w:color w:val="000000"/>
                <w:sz w:val="24"/>
                <w:lang w:eastAsia="zh-CN"/>
              </w:rPr>
            </w:pPr>
            <w:r>
              <w:rPr>
                <w:rFonts w:hint="eastAsia"/>
                <w:sz w:val="24"/>
              </w:rPr>
              <w:t>当有效投标报价多于5个（含5个）时，从所有有效报价中的同一报价内容中去掉一个最高和最低报价后，剩余报价的算术平均值为评标基准价。有效投标报价少于5个时，所有有效报价均参加算术平均值的计算。有效报价是指，投标报价低于（或等于）招标人确定的招标控制价的所有投标人的投标总价。</w:t>
            </w:r>
          </w:p>
          <w:p>
            <w:pPr>
              <w:pStyle w:val="31"/>
              <w:adjustRightInd w:val="0"/>
              <w:spacing w:line="360" w:lineRule="auto"/>
              <w:rPr>
                <w:color w:val="000000"/>
                <w:sz w:val="24"/>
                <w:lang w:val="en-US" w:eastAsia="zh-CN"/>
              </w:rPr>
            </w:pPr>
            <w:r>
              <w:rPr>
                <w:rFonts w:hint="eastAsia"/>
                <w:color w:val="000000"/>
                <w:sz w:val="24"/>
              </w:rPr>
              <w:t>□方法二：评审基准价系数=</w:t>
            </w:r>
            <w:r>
              <w:rPr>
                <w:rFonts w:hint="eastAsia"/>
                <w:color w:val="000000"/>
                <w:sz w:val="24"/>
                <w:lang w:val="en-US" w:eastAsia="zh-CN"/>
              </w:rPr>
              <w:t xml:space="preserve">     </w:t>
            </w:r>
          </w:p>
          <w:p>
            <w:pPr>
              <w:pStyle w:val="31"/>
              <w:adjustRightInd w:val="0"/>
              <w:spacing w:line="360" w:lineRule="auto"/>
              <w:rPr>
                <w:color w:val="000000"/>
                <w:sz w:val="24"/>
              </w:rPr>
            </w:pPr>
            <w:r>
              <w:rPr>
                <w:rFonts w:hint="eastAsia"/>
                <w:color w:val="000000"/>
                <w:sz w:val="24"/>
              </w:rPr>
              <w:sym w:font="Wingdings 2" w:char="00A3"/>
            </w:r>
            <w:r>
              <w:rPr>
                <w:rFonts w:hint="eastAsia"/>
                <w:color w:val="000000"/>
                <w:sz w:val="24"/>
              </w:rPr>
              <w:t>方法三</w:t>
            </w:r>
          </w:p>
          <w:p>
            <w:pPr>
              <w:pStyle w:val="31"/>
              <w:adjustRightInd w:val="0"/>
              <w:spacing w:line="360" w:lineRule="auto"/>
              <w:rPr>
                <w:color w:val="000000"/>
                <w:sz w:val="24"/>
                <w:lang w:val="en-US" w:eastAsia="zh-CN"/>
              </w:rPr>
            </w:pPr>
            <w:r>
              <w:rPr>
                <w:rFonts w:hint="eastAsia"/>
                <w:color w:val="000000"/>
                <w:sz w:val="24"/>
              </w:rPr>
              <w:t>口方法四：具体方法为</w:t>
            </w:r>
            <w:r>
              <w:rPr>
                <w:rFonts w:hint="eastAsia"/>
                <w:color w:val="000000"/>
                <w:sz w:val="24"/>
                <w:lang w:val="en-US" w:eastAsia="zh-CN"/>
              </w:rPr>
              <w:t xml:space="preserve">                           </w:t>
            </w:r>
          </w:p>
        </w:tc>
      </w:tr>
      <w:tr>
        <w:tblPrEx>
          <w:tblCellMar>
            <w:top w:w="0" w:type="dxa"/>
            <w:left w:w="10" w:type="dxa"/>
            <w:bottom w:w="0" w:type="dxa"/>
            <w:right w:w="10" w:type="dxa"/>
          </w:tblCellMar>
        </w:tblPrEx>
        <w:trPr>
          <w:trHeight w:val="2029" w:hRule="exact"/>
          <w:jc w:val="center"/>
        </w:trPr>
        <w:tc>
          <w:tcPr>
            <w:tcW w:w="2220" w:type="dxa"/>
            <w:gridSpan w:val="3"/>
            <w:tcBorders>
              <w:top w:val="single" w:color="auto" w:sz="4" w:space="0"/>
              <w:left w:val="single" w:color="auto" w:sz="4" w:space="0"/>
            </w:tcBorders>
            <w:shd w:val="clear" w:color="auto" w:fill="FFFFFF"/>
            <w:vAlign w:val="center"/>
          </w:tcPr>
          <w:p>
            <w:pPr>
              <w:pStyle w:val="31"/>
              <w:adjustRightInd w:val="0"/>
              <w:spacing w:line="360" w:lineRule="auto"/>
              <w:jc w:val="center"/>
              <w:rPr>
                <w:color w:val="000000"/>
                <w:sz w:val="24"/>
                <w:lang w:val="en-US" w:eastAsia="zh-CN"/>
              </w:rPr>
            </w:pPr>
            <w:r>
              <w:rPr>
                <w:rFonts w:hint="eastAsia"/>
                <w:color w:val="000000"/>
                <w:sz w:val="24"/>
                <w:lang w:val="en-US" w:eastAsia="zh-CN"/>
              </w:rPr>
              <w:t>3.2（3）</w:t>
            </w:r>
          </w:p>
        </w:tc>
        <w:tc>
          <w:tcPr>
            <w:tcW w:w="1704" w:type="dxa"/>
            <w:tcBorders>
              <w:top w:val="single" w:color="auto" w:sz="4" w:space="0"/>
              <w:left w:val="single" w:color="auto" w:sz="4" w:space="0"/>
            </w:tcBorders>
            <w:shd w:val="clear" w:color="auto" w:fill="FFFFFF"/>
            <w:vAlign w:val="center"/>
          </w:tcPr>
          <w:p>
            <w:pPr>
              <w:spacing w:line="360" w:lineRule="auto"/>
              <w:jc w:val="center"/>
              <w:rPr>
                <w:rFonts w:ascii="宋体" w:hAnsi="宋体" w:eastAsia="宋体" w:cs="宋体"/>
                <w:color w:val="000000"/>
                <w:sz w:val="24"/>
              </w:rPr>
            </w:pPr>
            <w:r>
              <w:rPr>
                <w:rFonts w:hint="eastAsia" w:ascii="宋体" w:hAnsi="宋体" w:eastAsia="宋体" w:cs="宋体"/>
                <w:sz w:val="24"/>
              </w:rPr>
              <w:t>投标报价的偏差率计算公式</w:t>
            </w:r>
          </w:p>
        </w:tc>
        <w:tc>
          <w:tcPr>
            <w:tcW w:w="6668" w:type="dxa"/>
            <w:tcBorders>
              <w:top w:val="single" w:color="auto" w:sz="4" w:space="0"/>
              <w:left w:val="single" w:color="auto" w:sz="4" w:space="0"/>
              <w:right w:val="single" w:color="auto" w:sz="4" w:space="0"/>
            </w:tcBorders>
            <w:shd w:val="clear" w:color="auto" w:fill="FFFFFF"/>
            <w:vAlign w:val="center"/>
          </w:tcPr>
          <w:p>
            <w:pPr>
              <w:spacing w:line="360" w:lineRule="auto"/>
              <w:rPr>
                <w:rFonts w:ascii="宋体" w:hAnsi="宋体" w:eastAsia="宋体" w:cs="宋体"/>
                <w:sz w:val="24"/>
              </w:rPr>
            </w:pPr>
            <w:r>
              <w:rPr>
                <w:rFonts w:hint="eastAsia" w:ascii="宋体" w:hAnsi="宋体" w:eastAsia="宋体" w:cs="宋体"/>
                <w:sz w:val="24"/>
              </w:rPr>
              <w:t>偏差率=100%×（投标报价-评标基准价）/评标基准价（计算结果保留小数点后两位数）；</w:t>
            </w:r>
          </w:p>
          <w:p>
            <w:pPr>
              <w:spacing w:line="360" w:lineRule="auto"/>
              <w:rPr>
                <w:rFonts w:ascii="宋体" w:hAnsi="宋体" w:eastAsia="宋体" w:cs="宋体"/>
                <w:color w:val="000000"/>
                <w:sz w:val="24"/>
              </w:rPr>
            </w:pPr>
            <w:r>
              <w:rPr>
                <w:rFonts w:hint="eastAsia" w:ascii="宋体" w:hAnsi="宋体" w:eastAsia="宋体" w:cs="宋体"/>
                <w:sz w:val="24"/>
              </w:rPr>
              <w:t>偏差率每高于一个百分点扣1分，每低于一个百分点扣0.5分，直至扣完为止。</w:t>
            </w:r>
          </w:p>
        </w:tc>
      </w:tr>
      <w:tr>
        <w:tblPrEx>
          <w:tblCellMar>
            <w:top w:w="0" w:type="dxa"/>
            <w:left w:w="10" w:type="dxa"/>
            <w:bottom w:w="0" w:type="dxa"/>
            <w:right w:w="10" w:type="dxa"/>
          </w:tblCellMar>
        </w:tblPrEx>
        <w:trPr>
          <w:trHeight w:val="1133" w:hRule="exact"/>
          <w:jc w:val="center"/>
        </w:trPr>
        <w:tc>
          <w:tcPr>
            <w:tcW w:w="2220" w:type="dxa"/>
            <w:gridSpan w:val="3"/>
            <w:tcBorders>
              <w:top w:val="single" w:color="auto" w:sz="4" w:space="0"/>
              <w:left w:val="single" w:color="auto" w:sz="4" w:space="0"/>
              <w:bottom w:val="single" w:color="auto" w:sz="4" w:space="0"/>
            </w:tcBorders>
            <w:shd w:val="clear" w:color="auto" w:fill="FFFFFF"/>
            <w:vAlign w:val="center"/>
          </w:tcPr>
          <w:p>
            <w:pPr>
              <w:pStyle w:val="31"/>
              <w:adjustRightInd w:val="0"/>
              <w:spacing w:line="360" w:lineRule="auto"/>
              <w:jc w:val="center"/>
              <w:rPr>
                <w:color w:val="000000"/>
                <w:sz w:val="24"/>
                <w:lang w:val="en-US" w:eastAsia="zh-CN"/>
              </w:rPr>
            </w:pPr>
            <w:r>
              <w:rPr>
                <w:rFonts w:hint="eastAsia"/>
                <w:color w:val="000000"/>
                <w:sz w:val="24"/>
                <w:lang w:val="en-US" w:eastAsia="zh-CN"/>
              </w:rPr>
              <w:t>3.2（4）</w:t>
            </w:r>
          </w:p>
        </w:tc>
        <w:tc>
          <w:tcPr>
            <w:tcW w:w="1704" w:type="dxa"/>
            <w:tcBorders>
              <w:top w:val="single" w:color="auto" w:sz="4" w:space="0"/>
              <w:left w:val="single" w:color="auto" w:sz="4" w:space="0"/>
              <w:bottom w:val="single" w:color="auto" w:sz="4" w:space="0"/>
            </w:tcBorders>
            <w:shd w:val="clear" w:color="auto" w:fill="FFFFFF"/>
            <w:vAlign w:val="center"/>
          </w:tcPr>
          <w:p>
            <w:pPr>
              <w:spacing w:line="360" w:lineRule="auto"/>
              <w:jc w:val="center"/>
              <w:rPr>
                <w:rFonts w:ascii="宋体" w:hAnsi="宋体" w:eastAsia="宋体" w:cs="宋体"/>
                <w:sz w:val="24"/>
              </w:rPr>
            </w:pPr>
            <w:r>
              <w:rPr>
                <w:rFonts w:hint="eastAsia" w:ascii="宋体" w:hAnsi="宋体" w:eastAsia="宋体" w:cs="宋体"/>
                <w:sz w:val="24"/>
              </w:rPr>
              <w:t>投标报价</w:t>
            </w:r>
          </w:p>
        </w:tc>
        <w:tc>
          <w:tcPr>
            <w:tcW w:w="6668" w:type="dxa"/>
            <w:tcBorders>
              <w:top w:val="single" w:color="auto" w:sz="4" w:space="0"/>
              <w:left w:val="single" w:color="auto" w:sz="4" w:space="0"/>
              <w:bottom w:val="single" w:color="auto" w:sz="4" w:space="0"/>
              <w:right w:val="single" w:color="auto" w:sz="4" w:space="0"/>
            </w:tcBorders>
            <w:shd w:val="clear" w:color="auto" w:fill="FFFFFF"/>
            <w:vAlign w:val="center"/>
          </w:tcPr>
          <w:p>
            <w:pPr>
              <w:spacing w:line="360" w:lineRule="auto"/>
              <w:rPr>
                <w:rFonts w:ascii="宋体" w:hAnsi="宋体" w:eastAsia="宋体" w:cs="宋体"/>
                <w:sz w:val="24"/>
              </w:rPr>
            </w:pPr>
            <w:r>
              <w:rPr>
                <w:rFonts w:hint="eastAsia" w:ascii="宋体" w:hAnsi="宋体" w:eastAsia="宋体" w:cs="宋体"/>
                <w:sz w:val="24"/>
              </w:rPr>
              <w:t>总分30分，投标总价按方法一和偏差率计算公式计算得分。</w:t>
            </w:r>
          </w:p>
        </w:tc>
      </w:tr>
      <w:tr>
        <w:tblPrEx>
          <w:tblCellMar>
            <w:top w:w="0" w:type="dxa"/>
            <w:left w:w="10" w:type="dxa"/>
            <w:bottom w:w="0" w:type="dxa"/>
            <w:right w:w="10" w:type="dxa"/>
          </w:tblCellMar>
        </w:tblPrEx>
        <w:trPr>
          <w:trHeight w:val="625" w:hRule="exact"/>
          <w:jc w:val="center"/>
        </w:trPr>
        <w:tc>
          <w:tcPr>
            <w:tcW w:w="2220" w:type="dxa"/>
            <w:gridSpan w:val="3"/>
            <w:tcBorders>
              <w:top w:val="single" w:color="auto" w:sz="4" w:space="0"/>
              <w:left w:val="single" w:color="auto" w:sz="4" w:space="0"/>
              <w:bottom w:val="single" w:color="auto" w:sz="4" w:space="0"/>
            </w:tcBorders>
            <w:shd w:val="clear" w:color="auto" w:fill="FFFFFF"/>
            <w:vAlign w:val="center"/>
          </w:tcPr>
          <w:p>
            <w:pPr>
              <w:pStyle w:val="31"/>
              <w:adjustRightInd w:val="0"/>
              <w:spacing w:line="360" w:lineRule="auto"/>
              <w:ind w:firstLine="241" w:firstLineChars="100"/>
              <w:jc w:val="center"/>
              <w:rPr>
                <w:b/>
                <w:bCs/>
                <w:color w:val="000000"/>
                <w:sz w:val="24"/>
              </w:rPr>
            </w:pPr>
            <w:r>
              <w:rPr>
                <w:rFonts w:hint="eastAsia"/>
                <w:b/>
                <w:bCs/>
                <w:color w:val="000000"/>
                <w:sz w:val="24"/>
              </w:rPr>
              <w:t>条款号及名称</w:t>
            </w:r>
          </w:p>
        </w:tc>
        <w:tc>
          <w:tcPr>
            <w:tcW w:w="1704" w:type="dxa"/>
            <w:tcBorders>
              <w:top w:val="single" w:color="auto" w:sz="4" w:space="0"/>
              <w:left w:val="single" w:color="auto" w:sz="4" w:space="0"/>
              <w:bottom w:val="single" w:color="auto" w:sz="4" w:space="0"/>
            </w:tcBorders>
            <w:shd w:val="clear" w:color="auto" w:fill="FFFFFF"/>
            <w:vAlign w:val="center"/>
          </w:tcPr>
          <w:p>
            <w:pPr>
              <w:pStyle w:val="31"/>
              <w:adjustRightInd w:val="0"/>
              <w:spacing w:line="360" w:lineRule="auto"/>
              <w:ind w:firstLine="482" w:firstLineChars="200"/>
              <w:rPr>
                <w:b/>
                <w:bCs/>
                <w:color w:val="000000"/>
                <w:sz w:val="24"/>
              </w:rPr>
            </w:pPr>
            <w:r>
              <w:rPr>
                <w:rFonts w:hint="eastAsia"/>
                <w:b/>
                <w:bCs/>
                <w:color w:val="000000"/>
                <w:sz w:val="24"/>
              </w:rPr>
              <w:t>评分因素</w:t>
            </w:r>
          </w:p>
        </w:tc>
        <w:tc>
          <w:tcPr>
            <w:tcW w:w="6668" w:type="dxa"/>
            <w:tcBorders>
              <w:top w:val="single" w:color="auto" w:sz="4" w:space="0"/>
              <w:left w:val="single" w:color="auto" w:sz="4" w:space="0"/>
              <w:bottom w:val="single" w:color="auto" w:sz="4" w:space="0"/>
              <w:right w:val="single" w:color="auto" w:sz="4" w:space="0"/>
            </w:tcBorders>
            <w:shd w:val="clear" w:color="auto" w:fill="FFFFFF"/>
            <w:vAlign w:val="center"/>
          </w:tcPr>
          <w:p>
            <w:pPr>
              <w:pStyle w:val="31"/>
              <w:adjustRightInd w:val="0"/>
              <w:spacing w:line="360" w:lineRule="auto"/>
              <w:ind w:firstLine="2891" w:firstLineChars="1200"/>
              <w:rPr>
                <w:b/>
                <w:bCs/>
                <w:color w:val="000000"/>
                <w:sz w:val="24"/>
              </w:rPr>
            </w:pPr>
            <w:r>
              <w:rPr>
                <w:rFonts w:hint="eastAsia"/>
                <w:b/>
                <w:bCs/>
                <w:color w:val="000000"/>
                <w:sz w:val="24"/>
              </w:rPr>
              <w:t>评分标准</w:t>
            </w:r>
          </w:p>
        </w:tc>
      </w:tr>
      <w:tr>
        <w:tblPrEx>
          <w:tblCellMar>
            <w:top w:w="0" w:type="dxa"/>
            <w:left w:w="10" w:type="dxa"/>
            <w:bottom w:w="0" w:type="dxa"/>
            <w:right w:w="10" w:type="dxa"/>
          </w:tblCellMar>
        </w:tblPrEx>
        <w:trPr>
          <w:trHeight w:val="2740" w:hRule="exact"/>
          <w:jc w:val="center"/>
        </w:trPr>
        <w:tc>
          <w:tcPr>
            <w:tcW w:w="1110" w:type="dxa"/>
            <w:gridSpan w:val="2"/>
            <w:tcBorders>
              <w:top w:val="single" w:color="auto" w:sz="4" w:space="0"/>
              <w:left w:val="single" w:color="auto" w:sz="4" w:space="0"/>
              <w:bottom w:val="single" w:color="auto" w:sz="4" w:space="0"/>
            </w:tcBorders>
            <w:shd w:val="clear" w:color="auto" w:fill="FFFFFF"/>
            <w:vAlign w:val="center"/>
          </w:tcPr>
          <w:p>
            <w:pPr>
              <w:pStyle w:val="31"/>
              <w:adjustRightInd w:val="0"/>
              <w:spacing w:line="360" w:lineRule="auto"/>
              <w:ind w:firstLine="241" w:firstLineChars="100"/>
              <w:rPr>
                <w:b/>
                <w:bCs/>
                <w:color w:val="000000"/>
                <w:sz w:val="24"/>
              </w:rPr>
            </w:pPr>
          </w:p>
        </w:tc>
        <w:tc>
          <w:tcPr>
            <w:tcW w:w="1110" w:type="dxa"/>
            <w:tcBorders>
              <w:top w:val="single" w:color="auto" w:sz="4" w:space="0"/>
              <w:left w:val="single" w:color="auto" w:sz="4" w:space="0"/>
              <w:bottom w:val="single" w:color="auto" w:sz="4" w:space="0"/>
            </w:tcBorders>
            <w:shd w:val="clear" w:color="auto" w:fill="FFFFFF"/>
            <w:vAlign w:val="center"/>
          </w:tcPr>
          <w:p>
            <w:pPr>
              <w:pStyle w:val="31"/>
              <w:adjustRightInd w:val="0"/>
              <w:spacing w:line="360" w:lineRule="auto"/>
              <w:ind w:firstLine="240" w:firstLineChars="100"/>
              <w:rPr>
                <w:sz w:val="24"/>
                <w:lang w:val="en-US" w:eastAsia="zh-CN" w:bidi="ar-SA"/>
              </w:rPr>
            </w:pPr>
          </w:p>
        </w:tc>
        <w:tc>
          <w:tcPr>
            <w:tcW w:w="1704" w:type="dxa"/>
            <w:tcBorders>
              <w:top w:val="single" w:color="auto" w:sz="4" w:space="0"/>
              <w:left w:val="single" w:color="auto" w:sz="4" w:space="0"/>
              <w:bottom w:val="single" w:color="auto" w:sz="4" w:space="0"/>
            </w:tcBorders>
            <w:shd w:val="clear" w:color="auto" w:fill="FFFFFF"/>
            <w:vAlign w:val="center"/>
          </w:tcPr>
          <w:p>
            <w:pPr>
              <w:pStyle w:val="31"/>
              <w:adjustRightInd w:val="0"/>
              <w:spacing w:line="360" w:lineRule="auto"/>
              <w:rPr>
                <w:sz w:val="24"/>
                <w:lang w:val="en-US" w:eastAsia="zh-CN" w:bidi="ar-SA"/>
              </w:rPr>
            </w:pPr>
            <w:r>
              <w:rPr>
                <w:rFonts w:hint="eastAsia"/>
                <w:sz w:val="24"/>
                <w:lang w:val="en-US" w:eastAsia="zh-CN" w:bidi="ar-SA"/>
              </w:rPr>
              <w:t>技术参数（20）</w:t>
            </w:r>
          </w:p>
          <w:p>
            <w:pPr>
              <w:pStyle w:val="31"/>
              <w:adjustRightInd w:val="0"/>
              <w:spacing w:line="360" w:lineRule="auto"/>
              <w:rPr>
                <w:sz w:val="24"/>
                <w:lang w:val="en-US" w:eastAsia="zh-CN" w:bidi="ar-SA"/>
              </w:rPr>
            </w:pPr>
          </w:p>
        </w:tc>
        <w:tc>
          <w:tcPr>
            <w:tcW w:w="6668" w:type="dxa"/>
            <w:tcBorders>
              <w:top w:val="single" w:color="auto" w:sz="4" w:space="0"/>
              <w:left w:val="single" w:color="auto" w:sz="4" w:space="0"/>
              <w:bottom w:val="single" w:color="auto" w:sz="4" w:space="0"/>
              <w:right w:val="single" w:color="auto" w:sz="4" w:space="0"/>
            </w:tcBorders>
            <w:shd w:val="clear" w:color="auto" w:fill="FFFFFF"/>
            <w:vAlign w:val="center"/>
          </w:tcPr>
          <w:p>
            <w:pPr>
              <w:pStyle w:val="71"/>
              <w:spacing w:line="360" w:lineRule="auto"/>
              <w:rPr>
                <w:sz w:val="24"/>
                <w:lang w:val="en-US" w:eastAsia="zh-CN" w:bidi="ar-SA"/>
              </w:rPr>
            </w:pPr>
            <w:r>
              <w:rPr>
                <w:rFonts w:hint="eastAsia" w:ascii="宋体" w:hAnsi="宋体" w:eastAsia="宋体" w:cs="宋体"/>
                <w:szCs w:val="24"/>
              </w:rPr>
              <w:t>技术参数（</w:t>
            </w:r>
            <w:r>
              <w:rPr>
                <w:rFonts w:hint="eastAsia" w:cs="宋体"/>
                <w:szCs w:val="24"/>
              </w:rPr>
              <w:t>20）</w:t>
            </w:r>
            <w:r>
              <w:rPr>
                <w:rFonts w:hint="eastAsia" w:ascii="宋体" w:hAnsi="宋体" w:eastAsia="宋体" w:cs="宋体"/>
                <w:szCs w:val="24"/>
              </w:rPr>
              <w:t>：</w:t>
            </w:r>
            <w:r>
              <w:rPr>
                <w:rFonts w:hint="eastAsia" w:ascii="宋体" w:hAnsi="宋体" w:eastAsia="宋体" w:cs="宋体"/>
                <w:kern w:val="0"/>
                <w:sz w:val="24"/>
              </w:rPr>
              <w:t>投标产品技术参数和配置完全满足或高于招标文件要求的，得</w:t>
            </w:r>
            <w:r>
              <w:rPr>
                <w:rFonts w:hint="eastAsia" w:ascii="宋体" w:hAnsi="宋体" w:eastAsia="宋体" w:cs="宋体"/>
                <w:kern w:val="0"/>
                <w:sz w:val="24"/>
                <w:lang w:val="en-US" w:eastAsia="zh-CN"/>
              </w:rPr>
              <w:t>20</w:t>
            </w:r>
            <w:r>
              <w:rPr>
                <w:rFonts w:hint="eastAsia" w:ascii="宋体" w:hAnsi="宋体" w:eastAsia="宋体" w:cs="宋体"/>
                <w:kern w:val="0"/>
                <w:sz w:val="24"/>
              </w:rPr>
              <w:t>分；每有一项负偏离一项扣3分；直至该项分值扣完为止。</w:t>
            </w:r>
            <w:r>
              <w:rPr>
                <w:rFonts w:hint="eastAsia"/>
                <w:lang w:val="zh-CN"/>
              </w:rPr>
              <w:t>投标时文件中须提供产品检验报告或证明技术参数响应的相关资料或彩页或厂家公开发布的资料参数或相关认证等资料等为依据</w:t>
            </w:r>
            <w:r>
              <w:rPr>
                <w:rFonts w:hint="eastAsia"/>
                <w:sz w:val="24"/>
                <w:lang w:val="en-US" w:eastAsia="zh-CN" w:bidi="ar-SA"/>
              </w:rPr>
              <w:t>。</w:t>
            </w:r>
          </w:p>
        </w:tc>
      </w:tr>
      <w:tr>
        <w:tblPrEx>
          <w:tblCellMar>
            <w:top w:w="0" w:type="dxa"/>
            <w:left w:w="10" w:type="dxa"/>
            <w:bottom w:w="0" w:type="dxa"/>
            <w:right w:w="10" w:type="dxa"/>
          </w:tblCellMar>
        </w:tblPrEx>
        <w:trPr>
          <w:trHeight w:val="2676" w:hRule="exact"/>
          <w:jc w:val="center"/>
        </w:trPr>
        <w:tc>
          <w:tcPr>
            <w:tcW w:w="914" w:type="dxa"/>
            <w:vMerge w:val="restart"/>
            <w:tcBorders>
              <w:top w:val="single" w:color="auto" w:sz="4" w:space="0"/>
              <w:left w:val="single" w:color="auto" w:sz="4" w:space="0"/>
            </w:tcBorders>
            <w:shd w:val="clear" w:color="auto" w:fill="FFFFFF"/>
            <w:vAlign w:val="center"/>
          </w:tcPr>
          <w:p>
            <w:pPr>
              <w:spacing w:line="360" w:lineRule="auto"/>
              <w:ind w:firstLine="240" w:firstLineChars="100"/>
              <w:rPr>
                <w:rFonts w:ascii="宋体" w:hAnsi="宋体" w:eastAsia="宋体" w:cs="宋体"/>
                <w:sz w:val="24"/>
              </w:rPr>
            </w:pPr>
            <w:r>
              <w:rPr>
                <w:rFonts w:hint="eastAsia" w:ascii="宋体" w:hAnsi="宋体" w:eastAsia="宋体" w:cs="宋体"/>
                <w:sz w:val="24"/>
                <w:lang w:eastAsia="en-US"/>
              </w:rPr>
              <w:t>3.2.3</w:t>
            </w:r>
          </w:p>
          <w:p>
            <w:pPr>
              <w:spacing w:line="360" w:lineRule="auto"/>
              <w:ind w:firstLine="240" w:firstLineChars="100"/>
              <w:rPr>
                <w:rFonts w:ascii="宋体" w:hAnsi="宋体" w:eastAsia="宋体" w:cs="宋体"/>
                <w:sz w:val="24"/>
              </w:rPr>
            </w:pPr>
            <w:r>
              <w:rPr>
                <w:rFonts w:hint="eastAsia" w:ascii="宋体" w:hAnsi="宋体" w:eastAsia="宋体" w:cs="宋体"/>
                <w:sz w:val="24"/>
              </w:rPr>
              <w:t>(1)</w:t>
            </w:r>
          </w:p>
        </w:tc>
        <w:tc>
          <w:tcPr>
            <w:tcW w:w="1306" w:type="dxa"/>
            <w:gridSpan w:val="2"/>
            <w:vMerge w:val="restart"/>
            <w:tcBorders>
              <w:top w:val="single" w:color="auto" w:sz="4" w:space="0"/>
              <w:left w:val="single" w:color="auto" w:sz="4" w:space="0"/>
            </w:tcBorders>
            <w:shd w:val="clear" w:color="auto" w:fill="FFFFFF"/>
            <w:vAlign w:val="center"/>
          </w:tcPr>
          <w:p>
            <w:pPr>
              <w:spacing w:line="360" w:lineRule="auto"/>
              <w:ind w:left="240" w:hanging="240" w:hangingChars="100"/>
              <w:rPr>
                <w:rFonts w:ascii="宋体" w:hAnsi="宋体" w:eastAsia="宋体" w:cs="宋体"/>
                <w:sz w:val="24"/>
              </w:rPr>
            </w:pPr>
            <w:r>
              <w:rPr>
                <w:rFonts w:hint="eastAsia" w:ascii="宋体" w:hAnsi="宋体" w:eastAsia="宋体" w:cs="宋体"/>
                <w:sz w:val="24"/>
              </w:rPr>
              <w:t>技术评分 标准</w:t>
            </w:r>
          </w:p>
          <w:p>
            <w:pPr>
              <w:spacing w:line="360" w:lineRule="auto"/>
              <w:rPr>
                <w:rFonts w:ascii="宋体" w:hAnsi="宋体" w:eastAsia="宋体" w:cs="宋体"/>
                <w:sz w:val="24"/>
              </w:rPr>
            </w:pPr>
            <w:r>
              <w:rPr>
                <w:rFonts w:hint="eastAsia" w:ascii="宋体" w:hAnsi="宋体" w:eastAsia="宋体" w:cs="宋体"/>
                <w:sz w:val="24"/>
              </w:rPr>
              <w:t>（55分）</w:t>
            </w:r>
          </w:p>
        </w:tc>
        <w:tc>
          <w:tcPr>
            <w:tcW w:w="1704" w:type="dxa"/>
            <w:tcBorders>
              <w:top w:val="single" w:color="auto" w:sz="4" w:space="0"/>
              <w:left w:val="single" w:color="auto" w:sz="4" w:space="0"/>
            </w:tcBorders>
            <w:shd w:val="clear" w:color="auto" w:fill="FFFFFF"/>
            <w:vAlign w:val="center"/>
          </w:tcPr>
          <w:p>
            <w:pPr>
              <w:spacing w:line="360" w:lineRule="auto"/>
              <w:rPr>
                <w:rFonts w:ascii="宋体" w:hAnsi="宋体" w:eastAsia="宋体" w:cs="宋体"/>
                <w:sz w:val="24"/>
                <w:lang w:val="zh-TW" w:eastAsia="zh-TW"/>
              </w:rPr>
            </w:pPr>
            <w:r>
              <w:rPr>
                <w:rFonts w:hint="eastAsia" w:ascii="宋体" w:hAnsi="宋体" w:eastAsia="宋体" w:cs="宋体"/>
                <w:sz w:val="24"/>
              </w:rPr>
              <w:t>内容完整性和编制水平（6分）</w:t>
            </w:r>
          </w:p>
        </w:tc>
        <w:tc>
          <w:tcPr>
            <w:tcW w:w="6668" w:type="dxa"/>
            <w:tcBorders>
              <w:top w:val="single" w:color="auto" w:sz="4" w:space="0"/>
              <w:left w:val="single" w:color="auto" w:sz="4" w:space="0"/>
              <w:right w:val="single" w:color="auto" w:sz="4" w:space="0"/>
            </w:tcBorders>
            <w:shd w:val="clear" w:color="auto" w:fill="FFFFFF"/>
            <w:vAlign w:val="center"/>
          </w:tcPr>
          <w:p>
            <w:pPr>
              <w:spacing w:line="360" w:lineRule="auto"/>
              <w:rPr>
                <w:rFonts w:ascii="宋体" w:hAnsi="宋体" w:eastAsia="宋体" w:cs="宋体"/>
                <w:sz w:val="24"/>
                <w:lang w:val="zh-TW" w:eastAsia="zh-TW"/>
              </w:rPr>
            </w:pPr>
            <w:r>
              <w:rPr>
                <w:rFonts w:hint="eastAsia" w:ascii="宋体" w:hAnsi="宋体" w:eastAsia="宋体" w:cs="宋体"/>
                <w:sz w:val="24"/>
              </w:rPr>
              <w:t>总体施工组织对工程重点、难点的认识，表述的准确性，解决方案是否科学、系统、安全、经济，可操作性，保障措施是否得力，对施工关键技术、工艺把握的准确性，应用是否到位，阐释是否清晰。优秀得6-4分；良好得3.9-2分；一般1.9-0分，不合理或其他情况不得分。</w:t>
            </w:r>
          </w:p>
        </w:tc>
      </w:tr>
      <w:tr>
        <w:tblPrEx>
          <w:tblCellMar>
            <w:top w:w="0" w:type="dxa"/>
            <w:left w:w="10" w:type="dxa"/>
            <w:bottom w:w="0" w:type="dxa"/>
            <w:right w:w="10" w:type="dxa"/>
          </w:tblCellMar>
        </w:tblPrEx>
        <w:trPr>
          <w:trHeight w:val="3043" w:hRule="exact"/>
          <w:jc w:val="center"/>
        </w:trPr>
        <w:tc>
          <w:tcPr>
            <w:tcW w:w="914" w:type="dxa"/>
            <w:vMerge w:val="continue"/>
            <w:tcBorders>
              <w:left w:val="single" w:color="auto" w:sz="4" w:space="0"/>
            </w:tcBorders>
            <w:shd w:val="clear" w:color="auto" w:fill="FFFFFF"/>
            <w:vAlign w:val="center"/>
          </w:tcPr>
          <w:p>
            <w:pPr>
              <w:spacing w:line="360" w:lineRule="auto"/>
              <w:rPr>
                <w:rFonts w:ascii="宋体" w:hAnsi="宋体" w:eastAsia="宋体" w:cs="宋体"/>
                <w:sz w:val="24"/>
              </w:rPr>
            </w:pPr>
          </w:p>
        </w:tc>
        <w:tc>
          <w:tcPr>
            <w:tcW w:w="1306" w:type="dxa"/>
            <w:gridSpan w:val="2"/>
            <w:vMerge w:val="continue"/>
            <w:tcBorders>
              <w:left w:val="single" w:color="auto" w:sz="4" w:space="0"/>
            </w:tcBorders>
            <w:shd w:val="clear" w:color="auto" w:fill="FFFFFF"/>
            <w:vAlign w:val="center"/>
          </w:tcPr>
          <w:p>
            <w:pPr>
              <w:spacing w:line="360" w:lineRule="auto"/>
              <w:rPr>
                <w:rFonts w:ascii="宋体" w:hAnsi="宋体" w:eastAsia="宋体" w:cs="宋体"/>
                <w:sz w:val="24"/>
              </w:rPr>
            </w:pPr>
          </w:p>
        </w:tc>
        <w:tc>
          <w:tcPr>
            <w:tcW w:w="1704" w:type="dxa"/>
            <w:tcBorders>
              <w:top w:val="single" w:color="auto" w:sz="4" w:space="0"/>
              <w:left w:val="single" w:color="auto" w:sz="4" w:space="0"/>
              <w:bottom w:val="single" w:color="auto" w:sz="4" w:space="0"/>
            </w:tcBorders>
            <w:shd w:val="clear" w:color="auto" w:fill="FFFFFF"/>
            <w:vAlign w:val="center"/>
          </w:tcPr>
          <w:p>
            <w:pPr>
              <w:spacing w:line="360" w:lineRule="auto"/>
              <w:jc w:val="center"/>
              <w:rPr>
                <w:rFonts w:ascii="宋体" w:hAnsi="宋体" w:eastAsia="宋体" w:cs="宋体"/>
                <w:sz w:val="24"/>
              </w:rPr>
            </w:pPr>
            <w:r>
              <w:rPr>
                <w:rFonts w:hint="eastAsia" w:ascii="宋体" w:hAnsi="宋体" w:eastAsia="宋体" w:cs="宋体"/>
                <w:sz w:val="24"/>
              </w:rPr>
              <w:t>质量标准、质量和安全管理措施</w:t>
            </w:r>
          </w:p>
          <w:p>
            <w:pPr>
              <w:spacing w:line="360" w:lineRule="auto"/>
              <w:jc w:val="center"/>
              <w:rPr>
                <w:rFonts w:ascii="宋体" w:hAnsi="宋体" w:eastAsia="宋体" w:cs="宋体"/>
                <w:sz w:val="24"/>
                <w:lang w:val="zh-TW" w:eastAsia="zh-TW"/>
              </w:rPr>
            </w:pPr>
            <w:r>
              <w:rPr>
                <w:rFonts w:hint="eastAsia" w:ascii="宋体" w:hAnsi="宋体" w:eastAsia="宋体" w:cs="宋体"/>
                <w:sz w:val="24"/>
              </w:rPr>
              <w:t>（6分）</w:t>
            </w:r>
          </w:p>
        </w:tc>
        <w:tc>
          <w:tcPr>
            <w:tcW w:w="6668" w:type="dxa"/>
            <w:tcBorders>
              <w:top w:val="single" w:color="auto" w:sz="4" w:space="0"/>
              <w:left w:val="single" w:color="auto" w:sz="4" w:space="0"/>
              <w:bottom w:val="single" w:color="auto" w:sz="4" w:space="0"/>
              <w:right w:val="single" w:color="auto" w:sz="4" w:space="0"/>
            </w:tcBorders>
            <w:shd w:val="clear" w:color="auto" w:fill="FFFFFF"/>
            <w:vAlign w:val="center"/>
          </w:tcPr>
          <w:p>
            <w:pPr>
              <w:spacing w:line="360" w:lineRule="auto"/>
              <w:rPr>
                <w:rFonts w:ascii="宋体" w:hAnsi="宋体" w:eastAsia="宋体" w:cs="宋体"/>
                <w:sz w:val="24"/>
                <w:lang w:val="zh-TW" w:eastAsia="zh-TW"/>
              </w:rPr>
            </w:pPr>
            <w:r>
              <w:rPr>
                <w:rFonts w:hint="eastAsia" w:ascii="宋体" w:hAnsi="宋体" w:eastAsia="宋体" w:cs="宋体"/>
                <w:sz w:val="24"/>
              </w:rPr>
              <w:t>质量管理体系健全、安全管理体系健全、 管理人员责任明确、管理制度健全有效，各项技术措施、主要分项工程、作业指导书符合现行国家质量验收标准要求、各项安全教育制度健全有效、施工现场安全技术管理及防护、防范措施得力。优秀得优秀得6-4分；良好得3.9-2分；一般1.9-0分，不合理 或其他情况不得分。</w:t>
            </w:r>
          </w:p>
        </w:tc>
      </w:tr>
      <w:tr>
        <w:tblPrEx>
          <w:tblCellMar>
            <w:top w:w="0" w:type="dxa"/>
            <w:left w:w="10" w:type="dxa"/>
            <w:bottom w:w="0" w:type="dxa"/>
            <w:right w:w="10" w:type="dxa"/>
          </w:tblCellMar>
        </w:tblPrEx>
        <w:trPr>
          <w:trHeight w:val="2173" w:hRule="exact"/>
          <w:jc w:val="center"/>
        </w:trPr>
        <w:tc>
          <w:tcPr>
            <w:tcW w:w="914" w:type="dxa"/>
            <w:vMerge w:val="continue"/>
            <w:tcBorders>
              <w:left w:val="single" w:color="auto" w:sz="4" w:space="0"/>
            </w:tcBorders>
            <w:shd w:val="clear" w:color="auto" w:fill="FFFFFF"/>
            <w:vAlign w:val="center"/>
          </w:tcPr>
          <w:p>
            <w:pPr>
              <w:spacing w:line="360" w:lineRule="auto"/>
              <w:rPr>
                <w:rFonts w:ascii="宋体" w:hAnsi="宋体" w:eastAsia="宋体" w:cs="宋体"/>
                <w:sz w:val="24"/>
              </w:rPr>
            </w:pPr>
          </w:p>
        </w:tc>
        <w:tc>
          <w:tcPr>
            <w:tcW w:w="1306" w:type="dxa"/>
            <w:gridSpan w:val="2"/>
            <w:vMerge w:val="continue"/>
            <w:tcBorders>
              <w:left w:val="single" w:color="auto" w:sz="4" w:space="0"/>
            </w:tcBorders>
            <w:shd w:val="clear" w:color="auto" w:fill="FFFFFF"/>
            <w:vAlign w:val="center"/>
          </w:tcPr>
          <w:p>
            <w:pPr>
              <w:spacing w:line="360" w:lineRule="auto"/>
              <w:rPr>
                <w:rFonts w:ascii="宋体" w:hAnsi="宋体" w:eastAsia="宋体" w:cs="宋体"/>
                <w:sz w:val="24"/>
              </w:rPr>
            </w:pPr>
          </w:p>
        </w:tc>
        <w:tc>
          <w:tcPr>
            <w:tcW w:w="1704" w:type="dxa"/>
            <w:tcBorders>
              <w:top w:val="single" w:color="auto" w:sz="4" w:space="0"/>
              <w:left w:val="single" w:color="auto" w:sz="4" w:space="0"/>
              <w:bottom w:val="single" w:color="auto" w:sz="4" w:space="0"/>
              <w:right w:val="single" w:color="auto" w:sz="4" w:space="0"/>
            </w:tcBorders>
            <w:shd w:val="clear" w:color="auto" w:fill="FFFFFF"/>
            <w:vAlign w:val="center"/>
          </w:tcPr>
          <w:p>
            <w:pPr>
              <w:spacing w:line="360" w:lineRule="auto"/>
              <w:jc w:val="center"/>
              <w:rPr>
                <w:rFonts w:ascii="宋体" w:hAnsi="宋体" w:eastAsia="宋体" w:cs="宋体"/>
                <w:sz w:val="24"/>
              </w:rPr>
            </w:pPr>
            <w:r>
              <w:rPr>
                <w:rFonts w:hint="eastAsia" w:ascii="宋体" w:hAnsi="宋体" w:eastAsia="宋体" w:cs="宋体"/>
                <w:sz w:val="24"/>
              </w:rPr>
              <w:t>环境保护管理</w:t>
            </w:r>
          </w:p>
          <w:p>
            <w:pPr>
              <w:spacing w:line="360" w:lineRule="auto"/>
              <w:jc w:val="center"/>
              <w:rPr>
                <w:rFonts w:ascii="宋体" w:hAnsi="宋体" w:eastAsia="宋体" w:cs="宋体"/>
                <w:sz w:val="24"/>
                <w:lang w:val="zh-TW"/>
              </w:rPr>
            </w:pPr>
            <w:r>
              <w:rPr>
                <w:rFonts w:hint="eastAsia" w:ascii="宋体" w:hAnsi="宋体" w:eastAsia="宋体" w:cs="宋体"/>
                <w:sz w:val="24"/>
              </w:rPr>
              <w:t>（6分）</w:t>
            </w:r>
          </w:p>
        </w:tc>
        <w:tc>
          <w:tcPr>
            <w:tcW w:w="6668" w:type="dxa"/>
            <w:tcBorders>
              <w:top w:val="single" w:color="auto" w:sz="4" w:space="0"/>
              <w:left w:val="single" w:color="auto" w:sz="4" w:space="0"/>
              <w:bottom w:val="single" w:color="auto" w:sz="4" w:space="0"/>
              <w:right w:val="single" w:color="auto" w:sz="4" w:space="0"/>
            </w:tcBorders>
            <w:shd w:val="clear" w:color="auto" w:fill="FFFFFF"/>
            <w:vAlign w:val="center"/>
          </w:tcPr>
          <w:p>
            <w:pPr>
              <w:spacing w:line="360" w:lineRule="auto"/>
              <w:jc w:val="left"/>
              <w:rPr>
                <w:rFonts w:ascii="宋体" w:hAnsi="宋体" w:eastAsia="宋体" w:cs="宋体"/>
                <w:sz w:val="24"/>
                <w:lang w:val="zh-TW"/>
              </w:rPr>
            </w:pPr>
            <w:r>
              <w:rPr>
                <w:rFonts w:hint="eastAsia" w:ascii="宋体" w:hAnsi="宋体" w:eastAsia="宋体" w:cs="宋体"/>
                <w:sz w:val="24"/>
              </w:rPr>
              <w:t>环境保护管理体系健全，管理人员岗位责 任明确，环境管理方案切实可行，能有效运。污水处理与排放符合国家及地方有关环境保护标准。优秀得6-4分；良好得3.9-2分；一般1.9-0分，不合理或其他情况不得分。</w:t>
            </w:r>
          </w:p>
        </w:tc>
      </w:tr>
      <w:tr>
        <w:tblPrEx>
          <w:tblCellMar>
            <w:top w:w="0" w:type="dxa"/>
            <w:left w:w="10" w:type="dxa"/>
            <w:bottom w:w="0" w:type="dxa"/>
            <w:right w:w="10" w:type="dxa"/>
          </w:tblCellMar>
        </w:tblPrEx>
        <w:trPr>
          <w:trHeight w:val="1396" w:hRule="exact"/>
          <w:jc w:val="center"/>
        </w:trPr>
        <w:tc>
          <w:tcPr>
            <w:tcW w:w="914" w:type="dxa"/>
            <w:vMerge w:val="continue"/>
            <w:tcBorders>
              <w:left w:val="single" w:color="auto" w:sz="4" w:space="0"/>
            </w:tcBorders>
            <w:shd w:val="clear" w:color="auto" w:fill="FFFFFF"/>
            <w:vAlign w:val="center"/>
          </w:tcPr>
          <w:p>
            <w:pPr>
              <w:spacing w:line="360" w:lineRule="auto"/>
              <w:rPr>
                <w:rFonts w:ascii="宋体" w:hAnsi="宋体" w:eastAsia="宋体" w:cs="宋体"/>
                <w:sz w:val="24"/>
              </w:rPr>
            </w:pPr>
          </w:p>
        </w:tc>
        <w:tc>
          <w:tcPr>
            <w:tcW w:w="1306" w:type="dxa"/>
            <w:gridSpan w:val="2"/>
            <w:vMerge w:val="continue"/>
            <w:tcBorders>
              <w:left w:val="single" w:color="auto" w:sz="4" w:space="0"/>
            </w:tcBorders>
            <w:shd w:val="clear" w:color="auto" w:fill="FFFFFF"/>
            <w:vAlign w:val="center"/>
          </w:tcPr>
          <w:p>
            <w:pPr>
              <w:spacing w:line="360" w:lineRule="auto"/>
              <w:rPr>
                <w:rFonts w:ascii="宋体" w:hAnsi="宋体" w:eastAsia="宋体" w:cs="宋体"/>
                <w:sz w:val="24"/>
              </w:rPr>
            </w:pPr>
          </w:p>
        </w:tc>
        <w:tc>
          <w:tcPr>
            <w:tcW w:w="1704" w:type="dxa"/>
            <w:tcBorders>
              <w:top w:val="single" w:color="auto" w:sz="4" w:space="0"/>
              <w:left w:val="single" w:color="auto" w:sz="4" w:space="0"/>
              <w:bottom w:val="single" w:color="auto" w:sz="4" w:space="0"/>
              <w:right w:val="single" w:color="auto" w:sz="4" w:space="0"/>
            </w:tcBorders>
            <w:shd w:val="clear" w:color="auto" w:fill="FFFFFF"/>
            <w:vAlign w:val="center"/>
          </w:tcPr>
          <w:p>
            <w:pPr>
              <w:spacing w:line="360" w:lineRule="auto"/>
              <w:jc w:val="center"/>
              <w:rPr>
                <w:rFonts w:ascii="宋体" w:hAnsi="宋体" w:eastAsia="宋体" w:cs="宋体"/>
                <w:sz w:val="24"/>
              </w:rPr>
            </w:pPr>
            <w:r>
              <w:rPr>
                <w:rFonts w:hint="eastAsia" w:ascii="宋体" w:hAnsi="宋体" w:eastAsia="宋体" w:cs="宋体"/>
                <w:sz w:val="24"/>
              </w:rPr>
              <w:t>资源配备计划</w:t>
            </w:r>
          </w:p>
          <w:p>
            <w:pPr>
              <w:spacing w:line="360" w:lineRule="auto"/>
              <w:jc w:val="center"/>
              <w:rPr>
                <w:rFonts w:ascii="宋体" w:hAnsi="宋体" w:eastAsia="宋体" w:cs="宋体"/>
                <w:sz w:val="24"/>
                <w:lang w:val="zh-TW"/>
              </w:rPr>
            </w:pPr>
            <w:r>
              <w:rPr>
                <w:rFonts w:hint="eastAsia" w:ascii="宋体" w:hAnsi="宋体" w:eastAsia="宋体" w:cs="宋体"/>
                <w:sz w:val="24"/>
              </w:rPr>
              <w:t>（6分）</w:t>
            </w:r>
          </w:p>
        </w:tc>
        <w:tc>
          <w:tcPr>
            <w:tcW w:w="6668" w:type="dxa"/>
            <w:tcBorders>
              <w:top w:val="single" w:color="auto" w:sz="4" w:space="0"/>
              <w:left w:val="single" w:color="auto" w:sz="4" w:space="0"/>
              <w:bottom w:val="single" w:color="auto" w:sz="4" w:space="0"/>
              <w:right w:val="single" w:color="auto" w:sz="4" w:space="0"/>
            </w:tcBorders>
            <w:shd w:val="clear" w:color="auto" w:fill="FFFFFF"/>
            <w:vAlign w:val="center"/>
          </w:tcPr>
          <w:p>
            <w:pPr>
              <w:spacing w:line="360" w:lineRule="auto"/>
              <w:jc w:val="left"/>
              <w:rPr>
                <w:rFonts w:ascii="宋体" w:hAnsi="宋体" w:eastAsia="宋体" w:cs="宋体"/>
                <w:sz w:val="24"/>
                <w:lang w:val="zh-TW"/>
              </w:rPr>
            </w:pPr>
            <w:r>
              <w:rPr>
                <w:rFonts w:hint="eastAsia" w:ascii="宋体" w:hAnsi="宋体" w:eastAsia="宋体" w:cs="宋体"/>
                <w:sz w:val="24"/>
              </w:rPr>
              <w:t>施工设备、机具配置齐全、合理，能满足施工进度和工程质量要求。优秀得6-4分；良好得3.9-2分；一般1.9-0分，不合理或其他情况不得分。</w:t>
            </w:r>
          </w:p>
        </w:tc>
      </w:tr>
      <w:tr>
        <w:tblPrEx>
          <w:tblCellMar>
            <w:top w:w="0" w:type="dxa"/>
            <w:left w:w="10" w:type="dxa"/>
            <w:bottom w:w="0" w:type="dxa"/>
            <w:right w:w="10" w:type="dxa"/>
          </w:tblCellMar>
        </w:tblPrEx>
        <w:trPr>
          <w:trHeight w:val="1602" w:hRule="exact"/>
          <w:jc w:val="center"/>
        </w:trPr>
        <w:tc>
          <w:tcPr>
            <w:tcW w:w="914" w:type="dxa"/>
            <w:vMerge w:val="continue"/>
            <w:tcBorders>
              <w:left w:val="single" w:color="auto" w:sz="4" w:space="0"/>
            </w:tcBorders>
            <w:shd w:val="clear" w:color="auto" w:fill="FFFFFF"/>
            <w:vAlign w:val="center"/>
          </w:tcPr>
          <w:p>
            <w:pPr>
              <w:spacing w:line="360" w:lineRule="auto"/>
              <w:rPr>
                <w:rFonts w:ascii="宋体" w:hAnsi="宋体" w:eastAsia="宋体" w:cs="宋体"/>
                <w:sz w:val="24"/>
              </w:rPr>
            </w:pPr>
          </w:p>
        </w:tc>
        <w:tc>
          <w:tcPr>
            <w:tcW w:w="1306" w:type="dxa"/>
            <w:gridSpan w:val="2"/>
            <w:vMerge w:val="continue"/>
            <w:tcBorders>
              <w:left w:val="single" w:color="auto" w:sz="4" w:space="0"/>
            </w:tcBorders>
            <w:shd w:val="clear" w:color="auto" w:fill="FFFFFF"/>
            <w:vAlign w:val="center"/>
          </w:tcPr>
          <w:p>
            <w:pPr>
              <w:spacing w:line="360" w:lineRule="auto"/>
              <w:rPr>
                <w:rFonts w:ascii="宋体" w:hAnsi="宋体" w:eastAsia="宋体" w:cs="宋体"/>
                <w:sz w:val="24"/>
              </w:rPr>
            </w:pPr>
          </w:p>
        </w:tc>
        <w:tc>
          <w:tcPr>
            <w:tcW w:w="1704" w:type="dxa"/>
            <w:tcBorders>
              <w:top w:val="single" w:color="auto" w:sz="4" w:space="0"/>
              <w:left w:val="single" w:color="auto" w:sz="4" w:space="0"/>
              <w:bottom w:val="single" w:color="auto" w:sz="4" w:space="0"/>
              <w:right w:val="single" w:color="auto" w:sz="4" w:space="0"/>
            </w:tcBorders>
            <w:shd w:val="clear" w:color="auto" w:fill="FFFFFF"/>
            <w:vAlign w:val="center"/>
          </w:tcPr>
          <w:p>
            <w:pPr>
              <w:spacing w:line="360" w:lineRule="auto"/>
              <w:jc w:val="center"/>
              <w:rPr>
                <w:rFonts w:ascii="宋体" w:hAnsi="宋体" w:eastAsia="宋体" w:cs="宋体"/>
                <w:sz w:val="24"/>
              </w:rPr>
            </w:pPr>
            <w:r>
              <w:rPr>
                <w:rFonts w:hint="eastAsia" w:ascii="宋体" w:hAnsi="宋体" w:eastAsia="宋体" w:cs="宋体"/>
                <w:sz w:val="24"/>
              </w:rPr>
              <w:t>劳动力投入计划及保证措施</w:t>
            </w:r>
          </w:p>
          <w:p>
            <w:pPr>
              <w:spacing w:line="360" w:lineRule="auto"/>
              <w:jc w:val="center"/>
              <w:rPr>
                <w:rFonts w:ascii="宋体" w:hAnsi="宋体" w:eastAsia="宋体" w:cs="宋体"/>
                <w:sz w:val="24"/>
                <w:lang w:val="zh-TW" w:eastAsia="zh-TW"/>
              </w:rPr>
            </w:pPr>
            <w:r>
              <w:rPr>
                <w:rFonts w:hint="eastAsia" w:ascii="宋体" w:hAnsi="宋体" w:eastAsia="宋体" w:cs="宋体"/>
                <w:sz w:val="24"/>
              </w:rPr>
              <w:t>（5分）</w:t>
            </w:r>
          </w:p>
        </w:tc>
        <w:tc>
          <w:tcPr>
            <w:tcW w:w="6668" w:type="dxa"/>
            <w:tcBorders>
              <w:top w:val="single" w:color="auto" w:sz="4" w:space="0"/>
              <w:left w:val="single" w:color="auto" w:sz="4" w:space="0"/>
              <w:bottom w:val="single" w:color="auto" w:sz="4" w:space="0"/>
              <w:right w:val="single" w:color="auto" w:sz="4" w:space="0"/>
            </w:tcBorders>
            <w:shd w:val="clear" w:color="auto" w:fill="FFFFFF"/>
            <w:vAlign w:val="center"/>
          </w:tcPr>
          <w:p>
            <w:pPr>
              <w:spacing w:line="360" w:lineRule="auto"/>
              <w:jc w:val="left"/>
              <w:rPr>
                <w:rFonts w:ascii="宋体" w:hAnsi="宋体" w:eastAsia="宋体" w:cs="宋体"/>
                <w:sz w:val="24"/>
                <w:lang w:val="zh-TW" w:eastAsia="zh-TW"/>
              </w:rPr>
            </w:pPr>
            <w:r>
              <w:rPr>
                <w:rFonts w:hint="eastAsia" w:ascii="宋体" w:hAnsi="宋体" w:eastAsia="宋体" w:cs="宋体"/>
                <w:sz w:val="24"/>
              </w:rPr>
              <w:t>劳动力的投入能否满足施工需要，投入计划与进度计划是否协调，调配计划是否合理，保证措施是否具体。优秀得5-4分；良好得3.9-2分；一般得1.9-0分，不合理或其他情况不得分。</w:t>
            </w:r>
          </w:p>
        </w:tc>
      </w:tr>
      <w:tr>
        <w:tblPrEx>
          <w:tblCellMar>
            <w:top w:w="0" w:type="dxa"/>
            <w:left w:w="10" w:type="dxa"/>
            <w:bottom w:w="0" w:type="dxa"/>
            <w:right w:w="10" w:type="dxa"/>
          </w:tblCellMar>
        </w:tblPrEx>
        <w:trPr>
          <w:trHeight w:val="1614" w:hRule="exact"/>
          <w:jc w:val="center"/>
        </w:trPr>
        <w:tc>
          <w:tcPr>
            <w:tcW w:w="914" w:type="dxa"/>
            <w:vMerge w:val="continue"/>
            <w:tcBorders>
              <w:left w:val="single" w:color="auto" w:sz="4" w:space="0"/>
            </w:tcBorders>
            <w:shd w:val="clear" w:color="auto" w:fill="FFFFFF"/>
            <w:vAlign w:val="center"/>
          </w:tcPr>
          <w:p>
            <w:pPr>
              <w:spacing w:line="360" w:lineRule="auto"/>
              <w:rPr>
                <w:rFonts w:ascii="宋体" w:hAnsi="宋体" w:eastAsia="宋体" w:cs="宋体"/>
                <w:sz w:val="24"/>
              </w:rPr>
            </w:pPr>
          </w:p>
        </w:tc>
        <w:tc>
          <w:tcPr>
            <w:tcW w:w="1306" w:type="dxa"/>
            <w:gridSpan w:val="2"/>
            <w:vMerge w:val="continue"/>
            <w:tcBorders>
              <w:left w:val="single" w:color="auto" w:sz="4" w:space="0"/>
            </w:tcBorders>
            <w:shd w:val="clear" w:color="auto" w:fill="FFFFFF"/>
            <w:vAlign w:val="center"/>
          </w:tcPr>
          <w:p>
            <w:pPr>
              <w:spacing w:line="360" w:lineRule="auto"/>
              <w:rPr>
                <w:rFonts w:ascii="宋体" w:hAnsi="宋体" w:eastAsia="宋体" w:cs="宋体"/>
                <w:sz w:val="24"/>
              </w:rPr>
            </w:pPr>
          </w:p>
        </w:tc>
        <w:tc>
          <w:tcPr>
            <w:tcW w:w="1704" w:type="dxa"/>
            <w:tcBorders>
              <w:top w:val="single" w:color="auto" w:sz="4" w:space="0"/>
              <w:left w:val="single" w:color="auto" w:sz="4" w:space="0"/>
              <w:bottom w:val="single" w:color="auto" w:sz="4" w:space="0"/>
            </w:tcBorders>
            <w:shd w:val="clear" w:color="auto" w:fill="FFFFFF"/>
            <w:vAlign w:val="center"/>
          </w:tcPr>
          <w:p>
            <w:pPr>
              <w:spacing w:line="360" w:lineRule="auto"/>
              <w:jc w:val="center"/>
              <w:rPr>
                <w:rFonts w:ascii="宋体" w:hAnsi="宋体" w:eastAsia="宋体" w:cs="宋体"/>
                <w:sz w:val="24"/>
              </w:rPr>
            </w:pPr>
            <w:r>
              <w:rPr>
                <w:rFonts w:hint="eastAsia" w:ascii="宋体" w:hAnsi="宋体" w:eastAsia="宋体" w:cs="宋体"/>
                <w:sz w:val="24"/>
              </w:rPr>
              <w:t>工程进度</w:t>
            </w:r>
          </w:p>
          <w:p>
            <w:pPr>
              <w:spacing w:line="360" w:lineRule="auto"/>
              <w:jc w:val="center"/>
              <w:rPr>
                <w:rFonts w:ascii="宋体" w:hAnsi="宋体" w:eastAsia="宋体" w:cs="宋体"/>
                <w:sz w:val="24"/>
                <w:lang w:val="zh-TW" w:eastAsia="zh-TW"/>
              </w:rPr>
            </w:pPr>
            <w:r>
              <w:rPr>
                <w:rFonts w:hint="eastAsia" w:ascii="宋体" w:hAnsi="宋体" w:eastAsia="宋体" w:cs="宋体"/>
                <w:sz w:val="24"/>
              </w:rPr>
              <w:t>计划（6分）</w:t>
            </w:r>
          </w:p>
        </w:tc>
        <w:tc>
          <w:tcPr>
            <w:tcW w:w="6668" w:type="dxa"/>
            <w:tcBorders>
              <w:top w:val="single" w:color="auto" w:sz="4" w:space="0"/>
              <w:left w:val="single" w:color="auto" w:sz="4" w:space="0"/>
              <w:bottom w:val="single" w:color="auto" w:sz="4" w:space="0"/>
              <w:right w:val="single" w:color="auto" w:sz="4" w:space="0"/>
            </w:tcBorders>
            <w:shd w:val="clear" w:color="auto" w:fill="FFFFFF"/>
            <w:vAlign w:val="center"/>
          </w:tcPr>
          <w:p>
            <w:pPr>
              <w:spacing w:line="360" w:lineRule="auto"/>
              <w:jc w:val="left"/>
              <w:rPr>
                <w:rFonts w:ascii="宋体" w:hAnsi="宋体" w:eastAsia="宋体" w:cs="宋体"/>
                <w:sz w:val="24"/>
              </w:rPr>
            </w:pPr>
            <w:r>
              <w:rPr>
                <w:rFonts w:hint="eastAsia" w:ascii="宋体" w:hAnsi="宋体" w:eastAsia="宋体" w:cs="宋体"/>
                <w:sz w:val="24"/>
              </w:rPr>
              <w:t>进度线路是否清晰、准确、完整，关键节点控 制措施是否得力、可操作性强，保证措施是否可靠，违约责任的承诺。优秀得6-4分；良好得3.9-2分；一般1.9-0分，不合理或其他情况不得分。</w:t>
            </w:r>
          </w:p>
        </w:tc>
      </w:tr>
    </w:tbl>
    <w:p>
      <w:pPr>
        <w:pStyle w:val="33"/>
        <w:spacing w:line="360" w:lineRule="auto"/>
        <w:ind w:firstLine="3840" w:firstLineChars="1600"/>
        <w:jc w:val="both"/>
        <w:rPr>
          <w:b w:val="0"/>
          <w:bCs w:val="0"/>
          <w:color w:val="000000"/>
          <w:sz w:val="24"/>
          <w:szCs w:val="24"/>
        </w:rPr>
      </w:pPr>
      <w:r>
        <w:rPr>
          <w:rFonts w:hint="eastAsia"/>
          <w:b w:val="0"/>
          <w:bCs w:val="0"/>
          <w:color w:val="000000"/>
          <w:sz w:val="24"/>
          <w:szCs w:val="24"/>
        </w:rPr>
        <w:t>续</w:t>
      </w:r>
      <w:r>
        <w:rPr>
          <w:rFonts w:hint="eastAsia"/>
          <w:b w:val="0"/>
          <w:bCs w:val="0"/>
          <w:color w:val="000000"/>
          <w:sz w:val="24"/>
          <w:szCs w:val="24"/>
          <w:lang w:val="en-US" w:eastAsia="zh-CN"/>
        </w:rPr>
        <w:t xml:space="preserve">  </w:t>
      </w:r>
      <w:r>
        <w:rPr>
          <w:rFonts w:hint="eastAsia"/>
          <w:b w:val="0"/>
          <w:bCs w:val="0"/>
          <w:color w:val="000000"/>
          <w:sz w:val="24"/>
          <w:szCs w:val="24"/>
        </w:rPr>
        <w:t>表</w:t>
      </w:r>
    </w:p>
    <w:tbl>
      <w:tblPr>
        <w:tblStyle w:val="19"/>
        <w:tblW w:w="10303" w:type="dxa"/>
        <w:jc w:val="center"/>
        <w:tblLayout w:type="fixed"/>
        <w:tblCellMar>
          <w:top w:w="0" w:type="dxa"/>
          <w:left w:w="10" w:type="dxa"/>
          <w:bottom w:w="0" w:type="dxa"/>
          <w:right w:w="10" w:type="dxa"/>
        </w:tblCellMar>
      </w:tblPr>
      <w:tblGrid>
        <w:gridCol w:w="496"/>
        <w:gridCol w:w="1017"/>
        <w:gridCol w:w="2002"/>
        <w:gridCol w:w="6788"/>
      </w:tblGrid>
      <w:tr>
        <w:tblPrEx>
          <w:tblCellMar>
            <w:top w:w="0" w:type="dxa"/>
            <w:left w:w="10" w:type="dxa"/>
            <w:bottom w:w="0" w:type="dxa"/>
            <w:right w:w="10" w:type="dxa"/>
          </w:tblCellMar>
        </w:tblPrEx>
        <w:trPr>
          <w:trHeight w:val="484" w:hRule="exact"/>
          <w:jc w:val="center"/>
        </w:trPr>
        <w:tc>
          <w:tcPr>
            <w:tcW w:w="1513" w:type="dxa"/>
            <w:gridSpan w:val="2"/>
            <w:tcBorders>
              <w:top w:val="single" w:color="auto" w:sz="4" w:space="0"/>
              <w:left w:val="single" w:color="auto" w:sz="4" w:space="0"/>
              <w:bottom w:val="single" w:color="auto" w:sz="4" w:space="0"/>
            </w:tcBorders>
            <w:shd w:val="clear" w:color="auto" w:fill="FFFFFF"/>
            <w:vAlign w:val="center"/>
          </w:tcPr>
          <w:p>
            <w:pPr>
              <w:spacing w:line="360" w:lineRule="auto"/>
              <w:rPr>
                <w:rFonts w:ascii="宋体" w:hAnsi="宋体" w:eastAsia="宋体" w:cs="宋体"/>
                <w:sz w:val="24"/>
              </w:rPr>
            </w:pPr>
            <w:r>
              <w:rPr>
                <w:rFonts w:hint="eastAsia" w:ascii="宋体" w:hAnsi="宋体" w:eastAsia="宋体" w:cs="宋体"/>
                <w:sz w:val="24"/>
              </w:rPr>
              <w:t>条款号及名称</w:t>
            </w:r>
          </w:p>
        </w:tc>
        <w:tc>
          <w:tcPr>
            <w:tcW w:w="2002" w:type="dxa"/>
            <w:tcBorders>
              <w:top w:val="single" w:color="auto" w:sz="4" w:space="0"/>
              <w:left w:val="single" w:color="auto" w:sz="4" w:space="0"/>
              <w:bottom w:val="single" w:color="auto" w:sz="4" w:space="0"/>
            </w:tcBorders>
            <w:shd w:val="clear" w:color="auto" w:fill="FFFFFF"/>
            <w:vAlign w:val="center"/>
          </w:tcPr>
          <w:p>
            <w:pPr>
              <w:spacing w:line="360" w:lineRule="auto"/>
              <w:rPr>
                <w:rFonts w:ascii="宋体" w:hAnsi="宋体" w:eastAsia="宋体" w:cs="宋体"/>
                <w:sz w:val="24"/>
              </w:rPr>
            </w:pPr>
            <w:r>
              <w:rPr>
                <w:rFonts w:hint="eastAsia" w:ascii="宋体" w:hAnsi="宋体" w:eastAsia="宋体" w:cs="宋体"/>
                <w:sz w:val="24"/>
              </w:rPr>
              <w:t>评分因素</w:t>
            </w:r>
          </w:p>
        </w:tc>
        <w:tc>
          <w:tcPr>
            <w:tcW w:w="6788" w:type="dxa"/>
            <w:tcBorders>
              <w:top w:val="single" w:color="auto" w:sz="4" w:space="0"/>
              <w:left w:val="single" w:color="auto" w:sz="4" w:space="0"/>
              <w:bottom w:val="single" w:color="auto" w:sz="4" w:space="0"/>
              <w:right w:val="single" w:color="auto" w:sz="4" w:space="0"/>
            </w:tcBorders>
            <w:shd w:val="clear" w:color="auto" w:fill="FFFFFF"/>
            <w:vAlign w:val="center"/>
          </w:tcPr>
          <w:p>
            <w:pPr>
              <w:spacing w:line="360" w:lineRule="auto"/>
              <w:rPr>
                <w:rFonts w:ascii="宋体" w:hAnsi="宋体" w:eastAsia="宋体" w:cs="宋体"/>
                <w:sz w:val="24"/>
              </w:rPr>
            </w:pPr>
            <w:r>
              <w:rPr>
                <w:rFonts w:hint="eastAsia" w:ascii="宋体" w:hAnsi="宋体" w:eastAsia="宋体" w:cs="宋体"/>
                <w:sz w:val="24"/>
              </w:rPr>
              <w:t>评分标准</w:t>
            </w:r>
          </w:p>
        </w:tc>
      </w:tr>
      <w:tr>
        <w:tblPrEx>
          <w:tblCellMar>
            <w:top w:w="0" w:type="dxa"/>
            <w:left w:w="10" w:type="dxa"/>
            <w:bottom w:w="0" w:type="dxa"/>
            <w:right w:w="10" w:type="dxa"/>
          </w:tblCellMar>
        </w:tblPrEx>
        <w:trPr>
          <w:trHeight w:val="1773" w:hRule="exact"/>
          <w:jc w:val="center"/>
        </w:trPr>
        <w:tc>
          <w:tcPr>
            <w:tcW w:w="496" w:type="dxa"/>
            <w:vMerge w:val="restart"/>
            <w:tcBorders>
              <w:top w:val="single" w:color="auto" w:sz="4" w:space="0"/>
              <w:left w:val="single" w:color="auto" w:sz="4" w:space="0"/>
            </w:tcBorders>
            <w:shd w:val="clear" w:color="auto" w:fill="FFFFFF"/>
            <w:vAlign w:val="center"/>
          </w:tcPr>
          <w:p>
            <w:pPr>
              <w:spacing w:line="360" w:lineRule="auto"/>
              <w:ind w:firstLine="240" w:firstLineChars="100"/>
              <w:rPr>
                <w:rFonts w:ascii="宋体" w:hAnsi="宋体" w:eastAsia="宋体" w:cs="宋体"/>
                <w:sz w:val="24"/>
              </w:rPr>
            </w:pPr>
            <w:r>
              <w:rPr>
                <w:rFonts w:hint="eastAsia" w:ascii="宋体" w:hAnsi="宋体" w:eastAsia="宋体" w:cs="宋体"/>
                <w:sz w:val="24"/>
                <w:lang w:eastAsia="en-US"/>
              </w:rPr>
              <w:t>3.3</w:t>
            </w:r>
          </w:p>
          <w:p>
            <w:pPr>
              <w:spacing w:line="360" w:lineRule="auto"/>
              <w:ind w:firstLine="240" w:firstLineChars="100"/>
              <w:rPr>
                <w:rFonts w:ascii="宋体" w:hAnsi="宋体" w:eastAsia="宋体" w:cs="宋体"/>
                <w:sz w:val="24"/>
              </w:rPr>
            </w:pPr>
            <w:r>
              <w:rPr>
                <w:rFonts w:hint="eastAsia" w:ascii="宋体" w:hAnsi="宋体" w:eastAsia="宋体" w:cs="宋体"/>
                <w:sz w:val="24"/>
              </w:rPr>
              <w:t>(2)</w:t>
            </w:r>
          </w:p>
        </w:tc>
        <w:tc>
          <w:tcPr>
            <w:tcW w:w="1017" w:type="dxa"/>
            <w:vMerge w:val="restart"/>
            <w:tcBorders>
              <w:top w:val="single" w:color="auto" w:sz="4" w:space="0"/>
              <w:left w:val="single" w:color="auto" w:sz="4" w:space="0"/>
            </w:tcBorders>
            <w:shd w:val="clear" w:color="auto" w:fill="FFFFFF"/>
            <w:vAlign w:val="center"/>
          </w:tcPr>
          <w:p>
            <w:pPr>
              <w:spacing w:line="360" w:lineRule="auto"/>
              <w:rPr>
                <w:rFonts w:ascii="宋体" w:hAnsi="宋体" w:eastAsia="宋体" w:cs="宋体"/>
                <w:sz w:val="24"/>
              </w:rPr>
            </w:pPr>
            <w:r>
              <w:rPr>
                <w:rFonts w:hint="eastAsia" w:ascii="宋体" w:hAnsi="宋体" w:eastAsia="宋体" w:cs="宋体"/>
                <w:sz w:val="24"/>
              </w:rPr>
              <w:t>技术实力 标准（15分）</w:t>
            </w:r>
          </w:p>
        </w:tc>
        <w:tc>
          <w:tcPr>
            <w:tcW w:w="2002" w:type="dxa"/>
            <w:tcBorders>
              <w:top w:val="single" w:color="auto" w:sz="4" w:space="0"/>
              <w:left w:val="single" w:color="auto" w:sz="4" w:space="0"/>
            </w:tcBorders>
            <w:shd w:val="clear" w:color="auto" w:fill="FFFFFF"/>
            <w:vAlign w:val="center"/>
          </w:tcPr>
          <w:p>
            <w:pPr>
              <w:spacing w:line="360" w:lineRule="auto"/>
              <w:jc w:val="center"/>
              <w:rPr>
                <w:rFonts w:ascii="宋体" w:hAnsi="宋体" w:eastAsia="宋体" w:cs="宋体"/>
                <w:sz w:val="24"/>
              </w:rPr>
            </w:pPr>
            <w:r>
              <w:rPr>
                <w:rFonts w:hint="eastAsia" w:ascii="宋体" w:hAnsi="宋体" w:eastAsia="宋体" w:cs="宋体"/>
                <w:sz w:val="24"/>
              </w:rPr>
              <w:t>投标人业绩类似工程经历</w:t>
            </w:r>
          </w:p>
          <w:p>
            <w:pPr>
              <w:spacing w:line="360" w:lineRule="auto"/>
              <w:jc w:val="center"/>
              <w:rPr>
                <w:rFonts w:ascii="宋体" w:hAnsi="宋体" w:eastAsia="宋体" w:cs="宋体"/>
                <w:sz w:val="24"/>
                <w:lang w:val="zh-TW" w:eastAsia="zh-TW"/>
              </w:rPr>
            </w:pPr>
            <w:r>
              <w:rPr>
                <w:rFonts w:hint="eastAsia" w:ascii="宋体" w:hAnsi="宋体" w:eastAsia="宋体" w:cs="宋体"/>
                <w:sz w:val="24"/>
              </w:rPr>
              <w:t>（10分）</w:t>
            </w:r>
          </w:p>
        </w:tc>
        <w:tc>
          <w:tcPr>
            <w:tcW w:w="6788" w:type="dxa"/>
            <w:tcBorders>
              <w:top w:val="single" w:color="auto" w:sz="4" w:space="0"/>
              <w:left w:val="single" w:color="auto" w:sz="4" w:space="0"/>
              <w:right w:val="single" w:color="auto" w:sz="4" w:space="0"/>
            </w:tcBorders>
            <w:shd w:val="clear" w:color="auto" w:fill="FFFFFF"/>
            <w:vAlign w:val="center"/>
          </w:tcPr>
          <w:p>
            <w:pPr>
              <w:spacing w:line="360" w:lineRule="auto"/>
              <w:rPr>
                <w:rFonts w:ascii="宋体" w:hAnsi="宋体" w:eastAsia="宋体" w:cs="宋体"/>
                <w:sz w:val="24"/>
                <w:lang w:val="zh-TW"/>
              </w:rPr>
            </w:pPr>
            <w:r>
              <w:rPr>
                <w:rFonts w:hint="eastAsia" w:ascii="宋体" w:hAnsi="宋体" w:eastAsia="宋体" w:cs="宋体"/>
                <w:sz w:val="24"/>
              </w:rPr>
              <w:t>投标人须提供近3年（2019年07月</w:t>
            </w:r>
            <w:r>
              <w:rPr>
                <w:rFonts w:hint="eastAsia" w:ascii="宋体" w:hAnsi="宋体" w:eastAsia="宋体" w:cs="宋体"/>
                <w:sz w:val="24"/>
                <w:lang w:val="en-US" w:eastAsia="zh-CN"/>
              </w:rPr>
              <w:t>29</w:t>
            </w:r>
            <w:r>
              <w:rPr>
                <w:rFonts w:hint="eastAsia" w:ascii="宋体" w:hAnsi="宋体" w:eastAsia="宋体" w:cs="宋体"/>
                <w:sz w:val="24"/>
              </w:rPr>
              <w:t>日-2022年07月</w:t>
            </w:r>
            <w:r>
              <w:rPr>
                <w:rFonts w:hint="eastAsia" w:ascii="宋体" w:hAnsi="宋体" w:eastAsia="宋体" w:cs="宋体"/>
                <w:sz w:val="24"/>
                <w:lang w:val="en-US" w:eastAsia="zh-CN"/>
              </w:rPr>
              <w:t>28</w:t>
            </w:r>
            <w:r>
              <w:rPr>
                <w:rFonts w:hint="eastAsia" w:ascii="宋体" w:hAnsi="宋体" w:eastAsia="宋体" w:cs="宋体"/>
                <w:sz w:val="24"/>
              </w:rPr>
              <w:t>日）每增加一个类似项目业绩得2分，最高得 10 分；业绩以（中标（成交）通知书、双方签订的合同协议书为准）。</w:t>
            </w:r>
          </w:p>
        </w:tc>
      </w:tr>
      <w:tr>
        <w:tblPrEx>
          <w:tblCellMar>
            <w:top w:w="0" w:type="dxa"/>
            <w:left w:w="10" w:type="dxa"/>
            <w:bottom w:w="0" w:type="dxa"/>
            <w:right w:w="10" w:type="dxa"/>
          </w:tblCellMar>
        </w:tblPrEx>
        <w:trPr>
          <w:trHeight w:val="2363" w:hRule="exact"/>
          <w:jc w:val="center"/>
        </w:trPr>
        <w:tc>
          <w:tcPr>
            <w:tcW w:w="496" w:type="dxa"/>
            <w:vMerge w:val="continue"/>
            <w:tcBorders>
              <w:left w:val="single" w:color="auto" w:sz="4" w:space="0"/>
              <w:bottom w:val="single" w:color="auto" w:sz="4" w:space="0"/>
            </w:tcBorders>
            <w:shd w:val="clear" w:color="auto" w:fill="FFFFFF"/>
            <w:vAlign w:val="center"/>
          </w:tcPr>
          <w:p>
            <w:pPr>
              <w:spacing w:line="360" w:lineRule="auto"/>
              <w:rPr>
                <w:rFonts w:ascii="宋体" w:hAnsi="宋体" w:eastAsia="宋体" w:cs="宋体"/>
                <w:sz w:val="24"/>
              </w:rPr>
            </w:pPr>
          </w:p>
        </w:tc>
        <w:tc>
          <w:tcPr>
            <w:tcW w:w="1017" w:type="dxa"/>
            <w:vMerge w:val="continue"/>
            <w:tcBorders>
              <w:left w:val="single" w:color="auto" w:sz="4" w:space="0"/>
              <w:bottom w:val="single" w:color="auto" w:sz="4" w:space="0"/>
            </w:tcBorders>
            <w:shd w:val="clear" w:color="auto" w:fill="FFFFFF"/>
            <w:vAlign w:val="center"/>
          </w:tcPr>
          <w:p>
            <w:pPr>
              <w:spacing w:line="360" w:lineRule="auto"/>
              <w:rPr>
                <w:rFonts w:ascii="宋体" w:hAnsi="宋体" w:eastAsia="宋体" w:cs="宋体"/>
                <w:sz w:val="24"/>
              </w:rPr>
            </w:pPr>
          </w:p>
        </w:tc>
        <w:tc>
          <w:tcPr>
            <w:tcW w:w="2002" w:type="dxa"/>
            <w:tcBorders>
              <w:top w:val="single" w:color="auto" w:sz="4" w:space="0"/>
              <w:left w:val="single" w:color="auto" w:sz="4" w:space="0"/>
              <w:bottom w:val="single" w:color="auto" w:sz="4" w:space="0"/>
            </w:tcBorders>
            <w:shd w:val="clear" w:color="auto" w:fill="FFFFFF"/>
            <w:vAlign w:val="center"/>
          </w:tcPr>
          <w:p>
            <w:pPr>
              <w:spacing w:line="360" w:lineRule="auto"/>
              <w:jc w:val="center"/>
              <w:rPr>
                <w:rFonts w:ascii="宋体" w:hAnsi="宋体" w:eastAsia="宋体" w:cs="宋体"/>
                <w:sz w:val="24"/>
              </w:rPr>
            </w:pPr>
            <w:r>
              <w:rPr>
                <w:rFonts w:hint="eastAsia" w:ascii="宋体" w:hAnsi="宋体" w:eastAsia="宋体" w:cs="宋体"/>
                <w:sz w:val="24"/>
              </w:rPr>
              <w:t>项目班子组成</w:t>
            </w:r>
          </w:p>
          <w:p>
            <w:pPr>
              <w:spacing w:line="360" w:lineRule="auto"/>
              <w:jc w:val="center"/>
              <w:rPr>
                <w:rFonts w:ascii="宋体" w:hAnsi="宋体" w:eastAsia="宋体" w:cs="宋体"/>
                <w:sz w:val="24"/>
              </w:rPr>
            </w:pPr>
            <w:r>
              <w:rPr>
                <w:rFonts w:hint="eastAsia" w:ascii="宋体" w:hAnsi="宋体" w:eastAsia="宋体" w:cs="宋体"/>
                <w:sz w:val="24"/>
              </w:rPr>
              <w:t>（5分）</w:t>
            </w:r>
          </w:p>
        </w:tc>
        <w:tc>
          <w:tcPr>
            <w:tcW w:w="6788" w:type="dxa"/>
            <w:tcBorders>
              <w:top w:val="single" w:color="auto" w:sz="4" w:space="0"/>
              <w:left w:val="single" w:color="auto" w:sz="4" w:space="0"/>
              <w:bottom w:val="single" w:color="auto" w:sz="4" w:space="0"/>
              <w:right w:val="single" w:color="auto" w:sz="4" w:space="0"/>
            </w:tcBorders>
            <w:shd w:val="clear" w:color="auto" w:fill="FFFFFF"/>
            <w:vAlign w:val="center"/>
          </w:tcPr>
          <w:p>
            <w:pPr>
              <w:spacing w:line="360" w:lineRule="auto"/>
              <w:rPr>
                <w:rFonts w:ascii="宋体" w:hAnsi="宋体" w:eastAsia="宋体" w:cs="宋体"/>
                <w:sz w:val="24"/>
              </w:rPr>
            </w:pPr>
            <w:r>
              <w:rPr>
                <w:rFonts w:hint="eastAsia" w:ascii="宋体" w:hAnsi="宋体" w:eastAsia="宋体" w:cs="宋体"/>
                <w:sz w:val="24"/>
              </w:rPr>
              <w:t>项目管理班子成员依据《青海省建筑工程施工现场主要管理人员配备办法》要求，配备施工项目部主要管理人员（附施工项目部主要管理人员配备标准）项目管理班子管理人员配备齐全的得5分，本项目每缺少一人扣一分，扣完为止；（项目管理班子成员需提供岗位资格证书和社保缴纳证明）。</w:t>
            </w:r>
          </w:p>
        </w:tc>
      </w:tr>
      <w:tr>
        <w:tblPrEx>
          <w:tblCellMar>
            <w:top w:w="0" w:type="dxa"/>
            <w:left w:w="10" w:type="dxa"/>
            <w:bottom w:w="0" w:type="dxa"/>
            <w:right w:w="10" w:type="dxa"/>
          </w:tblCellMar>
        </w:tblPrEx>
        <w:trPr>
          <w:trHeight w:val="1490" w:hRule="exact"/>
          <w:jc w:val="center"/>
        </w:trPr>
        <w:tc>
          <w:tcPr>
            <w:tcW w:w="496" w:type="dxa"/>
            <w:tcBorders>
              <w:top w:val="single" w:color="auto" w:sz="4" w:space="0"/>
              <w:left w:val="single" w:color="auto" w:sz="4" w:space="0"/>
            </w:tcBorders>
            <w:shd w:val="clear" w:color="auto" w:fill="FFFFFF"/>
            <w:vAlign w:val="center"/>
          </w:tcPr>
          <w:p>
            <w:pPr>
              <w:pStyle w:val="31"/>
              <w:spacing w:line="360" w:lineRule="auto"/>
              <w:jc w:val="center"/>
              <w:rPr>
                <w:sz w:val="24"/>
              </w:rPr>
            </w:pPr>
            <w:r>
              <w:rPr>
                <w:rFonts w:hint="eastAsia"/>
                <w:color w:val="000000"/>
                <w:sz w:val="24"/>
                <w:lang w:val="en-US" w:eastAsia="en-US" w:bidi="en-US"/>
              </w:rPr>
              <w:t>3.3</w:t>
            </w:r>
          </w:p>
          <w:p>
            <w:pPr>
              <w:pStyle w:val="31"/>
              <w:spacing w:line="360" w:lineRule="auto"/>
              <w:jc w:val="center"/>
              <w:rPr>
                <w:sz w:val="24"/>
              </w:rPr>
            </w:pPr>
            <w:r>
              <w:rPr>
                <w:rFonts w:hint="eastAsia"/>
                <w:color w:val="000000"/>
                <w:sz w:val="24"/>
              </w:rPr>
              <w:t>(</w:t>
            </w:r>
            <w:r>
              <w:rPr>
                <w:rFonts w:hint="eastAsia"/>
                <w:color w:val="000000"/>
                <w:sz w:val="24"/>
                <w:lang w:val="en-US" w:eastAsia="zh-CN"/>
              </w:rPr>
              <w:t>3</w:t>
            </w:r>
            <w:r>
              <w:rPr>
                <w:rFonts w:hint="eastAsia"/>
                <w:color w:val="000000"/>
                <w:sz w:val="24"/>
              </w:rPr>
              <w:t>)</w:t>
            </w:r>
          </w:p>
        </w:tc>
        <w:tc>
          <w:tcPr>
            <w:tcW w:w="1017" w:type="dxa"/>
            <w:tcBorders>
              <w:top w:val="single" w:color="auto" w:sz="4" w:space="0"/>
              <w:left w:val="single" w:color="auto" w:sz="4" w:space="0"/>
            </w:tcBorders>
            <w:shd w:val="clear" w:color="auto" w:fill="FFFFFF"/>
            <w:vAlign w:val="center"/>
          </w:tcPr>
          <w:p>
            <w:pPr>
              <w:pStyle w:val="31"/>
              <w:spacing w:line="360" w:lineRule="auto"/>
              <w:jc w:val="center"/>
              <w:rPr>
                <w:sz w:val="24"/>
              </w:rPr>
            </w:pPr>
            <w:r>
              <w:rPr>
                <w:rFonts w:hint="eastAsia"/>
                <w:color w:val="000000"/>
                <w:sz w:val="24"/>
              </w:rPr>
              <w:t>报价评分 标准</w:t>
            </w:r>
          </w:p>
        </w:tc>
        <w:tc>
          <w:tcPr>
            <w:tcW w:w="8790" w:type="dxa"/>
            <w:gridSpan w:val="2"/>
            <w:tcBorders>
              <w:top w:val="single" w:color="auto" w:sz="4" w:space="0"/>
              <w:left w:val="single" w:color="auto" w:sz="4" w:space="0"/>
              <w:right w:val="single" w:color="auto" w:sz="4" w:space="0"/>
            </w:tcBorders>
            <w:shd w:val="clear" w:color="auto" w:fill="FFFFFF"/>
            <w:vAlign w:val="center"/>
          </w:tcPr>
          <w:p>
            <w:pPr>
              <w:pStyle w:val="31"/>
              <w:spacing w:line="360" w:lineRule="auto"/>
              <w:jc w:val="left"/>
              <w:rPr>
                <w:sz w:val="24"/>
                <w:lang w:val="en-US" w:eastAsia="zh-CN"/>
              </w:rPr>
            </w:pPr>
            <w:r>
              <w:rPr>
                <w:rFonts w:hint="eastAsia"/>
                <w:color w:val="000000"/>
                <w:sz w:val="24"/>
              </w:rPr>
              <w:sym w:font="Wingdings 2" w:char="0052"/>
            </w:r>
            <w:r>
              <w:rPr>
                <w:rFonts w:hint="eastAsia"/>
                <w:color w:val="000000"/>
                <w:sz w:val="24"/>
              </w:rPr>
              <w:t>方法一：</w:t>
            </w:r>
            <w:r>
              <w:rPr>
                <w:rFonts w:hint="eastAsia"/>
                <w:color w:val="000000"/>
                <w:sz w:val="24"/>
                <w:lang w:val="en-US" w:eastAsia="en-US" w:bidi="en-US"/>
              </w:rPr>
              <w:t xml:space="preserve">Ei </w:t>
            </w:r>
            <w:r>
              <w:rPr>
                <w:rFonts w:hint="eastAsia"/>
                <w:color w:val="000000"/>
                <w:sz w:val="24"/>
                <w:lang w:val="en-US" w:eastAsia="zh-CN"/>
              </w:rPr>
              <w:t>=</w:t>
            </w:r>
            <w:r>
              <w:rPr>
                <w:rFonts w:hint="eastAsia"/>
                <w:color w:val="000000"/>
                <w:sz w:val="24"/>
                <w:u w:val="single"/>
                <w:lang w:val="en-US" w:eastAsia="zh-CN"/>
              </w:rPr>
              <w:t xml:space="preserve">   1       </w:t>
            </w:r>
            <w:r>
              <w:rPr>
                <w:rFonts w:hint="eastAsia"/>
                <w:color w:val="000000"/>
                <w:sz w:val="24"/>
                <w:lang w:val="en-US" w:eastAsia="zh-CN"/>
              </w:rPr>
              <w:t>,</w:t>
            </w:r>
            <w:r>
              <w:rPr>
                <w:rFonts w:hint="eastAsia"/>
                <w:color w:val="000000"/>
                <w:sz w:val="24"/>
                <w:lang w:val="en-US" w:eastAsia="en-US" w:bidi="en-US"/>
              </w:rPr>
              <w:t>E</w:t>
            </w:r>
            <w:r>
              <w:rPr>
                <w:rFonts w:hint="eastAsia"/>
                <w:color w:val="000000"/>
                <w:sz w:val="24"/>
                <w:vertAlign w:val="subscript"/>
                <w:lang w:val="en-US" w:eastAsia="en-US" w:bidi="en-US"/>
              </w:rPr>
              <w:t>2</w:t>
            </w:r>
            <w:r>
              <w:rPr>
                <w:rFonts w:hint="eastAsia"/>
                <w:color w:val="000000"/>
                <w:sz w:val="24"/>
                <w:lang w:val="en-US" w:eastAsia="en-US" w:bidi="en-US"/>
              </w:rPr>
              <w:t>=</w:t>
            </w:r>
            <w:r>
              <w:rPr>
                <w:rFonts w:hint="eastAsia"/>
                <w:color w:val="000000"/>
                <w:sz w:val="24"/>
                <w:u w:val="single"/>
                <w:lang w:val="en-US" w:eastAsia="zh-CN" w:bidi="en-US"/>
              </w:rPr>
              <w:t xml:space="preserve">   0.5    </w:t>
            </w:r>
          </w:p>
          <w:p>
            <w:pPr>
              <w:pStyle w:val="31"/>
              <w:spacing w:line="360" w:lineRule="auto"/>
              <w:rPr>
                <w:sz w:val="24"/>
              </w:rPr>
            </w:pPr>
            <w:r>
              <w:rPr>
                <w:rFonts w:hint="eastAsia"/>
                <w:color w:val="000000"/>
                <w:sz w:val="24"/>
              </w:rPr>
              <w:sym w:font="Wingdings 2" w:char="00A3"/>
            </w:r>
            <w:r>
              <w:rPr>
                <w:rFonts w:hint="eastAsia"/>
                <w:color w:val="000000"/>
                <w:sz w:val="24"/>
              </w:rPr>
              <w:t>方法二</w:t>
            </w:r>
          </w:p>
          <w:p>
            <w:pPr>
              <w:pStyle w:val="31"/>
              <w:spacing w:line="360" w:lineRule="auto"/>
              <w:rPr>
                <w:sz w:val="24"/>
              </w:rPr>
            </w:pPr>
            <w:r>
              <w:rPr>
                <w:rFonts w:hint="eastAsia"/>
                <w:color w:val="000000"/>
                <w:sz w:val="24"/>
              </w:rPr>
              <w:t>口方法三：具体方</w:t>
            </w:r>
            <w:r>
              <w:rPr>
                <w:rFonts w:hint="eastAsia"/>
                <w:color w:val="000000"/>
                <w:sz w:val="24"/>
                <w:lang w:val="en-US" w:eastAsia="zh-CN"/>
              </w:rPr>
              <w:t>法为</w:t>
            </w:r>
            <w:r>
              <w:rPr>
                <w:rFonts w:hint="eastAsia"/>
                <w:color w:val="000000"/>
                <w:sz w:val="24"/>
                <w:u w:val="single"/>
                <w:lang w:val="en-US" w:eastAsia="zh-CN"/>
              </w:rPr>
              <w:t xml:space="preserve">                                                    </w:t>
            </w:r>
          </w:p>
        </w:tc>
      </w:tr>
      <w:tr>
        <w:tblPrEx>
          <w:tblCellMar>
            <w:top w:w="0" w:type="dxa"/>
            <w:left w:w="10" w:type="dxa"/>
            <w:bottom w:w="0" w:type="dxa"/>
            <w:right w:w="10" w:type="dxa"/>
          </w:tblCellMar>
        </w:tblPrEx>
        <w:trPr>
          <w:trHeight w:val="1408" w:hRule="exact"/>
          <w:jc w:val="center"/>
        </w:trPr>
        <w:tc>
          <w:tcPr>
            <w:tcW w:w="496" w:type="dxa"/>
            <w:tcBorders>
              <w:top w:val="single" w:color="auto" w:sz="4" w:space="0"/>
              <w:left w:val="single" w:color="auto" w:sz="4" w:space="0"/>
            </w:tcBorders>
            <w:shd w:val="clear" w:color="auto" w:fill="FFFFFF"/>
            <w:vAlign w:val="center"/>
          </w:tcPr>
          <w:p>
            <w:pPr>
              <w:pStyle w:val="31"/>
              <w:spacing w:line="360" w:lineRule="auto"/>
              <w:jc w:val="center"/>
              <w:rPr>
                <w:sz w:val="24"/>
              </w:rPr>
            </w:pPr>
            <w:r>
              <w:rPr>
                <w:rFonts w:hint="eastAsia"/>
                <w:color w:val="000000"/>
                <w:sz w:val="24"/>
                <w:lang w:val="en-US" w:eastAsia="en-US" w:bidi="en-US"/>
              </w:rPr>
              <w:t>3. 3</w:t>
            </w:r>
          </w:p>
          <w:p>
            <w:pPr>
              <w:pStyle w:val="31"/>
              <w:spacing w:line="360" w:lineRule="auto"/>
              <w:jc w:val="center"/>
              <w:rPr>
                <w:sz w:val="24"/>
              </w:rPr>
            </w:pPr>
            <w:r>
              <w:rPr>
                <w:rFonts w:hint="eastAsia"/>
                <w:color w:val="000000"/>
                <w:sz w:val="24"/>
              </w:rPr>
              <w:t>(</w:t>
            </w:r>
            <w:r>
              <w:rPr>
                <w:rFonts w:hint="eastAsia"/>
                <w:color w:val="000000"/>
                <w:sz w:val="24"/>
                <w:lang w:val="en-US" w:eastAsia="zh-CN"/>
              </w:rPr>
              <w:t>4</w:t>
            </w:r>
            <w:r>
              <w:rPr>
                <w:rFonts w:hint="eastAsia"/>
                <w:color w:val="000000"/>
                <w:sz w:val="24"/>
              </w:rPr>
              <w:t>)</w:t>
            </w:r>
          </w:p>
        </w:tc>
        <w:tc>
          <w:tcPr>
            <w:tcW w:w="1017" w:type="dxa"/>
            <w:tcBorders>
              <w:top w:val="single" w:color="auto" w:sz="4" w:space="0"/>
              <w:left w:val="single" w:color="auto" w:sz="4" w:space="0"/>
            </w:tcBorders>
            <w:shd w:val="clear" w:color="auto" w:fill="FFFFFF"/>
            <w:vAlign w:val="center"/>
          </w:tcPr>
          <w:p>
            <w:pPr>
              <w:pStyle w:val="31"/>
              <w:spacing w:line="360" w:lineRule="auto"/>
              <w:jc w:val="center"/>
              <w:rPr>
                <w:sz w:val="24"/>
              </w:rPr>
            </w:pPr>
            <w:r>
              <w:rPr>
                <w:rFonts w:hint="eastAsia"/>
                <w:color w:val="000000"/>
                <w:sz w:val="24"/>
              </w:rPr>
              <w:t>其他因素 评分标准</w:t>
            </w:r>
          </w:p>
        </w:tc>
        <w:tc>
          <w:tcPr>
            <w:tcW w:w="2002" w:type="dxa"/>
            <w:tcBorders>
              <w:top w:val="single" w:color="auto" w:sz="4" w:space="0"/>
              <w:left w:val="single" w:color="auto" w:sz="4" w:space="0"/>
            </w:tcBorders>
            <w:shd w:val="clear" w:color="auto" w:fill="FFFFFF"/>
            <w:vAlign w:val="center"/>
          </w:tcPr>
          <w:p>
            <w:pPr>
              <w:pStyle w:val="31"/>
              <w:tabs>
                <w:tab w:val="left" w:leader="dot" w:pos="384"/>
              </w:tabs>
              <w:spacing w:line="360" w:lineRule="auto"/>
              <w:jc w:val="center"/>
              <w:rPr>
                <w:sz w:val="24"/>
              </w:rPr>
            </w:pPr>
            <w:r>
              <w:rPr>
                <w:rFonts w:hint="eastAsia"/>
                <w:color w:val="000000"/>
                <w:sz w:val="24"/>
                <w:lang w:val="en-US" w:eastAsia="en-US" w:bidi="en-US"/>
              </w:rPr>
              <w:tab/>
            </w:r>
          </w:p>
        </w:tc>
        <w:tc>
          <w:tcPr>
            <w:tcW w:w="6788" w:type="dxa"/>
            <w:tcBorders>
              <w:top w:val="single" w:color="auto" w:sz="4" w:space="0"/>
              <w:left w:val="single" w:color="auto" w:sz="4" w:space="0"/>
              <w:right w:val="single" w:color="auto" w:sz="4" w:space="0"/>
            </w:tcBorders>
            <w:shd w:val="clear" w:color="auto" w:fill="FFFFFF"/>
            <w:vAlign w:val="center"/>
          </w:tcPr>
          <w:p>
            <w:pPr>
              <w:pStyle w:val="31"/>
              <w:tabs>
                <w:tab w:val="left" w:leader="dot" w:pos="679"/>
              </w:tabs>
              <w:spacing w:line="360" w:lineRule="auto"/>
              <w:jc w:val="left"/>
              <w:rPr>
                <w:sz w:val="24"/>
              </w:rPr>
            </w:pPr>
            <w:r>
              <w:rPr>
                <w:rFonts w:hint="eastAsia"/>
                <w:color w:val="000000"/>
                <w:sz w:val="24"/>
                <w:lang w:val="en-US" w:eastAsia="en-US" w:bidi="en-US"/>
              </w:rPr>
              <w:tab/>
            </w:r>
          </w:p>
        </w:tc>
      </w:tr>
      <w:tr>
        <w:tblPrEx>
          <w:tblCellMar>
            <w:top w:w="0" w:type="dxa"/>
            <w:left w:w="10" w:type="dxa"/>
            <w:bottom w:w="0" w:type="dxa"/>
            <w:right w:w="10" w:type="dxa"/>
          </w:tblCellMar>
        </w:tblPrEx>
        <w:trPr>
          <w:trHeight w:val="810" w:hRule="exact"/>
          <w:jc w:val="center"/>
        </w:trPr>
        <w:tc>
          <w:tcPr>
            <w:tcW w:w="1513" w:type="dxa"/>
            <w:gridSpan w:val="2"/>
            <w:tcBorders>
              <w:top w:val="single" w:color="auto" w:sz="4" w:space="0"/>
              <w:left w:val="single" w:color="auto" w:sz="4" w:space="0"/>
              <w:bottom w:val="single" w:color="auto" w:sz="4" w:space="0"/>
            </w:tcBorders>
            <w:shd w:val="clear" w:color="auto" w:fill="FFFFFF"/>
          </w:tcPr>
          <w:p>
            <w:pPr>
              <w:pStyle w:val="31"/>
              <w:spacing w:line="360" w:lineRule="auto"/>
              <w:jc w:val="center"/>
              <w:rPr>
                <w:sz w:val="24"/>
              </w:rPr>
            </w:pPr>
            <w:r>
              <w:rPr>
                <w:rFonts w:hint="eastAsia"/>
                <w:color w:val="000000"/>
                <w:sz w:val="24"/>
              </w:rPr>
              <w:t>条款号</w:t>
            </w:r>
          </w:p>
        </w:tc>
        <w:tc>
          <w:tcPr>
            <w:tcW w:w="2002" w:type="dxa"/>
            <w:tcBorders>
              <w:top w:val="single" w:color="auto" w:sz="4" w:space="0"/>
              <w:left w:val="single" w:color="auto" w:sz="4" w:space="0"/>
              <w:bottom w:val="single" w:color="auto" w:sz="4" w:space="0"/>
            </w:tcBorders>
            <w:shd w:val="clear" w:color="auto" w:fill="FFFFFF"/>
          </w:tcPr>
          <w:p>
            <w:pPr>
              <w:pStyle w:val="31"/>
              <w:spacing w:line="360" w:lineRule="auto"/>
              <w:jc w:val="center"/>
              <w:rPr>
                <w:sz w:val="24"/>
              </w:rPr>
            </w:pPr>
            <w:r>
              <w:rPr>
                <w:rFonts w:hint="eastAsia"/>
                <w:color w:val="000000"/>
                <w:sz w:val="24"/>
              </w:rPr>
              <w:t>条款内容</w:t>
            </w:r>
          </w:p>
        </w:tc>
        <w:tc>
          <w:tcPr>
            <w:tcW w:w="6788" w:type="dxa"/>
            <w:tcBorders>
              <w:top w:val="single" w:color="auto" w:sz="4" w:space="0"/>
              <w:left w:val="single" w:color="auto" w:sz="4" w:space="0"/>
              <w:bottom w:val="single" w:color="auto" w:sz="4" w:space="0"/>
              <w:right w:val="single" w:color="auto" w:sz="4" w:space="0"/>
            </w:tcBorders>
            <w:shd w:val="clear" w:color="auto" w:fill="FFFFFF"/>
          </w:tcPr>
          <w:p>
            <w:pPr>
              <w:pStyle w:val="31"/>
              <w:spacing w:line="360" w:lineRule="auto"/>
              <w:jc w:val="center"/>
              <w:rPr>
                <w:sz w:val="24"/>
              </w:rPr>
            </w:pPr>
            <w:r>
              <w:rPr>
                <w:rFonts w:hint="eastAsia"/>
                <w:color w:val="000000"/>
                <w:sz w:val="24"/>
              </w:rPr>
              <w:t>编列内容</w:t>
            </w:r>
          </w:p>
        </w:tc>
      </w:tr>
      <w:tr>
        <w:tblPrEx>
          <w:tblCellMar>
            <w:top w:w="0" w:type="dxa"/>
            <w:left w:w="10" w:type="dxa"/>
            <w:bottom w:w="0" w:type="dxa"/>
            <w:right w:w="10" w:type="dxa"/>
          </w:tblCellMar>
        </w:tblPrEx>
        <w:trPr>
          <w:trHeight w:val="3742" w:hRule="exact"/>
          <w:jc w:val="center"/>
        </w:trPr>
        <w:tc>
          <w:tcPr>
            <w:tcW w:w="1513" w:type="dxa"/>
            <w:gridSpan w:val="2"/>
            <w:tcBorders>
              <w:top w:val="single" w:color="auto" w:sz="4" w:space="0"/>
              <w:left w:val="single" w:color="auto" w:sz="4" w:space="0"/>
              <w:bottom w:val="single" w:color="auto" w:sz="4" w:space="0"/>
              <w:right w:val="single" w:color="auto" w:sz="4" w:space="0"/>
            </w:tcBorders>
            <w:shd w:val="clear" w:color="auto" w:fill="FFFFFF"/>
            <w:vAlign w:val="center"/>
          </w:tcPr>
          <w:p>
            <w:pPr>
              <w:pStyle w:val="31"/>
              <w:spacing w:line="360" w:lineRule="auto"/>
              <w:jc w:val="center"/>
              <w:rPr>
                <w:sz w:val="24"/>
              </w:rPr>
            </w:pPr>
            <w:r>
              <w:rPr>
                <w:rFonts w:hint="eastAsia"/>
                <w:color w:val="000000"/>
                <w:sz w:val="24"/>
                <w:lang w:val="en-US" w:eastAsia="en-US" w:bidi="en-US"/>
              </w:rPr>
              <w:t>3.6</w:t>
            </w:r>
          </w:p>
        </w:tc>
        <w:tc>
          <w:tcPr>
            <w:tcW w:w="2002" w:type="dxa"/>
            <w:tcBorders>
              <w:top w:val="single" w:color="auto" w:sz="4" w:space="0"/>
              <w:left w:val="single" w:color="auto" w:sz="4" w:space="0"/>
              <w:bottom w:val="single" w:color="auto" w:sz="4" w:space="0"/>
              <w:right w:val="single" w:color="auto" w:sz="4" w:space="0"/>
            </w:tcBorders>
            <w:shd w:val="clear" w:color="auto" w:fill="FFFFFF"/>
            <w:vAlign w:val="center"/>
          </w:tcPr>
          <w:p>
            <w:pPr>
              <w:pStyle w:val="31"/>
              <w:spacing w:line="360" w:lineRule="auto"/>
              <w:jc w:val="center"/>
              <w:rPr>
                <w:color w:val="000000"/>
                <w:sz w:val="24"/>
              </w:rPr>
            </w:pPr>
            <w:r>
              <w:rPr>
                <w:rFonts w:hint="eastAsia"/>
                <w:color w:val="000000"/>
                <w:sz w:val="24"/>
                <w:lang w:eastAsia="zh-CN"/>
              </w:rPr>
              <w:t>询比响应人</w:t>
            </w:r>
            <w:r>
              <w:rPr>
                <w:rFonts w:hint="eastAsia"/>
                <w:color w:val="000000"/>
                <w:sz w:val="24"/>
              </w:rPr>
              <w:t>并列时</w:t>
            </w:r>
          </w:p>
          <w:p>
            <w:pPr>
              <w:pStyle w:val="31"/>
              <w:spacing w:line="360" w:lineRule="auto"/>
              <w:jc w:val="center"/>
              <w:rPr>
                <w:color w:val="000000"/>
                <w:sz w:val="24"/>
              </w:rPr>
            </w:pPr>
            <w:r>
              <w:rPr>
                <w:rFonts w:hint="eastAsia"/>
                <w:color w:val="000000"/>
                <w:sz w:val="24"/>
              </w:rPr>
              <w:t>确定</w:t>
            </w:r>
            <w:r>
              <w:rPr>
                <w:rFonts w:hint="eastAsia"/>
                <w:color w:val="000000"/>
                <w:sz w:val="24"/>
                <w:lang w:eastAsia="zh-CN"/>
              </w:rPr>
              <w:t>询比响应人</w:t>
            </w:r>
            <w:r>
              <w:rPr>
                <w:rFonts w:hint="eastAsia"/>
                <w:color w:val="000000"/>
                <w:sz w:val="24"/>
              </w:rPr>
              <w:t>优先</w:t>
            </w:r>
          </w:p>
          <w:p>
            <w:pPr>
              <w:pStyle w:val="31"/>
              <w:spacing w:line="360" w:lineRule="auto"/>
              <w:jc w:val="center"/>
              <w:rPr>
                <w:sz w:val="24"/>
              </w:rPr>
            </w:pPr>
            <w:r>
              <w:rPr>
                <w:rFonts w:hint="eastAsia"/>
                <w:color w:val="000000"/>
                <w:sz w:val="24"/>
              </w:rPr>
              <w:t>顺序的规则</w:t>
            </w:r>
          </w:p>
        </w:tc>
        <w:tc>
          <w:tcPr>
            <w:tcW w:w="6788" w:type="dxa"/>
            <w:tcBorders>
              <w:top w:val="single" w:color="auto" w:sz="4" w:space="0"/>
              <w:left w:val="single" w:color="auto" w:sz="4" w:space="0"/>
              <w:bottom w:val="single" w:color="auto" w:sz="4" w:space="0"/>
              <w:right w:val="single" w:color="auto" w:sz="4" w:space="0"/>
            </w:tcBorders>
            <w:shd w:val="clear" w:color="auto" w:fill="FFFFFF"/>
            <w:vAlign w:val="center"/>
          </w:tcPr>
          <w:p>
            <w:pPr>
              <w:pStyle w:val="31"/>
              <w:spacing w:line="360" w:lineRule="auto"/>
              <w:jc w:val="left"/>
              <w:rPr>
                <w:color w:val="000000"/>
                <w:sz w:val="24"/>
              </w:rPr>
            </w:pPr>
            <w:r>
              <w:rPr>
                <w:rFonts w:hint="eastAsia"/>
                <w:color w:val="000000"/>
                <w:sz w:val="24"/>
              </w:rPr>
              <w:sym w:font="Wingdings 2" w:char="00A3"/>
            </w:r>
            <w:r>
              <w:rPr>
                <w:rFonts w:hint="eastAsia"/>
                <w:color w:val="000000"/>
                <w:sz w:val="24"/>
              </w:rPr>
              <w:t>由</w:t>
            </w:r>
            <w:r>
              <w:rPr>
                <w:rFonts w:hint="eastAsia"/>
                <w:color w:val="000000"/>
                <w:sz w:val="24"/>
                <w:lang w:val="en-US" w:eastAsia="zh-CN"/>
              </w:rPr>
              <w:t>评审</w:t>
            </w:r>
            <w:r>
              <w:rPr>
                <w:rFonts w:hint="eastAsia"/>
                <w:color w:val="000000"/>
                <w:sz w:val="24"/>
              </w:rPr>
              <w:t>小组投票决定</w:t>
            </w:r>
          </w:p>
          <w:p>
            <w:pPr>
              <w:pStyle w:val="31"/>
              <w:spacing w:line="360" w:lineRule="auto"/>
              <w:jc w:val="left"/>
              <w:rPr>
                <w:color w:val="000000"/>
                <w:sz w:val="24"/>
              </w:rPr>
            </w:pPr>
            <w:r>
              <w:rPr>
                <w:rFonts w:hint="eastAsia"/>
                <w:color w:val="000000"/>
                <w:sz w:val="24"/>
              </w:rPr>
              <w:sym w:font="Wingdings 2" w:char="00A3"/>
            </w:r>
            <w:r>
              <w:rPr>
                <w:rFonts w:hint="eastAsia"/>
                <w:color w:val="000000"/>
                <w:sz w:val="24"/>
              </w:rPr>
              <w:t>由</w:t>
            </w:r>
            <w:r>
              <w:rPr>
                <w:rFonts w:hint="eastAsia"/>
                <w:color w:val="000000"/>
                <w:sz w:val="24"/>
                <w:lang w:val="en-US" w:eastAsia="zh-CN"/>
              </w:rPr>
              <w:t>评审</w:t>
            </w:r>
            <w:r>
              <w:rPr>
                <w:rFonts w:hint="eastAsia"/>
                <w:color w:val="000000"/>
                <w:sz w:val="24"/>
              </w:rPr>
              <w:t>小组抽签决定</w:t>
            </w:r>
          </w:p>
          <w:p>
            <w:pPr>
              <w:pStyle w:val="31"/>
              <w:spacing w:line="360" w:lineRule="auto"/>
              <w:jc w:val="left"/>
              <w:rPr>
                <w:sz w:val="24"/>
                <w:lang w:eastAsia="zh-CN"/>
              </w:rPr>
            </w:pPr>
            <w:r>
              <w:rPr>
                <w:rFonts w:hint="eastAsia"/>
                <w:color w:val="000000"/>
                <w:sz w:val="24"/>
              </w:rPr>
              <w:sym w:font="Wingdings 2" w:char="0052"/>
            </w:r>
            <w:r>
              <w:rPr>
                <w:rFonts w:hint="eastAsia"/>
                <w:color w:val="000000"/>
                <w:sz w:val="24"/>
              </w:rPr>
              <w:t>其他方法：</w:t>
            </w:r>
            <w:r>
              <w:rPr>
                <w:rFonts w:hint="eastAsia"/>
                <w:color w:val="000000"/>
                <w:sz w:val="24"/>
                <w:lang w:eastAsia="zh-CN"/>
              </w:rPr>
              <w:t>评审小组对投标人进行排序时,如果出现投标人最终得分相同地情况,以评分因素中针对项目经理地得分高低排定名次,项目经理地得分也相同时,以评分因素中针对类似项目业绩地得分高低排定名次.企业业绩地得分也相同时，采取抽签</w:t>
            </w:r>
            <w:r>
              <w:rPr>
                <w:rFonts w:hint="eastAsia"/>
                <w:color w:val="000000"/>
                <w:sz w:val="24"/>
              </w:rPr>
              <w:t>决定</w:t>
            </w:r>
          </w:p>
        </w:tc>
      </w:tr>
    </w:tbl>
    <w:p>
      <w:pPr>
        <w:pStyle w:val="4"/>
        <w:pageBreakBefore w:val="0"/>
        <w:kinsoku/>
        <w:overflowPunct/>
        <w:topLinePunct w:val="0"/>
        <w:bidi w:val="0"/>
        <w:snapToGrid/>
        <w:spacing w:line="360" w:lineRule="auto"/>
        <w:jc w:val="both"/>
        <w:rPr>
          <w:rFonts w:hint="eastAsia" w:ascii="宋体" w:hAnsi="宋体" w:eastAsia="宋体" w:cs="宋体"/>
          <w:color w:val="auto"/>
          <w:highlight w:val="none"/>
        </w:rPr>
      </w:pPr>
      <w:r>
        <w:rPr>
          <w:rFonts w:hint="eastAsia" w:ascii="宋体" w:hAnsi="宋体" w:eastAsia="宋体" w:cs="宋体"/>
          <w:color w:val="auto"/>
          <w:highlight w:val="none"/>
        </w:rPr>
        <w:t>1评审方法（最低价法）</w:t>
      </w:r>
      <w:bookmarkEnd w:id="144"/>
      <w:bookmarkEnd w:id="145"/>
      <w:bookmarkEnd w:id="146"/>
      <w:bookmarkEnd w:id="147"/>
      <w:bookmarkEnd w:id="148"/>
    </w:p>
    <w:p>
      <w:pPr>
        <w:pStyle w:val="35"/>
        <w:pageBreakBefore w:val="0"/>
        <w:kinsoku/>
        <w:overflowPunct/>
        <w:topLinePunct w:val="0"/>
        <w:bidi w:val="0"/>
        <w:snapToGrid/>
        <w:spacing w:after="260" w:line="360" w:lineRule="auto"/>
        <w:ind w:firstLine="460"/>
        <w:rPr>
          <w:rFonts w:hint="eastAsia" w:ascii="宋体" w:hAnsi="宋体" w:eastAsia="宋体" w:cs="宋体"/>
          <w:color w:val="auto"/>
          <w:highlight w:val="none"/>
        </w:rPr>
      </w:pPr>
      <w:r>
        <w:rPr>
          <w:rFonts w:hint="eastAsia" w:ascii="宋体" w:hAnsi="宋体" w:eastAsia="宋体" w:cs="宋体"/>
          <w:color w:val="auto"/>
          <w:sz w:val="24"/>
          <w:highlight w:val="none"/>
        </w:rPr>
        <w:t>本次评审釆用最低价法。</w:t>
      </w:r>
      <w:r>
        <w:rPr>
          <w:rFonts w:hint="eastAsia" w:ascii="宋体" w:hAnsi="宋体" w:eastAsia="宋体" w:cs="宋体"/>
          <w:color w:val="auto"/>
          <w:sz w:val="24"/>
          <w:highlight w:val="none"/>
          <w:lang w:val="en-US" w:eastAsia="zh-CN"/>
        </w:rPr>
        <w:t>评审</w:t>
      </w:r>
      <w:r>
        <w:rPr>
          <w:rFonts w:hint="eastAsia" w:ascii="宋体" w:hAnsi="宋体" w:eastAsia="宋体" w:cs="宋体"/>
          <w:color w:val="auto"/>
          <w:sz w:val="24"/>
          <w:highlight w:val="none"/>
        </w:rPr>
        <w:t>小组对满足采购文件实质性要求的响应文件，按照本章第</w:t>
      </w:r>
      <w:r>
        <w:rPr>
          <w:rFonts w:hint="eastAsia" w:ascii="宋体" w:hAnsi="宋体" w:eastAsia="宋体" w:cs="宋体"/>
          <w:color w:val="auto"/>
          <w:sz w:val="24"/>
          <w:highlight w:val="none"/>
          <w:lang w:val="en-US" w:eastAsia="zh-CN" w:bidi="en-US"/>
        </w:rPr>
        <w:t>2.2.2</w:t>
      </w:r>
      <w:r>
        <w:rPr>
          <w:rFonts w:hint="eastAsia" w:ascii="宋体" w:hAnsi="宋体" w:eastAsia="宋体" w:cs="宋体"/>
          <w:color w:val="auto"/>
          <w:sz w:val="24"/>
          <w:highlight w:val="none"/>
        </w:rPr>
        <w:t>款规定的方法确定</w:t>
      </w:r>
      <w:r>
        <w:rPr>
          <w:rFonts w:hint="eastAsia" w:ascii="宋体" w:hAnsi="宋体" w:eastAsia="宋体" w:cs="宋体"/>
          <w:color w:val="auto"/>
          <w:sz w:val="24"/>
          <w:highlight w:val="none"/>
          <w:lang w:eastAsia="zh-CN"/>
        </w:rPr>
        <w:t>询比响应人</w:t>
      </w:r>
      <w:r>
        <w:rPr>
          <w:rFonts w:hint="eastAsia" w:ascii="宋体" w:hAnsi="宋体" w:eastAsia="宋体" w:cs="宋体"/>
          <w:color w:val="auto"/>
          <w:sz w:val="24"/>
          <w:highlight w:val="none"/>
        </w:rPr>
        <w:t>最终报价的评审价格，并按照评审价格由低到高的顺序推荐候选成交</w:t>
      </w:r>
      <w:r>
        <w:rPr>
          <w:rFonts w:hint="eastAsia" w:ascii="宋体" w:hAnsi="宋体" w:eastAsia="宋体" w:cs="宋体"/>
          <w:color w:val="auto"/>
          <w:sz w:val="24"/>
          <w:highlight w:val="none"/>
          <w:lang w:eastAsia="zh-CN"/>
        </w:rPr>
        <w:t>询比响应人</w:t>
      </w:r>
      <w:r>
        <w:rPr>
          <w:rFonts w:hint="eastAsia" w:ascii="宋体" w:hAnsi="宋体" w:eastAsia="宋体" w:cs="宋体"/>
          <w:color w:val="auto"/>
          <w:sz w:val="24"/>
          <w:highlight w:val="none"/>
        </w:rPr>
        <w:t>。</w:t>
      </w:r>
    </w:p>
    <w:p>
      <w:pPr>
        <w:pStyle w:val="4"/>
        <w:pageBreakBefore w:val="0"/>
        <w:kinsoku/>
        <w:overflowPunct/>
        <w:topLinePunct w:val="0"/>
        <w:bidi w:val="0"/>
        <w:snapToGrid/>
        <w:spacing w:line="360" w:lineRule="auto"/>
        <w:jc w:val="both"/>
        <w:rPr>
          <w:rFonts w:hint="eastAsia" w:ascii="宋体" w:hAnsi="宋体" w:eastAsia="宋体" w:cs="宋体"/>
          <w:color w:val="auto"/>
          <w:highlight w:val="none"/>
        </w:rPr>
      </w:pPr>
      <w:bookmarkStart w:id="149" w:name="_Toc28307"/>
      <w:bookmarkStart w:id="150" w:name="bookmark465"/>
      <w:bookmarkStart w:id="151" w:name="_Toc14408"/>
      <w:bookmarkStart w:id="152" w:name="bookmark464"/>
      <w:bookmarkStart w:id="153" w:name="bookmark463"/>
      <w:r>
        <w:rPr>
          <w:rFonts w:hint="eastAsia" w:ascii="宋体" w:hAnsi="宋体" w:eastAsia="宋体" w:cs="宋体"/>
          <w:color w:val="auto"/>
          <w:highlight w:val="none"/>
        </w:rPr>
        <w:t>1评审方法（本项目采用综合评分法）</w:t>
      </w:r>
      <w:bookmarkEnd w:id="149"/>
      <w:bookmarkEnd w:id="150"/>
      <w:bookmarkEnd w:id="151"/>
      <w:bookmarkEnd w:id="152"/>
      <w:bookmarkEnd w:id="153"/>
    </w:p>
    <w:p>
      <w:pPr>
        <w:pageBreakBefore w:val="0"/>
        <w:kinsoku/>
        <w:overflowPunct/>
        <w:topLinePunct w:val="0"/>
        <w:bidi w:val="0"/>
        <w:snapToGrid/>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本次评审釆用综合评分法。评审小组对满足采购文件实质性要求的响应文件，按照本章第</w:t>
      </w:r>
      <w:r>
        <w:rPr>
          <w:rFonts w:hint="eastAsia" w:ascii="宋体" w:hAnsi="宋体" w:eastAsia="宋体" w:cs="宋体"/>
          <w:color w:val="auto"/>
          <w:sz w:val="24"/>
          <w:highlight w:val="none"/>
          <w:lang w:bidi="en-US"/>
        </w:rPr>
        <w:t>3条</w:t>
      </w:r>
      <w:r>
        <w:rPr>
          <w:rFonts w:hint="eastAsia" w:ascii="宋体" w:hAnsi="宋体" w:eastAsia="宋体" w:cs="宋体"/>
          <w:color w:val="auto"/>
          <w:sz w:val="24"/>
          <w:highlight w:val="none"/>
        </w:rPr>
        <w:t>规定的评分标准进行打分，并按得分由高到低的顺序推荐候选成交</w:t>
      </w:r>
      <w:r>
        <w:rPr>
          <w:rFonts w:hint="eastAsia" w:ascii="宋体" w:hAnsi="宋体" w:eastAsia="宋体" w:cs="宋体"/>
          <w:color w:val="auto"/>
          <w:sz w:val="24"/>
          <w:highlight w:val="none"/>
          <w:lang w:eastAsia="zh-CN"/>
        </w:rPr>
        <w:t>询比响应人</w:t>
      </w:r>
      <w:r>
        <w:rPr>
          <w:rFonts w:hint="eastAsia" w:ascii="宋体" w:hAnsi="宋体" w:eastAsia="宋体" w:cs="宋体"/>
          <w:color w:val="auto"/>
          <w:sz w:val="24"/>
          <w:highlight w:val="none"/>
        </w:rPr>
        <w:t>。</w:t>
      </w:r>
    </w:p>
    <w:p>
      <w:pPr>
        <w:pStyle w:val="36"/>
        <w:pageBreakBefore w:val="0"/>
        <w:kinsoku/>
        <w:overflowPunct/>
        <w:topLinePunct w:val="0"/>
        <w:bidi w:val="0"/>
        <w:snapToGrid/>
        <w:spacing w:after="200" w:line="360" w:lineRule="auto"/>
        <w:ind w:firstLine="380"/>
        <w:rPr>
          <w:rFonts w:hint="eastAsia" w:ascii="宋体" w:hAnsi="宋体" w:eastAsia="宋体" w:cs="宋体"/>
          <w:color w:val="auto"/>
          <w:highlight w:val="none"/>
        </w:rPr>
      </w:pPr>
      <w:r>
        <w:rPr>
          <w:rFonts w:hint="eastAsia" w:ascii="宋体" w:hAnsi="宋体" w:eastAsia="宋体" w:cs="宋体"/>
          <w:color w:val="auto"/>
          <w:highlight w:val="none"/>
        </w:rPr>
        <w:t>（注：上述</w:t>
      </w:r>
      <w:r>
        <w:rPr>
          <w:rFonts w:hint="eastAsia" w:ascii="宋体" w:hAnsi="宋体" w:eastAsia="宋体" w:cs="宋体"/>
          <w:color w:val="auto"/>
          <w:highlight w:val="none"/>
          <w:lang w:val="en-US" w:eastAsia="zh-CN"/>
        </w:rPr>
        <w:t>两</w:t>
      </w:r>
      <w:r>
        <w:rPr>
          <w:rFonts w:hint="eastAsia" w:ascii="宋体" w:hAnsi="宋体" w:eastAsia="宋体" w:cs="宋体"/>
          <w:color w:val="auto"/>
          <w:highlight w:val="none"/>
        </w:rPr>
        <w:t>种评审方法，釆购人应选择其中一种评审方法作为本项目的评审方法，并在评审办法前附表中载明。）</w:t>
      </w:r>
    </w:p>
    <w:p>
      <w:pPr>
        <w:pStyle w:val="4"/>
        <w:pageBreakBefore w:val="0"/>
        <w:kinsoku/>
        <w:overflowPunct/>
        <w:topLinePunct w:val="0"/>
        <w:bidi w:val="0"/>
        <w:snapToGrid/>
        <w:spacing w:line="360" w:lineRule="auto"/>
        <w:jc w:val="both"/>
        <w:rPr>
          <w:rFonts w:hint="eastAsia" w:ascii="宋体" w:hAnsi="宋体" w:eastAsia="宋体" w:cs="宋体"/>
          <w:color w:val="auto"/>
          <w:highlight w:val="none"/>
        </w:rPr>
      </w:pPr>
      <w:bookmarkStart w:id="154" w:name="_Toc24515"/>
      <w:bookmarkStart w:id="155" w:name="bookmark469"/>
      <w:bookmarkStart w:id="156" w:name="_Toc1945"/>
      <w:bookmarkStart w:id="157" w:name="bookmark471"/>
      <w:bookmarkStart w:id="158" w:name="bookmark470"/>
      <w:r>
        <w:rPr>
          <w:rFonts w:hint="eastAsia" w:ascii="宋体" w:hAnsi="宋体" w:eastAsia="宋体" w:cs="宋体"/>
          <w:color w:val="auto"/>
          <w:highlight w:val="none"/>
        </w:rPr>
        <w:t>2,初步评审标准和程序</w:t>
      </w:r>
      <w:bookmarkEnd w:id="154"/>
      <w:bookmarkEnd w:id="155"/>
      <w:bookmarkEnd w:id="156"/>
      <w:bookmarkEnd w:id="157"/>
      <w:bookmarkEnd w:id="158"/>
    </w:p>
    <w:p>
      <w:pPr>
        <w:pStyle w:val="6"/>
        <w:pageBreakBefore w:val="0"/>
        <w:kinsoku/>
        <w:overflowPunct/>
        <w:topLinePunct w:val="0"/>
        <w:bidi w:val="0"/>
        <w:snapToGrid/>
        <w:spacing w:line="360" w:lineRule="auto"/>
        <w:rPr>
          <w:rFonts w:hint="eastAsia" w:ascii="宋体" w:hAnsi="宋体" w:eastAsia="宋体" w:cs="宋体"/>
          <w:color w:val="auto"/>
          <w:highlight w:val="none"/>
        </w:rPr>
      </w:pPr>
      <w:bookmarkStart w:id="159" w:name="bookmark473"/>
      <w:bookmarkStart w:id="160" w:name="_Toc24695"/>
      <w:bookmarkStart w:id="161" w:name="_Toc22522"/>
      <w:bookmarkStart w:id="162" w:name="bookmark472"/>
      <w:bookmarkStart w:id="163" w:name="bookmark474"/>
      <w:r>
        <w:rPr>
          <w:rFonts w:hint="eastAsia" w:ascii="宋体" w:hAnsi="宋体" w:eastAsia="宋体" w:cs="宋体"/>
          <w:color w:val="auto"/>
          <w:highlight w:val="none"/>
        </w:rPr>
        <w:t>2.1初步评审标准</w:t>
      </w:r>
      <w:bookmarkEnd w:id="159"/>
      <w:bookmarkEnd w:id="160"/>
      <w:bookmarkEnd w:id="161"/>
      <w:bookmarkEnd w:id="162"/>
      <w:bookmarkEnd w:id="163"/>
    </w:p>
    <w:p>
      <w:pPr>
        <w:pStyle w:val="35"/>
        <w:pageBreakBefore w:val="0"/>
        <w:kinsoku/>
        <w:overflowPunct/>
        <w:topLinePunct w:val="0"/>
        <w:bidi w:val="0"/>
        <w:snapToGrid/>
        <w:spacing w:line="360" w:lineRule="auto"/>
        <w:jc w:val="left"/>
        <w:rPr>
          <w:rFonts w:hint="eastAsia" w:ascii="宋体" w:hAnsi="宋体" w:eastAsia="宋体" w:cs="宋体"/>
          <w:color w:val="auto"/>
          <w:highlight w:val="none"/>
        </w:rPr>
      </w:pPr>
      <w:r>
        <w:rPr>
          <w:rFonts w:hint="eastAsia" w:ascii="宋体" w:hAnsi="宋体" w:eastAsia="宋体" w:cs="宋体"/>
          <w:color w:val="auto"/>
          <w:sz w:val="24"/>
          <w:highlight w:val="none"/>
          <w:lang w:val="en-US" w:eastAsia="zh-CN" w:bidi="en-US"/>
        </w:rPr>
        <w:t>2.1.1</w:t>
      </w:r>
      <w:r>
        <w:rPr>
          <w:rFonts w:hint="eastAsia" w:ascii="宋体" w:hAnsi="宋体" w:eastAsia="宋体" w:cs="宋体"/>
          <w:color w:val="auto"/>
          <w:sz w:val="24"/>
          <w:highlight w:val="none"/>
        </w:rPr>
        <w:t>形式评审标准：见评审办法前附表。</w:t>
      </w:r>
    </w:p>
    <w:p>
      <w:pPr>
        <w:pStyle w:val="35"/>
        <w:pageBreakBefore w:val="0"/>
        <w:kinsoku/>
        <w:overflowPunct/>
        <w:topLinePunct w:val="0"/>
        <w:bidi w:val="0"/>
        <w:snapToGrid/>
        <w:spacing w:line="360" w:lineRule="auto"/>
        <w:jc w:val="left"/>
        <w:rPr>
          <w:rFonts w:hint="eastAsia" w:ascii="宋体" w:hAnsi="宋体" w:eastAsia="宋体" w:cs="宋体"/>
          <w:color w:val="auto"/>
          <w:highlight w:val="none"/>
        </w:rPr>
      </w:pPr>
      <w:r>
        <w:rPr>
          <w:rFonts w:hint="eastAsia" w:ascii="宋体" w:hAnsi="宋体" w:eastAsia="宋体" w:cs="宋体"/>
          <w:color w:val="auto"/>
          <w:sz w:val="24"/>
          <w:highlight w:val="none"/>
          <w:lang w:val="en-US" w:eastAsia="zh-CN" w:bidi="en-US"/>
        </w:rPr>
        <w:t>2.1.2</w:t>
      </w:r>
      <w:r>
        <w:rPr>
          <w:rFonts w:hint="eastAsia" w:ascii="宋体" w:hAnsi="宋体" w:eastAsia="宋体" w:cs="宋体"/>
          <w:color w:val="auto"/>
          <w:sz w:val="24"/>
          <w:highlight w:val="none"/>
        </w:rPr>
        <w:t>资格评审标准：见评审办法前附表。</w:t>
      </w:r>
    </w:p>
    <w:p>
      <w:pPr>
        <w:pStyle w:val="35"/>
        <w:pageBreakBefore w:val="0"/>
        <w:kinsoku/>
        <w:overflowPunct/>
        <w:topLinePunct w:val="0"/>
        <w:bidi w:val="0"/>
        <w:snapToGrid/>
        <w:spacing w:line="360" w:lineRule="auto"/>
        <w:jc w:val="left"/>
        <w:rPr>
          <w:rFonts w:hint="eastAsia" w:ascii="宋体" w:hAnsi="宋体" w:eastAsia="宋体" w:cs="宋体"/>
          <w:color w:val="auto"/>
          <w:highlight w:val="none"/>
        </w:rPr>
      </w:pPr>
      <w:r>
        <w:rPr>
          <w:rFonts w:hint="eastAsia" w:ascii="宋体" w:hAnsi="宋体" w:eastAsia="宋体" w:cs="宋体"/>
          <w:color w:val="auto"/>
          <w:sz w:val="24"/>
          <w:highlight w:val="none"/>
          <w:lang w:val="en-US" w:eastAsia="zh-CN" w:bidi="en-US"/>
        </w:rPr>
        <w:t>2.1.3</w:t>
      </w:r>
      <w:r>
        <w:rPr>
          <w:rFonts w:hint="eastAsia" w:ascii="宋体" w:hAnsi="宋体" w:eastAsia="宋体" w:cs="宋体"/>
          <w:color w:val="auto"/>
          <w:sz w:val="24"/>
          <w:highlight w:val="none"/>
        </w:rPr>
        <w:t>响应性评审标准：见评审办法前附表。</w:t>
      </w:r>
    </w:p>
    <w:p>
      <w:pPr>
        <w:pStyle w:val="6"/>
        <w:pageBreakBefore w:val="0"/>
        <w:kinsoku/>
        <w:overflowPunct/>
        <w:topLinePunct w:val="0"/>
        <w:bidi w:val="0"/>
        <w:snapToGrid/>
        <w:spacing w:line="360" w:lineRule="auto"/>
        <w:rPr>
          <w:rFonts w:hint="eastAsia" w:ascii="宋体" w:hAnsi="宋体" w:eastAsia="宋体" w:cs="宋体"/>
          <w:color w:val="auto"/>
          <w:highlight w:val="none"/>
        </w:rPr>
      </w:pPr>
      <w:bookmarkStart w:id="164" w:name="_Toc19307"/>
      <w:bookmarkStart w:id="165" w:name="bookmark475"/>
      <w:bookmarkStart w:id="166" w:name="bookmark476"/>
      <w:bookmarkStart w:id="167" w:name="bookmark477"/>
      <w:bookmarkStart w:id="168" w:name="_Toc1371"/>
      <w:r>
        <w:rPr>
          <w:rFonts w:hint="eastAsia" w:ascii="宋体" w:hAnsi="宋体" w:eastAsia="宋体" w:cs="宋体"/>
          <w:color w:val="auto"/>
          <w:highlight w:val="none"/>
        </w:rPr>
        <w:t>2.2初步评审程序</w:t>
      </w:r>
      <w:bookmarkEnd w:id="164"/>
      <w:bookmarkEnd w:id="165"/>
      <w:bookmarkEnd w:id="166"/>
      <w:bookmarkEnd w:id="167"/>
      <w:bookmarkEnd w:id="168"/>
    </w:p>
    <w:p>
      <w:pPr>
        <w:pStyle w:val="35"/>
        <w:pageBreakBefore w:val="0"/>
        <w:tabs>
          <w:tab w:val="left" w:pos="354"/>
        </w:tabs>
        <w:kinsoku/>
        <w:overflowPunct/>
        <w:topLinePunct w:val="0"/>
        <w:bidi w:val="0"/>
        <w:snapToGrid/>
        <w:spacing w:line="360" w:lineRule="auto"/>
        <w:rPr>
          <w:rFonts w:hint="eastAsia" w:ascii="宋体" w:hAnsi="宋体" w:eastAsia="宋体" w:cs="宋体"/>
          <w:color w:val="auto"/>
          <w:sz w:val="24"/>
          <w:highlight w:val="none"/>
        </w:rPr>
      </w:pPr>
      <w:bookmarkStart w:id="169" w:name="bookmark478"/>
      <w:bookmarkEnd w:id="169"/>
      <w:r>
        <w:rPr>
          <w:rFonts w:hint="eastAsia" w:ascii="宋体" w:hAnsi="宋体" w:eastAsia="宋体" w:cs="宋体"/>
          <w:color w:val="auto"/>
          <w:sz w:val="24"/>
          <w:highlight w:val="none"/>
          <w:lang w:val="en-US" w:eastAsia="zh-CN" w:bidi="en-US"/>
        </w:rPr>
        <w:t xml:space="preserve">2.2. </w:t>
      </w:r>
      <w:r>
        <w:rPr>
          <w:rFonts w:hint="eastAsia" w:ascii="宋体" w:hAnsi="宋体" w:eastAsia="宋体" w:cs="宋体"/>
          <w:color w:val="auto"/>
          <w:sz w:val="24"/>
          <w:highlight w:val="none"/>
        </w:rPr>
        <w:t>1</w:t>
      </w:r>
      <w:r>
        <w:rPr>
          <w:rFonts w:hint="eastAsia" w:ascii="宋体" w:hAnsi="宋体" w:eastAsia="宋体" w:cs="宋体"/>
          <w:color w:val="auto"/>
          <w:sz w:val="24"/>
          <w:highlight w:val="none"/>
          <w:lang w:val="en-US" w:eastAsia="zh-CN"/>
        </w:rPr>
        <w:t>评审</w:t>
      </w:r>
      <w:r>
        <w:rPr>
          <w:rFonts w:hint="eastAsia" w:ascii="宋体" w:hAnsi="宋体" w:eastAsia="宋体" w:cs="宋体"/>
          <w:color w:val="auto"/>
          <w:sz w:val="24"/>
          <w:highlight w:val="none"/>
        </w:rPr>
        <w:t>小组依据本章第</w:t>
      </w:r>
      <w:r>
        <w:rPr>
          <w:rFonts w:hint="eastAsia" w:ascii="宋体" w:hAnsi="宋体" w:eastAsia="宋体" w:cs="宋体"/>
          <w:color w:val="auto"/>
          <w:sz w:val="24"/>
          <w:highlight w:val="none"/>
          <w:lang w:val="en-US" w:eastAsia="zh-CN" w:bidi="en-US"/>
        </w:rPr>
        <w:t xml:space="preserve">2. </w:t>
      </w:r>
      <w:r>
        <w:rPr>
          <w:rFonts w:hint="eastAsia" w:ascii="宋体" w:hAnsi="宋体" w:eastAsia="宋体" w:cs="宋体"/>
          <w:color w:val="auto"/>
          <w:sz w:val="24"/>
          <w:highlight w:val="none"/>
        </w:rPr>
        <w:t>1款规定的标准对</w:t>
      </w:r>
      <w:r>
        <w:rPr>
          <w:rFonts w:hint="eastAsia" w:ascii="宋体" w:hAnsi="宋体" w:eastAsia="宋体" w:cs="宋体"/>
          <w:color w:val="auto"/>
          <w:sz w:val="24"/>
          <w:highlight w:val="none"/>
          <w:lang w:eastAsia="zh-CN"/>
        </w:rPr>
        <w:t>询比响应人</w:t>
      </w:r>
      <w:r>
        <w:rPr>
          <w:rFonts w:hint="eastAsia" w:ascii="宋体" w:hAnsi="宋体" w:eastAsia="宋体" w:cs="宋体"/>
          <w:color w:val="auto"/>
          <w:sz w:val="24"/>
          <w:highlight w:val="none"/>
        </w:rPr>
        <w:t>递交的响应文件进行初步评审，判断响应文件的形式是否符合要求、</w:t>
      </w:r>
      <w:r>
        <w:rPr>
          <w:rFonts w:hint="eastAsia" w:ascii="宋体" w:hAnsi="宋体" w:eastAsia="宋体" w:cs="宋体"/>
          <w:color w:val="auto"/>
          <w:sz w:val="24"/>
          <w:highlight w:val="none"/>
          <w:lang w:eastAsia="zh-CN"/>
        </w:rPr>
        <w:t>询比响应人</w:t>
      </w:r>
      <w:r>
        <w:rPr>
          <w:rFonts w:hint="eastAsia" w:ascii="宋体" w:hAnsi="宋体" w:eastAsia="宋体" w:cs="宋体"/>
          <w:color w:val="auto"/>
          <w:sz w:val="24"/>
          <w:highlight w:val="none"/>
        </w:rPr>
        <w:t>是否符合资格条件、响应文件是否实质性响应采购文件的要求。只有以上评审合格的响应文件才可通过初步评审。</w:t>
      </w:r>
    </w:p>
    <w:p>
      <w:pPr>
        <w:pStyle w:val="35"/>
        <w:pageBreakBefore w:val="0"/>
        <w:kinsoku/>
        <w:overflowPunct/>
        <w:topLinePunct w:val="0"/>
        <w:bidi w:val="0"/>
        <w:snapToGrid/>
        <w:spacing w:line="360" w:lineRule="auto"/>
        <w:rPr>
          <w:rFonts w:hint="eastAsia" w:ascii="宋体" w:hAnsi="宋体" w:eastAsia="宋体" w:cs="宋体"/>
          <w:color w:val="auto"/>
          <w:sz w:val="24"/>
          <w:highlight w:val="none"/>
        </w:rPr>
      </w:pPr>
      <w:bookmarkStart w:id="170" w:name="bookmark479"/>
      <w:bookmarkEnd w:id="170"/>
      <w:r>
        <w:rPr>
          <w:rFonts w:hint="eastAsia" w:ascii="宋体" w:hAnsi="宋体" w:eastAsia="宋体" w:cs="宋体"/>
          <w:color w:val="auto"/>
          <w:sz w:val="24"/>
          <w:highlight w:val="none"/>
          <w:lang w:val="en-US" w:eastAsia="zh-CN" w:bidi="en-US"/>
        </w:rPr>
        <w:t>2.2.2</w:t>
      </w:r>
      <w:r>
        <w:rPr>
          <w:rFonts w:hint="eastAsia" w:ascii="宋体" w:hAnsi="宋体" w:eastAsia="宋体" w:cs="宋体"/>
          <w:color w:val="auto"/>
          <w:sz w:val="24"/>
          <w:highlight w:val="none"/>
        </w:rPr>
        <w:t>除评审办法前附表另有规定外，评审价格为</w:t>
      </w:r>
      <w:r>
        <w:rPr>
          <w:rFonts w:hint="eastAsia" w:ascii="宋体" w:hAnsi="宋体" w:eastAsia="宋体" w:cs="宋体"/>
          <w:color w:val="auto"/>
          <w:sz w:val="24"/>
          <w:highlight w:val="none"/>
          <w:lang w:eastAsia="zh-CN"/>
        </w:rPr>
        <w:t>询比响应人</w:t>
      </w:r>
      <w:r>
        <w:rPr>
          <w:rFonts w:hint="eastAsia" w:ascii="宋体" w:hAnsi="宋体" w:eastAsia="宋体" w:cs="宋体"/>
          <w:color w:val="auto"/>
          <w:sz w:val="24"/>
          <w:highlight w:val="none"/>
        </w:rPr>
        <w:t>在响应函中填报的大写含税价格。</w:t>
      </w:r>
    </w:p>
    <w:p>
      <w:pPr>
        <w:pStyle w:val="35"/>
        <w:pageBreakBefore w:val="0"/>
        <w:kinsoku/>
        <w:overflowPunct/>
        <w:topLinePunct w:val="0"/>
        <w:bidi w:val="0"/>
        <w:snapToGrid/>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评审价格若超过最高限价(如有)，其响应文件将被视为无效。</w:t>
      </w:r>
    </w:p>
    <w:p>
      <w:pPr>
        <w:pStyle w:val="35"/>
        <w:pageBreakBefore w:val="0"/>
        <w:kinsoku/>
        <w:overflowPunct/>
        <w:topLinePunct w:val="0"/>
        <w:bidi w:val="0"/>
        <w:snapToGrid/>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评审小组经过对</w:t>
      </w:r>
      <w:r>
        <w:rPr>
          <w:rFonts w:hint="eastAsia" w:ascii="宋体" w:hAnsi="宋体" w:eastAsia="宋体" w:cs="宋体"/>
          <w:color w:val="auto"/>
          <w:sz w:val="24"/>
          <w:highlight w:val="none"/>
          <w:lang w:eastAsia="zh-CN"/>
        </w:rPr>
        <w:t>询比响应人</w:t>
      </w:r>
      <w:r>
        <w:rPr>
          <w:rFonts w:hint="eastAsia" w:ascii="宋体" w:hAnsi="宋体" w:eastAsia="宋体" w:cs="宋体"/>
          <w:color w:val="auto"/>
          <w:sz w:val="24"/>
          <w:highlight w:val="none"/>
        </w:rPr>
        <w:t>的报价进行比较或基于专业经验认为某一</w:t>
      </w:r>
      <w:r>
        <w:rPr>
          <w:rFonts w:hint="eastAsia" w:ascii="宋体" w:hAnsi="宋体" w:eastAsia="宋体" w:cs="宋体"/>
          <w:color w:val="auto"/>
          <w:sz w:val="24"/>
          <w:highlight w:val="none"/>
          <w:lang w:eastAsia="zh-CN"/>
        </w:rPr>
        <w:t>询比响应人</w:t>
      </w:r>
      <w:r>
        <w:rPr>
          <w:rFonts w:hint="eastAsia" w:ascii="宋体" w:hAnsi="宋体" w:eastAsia="宋体" w:cs="宋体"/>
          <w:color w:val="auto"/>
          <w:sz w:val="24"/>
          <w:highlight w:val="none"/>
        </w:rPr>
        <w:t>的报价异常 过低，可能对其履约造成影响时，应当要求该</w:t>
      </w:r>
      <w:r>
        <w:rPr>
          <w:rFonts w:hint="eastAsia" w:ascii="宋体" w:hAnsi="宋体" w:eastAsia="宋体" w:cs="宋体"/>
          <w:color w:val="auto"/>
          <w:sz w:val="24"/>
          <w:highlight w:val="none"/>
          <w:lang w:eastAsia="zh-CN"/>
        </w:rPr>
        <w:t>询比响应人</w:t>
      </w:r>
      <w:r>
        <w:rPr>
          <w:rFonts w:hint="eastAsia" w:ascii="宋体" w:hAnsi="宋体" w:eastAsia="宋体" w:cs="宋体"/>
          <w:color w:val="auto"/>
          <w:sz w:val="24"/>
          <w:highlight w:val="none"/>
        </w:rPr>
        <w:t>作出书面说明并提供相应的证明材 料。</w:t>
      </w:r>
      <w:r>
        <w:rPr>
          <w:rFonts w:hint="eastAsia" w:ascii="宋体" w:hAnsi="宋体" w:eastAsia="宋体" w:cs="宋体"/>
          <w:color w:val="auto"/>
          <w:sz w:val="24"/>
          <w:highlight w:val="none"/>
          <w:lang w:eastAsia="zh-CN"/>
        </w:rPr>
        <w:t>询比响应人</w:t>
      </w:r>
      <w:r>
        <w:rPr>
          <w:rFonts w:hint="eastAsia" w:ascii="宋体" w:hAnsi="宋体" w:eastAsia="宋体" w:cs="宋体"/>
          <w:color w:val="auto"/>
          <w:sz w:val="24"/>
          <w:highlight w:val="none"/>
        </w:rPr>
        <w:t>不能合理说明或者不能提供相应证明材料的，其响应文件将被视为无效。</w:t>
      </w:r>
    </w:p>
    <w:p>
      <w:pPr>
        <w:pStyle w:val="35"/>
        <w:pageBreakBefore w:val="0"/>
        <w:kinsoku/>
        <w:overflowPunct/>
        <w:topLinePunct w:val="0"/>
        <w:bidi w:val="0"/>
        <w:snapToGrid/>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bidi="en-US"/>
        </w:rPr>
        <w:t>2. 2.3</w:t>
      </w:r>
      <w:r>
        <w:rPr>
          <w:rFonts w:hint="eastAsia" w:ascii="宋体" w:hAnsi="宋体" w:eastAsia="宋体" w:cs="宋体"/>
          <w:color w:val="auto"/>
          <w:sz w:val="24"/>
          <w:highlight w:val="none"/>
        </w:rPr>
        <w:t>响应文件中有含义不明确、同类问题表述不一致或有明显文字和计算错误的内 容，评审小组可要求</w:t>
      </w:r>
      <w:r>
        <w:rPr>
          <w:rFonts w:hint="eastAsia" w:ascii="宋体" w:hAnsi="宋体" w:eastAsia="宋体" w:cs="宋体"/>
          <w:color w:val="auto"/>
          <w:sz w:val="24"/>
          <w:highlight w:val="none"/>
          <w:lang w:eastAsia="zh-CN"/>
        </w:rPr>
        <w:t>询比响应人</w:t>
      </w:r>
      <w:r>
        <w:rPr>
          <w:rFonts w:hint="eastAsia" w:ascii="宋体" w:hAnsi="宋体" w:eastAsia="宋体" w:cs="宋体"/>
          <w:color w:val="auto"/>
          <w:sz w:val="24"/>
          <w:highlight w:val="none"/>
        </w:rPr>
        <w:t>在规定时间内进行澄清、说明和补正。</w:t>
      </w:r>
      <w:r>
        <w:rPr>
          <w:rFonts w:hint="eastAsia" w:ascii="宋体" w:hAnsi="宋体" w:eastAsia="宋体" w:cs="宋体"/>
          <w:color w:val="auto"/>
          <w:sz w:val="24"/>
          <w:highlight w:val="none"/>
          <w:lang w:eastAsia="zh-CN"/>
        </w:rPr>
        <w:t>询比响应人</w:t>
      </w:r>
      <w:r>
        <w:rPr>
          <w:rFonts w:hint="eastAsia" w:ascii="宋体" w:hAnsi="宋体" w:eastAsia="宋体" w:cs="宋体"/>
          <w:color w:val="auto"/>
          <w:sz w:val="24"/>
          <w:highlight w:val="none"/>
        </w:rPr>
        <w:t>澄清、说明 和补正的内容应由法定代表人(单位负责人)或其授权的代理人签字或加盖单位章。 澄清、说明和补正不得超出响应文件的范围且不得改变响应文件的实质性内容，并构 成响应文件的组成部分。</w:t>
      </w:r>
    </w:p>
    <w:p>
      <w:pPr>
        <w:pStyle w:val="35"/>
        <w:pageBreakBefore w:val="0"/>
        <w:kinsoku/>
        <w:overflowPunct/>
        <w:topLinePunct w:val="0"/>
        <w:bidi w:val="0"/>
        <w:snapToGrid/>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响应报价有算术错误及其他错误的，评审小组按以下原则要求</w:t>
      </w:r>
      <w:r>
        <w:rPr>
          <w:rFonts w:hint="eastAsia" w:ascii="宋体" w:hAnsi="宋体" w:eastAsia="宋体" w:cs="宋体"/>
          <w:color w:val="auto"/>
          <w:sz w:val="24"/>
          <w:highlight w:val="none"/>
          <w:lang w:eastAsia="zh-CN"/>
        </w:rPr>
        <w:t>询比响应人</w:t>
      </w:r>
      <w:r>
        <w:rPr>
          <w:rFonts w:hint="eastAsia" w:ascii="宋体" w:hAnsi="宋体" w:eastAsia="宋体" w:cs="宋体"/>
          <w:color w:val="auto"/>
          <w:sz w:val="24"/>
          <w:highlight w:val="none"/>
        </w:rPr>
        <w:t>对响应报价 进行修正，并要求</w:t>
      </w:r>
      <w:r>
        <w:rPr>
          <w:rFonts w:hint="eastAsia" w:ascii="宋体" w:hAnsi="宋体" w:eastAsia="宋体" w:cs="宋体"/>
          <w:color w:val="auto"/>
          <w:sz w:val="24"/>
          <w:highlight w:val="none"/>
          <w:lang w:eastAsia="zh-CN"/>
        </w:rPr>
        <w:t>询比响应人</w:t>
      </w:r>
      <w:r>
        <w:rPr>
          <w:rFonts w:hint="eastAsia" w:ascii="宋体" w:hAnsi="宋体" w:eastAsia="宋体" w:cs="宋体"/>
          <w:color w:val="auto"/>
          <w:sz w:val="24"/>
          <w:highlight w:val="none"/>
        </w:rPr>
        <w:t>书面澄清确认。</w:t>
      </w:r>
      <w:r>
        <w:rPr>
          <w:rFonts w:hint="eastAsia" w:ascii="宋体" w:hAnsi="宋体" w:eastAsia="宋体" w:cs="宋体"/>
          <w:color w:val="auto"/>
          <w:sz w:val="24"/>
          <w:highlight w:val="none"/>
          <w:lang w:eastAsia="zh-CN"/>
        </w:rPr>
        <w:t>询比响应人</w:t>
      </w:r>
      <w:r>
        <w:rPr>
          <w:rFonts w:hint="eastAsia" w:ascii="宋体" w:hAnsi="宋体" w:eastAsia="宋体" w:cs="宋体"/>
          <w:color w:val="auto"/>
          <w:sz w:val="24"/>
          <w:highlight w:val="none"/>
        </w:rPr>
        <w:t>拒不澄清确认的，其响应文件将被视为无效：</w:t>
      </w:r>
    </w:p>
    <w:p>
      <w:pPr>
        <w:pStyle w:val="35"/>
        <w:pageBreakBefore w:val="0"/>
        <w:tabs>
          <w:tab w:val="left" w:pos="1226"/>
        </w:tabs>
        <w:kinsoku/>
        <w:overflowPunct/>
        <w:topLinePunct w:val="0"/>
        <w:bidi w:val="0"/>
        <w:snapToGrid/>
        <w:spacing w:line="360" w:lineRule="auto"/>
        <w:ind w:firstLine="480" w:firstLineChars="200"/>
        <w:rPr>
          <w:rFonts w:hint="eastAsia" w:ascii="宋体" w:hAnsi="宋体" w:eastAsia="宋体" w:cs="宋体"/>
          <w:color w:val="auto"/>
          <w:sz w:val="24"/>
          <w:highlight w:val="none"/>
        </w:rPr>
      </w:pPr>
      <w:bookmarkStart w:id="171" w:name="bookmark1094"/>
      <w:bookmarkEnd w:id="171"/>
      <w:r>
        <w:rPr>
          <w:rFonts w:hint="eastAsia" w:ascii="宋体" w:hAnsi="宋体" w:eastAsia="宋体" w:cs="宋体"/>
          <w:color w:val="auto"/>
          <w:sz w:val="24"/>
          <w:highlight w:val="none"/>
          <w:lang w:val="en-US" w:eastAsia="zh-CN"/>
        </w:rPr>
        <w:t>(1)</w:t>
      </w:r>
      <w:r>
        <w:rPr>
          <w:rFonts w:hint="eastAsia" w:ascii="宋体" w:hAnsi="宋体" w:eastAsia="宋体" w:cs="宋体"/>
          <w:color w:val="auto"/>
          <w:sz w:val="24"/>
          <w:highlight w:val="none"/>
        </w:rPr>
        <w:t>大写金额与小写金额不一致的，以大写金额为准；</w:t>
      </w:r>
    </w:p>
    <w:p>
      <w:pPr>
        <w:pStyle w:val="35"/>
        <w:pageBreakBefore w:val="0"/>
        <w:tabs>
          <w:tab w:val="left" w:pos="1250"/>
        </w:tabs>
        <w:kinsoku/>
        <w:overflowPunct/>
        <w:topLinePunct w:val="0"/>
        <w:bidi w:val="0"/>
        <w:snapToGrid/>
        <w:spacing w:line="360" w:lineRule="auto"/>
        <w:ind w:firstLine="480" w:firstLineChars="200"/>
        <w:rPr>
          <w:rFonts w:hint="eastAsia" w:ascii="宋体" w:hAnsi="宋体" w:eastAsia="宋体" w:cs="宋体"/>
          <w:color w:val="auto"/>
          <w:sz w:val="24"/>
          <w:highlight w:val="none"/>
        </w:rPr>
      </w:pPr>
      <w:bookmarkStart w:id="172" w:name="bookmark1095"/>
      <w:bookmarkEnd w:id="172"/>
      <w:r>
        <w:rPr>
          <w:rFonts w:hint="eastAsia" w:ascii="宋体" w:hAnsi="宋体" w:eastAsia="宋体" w:cs="宋体"/>
          <w:color w:val="auto"/>
          <w:sz w:val="24"/>
          <w:highlight w:val="none"/>
          <w:lang w:val="en-US" w:eastAsia="zh-CN"/>
        </w:rPr>
        <w:t>(2)</w:t>
      </w:r>
      <w:r>
        <w:rPr>
          <w:rFonts w:hint="eastAsia" w:ascii="宋体" w:hAnsi="宋体" w:eastAsia="宋体" w:cs="宋体"/>
          <w:color w:val="auto"/>
          <w:sz w:val="24"/>
          <w:highlight w:val="none"/>
        </w:rPr>
        <w:t>总价金额与单价金额不一致的，以单价金额为准，但单价金额小数点有明显 错误的除外；</w:t>
      </w:r>
    </w:p>
    <w:p>
      <w:pPr>
        <w:pStyle w:val="35"/>
        <w:pageBreakBefore w:val="0"/>
        <w:tabs>
          <w:tab w:val="left" w:pos="1226"/>
        </w:tabs>
        <w:kinsoku/>
        <w:overflowPunct/>
        <w:topLinePunct w:val="0"/>
        <w:bidi w:val="0"/>
        <w:snapToGrid/>
        <w:spacing w:line="360" w:lineRule="auto"/>
        <w:ind w:firstLine="480" w:firstLineChars="200"/>
        <w:jc w:val="left"/>
        <w:rPr>
          <w:rFonts w:hint="eastAsia" w:ascii="宋体" w:hAnsi="宋体" w:eastAsia="宋体" w:cs="宋体"/>
          <w:color w:val="auto"/>
          <w:sz w:val="24"/>
          <w:highlight w:val="none"/>
        </w:rPr>
      </w:pPr>
      <w:bookmarkStart w:id="173" w:name="bookmark1096"/>
      <w:bookmarkEnd w:id="173"/>
      <w:r>
        <w:rPr>
          <w:rFonts w:hint="eastAsia" w:ascii="宋体" w:hAnsi="宋体" w:eastAsia="宋体" w:cs="宋体"/>
          <w:color w:val="auto"/>
          <w:sz w:val="24"/>
          <w:highlight w:val="none"/>
          <w:lang w:val="en-US" w:eastAsia="zh-CN"/>
        </w:rPr>
        <w:t>(3)</w:t>
      </w:r>
      <w:r>
        <w:rPr>
          <w:rFonts w:hint="eastAsia" w:ascii="宋体" w:hAnsi="宋体" w:eastAsia="宋体" w:cs="宋体"/>
          <w:color w:val="auto"/>
          <w:sz w:val="24"/>
          <w:highlight w:val="none"/>
        </w:rPr>
        <w:t>报价表合计报价与分项报价的合计不一致的，以各分项报价的合价累计数为准；</w:t>
      </w:r>
    </w:p>
    <w:p>
      <w:pPr>
        <w:pStyle w:val="35"/>
        <w:pageBreakBefore w:val="0"/>
        <w:tabs>
          <w:tab w:val="left" w:pos="1246"/>
        </w:tabs>
        <w:kinsoku/>
        <w:overflowPunct/>
        <w:topLinePunct w:val="0"/>
        <w:bidi w:val="0"/>
        <w:snapToGrid/>
        <w:spacing w:line="360" w:lineRule="auto"/>
        <w:ind w:firstLine="480" w:firstLineChars="200"/>
        <w:rPr>
          <w:rFonts w:hint="eastAsia" w:ascii="宋体" w:hAnsi="宋体" w:eastAsia="宋体" w:cs="宋体"/>
          <w:color w:val="auto"/>
          <w:sz w:val="24"/>
          <w:highlight w:val="none"/>
        </w:rPr>
      </w:pPr>
      <w:bookmarkStart w:id="174" w:name="bookmark1097"/>
      <w:bookmarkEnd w:id="174"/>
      <w:r>
        <w:rPr>
          <w:rFonts w:hint="eastAsia" w:ascii="宋体" w:hAnsi="宋体" w:eastAsia="宋体" w:cs="宋体"/>
          <w:color w:val="auto"/>
          <w:sz w:val="24"/>
          <w:highlight w:val="none"/>
          <w:lang w:val="en-US" w:eastAsia="zh-CN"/>
        </w:rPr>
        <w:t>(4)</w:t>
      </w:r>
      <w:r>
        <w:rPr>
          <w:rFonts w:hint="eastAsia" w:ascii="宋体" w:hAnsi="宋体" w:eastAsia="宋体" w:cs="宋体"/>
          <w:color w:val="auto"/>
          <w:sz w:val="24"/>
          <w:highlight w:val="none"/>
        </w:rPr>
        <w:t>如果分项报价中存在缺漏项，且缺漏项内容不属于实质性偏差的，则视为缺漏项内容的价格已包含在其他分项报价之中。</w:t>
      </w:r>
    </w:p>
    <w:p>
      <w:pPr>
        <w:pStyle w:val="35"/>
        <w:pageBreakBefore w:val="0"/>
        <w:kinsoku/>
        <w:overflowPunct/>
        <w:topLinePunct w:val="0"/>
        <w:bidi w:val="0"/>
        <w:snapToGrid/>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响应报价的算术错误修正不改变评审依据的响应总报价。当修正后的总报价高于原响应报价时，视同</w:t>
      </w:r>
      <w:r>
        <w:rPr>
          <w:rFonts w:hint="eastAsia" w:ascii="宋体" w:hAnsi="宋体" w:eastAsia="宋体" w:cs="宋体"/>
          <w:color w:val="auto"/>
          <w:sz w:val="24"/>
          <w:highlight w:val="none"/>
          <w:lang w:eastAsia="zh-CN"/>
        </w:rPr>
        <w:t>询比响应人</w:t>
      </w:r>
      <w:r>
        <w:rPr>
          <w:rFonts w:hint="eastAsia" w:ascii="宋体" w:hAnsi="宋体" w:eastAsia="宋体" w:cs="宋体"/>
          <w:color w:val="auto"/>
          <w:sz w:val="24"/>
          <w:highlight w:val="none"/>
        </w:rPr>
        <w:t>响应报价错误产生少漏计费用，签订合同时由</w:t>
      </w:r>
      <w:r>
        <w:rPr>
          <w:rFonts w:hint="eastAsia" w:ascii="宋体" w:hAnsi="宋体" w:eastAsia="宋体" w:cs="宋体"/>
          <w:color w:val="auto"/>
          <w:sz w:val="24"/>
          <w:highlight w:val="none"/>
          <w:lang w:eastAsia="zh-CN"/>
        </w:rPr>
        <w:t>询比响应人</w:t>
      </w:r>
      <w:r>
        <w:rPr>
          <w:rFonts w:hint="eastAsia" w:ascii="宋体" w:hAnsi="宋体" w:eastAsia="宋体" w:cs="宋体"/>
          <w:color w:val="auto"/>
          <w:sz w:val="24"/>
          <w:highlight w:val="none"/>
        </w:rPr>
        <w:t>承担, 如评审小组认为</w:t>
      </w:r>
      <w:r>
        <w:rPr>
          <w:rFonts w:hint="eastAsia" w:ascii="宋体" w:hAnsi="宋体" w:eastAsia="宋体" w:cs="宋体"/>
          <w:color w:val="auto"/>
          <w:sz w:val="24"/>
          <w:highlight w:val="none"/>
          <w:lang w:eastAsia="zh-CN"/>
        </w:rPr>
        <w:t>询比响应人</w:t>
      </w:r>
      <w:r>
        <w:rPr>
          <w:rFonts w:hint="eastAsia" w:ascii="宋体" w:hAnsi="宋体" w:eastAsia="宋体" w:cs="宋体"/>
          <w:color w:val="auto"/>
          <w:sz w:val="24"/>
          <w:highlight w:val="none"/>
        </w:rPr>
        <w:t>无法承受少漏计费用，可以将响应报价作为异常低价处理；当修正后的总报价低于原响应报价时，签订合同时以修正后的报价为准。</w:t>
      </w:r>
    </w:p>
    <w:p>
      <w:pPr>
        <w:pStyle w:val="35"/>
        <w:pageBreakBefore w:val="0"/>
        <w:kinsoku/>
        <w:overflowPunct/>
        <w:topLinePunct w:val="0"/>
        <w:bidi w:val="0"/>
        <w:snapToGrid/>
        <w:spacing w:line="360" w:lineRule="auto"/>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bidi="en-US"/>
        </w:rPr>
        <w:t>2. 2.4</w:t>
      </w:r>
      <w:r>
        <w:rPr>
          <w:rFonts w:hint="eastAsia" w:ascii="宋体" w:hAnsi="宋体" w:eastAsia="宋体" w:cs="宋体"/>
          <w:color w:val="auto"/>
          <w:sz w:val="24"/>
          <w:highlight w:val="none"/>
          <w:lang w:eastAsia="zh-CN"/>
        </w:rPr>
        <w:t>询比响应人</w:t>
      </w:r>
      <w:r>
        <w:rPr>
          <w:rFonts w:hint="eastAsia" w:ascii="宋体" w:hAnsi="宋体" w:eastAsia="宋体" w:cs="宋体"/>
          <w:color w:val="auto"/>
          <w:sz w:val="24"/>
          <w:highlight w:val="none"/>
        </w:rPr>
        <w:t>有串通、弄虚作假、行贿等违法行为的，其响应文件将被视为无效。</w:t>
      </w:r>
    </w:p>
    <w:p>
      <w:pPr>
        <w:pStyle w:val="35"/>
        <w:pageBreakBefore w:val="0"/>
        <w:kinsoku/>
        <w:overflowPunct/>
        <w:topLinePunct w:val="0"/>
        <w:bidi w:val="0"/>
        <w:snapToGrid/>
        <w:spacing w:line="360" w:lineRule="auto"/>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bidi="en-US"/>
        </w:rPr>
        <w:t>2. 2.5</w:t>
      </w:r>
      <w:r>
        <w:rPr>
          <w:rFonts w:hint="eastAsia" w:ascii="宋体" w:hAnsi="宋体" w:eastAsia="宋体" w:cs="宋体"/>
          <w:color w:val="auto"/>
          <w:sz w:val="24"/>
          <w:highlight w:val="none"/>
        </w:rPr>
        <w:t>特殊情形处理</w:t>
      </w:r>
    </w:p>
    <w:p>
      <w:pPr>
        <w:pStyle w:val="35"/>
        <w:pageBreakBefore w:val="0"/>
        <w:kinsoku/>
        <w:overflowPunct/>
        <w:topLinePunct w:val="0"/>
        <w:bidi w:val="0"/>
        <w:snapToGrid/>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初步评审后，如评审小组认为所有响应文件均无效，或者所有响应报价竞争性不足，高于市场预期价格，评审小组应当终止评审，或经</w:t>
      </w:r>
      <w:r>
        <w:rPr>
          <w:rFonts w:hint="eastAsia" w:cs="宋体"/>
          <w:color w:val="auto"/>
          <w:sz w:val="24"/>
          <w:highlight w:val="none"/>
          <w:lang w:eastAsia="zh-CN"/>
        </w:rPr>
        <w:t>招标人</w:t>
      </w:r>
      <w:r>
        <w:rPr>
          <w:rFonts w:hint="eastAsia" w:ascii="宋体" w:hAnsi="宋体" w:eastAsia="宋体" w:cs="宋体"/>
          <w:color w:val="auto"/>
          <w:sz w:val="24"/>
          <w:highlight w:val="none"/>
        </w:rPr>
        <w:t>同意，直接转换选择其他采购方式，与原</w:t>
      </w:r>
      <w:r>
        <w:rPr>
          <w:rFonts w:hint="eastAsia" w:ascii="宋体" w:hAnsi="宋体" w:eastAsia="宋体" w:cs="宋体"/>
          <w:color w:val="auto"/>
          <w:sz w:val="24"/>
          <w:highlight w:val="none"/>
          <w:lang w:eastAsia="zh-CN"/>
        </w:rPr>
        <w:t>询比响应人</w:t>
      </w:r>
      <w:r>
        <w:rPr>
          <w:rFonts w:hint="eastAsia" w:ascii="宋体" w:hAnsi="宋体" w:eastAsia="宋体" w:cs="宋体"/>
          <w:color w:val="auto"/>
          <w:sz w:val="24"/>
          <w:highlight w:val="none"/>
        </w:rPr>
        <w:t>共同完成后续采购程序。</w:t>
      </w:r>
    </w:p>
    <w:p>
      <w:pPr>
        <w:pStyle w:val="35"/>
        <w:pageBreakBefore w:val="0"/>
        <w:kinsoku/>
        <w:overflowPunct/>
        <w:topLinePunct w:val="0"/>
        <w:bidi w:val="0"/>
        <w:snapToGrid/>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选择直接转换釆购方式采购的，评审小组按照本章第5条</w:t>
      </w:r>
      <w:r>
        <w:rPr>
          <w:rFonts w:hint="eastAsia" w:ascii="宋体" w:hAnsi="宋体" w:eastAsia="宋体" w:cs="宋体"/>
          <w:color w:val="auto"/>
          <w:sz w:val="24"/>
          <w:highlight w:val="none"/>
          <w:lang w:val="zh-CN" w:eastAsia="zh-CN" w:bidi="zh-CN"/>
        </w:rPr>
        <w:t>“直</w:t>
      </w:r>
      <w:r>
        <w:rPr>
          <w:rFonts w:hint="eastAsia" w:ascii="宋体" w:hAnsi="宋体" w:eastAsia="宋体" w:cs="宋体"/>
          <w:color w:val="auto"/>
          <w:sz w:val="24"/>
          <w:highlight w:val="none"/>
        </w:rPr>
        <w:t>接转换采购方式评审程序”重新评审。除了</w:t>
      </w:r>
      <w:r>
        <w:rPr>
          <w:rFonts w:hint="eastAsia" w:cs="宋体"/>
          <w:color w:val="auto"/>
          <w:sz w:val="24"/>
          <w:highlight w:val="none"/>
          <w:lang w:eastAsia="zh-CN"/>
        </w:rPr>
        <w:t>招标人</w:t>
      </w:r>
      <w:r>
        <w:rPr>
          <w:rFonts w:hint="eastAsia" w:ascii="宋体" w:hAnsi="宋体" w:eastAsia="宋体" w:cs="宋体"/>
          <w:color w:val="auto"/>
          <w:sz w:val="24"/>
          <w:highlight w:val="none"/>
        </w:rPr>
        <w:t>与</w:t>
      </w:r>
      <w:r>
        <w:rPr>
          <w:rFonts w:hint="eastAsia" w:ascii="宋体" w:hAnsi="宋体" w:eastAsia="宋体" w:cs="宋体"/>
          <w:color w:val="auto"/>
          <w:sz w:val="24"/>
          <w:highlight w:val="none"/>
          <w:lang w:eastAsia="zh-CN"/>
        </w:rPr>
        <w:t>询比响应人</w:t>
      </w:r>
      <w:r>
        <w:rPr>
          <w:rFonts w:hint="eastAsia" w:ascii="宋体" w:hAnsi="宋体" w:eastAsia="宋体" w:cs="宋体"/>
          <w:color w:val="auto"/>
          <w:sz w:val="24"/>
          <w:highlight w:val="none"/>
        </w:rPr>
        <w:t>双方提出修改补充并接受新的条件和要求外, 原采购文件与原响应文件对</w:t>
      </w:r>
      <w:r>
        <w:rPr>
          <w:rFonts w:hint="eastAsia" w:cs="宋体"/>
          <w:color w:val="auto"/>
          <w:sz w:val="24"/>
          <w:highlight w:val="none"/>
          <w:lang w:eastAsia="zh-CN"/>
        </w:rPr>
        <w:t>招标人</w:t>
      </w:r>
      <w:r>
        <w:rPr>
          <w:rFonts w:hint="eastAsia" w:ascii="宋体" w:hAnsi="宋体" w:eastAsia="宋体" w:cs="宋体"/>
          <w:color w:val="auto"/>
          <w:sz w:val="24"/>
          <w:highlight w:val="none"/>
        </w:rPr>
        <w:t>和</w:t>
      </w:r>
      <w:r>
        <w:rPr>
          <w:rFonts w:hint="eastAsia" w:ascii="宋体" w:hAnsi="宋体" w:eastAsia="宋体" w:cs="宋体"/>
          <w:color w:val="auto"/>
          <w:sz w:val="24"/>
          <w:highlight w:val="none"/>
          <w:lang w:eastAsia="zh-CN"/>
        </w:rPr>
        <w:t>询比响应人</w:t>
      </w:r>
      <w:r>
        <w:rPr>
          <w:rFonts w:hint="eastAsia" w:ascii="宋体" w:hAnsi="宋体" w:eastAsia="宋体" w:cs="宋体"/>
          <w:color w:val="auto"/>
          <w:sz w:val="24"/>
          <w:highlight w:val="none"/>
        </w:rPr>
        <w:t>仍然具有相应约束力。</w:t>
      </w:r>
    </w:p>
    <w:p>
      <w:pPr>
        <w:pStyle w:val="4"/>
        <w:pageBreakBefore w:val="0"/>
        <w:kinsoku/>
        <w:overflowPunct/>
        <w:topLinePunct w:val="0"/>
        <w:bidi w:val="0"/>
        <w:snapToGrid/>
        <w:spacing w:line="360" w:lineRule="auto"/>
        <w:jc w:val="both"/>
        <w:rPr>
          <w:rFonts w:hint="eastAsia" w:ascii="宋体" w:hAnsi="宋体" w:eastAsia="宋体" w:cs="宋体"/>
          <w:color w:val="auto"/>
          <w:highlight w:val="none"/>
        </w:rPr>
      </w:pPr>
      <w:bookmarkStart w:id="175" w:name="_Toc24204"/>
      <w:bookmarkStart w:id="176" w:name="_Toc15457"/>
      <w:bookmarkStart w:id="177" w:name="bookmark1098"/>
      <w:bookmarkStart w:id="178" w:name="bookmark1100"/>
      <w:bookmarkStart w:id="179" w:name="bookmark1099"/>
      <w:r>
        <w:rPr>
          <w:rFonts w:hint="eastAsia" w:ascii="宋体" w:hAnsi="宋体" w:eastAsia="宋体" w:cs="宋体"/>
          <w:color w:val="auto"/>
          <w:highlight w:val="none"/>
        </w:rPr>
        <w:t>3详细评审标准和程序(最低价法)</w:t>
      </w:r>
      <w:bookmarkEnd w:id="175"/>
      <w:bookmarkEnd w:id="176"/>
      <w:bookmarkEnd w:id="177"/>
      <w:bookmarkEnd w:id="178"/>
      <w:bookmarkEnd w:id="179"/>
    </w:p>
    <w:p>
      <w:pPr>
        <w:pStyle w:val="35"/>
        <w:pageBreakBefore w:val="0"/>
        <w:kinsoku/>
        <w:overflowPunct/>
        <w:topLinePunct w:val="0"/>
        <w:bidi w:val="0"/>
        <w:snapToGrid/>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评审小组对评审价格进行比较后，按照评审价格由低到高的顺序对</w:t>
      </w:r>
      <w:r>
        <w:rPr>
          <w:rFonts w:hint="eastAsia" w:ascii="宋体" w:hAnsi="宋体" w:eastAsia="宋体" w:cs="宋体"/>
          <w:color w:val="auto"/>
          <w:sz w:val="24"/>
          <w:highlight w:val="none"/>
          <w:lang w:eastAsia="zh-CN"/>
        </w:rPr>
        <w:t>询比响应人</w:t>
      </w:r>
      <w:r>
        <w:rPr>
          <w:rFonts w:hint="eastAsia" w:ascii="宋体" w:hAnsi="宋体" w:eastAsia="宋体" w:cs="宋体"/>
          <w:color w:val="auto"/>
          <w:sz w:val="24"/>
          <w:highlight w:val="none"/>
        </w:rPr>
        <w:t xml:space="preserve">排序。 </w:t>
      </w:r>
      <w:r>
        <w:rPr>
          <w:rFonts w:hint="eastAsia" w:ascii="宋体" w:hAnsi="宋体" w:eastAsia="宋体" w:cs="宋体"/>
          <w:color w:val="auto"/>
          <w:sz w:val="24"/>
          <w:highlight w:val="none"/>
          <w:lang w:eastAsia="zh-CN"/>
        </w:rPr>
        <w:t>询比响应人</w:t>
      </w:r>
      <w:r>
        <w:rPr>
          <w:rFonts w:hint="eastAsia" w:ascii="宋体" w:hAnsi="宋体" w:eastAsia="宋体" w:cs="宋体"/>
          <w:color w:val="auto"/>
          <w:sz w:val="24"/>
          <w:highlight w:val="none"/>
        </w:rPr>
        <w:t>评审价格相等时，按照评审办法前附表的规定确定</w:t>
      </w:r>
      <w:r>
        <w:rPr>
          <w:rFonts w:hint="eastAsia" w:ascii="宋体" w:hAnsi="宋体" w:eastAsia="宋体" w:cs="宋体"/>
          <w:color w:val="auto"/>
          <w:sz w:val="24"/>
          <w:highlight w:val="none"/>
          <w:lang w:eastAsia="zh-CN"/>
        </w:rPr>
        <w:t>询比响应人</w:t>
      </w:r>
      <w:r>
        <w:rPr>
          <w:rFonts w:hint="eastAsia" w:ascii="宋体" w:hAnsi="宋体" w:eastAsia="宋体" w:cs="宋体"/>
          <w:color w:val="auto"/>
          <w:sz w:val="24"/>
          <w:highlight w:val="none"/>
        </w:rPr>
        <w:t>优先顺序。</w:t>
      </w:r>
    </w:p>
    <w:p>
      <w:pPr>
        <w:pStyle w:val="4"/>
        <w:pageBreakBefore w:val="0"/>
        <w:kinsoku/>
        <w:overflowPunct/>
        <w:topLinePunct w:val="0"/>
        <w:bidi w:val="0"/>
        <w:snapToGrid/>
        <w:spacing w:line="360" w:lineRule="auto"/>
        <w:jc w:val="both"/>
        <w:rPr>
          <w:rFonts w:hint="eastAsia" w:ascii="宋体" w:hAnsi="宋体" w:eastAsia="宋体" w:cs="宋体"/>
          <w:color w:val="auto"/>
          <w:highlight w:val="none"/>
        </w:rPr>
      </w:pPr>
      <w:bookmarkStart w:id="180" w:name="bookmark1103"/>
      <w:bookmarkStart w:id="181" w:name="bookmark1102"/>
      <w:bookmarkStart w:id="182" w:name="_Toc18858"/>
      <w:bookmarkStart w:id="183" w:name="bookmark1101"/>
      <w:bookmarkStart w:id="184" w:name="_Toc6083"/>
      <w:r>
        <w:rPr>
          <w:rFonts w:hint="eastAsia" w:ascii="宋体" w:hAnsi="宋体" w:eastAsia="宋体" w:cs="宋体"/>
          <w:color w:val="auto"/>
          <w:highlight w:val="none"/>
        </w:rPr>
        <w:t>3详细评审标准和程序(综合评分法)</w:t>
      </w:r>
      <w:bookmarkEnd w:id="180"/>
      <w:bookmarkEnd w:id="181"/>
      <w:bookmarkEnd w:id="182"/>
      <w:bookmarkEnd w:id="183"/>
      <w:bookmarkEnd w:id="184"/>
    </w:p>
    <w:p>
      <w:pPr>
        <w:pStyle w:val="6"/>
        <w:pageBreakBefore w:val="0"/>
        <w:kinsoku/>
        <w:overflowPunct/>
        <w:topLinePunct w:val="0"/>
        <w:bidi w:val="0"/>
        <w:snapToGrid/>
        <w:spacing w:line="360" w:lineRule="auto"/>
        <w:rPr>
          <w:rFonts w:hint="eastAsia" w:ascii="宋体" w:hAnsi="宋体" w:eastAsia="宋体" w:cs="宋体"/>
          <w:color w:val="auto"/>
          <w:highlight w:val="none"/>
        </w:rPr>
      </w:pPr>
      <w:bookmarkStart w:id="185" w:name="bookmark1106"/>
      <w:bookmarkStart w:id="186" w:name="_Toc9087"/>
      <w:bookmarkStart w:id="187" w:name="bookmark1105"/>
      <w:bookmarkStart w:id="188" w:name="_Toc24690"/>
      <w:bookmarkStart w:id="189" w:name="bookmark1104"/>
      <w:r>
        <w:rPr>
          <w:rFonts w:hint="eastAsia" w:ascii="宋体" w:hAnsi="宋体" w:eastAsia="宋体" w:cs="宋体"/>
          <w:color w:val="auto"/>
          <w:highlight w:val="none"/>
        </w:rPr>
        <w:t>3.1分值构成</w:t>
      </w:r>
      <w:bookmarkEnd w:id="185"/>
      <w:bookmarkEnd w:id="186"/>
      <w:bookmarkEnd w:id="187"/>
      <w:bookmarkEnd w:id="188"/>
      <w:bookmarkEnd w:id="189"/>
    </w:p>
    <w:p>
      <w:pPr>
        <w:pStyle w:val="35"/>
        <w:pageBreakBefore w:val="0"/>
        <w:tabs>
          <w:tab w:val="left" w:pos="1446"/>
        </w:tabs>
        <w:kinsoku/>
        <w:overflowPunct/>
        <w:topLinePunct w:val="0"/>
        <w:bidi w:val="0"/>
        <w:snapToGrid/>
        <w:spacing w:line="360" w:lineRule="auto"/>
        <w:ind w:firstLine="480" w:firstLineChars="200"/>
        <w:rPr>
          <w:rFonts w:hint="eastAsia" w:ascii="宋体" w:hAnsi="宋体" w:eastAsia="宋体" w:cs="宋体"/>
          <w:color w:val="auto"/>
          <w:sz w:val="24"/>
          <w:highlight w:val="none"/>
        </w:rPr>
      </w:pPr>
      <w:bookmarkStart w:id="190" w:name="bookmark1107"/>
      <w:bookmarkEnd w:id="190"/>
      <w:r>
        <w:rPr>
          <w:rFonts w:hint="eastAsia" w:ascii="宋体" w:hAnsi="宋体" w:eastAsia="宋体" w:cs="宋体"/>
          <w:color w:val="auto"/>
          <w:sz w:val="24"/>
          <w:highlight w:val="none"/>
          <w:lang w:val="en-US" w:eastAsia="zh-CN"/>
        </w:rPr>
        <w:t>(1)</w:t>
      </w:r>
      <w:r>
        <w:rPr>
          <w:rFonts w:hint="eastAsia" w:ascii="宋体" w:hAnsi="宋体" w:eastAsia="宋体" w:cs="宋体"/>
          <w:color w:val="auto"/>
          <w:sz w:val="24"/>
          <w:highlight w:val="none"/>
        </w:rPr>
        <w:t>商务部分：见评审办法前附表；</w:t>
      </w:r>
    </w:p>
    <w:p>
      <w:pPr>
        <w:pStyle w:val="35"/>
        <w:pageBreakBefore w:val="0"/>
        <w:tabs>
          <w:tab w:val="left" w:pos="1446"/>
        </w:tabs>
        <w:kinsoku/>
        <w:overflowPunct/>
        <w:topLinePunct w:val="0"/>
        <w:bidi w:val="0"/>
        <w:snapToGrid/>
        <w:spacing w:line="360" w:lineRule="auto"/>
        <w:ind w:firstLine="480" w:firstLineChars="200"/>
        <w:rPr>
          <w:rFonts w:hint="eastAsia" w:ascii="宋体" w:hAnsi="宋体" w:eastAsia="宋体" w:cs="宋体"/>
          <w:color w:val="auto"/>
          <w:sz w:val="24"/>
          <w:highlight w:val="none"/>
        </w:rPr>
      </w:pPr>
      <w:bookmarkStart w:id="191" w:name="bookmark1108"/>
      <w:bookmarkEnd w:id="191"/>
      <w:r>
        <w:rPr>
          <w:rFonts w:hint="eastAsia" w:ascii="宋体" w:hAnsi="宋体" w:eastAsia="宋体" w:cs="宋体"/>
          <w:color w:val="auto"/>
          <w:sz w:val="24"/>
          <w:highlight w:val="none"/>
          <w:lang w:val="en-US" w:eastAsia="zh-CN"/>
        </w:rPr>
        <w:t>(2)</w:t>
      </w:r>
      <w:r>
        <w:rPr>
          <w:rFonts w:hint="eastAsia" w:ascii="宋体" w:hAnsi="宋体" w:eastAsia="宋体" w:cs="宋体"/>
          <w:color w:val="auto"/>
          <w:sz w:val="24"/>
          <w:highlight w:val="none"/>
        </w:rPr>
        <w:t>技术部分：见评审办法前附表；</w:t>
      </w:r>
    </w:p>
    <w:p>
      <w:pPr>
        <w:pStyle w:val="35"/>
        <w:pageBreakBefore w:val="0"/>
        <w:tabs>
          <w:tab w:val="left" w:pos="1446"/>
        </w:tabs>
        <w:kinsoku/>
        <w:overflowPunct/>
        <w:topLinePunct w:val="0"/>
        <w:bidi w:val="0"/>
        <w:snapToGrid/>
        <w:spacing w:line="360" w:lineRule="auto"/>
        <w:ind w:firstLine="480" w:firstLineChars="200"/>
        <w:rPr>
          <w:rFonts w:hint="eastAsia" w:ascii="宋体" w:hAnsi="宋体" w:eastAsia="宋体" w:cs="宋体"/>
          <w:color w:val="auto"/>
          <w:sz w:val="24"/>
          <w:highlight w:val="none"/>
        </w:rPr>
      </w:pPr>
      <w:bookmarkStart w:id="192" w:name="bookmark1109"/>
      <w:bookmarkEnd w:id="192"/>
      <w:r>
        <w:rPr>
          <w:rFonts w:hint="eastAsia" w:ascii="宋体" w:hAnsi="宋体" w:eastAsia="宋体" w:cs="宋体"/>
          <w:color w:val="auto"/>
          <w:sz w:val="24"/>
          <w:highlight w:val="none"/>
          <w:lang w:val="en-US" w:eastAsia="zh-CN"/>
        </w:rPr>
        <w:t>(3)</w:t>
      </w:r>
      <w:r>
        <w:rPr>
          <w:rFonts w:hint="eastAsia" w:ascii="宋体" w:hAnsi="宋体" w:eastAsia="宋体" w:cs="宋体"/>
          <w:color w:val="auto"/>
          <w:sz w:val="24"/>
          <w:highlight w:val="none"/>
        </w:rPr>
        <w:t>报价：见评审办法前附表；</w:t>
      </w:r>
    </w:p>
    <w:p>
      <w:pPr>
        <w:pStyle w:val="35"/>
        <w:pageBreakBefore w:val="0"/>
        <w:tabs>
          <w:tab w:val="left" w:pos="1446"/>
        </w:tabs>
        <w:kinsoku/>
        <w:overflowPunct/>
        <w:topLinePunct w:val="0"/>
        <w:bidi w:val="0"/>
        <w:snapToGrid/>
        <w:spacing w:line="360" w:lineRule="auto"/>
        <w:ind w:firstLine="480" w:firstLineChars="200"/>
        <w:rPr>
          <w:rFonts w:hint="eastAsia" w:ascii="宋体" w:hAnsi="宋体" w:eastAsia="宋体" w:cs="宋体"/>
          <w:color w:val="auto"/>
          <w:sz w:val="24"/>
          <w:highlight w:val="none"/>
        </w:rPr>
      </w:pPr>
      <w:bookmarkStart w:id="193" w:name="bookmark1110"/>
      <w:bookmarkEnd w:id="193"/>
      <w:r>
        <w:rPr>
          <w:rFonts w:hint="eastAsia" w:ascii="宋体" w:hAnsi="宋体" w:eastAsia="宋体" w:cs="宋体"/>
          <w:color w:val="auto"/>
          <w:sz w:val="24"/>
          <w:highlight w:val="none"/>
          <w:lang w:val="en-US" w:eastAsia="zh-CN"/>
        </w:rPr>
        <w:t>(4)</w:t>
      </w:r>
      <w:r>
        <w:rPr>
          <w:rFonts w:hint="eastAsia" w:ascii="宋体" w:hAnsi="宋体" w:eastAsia="宋体" w:cs="宋体"/>
          <w:color w:val="auto"/>
          <w:sz w:val="24"/>
          <w:highlight w:val="none"/>
        </w:rPr>
        <w:t>其他评分因素：见评审办法前附表。</w:t>
      </w:r>
    </w:p>
    <w:p>
      <w:pPr>
        <w:pStyle w:val="6"/>
        <w:pageBreakBefore w:val="0"/>
        <w:kinsoku/>
        <w:overflowPunct/>
        <w:topLinePunct w:val="0"/>
        <w:bidi w:val="0"/>
        <w:snapToGrid/>
        <w:spacing w:line="360" w:lineRule="auto"/>
        <w:rPr>
          <w:rFonts w:hint="eastAsia" w:ascii="宋体" w:hAnsi="宋体" w:eastAsia="宋体" w:cs="宋体"/>
          <w:color w:val="auto"/>
          <w:highlight w:val="none"/>
        </w:rPr>
      </w:pPr>
      <w:bookmarkStart w:id="194" w:name="_Toc27798"/>
      <w:bookmarkStart w:id="195" w:name="bookmark1112"/>
      <w:bookmarkStart w:id="196" w:name="bookmark1111"/>
      <w:bookmarkStart w:id="197" w:name="bookmark1113"/>
      <w:bookmarkStart w:id="198" w:name="_Toc7969"/>
      <w:r>
        <w:rPr>
          <w:rFonts w:hint="eastAsia" w:ascii="宋体" w:hAnsi="宋体" w:eastAsia="宋体" w:cs="宋体"/>
          <w:color w:val="auto"/>
          <w:highlight w:val="none"/>
        </w:rPr>
        <w:t>3.2评审基准价计算</w:t>
      </w:r>
      <w:bookmarkEnd w:id="194"/>
      <w:bookmarkEnd w:id="195"/>
      <w:bookmarkEnd w:id="196"/>
      <w:bookmarkEnd w:id="197"/>
      <w:bookmarkEnd w:id="198"/>
    </w:p>
    <w:p>
      <w:pPr>
        <w:pStyle w:val="35"/>
        <w:pageBreakBefore w:val="0"/>
        <w:tabs>
          <w:tab w:val="left" w:pos="1451"/>
        </w:tabs>
        <w:kinsoku/>
        <w:overflowPunct/>
        <w:topLinePunct w:val="0"/>
        <w:bidi w:val="0"/>
        <w:snapToGrid/>
        <w:spacing w:line="360" w:lineRule="auto"/>
        <w:ind w:firstLine="480" w:firstLineChars="200"/>
        <w:rPr>
          <w:rFonts w:hint="eastAsia" w:ascii="宋体" w:hAnsi="宋体" w:eastAsia="宋体" w:cs="宋体"/>
          <w:color w:val="auto"/>
          <w:sz w:val="24"/>
          <w:highlight w:val="none"/>
        </w:rPr>
      </w:pPr>
      <w:bookmarkStart w:id="199" w:name="bookmark1114"/>
      <w:bookmarkEnd w:id="199"/>
      <w:r>
        <w:rPr>
          <w:rFonts w:hint="eastAsia" w:ascii="宋体" w:hAnsi="宋体" w:eastAsia="宋体" w:cs="宋体"/>
          <w:color w:val="auto"/>
          <w:sz w:val="24"/>
          <w:highlight w:val="none"/>
          <w:lang w:val="en-US" w:eastAsia="zh-CN"/>
        </w:rPr>
        <w:t>(1)</w:t>
      </w:r>
      <w:r>
        <w:rPr>
          <w:rFonts w:hint="eastAsia" w:ascii="宋体" w:hAnsi="宋体" w:eastAsia="宋体" w:cs="宋体"/>
          <w:color w:val="auto"/>
          <w:sz w:val="24"/>
          <w:highlight w:val="none"/>
        </w:rPr>
        <w:t>评审价格：评审价格为按照本章第</w:t>
      </w:r>
      <w:r>
        <w:rPr>
          <w:rFonts w:hint="eastAsia" w:ascii="宋体" w:hAnsi="宋体" w:eastAsia="宋体" w:cs="宋体"/>
          <w:color w:val="auto"/>
          <w:sz w:val="24"/>
          <w:highlight w:val="none"/>
          <w:lang w:val="en-US" w:eastAsia="zh-CN" w:bidi="en-US"/>
        </w:rPr>
        <w:t xml:space="preserve">2. </w:t>
      </w:r>
      <w:r>
        <w:rPr>
          <w:rFonts w:hint="eastAsia" w:ascii="宋体" w:hAnsi="宋体" w:eastAsia="宋体" w:cs="宋体"/>
          <w:color w:val="auto"/>
          <w:sz w:val="24"/>
          <w:highlight w:val="none"/>
          <w:lang w:val="en-US" w:eastAsia="en-US" w:bidi="en-US"/>
        </w:rPr>
        <w:t>2.2</w:t>
      </w:r>
      <w:r>
        <w:rPr>
          <w:rFonts w:hint="eastAsia" w:ascii="宋体" w:hAnsi="宋体" w:eastAsia="宋体" w:cs="宋体"/>
          <w:color w:val="auto"/>
          <w:sz w:val="24"/>
          <w:highlight w:val="none"/>
        </w:rPr>
        <w:t>项规定确定的价格；</w:t>
      </w:r>
    </w:p>
    <w:p>
      <w:pPr>
        <w:pStyle w:val="35"/>
        <w:pageBreakBefore w:val="0"/>
        <w:tabs>
          <w:tab w:val="left" w:pos="1451"/>
        </w:tabs>
        <w:kinsoku/>
        <w:overflowPunct/>
        <w:topLinePunct w:val="0"/>
        <w:bidi w:val="0"/>
        <w:snapToGrid/>
        <w:spacing w:line="360" w:lineRule="auto"/>
        <w:ind w:firstLine="480" w:firstLineChars="200"/>
        <w:rPr>
          <w:rFonts w:hint="eastAsia" w:ascii="宋体" w:hAnsi="宋体" w:eastAsia="宋体" w:cs="宋体"/>
          <w:color w:val="auto"/>
          <w:sz w:val="24"/>
          <w:highlight w:val="none"/>
        </w:rPr>
      </w:pPr>
      <w:bookmarkStart w:id="200" w:name="bookmark1115"/>
      <w:bookmarkEnd w:id="200"/>
      <w:r>
        <w:rPr>
          <w:rFonts w:hint="eastAsia" w:ascii="宋体" w:hAnsi="宋体" w:eastAsia="宋体" w:cs="宋体"/>
          <w:color w:val="auto"/>
          <w:sz w:val="24"/>
          <w:highlight w:val="none"/>
          <w:lang w:val="en-US" w:eastAsia="zh-CN"/>
        </w:rPr>
        <w:t>(2)</w:t>
      </w:r>
      <w:r>
        <w:rPr>
          <w:rFonts w:hint="eastAsia" w:ascii="宋体" w:hAnsi="宋体" w:eastAsia="宋体" w:cs="宋体"/>
          <w:color w:val="auto"/>
          <w:sz w:val="24"/>
          <w:highlight w:val="none"/>
        </w:rPr>
        <w:t>评审基准价计算方法：</w:t>
      </w:r>
    </w:p>
    <w:p>
      <w:pPr>
        <w:pStyle w:val="35"/>
        <w:pageBreakBefore w:val="0"/>
        <w:kinsoku/>
        <w:overflowPunct/>
        <w:topLinePunct w:val="0"/>
        <w:bidi w:val="0"/>
        <w:snapToGrid/>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方法一：评审基准价=评审价格平均值(即通过初步评审的所有</w:t>
      </w:r>
      <w:r>
        <w:rPr>
          <w:rFonts w:hint="eastAsia" w:ascii="宋体" w:hAnsi="宋体" w:eastAsia="宋体" w:cs="宋体"/>
          <w:color w:val="auto"/>
          <w:sz w:val="24"/>
          <w:highlight w:val="none"/>
          <w:lang w:eastAsia="zh-CN"/>
        </w:rPr>
        <w:t>询比响应人</w:t>
      </w:r>
      <w:r>
        <w:rPr>
          <w:rFonts w:hint="eastAsia" w:ascii="宋体" w:hAnsi="宋体" w:eastAsia="宋体" w:cs="宋体"/>
          <w:color w:val="auto"/>
          <w:sz w:val="24"/>
          <w:highlight w:val="none"/>
        </w:rPr>
        <w:t>评审价格的算术平均值)。</w:t>
      </w:r>
    </w:p>
    <w:p>
      <w:pPr>
        <w:pStyle w:val="35"/>
        <w:pageBreakBefore w:val="0"/>
        <w:kinsoku/>
        <w:overflowPunct/>
        <w:topLinePunct w:val="0"/>
        <w:bidi w:val="0"/>
        <w:snapToGrid/>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方法二：评审基准价=评审价格平均值(即通过初步评审的所有</w:t>
      </w:r>
      <w:r>
        <w:rPr>
          <w:rFonts w:hint="eastAsia" w:ascii="宋体" w:hAnsi="宋体" w:eastAsia="宋体" w:cs="宋体"/>
          <w:color w:val="auto"/>
          <w:sz w:val="24"/>
          <w:highlight w:val="none"/>
          <w:lang w:eastAsia="zh-CN"/>
        </w:rPr>
        <w:t>询比响应人</w:t>
      </w:r>
      <w:r>
        <w:rPr>
          <w:rFonts w:hint="eastAsia" w:ascii="宋体" w:hAnsi="宋体" w:eastAsia="宋体" w:cs="宋体"/>
          <w:color w:val="auto"/>
          <w:sz w:val="24"/>
          <w:highlight w:val="none"/>
        </w:rPr>
        <w:t>评审价格 的算术平均值)</w:t>
      </w:r>
      <w:r>
        <w:rPr>
          <w:rFonts w:hint="eastAsia" w:ascii="宋体" w:hAnsi="宋体" w:eastAsia="宋体" w:cs="宋体"/>
          <w:color w:val="auto"/>
          <w:sz w:val="24"/>
          <w:highlight w:val="none"/>
          <w:lang w:val="en-US" w:eastAsia="zh-CN" w:bidi="en-US"/>
        </w:rPr>
        <w:t>x</w:t>
      </w:r>
      <w:r>
        <w:rPr>
          <w:rFonts w:hint="eastAsia" w:ascii="宋体" w:hAnsi="宋体" w:eastAsia="宋体" w:cs="宋体"/>
          <w:color w:val="auto"/>
          <w:sz w:val="24"/>
          <w:highlight w:val="none"/>
        </w:rPr>
        <w:t>评审基准价系数，评审基准价系数的取值见评审办法前附表。</w:t>
      </w:r>
    </w:p>
    <w:p>
      <w:pPr>
        <w:pStyle w:val="35"/>
        <w:pageBreakBefore w:val="0"/>
        <w:kinsoku/>
        <w:overflowPunct/>
        <w:topLinePunct w:val="0"/>
        <w:bidi w:val="0"/>
        <w:snapToGrid/>
        <w:spacing w:line="360" w:lineRule="auto"/>
        <w:ind w:firstLine="480" w:firstLineChars="2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方法三：评审基准价=通过初步评审的所有</w:t>
      </w:r>
      <w:r>
        <w:rPr>
          <w:rFonts w:hint="eastAsia" w:ascii="宋体" w:hAnsi="宋体" w:eastAsia="宋体" w:cs="宋体"/>
          <w:color w:val="auto"/>
          <w:sz w:val="24"/>
          <w:highlight w:val="none"/>
          <w:lang w:eastAsia="zh-CN"/>
        </w:rPr>
        <w:t>询比响应人</w:t>
      </w:r>
      <w:r>
        <w:rPr>
          <w:rFonts w:hint="eastAsia" w:ascii="宋体" w:hAnsi="宋体" w:eastAsia="宋体" w:cs="宋体"/>
          <w:color w:val="auto"/>
          <w:sz w:val="24"/>
          <w:highlight w:val="none"/>
        </w:rPr>
        <w:t>的最低评审价格。</w:t>
      </w:r>
    </w:p>
    <w:p>
      <w:pPr>
        <w:pStyle w:val="35"/>
        <w:pageBreakBefore w:val="0"/>
        <w:kinsoku/>
        <w:overflowPunct/>
        <w:topLinePunct w:val="0"/>
        <w:bidi w:val="0"/>
        <w:snapToGrid/>
        <w:spacing w:line="360" w:lineRule="auto"/>
        <w:ind w:firstLine="480" w:firstLineChars="2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方法四：</w:t>
      </w:r>
      <w:r>
        <w:rPr>
          <w:rFonts w:hint="eastAsia" w:cs="宋体"/>
          <w:color w:val="auto"/>
          <w:sz w:val="24"/>
          <w:highlight w:val="none"/>
          <w:lang w:eastAsia="zh-CN"/>
        </w:rPr>
        <w:t>招标人</w:t>
      </w:r>
      <w:r>
        <w:rPr>
          <w:rFonts w:hint="eastAsia" w:ascii="宋体" w:hAnsi="宋体" w:eastAsia="宋体" w:cs="宋体"/>
          <w:color w:val="auto"/>
          <w:sz w:val="24"/>
          <w:highlight w:val="none"/>
        </w:rPr>
        <w:t>确定的其他方法。</w:t>
      </w:r>
    </w:p>
    <w:p>
      <w:pPr>
        <w:pStyle w:val="35"/>
        <w:pageBreakBefore w:val="0"/>
        <w:kinsoku/>
        <w:overflowPunct/>
        <w:topLinePunct w:val="0"/>
        <w:bidi w:val="0"/>
        <w:snapToGrid/>
        <w:spacing w:line="360" w:lineRule="auto"/>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评审基准价计算方法的选择见评审办法前附表。</w:t>
      </w:r>
    </w:p>
    <w:p>
      <w:pPr>
        <w:pStyle w:val="6"/>
        <w:pageBreakBefore w:val="0"/>
        <w:kinsoku/>
        <w:overflowPunct/>
        <w:topLinePunct w:val="0"/>
        <w:bidi w:val="0"/>
        <w:snapToGrid/>
        <w:spacing w:line="360" w:lineRule="auto"/>
        <w:rPr>
          <w:rFonts w:hint="eastAsia" w:ascii="宋体" w:hAnsi="宋体" w:eastAsia="宋体" w:cs="宋体"/>
          <w:color w:val="auto"/>
          <w:highlight w:val="none"/>
        </w:rPr>
      </w:pPr>
      <w:bookmarkStart w:id="201" w:name="bookmark1116"/>
      <w:bookmarkStart w:id="202" w:name="bookmark1118"/>
      <w:bookmarkStart w:id="203" w:name="_Toc23856"/>
      <w:bookmarkStart w:id="204" w:name="bookmark1117"/>
      <w:bookmarkStart w:id="205" w:name="_Toc21794"/>
      <w:r>
        <w:rPr>
          <w:rFonts w:hint="eastAsia" w:ascii="宋体" w:hAnsi="宋体" w:eastAsia="宋体" w:cs="宋体"/>
          <w:color w:val="auto"/>
          <w:highlight w:val="none"/>
        </w:rPr>
        <w:t>3.3 评分标准</w:t>
      </w:r>
      <w:bookmarkEnd w:id="201"/>
      <w:bookmarkEnd w:id="202"/>
      <w:bookmarkEnd w:id="203"/>
      <w:bookmarkEnd w:id="204"/>
      <w:bookmarkEnd w:id="205"/>
    </w:p>
    <w:p>
      <w:pPr>
        <w:pStyle w:val="35"/>
        <w:pageBreakBefore w:val="0"/>
        <w:tabs>
          <w:tab w:val="left" w:pos="1446"/>
        </w:tabs>
        <w:kinsoku/>
        <w:overflowPunct/>
        <w:topLinePunct w:val="0"/>
        <w:bidi w:val="0"/>
        <w:snapToGrid/>
        <w:spacing w:line="360" w:lineRule="auto"/>
        <w:ind w:firstLine="480" w:firstLineChars="200"/>
        <w:rPr>
          <w:rFonts w:hint="eastAsia" w:ascii="宋体" w:hAnsi="宋体" w:eastAsia="宋体" w:cs="宋体"/>
          <w:color w:val="auto"/>
          <w:sz w:val="24"/>
          <w:highlight w:val="none"/>
        </w:rPr>
      </w:pPr>
      <w:bookmarkStart w:id="206" w:name="bookmark1119"/>
      <w:bookmarkEnd w:id="206"/>
      <w:r>
        <w:rPr>
          <w:rFonts w:hint="eastAsia" w:ascii="宋体" w:hAnsi="宋体" w:eastAsia="宋体" w:cs="宋体"/>
          <w:color w:val="auto"/>
          <w:sz w:val="24"/>
          <w:highlight w:val="none"/>
          <w:lang w:val="en-US" w:eastAsia="zh-CN"/>
        </w:rPr>
        <w:t>(1)</w:t>
      </w:r>
      <w:r>
        <w:rPr>
          <w:rFonts w:hint="eastAsia" w:ascii="宋体" w:hAnsi="宋体" w:eastAsia="宋体" w:cs="宋体"/>
          <w:color w:val="auto"/>
          <w:sz w:val="24"/>
          <w:highlight w:val="none"/>
        </w:rPr>
        <w:t>商务评分标准：见评审办法前附表；</w:t>
      </w:r>
    </w:p>
    <w:p>
      <w:pPr>
        <w:pStyle w:val="35"/>
        <w:pageBreakBefore w:val="0"/>
        <w:tabs>
          <w:tab w:val="left" w:pos="1446"/>
        </w:tabs>
        <w:kinsoku/>
        <w:overflowPunct/>
        <w:topLinePunct w:val="0"/>
        <w:bidi w:val="0"/>
        <w:snapToGrid/>
        <w:spacing w:line="360" w:lineRule="auto"/>
        <w:ind w:firstLine="480" w:firstLineChars="200"/>
        <w:rPr>
          <w:rFonts w:hint="eastAsia" w:ascii="宋体" w:hAnsi="宋体" w:eastAsia="宋体" w:cs="宋体"/>
          <w:color w:val="auto"/>
          <w:sz w:val="24"/>
          <w:highlight w:val="none"/>
        </w:rPr>
      </w:pPr>
      <w:bookmarkStart w:id="207" w:name="bookmark1120"/>
      <w:bookmarkEnd w:id="207"/>
      <w:r>
        <w:rPr>
          <w:rFonts w:hint="eastAsia" w:ascii="宋体" w:hAnsi="宋体" w:eastAsia="宋体" w:cs="宋体"/>
          <w:color w:val="auto"/>
          <w:sz w:val="24"/>
          <w:highlight w:val="none"/>
          <w:lang w:val="en-US" w:eastAsia="zh-CN"/>
        </w:rPr>
        <w:t>(2)</w:t>
      </w:r>
      <w:r>
        <w:rPr>
          <w:rFonts w:hint="eastAsia" w:ascii="宋体" w:hAnsi="宋体" w:eastAsia="宋体" w:cs="宋体"/>
          <w:color w:val="auto"/>
          <w:sz w:val="24"/>
          <w:highlight w:val="none"/>
        </w:rPr>
        <w:t>技术评分标准：见评审办法前附表；</w:t>
      </w:r>
    </w:p>
    <w:p>
      <w:pPr>
        <w:pStyle w:val="35"/>
        <w:pageBreakBefore w:val="0"/>
        <w:tabs>
          <w:tab w:val="left" w:pos="1446"/>
        </w:tabs>
        <w:kinsoku/>
        <w:overflowPunct/>
        <w:topLinePunct w:val="0"/>
        <w:bidi w:val="0"/>
        <w:snapToGrid/>
        <w:spacing w:line="360" w:lineRule="auto"/>
        <w:ind w:firstLine="480" w:firstLineChars="200"/>
        <w:rPr>
          <w:rFonts w:hint="eastAsia" w:ascii="宋体" w:hAnsi="宋体" w:eastAsia="宋体" w:cs="宋体"/>
          <w:color w:val="auto"/>
          <w:sz w:val="24"/>
          <w:highlight w:val="none"/>
        </w:rPr>
      </w:pPr>
      <w:bookmarkStart w:id="208" w:name="bookmark1121"/>
      <w:bookmarkEnd w:id="208"/>
      <w:r>
        <w:rPr>
          <w:rFonts w:hint="eastAsia" w:ascii="宋体" w:hAnsi="宋体" w:eastAsia="宋体" w:cs="宋体"/>
          <w:color w:val="auto"/>
          <w:sz w:val="24"/>
          <w:highlight w:val="none"/>
          <w:lang w:val="en-US" w:eastAsia="zh-CN"/>
        </w:rPr>
        <w:t>(3)</w:t>
      </w:r>
      <w:r>
        <w:rPr>
          <w:rFonts w:hint="eastAsia" w:ascii="宋体" w:hAnsi="宋体" w:eastAsia="宋体" w:cs="宋体"/>
          <w:color w:val="auto"/>
          <w:sz w:val="24"/>
          <w:highlight w:val="none"/>
        </w:rPr>
        <w:t>报价评分标准：</w:t>
      </w:r>
    </w:p>
    <w:p>
      <w:pPr>
        <w:pStyle w:val="35"/>
        <w:pageBreakBefore w:val="0"/>
        <w:kinsoku/>
        <w:overflowPunct/>
        <w:topLinePunct w:val="0"/>
        <w:bidi w:val="0"/>
        <w:snapToGrid/>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报价得分可采用如下方法计算：</w:t>
      </w:r>
    </w:p>
    <w:p>
      <w:pPr>
        <w:pStyle w:val="35"/>
        <w:pageBreakBefore w:val="0"/>
        <w:kinsoku/>
        <w:overflowPunct/>
        <w:topLinePunct w:val="0"/>
        <w:bidi w:val="0"/>
        <w:snapToGrid/>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方法一：偏差率=(</w:t>
      </w:r>
      <w:r>
        <w:rPr>
          <w:rFonts w:hint="eastAsia" w:ascii="宋体" w:hAnsi="宋体" w:eastAsia="宋体" w:cs="宋体"/>
          <w:color w:val="auto"/>
          <w:sz w:val="24"/>
          <w:highlight w:val="none"/>
          <w:lang w:eastAsia="zh-CN"/>
        </w:rPr>
        <w:t>询比响应人</w:t>
      </w:r>
      <w:r>
        <w:rPr>
          <w:rFonts w:hint="eastAsia" w:ascii="宋体" w:hAnsi="宋体" w:eastAsia="宋体" w:cs="宋体"/>
          <w:color w:val="auto"/>
          <w:sz w:val="24"/>
          <w:highlight w:val="none"/>
        </w:rPr>
        <w:t>评审价格-评审基准价)/评审基准价</w:t>
      </w:r>
      <w:r>
        <w:rPr>
          <w:rFonts w:hint="eastAsia" w:ascii="宋体" w:hAnsi="宋体" w:eastAsia="宋体" w:cs="宋体"/>
          <w:color w:val="auto"/>
          <w:sz w:val="24"/>
          <w:highlight w:val="none"/>
          <w:lang w:val="en-US" w:eastAsia="zh-CN" w:bidi="en-US"/>
        </w:rPr>
        <w:t>×100%</w:t>
      </w:r>
    </w:p>
    <w:p>
      <w:pPr>
        <w:pStyle w:val="35"/>
        <w:pageBreakBefore w:val="0"/>
        <w:tabs>
          <w:tab w:val="left" w:pos="1396"/>
        </w:tabs>
        <w:kinsoku/>
        <w:overflowPunct/>
        <w:topLinePunct w:val="0"/>
        <w:bidi w:val="0"/>
        <w:snapToGrid/>
        <w:spacing w:line="360" w:lineRule="auto"/>
        <w:ind w:firstLine="480" w:firstLineChars="200"/>
        <w:rPr>
          <w:rFonts w:hint="eastAsia" w:ascii="宋体" w:hAnsi="宋体" w:eastAsia="宋体" w:cs="宋体"/>
          <w:color w:val="auto"/>
          <w:sz w:val="24"/>
          <w:highlight w:val="none"/>
        </w:rPr>
      </w:pPr>
      <w:bookmarkStart w:id="209" w:name="bookmark1122"/>
      <w:bookmarkEnd w:id="209"/>
      <w:r>
        <w:rPr>
          <w:rFonts w:hint="eastAsia" w:ascii="宋体" w:hAnsi="宋体" w:eastAsia="宋体" w:cs="宋体"/>
          <w:color w:val="auto"/>
          <w:sz w:val="24"/>
          <w:highlight w:val="none"/>
          <w:lang w:eastAsia="zh-CN"/>
        </w:rPr>
        <w:t>①</w:t>
      </w:r>
      <w:r>
        <w:rPr>
          <w:rFonts w:hint="eastAsia" w:ascii="宋体" w:hAnsi="宋体" w:eastAsia="宋体" w:cs="宋体"/>
          <w:color w:val="auto"/>
          <w:sz w:val="24"/>
          <w:highlight w:val="none"/>
        </w:rPr>
        <w:t>如果</w:t>
      </w:r>
      <w:r>
        <w:rPr>
          <w:rFonts w:hint="eastAsia" w:ascii="宋体" w:hAnsi="宋体" w:eastAsia="宋体" w:cs="宋体"/>
          <w:color w:val="auto"/>
          <w:sz w:val="24"/>
          <w:highlight w:val="none"/>
          <w:lang w:eastAsia="zh-CN"/>
        </w:rPr>
        <w:t>询比响应人</w:t>
      </w:r>
      <w:r>
        <w:rPr>
          <w:rFonts w:hint="eastAsia" w:ascii="宋体" w:hAnsi="宋体" w:eastAsia="宋体" w:cs="宋体"/>
          <w:color w:val="auto"/>
          <w:sz w:val="24"/>
          <w:highlight w:val="none"/>
        </w:rPr>
        <w:t>的评审</w:t>
      </w:r>
      <w:r>
        <w:rPr>
          <w:rFonts w:hint="eastAsia" w:ascii="宋体" w:hAnsi="宋体" w:eastAsia="宋体" w:cs="宋体"/>
          <w:color w:val="auto"/>
          <w:sz w:val="24"/>
          <w:highlight w:val="none"/>
          <w:lang w:val="zh-CN" w:eastAsia="zh-CN" w:bidi="zh-CN"/>
        </w:rPr>
        <w:t>价格〉</w:t>
      </w:r>
      <w:r>
        <w:rPr>
          <w:rFonts w:hint="eastAsia" w:ascii="宋体" w:hAnsi="宋体" w:eastAsia="宋体" w:cs="宋体"/>
          <w:color w:val="auto"/>
          <w:sz w:val="24"/>
          <w:highlight w:val="none"/>
        </w:rPr>
        <w:t>评审基准价，则报价得分</w:t>
      </w:r>
      <w:r>
        <w:rPr>
          <w:rFonts w:hint="eastAsia" w:ascii="宋体" w:hAnsi="宋体" w:eastAsia="宋体" w:cs="宋体"/>
          <w:color w:val="auto"/>
          <w:sz w:val="24"/>
          <w:highlight w:val="none"/>
          <w:lang w:val="en-US" w:eastAsia="zh-CN" w:bidi="en-US"/>
        </w:rPr>
        <w:t>=F-</w:t>
      </w:r>
      <w:r>
        <w:rPr>
          <w:rFonts w:hint="eastAsia" w:ascii="宋体" w:hAnsi="宋体" w:eastAsia="宋体" w:cs="宋体"/>
          <w:color w:val="auto"/>
          <w:sz w:val="24"/>
          <w:highlight w:val="none"/>
        </w:rPr>
        <w:t>偏差率</w:t>
      </w:r>
      <w:r>
        <w:rPr>
          <w:rFonts w:hint="eastAsia" w:ascii="宋体" w:hAnsi="宋体" w:eastAsia="宋体" w:cs="宋体"/>
          <w:color w:val="auto"/>
          <w:sz w:val="24"/>
          <w:highlight w:val="none"/>
          <w:lang w:val="en-US" w:eastAsia="zh-CN" w:bidi="en-US"/>
        </w:rPr>
        <w:t>xlOOx Ei；</w:t>
      </w:r>
    </w:p>
    <w:p>
      <w:pPr>
        <w:pStyle w:val="35"/>
        <w:pageBreakBefore w:val="0"/>
        <w:tabs>
          <w:tab w:val="left" w:pos="1396"/>
        </w:tabs>
        <w:kinsoku/>
        <w:overflowPunct/>
        <w:topLinePunct w:val="0"/>
        <w:bidi w:val="0"/>
        <w:snapToGrid/>
        <w:spacing w:line="360" w:lineRule="auto"/>
        <w:ind w:firstLine="480" w:firstLineChars="200"/>
        <w:rPr>
          <w:rFonts w:hint="eastAsia" w:ascii="宋体" w:hAnsi="宋体" w:eastAsia="宋体" w:cs="宋体"/>
          <w:color w:val="auto"/>
          <w:sz w:val="24"/>
          <w:highlight w:val="none"/>
        </w:rPr>
      </w:pPr>
      <w:bookmarkStart w:id="210" w:name="bookmark1123"/>
      <w:bookmarkEnd w:id="210"/>
      <w:r>
        <w:rPr>
          <w:rFonts w:hint="eastAsia" w:ascii="宋体" w:hAnsi="宋体" w:eastAsia="宋体" w:cs="宋体"/>
          <w:color w:val="auto"/>
          <w:sz w:val="24"/>
          <w:highlight w:val="none"/>
          <w:lang w:eastAsia="zh-CN"/>
        </w:rPr>
        <w:t>②</w:t>
      </w:r>
      <w:r>
        <w:rPr>
          <w:rFonts w:hint="eastAsia" w:ascii="宋体" w:hAnsi="宋体" w:eastAsia="宋体" w:cs="宋体"/>
          <w:color w:val="auto"/>
          <w:sz w:val="24"/>
          <w:highlight w:val="none"/>
        </w:rPr>
        <w:t>如果</w:t>
      </w:r>
      <w:r>
        <w:rPr>
          <w:rFonts w:hint="eastAsia" w:ascii="宋体" w:hAnsi="宋体" w:eastAsia="宋体" w:cs="宋体"/>
          <w:color w:val="auto"/>
          <w:sz w:val="24"/>
          <w:highlight w:val="none"/>
          <w:lang w:eastAsia="zh-CN"/>
        </w:rPr>
        <w:t>询比响应人</w:t>
      </w:r>
      <w:r>
        <w:rPr>
          <w:rFonts w:hint="eastAsia" w:ascii="宋体" w:hAnsi="宋体" w:eastAsia="宋体" w:cs="宋体"/>
          <w:color w:val="auto"/>
          <w:sz w:val="24"/>
          <w:highlight w:val="none"/>
        </w:rPr>
        <w:t>的评审</w:t>
      </w:r>
      <w:r>
        <w:rPr>
          <w:rFonts w:hint="eastAsia" w:ascii="宋体" w:hAnsi="宋体" w:eastAsia="宋体" w:cs="宋体"/>
          <w:color w:val="auto"/>
          <w:sz w:val="24"/>
          <w:highlight w:val="none"/>
          <w:lang w:val="zh-CN" w:eastAsia="zh-CN" w:bidi="zh-CN"/>
        </w:rPr>
        <w:t>价格耳</w:t>
      </w:r>
      <w:r>
        <w:rPr>
          <w:rFonts w:hint="eastAsia" w:ascii="宋体" w:hAnsi="宋体" w:eastAsia="宋体" w:cs="宋体"/>
          <w:color w:val="auto"/>
          <w:sz w:val="24"/>
          <w:highlight w:val="none"/>
        </w:rPr>
        <w:t>评审基准价，则报价得分</w:t>
      </w:r>
      <w:r>
        <w:rPr>
          <w:rFonts w:hint="eastAsia" w:ascii="宋体" w:hAnsi="宋体" w:eastAsia="宋体" w:cs="宋体"/>
          <w:color w:val="auto"/>
          <w:sz w:val="24"/>
          <w:highlight w:val="none"/>
          <w:lang w:val="en-US" w:eastAsia="zh-CN" w:bidi="en-US"/>
        </w:rPr>
        <w:t>=F+</w:t>
      </w:r>
      <w:r>
        <w:rPr>
          <w:rFonts w:hint="eastAsia" w:ascii="宋体" w:hAnsi="宋体" w:eastAsia="宋体" w:cs="宋体"/>
          <w:color w:val="auto"/>
          <w:sz w:val="24"/>
          <w:highlight w:val="none"/>
        </w:rPr>
        <w:t>偏差率</w:t>
      </w:r>
      <w:r>
        <w:rPr>
          <w:rFonts w:hint="eastAsia" w:ascii="宋体" w:hAnsi="宋体" w:eastAsia="宋体" w:cs="宋体"/>
          <w:color w:val="auto"/>
          <w:sz w:val="24"/>
          <w:highlight w:val="none"/>
          <w:lang w:val="en-US" w:eastAsia="zh-CN" w:bidi="en-US"/>
        </w:rPr>
        <w:t>x 100x E</w:t>
      </w:r>
      <w:r>
        <w:rPr>
          <w:rFonts w:hint="eastAsia" w:ascii="宋体" w:hAnsi="宋体" w:eastAsia="宋体" w:cs="宋体"/>
          <w:color w:val="auto"/>
          <w:sz w:val="24"/>
          <w:highlight w:val="none"/>
          <w:vertAlign w:val="subscript"/>
          <w:lang w:val="en-US" w:eastAsia="zh-CN" w:bidi="en-US"/>
        </w:rPr>
        <w:t>2O</w:t>
      </w:r>
    </w:p>
    <w:p>
      <w:pPr>
        <w:pStyle w:val="35"/>
        <w:pageBreakBefore w:val="0"/>
        <w:tabs>
          <w:tab w:val="left" w:pos="358"/>
        </w:tabs>
        <w:kinsoku/>
        <w:overflowPunct/>
        <w:topLinePunct w:val="0"/>
        <w:bidi w:val="0"/>
        <w:snapToGrid/>
        <w:spacing w:line="360" w:lineRule="auto"/>
        <w:rPr>
          <w:rFonts w:hint="eastAsia" w:ascii="宋体" w:hAnsi="宋体" w:eastAsia="宋体" w:cs="宋体"/>
          <w:color w:val="auto"/>
          <w:sz w:val="24"/>
          <w:highlight w:val="none"/>
          <w:lang w:val="en-US" w:eastAsia="zh-CN" w:bidi="en-US"/>
        </w:rPr>
      </w:pPr>
      <w:r>
        <w:rPr>
          <w:rFonts w:hint="eastAsia" w:ascii="宋体" w:hAnsi="宋体" w:eastAsia="宋体" w:cs="宋体"/>
          <w:color w:val="auto"/>
          <w:sz w:val="24"/>
          <w:highlight w:val="none"/>
        </w:rPr>
        <w:t>其中</w:t>
      </w:r>
      <w:r>
        <w:rPr>
          <w:rFonts w:hint="eastAsia" w:ascii="宋体" w:hAnsi="宋体" w:eastAsia="宋体" w:cs="宋体"/>
          <w:color w:val="auto"/>
          <w:sz w:val="24"/>
          <w:highlight w:val="none"/>
          <w:lang w:val="en-US" w:eastAsia="zh-CN" w:bidi="en-US"/>
        </w:rPr>
        <w:t>F</w:t>
      </w:r>
      <w:r>
        <w:rPr>
          <w:rFonts w:hint="eastAsia" w:ascii="宋体" w:hAnsi="宋体" w:eastAsia="宋体" w:cs="宋体"/>
          <w:color w:val="auto"/>
          <w:sz w:val="24"/>
          <w:highlight w:val="none"/>
        </w:rPr>
        <w:t>为本章前附表第</w:t>
      </w:r>
      <w:r>
        <w:rPr>
          <w:rFonts w:hint="eastAsia" w:ascii="宋体" w:hAnsi="宋体" w:eastAsia="宋体" w:cs="宋体"/>
          <w:color w:val="auto"/>
          <w:sz w:val="24"/>
          <w:highlight w:val="none"/>
          <w:lang w:val="en-US" w:eastAsia="zh-CN" w:bidi="en-US"/>
        </w:rPr>
        <w:t xml:space="preserve">3.1 </w:t>
      </w:r>
      <w:r>
        <w:rPr>
          <w:rFonts w:hint="eastAsia" w:ascii="宋体" w:hAnsi="宋体" w:eastAsia="宋体" w:cs="宋体"/>
          <w:color w:val="auto"/>
          <w:sz w:val="24"/>
          <w:highlight w:val="none"/>
        </w:rPr>
        <w:t>(3)项规定的报价所占的分值；</w:t>
      </w:r>
      <w:r>
        <w:rPr>
          <w:rFonts w:hint="eastAsia" w:ascii="宋体" w:hAnsi="宋体" w:eastAsia="宋体" w:cs="宋体"/>
          <w:color w:val="auto"/>
          <w:sz w:val="24"/>
          <w:highlight w:val="none"/>
          <w:lang w:val="en-US" w:eastAsia="zh-CN" w:bidi="en-US"/>
        </w:rPr>
        <w:t>E］</w:t>
      </w:r>
      <w:r>
        <w:rPr>
          <w:rFonts w:hint="eastAsia" w:ascii="宋体" w:hAnsi="宋体" w:eastAsia="宋体" w:cs="宋体"/>
          <w:color w:val="auto"/>
          <w:sz w:val="24"/>
          <w:highlight w:val="none"/>
        </w:rPr>
        <w:t>是评审价格每高于</w:t>
      </w:r>
    </w:p>
    <w:p>
      <w:pPr>
        <w:pStyle w:val="35"/>
        <w:pageBreakBefore w:val="0"/>
        <w:kinsoku/>
        <w:overflowPunct/>
        <w:topLinePunct w:val="0"/>
        <w:bidi w:val="0"/>
        <w:snapToGrid/>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评审基准价一个百分点的扣分值、</w:t>
      </w:r>
      <w:r>
        <w:rPr>
          <w:rFonts w:hint="eastAsia" w:ascii="宋体" w:hAnsi="宋体" w:eastAsia="宋体" w:cs="宋体"/>
          <w:color w:val="auto"/>
          <w:sz w:val="24"/>
          <w:highlight w:val="none"/>
          <w:lang w:val="en-US" w:eastAsia="zh-CN" w:bidi="en-US"/>
        </w:rPr>
        <w:t>E2</w:t>
      </w:r>
      <w:r>
        <w:rPr>
          <w:rFonts w:hint="eastAsia" w:ascii="宋体" w:hAnsi="宋体" w:eastAsia="宋体" w:cs="宋体"/>
          <w:color w:val="auto"/>
          <w:sz w:val="24"/>
          <w:highlight w:val="none"/>
        </w:rPr>
        <w:t>是评审价格每低于评审基准价一个百分点的扣分值，</w:t>
      </w:r>
      <w:r>
        <w:rPr>
          <w:rFonts w:hint="eastAsia" w:ascii="宋体" w:hAnsi="宋体" w:eastAsia="宋体" w:cs="宋体"/>
          <w:color w:val="auto"/>
          <w:sz w:val="24"/>
          <w:highlight w:val="none"/>
          <w:lang w:val="en-US" w:eastAsia="zh-CN" w:bidi="en-US"/>
        </w:rPr>
        <w:t>E1</w:t>
      </w:r>
      <w:r>
        <w:rPr>
          <w:rFonts w:hint="eastAsia" w:ascii="宋体" w:hAnsi="宋体" w:eastAsia="宋体" w:cs="宋体"/>
          <w:color w:val="auto"/>
          <w:sz w:val="24"/>
          <w:highlight w:val="none"/>
        </w:rPr>
        <w:t>可大于或等于</w:t>
      </w:r>
      <w:r>
        <w:rPr>
          <w:rFonts w:hint="eastAsia" w:ascii="宋体" w:hAnsi="宋体" w:eastAsia="宋体" w:cs="宋体"/>
          <w:color w:val="auto"/>
          <w:sz w:val="24"/>
          <w:highlight w:val="none"/>
          <w:lang w:val="en-US" w:eastAsia="zh-CN" w:bidi="en-US"/>
        </w:rPr>
        <w:t>E2。E1、E2</w:t>
      </w:r>
      <w:r>
        <w:rPr>
          <w:rFonts w:hint="eastAsia" w:ascii="宋体" w:hAnsi="宋体" w:eastAsia="宋体" w:cs="宋体"/>
          <w:color w:val="auto"/>
          <w:sz w:val="24"/>
          <w:highlight w:val="none"/>
        </w:rPr>
        <w:t>的取值见评审办法前附表。</w:t>
      </w:r>
    </w:p>
    <w:p>
      <w:pPr>
        <w:pStyle w:val="35"/>
        <w:pageBreakBefore w:val="0"/>
        <w:kinsoku/>
        <w:overflowPunct/>
        <w:topLinePunct w:val="0"/>
        <w:bidi w:val="0"/>
        <w:snapToGrid/>
        <w:spacing w:line="360" w:lineRule="auto"/>
        <w:ind w:firstLine="500"/>
        <w:rPr>
          <w:rFonts w:hint="eastAsia" w:ascii="宋体" w:hAnsi="宋体" w:eastAsia="宋体" w:cs="宋体"/>
          <w:color w:val="auto"/>
          <w:sz w:val="24"/>
          <w:highlight w:val="none"/>
        </w:rPr>
      </w:pPr>
      <w:r>
        <w:rPr>
          <w:rFonts w:hint="eastAsia" w:ascii="宋体" w:hAnsi="宋体" w:eastAsia="宋体" w:cs="宋体"/>
          <w:color w:val="auto"/>
          <w:sz w:val="24"/>
          <w:highlight w:val="none"/>
        </w:rPr>
        <w:t>方法二：报价得分=(通过初步评审的所有</w:t>
      </w:r>
      <w:r>
        <w:rPr>
          <w:rFonts w:hint="eastAsia" w:ascii="宋体" w:hAnsi="宋体" w:eastAsia="宋体" w:cs="宋体"/>
          <w:color w:val="auto"/>
          <w:sz w:val="24"/>
          <w:highlight w:val="none"/>
          <w:lang w:eastAsia="zh-CN"/>
        </w:rPr>
        <w:t>询比响应人</w:t>
      </w:r>
      <w:r>
        <w:rPr>
          <w:rFonts w:hint="eastAsia" w:ascii="宋体" w:hAnsi="宋体" w:eastAsia="宋体" w:cs="宋体"/>
          <w:color w:val="auto"/>
          <w:sz w:val="24"/>
          <w:highlight w:val="none"/>
        </w:rPr>
        <w:t>的最低评审价格/</w:t>
      </w:r>
      <w:r>
        <w:rPr>
          <w:rFonts w:hint="eastAsia" w:ascii="宋体" w:hAnsi="宋体" w:eastAsia="宋体" w:cs="宋体"/>
          <w:color w:val="auto"/>
          <w:sz w:val="24"/>
          <w:highlight w:val="none"/>
          <w:lang w:eastAsia="zh-CN"/>
        </w:rPr>
        <w:t>询比响应人</w:t>
      </w:r>
      <w:r>
        <w:rPr>
          <w:rFonts w:hint="eastAsia" w:ascii="宋体" w:hAnsi="宋体" w:eastAsia="宋体" w:cs="宋体"/>
          <w:color w:val="auto"/>
          <w:sz w:val="24"/>
          <w:highlight w:val="none"/>
        </w:rPr>
        <w:t>评审价格)</w:t>
      </w:r>
      <w:r>
        <w:rPr>
          <w:rFonts w:hint="eastAsia" w:ascii="宋体" w:hAnsi="宋体" w:eastAsia="宋体" w:cs="宋体"/>
          <w:color w:val="auto"/>
          <w:sz w:val="24"/>
          <w:highlight w:val="none"/>
          <w:lang w:val="en-US" w:eastAsia="zh-CN" w:bidi="en-US"/>
        </w:rPr>
        <w:t>xF, F</w:t>
      </w:r>
      <w:r>
        <w:rPr>
          <w:rFonts w:hint="eastAsia" w:ascii="宋体" w:hAnsi="宋体" w:eastAsia="宋体" w:cs="宋体"/>
          <w:color w:val="auto"/>
          <w:sz w:val="24"/>
          <w:highlight w:val="none"/>
        </w:rPr>
        <w:t>为本章前附表第</w:t>
      </w:r>
      <w:r>
        <w:rPr>
          <w:rFonts w:hint="eastAsia" w:ascii="宋体" w:hAnsi="宋体" w:eastAsia="宋体" w:cs="宋体"/>
          <w:color w:val="auto"/>
          <w:sz w:val="24"/>
          <w:highlight w:val="none"/>
          <w:lang w:val="en-US" w:eastAsia="zh-CN" w:bidi="en-US"/>
        </w:rPr>
        <w:t xml:space="preserve">3.1 </w:t>
      </w:r>
      <w:r>
        <w:rPr>
          <w:rFonts w:hint="eastAsia" w:ascii="宋体" w:hAnsi="宋体" w:eastAsia="宋体" w:cs="宋体"/>
          <w:color w:val="auto"/>
          <w:sz w:val="24"/>
          <w:highlight w:val="none"/>
        </w:rPr>
        <w:t>(3)项规定的报价所占的分值。</w:t>
      </w:r>
    </w:p>
    <w:p>
      <w:pPr>
        <w:pStyle w:val="35"/>
        <w:pageBreakBefore w:val="0"/>
        <w:kinsoku/>
        <w:overflowPunct/>
        <w:topLinePunct w:val="0"/>
        <w:bidi w:val="0"/>
        <w:snapToGrid/>
        <w:spacing w:line="360" w:lineRule="auto"/>
        <w:ind w:firstLine="480" w:firstLineChars="2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方法三：</w:t>
      </w:r>
      <w:r>
        <w:rPr>
          <w:rFonts w:hint="eastAsia" w:cs="宋体"/>
          <w:color w:val="auto"/>
          <w:sz w:val="24"/>
          <w:highlight w:val="none"/>
          <w:lang w:eastAsia="zh-CN"/>
        </w:rPr>
        <w:t>招标人</w:t>
      </w:r>
      <w:r>
        <w:rPr>
          <w:rFonts w:hint="eastAsia" w:ascii="宋体" w:hAnsi="宋体" w:eastAsia="宋体" w:cs="宋体"/>
          <w:color w:val="auto"/>
          <w:sz w:val="24"/>
          <w:highlight w:val="none"/>
        </w:rPr>
        <w:t>确定的其他方法。</w:t>
      </w:r>
    </w:p>
    <w:p>
      <w:pPr>
        <w:pStyle w:val="35"/>
        <w:pageBreakBefore w:val="0"/>
        <w:kinsoku/>
        <w:overflowPunct/>
        <w:topLinePunct w:val="0"/>
        <w:bidi w:val="0"/>
        <w:snapToGrid/>
        <w:spacing w:line="360" w:lineRule="auto"/>
        <w:ind w:firstLine="480" w:firstLineChars="2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报价得分计算方法见评审办法前附表。</w:t>
      </w:r>
    </w:p>
    <w:p>
      <w:pPr>
        <w:pStyle w:val="35"/>
        <w:pageBreakBefore w:val="0"/>
        <w:kinsoku/>
        <w:overflowPunct/>
        <w:topLinePunct w:val="0"/>
        <w:bidi w:val="0"/>
        <w:snapToGrid/>
        <w:spacing w:line="360" w:lineRule="auto"/>
        <w:ind w:firstLine="480" w:firstLineChars="2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(4)其他因素评分标准：见评审办法前附表。</w:t>
      </w:r>
    </w:p>
    <w:p>
      <w:pPr>
        <w:pStyle w:val="6"/>
        <w:pageBreakBefore w:val="0"/>
        <w:kinsoku/>
        <w:overflowPunct/>
        <w:topLinePunct w:val="0"/>
        <w:bidi w:val="0"/>
        <w:snapToGrid/>
        <w:spacing w:line="360" w:lineRule="auto"/>
        <w:rPr>
          <w:rFonts w:hint="eastAsia" w:ascii="宋体" w:hAnsi="宋体" w:eastAsia="宋体" w:cs="宋体"/>
          <w:color w:val="auto"/>
          <w:highlight w:val="none"/>
        </w:rPr>
      </w:pPr>
      <w:bookmarkStart w:id="211" w:name="_Toc30203"/>
      <w:bookmarkStart w:id="212" w:name="_Toc27427"/>
      <w:r>
        <w:rPr>
          <w:rFonts w:hint="eastAsia" w:ascii="宋体" w:hAnsi="宋体" w:eastAsia="宋体" w:cs="宋体"/>
          <w:color w:val="auto"/>
          <w:highlight w:val="none"/>
        </w:rPr>
        <w:t>3.4 评分</w:t>
      </w:r>
      <w:bookmarkEnd w:id="211"/>
      <w:bookmarkEnd w:id="212"/>
    </w:p>
    <w:p>
      <w:pPr>
        <w:pStyle w:val="35"/>
        <w:pageBreakBefore w:val="0"/>
        <w:kinsoku/>
        <w:overflowPunct/>
        <w:topLinePunct w:val="0"/>
        <w:bidi w:val="0"/>
        <w:snapToGrid/>
        <w:spacing w:line="360" w:lineRule="auto"/>
        <w:ind w:firstLine="500"/>
        <w:rPr>
          <w:rFonts w:hint="eastAsia" w:ascii="宋体" w:hAnsi="宋体" w:eastAsia="宋体" w:cs="宋体"/>
          <w:color w:val="auto"/>
          <w:sz w:val="24"/>
          <w:highlight w:val="none"/>
        </w:rPr>
      </w:pPr>
      <w:r>
        <w:rPr>
          <w:rFonts w:hint="eastAsia" w:ascii="宋体" w:hAnsi="宋体" w:eastAsia="宋体" w:cs="宋体"/>
          <w:color w:val="auto"/>
          <w:sz w:val="24"/>
          <w:highlight w:val="none"/>
        </w:rPr>
        <w:t>评审小组成员按照评分标准独立对</w:t>
      </w:r>
      <w:r>
        <w:rPr>
          <w:rFonts w:hint="eastAsia" w:ascii="宋体" w:hAnsi="宋体" w:eastAsia="宋体" w:cs="宋体"/>
          <w:color w:val="auto"/>
          <w:sz w:val="24"/>
          <w:highlight w:val="none"/>
          <w:lang w:eastAsia="zh-CN"/>
        </w:rPr>
        <w:t>询比响应人</w:t>
      </w:r>
      <w:r>
        <w:rPr>
          <w:rFonts w:hint="eastAsia" w:ascii="宋体" w:hAnsi="宋体" w:eastAsia="宋体" w:cs="宋体"/>
          <w:color w:val="auto"/>
          <w:sz w:val="24"/>
          <w:highlight w:val="none"/>
        </w:rPr>
        <w:t>的商务、技术和其他因素进行评分。报 价评分由评审小组统一计算。各项得分汇总后为该成员给</w:t>
      </w:r>
      <w:r>
        <w:rPr>
          <w:rFonts w:hint="eastAsia" w:ascii="宋体" w:hAnsi="宋体" w:eastAsia="宋体" w:cs="宋体"/>
          <w:color w:val="auto"/>
          <w:sz w:val="24"/>
          <w:highlight w:val="none"/>
          <w:lang w:eastAsia="zh-CN"/>
        </w:rPr>
        <w:t>询比响应人</w:t>
      </w:r>
      <w:r>
        <w:rPr>
          <w:rFonts w:hint="eastAsia" w:ascii="宋体" w:hAnsi="宋体" w:eastAsia="宋体" w:cs="宋体"/>
          <w:color w:val="auto"/>
          <w:sz w:val="24"/>
          <w:highlight w:val="none"/>
        </w:rPr>
        <w:t>的评分总分。评分分 值计算保留小数点后两位，小数点后第三位</w:t>
      </w:r>
      <w:r>
        <w:rPr>
          <w:rFonts w:hint="eastAsia" w:ascii="宋体" w:hAnsi="宋体" w:eastAsia="宋体" w:cs="宋体"/>
          <w:color w:val="auto"/>
          <w:sz w:val="24"/>
          <w:highlight w:val="none"/>
          <w:lang w:val="zh-CN" w:eastAsia="zh-CN" w:bidi="zh-CN"/>
        </w:rPr>
        <w:t>“四</w:t>
      </w:r>
      <w:r>
        <w:rPr>
          <w:rFonts w:hint="eastAsia" w:ascii="宋体" w:hAnsi="宋体" w:eastAsia="宋体" w:cs="宋体"/>
          <w:color w:val="auto"/>
          <w:sz w:val="24"/>
          <w:highlight w:val="none"/>
        </w:rPr>
        <w:t>舍五入”。</w:t>
      </w:r>
    </w:p>
    <w:p>
      <w:pPr>
        <w:pStyle w:val="6"/>
        <w:pageBreakBefore w:val="0"/>
        <w:kinsoku/>
        <w:overflowPunct/>
        <w:topLinePunct w:val="0"/>
        <w:bidi w:val="0"/>
        <w:snapToGrid/>
        <w:spacing w:line="360" w:lineRule="auto"/>
        <w:rPr>
          <w:rFonts w:hint="eastAsia" w:ascii="宋体" w:hAnsi="宋体" w:eastAsia="宋体" w:cs="宋体"/>
          <w:color w:val="auto"/>
          <w:highlight w:val="none"/>
        </w:rPr>
      </w:pPr>
      <w:bookmarkStart w:id="213" w:name="_Toc21029"/>
      <w:bookmarkStart w:id="214" w:name="_Toc1435"/>
      <w:r>
        <w:rPr>
          <w:rFonts w:hint="eastAsia" w:ascii="宋体" w:hAnsi="宋体" w:eastAsia="宋体" w:cs="宋体"/>
          <w:color w:val="auto"/>
          <w:highlight w:val="none"/>
        </w:rPr>
        <w:t>3.5 汇总</w:t>
      </w:r>
      <w:bookmarkEnd w:id="213"/>
      <w:bookmarkEnd w:id="214"/>
    </w:p>
    <w:p>
      <w:pPr>
        <w:pStyle w:val="35"/>
        <w:pageBreakBefore w:val="0"/>
        <w:kinsoku/>
        <w:overflowPunct/>
        <w:topLinePunct w:val="0"/>
        <w:bidi w:val="0"/>
        <w:snapToGrid/>
        <w:spacing w:line="360" w:lineRule="auto"/>
        <w:ind w:firstLine="500"/>
        <w:rPr>
          <w:rFonts w:hint="eastAsia" w:ascii="宋体" w:hAnsi="宋体" w:eastAsia="宋体" w:cs="宋体"/>
          <w:color w:val="auto"/>
          <w:sz w:val="24"/>
          <w:highlight w:val="none"/>
        </w:rPr>
      </w:pPr>
      <w:r>
        <w:rPr>
          <w:rFonts w:hint="eastAsia" w:ascii="宋体" w:hAnsi="宋体" w:eastAsia="宋体" w:cs="宋体"/>
          <w:color w:val="auto"/>
          <w:sz w:val="24"/>
          <w:highlight w:val="none"/>
        </w:rPr>
        <w:t>评审小组汇总每个成员对</w:t>
      </w:r>
      <w:r>
        <w:rPr>
          <w:rFonts w:hint="eastAsia" w:ascii="宋体" w:hAnsi="宋体" w:eastAsia="宋体" w:cs="宋体"/>
          <w:color w:val="auto"/>
          <w:sz w:val="24"/>
          <w:highlight w:val="none"/>
          <w:lang w:eastAsia="zh-CN"/>
        </w:rPr>
        <w:t>询比响应人</w:t>
      </w:r>
      <w:r>
        <w:rPr>
          <w:rFonts w:hint="eastAsia" w:ascii="宋体" w:hAnsi="宋体" w:eastAsia="宋体" w:cs="宋体"/>
          <w:color w:val="auto"/>
          <w:sz w:val="24"/>
          <w:highlight w:val="none"/>
        </w:rPr>
        <w:t>的评分总分，每个</w:t>
      </w:r>
      <w:r>
        <w:rPr>
          <w:rFonts w:hint="eastAsia" w:ascii="宋体" w:hAnsi="宋体" w:eastAsia="宋体" w:cs="宋体"/>
          <w:color w:val="auto"/>
          <w:sz w:val="24"/>
          <w:highlight w:val="none"/>
          <w:lang w:eastAsia="zh-CN"/>
        </w:rPr>
        <w:t>询比响应人</w:t>
      </w:r>
      <w:r>
        <w:rPr>
          <w:rFonts w:hint="eastAsia" w:ascii="宋体" w:hAnsi="宋体" w:eastAsia="宋体" w:cs="宋体"/>
          <w:color w:val="auto"/>
          <w:sz w:val="24"/>
          <w:highlight w:val="none"/>
        </w:rPr>
        <w:t>的评分总分的算术平均 值为</w:t>
      </w:r>
      <w:r>
        <w:rPr>
          <w:rFonts w:hint="eastAsia" w:ascii="宋体" w:hAnsi="宋体" w:eastAsia="宋体" w:cs="宋体"/>
          <w:color w:val="auto"/>
          <w:sz w:val="24"/>
          <w:highlight w:val="none"/>
          <w:lang w:eastAsia="zh-CN"/>
        </w:rPr>
        <w:t>询比响应人</w:t>
      </w:r>
      <w:r>
        <w:rPr>
          <w:rFonts w:hint="eastAsia" w:ascii="宋体" w:hAnsi="宋体" w:eastAsia="宋体" w:cs="宋体"/>
          <w:color w:val="auto"/>
          <w:sz w:val="24"/>
          <w:highlight w:val="none"/>
        </w:rPr>
        <w:t>最终得分。</w:t>
      </w:r>
    </w:p>
    <w:p>
      <w:pPr>
        <w:pStyle w:val="6"/>
        <w:pageBreakBefore w:val="0"/>
        <w:kinsoku/>
        <w:overflowPunct/>
        <w:topLinePunct w:val="0"/>
        <w:bidi w:val="0"/>
        <w:snapToGrid/>
        <w:spacing w:line="360" w:lineRule="auto"/>
        <w:rPr>
          <w:rFonts w:hint="eastAsia" w:ascii="宋体" w:hAnsi="宋体" w:eastAsia="宋体" w:cs="宋体"/>
          <w:color w:val="auto"/>
          <w:highlight w:val="none"/>
        </w:rPr>
      </w:pPr>
      <w:bookmarkStart w:id="215" w:name="_Toc22260"/>
      <w:bookmarkStart w:id="216" w:name="_Toc21292"/>
      <w:r>
        <w:rPr>
          <w:rFonts w:hint="eastAsia" w:ascii="宋体" w:hAnsi="宋体" w:eastAsia="宋体" w:cs="宋体"/>
          <w:color w:val="auto"/>
          <w:highlight w:val="none"/>
        </w:rPr>
        <w:t>3.6 排序</w:t>
      </w:r>
      <w:bookmarkEnd w:id="215"/>
      <w:bookmarkEnd w:id="216"/>
    </w:p>
    <w:p>
      <w:pPr>
        <w:pStyle w:val="35"/>
        <w:pageBreakBefore w:val="0"/>
        <w:kinsoku/>
        <w:overflowPunct/>
        <w:topLinePunct w:val="0"/>
        <w:bidi w:val="0"/>
        <w:snapToGrid/>
        <w:spacing w:line="360" w:lineRule="auto"/>
        <w:ind w:firstLine="500"/>
        <w:rPr>
          <w:rFonts w:hint="eastAsia" w:ascii="宋体" w:hAnsi="宋体" w:eastAsia="宋体" w:cs="宋体"/>
          <w:color w:val="auto"/>
          <w:sz w:val="24"/>
          <w:highlight w:val="none"/>
        </w:rPr>
      </w:pPr>
      <w:r>
        <w:rPr>
          <w:rFonts w:hint="eastAsia" w:ascii="宋体" w:hAnsi="宋体" w:eastAsia="宋体" w:cs="宋体"/>
          <w:color w:val="auto"/>
          <w:sz w:val="24"/>
          <w:highlight w:val="none"/>
        </w:rPr>
        <w:t>评审小组对</w:t>
      </w:r>
      <w:r>
        <w:rPr>
          <w:rFonts w:hint="eastAsia" w:ascii="宋体" w:hAnsi="宋体" w:eastAsia="宋体" w:cs="宋体"/>
          <w:color w:val="auto"/>
          <w:sz w:val="24"/>
          <w:highlight w:val="none"/>
          <w:lang w:eastAsia="zh-CN"/>
        </w:rPr>
        <w:t>询比响应人</w:t>
      </w:r>
      <w:r>
        <w:rPr>
          <w:rFonts w:hint="eastAsia" w:ascii="宋体" w:hAnsi="宋体" w:eastAsia="宋体" w:cs="宋体"/>
          <w:color w:val="auto"/>
          <w:sz w:val="24"/>
          <w:highlight w:val="none"/>
        </w:rPr>
        <w:t>最终得分进行比较后，可以按照</w:t>
      </w:r>
      <w:r>
        <w:rPr>
          <w:rFonts w:hint="eastAsia" w:ascii="宋体" w:hAnsi="宋体" w:eastAsia="宋体" w:cs="宋体"/>
          <w:color w:val="auto"/>
          <w:sz w:val="24"/>
          <w:highlight w:val="none"/>
          <w:lang w:eastAsia="zh-CN"/>
        </w:rPr>
        <w:t>询比响应人</w:t>
      </w:r>
      <w:r>
        <w:rPr>
          <w:rFonts w:hint="eastAsia" w:ascii="宋体" w:hAnsi="宋体" w:eastAsia="宋体" w:cs="宋体"/>
          <w:color w:val="auto"/>
          <w:sz w:val="24"/>
          <w:highlight w:val="none"/>
        </w:rPr>
        <w:t>最终得分由高到低的顺 序对</w:t>
      </w:r>
      <w:r>
        <w:rPr>
          <w:rFonts w:hint="eastAsia" w:ascii="宋体" w:hAnsi="宋体" w:eastAsia="宋体" w:cs="宋体"/>
          <w:color w:val="auto"/>
          <w:sz w:val="24"/>
          <w:highlight w:val="none"/>
          <w:lang w:eastAsia="zh-CN"/>
        </w:rPr>
        <w:t>询比响应人</w:t>
      </w:r>
      <w:r>
        <w:rPr>
          <w:rFonts w:hint="eastAsia" w:ascii="宋体" w:hAnsi="宋体" w:eastAsia="宋体" w:cs="宋体"/>
          <w:color w:val="auto"/>
          <w:sz w:val="24"/>
          <w:highlight w:val="none"/>
        </w:rPr>
        <w:t>排序。最终得分相等时，以评审价格低的优先；评审价格也相等的，以技 术得分高的优先；如果技术得分也相等，按照评审办法前附表的规定确定</w:t>
      </w:r>
      <w:r>
        <w:rPr>
          <w:rFonts w:hint="eastAsia" w:ascii="宋体" w:hAnsi="宋体" w:eastAsia="宋体" w:cs="宋体"/>
          <w:color w:val="auto"/>
          <w:sz w:val="24"/>
          <w:highlight w:val="none"/>
          <w:lang w:eastAsia="zh-CN"/>
        </w:rPr>
        <w:t>询比响应人</w:t>
      </w:r>
      <w:r>
        <w:rPr>
          <w:rFonts w:hint="eastAsia" w:ascii="宋体" w:hAnsi="宋体" w:eastAsia="宋体" w:cs="宋体"/>
          <w:color w:val="auto"/>
          <w:sz w:val="24"/>
          <w:highlight w:val="none"/>
        </w:rPr>
        <w:t>优先 顺序。</w:t>
      </w:r>
    </w:p>
    <w:p>
      <w:pPr>
        <w:pStyle w:val="6"/>
        <w:pageBreakBefore w:val="0"/>
        <w:kinsoku/>
        <w:overflowPunct/>
        <w:topLinePunct w:val="0"/>
        <w:bidi w:val="0"/>
        <w:snapToGrid/>
        <w:spacing w:line="360" w:lineRule="auto"/>
        <w:rPr>
          <w:rFonts w:hint="eastAsia" w:ascii="宋体" w:hAnsi="宋体" w:eastAsia="宋体" w:cs="宋体"/>
          <w:color w:val="auto"/>
          <w:highlight w:val="none"/>
        </w:rPr>
      </w:pPr>
      <w:bookmarkStart w:id="217" w:name="bookmark1125"/>
      <w:bookmarkStart w:id="218" w:name="bookmark1124"/>
      <w:bookmarkStart w:id="219" w:name="_Toc5560"/>
      <w:bookmarkStart w:id="220" w:name="_Toc15442"/>
      <w:bookmarkStart w:id="221" w:name="bookmark1126"/>
      <w:r>
        <w:rPr>
          <w:rFonts w:hint="eastAsia" w:ascii="宋体" w:hAnsi="宋体" w:eastAsia="宋体" w:cs="宋体"/>
          <w:color w:val="auto"/>
          <w:highlight w:val="none"/>
        </w:rPr>
        <w:t>3.7 特殊情形处理</w:t>
      </w:r>
      <w:bookmarkEnd w:id="217"/>
      <w:bookmarkEnd w:id="218"/>
      <w:bookmarkEnd w:id="219"/>
      <w:bookmarkEnd w:id="220"/>
      <w:bookmarkEnd w:id="221"/>
    </w:p>
    <w:p>
      <w:pPr>
        <w:pStyle w:val="35"/>
        <w:pageBreakBefore w:val="0"/>
        <w:kinsoku/>
        <w:overflowPunct/>
        <w:topLinePunct w:val="0"/>
        <w:bidi w:val="0"/>
        <w:snapToGrid/>
        <w:spacing w:line="360" w:lineRule="auto"/>
        <w:ind w:firstLine="500"/>
        <w:rPr>
          <w:rFonts w:hint="eastAsia" w:ascii="宋体" w:hAnsi="宋体" w:eastAsia="宋体" w:cs="宋体"/>
          <w:color w:val="auto"/>
          <w:sz w:val="24"/>
          <w:highlight w:val="none"/>
        </w:rPr>
      </w:pPr>
      <w:r>
        <w:rPr>
          <w:rFonts w:hint="eastAsia" w:ascii="宋体" w:hAnsi="宋体" w:eastAsia="宋体" w:cs="宋体"/>
          <w:color w:val="auto"/>
          <w:sz w:val="24"/>
          <w:highlight w:val="none"/>
        </w:rPr>
        <w:t>当通过初步评审的</w:t>
      </w:r>
      <w:r>
        <w:rPr>
          <w:rFonts w:hint="eastAsia" w:ascii="宋体" w:hAnsi="宋体" w:eastAsia="宋体" w:cs="宋体"/>
          <w:color w:val="auto"/>
          <w:sz w:val="24"/>
          <w:highlight w:val="none"/>
          <w:lang w:eastAsia="zh-CN"/>
        </w:rPr>
        <w:t>询比响应人</w:t>
      </w:r>
      <w:r>
        <w:rPr>
          <w:rFonts w:hint="eastAsia" w:ascii="宋体" w:hAnsi="宋体" w:eastAsia="宋体" w:cs="宋体"/>
          <w:color w:val="auto"/>
          <w:sz w:val="24"/>
          <w:highlight w:val="none"/>
        </w:rPr>
        <w:t>数量未超过询比采购公告/询比采购邀请书第</w:t>
      </w:r>
      <w:r>
        <w:rPr>
          <w:rFonts w:hint="eastAsia" w:ascii="宋体" w:hAnsi="宋体" w:eastAsia="宋体" w:cs="宋体"/>
          <w:color w:val="auto"/>
          <w:sz w:val="24"/>
          <w:highlight w:val="none"/>
          <w:lang w:val="en-US" w:eastAsia="zh-CN" w:bidi="en-US"/>
        </w:rPr>
        <w:t xml:space="preserve">1. </w:t>
      </w:r>
      <w:r>
        <w:rPr>
          <w:rFonts w:hint="eastAsia" w:ascii="宋体" w:hAnsi="宋体" w:eastAsia="宋体" w:cs="宋体"/>
          <w:color w:val="auto"/>
          <w:sz w:val="24"/>
          <w:highlight w:val="none"/>
        </w:rPr>
        <w:t>6款规定 的成交</w:t>
      </w:r>
      <w:r>
        <w:rPr>
          <w:rFonts w:hint="eastAsia" w:ascii="宋体" w:hAnsi="宋体" w:eastAsia="宋体" w:cs="宋体"/>
          <w:color w:val="auto"/>
          <w:sz w:val="24"/>
          <w:highlight w:val="none"/>
          <w:lang w:eastAsia="zh-CN"/>
        </w:rPr>
        <w:t>询比响应人</w:t>
      </w:r>
      <w:r>
        <w:rPr>
          <w:rFonts w:hint="eastAsia" w:ascii="宋体" w:hAnsi="宋体" w:eastAsia="宋体" w:cs="宋体"/>
          <w:color w:val="auto"/>
          <w:sz w:val="24"/>
          <w:highlight w:val="none"/>
        </w:rPr>
        <w:t>数量、评审小组认为</w:t>
      </w:r>
      <w:r>
        <w:rPr>
          <w:rFonts w:hint="eastAsia" w:ascii="宋体" w:hAnsi="宋体" w:eastAsia="宋体" w:cs="宋体"/>
          <w:color w:val="auto"/>
          <w:sz w:val="24"/>
          <w:highlight w:val="none"/>
          <w:lang w:eastAsia="zh-CN"/>
        </w:rPr>
        <w:t>询比响应人</w:t>
      </w:r>
      <w:r>
        <w:rPr>
          <w:rFonts w:hint="eastAsia" w:ascii="宋体" w:hAnsi="宋体" w:eastAsia="宋体" w:cs="宋体"/>
          <w:color w:val="auto"/>
          <w:sz w:val="24"/>
          <w:highlight w:val="none"/>
        </w:rPr>
        <w:t>的响应报价合理且物有所值时，不再进行详 细评审，直接推荐上述</w:t>
      </w:r>
      <w:r>
        <w:rPr>
          <w:rFonts w:hint="eastAsia" w:ascii="宋体" w:hAnsi="宋体" w:eastAsia="宋体" w:cs="宋体"/>
          <w:color w:val="auto"/>
          <w:sz w:val="24"/>
          <w:highlight w:val="none"/>
          <w:lang w:eastAsia="zh-CN"/>
        </w:rPr>
        <w:t>询比响应人</w:t>
      </w:r>
      <w:r>
        <w:rPr>
          <w:rFonts w:hint="eastAsia" w:ascii="宋体" w:hAnsi="宋体" w:eastAsia="宋体" w:cs="宋体"/>
          <w:color w:val="auto"/>
          <w:sz w:val="24"/>
          <w:highlight w:val="none"/>
        </w:rPr>
        <w:t>为候选成交</w:t>
      </w:r>
      <w:r>
        <w:rPr>
          <w:rFonts w:hint="eastAsia" w:ascii="宋体" w:hAnsi="宋体" w:eastAsia="宋体" w:cs="宋体"/>
          <w:color w:val="auto"/>
          <w:sz w:val="24"/>
          <w:highlight w:val="none"/>
          <w:lang w:eastAsia="zh-CN"/>
        </w:rPr>
        <w:t>询比响应人</w:t>
      </w:r>
      <w:r>
        <w:rPr>
          <w:rFonts w:hint="eastAsia" w:ascii="宋体" w:hAnsi="宋体" w:eastAsia="宋体" w:cs="宋体"/>
          <w:color w:val="auto"/>
          <w:sz w:val="24"/>
          <w:highlight w:val="none"/>
        </w:rPr>
        <w:t>。</w:t>
      </w:r>
    </w:p>
    <w:p>
      <w:pPr>
        <w:pStyle w:val="4"/>
        <w:pageBreakBefore w:val="0"/>
        <w:kinsoku/>
        <w:overflowPunct/>
        <w:topLinePunct w:val="0"/>
        <w:bidi w:val="0"/>
        <w:snapToGrid/>
        <w:spacing w:line="360" w:lineRule="auto"/>
        <w:jc w:val="both"/>
        <w:rPr>
          <w:rFonts w:hint="eastAsia" w:ascii="宋体" w:hAnsi="宋体" w:eastAsia="宋体" w:cs="宋体"/>
          <w:color w:val="auto"/>
          <w:highlight w:val="none"/>
        </w:rPr>
      </w:pPr>
      <w:bookmarkStart w:id="222" w:name="_Toc1478"/>
      <w:bookmarkStart w:id="223" w:name="_Toc12742"/>
      <w:bookmarkStart w:id="224" w:name="bookmark1129"/>
      <w:bookmarkStart w:id="225" w:name="bookmark1128"/>
      <w:bookmarkStart w:id="226" w:name="bookmark1127"/>
      <w:r>
        <w:rPr>
          <w:rFonts w:hint="eastAsia" w:ascii="宋体" w:hAnsi="宋体" w:eastAsia="宋体" w:cs="宋体"/>
          <w:color w:val="auto"/>
          <w:highlight w:val="none"/>
        </w:rPr>
        <w:t>4评审结果</w:t>
      </w:r>
      <w:bookmarkEnd w:id="222"/>
      <w:bookmarkEnd w:id="223"/>
      <w:bookmarkEnd w:id="224"/>
      <w:bookmarkEnd w:id="225"/>
      <w:bookmarkEnd w:id="226"/>
    </w:p>
    <w:p>
      <w:pPr>
        <w:pStyle w:val="39"/>
        <w:kinsoku/>
        <w:wordWrap/>
        <w:overflowPunct/>
        <w:topLinePunct w:val="0"/>
        <w:autoSpaceDE/>
        <w:autoSpaceDN/>
        <w:bidi w:val="0"/>
        <w:spacing w:line="360" w:lineRule="auto"/>
        <w:ind w:left="0" w:leftChars="0" w:firstLine="0" w:firstLineChars="0"/>
        <w:rPr>
          <w:rFonts w:hint="eastAsia" w:ascii="宋体" w:hAnsi="宋体" w:eastAsia="宋体" w:cs="宋体"/>
          <w:b/>
          <w:bCs w:val="0"/>
          <w:color w:val="auto"/>
          <w:kern w:val="2"/>
          <w:sz w:val="28"/>
          <w:szCs w:val="24"/>
          <w:highlight w:val="none"/>
          <w:lang w:val="en-US" w:eastAsia="zh-CN" w:bidi="ar-SA"/>
        </w:rPr>
      </w:pPr>
      <w:bookmarkStart w:id="227" w:name="bookmark1131"/>
      <w:bookmarkStart w:id="228" w:name="bookmark1132"/>
      <w:bookmarkStart w:id="229" w:name="bookmark1130"/>
      <w:r>
        <w:rPr>
          <w:rFonts w:hint="eastAsia" w:ascii="宋体" w:hAnsi="宋体" w:eastAsia="宋体" w:cs="宋体"/>
          <w:b/>
          <w:bCs w:val="0"/>
          <w:color w:val="auto"/>
          <w:kern w:val="2"/>
          <w:sz w:val="28"/>
          <w:szCs w:val="24"/>
          <w:highlight w:val="none"/>
          <w:lang w:val="en-US" w:eastAsia="en-US" w:bidi="ar-SA"/>
        </w:rPr>
        <w:t>4.1</w:t>
      </w:r>
      <w:r>
        <w:rPr>
          <w:rFonts w:hint="eastAsia" w:ascii="宋体" w:hAnsi="宋体" w:eastAsia="宋体" w:cs="宋体"/>
          <w:b/>
          <w:bCs w:val="0"/>
          <w:color w:val="auto"/>
          <w:kern w:val="2"/>
          <w:sz w:val="28"/>
          <w:szCs w:val="24"/>
          <w:highlight w:val="none"/>
          <w:lang w:val="en-US" w:eastAsia="zh-CN" w:bidi="ar-SA"/>
        </w:rPr>
        <w:t>提交书面评审报告</w:t>
      </w:r>
      <w:bookmarkEnd w:id="227"/>
      <w:bookmarkEnd w:id="228"/>
      <w:bookmarkEnd w:id="229"/>
    </w:p>
    <w:p>
      <w:pPr>
        <w:pStyle w:val="35"/>
        <w:keepNext w:val="0"/>
        <w:keepLines w:val="0"/>
        <w:pageBreakBefore w:val="0"/>
        <w:widowControl w:val="0"/>
        <w:shd w:val="clear" w:color="auto" w:fill="auto"/>
        <w:kinsoku/>
        <w:wordWrap/>
        <w:overflowPunct/>
        <w:topLinePunct w:val="0"/>
        <w:autoSpaceDE/>
        <w:autoSpaceDN/>
        <w:bidi w:val="0"/>
        <w:adjustRightInd/>
        <w:snapToGrid/>
        <w:spacing w:before="0" w:line="360" w:lineRule="auto"/>
        <w:ind w:left="0" w:right="0" w:firstLine="76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pacing w:val="0"/>
          <w:w w:val="100"/>
          <w:position w:val="0"/>
          <w:sz w:val="24"/>
          <w:szCs w:val="24"/>
          <w:highlight w:val="none"/>
        </w:rPr>
        <w:t>评审小组完成评审后，应当向</w:t>
      </w:r>
      <w:r>
        <w:rPr>
          <w:rFonts w:hint="eastAsia" w:cs="宋体"/>
          <w:color w:val="auto"/>
          <w:spacing w:val="0"/>
          <w:w w:val="100"/>
          <w:position w:val="0"/>
          <w:sz w:val="24"/>
          <w:szCs w:val="24"/>
          <w:highlight w:val="none"/>
          <w:lang w:eastAsia="zh-CN"/>
        </w:rPr>
        <w:t>招标人</w:t>
      </w:r>
      <w:r>
        <w:rPr>
          <w:rFonts w:hint="eastAsia" w:ascii="宋体" w:hAnsi="宋体" w:eastAsia="宋体" w:cs="宋体"/>
          <w:color w:val="auto"/>
          <w:spacing w:val="0"/>
          <w:w w:val="100"/>
          <w:position w:val="0"/>
          <w:sz w:val="24"/>
          <w:szCs w:val="24"/>
          <w:highlight w:val="none"/>
        </w:rPr>
        <w:t>提交书面评审报告。</w:t>
      </w:r>
    </w:p>
    <w:p>
      <w:pPr>
        <w:pStyle w:val="39"/>
        <w:kinsoku/>
        <w:wordWrap/>
        <w:overflowPunct/>
        <w:topLinePunct w:val="0"/>
        <w:autoSpaceDE/>
        <w:autoSpaceDN/>
        <w:bidi w:val="0"/>
        <w:spacing w:line="360" w:lineRule="auto"/>
        <w:ind w:left="0" w:leftChars="0" w:firstLine="0" w:firstLineChars="0"/>
        <w:rPr>
          <w:rFonts w:hint="eastAsia" w:ascii="宋体" w:hAnsi="宋体" w:eastAsia="宋体" w:cs="宋体"/>
          <w:b/>
          <w:bCs/>
          <w:color w:val="auto"/>
          <w:sz w:val="24"/>
          <w:szCs w:val="24"/>
          <w:highlight w:val="none"/>
        </w:rPr>
      </w:pPr>
      <w:bookmarkStart w:id="230" w:name="bookmark1135"/>
      <w:bookmarkEnd w:id="230"/>
      <w:bookmarkStart w:id="231" w:name="bookmark1133"/>
      <w:bookmarkStart w:id="232" w:name="bookmark1134"/>
      <w:bookmarkStart w:id="233" w:name="bookmark1136"/>
      <w:r>
        <w:rPr>
          <w:rFonts w:hint="eastAsia" w:ascii="宋体" w:hAnsi="宋体" w:eastAsia="宋体" w:cs="宋体"/>
          <w:b/>
          <w:bCs/>
          <w:color w:val="auto"/>
          <w:spacing w:val="0"/>
          <w:w w:val="100"/>
          <w:position w:val="0"/>
          <w:sz w:val="24"/>
          <w:szCs w:val="24"/>
          <w:highlight w:val="none"/>
          <w:lang w:val="en-US" w:eastAsia="zh-CN"/>
        </w:rPr>
        <w:t>4.</w:t>
      </w:r>
      <w:r>
        <w:rPr>
          <w:rFonts w:hint="eastAsia" w:ascii="宋体" w:hAnsi="宋体" w:eastAsia="宋体" w:cs="宋体"/>
          <w:b/>
          <w:bCs/>
          <w:color w:val="auto"/>
          <w:spacing w:val="0"/>
          <w:w w:val="100"/>
          <w:position w:val="0"/>
          <w:sz w:val="24"/>
          <w:szCs w:val="24"/>
          <w:highlight w:val="none"/>
        </w:rPr>
        <w:t>2推荐候选成交</w:t>
      </w:r>
      <w:r>
        <w:rPr>
          <w:rFonts w:hint="eastAsia" w:ascii="宋体" w:hAnsi="宋体" w:eastAsia="宋体" w:cs="宋体"/>
          <w:b/>
          <w:bCs/>
          <w:color w:val="auto"/>
          <w:spacing w:val="0"/>
          <w:w w:val="100"/>
          <w:position w:val="0"/>
          <w:sz w:val="24"/>
          <w:szCs w:val="24"/>
          <w:highlight w:val="none"/>
          <w:lang w:eastAsia="zh-CN"/>
        </w:rPr>
        <w:t>询比响应人</w:t>
      </w:r>
      <w:r>
        <w:rPr>
          <w:rFonts w:hint="eastAsia" w:ascii="宋体" w:hAnsi="宋体" w:eastAsia="宋体" w:cs="宋体"/>
          <w:b/>
          <w:bCs/>
          <w:color w:val="auto"/>
          <w:spacing w:val="0"/>
          <w:w w:val="100"/>
          <w:position w:val="0"/>
          <w:sz w:val="24"/>
          <w:szCs w:val="24"/>
          <w:highlight w:val="none"/>
        </w:rPr>
        <w:t>排序要求及数量</w:t>
      </w:r>
      <w:bookmarkEnd w:id="231"/>
      <w:bookmarkEnd w:id="232"/>
      <w:bookmarkEnd w:id="233"/>
    </w:p>
    <w:p>
      <w:pPr>
        <w:pStyle w:val="35"/>
        <w:keepNext w:val="0"/>
        <w:keepLines w:val="0"/>
        <w:pageBreakBefore w:val="0"/>
        <w:widowControl w:val="0"/>
        <w:shd w:val="clear" w:color="auto" w:fill="auto"/>
        <w:kinsoku/>
        <w:wordWrap/>
        <w:overflowPunct/>
        <w:topLinePunct w:val="0"/>
        <w:autoSpaceDE/>
        <w:autoSpaceDN/>
        <w:bidi w:val="0"/>
        <w:adjustRightInd/>
        <w:snapToGrid/>
        <w:spacing w:before="0" w:line="360" w:lineRule="auto"/>
        <w:ind w:left="0" w:right="0" w:firstLine="500"/>
        <w:jc w:val="both"/>
        <w:textAlignment w:val="auto"/>
        <w:rPr>
          <w:rFonts w:hint="eastAsia" w:ascii="宋体" w:hAnsi="宋体" w:eastAsia="宋体" w:cs="宋体"/>
          <w:color w:val="auto"/>
          <w:spacing w:val="0"/>
          <w:w w:val="100"/>
          <w:position w:val="0"/>
          <w:sz w:val="24"/>
          <w:szCs w:val="24"/>
          <w:highlight w:val="none"/>
        </w:rPr>
      </w:pPr>
      <w:r>
        <w:rPr>
          <w:rFonts w:hint="eastAsia" w:ascii="宋体" w:hAnsi="宋体" w:eastAsia="宋体" w:cs="宋体"/>
          <w:color w:val="auto"/>
          <w:spacing w:val="0"/>
          <w:w w:val="100"/>
          <w:position w:val="0"/>
          <w:sz w:val="24"/>
          <w:szCs w:val="24"/>
          <w:highlight w:val="none"/>
        </w:rPr>
        <w:t>评审小组应在书面评审报告中按照</w:t>
      </w:r>
      <w:r>
        <w:rPr>
          <w:rFonts w:hint="eastAsia" w:ascii="宋体" w:hAnsi="宋体" w:eastAsia="宋体" w:cs="宋体"/>
          <w:color w:val="auto"/>
          <w:spacing w:val="0"/>
          <w:w w:val="100"/>
          <w:position w:val="0"/>
          <w:sz w:val="24"/>
          <w:szCs w:val="24"/>
          <w:highlight w:val="none"/>
          <w:lang w:eastAsia="zh-CN"/>
        </w:rPr>
        <w:t>询比响应人</w:t>
      </w:r>
      <w:r>
        <w:rPr>
          <w:rFonts w:hint="eastAsia" w:ascii="宋体" w:hAnsi="宋体" w:eastAsia="宋体" w:cs="宋体"/>
          <w:color w:val="auto"/>
          <w:spacing w:val="0"/>
          <w:w w:val="100"/>
          <w:position w:val="0"/>
          <w:sz w:val="24"/>
          <w:szCs w:val="24"/>
          <w:highlight w:val="none"/>
        </w:rPr>
        <w:t>排列的优先顺序向</w:t>
      </w:r>
      <w:r>
        <w:rPr>
          <w:rFonts w:hint="eastAsia" w:cs="宋体"/>
          <w:color w:val="auto"/>
          <w:spacing w:val="0"/>
          <w:w w:val="100"/>
          <w:position w:val="0"/>
          <w:sz w:val="24"/>
          <w:szCs w:val="24"/>
          <w:highlight w:val="none"/>
          <w:lang w:eastAsia="zh-CN"/>
        </w:rPr>
        <w:t>招标人</w:t>
      </w:r>
      <w:r>
        <w:rPr>
          <w:rFonts w:hint="eastAsia" w:ascii="宋体" w:hAnsi="宋体" w:eastAsia="宋体" w:cs="宋体"/>
          <w:color w:val="auto"/>
          <w:spacing w:val="0"/>
          <w:w w:val="100"/>
          <w:position w:val="0"/>
          <w:sz w:val="24"/>
          <w:szCs w:val="24"/>
          <w:highlight w:val="none"/>
        </w:rPr>
        <w:t>推荐候选成交供应商</w:t>
      </w:r>
      <w:r>
        <w:rPr>
          <w:rFonts w:hint="eastAsia" w:cs="宋体"/>
          <w:color w:val="auto"/>
          <w:spacing w:val="0"/>
          <w:w w:val="100"/>
          <w:position w:val="0"/>
          <w:sz w:val="24"/>
          <w:szCs w:val="24"/>
          <w:highlight w:val="none"/>
          <w:lang w:val="en-US" w:eastAsia="zh-CN"/>
        </w:rPr>
        <w:t>,且</w:t>
      </w:r>
      <w:r>
        <w:rPr>
          <w:rFonts w:hint="eastAsia" w:ascii="宋体" w:hAnsi="宋体" w:eastAsia="宋体" w:cs="宋体"/>
          <w:color w:val="auto"/>
          <w:spacing w:val="0"/>
          <w:w w:val="100"/>
          <w:position w:val="0"/>
          <w:sz w:val="24"/>
          <w:szCs w:val="24"/>
          <w:highlight w:val="none"/>
        </w:rPr>
        <w:t>成交供应商</w:t>
      </w:r>
      <w:r>
        <w:rPr>
          <w:rFonts w:hint="eastAsia" w:cs="宋体"/>
          <w:color w:val="auto"/>
          <w:spacing w:val="0"/>
          <w:w w:val="100"/>
          <w:position w:val="0"/>
          <w:sz w:val="24"/>
          <w:szCs w:val="24"/>
          <w:highlight w:val="none"/>
          <w:lang w:val="en-US" w:eastAsia="zh-CN"/>
        </w:rPr>
        <w:t>由</w:t>
      </w:r>
      <w:r>
        <w:rPr>
          <w:rFonts w:hint="eastAsia" w:ascii="宋体" w:hAnsi="宋体" w:eastAsia="宋体" w:cs="宋体"/>
          <w:color w:val="auto"/>
          <w:spacing w:val="0"/>
          <w:w w:val="100"/>
          <w:position w:val="0"/>
          <w:sz w:val="24"/>
          <w:szCs w:val="24"/>
          <w:highlight w:val="none"/>
        </w:rPr>
        <w:t>评审小组</w:t>
      </w:r>
      <w:r>
        <w:rPr>
          <w:rFonts w:hint="eastAsia" w:cs="宋体"/>
          <w:color w:val="auto"/>
          <w:spacing w:val="0"/>
          <w:w w:val="100"/>
          <w:position w:val="0"/>
          <w:sz w:val="24"/>
          <w:szCs w:val="24"/>
          <w:highlight w:val="none"/>
          <w:lang w:eastAsia="zh-CN"/>
        </w:rPr>
        <w:t>直接确认</w:t>
      </w:r>
      <w:r>
        <w:rPr>
          <w:rFonts w:hint="eastAsia" w:ascii="宋体" w:hAnsi="宋体" w:eastAsia="宋体" w:cs="宋体"/>
          <w:color w:val="auto"/>
          <w:spacing w:val="0"/>
          <w:w w:val="100"/>
          <w:position w:val="0"/>
          <w:sz w:val="24"/>
          <w:szCs w:val="24"/>
          <w:highlight w:val="none"/>
        </w:rPr>
        <w:t>。</w:t>
      </w:r>
    </w:p>
    <w:p>
      <w:pPr>
        <w:pStyle w:val="35"/>
        <w:pageBreakBefore w:val="0"/>
        <w:kinsoku/>
        <w:overflowPunct/>
        <w:topLinePunct w:val="0"/>
        <w:bidi w:val="0"/>
        <w:snapToGrid/>
        <w:spacing w:line="360" w:lineRule="auto"/>
        <w:ind w:firstLine="500"/>
        <w:rPr>
          <w:rFonts w:hint="eastAsia" w:ascii="宋体" w:hAnsi="宋体" w:eastAsia="宋体" w:cs="宋体"/>
          <w:color w:val="auto"/>
          <w:sz w:val="24"/>
          <w:highlight w:val="none"/>
        </w:rPr>
      </w:pPr>
      <w:r>
        <w:rPr>
          <w:rFonts w:hint="eastAsia" w:ascii="宋体" w:hAnsi="宋体" w:eastAsia="宋体" w:cs="宋体"/>
          <w:color w:val="auto"/>
          <w:sz w:val="24"/>
          <w:highlight w:val="none"/>
        </w:rPr>
        <w:t>候选成交</w:t>
      </w:r>
      <w:r>
        <w:rPr>
          <w:rFonts w:hint="eastAsia" w:ascii="宋体" w:hAnsi="宋体" w:eastAsia="宋体" w:cs="宋体"/>
          <w:color w:val="auto"/>
          <w:sz w:val="24"/>
          <w:highlight w:val="none"/>
          <w:lang w:eastAsia="zh-CN"/>
        </w:rPr>
        <w:t>询比响应人</w:t>
      </w:r>
      <w:r>
        <w:rPr>
          <w:rFonts w:hint="eastAsia" w:ascii="宋体" w:hAnsi="宋体" w:eastAsia="宋体" w:cs="宋体"/>
          <w:color w:val="auto"/>
          <w:sz w:val="24"/>
          <w:highlight w:val="none"/>
        </w:rPr>
        <w:t>的排序要求及数量见第二章</w:t>
      </w:r>
      <w:r>
        <w:rPr>
          <w:rFonts w:hint="eastAsia" w:ascii="宋体" w:hAnsi="宋体" w:eastAsia="宋体" w:cs="宋体"/>
          <w:color w:val="auto"/>
          <w:sz w:val="24"/>
          <w:highlight w:val="none"/>
          <w:lang w:val="zh-CN" w:eastAsia="zh-CN" w:bidi="zh-CN"/>
        </w:rPr>
        <w:t>“询比响应人</w:t>
      </w:r>
      <w:r>
        <w:rPr>
          <w:rFonts w:hint="eastAsia" w:ascii="宋体" w:hAnsi="宋体" w:eastAsia="宋体" w:cs="宋体"/>
          <w:color w:val="auto"/>
          <w:sz w:val="24"/>
          <w:highlight w:val="none"/>
        </w:rPr>
        <w:t>须知”。</w:t>
      </w:r>
    </w:p>
    <w:p>
      <w:pPr>
        <w:pStyle w:val="4"/>
        <w:pageBreakBefore w:val="0"/>
        <w:kinsoku/>
        <w:overflowPunct/>
        <w:topLinePunct w:val="0"/>
        <w:bidi w:val="0"/>
        <w:snapToGrid/>
        <w:spacing w:line="360" w:lineRule="auto"/>
        <w:jc w:val="both"/>
        <w:rPr>
          <w:rFonts w:hint="eastAsia" w:ascii="宋体" w:hAnsi="宋体" w:eastAsia="宋体" w:cs="宋体"/>
          <w:color w:val="auto"/>
          <w:highlight w:val="none"/>
        </w:rPr>
      </w:pPr>
      <w:bookmarkStart w:id="234" w:name="_Toc7667"/>
      <w:bookmarkStart w:id="235" w:name="bookmark1138"/>
      <w:bookmarkStart w:id="236" w:name="bookmark1139"/>
      <w:bookmarkStart w:id="237" w:name="bookmark1137"/>
      <w:bookmarkStart w:id="238" w:name="_Toc17060"/>
      <w:r>
        <w:rPr>
          <w:rFonts w:hint="eastAsia" w:ascii="宋体" w:hAnsi="宋体" w:eastAsia="宋体" w:cs="宋体"/>
          <w:color w:val="auto"/>
          <w:highlight w:val="none"/>
        </w:rPr>
        <w:t>5直接转换采购方式评审程序</w:t>
      </w:r>
      <w:bookmarkEnd w:id="234"/>
      <w:bookmarkEnd w:id="235"/>
      <w:bookmarkEnd w:id="236"/>
      <w:bookmarkEnd w:id="237"/>
      <w:bookmarkEnd w:id="238"/>
    </w:p>
    <w:p>
      <w:pPr>
        <w:pStyle w:val="6"/>
        <w:pageBreakBefore w:val="0"/>
        <w:kinsoku/>
        <w:overflowPunct/>
        <w:topLinePunct w:val="0"/>
        <w:bidi w:val="0"/>
        <w:snapToGrid/>
        <w:spacing w:line="360" w:lineRule="auto"/>
        <w:rPr>
          <w:rFonts w:hint="eastAsia" w:ascii="宋体" w:hAnsi="宋体" w:eastAsia="宋体" w:cs="宋体"/>
          <w:color w:val="auto"/>
          <w:highlight w:val="none"/>
        </w:rPr>
      </w:pPr>
      <w:bookmarkStart w:id="239" w:name="_Toc31813"/>
      <w:bookmarkStart w:id="240" w:name="bookmark1140"/>
      <w:bookmarkStart w:id="241" w:name="bookmark1142"/>
      <w:bookmarkStart w:id="242" w:name="_Toc28521"/>
      <w:bookmarkStart w:id="243" w:name="bookmark1141"/>
      <w:r>
        <w:rPr>
          <w:rFonts w:hint="eastAsia" w:ascii="宋体" w:hAnsi="宋体" w:eastAsia="宋体" w:cs="宋体"/>
          <w:color w:val="auto"/>
          <w:highlight w:val="none"/>
        </w:rPr>
        <w:t>5.1初步评审</w:t>
      </w:r>
      <w:bookmarkEnd w:id="239"/>
      <w:bookmarkEnd w:id="240"/>
      <w:bookmarkEnd w:id="241"/>
      <w:bookmarkEnd w:id="242"/>
      <w:bookmarkEnd w:id="243"/>
    </w:p>
    <w:p>
      <w:pPr>
        <w:pStyle w:val="35"/>
        <w:pageBreakBefore w:val="0"/>
        <w:tabs>
          <w:tab w:val="left" w:pos="368"/>
        </w:tabs>
        <w:kinsoku/>
        <w:overflowPunct/>
        <w:topLinePunct w:val="0"/>
        <w:bidi w:val="0"/>
        <w:snapToGrid/>
        <w:spacing w:line="360" w:lineRule="auto"/>
        <w:rPr>
          <w:rFonts w:hint="eastAsia" w:ascii="宋体" w:hAnsi="宋体" w:eastAsia="宋体" w:cs="宋体"/>
          <w:color w:val="auto"/>
          <w:sz w:val="24"/>
          <w:highlight w:val="none"/>
        </w:rPr>
      </w:pPr>
      <w:bookmarkStart w:id="244" w:name="bookmark1143"/>
      <w:bookmarkEnd w:id="244"/>
      <w:r>
        <w:rPr>
          <w:rFonts w:hint="eastAsia" w:ascii="宋体" w:hAnsi="宋体" w:eastAsia="宋体" w:cs="宋体"/>
          <w:color w:val="auto"/>
          <w:sz w:val="24"/>
          <w:highlight w:val="none"/>
          <w:lang w:val="en-US" w:eastAsia="zh-CN" w:bidi="en-US"/>
        </w:rPr>
        <w:t xml:space="preserve">5.1. </w:t>
      </w:r>
      <w:r>
        <w:rPr>
          <w:rFonts w:hint="eastAsia" w:ascii="宋体" w:hAnsi="宋体" w:eastAsia="宋体" w:cs="宋体"/>
          <w:color w:val="auto"/>
          <w:sz w:val="24"/>
          <w:highlight w:val="none"/>
        </w:rPr>
        <w:t>1评审小组依据本章第</w:t>
      </w:r>
      <w:r>
        <w:rPr>
          <w:rFonts w:hint="eastAsia" w:ascii="宋体" w:hAnsi="宋体" w:eastAsia="宋体" w:cs="宋体"/>
          <w:color w:val="auto"/>
          <w:sz w:val="24"/>
          <w:highlight w:val="none"/>
          <w:lang w:val="en-US" w:eastAsia="zh-CN" w:bidi="en-US"/>
        </w:rPr>
        <w:t xml:space="preserve">2. </w:t>
      </w:r>
      <w:r>
        <w:rPr>
          <w:rFonts w:hint="eastAsia" w:ascii="宋体" w:hAnsi="宋体" w:eastAsia="宋体" w:cs="宋体"/>
          <w:color w:val="auto"/>
          <w:sz w:val="24"/>
          <w:highlight w:val="none"/>
        </w:rPr>
        <w:t>1款规定的标准对</w:t>
      </w:r>
      <w:r>
        <w:rPr>
          <w:rFonts w:hint="eastAsia" w:ascii="宋体" w:hAnsi="宋体" w:eastAsia="宋体" w:cs="宋体"/>
          <w:color w:val="auto"/>
          <w:sz w:val="24"/>
          <w:highlight w:val="none"/>
          <w:lang w:eastAsia="zh-CN"/>
        </w:rPr>
        <w:t>询比响应人</w:t>
      </w:r>
      <w:r>
        <w:rPr>
          <w:rFonts w:hint="eastAsia" w:ascii="宋体" w:hAnsi="宋体" w:eastAsia="宋体" w:cs="宋体"/>
          <w:color w:val="auto"/>
          <w:sz w:val="24"/>
          <w:highlight w:val="none"/>
        </w:rPr>
        <w:t>递交的响应文件进行初步 评审，判断响应文件的形式是否符合要求，</w:t>
      </w:r>
      <w:r>
        <w:rPr>
          <w:rFonts w:hint="eastAsia" w:ascii="宋体" w:hAnsi="宋体" w:eastAsia="宋体" w:cs="宋体"/>
          <w:color w:val="auto"/>
          <w:sz w:val="24"/>
          <w:highlight w:val="none"/>
          <w:lang w:eastAsia="zh-CN"/>
        </w:rPr>
        <w:t>询比响应人</w:t>
      </w:r>
      <w:r>
        <w:rPr>
          <w:rFonts w:hint="eastAsia" w:ascii="宋体" w:hAnsi="宋体" w:eastAsia="宋体" w:cs="宋体"/>
          <w:color w:val="auto"/>
          <w:sz w:val="24"/>
          <w:highlight w:val="none"/>
        </w:rPr>
        <w:t>是否符合资格条件，响应文件 是否实质性响应采购文件的要求。只有以上评审合格的响应文件才可通过初步 评审。</w:t>
      </w:r>
    </w:p>
    <w:p>
      <w:pPr>
        <w:pStyle w:val="35"/>
        <w:pageBreakBefore w:val="0"/>
        <w:kinsoku/>
        <w:overflowPunct/>
        <w:topLinePunct w:val="0"/>
        <w:bidi w:val="0"/>
        <w:snapToGrid/>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bidi="en-US"/>
        </w:rPr>
        <w:t>5. 1.2</w:t>
      </w:r>
      <w:r>
        <w:rPr>
          <w:rFonts w:hint="eastAsia" w:ascii="宋体" w:hAnsi="宋体" w:eastAsia="宋体" w:cs="宋体"/>
          <w:color w:val="auto"/>
          <w:sz w:val="24"/>
          <w:highlight w:val="none"/>
        </w:rPr>
        <w:t>响应文件的形式或</w:t>
      </w:r>
      <w:r>
        <w:rPr>
          <w:rFonts w:hint="eastAsia" w:ascii="宋体" w:hAnsi="宋体" w:eastAsia="宋体" w:cs="宋体"/>
          <w:color w:val="auto"/>
          <w:sz w:val="24"/>
          <w:highlight w:val="none"/>
          <w:lang w:eastAsia="zh-CN"/>
        </w:rPr>
        <w:t>询比响应人</w:t>
      </w:r>
      <w:r>
        <w:rPr>
          <w:rFonts w:hint="eastAsia" w:ascii="宋体" w:hAnsi="宋体" w:eastAsia="宋体" w:cs="宋体"/>
          <w:color w:val="auto"/>
          <w:sz w:val="24"/>
          <w:highlight w:val="none"/>
        </w:rPr>
        <w:t>资格不符合采购文件的要求、响应文件未实质性响应 采购文件的要求，或响应文件中有含义不明确、同类问题表述不一致或有明显文字和 计算错误的内容，评审小组应要求</w:t>
      </w:r>
      <w:r>
        <w:rPr>
          <w:rFonts w:hint="eastAsia" w:ascii="宋体" w:hAnsi="宋体" w:eastAsia="宋体" w:cs="宋体"/>
          <w:color w:val="auto"/>
          <w:sz w:val="24"/>
          <w:highlight w:val="none"/>
          <w:lang w:eastAsia="zh-CN"/>
        </w:rPr>
        <w:t>询比响应人</w:t>
      </w:r>
      <w:r>
        <w:rPr>
          <w:rFonts w:hint="eastAsia" w:ascii="宋体" w:hAnsi="宋体" w:eastAsia="宋体" w:cs="宋体"/>
          <w:color w:val="auto"/>
          <w:sz w:val="24"/>
          <w:highlight w:val="none"/>
        </w:rPr>
        <w:t>在规定时间内进行澄清、说明和补正。供应 商澄清、说明和补正的内容应由法定代表人（单位负责人）或其授权的代理人签字或 加盖单位章。澄清、说明和补正的内容作为响应文件的组成部分。</w:t>
      </w:r>
    </w:p>
    <w:p>
      <w:pPr>
        <w:pStyle w:val="35"/>
        <w:pageBreakBefore w:val="0"/>
        <w:kinsoku/>
        <w:overflowPunct/>
        <w:topLinePunct w:val="0"/>
        <w:bidi w:val="0"/>
        <w:snapToGrid/>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bidi="en-US"/>
        </w:rPr>
        <w:t xml:space="preserve">5. 1. </w:t>
      </w:r>
      <w:r>
        <w:rPr>
          <w:rFonts w:hint="eastAsia" w:ascii="宋体" w:hAnsi="宋体" w:eastAsia="宋体" w:cs="宋体"/>
          <w:color w:val="auto"/>
          <w:sz w:val="24"/>
          <w:highlight w:val="none"/>
        </w:rPr>
        <w:t>3只有形式评审和资格评审合格且实质性响应采购文件要求的</w:t>
      </w:r>
      <w:r>
        <w:rPr>
          <w:rFonts w:hint="eastAsia" w:ascii="宋体" w:hAnsi="宋体" w:eastAsia="宋体" w:cs="宋体"/>
          <w:color w:val="auto"/>
          <w:sz w:val="24"/>
          <w:highlight w:val="none"/>
          <w:lang w:eastAsia="zh-CN"/>
        </w:rPr>
        <w:t>询比响应人</w:t>
      </w:r>
      <w:r>
        <w:rPr>
          <w:rFonts w:hint="eastAsia" w:ascii="宋体" w:hAnsi="宋体" w:eastAsia="宋体" w:cs="宋体"/>
          <w:color w:val="auto"/>
          <w:sz w:val="24"/>
          <w:highlight w:val="none"/>
        </w:rPr>
        <w:t>才可通过初 步评审。经</w:t>
      </w:r>
      <w:r>
        <w:rPr>
          <w:rFonts w:hint="eastAsia" w:ascii="宋体" w:hAnsi="宋体" w:eastAsia="宋体" w:cs="宋体"/>
          <w:color w:val="auto"/>
          <w:sz w:val="24"/>
          <w:highlight w:val="none"/>
          <w:lang w:eastAsia="zh-CN"/>
        </w:rPr>
        <w:t>询比响应人</w:t>
      </w:r>
      <w:r>
        <w:rPr>
          <w:rFonts w:hint="eastAsia" w:ascii="宋体" w:hAnsi="宋体" w:eastAsia="宋体" w:cs="宋体"/>
          <w:color w:val="auto"/>
          <w:sz w:val="24"/>
          <w:highlight w:val="none"/>
        </w:rPr>
        <w:t>澄清、说明和补正后仍未通过初步评审的响应文件将被视为无效, 评审小组应告知有关</w:t>
      </w:r>
      <w:r>
        <w:rPr>
          <w:rFonts w:hint="eastAsia" w:ascii="宋体" w:hAnsi="宋体" w:eastAsia="宋体" w:cs="宋体"/>
          <w:color w:val="auto"/>
          <w:sz w:val="24"/>
          <w:highlight w:val="none"/>
          <w:lang w:eastAsia="zh-CN"/>
        </w:rPr>
        <w:t>询比响应人</w:t>
      </w:r>
      <w:r>
        <w:rPr>
          <w:rFonts w:hint="eastAsia" w:ascii="宋体" w:hAnsi="宋体" w:eastAsia="宋体" w:cs="宋体"/>
          <w:color w:val="auto"/>
          <w:sz w:val="24"/>
          <w:highlight w:val="none"/>
        </w:rPr>
        <w:t>。</w:t>
      </w:r>
    </w:p>
    <w:p>
      <w:pPr>
        <w:pStyle w:val="35"/>
        <w:pageBreakBefore w:val="0"/>
        <w:kinsoku/>
        <w:overflowPunct/>
        <w:topLinePunct w:val="0"/>
        <w:bidi w:val="0"/>
        <w:snapToGrid/>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bidi="en-US"/>
        </w:rPr>
        <w:t>5. 1.4</w:t>
      </w:r>
      <w:r>
        <w:rPr>
          <w:rFonts w:hint="eastAsia" w:ascii="宋体" w:hAnsi="宋体" w:eastAsia="宋体" w:cs="宋体"/>
          <w:color w:val="auto"/>
          <w:sz w:val="24"/>
          <w:highlight w:val="none"/>
        </w:rPr>
        <w:t>当通过初步评审的</w:t>
      </w:r>
      <w:r>
        <w:rPr>
          <w:rFonts w:hint="eastAsia" w:ascii="宋体" w:hAnsi="宋体" w:eastAsia="宋体" w:cs="宋体"/>
          <w:color w:val="auto"/>
          <w:sz w:val="24"/>
          <w:highlight w:val="none"/>
          <w:lang w:eastAsia="zh-CN"/>
        </w:rPr>
        <w:t>询比响应人</w:t>
      </w:r>
      <w:r>
        <w:rPr>
          <w:rFonts w:hint="eastAsia" w:ascii="宋体" w:hAnsi="宋体" w:eastAsia="宋体" w:cs="宋体"/>
          <w:color w:val="auto"/>
          <w:sz w:val="24"/>
          <w:highlight w:val="none"/>
        </w:rPr>
        <w:t>数量大于询比采购公告/询比釆购邀请书第</w:t>
      </w:r>
      <w:r>
        <w:rPr>
          <w:rFonts w:hint="eastAsia" w:ascii="宋体" w:hAnsi="宋体" w:eastAsia="宋体" w:cs="宋体"/>
          <w:color w:val="auto"/>
          <w:sz w:val="24"/>
          <w:highlight w:val="none"/>
          <w:lang w:val="en-US" w:eastAsia="zh-CN" w:bidi="en-US"/>
        </w:rPr>
        <w:t>1.6</w:t>
      </w:r>
      <w:r>
        <w:rPr>
          <w:rFonts w:hint="eastAsia" w:ascii="宋体" w:hAnsi="宋体" w:eastAsia="宋体" w:cs="宋体"/>
          <w:color w:val="auto"/>
          <w:sz w:val="24"/>
          <w:highlight w:val="none"/>
        </w:rPr>
        <w:t>款规 定的成交</w:t>
      </w:r>
      <w:r>
        <w:rPr>
          <w:rFonts w:hint="eastAsia" w:ascii="宋体" w:hAnsi="宋体" w:eastAsia="宋体" w:cs="宋体"/>
          <w:color w:val="auto"/>
          <w:sz w:val="24"/>
          <w:highlight w:val="none"/>
          <w:lang w:eastAsia="zh-CN"/>
        </w:rPr>
        <w:t>询比响应人</w:t>
      </w:r>
      <w:r>
        <w:rPr>
          <w:rFonts w:hint="eastAsia" w:ascii="宋体" w:hAnsi="宋体" w:eastAsia="宋体" w:cs="宋体"/>
          <w:color w:val="auto"/>
          <w:sz w:val="24"/>
          <w:highlight w:val="none"/>
        </w:rPr>
        <w:t>数量时，可以改为参照</w:t>
      </w:r>
      <w:r>
        <w:rPr>
          <w:rFonts w:hint="eastAsia" w:cs="宋体"/>
          <w:color w:val="auto"/>
          <w:sz w:val="24"/>
          <w:highlight w:val="none"/>
          <w:lang w:eastAsia="zh-CN"/>
        </w:rPr>
        <w:t>询比</w:t>
      </w:r>
      <w:r>
        <w:rPr>
          <w:rFonts w:hint="eastAsia" w:ascii="宋体" w:hAnsi="宋体" w:eastAsia="宋体" w:cs="宋体"/>
          <w:color w:val="auto"/>
          <w:sz w:val="24"/>
          <w:highlight w:val="none"/>
        </w:rPr>
        <w:t>方式继续评审选择成交</w:t>
      </w:r>
      <w:r>
        <w:rPr>
          <w:rFonts w:hint="eastAsia" w:ascii="宋体" w:hAnsi="宋体" w:eastAsia="宋体" w:cs="宋体"/>
          <w:color w:val="auto"/>
          <w:sz w:val="24"/>
          <w:highlight w:val="none"/>
          <w:lang w:eastAsia="zh-CN"/>
        </w:rPr>
        <w:t>询比响应人</w:t>
      </w:r>
      <w:r>
        <w:rPr>
          <w:rFonts w:hint="eastAsia" w:ascii="宋体" w:hAnsi="宋体" w:eastAsia="宋体" w:cs="宋体"/>
          <w:color w:val="auto"/>
          <w:sz w:val="24"/>
          <w:highlight w:val="none"/>
        </w:rPr>
        <w:t>。</w:t>
      </w:r>
    </w:p>
    <w:p>
      <w:pPr>
        <w:pStyle w:val="35"/>
        <w:pageBreakBefore w:val="0"/>
        <w:kinsoku/>
        <w:overflowPunct/>
        <w:topLinePunct w:val="0"/>
        <w:bidi w:val="0"/>
        <w:snapToGrid/>
        <w:spacing w:line="360" w:lineRule="auto"/>
        <w:ind w:firstLine="500"/>
        <w:rPr>
          <w:rFonts w:hint="eastAsia" w:ascii="宋体" w:hAnsi="宋体" w:eastAsia="宋体" w:cs="宋体"/>
          <w:color w:val="auto"/>
          <w:sz w:val="24"/>
          <w:highlight w:val="none"/>
        </w:rPr>
      </w:pPr>
      <w:r>
        <w:rPr>
          <w:rFonts w:hint="eastAsia" w:ascii="宋体" w:hAnsi="宋体" w:eastAsia="宋体" w:cs="宋体"/>
          <w:color w:val="auto"/>
          <w:sz w:val="24"/>
          <w:highlight w:val="none"/>
        </w:rPr>
        <w:t>当通过初步评审的</w:t>
      </w:r>
      <w:r>
        <w:rPr>
          <w:rFonts w:hint="eastAsia" w:ascii="宋体" w:hAnsi="宋体" w:eastAsia="宋体" w:cs="宋体"/>
          <w:color w:val="auto"/>
          <w:sz w:val="24"/>
          <w:highlight w:val="none"/>
          <w:lang w:eastAsia="zh-CN"/>
        </w:rPr>
        <w:t>询比响应人</w:t>
      </w:r>
      <w:r>
        <w:rPr>
          <w:rFonts w:hint="eastAsia" w:ascii="宋体" w:hAnsi="宋体" w:eastAsia="宋体" w:cs="宋体"/>
          <w:color w:val="auto"/>
          <w:sz w:val="24"/>
          <w:highlight w:val="none"/>
        </w:rPr>
        <w:t>数量等于询比采购公告/询比采购邀请书第</w:t>
      </w:r>
      <w:r>
        <w:rPr>
          <w:rFonts w:hint="eastAsia" w:ascii="宋体" w:hAnsi="宋体" w:eastAsia="宋体" w:cs="宋体"/>
          <w:color w:val="auto"/>
          <w:sz w:val="24"/>
          <w:highlight w:val="none"/>
          <w:lang w:val="en-US" w:eastAsia="zh-CN" w:bidi="en-US"/>
        </w:rPr>
        <w:t xml:space="preserve">1- </w:t>
      </w:r>
      <w:r>
        <w:rPr>
          <w:rFonts w:hint="eastAsia" w:ascii="宋体" w:hAnsi="宋体" w:eastAsia="宋体" w:cs="宋体"/>
          <w:color w:val="auto"/>
          <w:sz w:val="24"/>
          <w:highlight w:val="none"/>
        </w:rPr>
        <w:t>6款规定的 成交</w:t>
      </w:r>
      <w:r>
        <w:rPr>
          <w:rFonts w:hint="eastAsia" w:ascii="宋体" w:hAnsi="宋体" w:eastAsia="宋体" w:cs="宋体"/>
          <w:color w:val="auto"/>
          <w:sz w:val="24"/>
          <w:highlight w:val="none"/>
          <w:lang w:eastAsia="zh-CN"/>
        </w:rPr>
        <w:t>询比响应人</w:t>
      </w:r>
      <w:r>
        <w:rPr>
          <w:rFonts w:hint="eastAsia" w:ascii="宋体" w:hAnsi="宋体" w:eastAsia="宋体" w:cs="宋体"/>
          <w:color w:val="auto"/>
          <w:sz w:val="24"/>
          <w:highlight w:val="none"/>
        </w:rPr>
        <w:t>数量时，可以改为参照直接采购方式继续评审选择成交</w:t>
      </w:r>
      <w:r>
        <w:rPr>
          <w:rFonts w:hint="eastAsia" w:ascii="宋体" w:hAnsi="宋体" w:eastAsia="宋体" w:cs="宋体"/>
          <w:color w:val="auto"/>
          <w:sz w:val="24"/>
          <w:highlight w:val="none"/>
          <w:lang w:eastAsia="zh-CN"/>
        </w:rPr>
        <w:t>询比响应人</w:t>
      </w:r>
      <w:r>
        <w:rPr>
          <w:rFonts w:hint="eastAsia" w:ascii="宋体" w:hAnsi="宋体" w:eastAsia="宋体" w:cs="宋体"/>
          <w:color w:val="auto"/>
          <w:sz w:val="24"/>
          <w:highlight w:val="none"/>
        </w:rPr>
        <w:t>。</w:t>
      </w:r>
    </w:p>
    <w:p>
      <w:pPr>
        <w:pStyle w:val="35"/>
        <w:pageBreakBefore w:val="0"/>
        <w:kinsoku/>
        <w:overflowPunct/>
        <w:topLinePunct w:val="0"/>
        <w:bidi w:val="0"/>
        <w:snapToGrid/>
        <w:spacing w:line="360" w:lineRule="auto"/>
        <w:ind w:firstLine="500"/>
        <w:rPr>
          <w:rFonts w:hint="eastAsia" w:ascii="宋体" w:hAnsi="宋体" w:eastAsia="宋体" w:cs="宋体"/>
          <w:color w:val="auto"/>
          <w:sz w:val="24"/>
          <w:highlight w:val="none"/>
        </w:rPr>
      </w:pPr>
      <w:r>
        <w:rPr>
          <w:rFonts w:hint="eastAsia" w:ascii="宋体" w:hAnsi="宋体" w:eastAsia="宋体" w:cs="宋体"/>
          <w:color w:val="auto"/>
          <w:sz w:val="24"/>
          <w:highlight w:val="none"/>
        </w:rPr>
        <w:t>当询比釆购公告/询比采购邀请书第</w:t>
      </w:r>
      <w:r>
        <w:rPr>
          <w:rFonts w:hint="eastAsia" w:ascii="宋体" w:hAnsi="宋体" w:eastAsia="宋体" w:cs="宋体"/>
          <w:color w:val="auto"/>
          <w:sz w:val="24"/>
          <w:highlight w:val="none"/>
          <w:lang w:val="en-US" w:eastAsia="zh-CN" w:bidi="en-US"/>
        </w:rPr>
        <w:t xml:space="preserve">1. </w:t>
      </w:r>
      <w:r>
        <w:rPr>
          <w:rFonts w:hint="eastAsia" w:ascii="宋体" w:hAnsi="宋体" w:eastAsia="宋体" w:cs="宋体"/>
          <w:color w:val="auto"/>
          <w:sz w:val="24"/>
          <w:highlight w:val="none"/>
        </w:rPr>
        <w:t>6款选择多家成交</w:t>
      </w:r>
      <w:r>
        <w:rPr>
          <w:rFonts w:hint="eastAsia" w:ascii="宋体" w:hAnsi="宋体" w:eastAsia="宋体" w:cs="宋体"/>
          <w:color w:val="auto"/>
          <w:sz w:val="24"/>
          <w:highlight w:val="none"/>
          <w:lang w:eastAsia="zh-CN"/>
        </w:rPr>
        <w:t>询比响应人</w:t>
      </w:r>
      <w:r>
        <w:rPr>
          <w:rFonts w:hint="eastAsia" w:ascii="宋体" w:hAnsi="宋体" w:eastAsia="宋体" w:cs="宋体"/>
          <w:color w:val="auto"/>
          <w:sz w:val="24"/>
          <w:highlight w:val="none"/>
        </w:rPr>
        <w:t xml:space="preserve">，通过初步评审的 </w:t>
      </w:r>
      <w:r>
        <w:rPr>
          <w:rFonts w:hint="eastAsia" w:ascii="宋体" w:hAnsi="宋体" w:eastAsia="宋体" w:cs="宋体"/>
          <w:color w:val="auto"/>
          <w:sz w:val="24"/>
          <w:highlight w:val="none"/>
          <w:lang w:eastAsia="zh-CN"/>
        </w:rPr>
        <w:t>询比响应人</w:t>
      </w:r>
      <w:r>
        <w:rPr>
          <w:rFonts w:hint="eastAsia" w:ascii="宋体" w:hAnsi="宋体" w:eastAsia="宋体" w:cs="宋体"/>
          <w:color w:val="auto"/>
          <w:sz w:val="24"/>
          <w:highlight w:val="none"/>
        </w:rPr>
        <w:t>数量小于约定成交</w:t>
      </w:r>
      <w:r>
        <w:rPr>
          <w:rFonts w:hint="eastAsia" w:ascii="宋体" w:hAnsi="宋体" w:eastAsia="宋体" w:cs="宋体"/>
          <w:color w:val="auto"/>
          <w:sz w:val="24"/>
          <w:highlight w:val="none"/>
          <w:lang w:eastAsia="zh-CN"/>
        </w:rPr>
        <w:t>询比响应人</w:t>
      </w:r>
      <w:r>
        <w:rPr>
          <w:rFonts w:hint="eastAsia" w:ascii="宋体" w:hAnsi="宋体" w:eastAsia="宋体" w:cs="宋体"/>
          <w:color w:val="auto"/>
          <w:sz w:val="24"/>
          <w:highlight w:val="none"/>
        </w:rPr>
        <w:t>数量且大于等于一家的，可以改为参照直接采购方式 继续评审选择一部分成交</w:t>
      </w:r>
      <w:r>
        <w:rPr>
          <w:rFonts w:hint="eastAsia" w:ascii="宋体" w:hAnsi="宋体" w:eastAsia="宋体" w:cs="宋体"/>
          <w:color w:val="auto"/>
          <w:sz w:val="24"/>
          <w:highlight w:val="none"/>
          <w:lang w:eastAsia="zh-CN"/>
        </w:rPr>
        <w:t>询比响应人</w:t>
      </w:r>
      <w:r>
        <w:rPr>
          <w:rFonts w:hint="eastAsia" w:ascii="宋体" w:hAnsi="宋体" w:eastAsia="宋体" w:cs="宋体"/>
          <w:color w:val="auto"/>
          <w:sz w:val="24"/>
          <w:highlight w:val="none"/>
        </w:rPr>
        <w:t>，或者终止全部采购，重新组织采购选择全部成交供 应商。</w:t>
      </w:r>
    </w:p>
    <w:p>
      <w:pPr>
        <w:pStyle w:val="35"/>
        <w:pageBreakBefore w:val="0"/>
        <w:kinsoku/>
        <w:overflowPunct/>
        <w:topLinePunct w:val="0"/>
        <w:bidi w:val="0"/>
        <w:snapToGrid/>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初步评审后，当所有响应文件均无效时，应重新组织采购。</w:t>
      </w:r>
    </w:p>
    <w:p>
      <w:pPr>
        <w:pStyle w:val="6"/>
        <w:pageBreakBefore w:val="0"/>
        <w:kinsoku/>
        <w:overflowPunct/>
        <w:topLinePunct w:val="0"/>
        <w:bidi w:val="0"/>
        <w:snapToGrid/>
        <w:spacing w:line="360" w:lineRule="auto"/>
        <w:rPr>
          <w:rFonts w:hint="eastAsia" w:ascii="宋体" w:hAnsi="宋体" w:eastAsia="宋体" w:cs="宋体"/>
          <w:color w:val="auto"/>
          <w:highlight w:val="none"/>
        </w:rPr>
      </w:pPr>
      <w:bookmarkStart w:id="245" w:name="_Toc8048"/>
      <w:bookmarkStart w:id="246" w:name="_Toc12639"/>
      <w:bookmarkStart w:id="247" w:name="bookmark1145"/>
      <w:bookmarkStart w:id="248" w:name="bookmark1144"/>
      <w:bookmarkStart w:id="249" w:name="bookmark1146"/>
      <w:r>
        <w:rPr>
          <w:rFonts w:hint="eastAsia" w:ascii="宋体" w:hAnsi="宋体" w:eastAsia="宋体" w:cs="宋体"/>
          <w:color w:val="auto"/>
          <w:highlight w:val="none"/>
        </w:rPr>
        <w:t>5.2 转换采购方式</w:t>
      </w:r>
      <w:bookmarkEnd w:id="245"/>
      <w:bookmarkEnd w:id="246"/>
      <w:bookmarkEnd w:id="247"/>
      <w:bookmarkEnd w:id="248"/>
      <w:bookmarkEnd w:id="249"/>
    </w:p>
    <w:p>
      <w:pPr>
        <w:pStyle w:val="35"/>
        <w:pageBreakBefore w:val="0"/>
        <w:kinsoku/>
        <w:overflowPunct/>
        <w:topLinePunct w:val="0"/>
        <w:bidi w:val="0"/>
        <w:snapToGrid/>
        <w:spacing w:line="360" w:lineRule="auto"/>
        <w:ind w:firstLine="420"/>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bidi="en-US"/>
        </w:rPr>
        <w:t>5.2.1</w:t>
      </w:r>
      <w:r>
        <w:rPr>
          <w:rFonts w:hint="eastAsia" w:ascii="宋体" w:hAnsi="宋体" w:eastAsia="宋体" w:cs="宋体"/>
          <w:color w:val="auto"/>
          <w:sz w:val="24"/>
          <w:highlight w:val="none"/>
        </w:rPr>
        <w:t>参照</w:t>
      </w:r>
      <w:r>
        <w:rPr>
          <w:rFonts w:hint="eastAsia" w:cs="宋体"/>
          <w:color w:val="auto"/>
          <w:sz w:val="24"/>
          <w:highlight w:val="none"/>
          <w:lang w:eastAsia="zh-CN"/>
        </w:rPr>
        <w:t>询比</w:t>
      </w:r>
      <w:r>
        <w:rPr>
          <w:rFonts w:hint="eastAsia" w:ascii="宋体" w:hAnsi="宋体" w:eastAsia="宋体" w:cs="宋体"/>
          <w:color w:val="auto"/>
          <w:sz w:val="24"/>
          <w:highlight w:val="none"/>
        </w:rPr>
        <w:t>釆购方式评审</w:t>
      </w:r>
    </w:p>
    <w:p>
      <w:pPr>
        <w:pStyle w:val="35"/>
        <w:pageBreakBefore w:val="0"/>
        <w:kinsoku/>
        <w:overflowPunct/>
        <w:topLinePunct w:val="0"/>
        <w:bidi w:val="0"/>
        <w:snapToGrid/>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lang w:val="en-US" w:eastAsia="zh-CN"/>
        </w:rPr>
        <w:t>1</w:t>
      </w:r>
      <w:r>
        <w:rPr>
          <w:rFonts w:hint="eastAsia" w:ascii="宋体" w:hAnsi="宋体" w:eastAsia="宋体" w:cs="宋体"/>
          <w:color w:val="auto"/>
          <w:sz w:val="24"/>
          <w:highlight w:val="none"/>
          <w:lang w:eastAsia="zh-CN"/>
        </w:rPr>
        <w:t>）</w:t>
      </w:r>
      <w:r>
        <w:rPr>
          <w:rFonts w:hint="eastAsia" w:cs="宋体"/>
          <w:color w:val="auto"/>
          <w:sz w:val="24"/>
          <w:highlight w:val="none"/>
          <w:lang w:eastAsia="zh-CN"/>
        </w:rPr>
        <w:t>询比</w:t>
      </w:r>
      <w:r>
        <w:rPr>
          <w:rFonts w:hint="eastAsia" w:ascii="宋体" w:hAnsi="宋体" w:eastAsia="宋体" w:cs="宋体"/>
          <w:color w:val="auto"/>
          <w:sz w:val="24"/>
          <w:highlight w:val="none"/>
        </w:rPr>
        <w:t>。</w:t>
      </w:r>
    </w:p>
    <w:p>
      <w:pPr>
        <w:pStyle w:val="35"/>
        <w:pageBreakBefore w:val="0"/>
        <w:tabs>
          <w:tab w:val="left" w:pos="1281"/>
        </w:tabs>
        <w:kinsoku/>
        <w:overflowPunct/>
        <w:topLinePunct w:val="0"/>
        <w:bidi w:val="0"/>
        <w:snapToGrid/>
        <w:spacing w:line="360" w:lineRule="auto"/>
        <w:ind w:firstLine="500"/>
        <w:rPr>
          <w:rFonts w:hint="eastAsia" w:ascii="宋体" w:hAnsi="宋体" w:eastAsia="宋体" w:cs="宋体"/>
          <w:color w:val="auto"/>
          <w:sz w:val="24"/>
          <w:highlight w:val="none"/>
        </w:rPr>
      </w:pPr>
      <w:bookmarkStart w:id="250" w:name="bookmark1148"/>
      <w:r>
        <w:rPr>
          <w:rFonts w:hint="eastAsia" w:ascii="宋体" w:hAnsi="宋体" w:eastAsia="宋体" w:cs="宋体"/>
          <w:color w:val="auto"/>
          <w:sz w:val="24"/>
          <w:highlight w:val="none"/>
        </w:rPr>
        <w:t>1</w:t>
      </w:r>
      <w:bookmarkEnd w:id="250"/>
      <w:r>
        <w:rPr>
          <w:rFonts w:hint="eastAsia" w:ascii="宋体" w:hAnsi="宋体" w:eastAsia="宋体" w:cs="宋体"/>
          <w:color w:val="auto"/>
          <w:sz w:val="24"/>
          <w:highlight w:val="none"/>
        </w:rPr>
        <w:t>）评审小组应按照</w:t>
      </w:r>
      <w:r>
        <w:rPr>
          <w:rFonts w:hint="eastAsia" w:ascii="宋体" w:hAnsi="宋体" w:eastAsia="宋体" w:cs="宋体"/>
          <w:color w:val="auto"/>
          <w:sz w:val="24"/>
          <w:highlight w:val="none"/>
          <w:lang w:eastAsia="zh-CN"/>
        </w:rPr>
        <w:t>询比响应人</w:t>
      </w:r>
      <w:r>
        <w:rPr>
          <w:rFonts w:hint="eastAsia" w:ascii="宋体" w:hAnsi="宋体" w:eastAsia="宋体" w:cs="宋体"/>
          <w:color w:val="auto"/>
          <w:sz w:val="24"/>
          <w:highlight w:val="none"/>
        </w:rPr>
        <w:t>递交响应文件的顺序或评审小组抽签确定的顺序与通过 初步评审的</w:t>
      </w:r>
      <w:r>
        <w:rPr>
          <w:rFonts w:hint="eastAsia" w:ascii="宋体" w:hAnsi="宋体" w:eastAsia="宋体" w:cs="宋体"/>
          <w:color w:val="auto"/>
          <w:sz w:val="24"/>
          <w:highlight w:val="none"/>
          <w:lang w:eastAsia="zh-CN"/>
        </w:rPr>
        <w:t>询比响应人</w:t>
      </w:r>
      <w:r>
        <w:rPr>
          <w:rFonts w:hint="eastAsia" w:ascii="宋体" w:hAnsi="宋体" w:eastAsia="宋体" w:cs="宋体"/>
          <w:color w:val="auto"/>
          <w:sz w:val="24"/>
          <w:highlight w:val="none"/>
        </w:rPr>
        <w:t>逐一进行</w:t>
      </w:r>
      <w:r>
        <w:rPr>
          <w:rFonts w:hint="eastAsia" w:cs="宋体"/>
          <w:color w:val="auto"/>
          <w:sz w:val="24"/>
          <w:highlight w:val="none"/>
          <w:lang w:eastAsia="zh-CN"/>
        </w:rPr>
        <w:t>询比</w:t>
      </w:r>
      <w:r>
        <w:rPr>
          <w:rFonts w:hint="eastAsia" w:ascii="宋体" w:hAnsi="宋体" w:eastAsia="宋体" w:cs="宋体"/>
          <w:color w:val="auto"/>
          <w:sz w:val="24"/>
          <w:highlight w:val="none"/>
        </w:rPr>
        <w:t>。评审小组可以根据</w:t>
      </w:r>
      <w:r>
        <w:rPr>
          <w:rFonts w:hint="eastAsia" w:cs="宋体"/>
          <w:color w:val="auto"/>
          <w:sz w:val="24"/>
          <w:highlight w:val="none"/>
          <w:lang w:eastAsia="zh-CN"/>
        </w:rPr>
        <w:t>询比</w:t>
      </w:r>
      <w:r>
        <w:rPr>
          <w:rFonts w:hint="eastAsia" w:ascii="宋体" w:hAnsi="宋体" w:eastAsia="宋体" w:cs="宋体"/>
          <w:color w:val="auto"/>
          <w:sz w:val="24"/>
          <w:highlight w:val="none"/>
        </w:rPr>
        <w:t>情况决定</w:t>
      </w:r>
      <w:r>
        <w:rPr>
          <w:rFonts w:hint="eastAsia" w:cs="宋体"/>
          <w:color w:val="auto"/>
          <w:sz w:val="24"/>
          <w:highlight w:val="none"/>
          <w:lang w:eastAsia="zh-CN"/>
        </w:rPr>
        <w:t>询比</w:t>
      </w:r>
      <w:r>
        <w:rPr>
          <w:rFonts w:hint="eastAsia" w:ascii="宋体" w:hAnsi="宋体" w:eastAsia="宋体" w:cs="宋体"/>
          <w:color w:val="auto"/>
          <w:sz w:val="24"/>
          <w:highlight w:val="none"/>
        </w:rPr>
        <w:t>轮次，并给予 所有参加</w:t>
      </w:r>
      <w:r>
        <w:rPr>
          <w:rFonts w:hint="eastAsia" w:cs="宋体"/>
          <w:color w:val="auto"/>
          <w:sz w:val="24"/>
          <w:highlight w:val="none"/>
          <w:lang w:eastAsia="zh-CN"/>
        </w:rPr>
        <w:t>询比</w:t>
      </w:r>
      <w:r>
        <w:rPr>
          <w:rFonts w:hint="eastAsia" w:ascii="宋体" w:hAnsi="宋体" w:eastAsia="宋体" w:cs="宋体"/>
          <w:color w:val="auto"/>
          <w:sz w:val="24"/>
          <w:highlight w:val="none"/>
        </w:rPr>
        <w:t>的</w:t>
      </w:r>
      <w:r>
        <w:rPr>
          <w:rFonts w:hint="eastAsia" w:ascii="宋体" w:hAnsi="宋体" w:eastAsia="宋体" w:cs="宋体"/>
          <w:color w:val="auto"/>
          <w:sz w:val="24"/>
          <w:highlight w:val="none"/>
          <w:lang w:eastAsia="zh-CN"/>
        </w:rPr>
        <w:t>询比响应人</w:t>
      </w:r>
      <w:r>
        <w:rPr>
          <w:rFonts w:hint="eastAsia" w:ascii="宋体" w:hAnsi="宋体" w:eastAsia="宋体" w:cs="宋体"/>
          <w:color w:val="auto"/>
          <w:sz w:val="24"/>
          <w:highlight w:val="none"/>
        </w:rPr>
        <w:t>平等的</w:t>
      </w:r>
      <w:r>
        <w:rPr>
          <w:rFonts w:hint="eastAsia" w:cs="宋体"/>
          <w:color w:val="auto"/>
          <w:sz w:val="24"/>
          <w:highlight w:val="none"/>
          <w:lang w:eastAsia="zh-CN"/>
        </w:rPr>
        <w:t>询比</w:t>
      </w:r>
      <w:r>
        <w:rPr>
          <w:rFonts w:hint="eastAsia" w:ascii="宋体" w:hAnsi="宋体" w:eastAsia="宋体" w:cs="宋体"/>
          <w:color w:val="auto"/>
          <w:sz w:val="24"/>
          <w:highlight w:val="none"/>
        </w:rPr>
        <w:t>机会。在</w:t>
      </w:r>
      <w:r>
        <w:rPr>
          <w:rFonts w:hint="eastAsia" w:cs="宋体"/>
          <w:color w:val="auto"/>
          <w:sz w:val="24"/>
          <w:highlight w:val="none"/>
          <w:lang w:eastAsia="zh-CN"/>
        </w:rPr>
        <w:t>询比</w:t>
      </w:r>
      <w:r>
        <w:rPr>
          <w:rFonts w:hint="eastAsia" w:ascii="宋体" w:hAnsi="宋体" w:eastAsia="宋体" w:cs="宋体"/>
          <w:color w:val="auto"/>
          <w:sz w:val="24"/>
          <w:highlight w:val="none"/>
        </w:rPr>
        <w:t>过程中，评审小组可根据</w:t>
      </w:r>
      <w:r>
        <w:rPr>
          <w:rFonts w:hint="eastAsia" w:cs="宋体"/>
          <w:color w:val="auto"/>
          <w:sz w:val="24"/>
          <w:highlight w:val="none"/>
          <w:lang w:eastAsia="zh-CN"/>
        </w:rPr>
        <w:t>询比</w:t>
      </w:r>
      <w:r>
        <w:rPr>
          <w:rFonts w:hint="eastAsia" w:ascii="宋体" w:hAnsi="宋体" w:eastAsia="宋体" w:cs="宋体"/>
          <w:color w:val="auto"/>
          <w:sz w:val="24"/>
          <w:highlight w:val="none"/>
        </w:rPr>
        <w:t>情况修 改和补充采购文件中的非实质性内容，但不得改变评审标准或可能影响初步评审结果 的内容。</w:t>
      </w:r>
    </w:p>
    <w:p>
      <w:pPr>
        <w:pStyle w:val="35"/>
        <w:pageBreakBefore w:val="0"/>
        <w:tabs>
          <w:tab w:val="left" w:pos="1281"/>
        </w:tabs>
        <w:kinsoku/>
        <w:overflowPunct/>
        <w:topLinePunct w:val="0"/>
        <w:bidi w:val="0"/>
        <w:snapToGrid/>
        <w:spacing w:line="360" w:lineRule="auto"/>
        <w:ind w:firstLine="500"/>
        <w:rPr>
          <w:rFonts w:hint="eastAsia" w:ascii="宋体" w:hAnsi="宋体" w:eastAsia="宋体" w:cs="宋体"/>
          <w:color w:val="auto"/>
          <w:sz w:val="24"/>
          <w:highlight w:val="none"/>
        </w:rPr>
      </w:pPr>
      <w:bookmarkStart w:id="251" w:name="bookmark1149"/>
      <w:r>
        <w:rPr>
          <w:rFonts w:hint="eastAsia" w:ascii="宋体" w:hAnsi="宋体" w:eastAsia="宋体" w:cs="宋体"/>
          <w:color w:val="auto"/>
          <w:sz w:val="24"/>
          <w:highlight w:val="none"/>
        </w:rPr>
        <w:t>2</w:t>
      </w:r>
      <w:bookmarkEnd w:id="251"/>
      <w:r>
        <w:rPr>
          <w:rFonts w:hint="eastAsia" w:ascii="宋体" w:hAnsi="宋体" w:eastAsia="宋体" w:cs="宋体"/>
          <w:color w:val="auto"/>
          <w:sz w:val="24"/>
          <w:highlight w:val="none"/>
        </w:rPr>
        <w:t>）</w:t>
      </w:r>
      <w:r>
        <w:rPr>
          <w:rFonts w:hint="eastAsia" w:ascii="宋体" w:hAnsi="宋体" w:eastAsia="宋体" w:cs="宋体"/>
          <w:color w:val="auto"/>
          <w:sz w:val="24"/>
          <w:highlight w:val="none"/>
          <w:lang w:eastAsia="zh-CN"/>
        </w:rPr>
        <w:t>询比响应人</w:t>
      </w:r>
      <w:r>
        <w:rPr>
          <w:rFonts w:hint="eastAsia" w:ascii="宋体" w:hAnsi="宋体" w:eastAsia="宋体" w:cs="宋体"/>
          <w:color w:val="auto"/>
          <w:sz w:val="24"/>
          <w:highlight w:val="none"/>
        </w:rPr>
        <w:t>的法定代表人（单位负责人）或其授权的代理人应参加</w:t>
      </w:r>
      <w:r>
        <w:rPr>
          <w:rFonts w:hint="eastAsia" w:cs="宋体"/>
          <w:color w:val="auto"/>
          <w:sz w:val="24"/>
          <w:highlight w:val="none"/>
          <w:lang w:eastAsia="zh-CN"/>
        </w:rPr>
        <w:t>询比</w:t>
      </w:r>
      <w:r>
        <w:rPr>
          <w:rFonts w:hint="eastAsia" w:ascii="宋体" w:hAnsi="宋体" w:eastAsia="宋体" w:cs="宋体"/>
          <w:color w:val="auto"/>
          <w:sz w:val="24"/>
          <w:highlight w:val="none"/>
        </w:rPr>
        <w:t>。</w:t>
      </w:r>
      <w:r>
        <w:rPr>
          <w:rFonts w:hint="eastAsia" w:ascii="宋体" w:hAnsi="宋体" w:eastAsia="宋体" w:cs="宋体"/>
          <w:color w:val="auto"/>
          <w:sz w:val="24"/>
          <w:highlight w:val="none"/>
          <w:lang w:eastAsia="zh-CN"/>
        </w:rPr>
        <w:t>询比响应人</w:t>
      </w:r>
      <w:r>
        <w:rPr>
          <w:rFonts w:hint="eastAsia" w:ascii="宋体" w:hAnsi="宋体" w:eastAsia="宋体" w:cs="宋体"/>
          <w:color w:val="auto"/>
          <w:sz w:val="24"/>
          <w:highlight w:val="none"/>
        </w:rPr>
        <w:t xml:space="preserve"> 的法定代表人（单位负责人）或其授权的代理人在</w:t>
      </w:r>
      <w:r>
        <w:rPr>
          <w:rFonts w:hint="eastAsia" w:cs="宋体"/>
          <w:color w:val="auto"/>
          <w:sz w:val="24"/>
          <w:highlight w:val="none"/>
          <w:lang w:eastAsia="zh-CN"/>
        </w:rPr>
        <w:t>询比</w:t>
      </w:r>
      <w:r>
        <w:rPr>
          <w:rFonts w:hint="eastAsia" w:ascii="宋体" w:hAnsi="宋体" w:eastAsia="宋体" w:cs="宋体"/>
          <w:color w:val="auto"/>
          <w:sz w:val="24"/>
          <w:highlight w:val="none"/>
        </w:rPr>
        <w:t>中作岀的承诺构成响应文件的 组成部分。</w:t>
      </w:r>
    </w:p>
    <w:p>
      <w:pPr>
        <w:pStyle w:val="35"/>
        <w:pageBreakBefore w:val="0"/>
        <w:tabs>
          <w:tab w:val="left" w:pos="358"/>
        </w:tabs>
        <w:kinsoku/>
        <w:overflowPunct/>
        <w:topLinePunct w:val="0"/>
        <w:bidi w:val="0"/>
        <w:snapToGrid/>
        <w:spacing w:line="360" w:lineRule="auto"/>
        <w:ind w:firstLine="480" w:firstLineChars="200"/>
        <w:rPr>
          <w:rFonts w:hint="eastAsia" w:ascii="宋体" w:hAnsi="宋体" w:eastAsia="宋体" w:cs="宋体"/>
          <w:color w:val="auto"/>
          <w:sz w:val="24"/>
          <w:highlight w:val="none"/>
        </w:rPr>
      </w:pPr>
      <w:bookmarkStart w:id="252" w:name="bookmark1150"/>
      <w:r>
        <w:rPr>
          <w:rFonts w:hint="eastAsia" w:ascii="宋体" w:hAnsi="宋体" w:eastAsia="宋体" w:cs="宋体"/>
          <w:color w:val="auto"/>
          <w:sz w:val="24"/>
          <w:highlight w:val="none"/>
        </w:rPr>
        <w:t>3</w:t>
      </w:r>
      <w:bookmarkEnd w:id="252"/>
      <w:r>
        <w:rPr>
          <w:rFonts w:hint="eastAsia" w:ascii="宋体" w:hAnsi="宋体" w:eastAsia="宋体" w:cs="宋体"/>
          <w:color w:val="auto"/>
          <w:sz w:val="24"/>
          <w:highlight w:val="none"/>
        </w:rPr>
        <w:t>）</w:t>
      </w:r>
      <w:r>
        <w:rPr>
          <w:rFonts w:hint="eastAsia" w:cs="宋体"/>
          <w:color w:val="auto"/>
          <w:sz w:val="24"/>
          <w:highlight w:val="none"/>
          <w:lang w:eastAsia="zh-CN"/>
        </w:rPr>
        <w:t>询比</w:t>
      </w:r>
      <w:r>
        <w:rPr>
          <w:rFonts w:hint="eastAsia" w:ascii="宋体" w:hAnsi="宋体" w:eastAsia="宋体" w:cs="宋体"/>
          <w:color w:val="auto"/>
          <w:sz w:val="24"/>
          <w:highlight w:val="none"/>
        </w:rPr>
        <w:t>结束后，评审小组将要求所有参加</w:t>
      </w:r>
      <w:r>
        <w:rPr>
          <w:rFonts w:hint="eastAsia" w:cs="宋体"/>
          <w:color w:val="auto"/>
          <w:sz w:val="24"/>
          <w:highlight w:val="none"/>
          <w:lang w:eastAsia="zh-CN"/>
        </w:rPr>
        <w:t>询比</w:t>
      </w:r>
      <w:r>
        <w:rPr>
          <w:rFonts w:hint="eastAsia" w:ascii="宋体" w:hAnsi="宋体" w:eastAsia="宋体" w:cs="宋体"/>
          <w:color w:val="auto"/>
          <w:sz w:val="24"/>
          <w:highlight w:val="none"/>
        </w:rPr>
        <w:t>的</w:t>
      </w:r>
      <w:r>
        <w:rPr>
          <w:rFonts w:hint="eastAsia" w:ascii="宋体" w:hAnsi="宋体" w:eastAsia="宋体" w:cs="宋体"/>
          <w:color w:val="auto"/>
          <w:sz w:val="24"/>
          <w:highlight w:val="none"/>
          <w:lang w:eastAsia="zh-CN"/>
        </w:rPr>
        <w:t>询比响应人</w:t>
      </w:r>
      <w:r>
        <w:rPr>
          <w:rFonts w:hint="eastAsia" w:ascii="宋体" w:hAnsi="宋体" w:eastAsia="宋体" w:cs="宋体"/>
          <w:color w:val="auto"/>
          <w:sz w:val="24"/>
          <w:highlight w:val="none"/>
        </w:rPr>
        <w:t>在规定时间内递交最终报 价。最终报价应由</w:t>
      </w:r>
      <w:r>
        <w:rPr>
          <w:rFonts w:hint="eastAsia" w:ascii="宋体" w:hAnsi="宋体" w:eastAsia="宋体" w:cs="宋体"/>
          <w:color w:val="auto"/>
          <w:sz w:val="24"/>
          <w:highlight w:val="none"/>
          <w:lang w:eastAsia="zh-CN"/>
        </w:rPr>
        <w:t>询比响应人</w:t>
      </w:r>
      <w:r>
        <w:rPr>
          <w:rFonts w:hint="eastAsia" w:ascii="宋体" w:hAnsi="宋体" w:eastAsia="宋体" w:cs="宋体"/>
          <w:color w:val="auto"/>
          <w:sz w:val="24"/>
          <w:highlight w:val="none"/>
        </w:rPr>
        <w:t>的法定代表人（单位负责人）或其授权的代理人签字或加盖 单位章。最终报价是</w:t>
      </w:r>
      <w:r>
        <w:rPr>
          <w:rFonts w:hint="eastAsia" w:ascii="宋体" w:hAnsi="宋体" w:eastAsia="宋体" w:cs="宋体"/>
          <w:color w:val="auto"/>
          <w:sz w:val="24"/>
          <w:highlight w:val="none"/>
          <w:lang w:eastAsia="zh-CN"/>
        </w:rPr>
        <w:t>询比响应人</w:t>
      </w:r>
      <w:r>
        <w:rPr>
          <w:rFonts w:hint="eastAsia" w:ascii="宋体" w:hAnsi="宋体" w:eastAsia="宋体" w:cs="宋体"/>
          <w:color w:val="auto"/>
          <w:sz w:val="24"/>
          <w:highlight w:val="none"/>
        </w:rPr>
        <w:t>响应文件的组成部分。</w:t>
      </w:r>
    </w:p>
    <w:p>
      <w:pPr>
        <w:pageBreakBefore w:val="0"/>
        <w:kinsoku/>
        <w:overflowPunct/>
        <w:topLinePunct w:val="0"/>
        <w:bidi w:val="0"/>
        <w:snapToGrid/>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br w:type="page"/>
      </w:r>
    </w:p>
    <w:p>
      <w:pPr>
        <w:pStyle w:val="35"/>
        <w:pageBreakBefore w:val="0"/>
        <w:tabs>
          <w:tab w:val="left" w:pos="1266"/>
        </w:tabs>
        <w:kinsoku/>
        <w:overflowPunct/>
        <w:topLinePunct w:val="0"/>
        <w:bidi w:val="0"/>
        <w:snapToGrid/>
        <w:spacing w:line="360" w:lineRule="auto"/>
        <w:ind w:firstLine="480" w:firstLineChars="200"/>
        <w:rPr>
          <w:rFonts w:hint="eastAsia" w:ascii="宋体" w:hAnsi="宋体" w:eastAsia="宋体" w:cs="宋体"/>
          <w:color w:val="auto"/>
          <w:highlight w:val="none"/>
        </w:rPr>
      </w:pP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lang w:val="en-US" w:eastAsia="zh-CN"/>
        </w:rPr>
        <w:t>2</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rPr>
        <w:t>公开开启最终报价。</w:t>
      </w:r>
    </w:p>
    <w:p>
      <w:pPr>
        <w:pStyle w:val="35"/>
        <w:pageBreakBefore w:val="0"/>
        <w:kinsoku/>
        <w:overflowPunct/>
        <w:topLinePunct w:val="0"/>
        <w:bidi w:val="0"/>
        <w:snapToGrid/>
        <w:spacing w:line="360" w:lineRule="auto"/>
        <w:ind w:firstLine="500"/>
        <w:rPr>
          <w:rFonts w:hint="eastAsia" w:ascii="宋体" w:hAnsi="宋体" w:eastAsia="宋体" w:cs="宋体"/>
          <w:color w:val="auto"/>
          <w:highlight w:val="none"/>
        </w:rPr>
      </w:pPr>
      <w:r>
        <w:rPr>
          <w:rFonts w:hint="eastAsia" w:ascii="宋体" w:hAnsi="宋体" w:eastAsia="宋体" w:cs="宋体"/>
          <w:color w:val="auto"/>
          <w:sz w:val="24"/>
          <w:highlight w:val="none"/>
        </w:rPr>
        <w:t>评审小组将在递交最终报价的截止时间公开开启最终报价，</w:t>
      </w:r>
      <w:r>
        <w:rPr>
          <w:rFonts w:hint="eastAsia" w:ascii="宋体" w:hAnsi="宋体" w:eastAsia="宋体" w:cs="宋体"/>
          <w:color w:val="auto"/>
          <w:sz w:val="24"/>
          <w:highlight w:val="none"/>
          <w:lang w:eastAsia="zh-CN"/>
        </w:rPr>
        <w:t>询比响应人</w:t>
      </w:r>
      <w:r>
        <w:rPr>
          <w:rFonts w:hint="eastAsia" w:ascii="宋体" w:hAnsi="宋体" w:eastAsia="宋体" w:cs="宋体"/>
          <w:color w:val="auto"/>
          <w:sz w:val="24"/>
          <w:highlight w:val="none"/>
        </w:rPr>
        <w:t>未派代表参加 开启会议的，视为默认开启结果。</w:t>
      </w:r>
    </w:p>
    <w:p>
      <w:pPr>
        <w:pStyle w:val="35"/>
        <w:pageBreakBefore w:val="0"/>
        <w:tabs>
          <w:tab w:val="left" w:pos="1266"/>
        </w:tabs>
        <w:kinsoku/>
        <w:overflowPunct/>
        <w:topLinePunct w:val="0"/>
        <w:bidi w:val="0"/>
        <w:snapToGrid/>
        <w:spacing w:line="360" w:lineRule="auto"/>
        <w:ind w:firstLine="480" w:firstLineChars="200"/>
        <w:rPr>
          <w:rFonts w:hint="eastAsia" w:ascii="宋体" w:hAnsi="宋体" w:eastAsia="宋体" w:cs="宋体"/>
          <w:color w:val="auto"/>
          <w:highlight w:val="none"/>
        </w:rPr>
      </w:pPr>
      <w:bookmarkStart w:id="253" w:name="bookmark1152"/>
      <w:bookmarkEnd w:id="253"/>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lang w:val="en-US" w:eastAsia="zh-CN"/>
        </w:rPr>
        <w:t>3</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rPr>
        <w:t>详细评审。</w:t>
      </w:r>
    </w:p>
    <w:p>
      <w:pPr>
        <w:pStyle w:val="35"/>
        <w:pageBreakBefore w:val="0"/>
        <w:kinsoku/>
        <w:overflowPunct/>
        <w:topLinePunct w:val="0"/>
        <w:bidi w:val="0"/>
        <w:snapToGrid/>
        <w:spacing w:line="360" w:lineRule="auto"/>
        <w:ind w:firstLine="500"/>
        <w:rPr>
          <w:rFonts w:hint="eastAsia" w:ascii="宋体" w:hAnsi="宋体" w:eastAsia="宋体" w:cs="宋体"/>
          <w:color w:val="auto"/>
          <w:highlight w:val="none"/>
        </w:rPr>
      </w:pPr>
      <w:r>
        <w:rPr>
          <w:rFonts w:hint="eastAsia" w:ascii="宋体" w:hAnsi="宋体" w:eastAsia="宋体" w:cs="宋体"/>
          <w:color w:val="auto"/>
          <w:sz w:val="24"/>
          <w:highlight w:val="none"/>
        </w:rPr>
        <w:t>评审小组将按本章第3条规定对响应文件及其最终报价进行详细评审。采用综合 评分法的，评审小组有权对本章第</w:t>
      </w:r>
      <w:r>
        <w:rPr>
          <w:rFonts w:hint="eastAsia" w:ascii="宋体" w:hAnsi="宋体" w:eastAsia="宋体" w:cs="宋体"/>
          <w:color w:val="auto"/>
          <w:sz w:val="24"/>
          <w:highlight w:val="none"/>
          <w:lang w:val="en-US" w:eastAsia="zh-CN" w:bidi="en-US"/>
        </w:rPr>
        <w:t xml:space="preserve">3. </w:t>
      </w:r>
      <w:r>
        <w:rPr>
          <w:rFonts w:hint="eastAsia" w:ascii="宋体" w:hAnsi="宋体" w:eastAsia="宋体" w:cs="宋体"/>
          <w:color w:val="auto"/>
          <w:sz w:val="24"/>
          <w:highlight w:val="none"/>
        </w:rPr>
        <w:t>2项规定的评审基准价和第</w:t>
      </w:r>
      <w:r>
        <w:rPr>
          <w:rFonts w:hint="eastAsia" w:ascii="宋体" w:hAnsi="宋体" w:eastAsia="宋体" w:cs="宋体"/>
          <w:color w:val="auto"/>
          <w:sz w:val="24"/>
          <w:highlight w:val="none"/>
          <w:lang w:val="en-US" w:eastAsia="zh-CN" w:bidi="en-US"/>
        </w:rPr>
        <w:t xml:space="preserve">3. </w:t>
      </w:r>
      <w:r>
        <w:rPr>
          <w:rFonts w:hint="eastAsia" w:ascii="宋体" w:hAnsi="宋体" w:eastAsia="宋体" w:cs="宋体"/>
          <w:color w:val="auto"/>
          <w:sz w:val="24"/>
          <w:highlight w:val="none"/>
        </w:rPr>
        <w:t>3 (3)目规定的报 价评分标准进行调整，但评审小组应在</w:t>
      </w:r>
      <w:r>
        <w:rPr>
          <w:rFonts w:hint="eastAsia" w:cs="宋体"/>
          <w:color w:val="auto"/>
          <w:sz w:val="24"/>
          <w:highlight w:val="none"/>
          <w:lang w:eastAsia="zh-CN"/>
        </w:rPr>
        <w:t>询比</w:t>
      </w:r>
      <w:r>
        <w:rPr>
          <w:rFonts w:hint="eastAsia" w:ascii="宋体" w:hAnsi="宋体" w:eastAsia="宋体" w:cs="宋体"/>
          <w:color w:val="auto"/>
          <w:sz w:val="24"/>
          <w:highlight w:val="none"/>
        </w:rPr>
        <w:t>开始前向</w:t>
      </w:r>
      <w:r>
        <w:rPr>
          <w:rFonts w:hint="eastAsia" w:ascii="宋体" w:hAnsi="宋体" w:eastAsia="宋体" w:cs="宋体"/>
          <w:color w:val="auto"/>
          <w:sz w:val="24"/>
          <w:highlight w:val="none"/>
          <w:lang w:eastAsia="zh-CN"/>
        </w:rPr>
        <w:t>询比响应人</w:t>
      </w:r>
      <w:r>
        <w:rPr>
          <w:rFonts w:hint="eastAsia" w:ascii="宋体" w:hAnsi="宋体" w:eastAsia="宋体" w:cs="宋体"/>
          <w:color w:val="auto"/>
          <w:sz w:val="24"/>
          <w:highlight w:val="none"/>
        </w:rPr>
        <w:t>公布，未公布的，视为评 审基准价和报价评分标准不作调整；详细评审标准中除报价评审标准外的其他评审标 准不作调整。</w:t>
      </w:r>
    </w:p>
    <w:p>
      <w:pPr>
        <w:pStyle w:val="35"/>
        <w:pageBreakBefore w:val="0"/>
        <w:kinsoku/>
        <w:overflowPunct/>
        <w:topLinePunct w:val="0"/>
        <w:bidi w:val="0"/>
        <w:snapToGrid/>
        <w:spacing w:line="360" w:lineRule="auto"/>
        <w:ind w:firstLine="500"/>
        <w:rPr>
          <w:rFonts w:hint="eastAsia" w:ascii="宋体" w:hAnsi="宋体" w:eastAsia="宋体" w:cs="宋体"/>
          <w:color w:val="auto"/>
          <w:highlight w:val="none"/>
        </w:rPr>
      </w:pPr>
      <w:r>
        <w:rPr>
          <w:rFonts w:hint="eastAsia" w:ascii="宋体" w:hAnsi="宋体" w:eastAsia="宋体" w:cs="宋体"/>
          <w:color w:val="auto"/>
          <w:sz w:val="24"/>
          <w:highlight w:val="none"/>
        </w:rPr>
        <w:t>通过</w:t>
      </w:r>
      <w:r>
        <w:rPr>
          <w:rFonts w:hint="eastAsia" w:cs="宋体"/>
          <w:color w:val="auto"/>
          <w:sz w:val="24"/>
          <w:highlight w:val="none"/>
          <w:lang w:eastAsia="zh-CN"/>
        </w:rPr>
        <w:t>询比</w:t>
      </w:r>
      <w:r>
        <w:rPr>
          <w:rFonts w:hint="eastAsia" w:ascii="宋体" w:hAnsi="宋体" w:eastAsia="宋体" w:cs="宋体"/>
          <w:color w:val="auto"/>
          <w:sz w:val="24"/>
          <w:highlight w:val="none"/>
        </w:rPr>
        <w:t>后，评审小组认为所有</w:t>
      </w:r>
      <w:r>
        <w:rPr>
          <w:rFonts w:hint="eastAsia" w:ascii="宋体" w:hAnsi="宋体" w:eastAsia="宋体" w:cs="宋体"/>
          <w:color w:val="auto"/>
          <w:sz w:val="24"/>
          <w:highlight w:val="none"/>
          <w:lang w:eastAsia="zh-CN"/>
        </w:rPr>
        <w:t>询比响应人</w:t>
      </w:r>
      <w:r>
        <w:rPr>
          <w:rFonts w:hint="eastAsia" w:ascii="宋体" w:hAnsi="宋体" w:eastAsia="宋体" w:cs="宋体"/>
          <w:color w:val="auto"/>
          <w:sz w:val="24"/>
          <w:highlight w:val="none"/>
        </w:rPr>
        <w:t>的最终报价仍然不合理的，应向釆购人提 出终止采购建议。</w:t>
      </w:r>
    </w:p>
    <w:p>
      <w:pPr>
        <w:pStyle w:val="35"/>
        <w:pageBreakBefore w:val="0"/>
        <w:tabs>
          <w:tab w:val="left" w:pos="1266"/>
        </w:tabs>
        <w:kinsoku/>
        <w:overflowPunct/>
        <w:topLinePunct w:val="0"/>
        <w:bidi w:val="0"/>
        <w:snapToGrid/>
        <w:spacing w:line="360" w:lineRule="auto"/>
        <w:ind w:firstLine="480" w:firstLineChars="200"/>
        <w:rPr>
          <w:rFonts w:hint="eastAsia" w:ascii="宋体" w:hAnsi="宋体" w:eastAsia="宋体" w:cs="宋体"/>
          <w:color w:val="auto"/>
          <w:highlight w:val="none"/>
        </w:rPr>
      </w:pPr>
      <w:bookmarkStart w:id="254" w:name="bookmark1153"/>
      <w:bookmarkEnd w:id="254"/>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lang w:val="en-US" w:eastAsia="zh-CN"/>
        </w:rPr>
        <w:t>4</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rPr>
        <w:t>编写评审报告。</w:t>
      </w:r>
    </w:p>
    <w:p>
      <w:pPr>
        <w:pStyle w:val="35"/>
        <w:pageBreakBefore w:val="0"/>
        <w:kinsoku/>
        <w:overflowPunct/>
        <w:topLinePunct w:val="0"/>
        <w:bidi w:val="0"/>
        <w:snapToGrid/>
        <w:spacing w:line="360" w:lineRule="auto"/>
        <w:ind w:firstLine="500"/>
        <w:rPr>
          <w:rFonts w:hint="eastAsia" w:ascii="宋体" w:hAnsi="宋体" w:eastAsia="宋体" w:cs="宋体"/>
          <w:color w:val="auto"/>
          <w:highlight w:val="none"/>
        </w:rPr>
      </w:pPr>
      <w:r>
        <w:rPr>
          <w:rFonts w:hint="eastAsia" w:ascii="宋体" w:hAnsi="宋体" w:eastAsia="宋体" w:cs="宋体"/>
          <w:color w:val="auto"/>
          <w:sz w:val="24"/>
          <w:highlight w:val="none"/>
        </w:rPr>
        <w:t>评审小组按本章第</w:t>
      </w:r>
      <w:r>
        <w:rPr>
          <w:rFonts w:hint="eastAsia" w:ascii="宋体" w:hAnsi="宋体" w:eastAsia="宋体" w:cs="宋体"/>
          <w:color w:val="auto"/>
          <w:sz w:val="24"/>
          <w:highlight w:val="none"/>
          <w:lang w:val="en-US" w:eastAsia="zh-CN" w:bidi="en-US"/>
        </w:rPr>
        <w:t>4.2</w:t>
      </w:r>
      <w:r>
        <w:rPr>
          <w:rFonts w:hint="eastAsia" w:ascii="宋体" w:hAnsi="宋体" w:eastAsia="宋体" w:cs="宋体"/>
          <w:color w:val="auto"/>
          <w:sz w:val="24"/>
          <w:highlight w:val="none"/>
        </w:rPr>
        <w:t>款规定推荐候选成交</w:t>
      </w:r>
      <w:r>
        <w:rPr>
          <w:rFonts w:hint="eastAsia" w:ascii="宋体" w:hAnsi="宋体" w:eastAsia="宋体" w:cs="宋体"/>
          <w:color w:val="auto"/>
          <w:sz w:val="24"/>
          <w:highlight w:val="none"/>
          <w:lang w:eastAsia="zh-CN"/>
        </w:rPr>
        <w:t>询比响应人</w:t>
      </w:r>
      <w:r>
        <w:rPr>
          <w:rFonts w:hint="eastAsia" w:ascii="宋体" w:hAnsi="宋体" w:eastAsia="宋体" w:cs="宋体"/>
          <w:color w:val="auto"/>
          <w:sz w:val="24"/>
          <w:highlight w:val="none"/>
        </w:rPr>
        <w:t>或按本章第</w:t>
      </w:r>
      <w:r>
        <w:rPr>
          <w:rFonts w:hint="eastAsia" w:ascii="宋体" w:hAnsi="宋体" w:eastAsia="宋体" w:cs="宋体"/>
          <w:color w:val="auto"/>
          <w:sz w:val="24"/>
          <w:highlight w:val="none"/>
          <w:lang w:val="en-US" w:eastAsia="zh-CN" w:bidi="en-US"/>
        </w:rPr>
        <w:t xml:space="preserve">5.2. </w:t>
      </w:r>
      <w:r>
        <w:rPr>
          <w:rFonts w:hint="eastAsia" w:ascii="宋体" w:hAnsi="宋体" w:eastAsia="宋体" w:cs="宋体"/>
          <w:color w:val="auto"/>
          <w:sz w:val="24"/>
          <w:highlight w:val="none"/>
        </w:rPr>
        <w:t>1 (3)规定提 出终止采购建议，并向</w:t>
      </w:r>
      <w:r>
        <w:rPr>
          <w:rFonts w:hint="eastAsia" w:cs="宋体"/>
          <w:color w:val="auto"/>
          <w:sz w:val="24"/>
          <w:highlight w:val="none"/>
          <w:lang w:eastAsia="zh-CN"/>
        </w:rPr>
        <w:t>招标人</w:t>
      </w:r>
      <w:r>
        <w:rPr>
          <w:rFonts w:hint="eastAsia" w:ascii="宋体" w:hAnsi="宋体" w:eastAsia="宋体" w:cs="宋体"/>
          <w:color w:val="auto"/>
          <w:sz w:val="24"/>
          <w:highlight w:val="none"/>
        </w:rPr>
        <w:t>提交书面评审报告。</w:t>
      </w:r>
    </w:p>
    <w:p>
      <w:pPr>
        <w:pStyle w:val="35"/>
        <w:pageBreakBefore w:val="0"/>
        <w:kinsoku/>
        <w:overflowPunct/>
        <w:topLinePunct w:val="0"/>
        <w:bidi w:val="0"/>
        <w:snapToGrid/>
        <w:spacing w:line="360" w:lineRule="auto"/>
        <w:jc w:val="left"/>
        <w:rPr>
          <w:rFonts w:hint="eastAsia" w:ascii="宋体" w:hAnsi="宋体" w:eastAsia="宋体" w:cs="宋体"/>
          <w:color w:val="auto"/>
          <w:highlight w:val="none"/>
        </w:rPr>
      </w:pPr>
      <w:r>
        <w:rPr>
          <w:rFonts w:hint="eastAsia" w:ascii="宋体" w:hAnsi="宋体" w:eastAsia="宋体" w:cs="宋体"/>
          <w:color w:val="auto"/>
          <w:sz w:val="24"/>
          <w:highlight w:val="none"/>
          <w:lang w:val="en-US" w:eastAsia="en-US" w:bidi="en-US"/>
        </w:rPr>
        <w:t>5.2.</w:t>
      </w:r>
      <w:r>
        <w:rPr>
          <w:rFonts w:hint="eastAsia" w:ascii="宋体" w:hAnsi="宋体" w:eastAsia="宋体" w:cs="宋体"/>
          <w:color w:val="auto"/>
          <w:sz w:val="24"/>
          <w:highlight w:val="none"/>
        </w:rPr>
        <w:t>2参照直接釆购方式评审</w:t>
      </w:r>
    </w:p>
    <w:p>
      <w:pPr>
        <w:pStyle w:val="35"/>
        <w:pageBreakBefore w:val="0"/>
        <w:tabs>
          <w:tab w:val="left" w:pos="1271"/>
        </w:tabs>
        <w:kinsoku/>
        <w:overflowPunct/>
        <w:topLinePunct w:val="0"/>
        <w:bidi w:val="0"/>
        <w:snapToGrid/>
        <w:spacing w:line="360" w:lineRule="auto"/>
        <w:ind w:firstLine="480" w:firstLineChars="200"/>
        <w:rPr>
          <w:rFonts w:hint="eastAsia" w:ascii="宋体" w:hAnsi="宋体" w:eastAsia="宋体" w:cs="宋体"/>
          <w:color w:val="auto"/>
          <w:highlight w:val="none"/>
        </w:rPr>
      </w:pPr>
      <w:bookmarkStart w:id="255" w:name="bookmark1154"/>
      <w:bookmarkEnd w:id="255"/>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lang w:val="en-US" w:eastAsia="zh-CN"/>
        </w:rPr>
        <w:t>1</w:t>
      </w:r>
      <w:r>
        <w:rPr>
          <w:rFonts w:hint="eastAsia" w:ascii="宋体" w:hAnsi="宋体" w:eastAsia="宋体" w:cs="宋体"/>
          <w:color w:val="auto"/>
          <w:sz w:val="24"/>
          <w:highlight w:val="none"/>
          <w:lang w:eastAsia="zh-CN"/>
        </w:rPr>
        <w:t>）</w:t>
      </w:r>
      <w:r>
        <w:rPr>
          <w:rFonts w:hint="eastAsia" w:cs="宋体"/>
          <w:color w:val="auto"/>
          <w:sz w:val="24"/>
          <w:highlight w:val="none"/>
          <w:lang w:eastAsia="zh-CN"/>
        </w:rPr>
        <w:t>询比</w:t>
      </w:r>
      <w:r>
        <w:rPr>
          <w:rFonts w:hint="eastAsia" w:ascii="宋体" w:hAnsi="宋体" w:eastAsia="宋体" w:cs="宋体"/>
          <w:color w:val="auto"/>
          <w:sz w:val="24"/>
          <w:highlight w:val="none"/>
        </w:rPr>
        <w:t>。</w:t>
      </w:r>
    </w:p>
    <w:p>
      <w:pPr>
        <w:pStyle w:val="35"/>
        <w:pageBreakBefore w:val="0"/>
        <w:kinsoku/>
        <w:overflowPunct/>
        <w:topLinePunct w:val="0"/>
        <w:bidi w:val="0"/>
        <w:snapToGrid/>
        <w:spacing w:line="360" w:lineRule="auto"/>
        <w:ind w:firstLine="500"/>
        <w:rPr>
          <w:rFonts w:hint="eastAsia" w:ascii="宋体" w:hAnsi="宋体" w:eastAsia="宋体" w:cs="宋体"/>
          <w:color w:val="auto"/>
          <w:highlight w:val="none"/>
        </w:rPr>
      </w:pPr>
      <w:r>
        <w:rPr>
          <w:rFonts w:hint="eastAsia" w:ascii="宋体" w:hAnsi="宋体" w:eastAsia="宋体" w:cs="宋体"/>
          <w:color w:val="auto"/>
          <w:sz w:val="24"/>
          <w:highlight w:val="none"/>
        </w:rPr>
        <w:t>评审小组所有成员集中与</w:t>
      </w:r>
      <w:r>
        <w:rPr>
          <w:rFonts w:hint="eastAsia" w:ascii="宋体" w:hAnsi="宋体" w:eastAsia="宋体" w:cs="宋体"/>
          <w:color w:val="auto"/>
          <w:sz w:val="24"/>
          <w:highlight w:val="none"/>
          <w:lang w:eastAsia="zh-CN"/>
        </w:rPr>
        <w:t>询比响应人</w:t>
      </w:r>
      <w:r>
        <w:rPr>
          <w:rFonts w:hint="eastAsia" w:ascii="宋体" w:hAnsi="宋体" w:eastAsia="宋体" w:cs="宋体"/>
          <w:color w:val="auto"/>
          <w:sz w:val="24"/>
          <w:highlight w:val="none"/>
        </w:rPr>
        <w:t>进行</w:t>
      </w:r>
      <w:r>
        <w:rPr>
          <w:rFonts w:hint="eastAsia" w:cs="宋体"/>
          <w:color w:val="auto"/>
          <w:sz w:val="24"/>
          <w:highlight w:val="none"/>
          <w:lang w:eastAsia="zh-CN"/>
        </w:rPr>
        <w:t>询比</w:t>
      </w:r>
      <w:r>
        <w:rPr>
          <w:rFonts w:hint="eastAsia" w:ascii="宋体" w:hAnsi="宋体" w:eastAsia="宋体" w:cs="宋体"/>
          <w:color w:val="auto"/>
          <w:sz w:val="24"/>
          <w:highlight w:val="none"/>
        </w:rPr>
        <w:t>，</w:t>
      </w:r>
      <w:r>
        <w:rPr>
          <w:rFonts w:hint="eastAsia" w:ascii="宋体" w:hAnsi="宋体" w:eastAsia="宋体" w:cs="宋体"/>
          <w:color w:val="auto"/>
          <w:sz w:val="24"/>
          <w:highlight w:val="none"/>
          <w:lang w:eastAsia="zh-CN"/>
        </w:rPr>
        <w:t>询比响应人</w:t>
      </w:r>
      <w:r>
        <w:rPr>
          <w:rFonts w:hint="eastAsia" w:ascii="宋体" w:hAnsi="宋体" w:eastAsia="宋体" w:cs="宋体"/>
          <w:color w:val="auto"/>
          <w:sz w:val="24"/>
          <w:highlight w:val="none"/>
        </w:rPr>
        <w:t>的法定代表人(单位负责人) 或其授权的代理人应参加</w:t>
      </w:r>
      <w:r>
        <w:rPr>
          <w:rFonts w:hint="eastAsia" w:cs="宋体"/>
          <w:color w:val="auto"/>
          <w:sz w:val="24"/>
          <w:highlight w:val="none"/>
          <w:lang w:eastAsia="zh-CN"/>
        </w:rPr>
        <w:t>询比</w:t>
      </w:r>
      <w:r>
        <w:rPr>
          <w:rFonts w:hint="eastAsia" w:ascii="宋体" w:hAnsi="宋体" w:eastAsia="宋体" w:cs="宋体"/>
          <w:color w:val="auto"/>
          <w:sz w:val="24"/>
          <w:highlight w:val="none"/>
        </w:rPr>
        <w:t>。在</w:t>
      </w:r>
      <w:r>
        <w:rPr>
          <w:rFonts w:hint="eastAsia" w:cs="宋体"/>
          <w:color w:val="auto"/>
          <w:sz w:val="24"/>
          <w:highlight w:val="none"/>
          <w:lang w:eastAsia="zh-CN"/>
        </w:rPr>
        <w:t>询比</w:t>
      </w:r>
      <w:r>
        <w:rPr>
          <w:rFonts w:hint="eastAsia" w:ascii="宋体" w:hAnsi="宋体" w:eastAsia="宋体" w:cs="宋体"/>
          <w:color w:val="auto"/>
          <w:sz w:val="24"/>
          <w:highlight w:val="none"/>
        </w:rPr>
        <w:t>过程中，评审小组可根据</w:t>
      </w:r>
      <w:r>
        <w:rPr>
          <w:rFonts w:hint="eastAsia" w:cs="宋体"/>
          <w:color w:val="auto"/>
          <w:sz w:val="24"/>
          <w:highlight w:val="none"/>
          <w:lang w:eastAsia="zh-CN"/>
        </w:rPr>
        <w:t>询比</w:t>
      </w:r>
      <w:r>
        <w:rPr>
          <w:rFonts w:hint="eastAsia" w:ascii="宋体" w:hAnsi="宋体" w:eastAsia="宋体" w:cs="宋体"/>
          <w:color w:val="auto"/>
          <w:sz w:val="24"/>
          <w:highlight w:val="none"/>
        </w:rPr>
        <w:t>情况修改和补充 采购文件中的非实质性内容，但不得改变可能影响初步评审结果的内容。</w:t>
      </w:r>
      <w:r>
        <w:rPr>
          <w:rFonts w:hint="eastAsia" w:ascii="宋体" w:hAnsi="宋体" w:eastAsia="宋体" w:cs="宋体"/>
          <w:color w:val="auto"/>
          <w:sz w:val="24"/>
          <w:highlight w:val="none"/>
          <w:lang w:eastAsia="zh-CN"/>
        </w:rPr>
        <w:t>询比响应人</w:t>
      </w:r>
      <w:r>
        <w:rPr>
          <w:rFonts w:hint="eastAsia" w:ascii="宋体" w:hAnsi="宋体" w:eastAsia="宋体" w:cs="宋体"/>
          <w:color w:val="auto"/>
          <w:sz w:val="24"/>
          <w:highlight w:val="none"/>
        </w:rPr>
        <w:t>的法 定代表人(单位负责人或其授权的代理人)在</w:t>
      </w:r>
      <w:r>
        <w:rPr>
          <w:rFonts w:hint="eastAsia" w:cs="宋体"/>
          <w:color w:val="auto"/>
          <w:sz w:val="24"/>
          <w:highlight w:val="none"/>
          <w:lang w:eastAsia="zh-CN"/>
        </w:rPr>
        <w:t>询比</w:t>
      </w:r>
      <w:r>
        <w:rPr>
          <w:rFonts w:hint="eastAsia" w:ascii="宋体" w:hAnsi="宋体" w:eastAsia="宋体" w:cs="宋体"/>
          <w:color w:val="auto"/>
          <w:sz w:val="24"/>
          <w:highlight w:val="none"/>
        </w:rPr>
        <w:t>中作出的承诺构成响应文件的组成 部分。评审小组可根据需要，安排多轮</w:t>
      </w:r>
      <w:r>
        <w:rPr>
          <w:rFonts w:hint="eastAsia" w:cs="宋体"/>
          <w:color w:val="auto"/>
          <w:sz w:val="24"/>
          <w:highlight w:val="none"/>
          <w:lang w:eastAsia="zh-CN"/>
        </w:rPr>
        <w:t>询比</w:t>
      </w:r>
      <w:r>
        <w:rPr>
          <w:rFonts w:hint="eastAsia" w:ascii="宋体" w:hAnsi="宋体" w:eastAsia="宋体" w:cs="宋体"/>
          <w:color w:val="auto"/>
          <w:sz w:val="24"/>
          <w:highlight w:val="none"/>
        </w:rPr>
        <w:t>。</w:t>
      </w:r>
    </w:p>
    <w:p>
      <w:pPr>
        <w:pStyle w:val="35"/>
        <w:pageBreakBefore w:val="0"/>
        <w:tabs>
          <w:tab w:val="left" w:pos="1271"/>
        </w:tabs>
        <w:kinsoku/>
        <w:overflowPunct/>
        <w:topLinePunct w:val="0"/>
        <w:bidi w:val="0"/>
        <w:snapToGrid/>
        <w:spacing w:line="360" w:lineRule="auto"/>
        <w:ind w:firstLine="480" w:firstLineChars="200"/>
        <w:rPr>
          <w:rFonts w:hint="eastAsia" w:ascii="宋体" w:hAnsi="宋体" w:eastAsia="宋体" w:cs="宋体"/>
          <w:color w:val="auto"/>
          <w:highlight w:val="none"/>
        </w:rPr>
      </w:pPr>
      <w:bookmarkStart w:id="256" w:name="bookmark1155"/>
      <w:bookmarkEnd w:id="256"/>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lang w:val="en-US" w:eastAsia="zh-CN"/>
        </w:rPr>
        <w:t>2</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rPr>
        <w:t>详细评审。</w:t>
      </w:r>
    </w:p>
    <w:p>
      <w:pPr>
        <w:pStyle w:val="35"/>
        <w:pageBreakBefore w:val="0"/>
        <w:kinsoku/>
        <w:overflowPunct/>
        <w:topLinePunct w:val="0"/>
        <w:bidi w:val="0"/>
        <w:snapToGrid/>
        <w:spacing w:line="360" w:lineRule="auto"/>
        <w:ind w:firstLine="500"/>
        <w:rPr>
          <w:rFonts w:hint="eastAsia" w:ascii="宋体" w:hAnsi="宋体" w:eastAsia="宋体" w:cs="宋体"/>
          <w:color w:val="auto"/>
          <w:highlight w:val="none"/>
        </w:rPr>
      </w:pPr>
      <w:r>
        <w:rPr>
          <w:rFonts w:hint="eastAsia" w:ascii="宋体" w:hAnsi="宋体" w:eastAsia="宋体" w:cs="宋体"/>
          <w:color w:val="auto"/>
          <w:sz w:val="24"/>
          <w:highlight w:val="none"/>
        </w:rPr>
        <w:t>评审小组通过对采购成本、供应能力、风险管控、采购目标等的分析，对</w:t>
      </w:r>
      <w:r>
        <w:rPr>
          <w:rFonts w:hint="eastAsia" w:ascii="宋体" w:hAnsi="宋体" w:eastAsia="宋体" w:cs="宋体"/>
          <w:color w:val="auto"/>
          <w:sz w:val="24"/>
          <w:highlight w:val="none"/>
          <w:lang w:eastAsia="zh-CN"/>
        </w:rPr>
        <w:t>询比响应人</w:t>
      </w:r>
      <w:r>
        <w:rPr>
          <w:rFonts w:hint="eastAsia" w:ascii="宋体" w:hAnsi="宋体" w:eastAsia="宋体" w:cs="宋体"/>
          <w:color w:val="auto"/>
          <w:sz w:val="24"/>
          <w:highlight w:val="none"/>
        </w:rPr>
        <w:t xml:space="preserve"> 拟提供标的的技术、商务进行物有所值综合评价。</w:t>
      </w:r>
    </w:p>
    <w:p>
      <w:pPr>
        <w:pStyle w:val="35"/>
        <w:pageBreakBefore w:val="0"/>
        <w:tabs>
          <w:tab w:val="left" w:pos="1271"/>
        </w:tabs>
        <w:kinsoku/>
        <w:overflowPunct/>
        <w:topLinePunct w:val="0"/>
        <w:bidi w:val="0"/>
        <w:snapToGrid/>
        <w:spacing w:line="360" w:lineRule="auto"/>
        <w:ind w:firstLine="480" w:firstLineChars="200"/>
        <w:rPr>
          <w:rFonts w:hint="eastAsia" w:ascii="宋体" w:hAnsi="宋体" w:eastAsia="宋体" w:cs="宋体"/>
          <w:color w:val="auto"/>
          <w:highlight w:val="none"/>
        </w:rPr>
      </w:pPr>
      <w:bookmarkStart w:id="257" w:name="bookmark1156"/>
      <w:bookmarkEnd w:id="257"/>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lang w:val="en-US" w:eastAsia="zh-CN"/>
        </w:rPr>
        <w:t>3</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rPr>
        <w:t>编写评审报告。</w:t>
      </w:r>
    </w:p>
    <w:p>
      <w:pPr>
        <w:pStyle w:val="35"/>
        <w:pageBreakBefore w:val="0"/>
        <w:tabs>
          <w:tab w:val="left" w:pos="358"/>
        </w:tabs>
        <w:kinsoku/>
        <w:overflowPunct/>
        <w:topLinePunct w:val="0"/>
        <w:bidi w:val="0"/>
        <w:snapToGrid/>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评审小组根据预期的</w:t>
      </w:r>
      <w:r>
        <w:rPr>
          <w:rFonts w:hint="eastAsia" w:cs="宋体"/>
          <w:color w:val="auto"/>
          <w:sz w:val="24"/>
          <w:highlight w:val="none"/>
          <w:lang w:eastAsia="zh-CN"/>
        </w:rPr>
        <w:t>询比</w:t>
      </w:r>
      <w:r>
        <w:rPr>
          <w:rFonts w:hint="eastAsia" w:ascii="宋体" w:hAnsi="宋体" w:eastAsia="宋体" w:cs="宋体"/>
          <w:color w:val="auto"/>
          <w:sz w:val="24"/>
          <w:highlight w:val="none"/>
        </w:rPr>
        <w:t>目标综合</w:t>
      </w:r>
      <w:r>
        <w:rPr>
          <w:rFonts w:hint="eastAsia" w:cs="宋体"/>
          <w:color w:val="auto"/>
          <w:sz w:val="24"/>
          <w:highlight w:val="none"/>
          <w:lang w:eastAsia="zh-CN"/>
        </w:rPr>
        <w:t>询比</w:t>
      </w:r>
      <w:r>
        <w:rPr>
          <w:rFonts w:hint="eastAsia" w:ascii="宋体" w:hAnsi="宋体" w:eastAsia="宋体" w:cs="宋体"/>
          <w:color w:val="auto"/>
          <w:sz w:val="24"/>
          <w:highlight w:val="none"/>
        </w:rPr>
        <w:t>纪要编写评审报告，推荐候选成交</w:t>
      </w:r>
      <w:r>
        <w:rPr>
          <w:rFonts w:hint="eastAsia" w:ascii="宋体" w:hAnsi="宋体" w:eastAsia="宋体" w:cs="宋体"/>
          <w:color w:val="auto"/>
          <w:sz w:val="24"/>
          <w:highlight w:val="none"/>
          <w:lang w:eastAsia="zh-CN"/>
        </w:rPr>
        <w:t>询比响应人</w:t>
      </w:r>
      <w:r>
        <w:rPr>
          <w:rFonts w:hint="eastAsia" w:ascii="宋体" w:hAnsi="宋体" w:eastAsia="宋体" w:cs="宋体"/>
          <w:color w:val="auto"/>
          <w:sz w:val="24"/>
          <w:highlight w:val="none"/>
        </w:rPr>
        <w:t xml:space="preserve"> 或提出</w:t>
      </w:r>
      <w:r>
        <w:rPr>
          <w:rFonts w:hint="eastAsia" w:cs="宋体"/>
          <w:color w:val="auto"/>
          <w:sz w:val="24"/>
          <w:highlight w:val="none"/>
          <w:lang w:eastAsia="zh-CN"/>
        </w:rPr>
        <w:t>询比</w:t>
      </w:r>
      <w:r>
        <w:rPr>
          <w:rFonts w:hint="eastAsia" w:ascii="宋体" w:hAnsi="宋体" w:eastAsia="宋体" w:cs="宋体"/>
          <w:color w:val="auto"/>
          <w:sz w:val="24"/>
          <w:highlight w:val="none"/>
        </w:rPr>
        <w:t>终止建议。</w:t>
      </w:r>
    </w:p>
    <w:p>
      <w:pPr>
        <w:pStyle w:val="35"/>
        <w:pageBreakBefore w:val="0"/>
        <w:tabs>
          <w:tab w:val="left" w:pos="358"/>
        </w:tabs>
        <w:kinsoku/>
        <w:overflowPunct/>
        <w:topLinePunct w:val="0"/>
        <w:bidi w:val="0"/>
        <w:snapToGrid/>
        <w:spacing w:line="360" w:lineRule="auto"/>
        <w:rPr>
          <w:rFonts w:hint="eastAsia" w:ascii="宋体" w:hAnsi="宋体" w:eastAsia="宋体" w:cs="宋体"/>
          <w:color w:val="auto"/>
          <w:sz w:val="24"/>
          <w:highlight w:val="none"/>
        </w:rPr>
      </w:pPr>
    </w:p>
    <w:p>
      <w:pPr>
        <w:pStyle w:val="35"/>
        <w:pageBreakBefore w:val="0"/>
        <w:tabs>
          <w:tab w:val="left" w:pos="358"/>
        </w:tabs>
        <w:kinsoku/>
        <w:overflowPunct/>
        <w:topLinePunct w:val="0"/>
        <w:bidi w:val="0"/>
        <w:snapToGrid/>
        <w:spacing w:line="360" w:lineRule="auto"/>
        <w:rPr>
          <w:rFonts w:hint="eastAsia" w:ascii="宋体" w:hAnsi="宋体" w:eastAsia="宋体" w:cs="宋体"/>
          <w:color w:val="auto"/>
          <w:sz w:val="24"/>
          <w:highlight w:val="none"/>
        </w:rPr>
      </w:pPr>
    </w:p>
    <w:p>
      <w:pPr>
        <w:pageBreakBefore w:val="0"/>
        <w:kinsoku/>
        <w:overflowPunct/>
        <w:topLinePunct w:val="0"/>
        <w:bidi w:val="0"/>
        <w:snapToGrid/>
        <w:spacing w:line="360" w:lineRule="auto"/>
        <w:ind w:firstLine="480" w:firstLineChars="200"/>
        <w:rPr>
          <w:rFonts w:hint="eastAsia" w:ascii="宋体" w:hAnsi="宋体" w:eastAsia="宋体" w:cs="宋体"/>
          <w:color w:val="auto"/>
          <w:sz w:val="24"/>
          <w:highlight w:val="none"/>
        </w:rPr>
      </w:pPr>
    </w:p>
    <w:p>
      <w:pPr>
        <w:pageBreakBefore w:val="0"/>
        <w:kinsoku/>
        <w:overflowPunct/>
        <w:topLinePunct w:val="0"/>
        <w:bidi w:val="0"/>
        <w:snapToGrid/>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br w:type="page"/>
      </w:r>
    </w:p>
    <w:p>
      <w:pPr>
        <w:pStyle w:val="3"/>
        <w:pageBreakBefore w:val="0"/>
        <w:kinsoku/>
        <w:overflowPunct/>
        <w:topLinePunct w:val="0"/>
        <w:bidi w:val="0"/>
        <w:snapToGrid/>
        <w:spacing w:line="360" w:lineRule="auto"/>
        <w:ind w:firstLine="1767" w:firstLineChars="400"/>
        <w:rPr>
          <w:rFonts w:hint="eastAsia" w:ascii="宋体" w:hAnsi="宋体" w:eastAsia="宋体" w:cs="宋体"/>
          <w:color w:val="auto"/>
          <w:highlight w:val="none"/>
        </w:rPr>
      </w:pPr>
      <w:bookmarkStart w:id="258" w:name="_Toc18296"/>
      <w:bookmarkStart w:id="259" w:name="_Toc8867"/>
      <w:r>
        <w:rPr>
          <w:rFonts w:hint="eastAsia" w:ascii="宋体" w:hAnsi="宋体" w:eastAsia="宋体" w:cs="宋体"/>
          <w:color w:val="auto"/>
          <w:highlight w:val="none"/>
        </w:rPr>
        <w:t>第四章  合同条款及格式</w:t>
      </w:r>
      <w:bookmarkEnd w:id="258"/>
      <w:bookmarkEnd w:id="259"/>
    </w:p>
    <w:p>
      <w:pPr>
        <w:pageBreakBefore w:val="0"/>
        <w:kinsoku/>
        <w:overflowPunct/>
        <w:topLinePunct w:val="0"/>
        <w:bidi w:val="0"/>
        <w:snapToGrid/>
        <w:spacing w:line="360" w:lineRule="auto"/>
        <w:jc w:val="center"/>
        <w:rPr>
          <w:rFonts w:hint="eastAsia" w:ascii="宋体" w:hAnsi="宋体" w:eastAsia="宋体" w:cs="宋体"/>
          <w:b/>
          <w:color w:val="auto"/>
          <w:highlight w:val="none"/>
        </w:rPr>
      </w:pPr>
    </w:p>
    <w:p>
      <w:pPr>
        <w:pageBreakBefore w:val="0"/>
        <w:kinsoku/>
        <w:overflowPunct/>
        <w:topLinePunct w:val="0"/>
        <w:bidi w:val="0"/>
        <w:snapToGrid/>
        <w:spacing w:line="360" w:lineRule="auto"/>
        <w:jc w:val="center"/>
        <w:rPr>
          <w:rFonts w:hint="eastAsia" w:ascii="宋体" w:hAnsi="宋体" w:eastAsia="宋体" w:cs="宋体"/>
          <w:b/>
          <w:color w:val="auto"/>
          <w:highlight w:val="none"/>
        </w:rPr>
      </w:pPr>
    </w:p>
    <w:p>
      <w:pPr>
        <w:pageBreakBefore w:val="0"/>
        <w:kinsoku/>
        <w:overflowPunct/>
        <w:topLinePunct w:val="0"/>
        <w:bidi w:val="0"/>
        <w:snapToGrid/>
        <w:spacing w:line="360" w:lineRule="auto"/>
        <w:jc w:val="center"/>
        <w:rPr>
          <w:rFonts w:hint="eastAsia" w:ascii="宋体" w:hAnsi="宋体" w:eastAsia="宋体" w:cs="宋体"/>
          <w:b/>
          <w:color w:val="auto"/>
          <w:highlight w:val="none"/>
        </w:rPr>
      </w:pPr>
    </w:p>
    <w:p>
      <w:pPr>
        <w:pStyle w:val="2"/>
        <w:pageBreakBefore w:val="0"/>
        <w:kinsoku/>
        <w:overflowPunct/>
        <w:topLinePunct w:val="0"/>
        <w:bidi w:val="0"/>
        <w:snapToGrid/>
        <w:spacing w:line="360" w:lineRule="auto"/>
        <w:rPr>
          <w:rFonts w:hint="eastAsia" w:ascii="宋体" w:hAnsi="宋体" w:eastAsia="宋体" w:cs="宋体"/>
          <w:b/>
          <w:color w:val="auto"/>
          <w:highlight w:val="none"/>
        </w:rPr>
      </w:pPr>
    </w:p>
    <w:p>
      <w:pPr>
        <w:pStyle w:val="2"/>
        <w:pageBreakBefore w:val="0"/>
        <w:kinsoku/>
        <w:overflowPunct/>
        <w:topLinePunct w:val="0"/>
        <w:bidi w:val="0"/>
        <w:snapToGrid/>
        <w:spacing w:line="360" w:lineRule="auto"/>
        <w:rPr>
          <w:rFonts w:hint="eastAsia" w:ascii="宋体" w:hAnsi="宋体" w:eastAsia="宋体" w:cs="宋体"/>
          <w:b/>
          <w:color w:val="auto"/>
          <w:highlight w:val="none"/>
        </w:rPr>
      </w:pPr>
    </w:p>
    <w:p>
      <w:pPr>
        <w:pStyle w:val="2"/>
        <w:pageBreakBefore w:val="0"/>
        <w:kinsoku/>
        <w:overflowPunct/>
        <w:topLinePunct w:val="0"/>
        <w:bidi w:val="0"/>
        <w:snapToGrid/>
        <w:spacing w:line="360" w:lineRule="auto"/>
        <w:rPr>
          <w:rFonts w:hint="eastAsia" w:ascii="宋体" w:hAnsi="宋体" w:eastAsia="宋体" w:cs="宋体"/>
          <w:b/>
          <w:color w:val="auto"/>
          <w:highlight w:val="none"/>
        </w:rPr>
      </w:pPr>
    </w:p>
    <w:p>
      <w:pPr>
        <w:pageBreakBefore w:val="0"/>
        <w:kinsoku/>
        <w:overflowPunct/>
        <w:topLinePunct w:val="0"/>
        <w:bidi w:val="0"/>
        <w:snapToGrid/>
        <w:spacing w:line="360" w:lineRule="auto"/>
        <w:jc w:val="center"/>
        <w:rPr>
          <w:rFonts w:hint="eastAsia" w:ascii="宋体" w:hAnsi="宋体" w:eastAsia="宋体" w:cs="宋体"/>
          <w:b/>
          <w:color w:val="auto"/>
          <w:highlight w:val="none"/>
        </w:rPr>
      </w:pPr>
    </w:p>
    <w:p>
      <w:pPr>
        <w:pageBreakBefore w:val="0"/>
        <w:kinsoku/>
        <w:overflowPunct/>
        <w:topLinePunct w:val="0"/>
        <w:bidi w:val="0"/>
        <w:snapToGrid/>
        <w:spacing w:line="360" w:lineRule="auto"/>
        <w:jc w:val="center"/>
        <w:rPr>
          <w:rFonts w:hint="eastAsia" w:ascii="宋体" w:hAnsi="宋体" w:eastAsia="宋体" w:cs="宋体"/>
          <w:b/>
          <w:color w:val="auto"/>
          <w:sz w:val="52"/>
          <w:szCs w:val="52"/>
          <w:highlight w:val="none"/>
          <w:lang w:eastAsia="zh-CN"/>
        </w:rPr>
      </w:pPr>
      <w:r>
        <w:rPr>
          <w:rFonts w:hint="eastAsia" w:ascii="宋体" w:hAnsi="宋体" w:eastAsia="宋体" w:cs="宋体"/>
          <w:b/>
          <w:color w:val="auto"/>
          <w:sz w:val="52"/>
          <w:szCs w:val="52"/>
          <w:highlight w:val="none"/>
        </w:rPr>
        <w:t>施工合同</w:t>
      </w:r>
    </w:p>
    <w:p>
      <w:pPr>
        <w:pageBreakBefore w:val="0"/>
        <w:kinsoku/>
        <w:overflowPunct/>
        <w:topLinePunct w:val="0"/>
        <w:bidi w:val="0"/>
        <w:snapToGrid/>
        <w:spacing w:line="360" w:lineRule="auto"/>
        <w:jc w:val="center"/>
        <w:rPr>
          <w:rFonts w:hint="eastAsia" w:ascii="宋体" w:hAnsi="宋体" w:eastAsia="宋体" w:cs="宋体"/>
          <w:b/>
          <w:color w:val="auto"/>
          <w:sz w:val="52"/>
          <w:szCs w:val="52"/>
          <w:highlight w:val="none"/>
        </w:rPr>
      </w:pPr>
      <w:r>
        <w:rPr>
          <w:rFonts w:hint="eastAsia" w:ascii="宋体" w:hAnsi="宋体" w:eastAsia="宋体" w:cs="宋体"/>
          <w:b/>
          <w:color w:val="auto"/>
          <w:sz w:val="52"/>
          <w:szCs w:val="52"/>
          <w:highlight w:val="none"/>
        </w:rPr>
        <w:t>（示范文本）</w:t>
      </w:r>
    </w:p>
    <w:p>
      <w:pPr>
        <w:pageBreakBefore w:val="0"/>
        <w:kinsoku/>
        <w:overflowPunct/>
        <w:topLinePunct w:val="0"/>
        <w:bidi w:val="0"/>
        <w:snapToGrid/>
        <w:spacing w:line="360" w:lineRule="auto"/>
        <w:jc w:val="center"/>
        <w:rPr>
          <w:rFonts w:hint="eastAsia" w:ascii="宋体" w:hAnsi="宋体" w:eastAsia="宋体" w:cs="宋体"/>
          <w:b/>
          <w:color w:val="auto"/>
          <w:highlight w:val="none"/>
        </w:rPr>
      </w:pPr>
    </w:p>
    <w:p>
      <w:pPr>
        <w:pageBreakBefore w:val="0"/>
        <w:kinsoku/>
        <w:overflowPunct/>
        <w:topLinePunct w:val="0"/>
        <w:bidi w:val="0"/>
        <w:snapToGrid/>
        <w:spacing w:line="360" w:lineRule="auto"/>
        <w:jc w:val="center"/>
        <w:rPr>
          <w:rFonts w:hint="eastAsia" w:ascii="宋体" w:hAnsi="宋体" w:eastAsia="宋体" w:cs="宋体"/>
          <w:b/>
          <w:color w:val="auto"/>
          <w:highlight w:val="none"/>
        </w:rPr>
      </w:pPr>
    </w:p>
    <w:p>
      <w:pPr>
        <w:pageBreakBefore w:val="0"/>
        <w:kinsoku/>
        <w:overflowPunct/>
        <w:topLinePunct w:val="0"/>
        <w:bidi w:val="0"/>
        <w:snapToGrid/>
        <w:spacing w:line="360" w:lineRule="auto"/>
        <w:jc w:val="center"/>
        <w:rPr>
          <w:rFonts w:hint="eastAsia" w:ascii="宋体" w:hAnsi="宋体" w:eastAsia="宋体" w:cs="宋体"/>
          <w:b/>
          <w:color w:val="auto"/>
          <w:highlight w:val="none"/>
        </w:rPr>
      </w:pPr>
    </w:p>
    <w:p>
      <w:pPr>
        <w:pageBreakBefore w:val="0"/>
        <w:kinsoku/>
        <w:overflowPunct/>
        <w:topLinePunct w:val="0"/>
        <w:bidi w:val="0"/>
        <w:snapToGrid/>
        <w:spacing w:line="360" w:lineRule="auto"/>
        <w:jc w:val="center"/>
        <w:rPr>
          <w:rFonts w:hint="eastAsia" w:ascii="宋体" w:hAnsi="宋体" w:eastAsia="宋体" w:cs="宋体"/>
          <w:b/>
          <w:color w:val="auto"/>
          <w:highlight w:val="none"/>
        </w:rPr>
      </w:pPr>
    </w:p>
    <w:p>
      <w:pPr>
        <w:pageBreakBefore w:val="0"/>
        <w:kinsoku/>
        <w:overflowPunct/>
        <w:topLinePunct w:val="0"/>
        <w:bidi w:val="0"/>
        <w:snapToGrid/>
        <w:spacing w:line="360" w:lineRule="auto"/>
        <w:jc w:val="center"/>
        <w:rPr>
          <w:rFonts w:hint="eastAsia" w:ascii="宋体" w:hAnsi="宋体" w:eastAsia="宋体" w:cs="宋体"/>
          <w:b/>
          <w:color w:val="auto"/>
          <w:highlight w:val="none"/>
        </w:rPr>
      </w:pPr>
    </w:p>
    <w:p>
      <w:pPr>
        <w:pStyle w:val="2"/>
        <w:pageBreakBefore w:val="0"/>
        <w:kinsoku/>
        <w:overflowPunct/>
        <w:topLinePunct w:val="0"/>
        <w:bidi w:val="0"/>
        <w:snapToGrid/>
        <w:spacing w:line="360" w:lineRule="auto"/>
        <w:rPr>
          <w:rFonts w:hint="eastAsia" w:ascii="宋体" w:hAnsi="宋体" w:eastAsia="宋体" w:cs="宋体"/>
          <w:b/>
          <w:color w:val="auto"/>
          <w:highlight w:val="none"/>
        </w:rPr>
      </w:pPr>
    </w:p>
    <w:p>
      <w:pPr>
        <w:pStyle w:val="2"/>
        <w:pageBreakBefore w:val="0"/>
        <w:kinsoku/>
        <w:overflowPunct/>
        <w:topLinePunct w:val="0"/>
        <w:bidi w:val="0"/>
        <w:snapToGrid/>
        <w:spacing w:line="360" w:lineRule="auto"/>
        <w:rPr>
          <w:rFonts w:hint="eastAsia" w:ascii="宋体" w:hAnsi="宋体" w:eastAsia="宋体" w:cs="宋体"/>
          <w:b/>
          <w:color w:val="auto"/>
          <w:highlight w:val="none"/>
        </w:rPr>
      </w:pPr>
    </w:p>
    <w:p>
      <w:pPr>
        <w:pageBreakBefore w:val="0"/>
        <w:kinsoku/>
        <w:overflowPunct/>
        <w:topLinePunct w:val="0"/>
        <w:autoSpaceDE w:val="0"/>
        <w:autoSpaceDN w:val="0"/>
        <w:bidi w:val="0"/>
        <w:snapToGrid/>
        <w:spacing w:line="360" w:lineRule="auto"/>
        <w:ind w:firstLine="480"/>
        <w:rPr>
          <w:rFonts w:hint="eastAsia" w:ascii="宋体" w:hAnsi="宋体" w:eastAsia="宋体" w:cs="宋体"/>
          <w:color w:val="auto"/>
          <w:highlight w:val="none"/>
          <w:lang w:val="zh-CN"/>
        </w:rPr>
      </w:pPr>
    </w:p>
    <w:p>
      <w:pPr>
        <w:pageBreakBefore w:val="0"/>
        <w:kinsoku/>
        <w:overflowPunct/>
        <w:topLinePunct w:val="0"/>
        <w:bidi w:val="0"/>
        <w:snapToGrid/>
        <w:spacing w:line="360" w:lineRule="auto"/>
        <w:rPr>
          <w:rFonts w:hint="eastAsia" w:ascii="宋体" w:hAnsi="宋体" w:eastAsia="宋体" w:cs="宋体"/>
          <w:color w:val="auto"/>
          <w:highlight w:val="none"/>
          <w:lang w:val="zh-CN"/>
        </w:rPr>
      </w:pPr>
      <w:bookmarkStart w:id="260" w:name="_Toc505871360"/>
      <w:bookmarkStart w:id="261" w:name="_Toc256000076"/>
    </w:p>
    <w:p>
      <w:pPr>
        <w:pageBreakBefore w:val="0"/>
        <w:kinsoku/>
        <w:overflowPunct/>
        <w:topLinePunct w:val="0"/>
        <w:bidi w:val="0"/>
        <w:snapToGrid/>
        <w:spacing w:line="360" w:lineRule="auto"/>
        <w:rPr>
          <w:rFonts w:hint="eastAsia" w:ascii="宋体" w:hAnsi="宋体" w:eastAsia="宋体" w:cs="宋体"/>
          <w:color w:val="auto"/>
          <w:highlight w:val="none"/>
          <w:lang w:val="zh-CN"/>
        </w:rPr>
      </w:pPr>
    </w:p>
    <w:p>
      <w:pPr>
        <w:pageBreakBefore w:val="0"/>
        <w:kinsoku/>
        <w:overflowPunct/>
        <w:topLinePunct w:val="0"/>
        <w:bidi w:val="0"/>
        <w:snapToGrid/>
        <w:spacing w:line="360" w:lineRule="auto"/>
        <w:rPr>
          <w:rFonts w:hint="eastAsia" w:ascii="宋体" w:hAnsi="宋体" w:eastAsia="宋体" w:cs="宋体"/>
          <w:b/>
          <w:bCs/>
          <w:color w:val="auto"/>
          <w:sz w:val="32"/>
          <w:szCs w:val="32"/>
          <w:highlight w:val="none"/>
          <w:lang w:val="zh-CN"/>
        </w:rPr>
      </w:pPr>
      <w:r>
        <w:rPr>
          <w:rFonts w:hint="eastAsia" w:ascii="宋体" w:hAnsi="宋体" w:eastAsia="宋体" w:cs="宋体"/>
          <w:b/>
          <w:bCs/>
          <w:color w:val="auto"/>
          <w:sz w:val="32"/>
          <w:szCs w:val="32"/>
          <w:highlight w:val="none"/>
          <w:lang w:val="zh-CN"/>
        </w:rPr>
        <w:br w:type="page"/>
      </w:r>
    </w:p>
    <w:p>
      <w:pPr>
        <w:pStyle w:val="44"/>
        <w:pageBreakBefore w:val="0"/>
        <w:kinsoku/>
        <w:overflowPunct/>
        <w:topLinePunct w:val="0"/>
        <w:bidi w:val="0"/>
        <w:snapToGrid/>
        <w:spacing w:line="360" w:lineRule="auto"/>
        <w:jc w:val="center"/>
        <w:rPr>
          <w:rStyle w:val="21"/>
          <w:rFonts w:hint="eastAsia" w:ascii="宋体" w:hAnsi="宋体" w:eastAsia="宋体" w:cs="宋体"/>
          <w:color w:val="auto"/>
          <w:sz w:val="28"/>
          <w:szCs w:val="28"/>
          <w:highlight w:val="none"/>
        </w:rPr>
      </w:pPr>
      <w:r>
        <w:rPr>
          <w:rStyle w:val="21"/>
          <w:rFonts w:hint="eastAsia" w:ascii="宋体" w:hAnsi="宋体" w:eastAsia="宋体" w:cs="宋体"/>
          <w:color w:val="auto"/>
          <w:sz w:val="28"/>
          <w:szCs w:val="28"/>
          <w:highlight w:val="none"/>
        </w:rPr>
        <w:t>合同协议书</w:t>
      </w:r>
    </w:p>
    <w:p>
      <w:pPr>
        <w:pStyle w:val="44"/>
        <w:pageBreakBefore w:val="0"/>
        <w:kinsoku/>
        <w:overflowPunct/>
        <w:topLinePunct w:val="0"/>
        <w:bidi w:val="0"/>
        <w:snapToGrid/>
        <w:spacing w:line="360" w:lineRule="auto"/>
        <w:jc w:val="left"/>
        <w:rPr>
          <w:rStyle w:val="21"/>
          <w:rFonts w:hint="eastAsia" w:ascii="宋体" w:hAnsi="宋体" w:eastAsia="宋体" w:cs="宋体"/>
          <w:color w:val="auto"/>
          <w:highlight w:val="none"/>
        </w:rPr>
      </w:pPr>
    </w:p>
    <w:p>
      <w:pPr>
        <w:pStyle w:val="44"/>
        <w:pageBreakBefore w:val="0"/>
        <w:kinsoku/>
        <w:overflowPunct/>
        <w:topLinePunct w:val="0"/>
        <w:bidi w:val="0"/>
        <w:snapToGrid/>
        <w:spacing w:line="360" w:lineRule="auto"/>
        <w:ind w:firstLine="600" w:firstLineChars="250"/>
        <w:rPr>
          <w:rStyle w:val="21"/>
          <w:rFonts w:hint="eastAsia" w:ascii="宋体" w:hAnsi="宋体" w:eastAsia="宋体" w:cs="宋体"/>
          <w:color w:val="auto"/>
          <w:sz w:val="24"/>
          <w:highlight w:val="none"/>
        </w:rPr>
      </w:pPr>
      <w:r>
        <w:rPr>
          <w:rStyle w:val="21"/>
          <w:rFonts w:hint="eastAsia" w:ascii="宋体" w:hAnsi="宋体" w:eastAsia="宋体" w:cs="宋体"/>
          <w:color w:val="auto"/>
          <w:sz w:val="24"/>
          <w:highlight w:val="none"/>
          <w:u w:val="single"/>
          <w:lang w:val="en-US" w:eastAsia="zh-CN"/>
        </w:rPr>
        <w:t xml:space="preserve">               </w:t>
      </w:r>
      <w:r>
        <w:rPr>
          <w:rStyle w:val="21"/>
          <w:rFonts w:hint="eastAsia" w:ascii="宋体" w:hAnsi="宋体" w:eastAsia="宋体" w:cs="宋体"/>
          <w:color w:val="auto"/>
          <w:sz w:val="24"/>
          <w:highlight w:val="none"/>
        </w:rPr>
        <w:t>(发包人名称，以下简称“发包人”)为实施</w:t>
      </w:r>
      <w:r>
        <w:rPr>
          <w:rStyle w:val="21"/>
          <w:rFonts w:hint="eastAsia" w:ascii="宋体" w:hAnsi="宋体" w:eastAsia="宋体" w:cs="宋体"/>
          <w:color w:val="auto"/>
          <w:sz w:val="24"/>
          <w:highlight w:val="none"/>
          <w:u w:val="single"/>
          <w:lang w:val="en-US" w:eastAsia="zh-CN"/>
        </w:rPr>
        <w:t xml:space="preserve">              </w:t>
      </w:r>
      <w:r>
        <w:rPr>
          <w:rStyle w:val="21"/>
          <w:rFonts w:hint="eastAsia" w:ascii="宋体" w:hAnsi="宋体" w:eastAsia="宋体" w:cs="宋体"/>
          <w:color w:val="auto"/>
          <w:sz w:val="24"/>
          <w:highlight w:val="none"/>
        </w:rPr>
        <w:t>(项目名称)，已接受</w:t>
      </w:r>
      <w:r>
        <w:rPr>
          <w:rStyle w:val="21"/>
          <w:rFonts w:hint="eastAsia" w:ascii="宋体" w:hAnsi="宋体" w:eastAsia="宋体" w:cs="宋体"/>
          <w:color w:val="auto"/>
          <w:sz w:val="24"/>
          <w:highlight w:val="none"/>
          <w:u w:val="single"/>
          <w:lang w:val="en-US" w:eastAsia="zh-CN"/>
        </w:rPr>
        <w:t xml:space="preserve">       </w:t>
      </w:r>
      <w:r>
        <w:rPr>
          <w:rStyle w:val="21"/>
          <w:rFonts w:hint="eastAsia" w:ascii="宋体" w:hAnsi="宋体" w:eastAsia="宋体" w:cs="宋体"/>
          <w:color w:val="auto"/>
          <w:sz w:val="24"/>
          <w:highlight w:val="none"/>
        </w:rPr>
        <w:t>(承包人名称，以下简称“承包人”)</w:t>
      </w:r>
      <w:r>
        <w:rPr>
          <w:rStyle w:val="21"/>
          <w:rFonts w:hint="eastAsia" w:ascii="宋体" w:hAnsi="宋体" w:eastAsia="宋体" w:cs="宋体"/>
          <w:color w:val="auto"/>
          <w:sz w:val="24"/>
          <w:highlight w:val="none"/>
          <w:u w:val="single"/>
          <w:lang w:val="en-US" w:eastAsia="zh-CN"/>
        </w:rPr>
        <w:t xml:space="preserve">       </w:t>
      </w:r>
      <w:r>
        <w:rPr>
          <w:rStyle w:val="21"/>
          <w:rFonts w:hint="eastAsia" w:ascii="宋体" w:hAnsi="宋体" w:eastAsia="宋体" w:cs="宋体"/>
          <w:color w:val="auto"/>
          <w:sz w:val="24"/>
          <w:highlight w:val="none"/>
        </w:rPr>
        <w:t>对(项目名称)</w:t>
      </w:r>
      <w:r>
        <w:rPr>
          <w:rStyle w:val="21"/>
          <w:rFonts w:hint="eastAsia" w:ascii="宋体" w:hAnsi="宋体" w:eastAsia="宋体" w:cs="宋体"/>
          <w:color w:val="auto"/>
          <w:sz w:val="24"/>
          <w:highlight w:val="none"/>
          <w:u w:val="single"/>
          <w:lang w:val="en-US" w:eastAsia="zh-CN"/>
        </w:rPr>
        <w:t xml:space="preserve">       </w:t>
      </w:r>
      <w:r>
        <w:rPr>
          <w:rStyle w:val="21"/>
          <w:rFonts w:hint="eastAsia" w:ascii="宋体" w:hAnsi="宋体" w:eastAsia="宋体" w:cs="宋体"/>
          <w:color w:val="auto"/>
          <w:sz w:val="24"/>
          <w:highlight w:val="none"/>
        </w:rPr>
        <w:t>(标段名称)的投标，并确定其为中标人。发包人和承包人共同达成如下协议。</w:t>
      </w:r>
    </w:p>
    <w:p>
      <w:pPr>
        <w:pStyle w:val="44"/>
        <w:pageBreakBefore w:val="0"/>
        <w:kinsoku/>
        <w:overflowPunct/>
        <w:topLinePunct w:val="0"/>
        <w:bidi w:val="0"/>
        <w:snapToGrid/>
        <w:spacing w:line="360" w:lineRule="auto"/>
        <w:ind w:firstLine="600" w:firstLineChars="250"/>
        <w:rPr>
          <w:rStyle w:val="21"/>
          <w:rFonts w:hint="eastAsia" w:ascii="宋体" w:hAnsi="宋体" w:eastAsia="宋体" w:cs="宋体"/>
          <w:color w:val="auto"/>
          <w:sz w:val="24"/>
          <w:highlight w:val="none"/>
        </w:rPr>
      </w:pPr>
      <w:r>
        <w:rPr>
          <w:rStyle w:val="21"/>
          <w:rFonts w:hint="eastAsia" w:ascii="宋体" w:hAnsi="宋体" w:eastAsia="宋体" w:cs="宋体"/>
          <w:color w:val="auto"/>
          <w:sz w:val="24"/>
          <w:highlight w:val="none"/>
        </w:rPr>
        <w:t>1.本协议书与下列文件一起构成合同文件：</w:t>
      </w:r>
    </w:p>
    <w:p>
      <w:pPr>
        <w:pStyle w:val="44"/>
        <w:pageBreakBefore w:val="0"/>
        <w:kinsoku/>
        <w:overflowPunct/>
        <w:topLinePunct w:val="0"/>
        <w:bidi w:val="0"/>
        <w:snapToGrid/>
        <w:spacing w:line="360" w:lineRule="auto"/>
        <w:ind w:firstLine="600" w:firstLineChars="250"/>
        <w:rPr>
          <w:rStyle w:val="21"/>
          <w:rFonts w:hint="eastAsia" w:ascii="宋体" w:hAnsi="宋体" w:eastAsia="宋体" w:cs="宋体"/>
          <w:color w:val="auto"/>
          <w:sz w:val="24"/>
          <w:highlight w:val="none"/>
        </w:rPr>
      </w:pPr>
      <w:r>
        <w:rPr>
          <w:rStyle w:val="21"/>
          <w:rFonts w:hint="eastAsia" w:ascii="宋体" w:hAnsi="宋体" w:eastAsia="宋体" w:cs="宋体"/>
          <w:color w:val="auto"/>
          <w:sz w:val="24"/>
          <w:highlight w:val="none"/>
        </w:rPr>
        <w:t>(1)中标通知书；</w:t>
      </w:r>
    </w:p>
    <w:p>
      <w:pPr>
        <w:pStyle w:val="44"/>
        <w:pageBreakBefore w:val="0"/>
        <w:kinsoku/>
        <w:overflowPunct/>
        <w:topLinePunct w:val="0"/>
        <w:bidi w:val="0"/>
        <w:snapToGrid/>
        <w:spacing w:line="360" w:lineRule="auto"/>
        <w:ind w:firstLine="600" w:firstLineChars="250"/>
        <w:rPr>
          <w:rStyle w:val="21"/>
          <w:rFonts w:hint="eastAsia" w:ascii="宋体" w:hAnsi="宋体" w:eastAsia="宋体" w:cs="宋体"/>
          <w:color w:val="auto"/>
          <w:sz w:val="24"/>
          <w:highlight w:val="none"/>
        </w:rPr>
      </w:pPr>
      <w:r>
        <w:rPr>
          <w:rStyle w:val="21"/>
          <w:rFonts w:hint="eastAsia" w:ascii="宋体" w:hAnsi="宋体" w:eastAsia="宋体" w:cs="宋体"/>
          <w:color w:val="auto"/>
          <w:sz w:val="24"/>
          <w:highlight w:val="none"/>
        </w:rPr>
        <w:t>(2)投标函及投标函附录；</w:t>
      </w:r>
    </w:p>
    <w:p>
      <w:pPr>
        <w:pStyle w:val="44"/>
        <w:pageBreakBefore w:val="0"/>
        <w:kinsoku/>
        <w:overflowPunct/>
        <w:topLinePunct w:val="0"/>
        <w:bidi w:val="0"/>
        <w:snapToGrid/>
        <w:spacing w:line="360" w:lineRule="auto"/>
        <w:ind w:firstLine="600" w:firstLineChars="250"/>
        <w:rPr>
          <w:rStyle w:val="21"/>
          <w:rFonts w:hint="eastAsia" w:ascii="宋体" w:hAnsi="宋体" w:eastAsia="宋体" w:cs="宋体"/>
          <w:color w:val="auto"/>
          <w:sz w:val="24"/>
          <w:highlight w:val="none"/>
        </w:rPr>
      </w:pPr>
      <w:r>
        <w:rPr>
          <w:rStyle w:val="21"/>
          <w:rFonts w:hint="eastAsia" w:ascii="宋体" w:hAnsi="宋体" w:eastAsia="宋体" w:cs="宋体"/>
          <w:color w:val="auto"/>
          <w:sz w:val="24"/>
          <w:highlight w:val="none"/>
        </w:rPr>
        <w:t>(3)专用合同条款；</w:t>
      </w:r>
    </w:p>
    <w:p>
      <w:pPr>
        <w:pStyle w:val="44"/>
        <w:pageBreakBefore w:val="0"/>
        <w:kinsoku/>
        <w:overflowPunct/>
        <w:topLinePunct w:val="0"/>
        <w:bidi w:val="0"/>
        <w:snapToGrid/>
        <w:spacing w:line="360" w:lineRule="auto"/>
        <w:ind w:firstLine="600" w:firstLineChars="250"/>
        <w:rPr>
          <w:rStyle w:val="21"/>
          <w:rFonts w:hint="eastAsia" w:ascii="宋体" w:hAnsi="宋体" w:eastAsia="宋体" w:cs="宋体"/>
          <w:color w:val="auto"/>
          <w:sz w:val="24"/>
          <w:highlight w:val="none"/>
        </w:rPr>
      </w:pPr>
      <w:r>
        <w:rPr>
          <w:rStyle w:val="21"/>
          <w:rFonts w:hint="eastAsia" w:ascii="宋体" w:hAnsi="宋体" w:eastAsia="宋体" w:cs="宋体"/>
          <w:color w:val="auto"/>
          <w:sz w:val="24"/>
          <w:highlight w:val="none"/>
        </w:rPr>
        <w:t>(4)通用合同条款；</w:t>
      </w:r>
    </w:p>
    <w:p>
      <w:pPr>
        <w:pStyle w:val="44"/>
        <w:pageBreakBefore w:val="0"/>
        <w:kinsoku/>
        <w:overflowPunct/>
        <w:topLinePunct w:val="0"/>
        <w:bidi w:val="0"/>
        <w:snapToGrid/>
        <w:spacing w:line="360" w:lineRule="auto"/>
        <w:ind w:firstLine="600" w:firstLineChars="250"/>
        <w:rPr>
          <w:rStyle w:val="21"/>
          <w:rFonts w:hint="eastAsia" w:ascii="宋体" w:hAnsi="宋体" w:eastAsia="宋体" w:cs="宋体"/>
          <w:color w:val="auto"/>
          <w:sz w:val="24"/>
          <w:highlight w:val="none"/>
        </w:rPr>
      </w:pPr>
      <w:r>
        <w:rPr>
          <w:rStyle w:val="21"/>
          <w:rFonts w:hint="eastAsia" w:ascii="宋体" w:hAnsi="宋体" w:eastAsia="宋体" w:cs="宋体"/>
          <w:color w:val="auto"/>
          <w:sz w:val="24"/>
          <w:highlight w:val="none"/>
        </w:rPr>
        <w:t>(5)技术标准和要求(合同技术条款)；</w:t>
      </w:r>
    </w:p>
    <w:p>
      <w:pPr>
        <w:pStyle w:val="44"/>
        <w:pageBreakBefore w:val="0"/>
        <w:kinsoku/>
        <w:overflowPunct/>
        <w:topLinePunct w:val="0"/>
        <w:bidi w:val="0"/>
        <w:snapToGrid/>
        <w:spacing w:line="360" w:lineRule="auto"/>
        <w:ind w:firstLine="600" w:firstLineChars="250"/>
        <w:rPr>
          <w:rStyle w:val="21"/>
          <w:rFonts w:hint="eastAsia" w:ascii="宋体" w:hAnsi="宋体" w:eastAsia="宋体" w:cs="宋体"/>
          <w:color w:val="auto"/>
          <w:sz w:val="24"/>
          <w:highlight w:val="none"/>
        </w:rPr>
      </w:pPr>
      <w:r>
        <w:rPr>
          <w:rStyle w:val="21"/>
          <w:rFonts w:hint="eastAsia" w:ascii="宋体" w:hAnsi="宋体" w:eastAsia="宋体" w:cs="宋体"/>
          <w:color w:val="auto"/>
          <w:sz w:val="24"/>
          <w:highlight w:val="none"/>
        </w:rPr>
        <w:t>(6)图纸；</w:t>
      </w:r>
    </w:p>
    <w:p>
      <w:pPr>
        <w:pStyle w:val="44"/>
        <w:pageBreakBefore w:val="0"/>
        <w:kinsoku/>
        <w:overflowPunct/>
        <w:topLinePunct w:val="0"/>
        <w:bidi w:val="0"/>
        <w:snapToGrid/>
        <w:spacing w:line="360" w:lineRule="auto"/>
        <w:ind w:firstLine="600" w:firstLineChars="250"/>
        <w:rPr>
          <w:rStyle w:val="21"/>
          <w:rFonts w:hint="eastAsia" w:ascii="宋体" w:hAnsi="宋体" w:eastAsia="宋体" w:cs="宋体"/>
          <w:color w:val="auto"/>
          <w:sz w:val="24"/>
          <w:highlight w:val="none"/>
        </w:rPr>
      </w:pPr>
      <w:r>
        <w:rPr>
          <w:rStyle w:val="21"/>
          <w:rFonts w:hint="eastAsia" w:ascii="宋体" w:hAnsi="宋体" w:eastAsia="宋体" w:cs="宋体"/>
          <w:color w:val="auto"/>
          <w:sz w:val="24"/>
          <w:highlight w:val="none"/>
        </w:rPr>
        <w:t>(7)已标价工程量清单；</w:t>
      </w:r>
    </w:p>
    <w:p>
      <w:pPr>
        <w:pStyle w:val="44"/>
        <w:pageBreakBefore w:val="0"/>
        <w:kinsoku/>
        <w:overflowPunct/>
        <w:topLinePunct w:val="0"/>
        <w:bidi w:val="0"/>
        <w:snapToGrid/>
        <w:spacing w:line="360" w:lineRule="auto"/>
        <w:ind w:firstLine="600" w:firstLineChars="250"/>
        <w:rPr>
          <w:rStyle w:val="21"/>
          <w:rFonts w:hint="eastAsia" w:ascii="宋体" w:hAnsi="宋体" w:eastAsia="宋体" w:cs="宋体"/>
          <w:color w:val="auto"/>
          <w:sz w:val="24"/>
          <w:highlight w:val="none"/>
        </w:rPr>
      </w:pPr>
      <w:r>
        <w:rPr>
          <w:rStyle w:val="21"/>
          <w:rFonts w:hint="eastAsia" w:ascii="宋体" w:hAnsi="宋体" w:eastAsia="宋体" w:cs="宋体"/>
          <w:color w:val="auto"/>
          <w:sz w:val="24"/>
          <w:highlight w:val="none"/>
        </w:rPr>
        <w:t>(8)其它合同文件。</w:t>
      </w:r>
    </w:p>
    <w:p>
      <w:pPr>
        <w:pStyle w:val="44"/>
        <w:pageBreakBefore w:val="0"/>
        <w:kinsoku/>
        <w:overflowPunct/>
        <w:topLinePunct w:val="0"/>
        <w:bidi w:val="0"/>
        <w:snapToGrid/>
        <w:spacing w:line="360" w:lineRule="auto"/>
        <w:ind w:firstLine="600" w:firstLineChars="250"/>
        <w:rPr>
          <w:rStyle w:val="21"/>
          <w:rFonts w:hint="eastAsia" w:ascii="宋体" w:hAnsi="宋体" w:eastAsia="宋体" w:cs="宋体"/>
          <w:color w:val="auto"/>
          <w:sz w:val="24"/>
          <w:highlight w:val="none"/>
        </w:rPr>
      </w:pPr>
      <w:r>
        <w:rPr>
          <w:rStyle w:val="21"/>
          <w:rFonts w:hint="eastAsia" w:ascii="宋体" w:hAnsi="宋体" w:eastAsia="宋体" w:cs="宋体"/>
          <w:color w:val="auto"/>
          <w:sz w:val="24"/>
          <w:highlight w:val="none"/>
        </w:rPr>
        <w:t>2.上述文件互相补充和解释，如有不明确或不一致之处，以合同约定次序在先者为准。</w:t>
      </w:r>
    </w:p>
    <w:p>
      <w:pPr>
        <w:pStyle w:val="44"/>
        <w:pageBreakBefore w:val="0"/>
        <w:kinsoku/>
        <w:overflowPunct/>
        <w:topLinePunct w:val="0"/>
        <w:bidi w:val="0"/>
        <w:snapToGrid/>
        <w:spacing w:line="360" w:lineRule="auto"/>
        <w:ind w:firstLine="600" w:firstLineChars="250"/>
        <w:rPr>
          <w:rStyle w:val="21"/>
          <w:rFonts w:hint="eastAsia" w:ascii="宋体" w:hAnsi="宋体" w:eastAsia="宋体" w:cs="宋体"/>
          <w:color w:val="auto"/>
          <w:sz w:val="24"/>
          <w:highlight w:val="none"/>
        </w:rPr>
      </w:pPr>
      <w:r>
        <w:rPr>
          <w:rStyle w:val="21"/>
          <w:rFonts w:hint="eastAsia" w:ascii="宋体" w:hAnsi="宋体" w:eastAsia="宋体" w:cs="宋体"/>
          <w:color w:val="auto"/>
          <w:sz w:val="24"/>
          <w:highlight w:val="none"/>
        </w:rPr>
        <w:t>3.签约合同价：人民币(大写)</w:t>
      </w:r>
      <w:r>
        <w:rPr>
          <w:rStyle w:val="21"/>
          <w:rFonts w:hint="eastAsia" w:ascii="宋体" w:hAnsi="宋体" w:eastAsia="宋体" w:cs="宋体"/>
          <w:color w:val="auto"/>
          <w:sz w:val="24"/>
          <w:highlight w:val="none"/>
          <w:u w:val="single"/>
          <w:lang w:val="en-US" w:eastAsia="zh-CN"/>
        </w:rPr>
        <w:t xml:space="preserve">       </w:t>
      </w:r>
      <w:r>
        <w:rPr>
          <w:rStyle w:val="21"/>
          <w:rFonts w:hint="eastAsia" w:ascii="宋体" w:hAnsi="宋体" w:eastAsia="宋体" w:cs="宋体"/>
          <w:color w:val="auto"/>
          <w:sz w:val="24"/>
          <w:highlight w:val="none"/>
        </w:rPr>
        <w:t>元(¥</w:t>
      </w:r>
      <w:r>
        <w:rPr>
          <w:rStyle w:val="21"/>
          <w:rFonts w:hint="eastAsia" w:ascii="宋体" w:hAnsi="宋体" w:eastAsia="宋体" w:cs="宋体"/>
          <w:color w:val="auto"/>
          <w:sz w:val="24"/>
          <w:highlight w:val="none"/>
          <w:u w:val="single"/>
          <w:lang w:val="en-US" w:eastAsia="zh-CN"/>
        </w:rPr>
        <w:t xml:space="preserve">       </w:t>
      </w:r>
      <w:r>
        <w:rPr>
          <w:rStyle w:val="21"/>
          <w:rFonts w:hint="eastAsia" w:ascii="宋体" w:hAnsi="宋体" w:eastAsia="宋体" w:cs="宋体"/>
          <w:color w:val="auto"/>
          <w:sz w:val="24"/>
          <w:highlight w:val="none"/>
        </w:rPr>
        <w:t>元)。</w:t>
      </w:r>
    </w:p>
    <w:p>
      <w:pPr>
        <w:pStyle w:val="44"/>
        <w:pageBreakBefore w:val="0"/>
        <w:kinsoku/>
        <w:overflowPunct/>
        <w:topLinePunct w:val="0"/>
        <w:bidi w:val="0"/>
        <w:snapToGrid/>
        <w:spacing w:line="360" w:lineRule="auto"/>
        <w:ind w:firstLine="600" w:firstLineChars="250"/>
        <w:rPr>
          <w:rStyle w:val="21"/>
          <w:rFonts w:hint="eastAsia" w:ascii="宋体" w:hAnsi="宋体" w:eastAsia="宋体" w:cs="宋体"/>
          <w:color w:val="auto"/>
          <w:sz w:val="24"/>
          <w:highlight w:val="none"/>
        </w:rPr>
      </w:pPr>
      <w:r>
        <w:rPr>
          <w:rStyle w:val="21"/>
          <w:rFonts w:hint="eastAsia" w:ascii="宋体" w:hAnsi="宋体" w:eastAsia="宋体" w:cs="宋体"/>
          <w:color w:val="auto"/>
          <w:sz w:val="24"/>
          <w:highlight w:val="none"/>
        </w:rPr>
        <w:t>4.承包人项目经理：</w:t>
      </w:r>
      <w:r>
        <w:rPr>
          <w:rStyle w:val="21"/>
          <w:rFonts w:hint="eastAsia" w:ascii="宋体" w:hAnsi="宋体" w:eastAsia="宋体" w:cs="宋体"/>
          <w:color w:val="auto"/>
          <w:sz w:val="24"/>
          <w:highlight w:val="none"/>
          <w:u w:val="single"/>
          <w:lang w:val="en-US" w:eastAsia="zh-CN"/>
        </w:rPr>
        <w:t xml:space="preserve">       </w:t>
      </w:r>
      <w:r>
        <w:rPr>
          <w:rStyle w:val="21"/>
          <w:rFonts w:hint="eastAsia" w:ascii="宋体" w:hAnsi="宋体" w:eastAsia="宋体" w:cs="宋体"/>
          <w:color w:val="auto"/>
          <w:sz w:val="24"/>
          <w:highlight w:val="none"/>
        </w:rPr>
        <w:t>。</w:t>
      </w:r>
    </w:p>
    <w:p>
      <w:pPr>
        <w:pStyle w:val="44"/>
        <w:pageBreakBefore w:val="0"/>
        <w:kinsoku/>
        <w:overflowPunct/>
        <w:topLinePunct w:val="0"/>
        <w:bidi w:val="0"/>
        <w:snapToGrid/>
        <w:spacing w:line="360" w:lineRule="auto"/>
        <w:ind w:firstLine="600" w:firstLineChars="250"/>
        <w:rPr>
          <w:rStyle w:val="21"/>
          <w:rFonts w:hint="eastAsia" w:ascii="宋体" w:hAnsi="宋体" w:eastAsia="宋体" w:cs="宋体"/>
          <w:color w:val="auto"/>
          <w:sz w:val="24"/>
          <w:highlight w:val="none"/>
        </w:rPr>
      </w:pPr>
      <w:r>
        <w:rPr>
          <w:rStyle w:val="21"/>
          <w:rFonts w:hint="eastAsia" w:ascii="宋体" w:hAnsi="宋体" w:eastAsia="宋体" w:cs="宋体"/>
          <w:color w:val="auto"/>
          <w:sz w:val="24"/>
          <w:highlight w:val="none"/>
        </w:rPr>
        <w:t>5.工程质量符合</w:t>
      </w:r>
      <w:r>
        <w:rPr>
          <w:rStyle w:val="21"/>
          <w:rFonts w:hint="eastAsia" w:ascii="宋体" w:hAnsi="宋体" w:eastAsia="宋体" w:cs="宋体"/>
          <w:color w:val="auto"/>
          <w:sz w:val="24"/>
          <w:highlight w:val="none"/>
          <w:u w:val="single"/>
          <w:lang w:val="en-US" w:eastAsia="zh-CN"/>
        </w:rPr>
        <w:t xml:space="preserve">       </w:t>
      </w:r>
      <w:r>
        <w:rPr>
          <w:rStyle w:val="21"/>
          <w:rFonts w:hint="eastAsia" w:ascii="宋体" w:hAnsi="宋体" w:eastAsia="宋体" w:cs="宋体"/>
          <w:color w:val="auto"/>
          <w:sz w:val="24"/>
          <w:highlight w:val="none"/>
        </w:rPr>
        <w:t>标准。</w:t>
      </w:r>
    </w:p>
    <w:p>
      <w:pPr>
        <w:pStyle w:val="44"/>
        <w:pageBreakBefore w:val="0"/>
        <w:kinsoku/>
        <w:overflowPunct/>
        <w:topLinePunct w:val="0"/>
        <w:bidi w:val="0"/>
        <w:snapToGrid/>
        <w:spacing w:line="360" w:lineRule="auto"/>
        <w:ind w:firstLine="600" w:firstLineChars="250"/>
        <w:rPr>
          <w:rStyle w:val="21"/>
          <w:rFonts w:hint="eastAsia" w:ascii="宋体" w:hAnsi="宋体" w:eastAsia="宋体" w:cs="宋体"/>
          <w:color w:val="auto"/>
          <w:sz w:val="24"/>
          <w:highlight w:val="none"/>
        </w:rPr>
      </w:pPr>
      <w:r>
        <w:rPr>
          <w:rStyle w:val="21"/>
          <w:rFonts w:hint="eastAsia" w:ascii="宋体" w:hAnsi="宋体" w:eastAsia="宋体" w:cs="宋体"/>
          <w:color w:val="auto"/>
          <w:sz w:val="24"/>
          <w:highlight w:val="none"/>
        </w:rPr>
        <w:t>6.承包人承诺按合同约定承担工程的实施、完成及缺陷修复。</w:t>
      </w:r>
    </w:p>
    <w:p>
      <w:pPr>
        <w:pStyle w:val="44"/>
        <w:pageBreakBefore w:val="0"/>
        <w:kinsoku/>
        <w:overflowPunct/>
        <w:topLinePunct w:val="0"/>
        <w:bidi w:val="0"/>
        <w:snapToGrid/>
        <w:spacing w:line="360" w:lineRule="auto"/>
        <w:ind w:firstLine="600" w:firstLineChars="250"/>
        <w:rPr>
          <w:rStyle w:val="21"/>
          <w:rFonts w:hint="eastAsia" w:ascii="宋体" w:hAnsi="宋体" w:eastAsia="宋体" w:cs="宋体"/>
          <w:color w:val="auto"/>
          <w:sz w:val="24"/>
          <w:highlight w:val="none"/>
        </w:rPr>
      </w:pPr>
      <w:r>
        <w:rPr>
          <w:rStyle w:val="21"/>
          <w:rFonts w:hint="eastAsia" w:ascii="宋体" w:hAnsi="宋体" w:eastAsia="宋体" w:cs="宋体"/>
          <w:color w:val="auto"/>
          <w:sz w:val="24"/>
          <w:highlight w:val="none"/>
        </w:rPr>
        <w:t>7.发包人承诺按合同约定的条件、时间和方式向承包人支付合同价款。</w:t>
      </w:r>
    </w:p>
    <w:p>
      <w:pPr>
        <w:pStyle w:val="44"/>
        <w:pageBreakBefore w:val="0"/>
        <w:kinsoku/>
        <w:overflowPunct/>
        <w:topLinePunct w:val="0"/>
        <w:bidi w:val="0"/>
        <w:snapToGrid/>
        <w:spacing w:line="360" w:lineRule="auto"/>
        <w:ind w:firstLine="600" w:firstLineChars="250"/>
        <w:rPr>
          <w:rStyle w:val="21"/>
          <w:rFonts w:hint="eastAsia" w:ascii="宋体" w:hAnsi="宋体" w:eastAsia="宋体" w:cs="宋体"/>
          <w:color w:val="auto"/>
          <w:sz w:val="24"/>
          <w:highlight w:val="none"/>
        </w:rPr>
      </w:pPr>
      <w:r>
        <w:rPr>
          <w:rStyle w:val="21"/>
          <w:rFonts w:hint="eastAsia" w:ascii="宋体" w:hAnsi="宋体" w:eastAsia="宋体" w:cs="宋体"/>
          <w:color w:val="auto"/>
          <w:sz w:val="24"/>
          <w:highlight w:val="none"/>
        </w:rPr>
        <w:t>8.承包人承诺执行监理人开工通知，计划工期为</w:t>
      </w:r>
      <w:r>
        <w:rPr>
          <w:rStyle w:val="21"/>
          <w:rFonts w:hint="eastAsia" w:ascii="宋体" w:hAnsi="宋体" w:eastAsia="宋体" w:cs="宋体"/>
          <w:color w:val="auto"/>
          <w:sz w:val="24"/>
          <w:highlight w:val="none"/>
          <w:u w:val="single"/>
          <w:lang w:val="en-US" w:eastAsia="zh-CN"/>
        </w:rPr>
        <w:t xml:space="preserve">       </w:t>
      </w:r>
      <w:r>
        <w:rPr>
          <w:rStyle w:val="21"/>
          <w:rFonts w:hint="eastAsia" w:ascii="宋体" w:hAnsi="宋体" w:eastAsia="宋体" w:cs="宋体"/>
          <w:color w:val="auto"/>
          <w:sz w:val="24"/>
          <w:highlight w:val="none"/>
        </w:rPr>
        <w:t>天。</w:t>
      </w:r>
    </w:p>
    <w:p>
      <w:pPr>
        <w:pStyle w:val="44"/>
        <w:pageBreakBefore w:val="0"/>
        <w:kinsoku/>
        <w:overflowPunct/>
        <w:topLinePunct w:val="0"/>
        <w:bidi w:val="0"/>
        <w:snapToGrid/>
        <w:spacing w:line="360" w:lineRule="auto"/>
        <w:ind w:firstLine="600" w:firstLineChars="250"/>
        <w:rPr>
          <w:rStyle w:val="21"/>
          <w:rFonts w:hint="eastAsia" w:ascii="宋体" w:hAnsi="宋体" w:eastAsia="宋体" w:cs="宋体"/>
          <w:color w:val="auto"/>
          <w:sz w:val="24"/>
          <w:highlight w:val="none"/>
        </w:rPr>
      </w:pPr>
      <w:r>
        <w:rPr>
          <w:rStyle w:val="21"/>
          <w:rFonts w:hint="eastAsia" w:ascii="宋体" w:hAnsi="宋体" w:eastAsia="宋体" w:cs="宋体"/>
          <w:color w:val="auto"/>
          <w:sz w:val="24"/>
          <w:highlight w:val="none"/>
        </w:rPr>
        <w:t>9.本协议书一式</w:t>
      </w:r>
      <w:r>
        <w:rPr>
          <w:rStyle w:val="21"/>
          <w:rFonts w:hint="eastAsia" w:ascii="宋体" w:hAnsi="宋体" w:eastAsia="宋体" w:cs="宋体"/>
          <w:color w:val="auto"/>
          <w:sz w:val="24"/>
          <w:highlight w:val="none"/>
          <w:u w:val="single"/>
          <w:lang w:val="en-US" w:eastAsia="zh-CN"/>
        </w:rPr>
        <w:t xml:space="preserve">       </w:t>
      </w:r>
      <w:r>
        <w:rPr>
          <w:rStyle w:val="21"/>
          <w:rFonts w:hint="eastAsia" w:ascii="宋体" w:hAnsi="宋体" w:eastAsia="宋体" w:cs="宋体"/>
          <w:color w:val="auto"/>
          <w:sz w:val="24"/>
          <w:highlight w:val="none"/>
        </w:rPr>
        <w:t>份，合同双方各执一份。</w:t>
      </w:r>
    </w:p>
    <w:p>
      <w:pPr>
        <w:pStyle w:val="44"/>
        <w:pageBreakBefore w:val="0"/>
        <w:kinsoku/>
        <w:overflowPunct/>
        <w:topLinePunct w:val="0"/>
        <w:bidi w:val="0"/>
        <w:snapToGrid/>
        <w:spacing w:line="360" w:lineRule="auto"/>
        <w:ind w:firstLine="600" w:firstLineChars="250"/>
        <w:rPr>
          <w:rStyle w:val="21"/>
          <w:rFonts w:hint="eastAsia" w:ascii="宋体" w:hAnsi="宋体" w:eastAsia="宋体" w:cs="宋体"/>
          <w:color w:val="auto"/>
          <w:sz w:val="24"/>
          <w:highlight w:val="none"/>
        </w:rPr>
      </w:pPr>
      <w:r>
        <w:rPr>
          <w:rStyle w:val="21"/>
          <w:rFonts w:hint="eastAsia" w:ascii="宋体" w:hAnsi="宋体" w:eastAsia="宋体" w:cs="宋体"/>
          <w:color w:val="auto"/>
          <w:sz w:val="24"/>
          <w:highlight w:val="none"/>
        </w:rPr>
        <w:t>10.合同未尽事宜，双方另行签订补充协议。补充协议是合同的组成部分。</w:t>
      </w:r>
    </w:p>
    <w:p>
      <w:pPr>
        <w:pStyle w:val="44"/>
        <w:pageBreakBefore w:val="0"/>
        <w:kinsoku/>
        <w:overflowPunct/>
        <w:topLinePunct w:val="0"/>
        <w:bidi w:val="0"/>
        <w:snapToGrid/>
        <w:spacing w:line="360" w:lineRule="auto"/>
        <w:ind w:firstLine="600" w:firstLineChars="250"/>
        <w:rPr>
          <w:rStyle w:val="21"/>
          <w:rFonts w:hint="eastAsia" w:ascii="宋体" w:hAnsi="宋体" w:eastAsia="宋体" w:cs="宋体"/>
          <w:color w:val="auto"/>
          <w:sz w:val="24"/>
          <w:highlight w:val="none"/>
        </w:rPr>
      </w:pPr>
      <w:r>
        <w:rPr>
          <w:rStyle w:val="21"/>
          <w:rFonts w:hint="eastAsia" w:ascii="宋体" w:hAnsi="宋体" w:eastAsia="宋体" w:cs="宋体"/>
          <w:color w:val="auto"/>
          <w:sz w:val="24"/>
          <w:highlight w:val="none"/>
        </w:rPr>
        <w:t>发包人：</w:t>
      </w:r>
      <w:r>
        <w:rPr>
          <w:rStyle w:val="21"/>
          <w:rFonts w:hint="eastAsia" w:ascii="宋体" w:hAnsi="宋体" w:eastAsia="宋体" w:cs="宋体"/>
          <w:color w:val="auto"/>
          <w:sz w:val="24"/>
          <w:highlight w:val="none"/>
          <w:u w:val="single"/>
          <w:lang w:val="en-US" w:eastAsia="zh-CN"/>
        </w:rPr>
        <w:t xml:space="preserve">       </w:t>
      </w:r>
      <w:r>
        <w:rPr>
          <w:rStyle w:val="21"/>
          <w:rFonts w:hint="eastAsia" w:ascii="宋体" w:hAnsi="宋体" w:eastAsia="宋体" w:cs="宋体"/>
          <w:color w:val="auto"/>
          <w:sz w:val="24"/>
          <w:highlight w:val="none"/>
          <w:u w:val="single"/>
        </w:rPr>
        <w:t xml:space="preserve"> </w:t>
      </w:r>
      <w:r>
        <w:rPr>
          <w:rStyle w:val="21"/>
          <w:rFonts w:hint="eastAsia" w:ascii="宋体" w:hAnsi="宋体" w:eastAsia="宋体" w:cs="宋体"/>
          <w:color w:val="auto"/>
          <w:sz w:val="24"/>
          <w:highlight w:val="none"/>
        </w:rPr>
        <w:t>(盖单位章)承包人：</w:t>
      </w:r>
      <w:r>
        <w:rPr>
          <w:rStyle w:val="21"/>
          <w:rFonts w:hint="eastAsia" w:ascii="宋体" w:hAnsi="宋体" w:eastAsia="宋体" w:cs="宋体"/>
          <w:color w:val="auto"/>
          <w:sz w:val="24"/>
          <w:highlight w:val="none"/>
          <w:u w:val="single"/>
          <w:lang w:val="en-US" w:eastAsia="zh-CN"/>
        </w:rPr>
        <w:t xml:space="preserve">       </w:t>
      </w:r>
      <w:r>
        <w:rPr>
          <w:rStyle w:val="21"/>
          <w:rFonts w:hint="eastAsia" w:ascii="宋体" w:hAnsi="宋体" w:eastAsia="宋体" w:cs="宋体"/>
          <w:color w:val="auto"/>
          <w:sz w:val="24"/>
          <w:highlight w:val="none"/>
        </w:rPr>
        <w:t>(盖单位章)</w:t>
      </w:r>
    </w:p>
    <w:p>
      <w:pPr>
        <w:pStyle w:val="44"/>
        <w:pageBreakBefore w:val="0"/>
        <w:kinsoku/>
        <w:overflowPunct/>
        <w:topLinePunct w:val="0"/>
        <w:bidi w:val="0"/>
        <w:snapToGrid/>
        <w:spacing w:line="360" w:lineRule="auto"/>
        <w:ind w:left="3150" w:leftChars="300" w:hanging="2520" w:hangingChars="1050"/>
        <w:jc w:val="left"/>
        <w:rPr>
          <w:rStyle w:val="21"/>
          <w:rFonts w:hint="eastAsia" w:ascii="宋体" w:hAnsi="宋体" w:eastAsia="宋体" w:cs="宋体"/>
          <w:color w:val="auto"/>
          <w:sz w:val="24"/>
          <w:highlight w:val="none"/>
        </w:rPr>
      </w:pPr>
      <w:r>
        <w:rPr>
          <w:rStyle w:val="21"/>
          <w:rFonts w:hint="eastAsia" w:ascii="宋体" w:hAnsi="宋体" w:eastAsia="宋体" w:cs="宋体"/>
          <w:color w:val="auto"/>
          <w:sz w:val="24"/>
          <w:highlight w:val="none"/>
        </w:rPr>
        <w:t>法定代表人或其委托代理人：</w:t>
      </w:r>
      <w:r>
        <w:rPr>
          <w:rStyle w:val="21"/>
          <w:rFonts w:hint="eastAsia" w:ascii="宋体" w:hAnsi="宋体" w:eastAsia="宋体" w:cs="宋体"/>
          <w:color w:val="auto"/>
          <w:sz w:val="24"/>
          <w:highlight w:val="none"/>
          <w:u w:val="single"/>
        </w:rPr>
        <w:t xml:space="preserve">   </w:t>
      </w:r>
      <w:r>
        <w:rPr>
          <w:rStyle w:val="21"/>
          <w:rFonts w:hint="eastAsia" w:ascii="宋体" w:hAnsi="宋体" w:eastAsia="宋体" w:cs="宋体"/>
          <w:color w:val="auto"/>
          <w:sz w:val="24"/>
          <w:highlight w:val="none"/>
        </w:rPr>
        <w:t>(签字)　法定代表人或其委托代理人：</w:t>
      </w:r>
      <w:r>
        <w:rPr>
          <w:rStyle w:val="21"/>
          <w:rFonts w:hint="eastAsia" w:ascii="宋体" w:hAnsi="宋体" w:eastAsia="宋体" w:cs="宋体"/>
          <w:color w:val="auto"/>
          <w:sz w:val="24"/>
          <w:highlight w:val="none"/>
          <w:u w:val="single"/>
        </w:rPr>
        <w:t xml:space="preserve">   </w:t>
      </w:r>
      <w:r>
        <w:rPr>
          <w:rStyle w:val="21"/>
          <w:rFonts w:hint="eastAsia" w:ascii="宋体" w:hAnsi="宋体" w:eastAsia="宋体" w:cs="宋体"/>
          <w:color w:val="auto"/>
          <w:sz w:val="24"/>
          <w:highlight w:val="none"/>
        </w:rPr>
        <w:t>(签字)</w:t>
      </w:r>
    </w:p>
    <w:p>
      <w:pPr>
        <w:pStyle w:val="44"/>
        <w:pageBreakBefore w:val="0"/>
        <w:kinsoku/>
        <w:overflowPunct/>
        <w:topLinePunct w:val="0"/>
        <w:bidi w:val="0"/>
        <w:snapToGrid/>
        <w:spacing w:line="360" w:lineRule="auto"/>
        <w:ind w:firstLine="2640" w:firstLineChars="1100"/>
        <w:jc w:val="left"/>
        <w:rPr>
          <w:rStyle w:val="21"/>
          <w:rFonts w:hint="eastAsia" w:ascii="宋体" w:hAnsi="宋体" w:eastAsia="宋体" w:cs="宋体"/>
          <w:color w:val="auto"/>
          <w:sz w:val="24"/>
          <w:highlight w:val="none"/>
        </w:rPr>
      </w:pPr>
      <w:r>
        <w:rPr>
          <w:rStyle w:val="21"/>
          <w:rFonts w:hint="eastAsia" w:ascii="宋体" w:hAnsi="宋体" w:eastAsia="宋体" w:cs="宋体"/>
          <w:color w:val="auto"/>
          <w:sz w:val="24"/>
          <w:highlight w:val="none"/>
          <w:u w:val="single"/>
          <w:lang w:val="en-US" w:eastAsia="zh-CN"/>
        </w:rPr>
        <w:t xml:space="preserve">       </w:t>
      </w:r>
      <w:r>
        <w:rPr>
          <w:rStyle w:val="21"/>
          <w:rFonts w:hint="eastAsia" w:ascii="宋体" w:hAnsi="宋体" w:eastAsia="宋体" w:cs="宋体"/>
          <w:color w:val="auto"/>
          <w:sz w:val="24"/>
          <w:highlight w:val="none"/>
        </w:rPr>
        <w:t>年</w:t>
      </w:r>
      <w:r>
        <w:rPr>
          <w:rStyle w:val="21"/>
          <w:rFonts w:hint="eastAsia" w:ascii="宋体" w:hAnsi="宋体" w:eastAsia="宋体" w:cs="宋体"/>
          <w:color w:val="auto"/>
          <w:sz w:val="24"/>
          <w:highlight w:val="none"/>
          <w:u w:val="single"/>
          <w:lang w:val="en-US" w:eastAsia="zh-CN"/>
        </w:rPr>
        <w:t xml:space="preserve">  </w:t>
      </w:r>
      <w:r>
        <w:rPr>
          <w:rStyle w:val="21"/>
          <w:rFonts w:hint="eastAsia" w:ascii="宋体" w:hAnsi="宋体" w:eastAsia="宋体" w:cs="宋体"/>
          <w:color w:val="auto"/>
          <w:sz w:val="24"/>
          <w:highlight w:val="none"/>
        </w:rPr>
        <w:t>月</w:t>
      </w:r>
      <w:r>
        <w:rPr>
          <w:rStyle w:val="21"/>
          <w:rFonts w:hint="eastAsia" w:ascii="宋体" w:hAnsi="宋体" w:eastAsia="宋体" w:cs="宋体"/>
          <w:color w:val="auto"/>
          <w:sz w:val="24"/>
          <w:highlight w:val="none"/>
          <w:u w:val="single"/>
          <w:lang w:val="en-US" w:eastAsia="zh-CN"/>
        </w:rPr>
        <w:t xml:space="preserve">  </w:t>
      </w:r>
      <w:r>
        <w:rPr>
          <w:rStyle w:val="21"/>
          <w:rFonts w:hint="eastAsia" w:ascii="宋体" w:hAnsi="宋体" w:eastAsia="宋体" w:cs="宋体"/>
          <w:color w:val="auto"/>
          <w:sz w:val="24"/>
          <w:highlight w:val="none"/>
        </w:rPr>
        <w:t>日</w:t>
      </w:r>
      <w:r>
        <w:rPr>
          <w:rStyle w:val="21"/>
          <w:rFonts w:hint="eastAsia" w:ascii="宋体" w:hAnsi="宋体" w:eastAsia="宋体" w:cs="宋体"/>
          <w:color w:val="auto"/>
          <w:sz w:val="24"/>
          <w:highlight w:val="none"/>
          <w:lang w:val="en-US" w:eastAsia="zh-CN"/>
        </w:rPr>
        <w:t xml:space="preserve">       </w:t>
      </w:r>
      <w:r>
        <w:rPr>
          <w:rStyle w:val="21"/>
          <w:rFonts w:hint="eastAsia" w:ascii="宋体" w:hAnsi="宋体" w:eastAsia="宋体" w:cs="宋体"/>
          <w:color w:val="auto"/>
          <w:sz w:val="24"/>
          <w:highlight w:val="none"/>
          <w:u w:val="single"/>
          <w:lang w:val="en-US" w:eastAsia="zh-CN"/>
        </w:rPr>
        <w:t xml:space="preserve">       </w:t>
      </w:r>
      <w:r>
        <w:rPr>
          <w:rStyle w:val="21"/>
          <w:rFonts w:hint="eastAsia" w:ascii="宋体" w:hAnsi="宋体" w:eastAsia="宋体" w:cs="宋体"/>
          <w:color w:val="auto"/>
          <w:sz w:val="24"/>
          <w:highlight w:val="none"/>
        </w:rPr>
        <w:t>年</w:t>
      </w:r>
      <w:r>
        <w:rPr>
          <w:rStyle w:val="21"/>
          <w:rFonts w:hint="eastAsia" w:ascii="宋体" w:hAnsi="宋体" w:eastAsia="宋体" w:cs="宋体"/>
          <w:color w:val="auto"/>
          <w:sz w:val="24"/>
          <w:highlight w:val="none"/>
          <w:u w:val="single"/>
          <w:lang w:val="en-US" w:eastAsia="zh-CN"/>
        </w:rPr>
        <w:t xml:space="preserve">  </w:t>
      </w:r>
      <w:r>
        <w:rPr>
          <w:rStyle w:val="21"/>
          <w:rFonts w:hint="eastAsia" w:ascii="宋体" w:hAnsi="宋体" w:eastAsia="宋体" w:cs="宋体"/>
          <w:color w:val="auto"/>
          <w:sz w:val="24"/>
          <w:highlight w:val="none"/>
        </w:rPr>
        <w:t>月</w:t>
      </w:r>
      <w:r>
        <w:rPr>
          <w:rStyle w:val="21"/>
          <w:rFonts w:hint="eastAsia" w:ascii="宋体" w:hAnsi="宋体" w:eastAsia="宋体" w:cs="宋体"/>
          <w:color w:val="auto"/>
          <w:sz w:val="24"/>
          <w:highlight w:val="none"/>
          <w:u w:val="single"/>
          <w:lang w:val="en-US" w:eastAsia="zh-CN"/>
        </w:rPr>
        <w:t xml:space="preserve">  </w:t>
      </w:r>
      <w:r>
        <w:rPr>
          <w:rStyle w:val="21"/>
          <w:rFonts w:hint="eastAsia" w:ascii="宋体" w:hAnsi="宋体" w:eastAsia="宋体" w:cs="宋体"/>
          <w:color w:val="auto"/>
          <w:sz w:val="24"/>
          <w:highlight w:val="none"/>
        </w:rPr>
        <w:t>日</w:t>
      </w:r>
    </w:p>
    <w:p>
      <w:pPr>
        <w:rPr>
          <w:rStyle w:val="21"/>
          <w:rFonts w:hint="eastAsia" w:ascii="宋体" w:hAnsi="宋体" w:eastAsia="宋体" w:cs="宋体"/>
          <w:color w:val="auto"/>
          <w:sz w:val="28"/>
          <w:szCs w:val="28"/>
          <w:highlight w:val="none"/>
        </w:rPr>
      </w:pPr>
      <w:r>
        <w:rPr>
          <w:rStyle w:val="21"/>
          <w:rFonts w:hint="eastAsia" w:ascii="宋体" w:hAnsi="宋体" w:eastAsia="宋体" w:cs="宋体"/>
          <w:color w:val="auto"/>
          <w:sz w:val="28"/>
          <w:szCs w:val="28"/>
          <w:highlight w:val="none"/>
        </w:rPr>
        <w:br w:type="page"/>
      </w:r>
    </w:p>
    <w:p>
      <w:pPr>
        <w:pStyle w:val="44"/>
        <w:pageBreakBefore w:val="0"/>
        <w:kinsoku/>
        <w:overflowPunct/>
        <w:topLinePunct w:val="0"/>
        <w:bidi w:val="0"/>
        <w:snapToGrid/>
        <w:spacing w:line="360" w:lineRule="auto"/>
        <w:jc w:val="center"/>
        <w:rPr>
          <w:rStyle w:val="21"/>
          <w:rFonts w:hint="eastAsia" w:ascii="宋体" w:hAnsi="宋体" w:eastAsia="宋体" w:cs="宋体"/>
          <w:color w:val="auto"/>
          <w:sz w:val="28"/>
          <w:szCs w:val="28"/>
          <w:highlight w:val="none"/>
        </w:rPr>
      </w:pPr>
      <w:r>
        <w:rPr>
          <w:rStyle w:val="21"/>
          <w:rFonts w:hint="eastAsia" w:ascii="宋体" w:hAnsi="宋体" w:eastAsia="宋体" w:cs="宋体"/>
          <w:color w:val="auto"/>
          <w:sz w:val="28"/>
          <w:szCs w:val="28"/>
          <w:highlight w:val="none"/>
        </w:rPr>
        <w:t>履约担保</w:t>
      </w:r>
    </w:p>
    <w:p>
      <w:pPr>
        <w:pStyle w:val="44"/>
        <w:pageBreakBefore w:val="0"/>
        <w:kinsoku/>
        <w:overflowPunct/>
        <w:topLinePunct w:val="0"/>
        <w:bidi w:val="0"/>
        <w:snapToGrid/>
        <w:spacing w:line="360" w:lineRule="auto"/>
        <w:jc w:val="left"/>
        <w:rPr>
          <w:rStyle w:val="21"/>
          <w:rFonts w:hint="eastAsia" w:ascii="宋体" w:hAnsi="宋体" w:eastAsia="宋体" w:cs="宋体"/>
          <w:color w:val="auto"/>
          <w:highlight w:val="none"/>
        </w:rPr>
      </w:pPr>
    </w:p>
    <w:p>
      <w:pPr>
        <w:pStyle w:val="44"/>
        <w:pageBreakBefore w:val="0"/>
        <w:kinsoku/>
        <w:overflowPunct/>
        <w:topLinePunct w:val="0"/>
        <w:bidi w:val="0"/>
        <w:snapToGrid/>
        <w:spacing w:line="360" w:lineRule="auto"/>
        <w:rPr>
          <w:rStyle w:val="21"/>
          <w:rFonts w:hint="eastAsia" w:ascii="宋体" w:hAnsi="宋体" w:eastAsia="宋体" w:cs="宋体"/>
          <w:color w:val="auto"/>
          <w:sz w:val="24"/>
          <w:highlight w:val="none"/>
        </w:rPr>
      </w:pPr>
      <w:r>
        <w:rPr>
          <w:rStyle w:val="21"/>
          <w:rFonts w:hint="eastAsia" w:ascii="宋体" w:hAnsi="宋体" w:eastAsia="宋体" w:cs="宋体"/>
          <w:color w:val="auto"/>
          <w:sz w:val="24"/>
          <w:highlight w:val="none"/>
          <w:u w:val="single"/>
          <w:lang w:val="en-US" w:eastAsia="zh-CN"/>
        </w:rPr>
        <w:t xml:space="preserve">       </w:t>
      </w:r>
      <w:r>
        <w:rPr>
          <w:rStyle w:val="21"/>
          <w:rFonts w:hint="eastAsia" w:ascii="宋体" w:hAnsi="宋体" w:eastAsia="宋体" w:cs="宋体"/>
          <w:color w:val="auto"/>
          <w:sz w:val="24"/>
          <w:highlight w:val="none"/>
        </w:rPr>
        <w:t>(发包人名称)：</w:t>
      </w:r>
    </w:p>
    <w:p>
      <w:pPr>
        <w:pStyle w:val="44"/>
        <w:pageBreakBefore w:val="0"/>
        <w:kinsoku/>
        <w:overflowPunct/>
        <w:topLinePunct w:val="0"/>
        <w:bidi w:val="0"/>
        <w:snapToGrid/>
        <w:spacing w:line="360" w:lineRule="auto"/>
        <w:rPr>
          <w:rStyle w:val="21"/>
          <w:rFonts w:hint="eastAsia" w:ascii="宋体" w:hAnsi="宋体" w:eastAsia="宋体" w:cs="宋体"/>
          <w:color w:val="auto"/>
          <w:sz w:val="24"/>
          <w:highlight w:val="none"/>
        </w:rPr>
      </w:pPr>
      <w:r>
        <w:rPr>
          <w:rStyle w:val="21"/>
          <w:rFonts w:hint="eastAsia" w:ascii="宋体" w:hAnsi="宋体" w:eastAsia="宋体" w:cs="宋体"/>
          <w:color w:val="auto"/>
          <w:sz w:val="24"/>
          <w:highlight w:val="none"/>
          <w:lang w:val="en-US" w:eastAsia="zh-CN"/>
        </w:rPr>
        <w:t xml:space="preserve">   </w:t>
      </w:r>
      <w:r>
        <w:rPr>
          <w:rStyle w:val="21"/>
          <w:rFonts w:hint="eastAsia" w:ascii="宋体" w:hAnsi="宋体" w:eastAsia="宋体" w:cs="宋体"/>
          <w:color w:val="auto"/>
          <w:sz w:val="24"/>
          <w:highlight w:val="none"/>
        </w:rPr>
        <w:t>鉴于</w:t>
      </w:r>
      <w:r>
        <w:rPr>
          <w:rStyle w:val="21"/>
          <w:rFonts w:hint="eastAsia" w:ascii="宋体" w:hAnsi="宋体" w:eastAsia="宋体" w:cs="宋体"/>
          <w:color w:val="auto"/>
          <w:sz w:val="24"/>
          <w:highlight w:val="none"/>
          <w:u w:val="single"/>
          <w:lang w:val="en-US" w:eastAsia="zh-CN"/>
        </w:rPr>
        <w:t xml:space="preserve">       </w:t>
      </w:r>
      <w:r>
        <w:rPr>
          <w:rStyle w:val="21"/>
          <w:rFonts w:hint="eastAsia" w:ascii="宋体" w:hAnsi="宋体" w:eastAsia="宋体" w:cs="宋体"/>
          <w:color w:val="auto"/>
          <w:sz w:val="24"/>
          <w:highlight w:val="none"/>
        </w:rPr>
        <w:t>(发包人名称，以下简称“发包人”)已接受</w:t>
      </w:r>
      <w:r>
        <w:rPr>
          <w:rStyle w:val="21"/>
          <w:rFonts w:hint="eastAsia" w:ascii="宋体" w:hAnsi="宋体" w:eastAsia="宋体" w:cs="宋体"/>
          <w:color w:val="auto"/>
          <w:sz w:val="24"/>
          <w:highlight w:val="none"/>
          <w:u w:val="single"/>
          <w:lang w:val="en-US" w:eastAsia="zh-CN"/>
        </w:rPr>
        <w:t xml:space="preserve">       </w:t>
      </w:r>
      <w:r>
        <w:rPr>
          <w:rStyle w:val="21"/>
          <w:rFonts w:hint="eastAsia" w:ascii="宋体" w:hAnsi="宋体" w:eastAsia="宋体" w:cs="宋体"/>
          <w:color w:val="auto"/>
          <w:sz w:val="24"/>
          <w:highlight w:val="none"/>
        </w:rPr>
        <w:t>(承包人名称，以下简称“承包人”)于</w:t>
      </w:r>
      <w:r>
        <w:rPr>
          <w:rStyle w:val="21"/>
          <w:rFonts w:hint="eastAsia" w:ascii="宋体" w:hAnsi="宋体" w:eastAsia="宋体" w:cs="宋体"/>
          <w:color w:val="auto"/>
          <w:sz w:val="24"/>
          <w:highlight w:val="none"/>
          <w:u w:val="single"/>
          <w:lang w:val="en-US" w:eastAsia="zh-CN"/>
        </w:rPr>
        <w:t xml:space="preserve">       </w:t>
      </w:r>
      <w:r>
        <w:rPr>
          <w:rStyle w:val="21"/>
          <w:rFonts w:hint="eastAsia" w:ascii="宋体" w:hAnsi="宋体" w:eastAsia="宋体" w:cs="宋体"/>
          <w:color w:val="auto"/>
          <w:sz w:val="24"/>
          <w:highlight w:val="none"/>
        </w:rPr>
        <w:t>年</w:t>
      </w:r>
      <w:r>
        <w:rPr>
          <w:rStyle w:val="21"/>
          <w:rFonts w:hint="eastAsia" w:ascii="宋体" w:hAnsi="宋体" w:eastAsia="宋体" w:cs="宋体"/>
          <w:color w:val="auto"/>
          <w:sz w:val="24"/>
          <w:highlight w:val="none"/>
          <w:u w:val="single"/>
          <w:lang w:val="en-US" w:eastAsia="zh-CN"/>
        </w:rPr>
        <w:t xml:space="preserve">  </w:t>
      </w:r>
      <w:r>
        <w:rPr>
          <w:rStyle w:val="21"/>
          <w:rFonts w:hint="eastAsia" w:ascii="宋体" w:hAnsi="宋体" w:eastAsia="宋体" w:cs="宋体"/>
          <w:color w:val="auto"/>
          <w:sz w:val="24"/>
          <w:highlight w:val="none"/>
        </w:rPr>
        <w:t>月</w:t>
      </w:r>
      <w:r>
        <w:rPr>
          <w:rStyle w:val="21"/>
          <w:rFonts w:hint="eastAsia" w:ascii="宋体" w:hAnsi="宋体" w:eastAsia="宋体" w:cs="宋体"/>
          <w:color w:val="auto"/>
          <w:sz w:val="24"/>
          <w:highlight w:val="none"/>
          <w:u w:val="single"/>
          <w:lang w:val="en-US" w:eastAsia="zh-CN"/>
        </w:rPr>
        <w:t xml:space="preserve">  </w:t>
      </w:r>
      <w:r>
        <w:rPr>
          <w:rStyle w:val="21"/>
          <w:rFonts w:hint="eastAsia" w:ascii="宋体" w:hAnsi="宋体" w:eastAsia="宋体" w:cs="宋体"/>
          <w:color w:val="auto"/>
          <w:sz w:val="24"/>
          <w:highlight w:val="none"/>
        </w:rPr>
        <w:t>日递交的</w:t>
      </w:r>
      <w:r>
        <w:rPr>
          <w:rStyle w:val="21"/>
          <w:rFonts w:hint="eastAsia" w:ascii="宋体" w:hAnsi="宋体" w:eastAsia="宋体" w:cs="宋体"/>
          <w:color w:val="auto"/>
          <w:sz w:val="24"/>
          <w:highlight w:val="none"/>
          <w:u w:val="single"/>
          <w:lang w:val="en-US" w:eastAsia="zh-CN"/>
        </w:rPr>
        <w:t xml:space="preserve">       </w:t>
      </w:r>
      <w:r>
        <w:rPr>
          <w:rStyle w:val="21"/>
          <w:rFonts w:hint="eastAsia" w:ascii="宋体" w:hAnsi="宋体" w:eastAsia="宋体" w:cs="宋体"/>
          <w:color w:val="auto"/>
          <w:sz w:val="24"/>
          <w:highlight w:val="none"/>
        </w:rPr>
        <w:t>(项目名称)</w:t>
      </w:r>
      <w:r>
        <w:rPr>
          <w:rStyle w:val="21"/>
          <w:rFonts w:hint="eastAsia" w:ascii="宋体" w:hAnsi="宋体" w:eastAsia="宋体" w:cs="宋体"/>
          <w:color w:val="auto"/>
          <w:sz w:val="24"/>
          <w:highlight w:val="none"/>
          <w:u w:val="single"/>
          <w:lang w:val="en-US" w:eastAsia="zh-CN"/>
        </w:rPr>
        <w:t xml:space="preserve">       </w:t>
      </w:r>
      <w:r>
        <w:rPr>
          <w:rStyle w:val="21"/>
          <w:rFonts w:hint="eastAsia" w:ascii="宋体" w:hAnsi="宋体" w:eastAsia="宋体" w:cs="宋体"/>
          <w:color w:val="auto"/>
          <w:sz w:val="24"/>
          <w:highlight w:val="none"/>
        </w:rPr>
        <w:t>(标段名称)的投标文件。我方愿意无条件地、不可撤销地就承包人履行与你方订立的合同，向你方提供担保。</w:t>
      </w:r>
    </w:p>
    <w:p>
      <w:pPr>
        <w:pStyle w:val="44"/>
        <w:pageBreakBefore w:val="0"/>
        <w:kinsoku/>
        <w:overflowPunct/>
        <w:topLinePunct w:val="0"/>
        <w:bidi w:val="0"/>
        <w:snapToGrid/>
        <w:spacing w:line="360" w:lineRule="auto"/>
        <w:rPr>
          <w:rStyle w:val="21"/>
          <w:rFonts w:hint="eastAsia" w:ascii="宋体" w:hAnsi="宋体" w:eastAsia="宋体" w:cs="宋体"/>
          <w:color w:val="auto"/>
          <w:sz w:val="24"/>
          <w:highlight w:val="none"/>
        </w:rPr>
      </w:pPr>
      <w:r>
        <w:rPr>
          <w:rStyle w:val="21"/>
          <w:rFonts w:hint="eastAsia" w:ascii="宋体" w:hAnsi="宋体" w:eastAsia="宋体" w:cs="宋体"/>
          <w:color w:val="auto"/>
          <w:sz w:val="24"/>
          <w:highlight w:val="none"/>
        </w:rPr>
        <w:t>1.担保金额人民币(大写)</w:t>
      </w:r>
      <w:r>
        <w:rPr>
          <w:rStyle w:val="21"/>
          <w:rFonts w:hint="eastAsia" w:ascii="宋体" w:hAnsi="宋体" w:eastAsia="宋体" w:cs="宋体"/>
          <w:color w:val="auto"/>
          <w:sz w:val="24"/>
          <w:highlight w:val="none"/>
          <w:u w:val="single"/>
          <w:lang w:val="en-US" w:eastAsia="zh-CN"/>
        </w:rPr>
        <w:t xml:space="preserve">       </w:t>
      </w:r>
      <w:r>
        <w:rPr>
          <w:rStyle w:val="21"/>
          <w:rFonts w:hint="eastAsia" w:ascii="宋体" w:hAnsi="宋体" w:eastAsia="宋体" w:cs="宋体"/>
          <w:color w:val="auto"/>
          <w:sz w:val="24"/>
          <w:highlight w:val="none"/>
        </w:rPr>
        <w:t>元(¥</w:t>
      </w:r>
      <w:r>
        <w:rPr>
          <w:rStyle w:val="21"/>
          <w:rFonts w:hint="eastAsia" w:ascii="宋体" w:hAnsi="宋体" w:eastAsia="宋体" w:cs="宋体"/>
          <w:color w:val="auto"/>
          <w:sz w:val="24"/>
          <w:highlight w:val="none"/>
          <w:u w:val="single"/>
          <w:lang w:val="en-US" w:eastAsia="zh-CN"/>
        </w:rPr>
        <w:t xml:space="preserve">       </w:t>
      </w:r>
      <w:r>
        <w:rPr>
          <w:rStyle w:val="21"/>
          <w:rFonts w:hint="eastAsia" w:ascii="宋体" w:hAnsi="宋体" w:eastAsia="宋体" w:cs="宋体"/>
          <w:color w:val="auto"/>
          <w:sz w:val="24"/>
          <w:highlight w:val="none"/>
        </w:rPr>
        <w:t>元)。</w:t>
      </w:r>
    </w:p>
    <w:p>
      <w:pPr>
        <w:pStyle w:val="44"/>
        <w:pageBreakBefore w:val="0"/>
        <w:kinsoku/>
        <w:overflowPunct/>
        <w:topLinePunct w:val="0"/>
        <w:bidi w:val="0"/>
        <w:snapToGrid/>
        <w:spacing w:line="360" w:lineRule="auto"/>
        <w:rPr>
          <w:rStyle w:val="21"/>
          <w:rFonts w:hint="eastAsia" w:ascii="宋体" w:hAnsi="宋体" w:eastAsia="宋体" w:cs="宋体"/>
          <w:color w:val="auto"/>
          <w:sz w:val="24"/>
          <w:highlight w:val="none"/>
        </w:rPr>
      </w:pPr>
      <w:r>
        <w:rPr>
          <w:rStyle w:val="21"/>
          <w:rFonts w:hint="eastAsia" w:ascii="宋体" w:hAnsi="宋体" w:eastAsia="宋体" w:cs="宋体"/>
          <w:color w:val="auto"/>
          <w:sz w:val="24"/>
          <w:highlight w:val="none"/>
        </w:rPr>
        <w:t>2.担保有效期自发包人与承包人签订的合同生效之日起至发包人签发合同工程完工证书之日止。</w:t>
      </w:r>
    </w:p>
    <w:p>
      <w:pPr>
        <w:pStyle w:val="44"/>
        <w:pageBreakBefore w:val="0"/>
        <w:kinsoku/>
        <w:overflowPunct/>
        <w:topLinePunct w:val="0"/>
        <w:bidi w:val="0"/>
        <w:snapToGrid/>
        <w:spacing w:line="360" w:lineRule="auto"/>
        <w:rPr>
          <w:rStyle w:val="21"/>
          <w:rFonts w:hint="eastAsia" w:ascii="宋体" w:hAnsi="宋体" w:eastAsia="宋体" w:cs="宋体"/>
          <w:color w:val="auto"/>
          <w:sz w:val="24"/>
          <w:highlight w:val="none"/>
        </w:rPr>
      </w:pPr>
      <w:r>
        <w:rPr>
          <w:rStyle w:val="21"/>
          <w:rFonts w:hint="eastAsia" w:ascii="宋体" w:hAnsi="宋体" w:eastAsia="宋体" w:cs="宋体"/>
          <w:color w:val="auto"/>
          <w:sz w:val="24"/>
          <w:highlight w:val="none"/>
        </w:rPr>
        <w:t>3.在本担保有效期内，因承包人违反合同约定的义务给你方造成经济损失时，我方在收到你方以书面形式提出的在担保金额内的赔偿要求后，无条件地在7天内予以支付。</w:t>
      </w:r>
    </w:p>
    <w:p>
      <w:pPr>
        <w:pStyle w:val="44"/>
        <w:pageBreakBefore w:val="0"/>
        <w:kinsoku/>
        <w:overflowPunct/>
        <w:topLinePunct w:val="0"/>
        <w:bidi w:val="0"/>
        <w:snapToGrid/>
        <w:spacing w:line="360" w:lineRule="auto"/>
        <w:ind w:firstLine="480"/>
        <w:rPr>
          <w:rStyle w:val="21"/>
          <w:rFonts w:hint="eastAsia" w:ascii="宋体" w:hAnsi="宋体" w:eastAsia="宋体" w:cs="宋体"/>
          <w:color w:val="auto"/>
          <w:sz w:val="24"/>
          <w:highlight w:val="none"/>
        </w:rPr>
      </w:pPr>
      <w:r>
        <w:rPr>
          <w:rStyle w:val="21"/>
          <w:rFonts w:hint="eastAsia" w:ascii="宋体" w:hAnsi="宋体" w:eastAsia="宋体" w:cs="宋体"/>
          <w:color w:val="auto"/>
          <w:sz w:val="24"/>
          <w:highlight w:val="none"/>
        </w:rPr>
        <w:t>4.发包人和承包人按《通用合同条款》第15条变更合同时，我方承担本担保规定的义务不变。</w:t>
      </w:r>
    </w:p>
    <w:p>
      <w:pPr>
        <w:pStyle w:val="44"/>
        <w:pageBreakBefore w:val="0"/>
        <w:tabs>
          <w:tab w:val="center" w:pos="4563"/>
          <w:tab w:val="right" w:pos="9127"/>
        </w:tabs>
        <w:kinsoku/>
        <w:overflowPunct/>
        <w:topLinePunct w:val="0"/>
        <w:bidi w:val="0"/>
        <w:snapToGrid/>
        <w:spacing w:line="360" w:lineRule="auto"/>
        <w:jc w:val="right"/>
        <w:rPr>
          <w:rStyle w:val="21"/>
          <w:rFonts w:hint="eastAsia" w:ascii="宋体" w:hAnsi="宋体" w:eastAsia="宋体" w:cs="宋体"/>
          <w:color w:val="auto"/>
          <w:sz w:val="24"/>
          <w:highlight w:val="none"/>
        </w:rPr>
      </w:pPr>
    </w:p>
    <w:p>
      <w:pPr>
        <w:pStyle w:val="44"/>
        <w:pageBreakBefore w:val="0"/>
        <w:tabs>
          <w:tab w:val="center" w:pos="4563"/>
          <w:tab w:val="right" w:pos="9127"/>
        </w:tabs>
        <w:kinsoku/>
        <w:overflowPunct/>
        <w:topLinePunct w:val="0"/>
        <w:bidi w:val="0"/>
        <w:snapToGrid/>
        <w:spacing w:line="360" w:lineRule="auto"/>
        <w:jc w:val="right"/>
        <w:rPr>
          <w:rStyle w:val="21"/>
          <w:rFonts w:hint="eastAsia" w:ascii="宋体" w:hAnsi="宋体" w:eastAsia="宋体" w:cs="宋体"/>
          <w:color w:val="auto"/>
          <w:sz w:val="24"/>
          <w:highlight w:val="none"/>
        </w:rPr>
      </w:pPr>
    </w:p>
    <w:p>
      <w:pPr>
        <w:pStyle w:val="44"/>
        <w:pageBreakBefore w:val="0"/>
        <w:tabs>
          <w:tab w:val="center" w:pos="4563"/>
          <w:tab w:val="right" w:pos="9127"/>
        </w:tabs>
        <w:kinsoku/>
        <w:overflowPunct/>
        <w:topLinePunct w:val="0"/>
        <w:bidi w:val="0"/>
        <w:snapToGrid/>
        <w:spacing w:line="360" w:lineRule="auto"/>
        <w:jc w:val="right"/>
        <w:rPr>
          <w:rStyle w:val="21"/>
          <w:rFonts w:hint="eastAsia" w:ascii="宋体" w:hAnsi="宋体" w:eastAsia="宋体" w:cs="宋体"/>
          <w:color w:val="auto"/>
          <w:sz w:val="24"/>
          <w:highlight w:val="none"/>
        </w:rPr>
      </w:pPr>
      <w:r>
        <w:rPr>
          <w:rStyle w:val="21"/>
          <w:rFonts w:hint="eastAsia" w:ascii="宋体" w:hAnsi="宋体" w:eastAsia="宋体" w:cs="宋体"/>
          <w:color w:val="auto"/>
          <w:sz w:val="24"/>
          <w:highlight w:val="none"/>
        </w:rPr>
        <w:t>担保人：</w:t>
      </w:r>
      <w:r>
        <w:rPr>
          <w:rStyle w:val="21"/>
          <w:rFonts w:hint="eastAsia" w:ascii="宋体" w:hAnsi="宋体" w:eastAsia="宋体" w:cs="宋体"/>
          <w:color w:val="auto"/>
          <w:sz w:val="24"/>
          <w:highlight w:val="none"/>
          <w:u w:val="single"/>
        </w:rPr>
        <w:t xml:space="preserve">                  </w:t>
      </w:r>
      <w:r>
        <w:rPr>
          <w:rStyle w:val="21"/>
          <w:rFonts w:hint="eastAsia" w:ascii="宋体" w:hAnsi="宋体" w:eastAsia="宋体" w:cs="宋体"/>
          <w:color w:val="auto"/>
          <w:sz w:val="24"/>
          <w:highlight w:val="none"/>
        </w:rPr>
        <w:t>(盖单位章)</w:t>
      </w:r>
    </w:p>
    <w:p>
      <w:pPr>
        <w:pStyle w:val="44"/>
        <w:pageBreakBefore w:val="0"/>
        <w:kinsoku/>
        <w:wordWrap w:val="0"/>
        <w:overflowPunct/>
        <w:topLinePunct w:val="0"/>
        <w:bidi w:val="0"/>
        <w:snapToGrid/>
        <w:spacing w:line="360" w:lineRule="auto"/>
        <w:jc w:val="right"/>
        <w:rPr>
          <w:rStyle w:val="21"/>
          <w:rFonts w:hint="eastAsia" w:ascii="宋体" w:hAnsi="宋体" w:eastAsia="宋体" w:cs="宋体"/>
          <w:color w:val="auto"/>
          <w:sz w:val="24"/>
          <w:highlight w:val="none"/>
        </w:rPr>
      </w:pPr>
      <w:r>
        <w:rPr>
          <w:rStyle w:val="21"/>
          <w:rFonts w:hint="eastAsia" w:ascii="宋体" w:hAnsi="宋体" w:eastAsia="宋体" w:cs="宋体"/>
          <w:color w:val="auto"/>
          <w:sz w:val="24"/>
          <w:highlight w:val="none"/>
        </w:rPr>
        <w:t>法定代表人或其委托代理人：</w:t>
      </w:r>
      <w:r>
        <w:rPr>
          <w:rStyle w:val="21"/>
          <w:rFonts w:hint="eastAsia" w:ascii="宋体" w:hAnsi="宋体" w:eastAsia="宋体" w:cs="宋体"/>
          <w:color w:val="auto"/>
          <w:sz w:val="24"/>
          <w:highlight w:val="none"/>
          <w:u w:val="single"/>
          <w:lang w:val="en-US" w:eastAsia="zh-CN"/>
        </w:rPr>
        <w:t xml:space="preserve">    </w:t>
      </w:r>
      <w:r>
        <w:rPr>
          <w:rStyle w:val="21"/>
          <w:rFonts w:hint="eastAsia" w:ascii="宋体" w:hAnsi="宋体" w:eastAsia="宋体" w:cs="宋体"/>
          <w:color w:val="auto"/>
          <w:sz w:val="24"/>
          <w:highlight w:val="none"/>
        </w:rPr>
        <w:t>(签字)</w:t>
      </w:r>
    </w:p>
    <w:p>
      <w:pPr>
        <w:pStyle w:val="44"/>
        <w:pageBreakBefore w:val="0"/>
        <w:kinsoku/>
        <w:overflowPunct/>
        <w:topLinePunct w:val="0"/>
        <w:bidi w:val="0"/>
        <w:snapToGrid/>
        <w:spacing w:line="360" w:lineRule="auto"/>
        <w:ind w:firstLine="5280" w:firstLineChars="2200"/>
        <w:rPr>
          <w:rStyle w:val="21"/>
          <w:rFonts w:hint="eastAsia" w:ascii="宋体" w:hAnsi="宋体" w:eastAsia="宋体" w:cs="宋体"/>
          <w:color w:val="auto"/>
          <w:sz w:val="24"/>
          <w:highlight w:val="none"/>
        </w:rPr>
      </w:pPr>
      <w:r>
        <w:rPr>
          <w:rStyle w:val="21"/>
          <w:rFonts w:hint="eastAsia" w:ascii="宋体" w:hAnsi="宋体" w:eastAsia="宋体" w:cs="宋体"/>
          <w:color w:val="auto"/>
          <w:sz w:val="24"/>
          <w:highlight w:val="none"/>
        </w:rPr>
        <w:t xml:space="preserve"> 地址：</w:t>
      </w:r>
      <w:r>
        <w:rPr>
          <w:rStyle w:val="21"/>
          <w:rFonts w:hint="eastAsia" w:ascii="宋体" w:hAnsi="宋体" w:eastAsia="宋体" w:cs="宋体"/>
          <w:color w:val="auto"/>
          <w:sz w:val="24"/>
          <w:highlight w:val="none"/>
          <w:u w:val="single"/>
          <w:lang w:val="en-US" w:eastAsia="zh-CN"/>
        </w:rPr>
        <w:t xml:space="preserve">       </w:t>
      </w:r>
    </w:p>
    <w:p>
      <w:pPr>
        <w:pStyle w:val="44"/>
        <w:pageBreakBefore w:val="0"/>
        <w:kinsoku/>
        <w:overflowPunct/>
        <w:topLinePunct w:val="0"/>
        <w:bidi w:val="0"/>
        <w:snapToGrid/>
        <w:spacing w:line="360" w:lineRule="auto"/>
        <w:rPr>
          <w:rStyle w:val="21"/>
          <w:rFonts w:hint="eastAsia" w:ascii="宋体" w:hAnsi="宋体" w:eastAsia="宋体" w:cs="宋体"/>
          <w:color w:val="auto"/>
          <w:sz w:val="24"/>
          <w:highlight w:val="none"/>
        </w:rPr>
      </w:pPr>
      <w:r>
        <w:rPr>
          <w:rStyle w:val="21"/>
          <w:rFonts w:hint="eastAsia" w:ascii="宋体" w:hAnsi="宋体" w:eastAsia="宋体" w:cs="宋体"/>
          <w:color w:val="auto"/>
          <w:sz w:val="24"/>
          <w:highlight w:val="none"/>
          <w:lang w:val="en-US" w:eastAsia="zh-CN"/>
        </w:rPr>
        <w:t xml:space="preserve">                                             </w:t>
      </w:r>
      <w:r>
        <w:rPr>
          <w:rStyle w:val="21"/>
          <w:rFonts w:hint="eastAsia" w:ascii="宋体" w:hAnsi="宋体" w:eastAsia="宋体" w:cs="宋体"/>
          <w:color w:val="auto"/>
          <w:sz w:val="24"/>
          <w:highlight w:val="none"/>
        </w:rPr>
        <w:t>邮政编码：</w:t>
      </w:r>
      <w:r>
        <w:rPr>
          <w:rStyle w:val="21"/>
          <w:rFonts w:hint="eastAsia" w:ascii="宋体" w:hAnsi="宋体" w:eastAsia="宋体" w:cs="宋体"/>
          <w:color w:val="auto"/>
          <w:sz w:val="24"/>
          <w:highlight w:val="none"/>
          <w:u w:val="single"/>
          <w:lang w:val="en-US" w:eastAsia="zh-CN"/>
        </w:rPr>
        <w:t xml:space="preserve">       </w:t>
      </w:r>
    </w:p>
    <w:p>
      <w:pPr>
        <w:pStyle w:val="44"/>
        <w:pageBreakBefore w:val="0"/>
        <w:kinsoku/>
        <w:overflowPunct/>
        <w:topLinePunct w:val="0"/>
        <w:bidi w:val="0"/>
        <w:snapToGrid/>
        <w:spacing w:line="360" w:lineRule="auto"/>
        <w:ind w:firstLine="5280" w:firstLineChars="2200"/>
        <w:rPr>
          <w:rStyle w:val="21"/>
          <w:rFonts w:hint="eastAsia" w:ascii="宋体" w:hAnsi="宋体" w:eastAsia="宋体" w:cs="宋体"/>
          <w:color w:val="auto"/>
          <w:sz w:val="24"/>
          <w:highlight w:val="none"/>
        </w:rPr>
      </w:pPr>
      <w:r>
        <w:rPr>
          <w:rStyle w:val="21"/>
          <w:rFonts w:hint="eastAsia" w:ascii="宋体" w:hAnsi="宋体" w:eastAsia="宋体" w:cs="宋体"/>
          <w:color w:val="auto"/>
          <w:sz w:val="24"/>
          <w:highlight w:val="none"/>
          <w:lang w:val="en-US" w:eastAsia="zh-CN"/>
        </w:rPr>
        <w:t xml:space="preserve"> </w:t>
      </w:r>
      <w:r>
        <w:rPr>
          <w:rStyle w:val="21"/>
          <w:rFonts w:hint="eastAsia" w:ascii="宋体" w:hAnsi="宋体" w:eastAsia="宋体" w:cs="宋体"/>
          <w:color w:val="auto"/>
          <w:sz w:val="24"/>
          <w:highlight w:val="none"/>
        </w:rPr>
        <w:t>电话：</w:t>
      </w:r>
      <w:r>
        <w:rPr>
          <w:rStyle w:val="21"/>
          <w:rFonts w:hint="eastAsia" w:ascii="宋体" w:hAnsi="宋体" w:eastAsia="宋体" w:cs="宋体"/>
          <w:color w:val="auto"/>
          <w:sz w:val="24"/>
          <w:highlight w:val="none"/>
          <w:u w:val="single"/>
          <w:lang w:val="en-US" w:eastAsia="zh-CN"/>
        </w:rPr>
        <w:t xml:space="preserve">       </w:t>
      </w:r>
    </w:p>
    <w:p>
      <w:pPr>
        <w:pStyle w:val="44"/>
        <w:pageBreakBefore w:val="0"/>
        <w:kinsoku/>
        <w:overflowPunct/>
        <w:topLinePunct w:val="0"/>
        <w:bidi w:val="0"/>
        <w:snapToGrid/>
        <w:spacing w:line="360" w:lineRule="auto"/>
        <w:rPr>
          <w:rStyle w:val="21"/>
          <w:rFonts w:hint="eastAsia" w:ascii="宋体" w:hAnsi="宋体" w:eastAsia="宋体" w:cs="宋体"/>
          <w:color w:val="auto"/>
          <w:sz w:val="24"/>
          <w:highlight w:val="none"/>
        </w:rPr>
      </w:pPr>
      <w:r>
        <w:rPr>
          <w:rStyle w:val="21"/>
          <w:rFonts w:hint="eastAsia" w:ascii="宋体" w:hAnsi="宋体" w:eastAsia="宋体" w:cs="宋体"/>
          <w:color w:val="auto"/>
          <w:sz w:val="24"/>
          <w:highlight w:val="none"/>
          <w:lang w:val="en-US" w:eastAsia="zh-CN"/>
        </w:rPr>
        <w:t xml:space="preserve">                                             </w:t>
      </w:r>
      <w:r>
        <w:rPr>
          <w:rStyle w:val="21"/>
          <w:rFonts w:hint="eastAsia" w:ascii="宋体" w:hAnsi="宋体" w:eastAsia="宋体" w:cs="宋体"/>
          <w:color w:val="auto"/>
          <w:sz w:val="24"/>
          <w:highlight w:val="none"/>
        </w:rPr>
        <w:t>传真：</w:t>
      </w:r>
      <w:r>
        <w:rPr>
          <w:rStyle w:val="21"/>
          <w:rFonts w:hint="eastAsia" w:ascii="宋体" w:hAnsi="宋体" w:eastAsia="宋体" w:cs="宋体"/>
          <w:color w:val="auto"/>
          <w:sz w:val="24"/>
          <w:highlight w:val="none"/>
          <w:u w:val="single"/>
          <w:lang w:val="en-US" w:eastAsia="zh-CN"/>
        </w:rPr>
        <w:t xml:space="preserve">       </w:t>
      </w:r>
    </w:p>
    <w:p>
      <w:pPr>
        <w:pStyle w:val="44"/>
        <w:pageBreakBefore w:val="0"/>
        <w:kinsoku/>
        <w:overflowPunct/>
        <w:topLinePunct w:val="0"/>
        <w:bidi w:val="0"/>
        <w:snapToGrid/>
        <w:spacing w:line="360" w:lineRule="auto"/>
        <w:ind w:firstLine="240" w:firstLineChars="100"/>
        <w:jc w:val="right"/>
        <w:rPr>
          <w:rStyle w:val="21"/>
          <w:rFonts w:hint="eastAsia" w:ascii="宋体" w:hAnsi="宋体" w:eastAsia="宋体" w:cs="宋体"/>
          <w:color w:val="auto"/>
          <w:sz w:val="24"/>
          <w:highlight w:val="none"/>
        </w:rPr>
      </w:pPr>
      <w:r>
        <w:rPr>
          <w:rStyle w:val="21"/>
          <w:rFonts w:hint="eastAsia" w:ascii="宋体" w:hAnsi="宋体" w:eastAsia="宋体" w:cs="宋体"/>
          <w:color w:val="auto"/>
          <w:sz w:val="24"/>
          <w:highlight w:val="none"/>
          <w:lang w:val="en-US" w:eastAsia="zh-CN"/>
        </w:rPr>
        <w:t xml:space="preserve">     </w:t>
      </w:r>
      <w:r>
        <w:rPr>
          <w:rStyle w:val="21"/>
          <w:rFonts w:hint="eastAsia" w:ascii="宋体" w:hAnsi="宋体" w:eastAsia="宋体" w:cs="宋体"/>
          <w:color w:val="auto"/>
          <w:sz w:val="24"/>
          <w:highlight w:val="none"/>
        </w:rPr>
        <w:t>年</w:t>
      </w:r>
      <w:r>
        <w:rPr>
          <w:rStyle w:val="21"/>
          <w:rFonts w:hint="eastAsia" w:ascii="宋体" w:hAnsi="宋体" w:eastAsia="宋体" w:cs="宋体"/>
          <w:color w:val="auto"/>
          <w:sz w:val="24"/>
          <w:highlight w:val="none"/>
          <w:u w:val="single"/>
          <w:lang w:val="en-US" w:eastAsia="zh-CN"/>
        </w:rPr>
        <w:t xml:space="preserve">  </w:t>
      </w:r>
      <w:r>
        <w:rPr>
          <w:rStyle w:val="21"/>
          <w:rFonts w:hint="eastAsia" w:ascii="宋体" w:hAnsi="宋体" w:eastAsia="宋体" w:cs="宋体"/>
          <w:color w:val="auto"/>
          <w:sz w:val="24"/>
          <w:highlight w:val="none"/>
        </w:rPr>
        <w:t>月</w:t>
      </w:r>
      <w:r>
        <w:rPr>
          <w:rStyle w:val="21"/>
          <w:rFonts w:hint="eastAsia" w:ascii="宋体" w:hAnsi="宋体" w:eastAsia="宋体" w:cs="宋体"/>
          <w:color w:val="auto"/>
          <w:sz w:val="24"/>
          <w:highlight w:val="none"/>
          <w:u w:val="single"/>
          <w:lang w:val="en-US" w:eastAsia="zh-CN"/>
        </w:rPr>
        <w:t xml:space="preserve">  </w:t>
      </w:r>
      <w:r>
        <w:rPr>
          <w:rStyle w:val="21"/>
          <w:rFonts w:hint="eastAsia" w:ascii="宋体" w:hAnsi="宋体" w:eastAsia="宋体" w:cs="宋体"/>
          <w:color w:val="auto"/>
          <w:sz w:val="24"/>
          <w:highlight w:val="none"/>
        </w:rPr>
        <w:t>日</w:t>
      </w:r>
    </w:p>
    <w:p>
      <w:pPr>
        <w:pStyle w:val="44"/>
        <w:pageBreakBefore w:val="0"/>
        <w:kinsoku/>
        <w:overflowPunct/>
        <w:topLinePunct w:val="0"/>
        <w:bidi w:val="0"/>
        <w:snapToGrid/>
        <w:spacing w:line="360" w:lineRule="auto"/>
        <w:rPr>
          <w:rStyle w:val="21"/>
          <w:rFonts w:hint="eastAsia" w:ascii="宋体" w:hAnsi="宋体" w:eastAsia="宋体" w:cs="宋体"/>
          <w:color w:val="auto"/>
          <w:sz w:val="24"/>
          <w:highlight w:val="none"/>
        </w:rPr>
      </w:pPr>
    </w:p>
    <w:p>
      <w:pPr>
        <w:pStyle w:val="44"/>
        <w:pageBreakBefore w:val="0"/>
        <w:kinsoku/>
        <w:overflowPunct/>
        <w:topLinePunct w:val="0"/>
        <w:bidi w:val="0"/>
        <w:snapToGrid/>
        <w:spacing w:line="360" w:lineRule="auto"/>
        <w:rPr>
          <w:rStyle w:val="21"/>
          <w:rFonts w:hint="eastAsia" w:ascii="宋体" w:hAnsi="宋体" w:eastAsia="宋体" w:cs="宋体"/>
          <w:color w:val="auto"/>
          <w:sz w:val="24"/>
          <w:highlight w:val="none"/>
        </w:rPr>
      </w:pPr>
      <w:r>
        <w:rPr>
          <w:rStyle w:val="21"/>
          <w:rFonts w:hint="eastAsia" w:ascii="宋体" w:hAnsi="宋体" w:eastAsia="宋体" w:cs="宋体"/>
          <w:color w:val="auto"/>
          <w:sz w:val="24"/>
          <w:highlight w:val="none"/>
        </w:rPr>
        <w:t>注：委托代理人应附授权委托书。</w:t>
      </w:r>
    </w:p>
    <w:p>
      <w:pPr>
        <w:pStyle w:val="44"/>
        <w:pageBreakBefore w:val="0"/>
        <w:kinsoku/>
        <w:overflowPunct/>
        <w:topLinePunct w:val="0"/>
        <w:bidi w:val="0"/>
        <w:snapToGrid/>
        <w:spacing w:line="360" w:lineRule="auto"/>
        <w:rPr>
          <w:rStyle w:val="21"/>
          <w:rFonts w:hint="eastAsia" w:ascii="宋体" w:hAnsi="宋体" w:eastAsia="宋体" w:cs="宋体"/>
          <w:color w:val="auto"/>
          <w:highlight w:val="none"/>
        </w:rPr>
      </w:pPr>
    </w:p>
    <w:p>
      <w:pPr>
        <w:rPr>
          <w:rStyle w:val="21"/>
          <w:rFonts w:hint="eastAsia" w:ascii="宋体" w:hAnsi="宋体" w:eastAsia="宋体" w:cs="宋体"/>
          <w:color w:val="auto"/>
          <w:sz w:val="28"/>
          <w:szCs w:val="28"/>
          <w:highlight w:val="none"/>
        </w:rPr>
      </w:pPr>
      <w:r>
        <w:rPr>
          <w:rStyle w:val="21"/>
          <w:rFonts w:hint="eastAsia" w:ascii="宋体" w:hAnsi="宋体" w:eastAsia="宋体" w:cs="宋体"/>
          <w:color w:val="auto"/>
          <w:sz w:val="28"/>
          <w:szCs w:val="28"/>
          <w:highlight w:val="none"/>
        </w:rPr>
        <w:br w:type="page"/>
      </w:r>
    </w:p>
    <w:p>
      <w:pPr>
        <w:pStyle w:val="44"/>
        <w:pageBreakBefore w:val="0"/>
        <w:kinsoku/>
        <w:overflowPunct/>
        <w:topLinePunct w:val="0"/>
        <w:bidi w:val="0"/>
        <w:snapToGrid/>
        <w:spacing w:line="360" w:lineRule="auto"/>
        <w:rPr>
          <w:rStyle w:val="21"/>
          <w:rFonts w:hint="eastAsia" w:ascii="宋体" w:hAnsi="宋体" w:eastAsia="宋体" w:cs="宋体"/>
          <w:color w:val="auto"/>
          <w:sz w:val="28"/>
          <w:szCs w:val="28"/>
          <w:highlight w:val="none"/>
        </w:rPr>
      </w:pPr>
    </w:p>
    <w:p>
      <w:pPr>
        <w:pStyle w:val="44"/>
        <w:pageBreakBefore w:val="0"/>
        <w:kinsoku/>
        <w:overflowPunct/>
        <w:topLinePunct w:val="0"/>
        <w:bidi w:val="0"/>
        <w:snapToGrid/>
        <w:spacing w:line="360" w:lineRule="auto"/>
        <w:jc w:val="center"/>
        <w:rPr>
          <w:rStyle w:val="21"/>
          <w:rFonts w:hint="eastAsia" w:ascii="宋体" w:hAnsi="宋体" w:eastAsia="宋体" w:cs="宋体"/>
          <w:color w:val="auto"/>
          <w:sz w:val="28"/>
          <w:szCs w:val="28"/>
          <w:highlight w:val="none"/>
        </w:rPr>
      </w:pPr>
      <w:r>
        <w:rPr>
          <w:rStyle w:val="21"/>
          <w:rFonts w:hint="eastAsia" w:ascii="宋体" w:hAnsi="宋体" w:eastAsia="宋体" w:cs="宋体"/>
          <w:color w:val="auto"/>
          <w:sz w:val="28"/>
          <w:szCs w:val="28"/>
          <w:highlight w:val="none"/>
        </w:rPr>
        <w:t>预付款担保函</w:t>
      </w:r>
    </w:p>
    <w:p>
      <w:pPr>
        <w:pStyle w:val="44"/>
        <w:pageBreakBefore w:val="0"/>
        <w:kinsoku/>
        <w:overflowPunct/>
        <w:topLinePunct w:val="0"/>
        <w:bidi w:val="0"/>
        <w:snapToGrid/>
        <w:spacing w:line="360" w:lineRule="auto"/>
        <w:rPr>
          <w:rStyle w:val="21"/>
          <w:rFonts w:hint="eastAsia" w:ascii="宋体" w:hAnsi="宋体" w:eastAsia="宋体" w:cs="宋体"/>
          <w:color w:val="auto"/>
          <w:sz w:val="24"/>
          <w:highlight w:val="none"/>
        </w:rPr>
      </w:pPr>
      <w:r>
        <w:rPr>
          <w:rStyle w:val="21"/>
          <w:rFonts w:hint="eastAsia" w:ascii="宋体" w:hAnsi="宋体" w:eastAsia="宋体" w:cs="宋体"/>
          <w:color w:val="auto"/>
          <w:highlight w:val="none"/>
          <w:u w:val="single"/>
          <w:lang w:val="en-US" w:eastAsia="zh-CN"/>
        </w:rPr>
        <w:t xml:space="preserve">       </w:t>
      </w:r>
      <w:r>
        <w:rPr>
          <w:rStyle w:val="21"/>
          <w:rFonts w:hint="eastAsia" w:ascii="宋体" w:hAnsi="宋体" w:eastAsia="宋体" w:cs="宋体"/>
          <w:color w:val="auto"/>
          <w:sz w:val="24"/>
          <w:highlight w:val="none"/>
        </w:rPr>
        <w:t>(发包人名称)：</w:t>
      </w:r>
    </w:p>
    <w:p>
      <w:pPr>
        <w:pStyle w:val="44"/>
        <w:pageBreakBefore w:val="0"/>
        <w:kinsoku/>
        <w:overflowPunct/>
        <w:topLinePunct w:val="0"/>
        <w:bidi w:val="0"/>
        <w:snapToGrid/>
        <w:spacing w:line="360" w:lineRule="auto"/>
        <w:rPr>
          <w:rStyle w:val="21"/>
          <w:rFonts w:hint="eastAsia" w:ascii="宋体" w:hAnsi="宋体" w:eastAsia="宋体" w:cs="宋体"/>
          <w:color w:val="auto"/>
          <w:sz w:val="24"/>
          <w:highlight w:val="none"/>
        </w:rPr>
      </w:pPr>
      <w:r>
        <w:rPr>
          <w:rStyle w:val="21"/>
          <w:rFonts w:hint="eastAsia" w:ascii="宋体" w:hAnsi="宋体" w:eastAsia="宋体" w:cs="宋体"/>
          <w:color w:val="auto"/>
          <w:sz w:val="24"/>
          <w:highlight w:val="none"/>
        </w:rPr>
        <w:t>根据</w:t>
      </w:r>
      <w:r>
        <w:rPr>
          <w:rStyle w:val="21"/>
          <w:rFonts w:hint="eastAsia" w:ascii="宋体" w:hAnsi="宋体" w:eastAsia="宋体" w:cs="宋体"/>
          <w:color w:val="auto"/>
          <w:sz w:val="24"/>
          <w:highlight w:val="none"/>
          <w:u w:val="single"/>
          <w:lang w:val="en-US" w:eastAsia="zh-CN"/>
        </w:rPr>
        <w:t xml:space="preserve">       </w:t>
      </w:r>
      <w:r>
        <w:rPr>
          <w:rStyle w:val="21"/>
          <w:rFonts w:hint="eastAsia" w:ascii="宋体" w:hAnsi="宋体" w:eastAsia="宋体" w:cs="宋体"/>
          <w:color w:val="auto"/>
          <w:sz w:val="24"/>
          <w:highlight w:val="none"/>
        </w:rPr>
        <w:t>(承包人名称，以下简称“承包人”)与</w:t>
      </w:r>
      <w:r>
        <w:rPr>
          <w:rStyle w:val="21"/>
          <w:rFonts w:hint="eastAsia" w:ascii="宋体" w:hAnsi="宋体" w:eastAsia="宋体" w:cs="宋体"/>
          <w:color w:val="auto"/>
          <w:sz w:val="24"/>
          <w:highlight w:val="none"/>
          <w:u w:val="single"/>
          <w:lang w:val="en-US" w:eastAsia="zh-CN"/>
        </w:rPr>
        <w:t xml:space="preserve">       </w:t>
      </w:r>
      <w:r>
        <w:rPr>
          <w:rStyle w:val="21"/>
          <w:rFonts w:hint="eastAsia" w:ascii="宋体" w:hAnsi="宋体" w:eastAsia="宋体" w:cs="宋体"/>
          <w:color w:val="auto"/>
          <w:sz w:val="24"/>
          <w:highlight w:val="none"/>
        </w:rPr>
        <w:t>(发包人名称，以下简称“发包人”)于</w:t>
      </w:r>
      <w:r>
        <w:rPr>
          <w:rStyle w:val="21"/>
          <w:rFonts w:hint="eastAsia" w:ascii="宋体" w:hAnsi="宋体" w:eastAsia="宋体" w:cs="宋体"/>
          <w:color w:val="auto"/>
          <w:sz w:val="24"/>
          <w:highlight w:val="none"/>
          <w:u w:val="single"/>
          <w:lang w:val="en-US" w:eastAsia="zh-CN"/>
        </w:rPr>
        <w:t xml:space="preserve">    </w:t>
      </w:r>
      <w:r>
        <w:rPr>
          <w:rStyle w:val="21"/>
          <w:rFonts w:hint="eastAsia" w:ascii="宋体" w:hAnsi="宋体" w:eastAsia="宋体" w:cs="宋体"/>
          <w:color w:val="auto"/>
          <w:sz w:val="24"/>
          <w:highlight w:val="none"/>
        </w:rPr>
        <w:t>年</w:t>
      </w:r>
      <w:r>
        <w:rPr>
          <w:rStyle w:val="21"/>
          <w:rFonts w:hint="eastAsia" w:ascii="宋体" w:hAnsi="宋体" w:eastAsia="宋体" w:cs="宋体"/>
          <w:color w:val="auto"/>
          <w:sz w:val="24"/>
          <w:highlight w:val="none"/>
          <w:u w:val="single"/>
          <w:lang w:val="en-US" w:eastAsia="zh-CN"/>
        </w:rPr>
        <w:t xml:space="preserve">  </w:t>
      </w:r>
      <w:r>
        <w:rPr>
          <w:rStyle w:val="21"/>
          <w:rFonts w:hint="eastAsia" w:ascii="宋体" w:hAnsi="宋体" w:eastAsia="宋体" w:cs="宋体"/>
          <w:color w:val="auto"/>
          <w:sz w:val="24"/>
          <w:highlight w:val="none"/>
        </w:rPr>
        <w:t>月</w:t>
      </w:r>
      <w:r>
        <w:rPr>
          <w:rStyle w:val="21"/>
          <w:rFonts w:hint="eastAsia" w:ascii="宋体" w:hAnsi="宋体" w:eastAsia="宋体" w:cs="宋体"/>
          <w:color w:val="auto"/>
          <w:sz w:val="24"/>
          <w:highlight w:val="none"/>
          <w:u w:val="single"/>
          <w:lang w:val="en-US" w:eastAsia="zh-CN"/>
        </w:rPr>
        <w:t xml:space="preserve">  </w:t>
      </w:r>
      <w:r>
        <w:rPr>
          <w:rStyle w:val="21"/>
          <w:rFonts w:hint="eastAsia" w:ascii="宋体" w:hAnsi="宋体" w:eastAsia="宋体" w:cs="宋体"/>
          <w:color w:val="auto"/>
          <w:sz w:val="24"/>
          <w:highlight w:val="none"/>
        </w:rPr>
        <w:t>日签订的</w:t>
      </w:r>
      <w:r>
        <w:rPr>
          <w:rStyle w:val="21"/>
          <w:rFonts w:hint="eastAsia" w:ascii="宋体" w:hAnsi="宋体" w:eastAsia="宋体" w:cs="宋体"/>
          <w:color w:val="auto"/>
          <w:sz w:val="24"/>
          <w:highlight w:val="none"/>
          <w:u w:val="single"/>
          <w:lang w:val="en-US" w:eastAsia="zh-CN"/>
        </w:rPr>
        <w:t xml:space="preserve">        </w:t>
      </w:r>
      <w:r>
        <w:rPr>
          <w:rStyle w:val="21"/>
          <w:rFonts w:hint="eastAsia" w:ascii="宋体" w:hAnsi="宋体" w:eastAsia="宋体" w:cs="宋体"/>
          <w:color w:val="auto"/>
          <w:sz w:val="24"/>
          <w:highlight w:val="none"/>
        </w:rPr>
        <w:t>(项目名称)</w:t>
      </w:r>
      <w:r>
        <w:rPr>
          <w:rStyle w:val="21"/>
          <w:rFonts w:hint="eastAsia" w:ascii="宋体" w:hAnsi="宋体" w:eastAsia="宋体" w:cs="宋体"/>
          <w:color w:val="auto"/>
          <w:sz w:val="24"/>
          <w:highlight w:val="none"/>
          <w:u w:val="single"/>
          <w:lang w:val="en-US" w:eastAsia="zh-CN"/>
        </w:rPr>
        <w:t xml:space="preserve">       </w:t>
      </w:r>
      <w:r>
        <w:rPr>
          <w:rStyle w:val="21"/>
          <w:rFonts w:hint="eastAsia" w:ascii="宋体" w:hAnsi="宋体" w:eastAsia="宋体" w:cs="宋体"/>
          <w:color w:val="auto"/>
          <w:sz w:val="24"/>
          <w:highlight w:val="none"/>
        </w:rPr>
        <w:t>(标段名称)合同协议书，承包人按约定的金额向发包人提交一份预付款担保，即有权得到发包人支付相等金额的预付款。我方愿意就你方提供给承包人的预付款提供担保。</w:t>
      </w:r>
    </w:p>
    <w:p>
      <w:pPr>
        <w:pStyle w:val="44"/>
        <w:pageBreakBefore w:val="0"/>
        <w:kinsoku/>
        <w:overflowPunct/>
        <w:topLinePunct w:val="0"/>
        <w:bidi w:val="0"/>
        <w:snapToGrid/>
        <w:spacing w:line="360" w:lineRule="auto"/>
        <w:rPr>
          <w:rStyle w:val="21"/>
          <w:rFonts w:hint="eastAsia" w:ascii="宋体" w:hAnsi="宋体" w:eastAsia="宋体" w:cs="宋体"/>
          <w:color w:val="auto"/>
          <w:sz w:val="24"/>
          <w:highlight w:val="none"/>
        </w:rPr>
      </w:pPr>
      <w:r>
        <w:rPr>
          <w:rStyle w:val="21"/>
          <w:rFonts w:hint="eastAsia" w:ascii="宋体" w:hAnsi="宋体" w:eastAsia="宋体" w:cs="宋体"/>
          <w:color w:val="auto"/>
          <w:sz w:val="24"/>
          <w:highlight w:val="none"/>
        </w:rPr>
        <w:t>1.担保金额人民币(大写)</w:t>
      </w:r>
      <w:r>
        <w:rPr>
          <w:rStyle w:val="21"/>
          <w:rFonts w:hint="eastAsia" w:ascii="宋体" w:hAnsi="宋体" w:eastAsia="宋体" w:cs="宋体"/>
          <w:color w:val="auto"/>
          <w:sz w:val="24"/>
          <w:highlight w:val="none"/>
          <w:u w:val="single"/>
          <w:lang w:val="en-US" w:eastAsia="zh-CN"/>
        </w:rPr>
        <w:t xml:space="preserve">       </w:t>
      </w:r>
      <w:r>
        <w:rPr>
          <w:rStyle w:val="21"/>
          <w:rFonts w:hint="eastAsia" w:ascii="宋体" w:hAnsi="宋体" w:eastAsia="宋体" w:cs="宋体"/>
          <w:color w:val="auto"/>
          <w:sz w:val="24"/>
          <w:highlight w:val="none"/>
        </w:rPr>
        <w:t>元(¥</w:t>
      </w:r>
      <w:r>
        <w:rPr>
          <w:rStyle w:val="21"/>
          <w:rFonts w:hint="eastAsia" w:ascii="宋体" w:hAnsi="宋体" w:eastAsia="宋体" w:cs="宋体"/>
          <w:color w:val="auto"/>
          <w:sz w:val="24"/>
          <w:highlight w:val="none"/>
          <w:u w:val="single"/>
          <w:lang w:val="en-US" w:eastAsia="zh-CN"/>
        </w:rPr>
        <w:t xml:space="preserve">       </w:t>
      </w:r>
      <w:r>
        <w:rPr>
          <w:rStyle w:val="21"/>
          <w:rFonts w:hint="eastAsia" w:ascii="宋体" w:hAnsi="宋体" w:eastAsia="宋体" w:cs="宋体"/>
          <w:color w:val="auto"/>
          <w:sz w:val="24"/>
          <w:highlight w:val="none"/>
        </w:rPr>
        <w:t>元)。</w:t>
      </w:r>
    </w:p>
    <w:p>
      <w:pPr>
        <w:pStyle w:val="44"/>
        <w:pageBreakBefore w:val="0"/>
        <w:kinsoku/>
        <w:overflowPunct/>
        <w:topLinePunct w:val="0"/>
        <w:bidi w:val="0"/>
        <w:snapToGrid/>
        <w:spacing w:line="360" w:lineRule="auto"/>
        <w:rPr>
          <w:rStyle w:val="21"/>
          <w:rFonts w:hint="eastAsia" w:ascii="宋体" w:hAnsi="宋体" w:eastAsia="宋体" w:cs="宋体"/>
          <w:color w:val="auto"/>
          <w:sz w:val="24"/>
          <w:highlight w:val="none"/>
        </w:rPr>
      </w:pPr>
      <w:r>
        <w:rPr>
          <w:rStyle w:val="21"/>
          <w:rFonts w:hint="eastAsia" w:ascii="宋体" w:hAnsi="宋体" w:eastAsia="宋体" w:cs="宋体"/>
          <w:color w:val="auto"/>
          <w:sz w:val="24"/>
          <w:highlight w:val="none"/>
        </w:rPr>
        <w:t>2.担保有效期自预付款支付给承包人起生效，至发包人签发的进度付款证书说明预付款已完全扣清止。</w:t>
      </w:r>
    </w:p>
    <w:p>
      <w:pPr>
        <w:pStyle w:val="44"/>
        <w:pageBreakBefore w:val="0"/>
        <w:kinsoku/>
        <w:overflowPunct/>
        <w:topLinePunct w:val="0"/>
        <w:bidi w:val="0"/>
        <w:snapToGrid/>
        <w:spacing w:line="360" w:lineRule="auto"/>
        <w:rPr>
          <w:rStyle w:val="21"/>
          <w:rFonts w:hint="eastAsia" w:ascii="宋体" w:hAnsi="宋体" w:eastAsia="宋体" w:cs="宋体"/>
          <w:color w:val="auto"/>
          <w:sz w:val="24"/>
          <w:highlight w:val="none"/>
        </w:rPr>
      </w:pPr>
      <w:r>
        <w:rPr>
          <w:rStyle w:val="21"/>
          <w:rFonts w:hint="eastAsia" w:ascii="宋体" w:hAnsi="宋体" w:eastAsia="宋体" w:cs="宋体"/>
          <w:color w:val="auto"/>
          <w:sz w:val="24"/>
          <w:highlight w:val="none"/>
        </w:rPr>
        <w:t>3.在本担保有效期内，因承包人违反合同约定的义务而要求收回预付款时，我方在收到你方的书面通知后，无条件地在7天内予以支付。但本担保的担保金额，在任何时候不应超过预付款金额减去发包人按合同约定在向承包人签发的进度付款证书中已扣回的金额。</w:t>
      </w:r>
    </w:p>
    <w:p>
      <w:pPr>
        <w:pStyle w:val="44"/>
        <w:pageBreakBefore w:val="0"/>
        <w:kinsoku/>
        <w:overflowPunct/>
        <w:topLinePunct w:val="0"/>
        <w:bidi w:val="0"/>
        <w:snapToGrid/>
        <w:spacing w:line="360" w:lineRule="auto"/>
        <w:rPr>
          <w:rStyle w:val="21"/>
          <w:rFonts w:hint="eastAsia" w:ascii="宋体" w:hAnsi="宋体" w:eastAsia="宋体" w:cs="宋体"/>
          <w:color w:val="auto"/>
          <w:sz w:val="24"/>
          <w:highlight w:val="none"/>
        </w:rPr>
      </w:pPr>
      <w:r>
        <w:rPr>
          <w:rStyle w:val="21"/>
          <w:rFonts w:hint="eastAsia" w:ascii="宋体" w:hAnsi="宋体" w:eastAsia="宋体" w:cs="宋体"/>
          <w:color w:val="auto"/>
          <w:sz w:val="24"/>
          <w:highlight w:val="none"/>
        </w:rPr>
        <w:t>4.发包人和承包人按《通用合同条款》第15条变更合同时，我方承担本担保规定的义务不变。</w:t>
      </w:r>
    </w:p>
    <w:p>
      <w:pPr>
        <w:pStyle w:val="44"/>
        <w:pageBreakBefore w:val="0"/>
        <w:kinsoku/>
        <w:overflowPunct/>
        <w:topLinePunct w:val="0"/>
        <w:bidi w:val="0"/>
        <w:snapToGrid/>
        <w:spacing w:line="360" w:lineRule="auto"/>
        <w:jc w:val="center"/>
        <w:rPr>
          <w:rStyle w:val="21"/>
          <w:rFonts w:hint="eastAsia" w:ascii="宋体" w:hAnsi="宋体" w:eastAsia="宋体" w:cs="宋体"/>
          <w:color w:val="auto"/>
          <w:sz w:val="24"/>
          <w:highlight w:val="none"/>
        </w:rPr>
      </w:pPr>
      <w:r>
        <w:rPr>
          <w:rStyle w:val="21"/>
          <w:rFonts w:hint="eastAsia" w:ascii="宋体" w:hAnsi="宋体" w:eastAsia="宋体" w:cs="宋体"/>
          <w:color w:val="auto"/>
          <w:sz w:val="24"/>
          <w:highlight w:val="none"/>
          <w:lang w:val="en-US" w:eastAsia="zh-CN"/>
        </w:rPr>
        <w:t xml:space="preserve">                            </w:t>
      </w:r>
      <w:r>
        <w:rPr>
          <w:rStyle w:val="21"/>
          <w:rFonts w:hint="eastAsia" w:ascii="宋体" w:hAnsi="宋体" w:eastAsia="宋体" w:cs="宋体"/>
          <w:color w:val="auto"/>
          <w:sz w:val="24"/>
          <w:highlight w:val="none"/>
        </w:rPr>
        <w:t>担保人：</w:t>
      </w:r>
      <w:r>
        <w:rPr>
          <w:rStyle w:val="21"/>
          <w:rFonts w:hint="eastAsia" w:ascii="宋体" w:hAnsi="宋体" w:eastAsia="宋体" w:cs="宋体"/>
          <w:color w:val="auto"/>
          <w:sz w:val="24"/>
          <w:highlight w:val="none"/>
          <w:u w:val="single"/>
          <w:lang w:val="en-US" w:eastAsia="zh-CN"/>
        </w:rPr>
        <w:t xml:space="preserve">       </w:t>
      </w:r>
      <w:r>
        <w:rPr>
          <w:rStyle w:val="21"/>
          <w:rFonts w:hint="eastAsia" w:ascii="宋体" w:hAnsi="宋体" w:eastAsia="宋体" w:cs="宋体"/>
          <w:color w:val="auto"/>
          <w:sz w:val="24"/>
          <w:highlight w:val="none"/>
        </w:rPr>
        <w:t>(盖单位章)</w:t>
      </w:r>
    </w:p>
    <w:p>
      <w:pPr>
        <w:pStyle w:val="44"/>
        <w:pageBreakBefore w:val="0"/>
        <w:kinsoku/>
        <w:overflowPunct/>
        <w:topLinePunct w:val="0"/>
        <w:bidi w:val="0"/>
        <w:snapToGrid/>
        <w:spacing w:line="360" w:lineRule="auto"/>
        <w:jc w:val="center"/>
        <w:rPr>
          <w:rStyle w:val="21"/>
          <w:rFonts w:hint="eastAsia" w:ascii="宋体" w:hAnsi="宋体" w:eastAsia="宋体" w:cs="宋体"/>
          <w:color w:val="auto"/>
          <w:sz w:val="24"/>
          <w:highlight w:val="none"/>
        </w:rPr>
      </w:pPr>
      <w:r>
        <w:rPr>
          <w:rStyle w:val="21"/>
          <w:rFonts w:hint="eastAsia" w:ascii="宋体" w:hAnsi="宋体" w:eastAsia="宋体" w:cs="宋体"/>
          <w:color w:val="auto"/>
          <w:sz w:val="24"/>
          <w:highlight w:val="none"/>
          <w:lang w:val="en-US" w:eastAsia="zh-CN"/>
        </w:rPr>
        <w:t xml:space="preserve">                             </w:t>
      </w:r>
      <w:r>
        <w:rPr>
          <w:rStyle w:val="21"/>
          <w:rFonts w:hint="eastAsia" w:ascii="宋体" w:hAnsi="宋体" w:eastAsia="宋体" w:cs="宋体"/>
          <w:color w:val="auto"/>
          <w:sz w:val="24"/>
          <w:highlight w:val="none"/>
        </w:rPr>
        <w:t>法定代表人或其委托代理人：</w:t>
      </w:r>
      <w:r>
        <w:rPr>
          <w:rStyle w:val="21"/>
          <w:rFonts w:hint="eastAsia" w:ascii="宋体" w:hAnsi="宋体" w:eastAsia="宋体" w:cs="宋体"/>
          <w:color w:val="auto"/>
          <w:sz w:val="24"/>
          <w:highlight w:val="none"/>
          <w:u w:val="single"/>
          <w:lang w:val="en-US" w:eastAsia="zh-CN"/>
        </w:rPr>
        <w:t xml:space="preserve">  </w:t>
      </w:r>
      <w:r>
        <w:rPr>
          <w:rStyle w:val="21"/>
          <w:rFonts w:hint="eastAsia" w:ascii="宋体" w:hAnsi="宋体" w:eastAsia="宋体" w:cs="宋体"/>
          <w:color w:val="auto"/>
          <w:sz w:val="24"/>
          <w:highlight w:val="none"/>
        </w:rPr>
        <w:t>(签字)</w:t>
      </w:r>
    </w:p>
    <w:p>
      <w:pPr>
        <w:pStyle w:val="44"/>
        <w:pageBreakBefore w:val="0"/>
        <w:kinsoku/>
        <w:overflowPunct/>
        <w:topLinePunct w:val="0"/>
        <w:bidi w:val="0"/>
        <w:snapToGrid/>
        <w:spacing w:line="360" w:lineRule="auto"/>
        <w:jc w:val="center"/>
        <w:rPr>
          <w:rStyle w:val="21"/>
          <w:rFonts w:hint="eastAsia" w:ascii="宋体" w:hAnsi="宋体" w:eastAsia="宋体" w:cs="宋体"/>
          <w:color w:val="auto"/>
          <w:sz w:val="24"/>
          <w:highlight w:val="none"/>
        </w:rPr>
      </w:pPr>
      <w:r>
        <w:rPr>
          <w:rStyle w:val="21"/>
          <w:rFonts w:hint="eastAsia" w:ascii="宋体" w:hAnsi="宋体" w:eastAsia="宋体" w:cs="宋体"/>
          <w:color w:val="auto"/>
          <w:sz w:val="24"/>
          <w:highlight w:val="none"/>
        </w:rPr>
        <w:t>地址：</w:t>
      </w:r>
      <w:r>
        <w:rPr>
          <w:rStyle w:val="21"/>
          <w:rFonts w:hint="eastAsia" w:ascii="宋体" w:hAnsi="宋体" w:eastAsia="宋体" w:cs="宋体"/>
          <w:color w:val="auto"/>
          <w:sz w:val="24"/>
          <w:highlight w:val="none"/>
          <w:u w:val="single"/>
          <w:lang w:val="en-US" w:eastAsia="zh-CN"/>
        </w:rPr>
        <w:t xml:space="preserve">       </w:t>
      </w:r>
    </w:p>
    <w:p>
      <w:pPr>
        <w:pStyle w:val="44"/>
        <w:pageBreakBefore w:val="0"/>
        <w:kinsoku/>
        <w:overflowPunct/>
        <w:topLinePunct w:val="0"/>
        <w:bidi w:val="0"/>
        <w:snapToGrid/>
        <w:spacing w:line="360" w:lineRule="auto"/>
        <w:jc w:val="center"/>
        <w:rPr>
          <w:rStyle w:val="21"/>
          <w:rFonts w:hint="eastAsia" w:ascii="宋体" w:hAnsi="宋体" w:eastAsia="宋体" w:cs="宋体"/>
          <w:color w:val="auto"/>
          <w:sz w:val="24"/>
          <w:highlight w:val="none"/>
        </w:rPr>
      </w:pPr>
      <w:r>
        <w:rPr>
          <w:rStyle w:val="21"/>
          <w:rFonts w:hint="eastAsia" w:ascii="宋体" w:hAnsi="宋体" w:eastAsia="宋体" w:cs="宋体"/>
          <w:color w:val="auto"/>
          <w:sz w:val="24"/>
          <w:highlight w:val="none"/>
          <w:lang w:val="en-US" w:eastAsia="zh-CN"/>
        </w:rPr>
        <w:t xml:space="preserve">    </w:t>
      </w:r>
      <w:r>
        <w:rPr>
          <w:rStyle w:val="21"/>
          <w:rFonts w:hint="eastAsia" w:ascii="宋体" w:hAnsi="宋体" w:eastAsia="宋体" w:cs="宋体"/>
          <w:color w:val="auto"/>
          <w:sz w:val="24"/>
          <w:highlight w:val="none"/>
        </w:rPr>
        <w:t>邮政编码：</w:t>
      </w:r>
      <w:r>
        <w:rPr>
          <w:rStyle w:val="21"/>
          <w:rFonts w:hint="eastAsia" w:ascii="宋体" w:hAnsi="宋体" w:eastAsia="宋体" w:cs="宋体"/>
          <w:color w:val="auto"/>
          <w:sz w:val="24"/>
          <w:highlight w:val="none"/>
          <w:u w:val="single"/>
          <w:lang w:val="en-US" w:eastAsia="zh-CN"/>
        </w:rPr>
        <w:t xml:space="preserve">       </w:t>
      </w:r>
    </w:p>
    <w:p>
      <w:pPr>
        <w:pStyle w:val="44"/>
        <w:pageBreakBefore w:val="0"/>
        <w:kinsoku/>
        <w:overflowPunct/>
        <w:topLinePunct w:val="0"/>
        <w:bidi w:val="0"/>
        <w:snapToGrid/>
        <w:spacing w:line="360" w:lineRule="auto"/>
        <w:jc w:val="center"/>
        <w:rPr>
          <w:rStyle w:val="21"/>
          <w:rFonts w:hint="eastAsia" w:ascii="宋体" w:hAnsi="宋体" w:eastAsia="宋体" w:cs="宋体"/>
          <w:color w:val="auto"/>
          <w:sz w:val="24"/>
          <w:highlight w:val="none"/>
          <w:u w:val="single"/>
          <w:lang w:val="en-US" w:eastAsia="zh-CN"/>
        </w:rPr>
      </w:pPr>
      <w:r>
        <w:rPr>
          <w:rStyle w:val="21"/>
          <w:rFonts w:hint="eastAsia" w:ascii="宋体" w:hAnsi="宋体" w:eastAsia="宋体" w:cs="宋体"/>
          <w:color w:val="auto"/>
          <w:sz w:val="24"/>
          <w:highlight w:val="none"/>
        </w:rPr>
        <w:t>电话：</w:t>
      </w:r>
      <w:r>
        <w:rPr>
          <w:rStyle w:val="21"/>
          <w:rFonts w:hint="eastAsia" w:ascii="宋体" w:hAnsi="宋体" w:eastAsia="宋体" w:cs="宋体"/>
          <w:color w:val="auto"/>
          <w:sz w:val="24"/>
          <w:highlight w:val="none"/>
          <w:u w:val="single"/>
          <w:lang w:val="en-US" w:eastAsia="zh-CN"/>
        </w:rPr>
        <w:t xml:space="preserve">       </w:t>
      </w:r>
    </w:p>
    <w:p>
      <w:pPr>
        <w:pStyle w:val="44"/>
        <w:pageBreakBefore w:val="0"/>
        <w:kinsoku/>
        <w:overflowPunct/>
        <w:topLinePunct w:val="0"/>
        <w:bidi w:val="0"/>
        <w:snapToGrid/>
        <w:spacing w:line="360" w:lineRule="auto"/>
        <w:jc w:val="center"/>
        <w:rPr>
          <w:rStyle w:val="21"/>
          <w:rFonts w:hint="eastAsia" w:ascii="宋体" w:hAnsi="宋体" w:eastAsia="宋体" w:cs="宋体"/>
          <w:color w:val="auto"/>
          <w:sz w:val="24"/>
          <w:highlight w:val="none"/>
        </w:rPr>
      </w:pPr>
      <w:r>
        <w:rPr>
          <w:rStyle w:val="21"/>
          <w:rFonts w:hint="eastAsia" w:ascii="宋体" w:hAnsi="宋体" w:eastAsia="宋体" w:cs="宋体"/>
          <w:color w:val="auto"/>
          <w:sz w:val="24"/>
          <w:highlight w:val="none"/>
        </w:rPr>
        <w:t>传真：</w:t>
      </w:r>
      <w:r>
        <w:rPr>
          <w:rStyle w:val="21"/>
          <w:rFonts w:hint="eastAsia" w:ascii="宋体" w:hAnsi="宋体" w:eastAsia="宋体" w:cs="宋体"/>
          <w:color w:val="auto"/>
          <w:sz w:val="24"/>
          <w:highlight w:val="none"/>
          <w:u w:val="single"/>
          <w:lang w:val="en-US" w:eastAsia="zh-CN"/>
        </w:rPr>
        <w:t xml:space="preserve">       </w:t>
      </w:r>
    </w:p>
    <w:p>
      <w:pPr>
        <w:pStyle w:val="44"/>
        <w:pageBreakBefore w:val="0"/>
        <w:kinsoku/>
        <w:overflowPunct/>
        <w:topLinePunct w:val="0"/>
        <w:bidi w:val="0"/>
        <w:snapToGrid/>
        <w:spacing w:line="360" w:lineRule="auto"/>
        <w:jc w:val="right"/>
        <w:rPr>
          <w:rStyle w:val="21"/>
          <w:rFonts w:hint="eastAsia" w:ascii="宋体" w:hAnsi="宋体" w:eastAsia="宋体" w:cs="宋体"/>
          <w:color w:val="auto"/>
          <w:sz w:val="24"/>
          <w:highlight w:val="none"/>
        </w:rPr>
      </w:pPr>
      <w:r>
        <w:rPr>
          <w:rStyle w:val="21"/>
          <w:rFonts w:hint="eastAsia" w:ascii="宋体" w:hAnsi="宋体" w:eastAsia="宋体" w:cs="宋体"/>
          <w:color w:val="auto"/>
          <w:sz w:val="24"/>
          <w:highlight w:val="none"/>
          <w:u w:val="single"/>
          <w:lang w:val="en-US" w:eastAsia="zh-CN"/>
        </w:rPr>
        <w:t xml:space="preserve">    </w:t>
      </w:r>
      <w:r>
        <w:rPr>
          <w:rStyle w:val="21"/>
          <w:rFonts w:hint="eastAsia" w:ascii="宋体" w:hAnsi="宋体" w:eastAsia="宋体" w:cs="宋体"/>
          <w:color w:val="auto"/>
          <w:sz w:val="24"/>
          <w:highlight w:val="none"/>
        </w:rPr>
        <w:t>年</w:t>
      </w:r>
      <w:r>
        <w:rPr>
          <w:rStyle w:val="21"/>
          <w:rFonts w:hint="eastAsia" w:ascii="宋体" w:hAnsi="宋体" w:eastAsia="宋体" w:cs="宋体"/>
          <w:color w:val="auto"/>
          <w:sz w:val="24"/>
          <w:highlight w:val="none"/>
          <w:u w:val="single"/>
          <w:lang w:val="en-US" w:eastAsia="zh-CN"/>
        </w:rPr>
        <w:t xml:space="preserve">  </w:t>
      </w:r>
      <w:r>
        <w:rPr>
          <w:rStyle w:val="21"/>
          <w:rFonts w:hint="eastAsia" w:ascii="宋体" w:hAnsi="宋体" w:eastAsia="宋体" w:cs="宋体"/>
          <w:color w:val="auto"/>
          <w:sz w:val="24"/>
          <w:highlight w:val="none"/>
        </w:rPr>
        <w:t>月</w:t>
      </w:r>
      <w:r>
        <w:rPr>
          <w:rStyle w:val="21"/>
          <w:rFonts w:hint="eastAsia" w:ascii="宋体" w:hAnsi="宋体" w:eastAsia="宋体" w:cs="宋体"/>
          <w:color w:val="auto"/>
          <w:sz w:val="24"/>
          <w:highlight w:val="none"/>
          <w:u w:val="single"/>
          <w:lang w:val="en-US" w:eastAsia="zh-CN"/>
        </w:rPr>
        <w:t xml:space="preserve">  </w:t>
      </w:r>
      <w:r>
        <w:rPr>
          <w:rStyle w:val="21"/>
          <w:rFonts w:hint="eastAsia" w:ascii="宋体" w:hAnsi="宋体" w:eastAsia="宋体" w:cs="宋体"/>
          <w:color w:val="auto"/>
          <w:sz w:val="24"/>
          <w:highlight w:val="none"/>
        </w:rPr>
        <w:t>日</w:t>
      </w:r>
    </w:p>
    <w:p>
      <w:pPr>
        <w:pStyle w:val="44"/>
        <w:pageBreakBefore w:val="0"/>
        <w:kinsoku/>
        <w:overflowPunct/>
        <w:topLinePunct w:val="0"/>
        <w:bidi w:val="0"/>
        <w:snapToGrid/>
        <w:spacing w:line="360" w:lineRule="auto"/>
        <w:rPr>
          <w:rStyle w:val="21"/>
          <w:rFonts w:hint="eastAsia" w:ascii="宋体" w:hAnsi="宋体" w:eastAsia="宋体" w:cs="宋体"/>
          <w:color w:val="auto"/>
          <w:sz w:val="24"/>
          <w:highlight w:val="none"/>
        </w:rPr>
      </w:pPr>
    </w:p>
    <w:p>
      <w:pPr>
        <w:pStyle w:val="44"/>
        <w:pageBreakBefore w:val="0"/>
        <w:kinsoku/>
        <w:overflowPunct/>
        <w:topLinePunct w:val="0"/>
        <w:bidi w:val="0"/>
        <w:snapToGrid/>
        <w:spacing w:line="360" w:lineRule="auto"/>
        <w:rPr>
          <w:rStyle w:val="21"/>
          <w:rFonts w:hint="eastAsia" w:ascii="宋体" w:hAnsi="宋体" w:eastAsia="宋体" w:cs="宋体"/>
          <w:color w:val="auto"/>
          <w:sz w:val="24"/>
          <w:highlight w:val="none"/>
        </w:rPr>
      </w:pPr>
      <w:r>
        <w:rPr>
          <w:rStyle w:val="21"/>
          <w:rFonts w:hint="eastAsia" w:ascii="宋体" w:hAnsi="宋体" w:eastAsia="宋体" w:cs="宋体"/>
          <w:color w:val="auto"/>
          <w:sz w:val="24"/>
          <w:highlight w:val="none"/>
        </w:rPr>
        <w:t>注：委托代理人应附授权委托书。</w:t>
      </w:r>
    </w:p>
    <w:p>
      <w:pPr>
        <w:pStyle w:val="44"/>
        <w:pageBreakBefore w:val="0"/>
        <w:kinsoku/>
        <w:overflowPunct/>
        <w:topLinePunct w:val="0"/>
        <w:bidi w:val="0"/>
        <w:snapToGrid/>
        <w:spacing w:line="360" w:lineRule="auto"/>
        <w:rPr>
          <w:rStyle w:val="21"/>
          <w:rFonts w:hint="eastAsia" w:ascii="宋体" w:hAnsi="宋体" w:eastAsia="宋体" w:cs="宋体"/>
          <w:color w:val="auto"/>
          <w:highlight w:val="none"/>
        </w:rPr>
      </w:pPr>
      <w:r>
        <w:rPr>
          <w:rStyle w:val="21"/>
          <w:rFonts w:hint="eastAsia" w:ascii="宋体" w:hAnsi="宋体" w:eastAsia="宋体" w:cs="宋体"/>
          <w:color w:val="auto"/>
          <w:highlight w:val="none"/>
        </w:rPr>
        <w:t xml:space="preserve"> </w:t>
      </w:r>
    </w:p>
    <w:p>
      <w:pPr>
        <w:pageBreakBefore w:val="0"/>
        <w:kinsoku/>
        <w:overflowPunct/>
        <w:topLinePunct w:val="0"/>
        <w:bidi w:val="0"/>
        <w:snapToGrid/>
        <w:spacing w:line="360" w:lineRule="auto"/>
        <w:rPr>
          <w:rFonts w:hint="eastAsia" w:ascii="宋体" w:hAnsi="宋体" w:eastAsia="宋体" w:cs="宋体"/>
          <w:color w:val="auto"/>
          <w:sz w:val="20"/>
          <w:highlight w:val="none"/>
        </w:rPr>
      </w:pPr>
      <w:r>
        <w:rPr>
          <w:rFonts w:hint="eastAsia" w:ascii="宋体" w:hAnsi="宋体" w:eastAsia="宋体" w:cs="宋体"/>
          <w:color w:val="auto"/>
          <w:sz w:val="20"/>
          <w:highlight w:val="none"/>
        </w:rPr>
        <w:t xml:space="preserve"> </w:t>
      </w:r>
    </w:p>
    <w:p>
      <w:pPr>
        <w:pageBreakBefore w:val="0"/>
        <w:kinsoku/>
        <w:overflowPunct/>
        <w:topLinePunct w:val="0"/>
        <w:bidi w:val="0"/>
        <w:snapToGrid/>
        <w:spacing w:line="360" w:lineRule="auto"/>
        <w:rPr>
          <w:rFonts w:hint="eastAsia" w:ascii="宋体" w:hAnsi="宋体" w:eastAsia="宋体" w:cs="宋体"/>
          <w:color w:val="auto"/>
          <w:highlight w:val="none"/>
        </w:rPr>
      </w:pPr>
    </w:p>
    <w:p>
      <w:pPr>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br w:type="page"/>
      </w:r>
    </w:p>
    <w:bookmarkEnd w:id="260"/>
    <w:bookmarkEnd w:id="261"/>
    <w:p>
      <w:pPr>
        <w:pStyle w:val="4"/>
        <w:jc w:val="center"/>
        <w:rPr>
          <w:rStyle w:val="21"/>
          <w:rFonts w:hint="eastAsia" w:ascii="Times New Roman" w:hAnsi="Times New Roman" w:eastAsia="宋体" w:cs="Times New Roman"/>
          <w:b/>
          <w:bCs/>
          <w:color w:val="auto"/>
          <w:kern w:val="2"/>
          <w:sz w:val="32"/>
          <w:szCs w:val="32"/>
          <w:highlight w:val="none"/>
          <w:lang w:val="en-US" w:eastAsia="zh-CN" w:bidi="ar-SA"/>
        </w:rPr>
      </w:pPr>
      <w:bookmarkStart w:id="262" w:name="_Toc30454"/>
      <w:bookmarkStart w:id="263" w:name="_Toc4301"/>
      <w:bookmarkStart w:id="264" w:name="_Toc23270"/>
      <w:bookmarkStart w:id="265" w:name="EB50562e3acd594beb854c3a298a7ed8bd"/>
      <w:r>
        <w:rPr>
          <w:rStyle w:val="21"/>
          <w:rFonts w:hint="eastAsia" w:ascii="Times New Roman" w:hAnsi="Times New Roman" w:eastAsia="宋体" w:cs="Times New Roman"/>
          <w:b/>
          <w:bCs/>
          <w:color w:val="auto"/>
          <w:kern w:val="2"/>
          <w:sz w:val="32"/>
          <w:szCs w:val="32"/>
          <w:highlight w:val="none"/>
          <w:lang w:val="en-US" w:eastAsia="zh-CN" w:bidi="ar-SA"/>
        </w:rPr>
        <w:t>第四章  合同条款及格式</w:t>
      </w:r>
      <w:bookmarkEnd w:id="262"/>
      <w:bookmarkEnd w:id="263"/>
    </w:p>
    <w:p>
      <w:pPr>
        <w:pStyle w:val="64"/>
        <w:jc w:val="center"/>
        <w:rPr>
          <w:rStyle w:val="21"/>
          <w:color w:val="auto"/>
          <w:kern w:val="2"/>
          <w:highlight w:val="none"/>
          <w:lang w:val="en-US" w:eastAsia="zh-CN" w:bidi="ar-SA"/>
        </w:rPr>
      </w:pPr>
      <w:bookmarkStart w:id="266" w:name="_Toc7471"/>
      <w:bookmarkStart w:id="267" w:name="_Toc3615"/>
      <w:bookmarkStart w:id="268" w:name="_Toc256000022"/>
      <w:r>
        <w:rPr>
          <w:rStyle w:val="21"/>
          <w:rFonts w:hint="eastAsia"/>
          <w:color w:val="auto"/>
          <w:kern w:val="2"/>
          <w:highlight w:val="none"/>
          <w:lang w:val="en-US" w:eastAsia="zh-CN" w:bidi="ar-SA"/>
        </w:rPr>
        <w:t>第一节</w:t>
      </w:r>
      <w:r>
        <w:rPr>
          <w:rStyle w:val="21"/>
          <w:color w:val="auto"/>
          <w:kern w:val="2"/>
          <w:highlight w:val="none"/>
          <w:lang w:val="en-US" w:eastAsia="zh-CN" w:bidi="ar-SA"/>
        </w:rPr>
        <w:t xml:space="preserve">    </w:t>
      </w:r>
      <w:r>
        <w:rPr>
          <w:rStyle w:val="21"/>
          <w:rFonts w:hint="eastAsia"/>
          <w:color w:val="auto"/>
          <w:kern w:val="2"/>
          <w:highlight w:val="none"/>
          <w:lang w:val="en-US" w:eastAsia="zh-CN" w:bidi="ar-SA"/>
        </w:rPr>
        <w:t>通用合同条款</w:t>
      </w:r>
      <w:bookmarkEnd w:id="266"/>
      <w:bookmarkEnd w:id="267"/>
      <w:bookmarkEnd w:id="268"/>
    </w:p>
    <w:p>
      <w:pPr>
        <w:pStyle w:val="66"/>
        <w:rPr>
          <w:rStyle w:val="21"/>
          <w:color w:val="auto"/>
          <w:kern w:val="2"/>
          <w:highlight w:val="none"/>
          <w:lang w:val="en-US" w:eastAsia="zh-CN" w:bidi="ar-SA"/>
        </w:rPr>
      </w:pPr>
      <w:bookmarkStart w:id="269" w:name="_Toc18970"/>
      <w:r>
        <w:rPr>
          <w:rStyle w:val="21"/>
          <w:rFonts w:hint="eastAsia"/>
          <w:color w:val="auto"/>
          <w:kern w:val="2"/>
          <w:highlight w:val="none"/>
          <w:lang w:val="en-US" w:eastAsia="zh-CN" w:bidi="ar-SA"/>
        </w:rPr>
        <w:t>1 一般约定</w:t>
      </w:r>
      <w:bookmarkEnd w:id="269"/>
    </w:p>
    <w:p>
      <w:pPr>
        <w:pStyle w:val="65"/>
        <w:tabs>
          <w:tab w:val="left" w:pos="8280"/>
        </w:tabs>
        <w:spacing w:line="360" w:lineRule="auto"/>
        <w:ind w:firstLine="360" w:firstLineChars="150"/>
        <w:rPr>
          <w:rStyle w:val="21"/>
          <w:rFonts w:hint="eastAsia" w:asciiTheme="minorEastAsia" w:hAnsiTheme="minorEastAsia" w:eastAsiaTheme="minorEastAsia" w:cstheme="minorEastAsia"/>
          <w:color w:val="auto"/>
          <w:kern w:val="2"/>
          <w:sz w:val="24"/>
          <w:szCs w:val="24"/>
          <w:highlight w:val="none"/>
          <w:lang w:val="en-US" w:eastAsia="zh-CN" w:bidi="ar-SA"/>
        </w:rPr>
      </w:pPr>
      <w:r>
        <w:rPr>
          <w:rStyle w:val="21"/>
          <w:rFonts w:hint="eastAsia" w:asciiTheme="minorEastAsia" w:hAnsiTheme="minorEastAsia" w:eastAsiaTheme="minorEastAsia" w:cstheme="minorEastAsia"/>
          <w:color w:val="auto"/>
          <w:kern w:val="2"/>
          <w:sz w:val="24"/>
          <w:szCs w:val="24"/>
          <w:highlight w:val="none"/>
          <w:lang w:val="en-US" w:eastAsia="zh-CN" w:bidi="ar-SA"/>
        </w:rPr>
        <w:t>1.1词语定义</w:t>
      </w:r>
    </w:p>
    <w:p>
      <w:pPr>
        <w:pStyle w:val="65"/>
        <w:tabs>
          <w:tab w:val="left" w:pos="8280"/>
        </w:tabs>
        <w:spacing w:line="360" w:lineRule="auto"/>
        <w:ind w:firstLine="360" w:firstLineChars="150"/>
        <w:rPr>
          <w:rStyle w:val="21"/>
          <w:rFonts w:hint="eastAsia" w:asciiTheme="minorEastAsia" w:hAnsiTheme="minorEastAsia" w:eastAsiaTheme="minorEastAsia" w:cstheme="minorEastAsia"/>
          <w:color w:val="auto"/>
          <w:kern w:val="2"/>
          <w:sz w:val="24"/>
          <w:szCs w:val="24"/>
          <w:highlight w:val="none"/>
          <w:lang w:val="en-US" w:eastAsia="zh-CN" w:bidi="ar-SA"/>
        </w:rPr>
      </w:pPr>
      <w:r>
        <w:rPr>
          <w:rStyle w:val="21"/>
          <w:rFonts w:hint="eastAsia" w:asciiTheme="minorEastAsia" w:hAnsiTheme="minorEastAsia" w:eastAsiaTheme="minorEastAsia" w:cstheme="minorEastAsia"/>
          <w:color w:val="auto"/>
          <w:kern w:val="2"/>
          <w:sz w:val="24"/>
          <w:szCs w:val="24"/>
          <w:highlight w:val="none"/>
          <w:lang w:val="en-US" w:eastAsia="zh-CN" w:bidi="ar-SA"/>
        </w:rPr>
        <w:t>通用合同条款、专用合同条款中的下列词语应具有本款所赋予的含义。</w:t>
      </w:r>
    </w:p>
    <w:p>
      <w:pPr>
        <w:pStyle w:val="65"/>
        <w:tabs>
          <w:tab w:val="left" w:pos="8280"/>
        </w:tabs>
        <w:spacing w:line="360" w:lineRule="auto"/>
        <w:ind w:firstLine="360" w:firstLineChars="150"/>
        <w:rPr>
          <w:rStyle w:val="21"/>
          <w:rFonts w:hint="eastAsia" w:asciiTheme="minorEastAsia" w:hAnsiTheme="minorEastAsia" w:eastAsiaTheme="minorEastAsia" w:cstheme="minorEastAsia"/>
          <w:color w:val="auto"/>
          <w:kern w:val="2"/>
          <w:sz w:val="24"/>
          <w:szCs w:val="24"/>
          <w:highlight w:val="none"/>
          <w:lang w:val="en-US" w:eastAsia="zh-CN" w:bidi="ar-SA"/>
        </w:rPr>
      </w:pPr>
      <w:r>
        <w:rPr>
          <w:rStyle w:val="21"/>
          <w:rFonts w:hint="eastAsia" w:asciiTheme="minorEastAsia" w:hAnsiTheme="minorEastAsia" w:eastAsiaTheme="minorEastAsia" w:cstheme="minorEastAsia"/>
          <w:color w:val="auto"/>
          <w:kern w:val="2"/>
          <w:sz w:val="24"/>
          <w:szCs w:val="24"/>
          <w:highlight w:val="none"/>
          <w:lang w:val="en-US" w:eastAsia="zh-CN" w:bidi="ar-SA"/>
        </w:rPr>
        <w:t>1.1.1合同</w:t>
      </w:r>
    </w:p>
    <w:p>
      <w:pPr>
        <w:pStyle w:val="65"/>
        <w:tabs>
          <w:tab w:val="left" w:pos="8280"/>
        </w:tabs>
        <w:spacing w:line="360" w:lineRule="auto"/>
        <w:ind w:firstLine="360" w:firstLineChars="150"/>
        <w:rPr>
          <w:rStyle w:val="21"/>
          <w:rFonts w:hint="eastAsia" w:asciiTheme="minorEastAsia" w:hAnsiTheme="minorEastAsia" w:eastAsiaTheme="minorEastAsia" w:cstheme="minorEastAsia"/>
          <w:color w:val="auto"/>
          <w:kern w:val="2"/>
          <w:sz w:val="24"/>
          <w:szCs w:val="24"/>
          <w:highlight w:val="none"/>
          <w:lang w:val="en-US" w:eastAsia="zh-CN" w:bidi="ar-SA"/>
        </w:rPr>
      </w:pPr>
      <w:r>
        <w:rPr>
          <w:rStyle w:val="21"/>
          <w:rFonts w:hint="eastAsia" w:asciiTheme="minorEastAsia" w:hAnsiTheme="minorEastAsia" w:eastAsiaTheme="minorEastAsia" w:cstheme="minorEastAsia"/>
          <w:color w:val="auto"/>
          <w:kern w:val="2"/>
          <w:sz w:val="24"/>
          <w:szCs w:val="24"/>
          <w:highlight w:val="none"/>
          <w:lang w:val="en-US" w:eastAsia="zh-CN" w:bidi="ar-SA"/>
        </w:rPr>
        <w:t>1.1.1.1合同文件(或称合同)：指合同协议书、中标通知书、投标函及投标函附录、专用合同条款、通用合同条款、技术标准和要求、图纸、己标价工程量清单，以及其他合同文件。</w:t>
      </w:r>
    </w:p>
    <w:p>
      <w:pPr>
        <w:pStyle w:val="65"/>
        <w:tabs>
          <w:tab w:val="left" w:pos="8280"/>
        </w:tabs>
        <w:spacing w:line="360" w:lineRule="auto"/>
        <w:ind w:firstLine="360" w:firstLineChars="150"/>
        <w:rPr>
          <w:rStyle w:val="21"/>
          <w:rFonts w:hint="eastAsia" w:asciiTheme="minorEastAsia" w:hAnsiTheme="minorEastAsia" w:eastAsiaTheme="minorEastAsia" w:cstheme="minorEastAsia"/>
          <w:color w:val="auto"/>
          <w:kern w:val="2"/>
          <w:sz w:val="24"/>
          <w:szCs w:val="24"/>
          <w:highlight w:val="none"/>
          <w:lang w:val="en-US" w:eastAsia="zh-CN" w:bidi="ar-SA"/>
        </w:rPr>
      </w:pPr>
      <w:r>
        <w:rPr>
          <w:rStyle w:val="21"/>
          <w:rFonts w:hint="eastAsia" w:asciiTheme="minorEastAsia" w:hAnsiTheme="minorEastAsia" w:eastAsiaTheme="minorEastAsia" w:cstheme="minorEastAsia"/>
          <w:color w:val="auto"/>
          <w:kern w:val="2"/>
          <w:sz w:val="24"/>
          <w:szCs w:val="24"/>
          <w:highlight w:val="none"/>
          <w:lang w:val="en-US" w:eastAsia="zh-CN" w:bidi="ar-SA"/>
        </w:rPr>
        <w:t>1.1.1.2合同协议书：指第1.5款所指的合同协议书。</w:t>
      </w:r>
    </w:p>
    <w:p>
      <w:pPr>
        <w:pStyle w:val="65"/>
        <w:tabs>
          <w:tab w:val="left" w:pos="8280"/>
        </w:tabs>
        <w:spacing w:line="360" w:lineRule="auto"/>
        <w:ind w:firstLine="360" w:firstLineChars="150"/>
        <w:rPr>
          <w:rStyle w:val="21"/>
          <w:rFonts w:hint="eastAsia" w:asciiTheme="minorEastAsia" w:hAnsiTheme="minorEastAsia" w:eastAsiaTheme="minorEastAsia" w:cstheme="minorEastAsia"/>
          <w:color w:val="auto"/>
          <w:kern w:val="2"/>
          <w:sz w:val="24"/>
          <w:szCs w:val="24"/>
          <w:highlight w:val="none"/>
          <w:lang w:val="en-US" w:eastAsia="zh-CN" w:bidi="ar-SA"/>
        </w:rPr>
      </w:pPr>
      <w:r>
        <w:rPr>
          <w:rStyle w:val="21"/>
          <w:rFonts w:hint="eastAsia" w:asciiTheme="minorEastAsia" w:hAnsiTheme="minorEastAsia" w:eastAsiaTheme="minorEastAsia" w:cstheme="minorEastAsia"/>
          <w:color w:val="auto"/>
          <w:kern w:val="2"/>
          <w:sz w:val="24"/>
          <w:szCs w:val="24"/>
          <w:highlight w:val="none"/>
          <w:lang w:val="en-US" w:eastAsia="zh-CN" w:bidi="ar-SA"/>
        </w:rPr>
        <w:t>1.1.1.3中标通知书：指发包人通知承包人中标的函件。</w:t>
      </w:r>
    </w:p>
    <w:p>
      <w:pPr>
        <w:pStyle w:val="65"/>
        <w:tabs>
          <w:tab w:val="left" w:pos="8280"/>
        </w:tabs>
        <w:spacing w:line="360" w:lineRule="auto"/>
        <w:ind w:firstLine="360" w:firstLineChars="150"/>
        <w:rPr>
          <w:rStyle w:val="21"/>
          <w:rFonts w:hint="eastAsia" w:asciiTheme="minorEastAsia" w:hAnsiTheme="minorEastAsia" w:eastAsiaTheme="minorEastAsia" w:cstheme="minorEastAsia"/>
          <w:color w:val="auto"/>
          <w:kern w:val="2"/>
          <w:sz w:val="24"/>
          <w:szCs w:val="24"/>
          <w:highlight w:val="none"/>
          <w:lang w:val="en-US" w:eastAsia="zh-CN" w:bidi="ar-SA"/>
        </w:rPr>
      </w:pPr>
      <w:r>
        <w:rPr>
          <w:rStyle w:val="21"/>
          <w:rFonts w:hint="eastAsia" w:asciiTheme="minorEastAsia" w:hAnsiTheme="minorEastAsia" w:eastAsiaTheme="minorEastAsia" w:cstheme="minorEastAsia"/>
          <w:color w:val="auto"/>
          <w:kern w:val="2"/>
          <w:sz w:val="24"/>
          <w:szCs w:val="24"/>
          <w:highlight w:val="none"/>
          <w:lang w:val="en-US" w:eastAsia="zh-CN" w:bidi="ar-SA"/>
        </w:rPr>
        <w:t>1.1.1.4投标函：指构成合同文件组成部分的由承包人填写并签署的投标函。</w:t>
      </w:r>
    </w:p>
    <w:p>
      <w:pPr>
        <w:pStyle w:val="65"/>
        <w:tabs>
          <w:tab w:val="left" w:pos="8280"/>
        </w:tabs>
        <w:spacing w:line="360" w:lineRule="auto"/>
        <w:ind w:firstLine="360" w:firstLineChars="150"/>
        <w:rPr>
          <w:rStyle w:val="21"/>
          <w:rFonts w:hint="eastAsia" w:asciiTheme="minorEastAsia" w:hAnsiTheme="minorEastAsia" w:eastAsiaTheme="minorEastAsia" w:cstheme="minorEastAsia"/>
          <w:color w:val="auto"/>
          <w:kern w:val="2"/>
          <w:sz w:val="24"/>
          <w:szCs w:val="24"/>
          <w:highlight w:val="none"/>
          <w:lang w:val="en-US" w:eastAsia="zh-CN" w:bidi="ar-SA"/>
        </w:rPr>
      </w:pPr>
      <w:r>
        <w:rPr>
          <w:rStyle w:val="21"/>
          <w:rFonts w:hint="eastAsia" w:asciiTheme="minorEastAsia" w:hAnsiTheme="minorEastAsia" w:eastAsiaTheme="minorEastAsia" w:cstheme="minorEastAsia"/>
          <w:color w:val="auto"/>
          <w:kern w:val="2"/>
          <w:sz w:val="24"/>
          <w:szCs w:val="24"/>
          <w:highlight w:val="none"/>
          <w:lang w:val="en-US" w:eastAsia="zh-CN" w:bidi="ar-SA"/>
        </w:rPr>
        <w:t>1.1.1.5投标函附录：指附在投标函后构成合同文件的投标函附录。</w:t>
      </w:r>
    </w:p>
    <w:p>
      <w:pPr>
        <w:pStyle w:val="65"/>
        <w:tabs>
          <w:tab w:val="left" w:pos="8280"/>
        </w:tabs>
        <w:spacing w:line="360" w:lineRule="auto"/>
        <w:ind w:firstLine="360" w:firstLineChars="150"/>
        <w:rPr>
          <w:rStyle w:val="21"/>
          <w:rFonts w:hint="eastAsia" w:asciiTheme="minorEastAsia" w:hAnsiTheme="minorEastAsia" w:eastAsiaTheme="minorEastAsia" w:cstheme="minorEastAsia"/>
          <w:color w:val="auto"/>
          <w:kern w:val="2"/>
          <w:sz w:val="24"/>
          <w:szCs w:val="24"/>
          <w:highlight w:val="none"/>
          <w:lang w:val="en-US" w:eastAsia="zh-CN" w:bidi="ar-SA"/>
        </w:rPr>
      </w:pPr>
      <w:r>
        <w:rPr>
          <w:rStyle w:val="21"/>
          <w:rFonts w:hint="eastAsia" w:asciiTheme="minorEastAsia" w:hAnsiTheme="minorEastAsia" w:eastAsiaTheme="minorEastAsia" w:cstheme="minorEastAsia"/>
          <w:color w:val="auto"/>
          <w:kern w:val="2"/>
          <w:sz w:val="24"/>
          <w:szCs w:val="24"/>
          <w:highlight w:val="none"/>
          <w:lang w:val="en-US" w:eastAsia="zh-CN" w:bidi="ar-SA"/>
        </w:rPr>
        <w:t>1.1.1.6技术标准和要求：指构成合同文件组成部分的名为技术标准和要求(合同技术条款)的文件，包括合同双方当事人约定对其所作的修改或补充。</w:t>
      </w:r>
    </w:p>
    <w:p>
      <w:pPr>
        <w:pStyle w:val="65"/>
        <w:tabs>
          <w:tab w:val="left" w:pos="8280"/>
        </w:tabs>
        <w:spacing w:line="360" w:lineRule="auto"/>
        <w:ind w:firstLine="360" w:firstLineChars="150"/>
        <w:rPr>
          <w:rStyle w:val="21"/>
          <w:rFonts w:hint="eastAsia" w:asciiTheme="minorEastAsia" w:hAnsiTheme="minorEastAsia" w:eastAsiaTheme="minorEastAsia" w:cstheme="minorEastAsia"/>
          <w:color w:val="auto"/>
          <w:kern w:val="2"/>
          <w:sz w:val="24"/>
          <w:szCs w:val="24"/>
          <w:highlight w:val="none"/>
          <w:lang w:val="en-US" w:eastAsia="zh-CN" w:bidi="ar-SA"/>
        </w:rPr>
      </w:pPr>
      <w:r>
        <w:rPr>
          <w:rStyle w:val="21"/>
          <w:rFonts w:hint="eastAsia" w:asciiTheme="minorEastAsia" w:hAnsiTheme="minorEastAsia" w:eastAsiaTheme="minorEastAsia" w:cstheme="minorEastAsia"/>
          <w:color w:val="auto"/>
          <w:kern w:val="2"/>
          <w:sz w:val="24"/>
          <w:szCs w:val="24"/>
          <w:highlight w:val="none"/>
          <w:lang w:val="en-US" w:eastAsia="zh-CN" w:bidi="ar-SA"/>
        </w:rPr>
        <w:t>1.1.1.7图纸：指列入合同的招标图纸、投标图纸和发包人按合同约定向承包人提供的施工图纸和其它图纸(包括配套说明和有关资料)。列入合同的招标图纸已成为合同文件的 一部分，具有合同效力，主要用于在履行合同中作为衡量变更的依据，但不能直接用于施工。经发包人确认进入合同的投标图纸亦成为合同文件的一部分，用于在履行合同中检验承包人是否按其投标时承诺的条件进行施工的依据，亦不能直接用于施工。</w:t>
      </w:r>
    </w:p>
    <w:p>
      <w:pPr>
        <w:pStyle w:val="65"/>
        <w:tabs>
          <w:tab w:val="left" w:pos="8280"/>
        </w:tabs>
        <w:spacing w:line="360" w:lineRule="auto"/>
        <w:ind w:firstLine="360" w:firstLineChars="150"/>
        <w:rPr>
          <w:rStyle w:val="21"/>
          <w:rFonts w:hint="eastAsia" w:asciiTheme="minorEastAsia" w:hAnsiTheme="minorEastAsia" w:eastAsiaTheme="minorEastAsia" w:cstheme="minorEastAsia"/>
          <w:color w:val="auto"/>
          <w:kern w:val="2"/>
          <w:sz w:val="24"/>
          <w:szCs w:val="24"/>
          <w:highlight w:val="none"/>
          <w:lang w:val="en-US" w:eastAsia="zh-CN" w:bidi="ar-SA"/>
        </w:rPr>
      </w:pPr>
      <w:r>
        <w:rPr>
          <w:rStyle w:val="21"/>
          <w:rFonts w:hint="eastAsia" w:asciiTheme="minorEastAsia" w:hAnsiTheme="minorEastAsia" w:eastAsiaTheme="minorEastAsia" w:cstheme="minorEastAsia"/>
          <w:color w:val="auto"/>
          <w:kern w:val="2"/>
          <w:sz w:val="24"/>
          <w:szCs w:val="24"/>
          <w:highlight w:val="none"/>
          <w:lang w:val="en-US" w:eastAsia="zh-CN" w:bidi="ar-SA"/>
        </w:rPr>
        <w:t xml:space="preserve">1.1.1.8己标价工程量清单：指构成合同文件组成部分的由承包人按照规定的格式和要求填写并标明价格的工程量清单。    </w:t>
      </w:r>
    </w:p>
    <w:p>
      <w:pPr>
        <w:pStyle w:val="65"/>
        <w:tabs>
          <w:tab w:val="left" w:pos="8280"/>
        </w:tabs>
        <w:spacing w:line="360" w:lineRule="auto"/>
        <w:ind w:firstLine="360" w:firstLineChars="150"/>
        <w:rPr>
          <w:rStyle w:val="21"/>
          <w:rFonts w:hint="eastAsia" w:asciiTheme="minorEastAsia" w:hAnsiTheme="minorEastAsia" w:eastAsiaTheme="minorEastAsia" w:cstheme="minorEastAsia"/>
          <w:color w:val="auto"/>
          <w:kern w:val="2"/>
          <w:sz w:val="24"/>
          <w:szCs w:val="24"/>
          <w:highlight w:val="none"/>
          <w:lang w:val="en-US" w:eastAsia="zh-CN" w:bidi="ar-SA"/>
        </w:rPr>
      </w:pPr>
      <w:r>
        <w:rPr>
          <w:rStyle w:val="21"/>
          <w:rFonts w:hint="eastAsia" w:asciiTheme="minorEastAsia" w:hAnsiTheme="minorEastAsia" w:eastAsiaTheme="minorEastAsia" w:cstheme="minorEastAsia"/>
          <w:color w:val="auto"/>
          <w:kern w:val="2"/>
          <w:sz w:val="24"/>
          <w:szCs w:val="24"/>
          <w:highlight w:val="none"/>
          <w:lang w:val="en-US" w:eastAsia="zh-CN" w:bidi="ar-SA"/>
        </w:rPr>
        <w:t>1.1.1.9其他合同文件：指经合同双方当事人确认构成合同文件的其他文件。</w:t>
      </w:r>
    </w:p>
    <w:p>
      <w:pPr>
        <w:pStyle w:val="65"/>
        <w:tabs>
          <w:tab w:val="left" w:pos="8280"/>
        </w:tabs>
        <w:spacing w:line="360" w:lineRule="auto"/>
        <w:ind w:firstLine="360" w:firstLineChars="150"/>
        <w:rPr>
          <w:rStyle w:val="21"/>
          <w:rFonts w:hint="eastAsia" w:asciiTheme="minorEastAsia" w:hAnsiTheme="minorEastAsia" w:eastAsiaTheme="minorEastAsia" w:cstheme="minorEastAsia"/>
          <w:color w:val="auto"/>
          <w:kern w:val="2"/>
          <w:sz w:val="24"/>
          <w:szCs w:val="24"/>
          <w:highlight w:val="none"/>
          <w:lang w:val="en-US" w:eastAsia="zh-CN" w:bidi="ar-SA"/>
        </w:rPr>
      </w:pPr>
      <w:r>
        <w:rPr>
          <w:rStyle w:val="21"/>
          <w:rFonts w:hint="eastAsia" w:asciiTheme="minorEastAsia" w:hAnsiTheme="minorEastAsia" w:eastAsiaTheme="minorEastAsia" w:cstheme="minorEastAsia"/>
          <w:color w:val="auto"/>
          <w:kern w:val="2"/>
          <w:sz w:val="24"/>
          <w:szCs w:val="24"/>
          <w:highlight w:val="none"/>
          <w:lang w:val="en-US" w:eastAsia="zh-CN" w:bidi="ar-SA"/>
        </w:rPr>
        <w:t>1.1.2合同当事人和人员</w:t>
      </w:r>
    </w:p>
    <w:p>
      <w:pPr>
        <w:pStyle w:val="65"/>
        <w:tabs>
          <w:tab w:val="left" w:pos="8280"/>
        </w:tabs>
        <w:spacing w:line="360" w:lineRule="auto"/>
        <w:ind w:firstLine="360" w:firstLineChars="150"/>
        <w:rPr>
          <w:rStyle w:val="21"/>
          <w:rFonts w:hint="eastAsia" w:asciiTheme="minorEastAsia" w:hAnsiTheme="minorEastAsia" w:eastAsiaTheme="minorEastAsia" w:cstheme="minorEastAsia"/>
          <w:color w:val="auto"/>
          <w:kern w:val="2"/>
          <w:sz w:val="24"/>
          <w:szCs w:val="24"/>
          <w:highlight w:val="none"/>
          <w:lang w:val="en-US" w:eastAsia="zh-CN" w:bidi="ar-SA"/>
        </w:rPr>
      </w:pPr>
      <w:r>
        <w:rPr>
          <w:rStyle w:val="21"/>
          <w:rFonts w:hint="eastAsia" w:asciiTheme="minorEastAsia" w:hAnsiTheme="minorEastAsia" w:eastAsiaTheme="minorEastAsia" w:cstheme="minorEastAsia"/>
          <w:color w:val="auto"/>
          <w:kern w:val="2"/>
          <w:sz w:val="24"/>
          <w:szCs w:val="24"/>
          <w:highlight w:val="none"/>
          <w:lang w:val="en-US" w:eastAsia="zh-CN" w:bidi="ar-SA"/>
        </w:rPr>
        <w:t>1.1.2.1合同当事人：指发包人和(或)承包人。</w:t>
      </w:r>
    </w:p>
    <w:p>
      <w:pPr>
        <w:pStyle w:val="65"/>
        <w:tabs>
          <w:tab w:val="left" w:pos="8280"/>
        </w:tabs>
        <w:spacing w:line="360" w:lineRule="auto"/>
        <w:ind w:firstLine="360" w:firstLineChars="150"/>
        <w:rPr>
          <w:rStyle w:val="21"/>
          <w:rFonts w:hint="eastAsia" w:asciiTheme="minorEastAsia" w:hAnsiTheme="minorEastAsia" w:eastAsiaTheme="minorEastAsia" w:cstheme="minorEastAsia"/>
          <w:color w:val="auto"/>
          <w:kern w:val="2"/>
          <w:sz w:val="24"/>
          <w:szCs w:val="24"/>
          <w:highlight w:val="none"/>
          <w:lang w:val="en-US" w:eastAsia="zh-CN" w:bidi="ar-SA"/>
        </w:rPr>
      </w:pPr>
      <w:r>
        <w:rPr>
          <w:rStyle w:val="21"/>
          <w:rFonts w:hint="eastAsia" w:asciiTheme="minorEastAsia" w:hAnsiTheme="minorEastAsia" w:eastAsiaTheme="minorEastAsia" w:cstheme="minorEastAsia"/>
          <w:color w:val="auto"/>
          <w:kern w:val="2"/>
          <w:sz w:val="24"/>
          <w:szCs w:val="24"/>
          <w:highlight w:val="none"/>
          <w:lang w:val="en-US" w:eastAsia="zh-CN" w:bidi="ar-SA"/>
        </w:rPr>
        <w:t>1.1.2.2发包人：指专用合同条款中指明并与承包人在合同协议书中签字的当事人。</w:t>
      </w:r>
    </w:p>
    <w:p>
      <w:pPr>
        <w:pStyle w:val="65"/>
        <w:tabs>
          <w:tab w:val="left" w:pos="8280"/>
        </w:tabs>
        <w:spacing w:line="360" w:lineRule="auto"/>
        <w:ind w:firstLine="360" w:firstLineChars="150"/>
        <w:rPr>
          <w:rStyle w:val="21"/>
          <w:rFonts w:hint="eastAsia" w:asciiTheme="minorEastAsia" w:hAnsiTheme="minorEastAsia" w:eastAsiaTheme="minorEastAsia" w:cstheme="minorEastAsia"/>
          <w:color w:val="auto"/>
          <w:kern w:val="2"/>
          <w:sz w:val="24"/>
          <w:szCs w:val="24"/>
          <w:highlight w:val="none"/>
          <w:lang w:val="en-US" w:eastAsia="zh-CN" w:bidi="ar-SA"/>
        </w:rPr>
      </w:pPr>
      <w:r>
        <w:rPr>
          <w:rStyle w:val="21"/>
          <w:rFonts w:hint="eastAsia" w:asciiTheme="minorEastAsia" w:hAnsiTheme="minorEastAsia" w:eastAsiaTheme="minorEastAsia" w:cstheme="minorEastAsia"/>
          <w:color w:val="auto"/>
          <w:kern w:val="2"/>
          <w:sz w:val="24"/>
          <w:szCs w:val="24"/>
          <w:highlight w:val="none"/>
          <w:lang w:val="en-US" w:eastAsia="zh-CN" w:bidi="ar-SA"/>
        </w:rPr>
        <w:t>1.1.2.3承包人：指专用合同条款中指明并与发包人在合同协、议书中签字的当事人。</w:t>
      </w:r>
    </w:p>
    <w:p>
      <w:pPr>
        <w:pStyle w:val="65"/>
        <w:tabs>
          <w:tab w:val="left" w:pos="8280"/>
        </w:tabs>
        <w:spacing w:line="360" w:lineRule="auto"/>
        <w:ind w:firstLine="360" w:firstLineChars="150"/>
        <w:rPr>
          <w:rStyle w:val="21"/>
          <w:rFonts w:hint="eastAsia" w:asciiTheme="minorEastAsia" w:hAnsiTheme="minorEastAsia" w:eastAsiaTheme="minorEastAsia" w:cstheme="minorEastAsia"/>
          <w:color w:val="auto"/>
          <w:kern w:val="2"/>
          <w:sz w:val="24"/>
          <w:szCs w:val="24"/>
          <w:highlight w:val="none"/>
          <w:lang w:val="en-US" w:eastAsia="zh-CN" w:bidi="ar-SA"/>
        </w:rPr>
      </w:pPr>
      <w:r>
        <w:rPr>
          <w:rStyle w:val="21"/>
          <w:rFonts w:hint="eastAsia" w:asciiTheme="minorEastAsia" w:hAnsiTheme="minorEastAsia" w:eastAsiaTheme="minorEastAsia" w:cstheme="minorEastAsia"/>
          <w:color w:val="auto"/>
          <w:kern w:val="2"/>
          <w:sz w:val="24"/>
          <w:szCs w:val="24"/>
          <w:highlight w:val="none"/>
          <w:lang w:val="en-US" w:eastAsia="zh-CN" w:bidi="ar-SA"/>
        </w:rPr>
        <w:t>1.1.2.4承包人项目经理：指承包人派驻施工场地的全权负责人。</w:t>
      </w:r>
    </w:p>
    <w:p>
      <w:pPr>
        <w:pStyle w:val="65"/>
        <w:tabs>
          <w:tab w:val="left" w:pos="8280"/>
        </w:tabs>
        <w:spacing w:line="360" w:lineRule="auto"/>
        <w:ind w:firstLine="360" w:firstLineChars="150"/>
        <w:rPr>
          <w:rStyle w:val="21"/>
          <w:rFonts w:hint="eastAsia" w:asciiTheme="minorEastAsia" w:hAnsiTheme="minorEastAsia" w:eastAsiaTheme="minorEastAsia" w:cstheme="minorEastAsia"/>
          <w:color w:val="auto"/>
          <w:kern w:val="2"/>
          <w:sz w:val="24"/>
          <w:szCs w:val="24"/>
          <w:highlight w:val="none"/>
          <w:lang w:val="en-US" w:eastAsia="zh-CN" w:bidi="ar-SA"/>
        </w:rPr>
      </w:pPr>
      <w:r>
        <w:rPr>
          <w:rStyle w:val="21"/>
          <w:rFonts w:hint="eastAsia" w:asciiTheme="minorEastAsia" w:hAnsiTheme="minorEastAsia" w:eastAsiaTheme="minorEastAsia" w:cstheme="minorEastAsia"/>
          <w:color w:val="auto"/>
          <w:kern w:val="2"/>
          <w:sz w:val="24"/>
          <w:szCs w:val="24"/>
          <w:highlight w:val="none"/>
          <w:lang w:val="en-US" w:eastAsia="zh-CN" w:bidi="ar-SA"/>
        </w:rPr>
        <w:t>1.1.2.5分包人：指专用合同条款中指明的，从承包人处分包合同中某一部分工程，并与其签订分包合同的分包人。</w:t>
      </w:r>
    </w:p>
    <w:p>
      <w:pPr>
        <w:pStyle w:val="65"/>
        <w:tabs>
          <w:tab w:val="left" w:pos="8280"/>
        </w:tabs>
        <w:spacing w:line="360" w:lineRule="auto"/>
        <w:ind w:firstLine="360" w:firstLineChars="150"/>
        <w:rPr>
          <w:rStyle w:val="21"/>
          <w:rFonts w:hint="eastAsia" w:asciiTheme="minorEastAsia" w:hAnsiTheme="minorEastAsia" w:eastAsiaTheme="minorEastAsia" w:cstheme="minorEastAsia"/>
          <w:color w:val="auto"/>
          <w:kern w:val="2"/>
          <w:sz w:val="24"/>
          <w:szCs w:val="24"/>
          <w:highlight w:val="none"/>
          <w:lang w:val="en-US" w:eastAsia="zh-CN" w:bidi="ar-SA"/>
        </w:rPr>
      </w:pPr>
      <w:r>
        <w:rPr>
          <w:rStyle w:val="21"/>
          <w:rFonts w:hint="eastAsia" w:asciiTheme="minorEastAsia" w:hAnsiTheme="minorEastAsia" w:eastAsiaTheme="minorEastAsia" w:cstheme="minorEastAsia"/>
          <w:color w:val="auto"/>
          <w:kern w:val="2"/>
          <w:sz w:val="24"/>
          <w:szCs w:val="24"/>
          <w:highlight w:val="none"/>
          <w:lang w:val="en-US" w:eastAsia="zh-CN" w:bidi="ar-SA"/>
        </w:rPr>
        <w:t xml:space="preserve">1.1.2.6监理人：指在专用合同条款中指明的，受发包人委托对合同履行实施管理的法人或其他组织。   </w:t>
      </w:r>
    </w:p>
    <w:p>
      <w:pPr>
        <w:pStyle w:val="65"/>
        <w:tabs>
          <w:tab w:val="left" w:pos="8280"/>
        </w:tabs>
        <w:spacing w:line="360" w:lineRule="auto"/>
        <w:ind w:firstLine="360" w:firstLineChars="150"/>
        <w:rPr>
          <w:rStyle w:val="21"/>
          <w:rFonts w:hint="eastAsia" w:asciiTheme="minorEastAsia" w:hAnsiTheme="minorEastAsia" w:eastAsiaTheme="minorEastAsia" w:cstheme="minorEastAsia"/>
          <w:color w:val="auto"/>
          <w:kern w:val="2"/>
          <w:sz w:val="24"/>
          <w:szCs w:val="24"/>
          <w:highlight w:val="none"/>
          <w:lang w:val="en-US" w:eastAsia="zh-CN" w:bidi="ar-SA"/>
        </w:rPr>
      </w:pPr>
      <w:r>
        <w:rPr>
          <w:rStyle w:val="21"/>
          <w:rFonts w:hint="eastAsia" w:asciiTheme="minorEastAsia" w:hAnsiTheme="minorEastAsia" w:eastAsiaTheme="minorEastAsia" w:cstheme="minorEastAsia"/>
          <w:color w:val="auto"/>
          <w:kern w:val="2"/>
          <w:sz w:val="24"/>
          <w:szCs w:val="24"/>
          <w:highlight w:val="none"/>
          <w:lang w:val="en-US" w:eastAsia="zh-CN" w:bidi="ar-SA"/>
        </w:rPr>
        <w:t xml:space="preserve">1.1.2.7总监理工程师(总监)：指由监理人委派常驻施工场地对合同履行实施管理的全权负责人。    </w:t>
      </w:r>
    </w:p>
    <w:p>
      <w:pPr>
        <w:pStyle w:val="65"/>
        <w:tabs>
          <w:tab w:val="left" w:pos="8280"/>
        </w:tabs>
        <w:spacing w:line="360" w:lineRule="auto"/>
        <w:ind w:firstLine="360" w:firstLineChars="150"/>
        <w:rPr>
          <w:rStyle w:val="21"/>
          <w:rFonts w:hint="eastAsia" w:asciiTheme="minorEastAsia" w:hAnsiTheme="minorEastAsia" w:eastAsiaTheme="minorEastAsia" w:cstheme="minorEastAsia"/>
          <w:color w:val="auto"/>
          <w:kern w:val="2"/>
          <w:sz w:val="24"/>
          <w:szCs w:val="24"/>
          <w:highlight w:val="none"/>
          <w:lang w:val="en-US" w:eastAsia="zh-CN" w:bidi="ar-SA"/>
        </w:rPr>
      </w:pPr>
      <w:r>
        <w:rPr>
          <w:rStyle w:val="21"/>
          <w:rFonts w:hint="eastAsia" w:asciiTheme="minorEastAsia" w:hAnsiTheme="minorEastAsia" w:eastAsiaTheme="minorEastAsia" w:cstheme="minorEastAsia"/>
          <w:color w:val="auto"/>
          <w:kern w:val="2"/>
          <w:sz w:val="24"/>
          <w:szCs w:val="24"/>
          <w:highlight w:val="none"/>
          <w:lang w:val="en-US" w:eastAsia="zh-CN" w:bidi="ar-SA"/>
        </w:rPr>
        <w:t xml:space="preserve">1.1.3工程和设备    </w:t>
      </w:r>
    </w:p>
    <w:p>
      <w:pPr>
        <w:pStyle w:val="65"/>
        <w:tabs>
          <w:tab w:val="left" w:pos="8280"/>
        </w:tabs>
        <w:spacing w:line="360" w:lineRule="auto"/>
        <w:ind w:firstLine="360" w:firstLineChars="150"/>
        <w:rPr>
          <w:rStyle w:val="21"/>
          <w:rFonts w:hint="eastAsia" w:asciiTheme="minorEastAsia" w:hAnsiTheme="minorEastAsia" w:eastAsiaTheme="minorEastAsia" w:cstheme="minorEastAsia"/>
          <w:color w:val="auto"/>
          <w:kern w:val="2"/>
          <w:sz w:val="24"/>
          <w:szCs w:val="24"/>
          <w:highlight w:val="none"/>
          <w:lang w:val="en-US" w:eastAsia="zh-CN" w:bidi="ar-SA"/>
        </w:rPr>
      </w:pPr>
      <w:r>
        <w:rPr>
          <w:rStyle w:val="21"/>
          <w:rFonts w:hint="eastAsia" w:asciiTheme="minorEastAsia" w:hAnsiTheme="minorEastAsia" w:eastAsiaTheme="minorEastAsia" w:cstheme="minorEastAsia"/>
          <w:color w:val="auto"/>
          <w:kern w:val="2"/>
          <w:sz w:val="24"/>
          <w:szCs w:val="24"/>
          <w:highlight w:val="none"/>
          <w:lang w:val="en-US" w:eastAsia="zh-CN" w:bidi="ar-SA"/>
        </w:rPr>
        <w:t xml:space="preserve">1.1.3.1工程：指永久工程和(或)临时工程。    </w:t>
      </w:r>
    </w:p>
    <w:p>
      <w:pPr>
        <w:pStyle w:val="65"/>
        <w:tabs>
          <w:tab w:val="left" w:pos="8280"/>
        </w:tabs>
        <w:spacing w:line="360" w:lineRule="auto"/>
        <w:ind w:firstLine="360" w:firstLineChars="150"/>
        <w:rPr>
          <w:rStyle w:val="21"/>
          <w:rFonts w:hint="eastAsia" w:asciiTheme="minorEastAsia" w:hAnsiTheme="minorEastAsia" w:eastAsiaTheme="minorEastAsia" w:cstheme="minorEastAsia"/>
          <w:color w:val="auto"/>
          <w:kern w:val="2"/>
          <w:sz w:val="24"/>
          <w:szCs w:val="24"/>
          <w:highlight w:val="none"/>
          <w:lang w:val="en-US" w:eastAsia="zh-CN" w:bidi="ar-SA"/>
        </w:rPr>
      </w:pPr>
      <w:r>
        <w:rPr>
          <w:rStyle w:val="21"/>
          <w:rFonts w:hint="eastAsia" w:asciiTheme="minorEastAsia" w:hAnsiTheme="minorEastAsia" w:eastAsiaTheme="minorEastAsia" w:cstheme="minorEastAsia"/>
          <w:color w:val="auto"/>
          <w:kern w:val="2"/>
          <w:sz w:val="24"/>
          <w:szCs w:val="24"/>
          <w:highlight w:val="none"/>
          <w:lang w:val="en-US" w:eastAsia="zh-CN" w:bidi="ar-SA"/>
        </w:rPr>
        <w:t>1.1.3.2永久工程：指按合同约定建造并移交给发包人的工程，包括工程设备。</w:t>
      </w:r>
    </w:p>
    <w:p>
      <w:pPr>
        <w:pStyle w:val="65"/>
        <w:tabs>
          <w:tab w:val="left" w:pos="8280"/>
        </w:tabs>
        <w:spacing w:line="360" w:lineRule="auto"/>
        <w:ind w:firstLine="360" w:firstLineChars="150"/>
        <w:rPr>
          <w:rStyle w:val="21"/>
          <w:rFonts w:hint="eastAsia" w:asciiTheme="minorEastAsia" w:hAnsiTheme="minorEastAsia" w:eastAsiaTheme="minorEastAsia" w:cstheme="minorEastAsia"/>
          <w:color w:val="auto"/>
          <w:kern w:val="2"/>
          <w:sz w:val="24"/>
          <w:szCs w:val="24"/>
          <w:highlight w:val="none"/>
          <w:lang w:val="en-US" w:eastAsia="zh-CN" w:bidi="ar-SA"/>
        </w:rPr>
      </w:pPr>
      <w:r>
        <w:rPr>
          <w:rStyle w:val="21"/>
          <w:rFonts w:hint="eastAsia" w:asciiTheme="minorEastAsia" w:hAnsiTheme="minorEastAsia" w:eastAsiaTheme="minorEastAsia" w:cstheme="minorEastAsia"/>
          <w:color w:val="auto"/>
          <w:kern w:val="2"/>
          <w:sz w:val="24"/>
          <w:szCs w:val="24"/>
          <w:highlight w:val="none"/>
          <w:lang w:val="en-US" w:eastAsia="zh-CN" w:bidi="ar-SA"/>
        </w:rPr>
        <w:t xml:space="preserve">1.1.3.3临时工程：指为完成合同约定的永久工程所修建的各类临时性工程，不包括施工设备。    </w:t>
      </w:r>
    </w:p>
    <w:p>
      <w:pPr>
        <w:pStyle w:val="65"/>
        <w:tabs>
          <w:tab w:val="left" w:pos="8280"/>
        </w:tabs>
        <w:spacing w:line="360" w:lineRule="auto"/>
        <w:ind w:firstLine="360" w:firstLineChars="150"/>
        <w:rPr>
          <w:rStyle w:val="21"/>
          <w:rFonts w:hint="eastAsia" w:asciiTheme="minorEastAsia" w:hAnsiTheme="minorEastAsia" w:eastAsiaTheme="minorEastAsia" w:cstheme="minorEastAsia"/>
          <w:color w:val="auto"/>
          <w:kern w:val="2"/>
          <w:sz w:val="24"/>
          <w:szCs w:val="24"/>
          <w:highlight w:val="none"/>
          <w:lang w:val="en-US" w:eastAsia="zh-CN" w:bidi="ar-SA"/>
        </w:rPr>
      </w:pPr>
      <w:r>
        <w:rPr>
          <w:rStyle w:val="21"/>
          <w:rFonts w:hint="eastAsia" w:asciiTheme="minorEastAsia" w:hAnsiTheme="minorEastAsia" w:eastAsiaTheme="minorEastAsia" w:cstheme="minorEastAsia"/>
          <w:color w:val="auto"/>
          <w:kern w:val="2"/>
          <w:sz w:val="24"/>
          <w:szCs w:val="24"/>
          <w:highlight w:val="none"/>
          <w:lang w:val="en-US" w:eastAsia="zh-CN" w:bidi="ar-SA"/>
        </w:rPr>
        <w:t>1.1.3.4单位工程：指专用合同条款中指明特定范围的永久工程。</w:t>
      </w:r>
    </w:p>
    <w:p>
      <w:pPr>
        <w:pStyle w:val="65"/>
        <w:tabs>
          <w:tab w:val="left" w:pos="8280"/>
        </w:tabs>
        <w:spacing w:line="360" w:lineRule="auto"/>
        <w:ind w:firstLine="360" w:firstLineChars="150"/>
        <w:rPr>
          <w:rStyle w:val="21"/>
          <w:rFonts w:hint="eastAsia" w:asciiTheme="minorEastAsia" w:hAnsiTheme="minorEastAsia" w:eastAsiaTheme="minorEastAsia" w:cstheme="minorEastAsia"/>
          <w:color w:val="auto"/>
          <w:kern w:val="2"/>
          <w:sz w:val="24"/>
          <w:szCs w:val="24"/>
          <w:highlight w:val="none"/>
          <w:lang w:val="en-US" w:eastAsia="zh-CN" w:bidi="ar-SA"/>
        </w:rPr>
      </w:pPr>
      <w:r>
        <w:rPr>
          <w:rStyle w:val="21"/>
          <w:rFonts w:hint="eastAsia" w:asciiTheme="minorEastAsia" w:hAnsiTheme="minorEastAsia" w:eastAsiaTheme="minorEastAsia" w:cstheme="minorEastAsia"/>
          <w:color w:val="auto"/>
          <w:kern w:val="2"/>
          <w:sz w:val="24"/>
          <w:szCs w:val="24"/>
          <w:highlight w:val="none"/>
          <w:lang w:val="en-US" w:eastAsia="zh-CN" w:bidi="ar-SA"/>
        </w:rPr>
        <w:t>1.1.3.5工程设备：指构成或计划构成永久工程一部分的机电设备、金属结构设备、仪器装置及其他类似的设备和装置。</w:t>
      </w:r>
    </w:p>
    <w:p>
      <w:pPr>
        <w:pStyle w:val="65"/>
        <w:tabs>
          <w:tab w:val="left" w:pos="8280"/>
        </w:tabs>
        <w:spacing w:line="360" w:lineRule="auto"/>
        <w:ind w:firstLine="360" w:firstLineChars="150"/>
        <w:rPr>
          <w:rStyle w:val="21"/>
          <w:rFonts w:hint="eastAsia" w:asciiTheme="minorEastAsia" w:hAnsiTheme="minorEastAsia" w:eastAsiaTheme="minorEastAsia" w:cstheme="minorEastAsia"/>
          <w:color w:val="auto"/>
          <w:kern w:val="2"/>
          <w:sz w:val="24"/>
          <w:szCs w:val="24"/>
          <w:highlight w:val="none"/>
          <w:lang w:val="en-US" w:eastAsia="zh-CN" w:bidi="ar-SA"/>
        </w:rPr>
      </w:pPr>
      <w:r>
        <w:rPr>
          <w:rStyle w:val="21"/>
          <w:rFonts w:hint="eastAsia" w:asciiTheme="minorEastAsia" w:hAnsiTheme="minorEastAsia" w:eastAsiaTheme="minorEastAsia" w:cstheme="minorEastAsia"/>
          <w:color w:val="auto"/>
          <w:kern w:val="2"/>
          <w:sz w:val="24"/>
          <w:szCs w:val="24"/>
          <w:highlight w:val="none"/>
          <w:lang w:val="en-US" w:eastAsia="zh-CN" w:bidi="ar-SA"/>
        </w:rPr>
        <w:t xml:space="preserve">1.1.3.6施工设备：指为完成合同约定的各项工作所需的设备、器具和其他物品，不包括临时工程和材料。    </w:t>
      </w:r>
    </w:p>
    <w:p>
      <w:pPr>
        <w:pStyle w:val="65"/>
        <w:tabs>
          <w:tab w:val="left" w:pos="8280"/>
        </w:tabs>
        <w:spacing w:line="360" w:lineRule="auto"/>
        <w:ind w:firstLine="360" w:firstLineChars="150"/>
        <w:rPr>
          <w:rStyle w:val="21"/>
          <w:rFonts w:hint="eastAsia" w:asciiTheme="minorEastAsia" w:hAnsiTheme="minorEastAsia" w:eastAsiaTheme="minorEastAsia" w:cstheme="minorEastAsia"/>
          <w:color w:val="auto"/>
          <w:kern w:val="2"/>
          <w:sz w:val="24"/>
          <w:szCs w:val="24"/>
          <w:highlight w:val="none"/>
          <w:lang w:val="en-US" w:eastAsia="zh-CN" w:bidi="ar-SA"/>
        </w:rPr>
      </w:pPr>
      <w:r>
        <w:rPr>
          <w:rStyle w:val="21"/>
          <w:rFonts w:hint="eastAsia" w:asciiTheme="minorEastAsia" w:hAnsiTheme="minorEastAsia" w:eastAsiaTheme="minorEastAsia" w:cstheme="minorEastAsia"/>
          <w:color w:val="auto"/>
          <w:kern w:val="2"/>
          <w:sz w:val="24"/>
          <w:szCs w:val="24"/>
          <w:highlight w:val="none"/>
          <w:lang w:val="en-US" w:eastAsia="zh-CN" w:bidi="ar-SA"/>
        </w:rPr>
        <w:t>1.1.3.7临时设施：指为完成合同约定的各项工作所服务的临时性生产和生活设施。</w:t>
      </w:r>
    </w:p>
    <w:p>
      <w:pPr>
        <w:pStyle w:val="65"/>
        <w:tabs>
          <w:tab w:val="left" w:pos="8280"/>
        </w:tabs>
        <w:spacing w:line="360" w:lineRule="auto"/>
        <w:ind w:firstLine="360" w:firstLineChars="150"/>
        <w:rPr>
          <w:rStyle w:val="21"/>
          <w:rFonts w:hint="eastAsia" w:asciiTheme="minorEastAsia" w:hAnsiTheme="minorEastAsia" w:eastAsiaTheme="minorEastAsia" w:cstheme="minorEastAsia"/>
          <w:color w:val="auto"/>
          <w:kern w:val="2"/>
          <w:sz w:val="24"/>
          <w:szCs w:val="24"/>
          <w:highlight w:val="none"/>
          <w:lang w:val="en-US" w:eastAsia="zh-CN" w:bidi="ar-SA"/>
        </w:rPr>
      </w:pPr>
      <w:r>
        <w:rPr>
          <w:rStyle w:val="21"/>
          <w:rFonts w:hint="eastAsia" w:asciiTheme="minorEastAsia" w:hAnsiTheme="minorEastAsia" w:eastAsiaTheme="minorEastAsia" w:cstheme="minorEastAsia"/>
          <w:color w:val="auto"/>
          <w:kern w:val="2"/>
          <w:sz w:val="24"/>
          <w:szCs w:val="24"/>
          <w:highlight w:val="none"/>
          <w:lang w:val="en-US" w:eastAsia="zh-CN" w:bidi="ar-SA"/>
        </w:rPr>
        <w:t xml:space="preserve">1.1.3.8承包人设备：指承包人自带的施工设备。    </w:t>
      </w:r>
    </w:p>
    <w:p>
      <w:pPr>
        <w:pStyle w:val="65"/>
        <w:tabs>
          <w:tab w:val="left" w:pos="8280"/>
        </w:tabs>
        <w:spacing w:line="360" w:lineRule="auto"/>
        <w:ind w:firstLine="360" w:firstLineChars="150"/>
        <w:rPr>
          <w:rStyle w:val="21"/>
          <w:rFonts w:hint="eastAsia" w:asciiTheme="minorEastAsia" w:hAnsiTheme="minorEastAsia" w:eastAsiaTheme="minorEastAsia" w:cstheme="minorEastAsia"/>
          <w:color w:val="auto"/>
          <w:kern w:val="2"/>
          <w:sz w:val="24"/>
          <w:szCs w:val="24"/>
          <w:highlight w:val="none"/>
          <w:lang w:val="en-US" w:eastAsia="zh-CN" w:bidi="ar-SA"/>
        </w:rPr>
      </w:pPr>
      <w:r>
        <w:rPr>
          <w:rStyle w:val="21"/>
          <w:rFonts w:hint="eastAsia" w:asciiTheme="minorEastAsia" w:hAnsiTheme="minorEastAsia" w:eastAsiaTheme="minorEastAsia" w:cstheme="minorEastAsia"/>
          <w:color w:val="auto"/>
          <w:kern w:val="2"/>
          <w:sz w:val="24"/>
          <w:szCs w:val="24"/>
          <w:highlight w:val="none"/>
          <w:lang w:val="en-US" w:eastAsia="zh-CN" w:bidi="ar-SA"/>
        </w:rPr>
        <w:t>1.1.3.9施工场地(或称工地、现场)：指用于合同工程施工的场所，以及在合同中指定作为施工场地组成部分的其他场所，包括永久占地和临时占地。</w:t>
      </w:r>
    </w:p>
    <w:p>
      <w:pPr>
        <w:pStyle w:val="65"/>
        <w:tabs>
          <w:tab w:val="left" w:pos="8280"/>
        </w:tabs>
        <w:spacing w:line="360" w:lineRule="auto"/>
        <w:ind w:firstLine="360" w:firstLineChars="150"/>
        <w:rPr>
          <w:rStyle w:val="21"/>
          <w:rFonts w:hint="eastAsia" w:asciiTheme="minorEastAsia" w:hAnsiTheme="minorEastAsia" w:eastAsiaTheme="minorEastAsia" w:cstheme="minorEastAsia"/>
          <w:color w:val="auto"/>
          <w:kern w:val="2"/>
          <w:sz w:val="24"/>
          <w:szCs w:val="24"/>
          <w:highlight w:val="none"/>
          <w:lang w:val="en-US" w:eastAsia="zh-CN" w:bidi="ar-SA"/>
        </w:rPr>
      </w:pPr>
      <w:r>
        <w:rPr>
          <w:rStyle w:val="21"/>
          <w:rFonts w:hint="eastAsia" w:asciiTheme="minorEastAsia" w:hAnsiTheme="minorEastAsia" w:eastAsiaTheme="minorEastAsia" w:cstheme="minorEastAsia"/>
          <w:color w:val="auto"/>
          <w:kern w:val="2"/>
          <w:sz w:val="24"/>
          <w:szCs w:val="24"/>
          <w:highlight w:val="none"/>
          <w:lang w:val="en-US" w:eastAsia="zh-CN" w:bidi="ar-SA"/>
        </w:rPr>
        <w:t>1.1.3.10永久占地：指发包人为建设本合同工程临时征用的场地。</w:t>
      </w:r>
    </w:p>
    <w:p>
      <w:pPr>
        <w:pStyle w:val="65"/>
        <w:tabs>
          <w:tab w:val="left" w:pos="8280"/>
        </w:tabs>
        <w:spacing w:line="360" w:lineRule="auto"/>
        <w:ind w:firstLine="360" w:firstLineChars="150"/>
        <w:rPr>
          <w:rStyle w:val="21"/>
          <w:rFonts w:hint="eastAsia" w:asciiTheme="minorEastAsia" w:hAnsiTheme="minorEastAsia" w:eastAsiaTheme="minorEastAsia" w:cstheme="minorEastAsia"/>
          <w:color w:val="auto"/>
          <w:kern w:val="2"/>
          <w:sz w:val="24"/>
          <w:szCs w:val="24"/>
          <w:highlight w:val="none"/>
          <w:lang w:val="en-US" w:eastAsia="zh-CN" w:bidi="ar-SA"/>
        </w:rPr>
      </w:pPr>
      <w:r>
        <w:rPr>
          <w:rStyle w:val="21"/>
          <w:rFonts w:hint="eastAsia" w:asciiTheme="minorEastAsia" w:hAnsiTheme="minorEastAsia" w:eastAsiaTheme="minorEastAsia" w:cstheme="minorEastAsia"/>
          <w:color w:val="auto"/>
          <w:kern w:val="2"/>
          <w:sz w:val="24"/>
          <w:szCs w:val="24"/>
          <w:highlight w:val="none"/>
          <w:lang w:val="en-US" w:eastAsia="zh-CN" w:bidi="ar-SA"/>
        </w:rPr>
        <w:t>1.1.3.11临时占地：指发包人为建设本合同工程临时征用，承包人在完工后须按合同要求退还的场地。</w:t>
      </w:r>
    </w:p>
    <w:p>
      <w:pPr>
        <w:pStyle w:val="65"/>
        <w:tabs>
          <w:tab w:val="left" w:pos="8280"/>
        </w:tabs>
        <w:spacing w:line="360" w:lineRule="auto"/>
        <w:ind w:firstLine="360" w:firstLineChars="150"/>
        <w:rPr>
          <w:rStyle w:val="21"/>
          <w:rFonts w:hint="eastAsia" w:asciiTheme="minorEastAsia" w:hAnsiTheme="minorEastAsia" w:eastAsiaTheme="minorEastAsia" w:cstheme="minorEastAsia"/>
          <w:color w:val="auto"/>
          <w:kern w:val="2"/>
          <w:sz w:val="24"/>
          <w:szCs w:val="24"/>
          <w:highlight w:val="none"/>
          <w:lang w:val="en-US" w:eastAsia="zh-CN" w:bidi="ar-SA"/>
        </w:rPr>
      </w:pPr>
      <w:r>
        <w:rPr>
          <w:rStyle w:val="21"/>
          <w:rFonts w:hint="eastAsia" w:asciiTheme="minorEastAsia" w:hAnsiTheme="minorEastAsia" w:eastAsiaTheme="minorEastAsia" w:cstheme="minorEastAsia"/>
          <w:color w:val="auto"/>
          <w:kern w:val="2"/>
          <w:sz w:val="24"/>
          <w:szCs w:val="24"/>
          <w:highlight w:val="none"/>
          <w:lang w:val="en-US" w:eastAsia="zh-CN" w:bidi="ar-SA"/>
        </w:rPr>
        <w:t xml:space="preserve">1.1.4日期   </w:t>
      </w:r>
    </w:p>
    <w:p>
      <w:pPr>
        <w:pStyle w:val="65"/>
        <w:tabs>
          <w:tab w:val="left" w:pos="8280"/>
        </w:tabs>
        <w:spacing w:line="360" w:lineRule="auto"/>
        <w:ind w:firstLine="360" w:firstLineChars="150"/>
        <w:rPr>
          <w:rStyle w:val="21"/>
          <w:rFonts w:hint="eastAsia" w:asciiTheme="minorEastAsia" w:hAnsiTheme="minorEastAsia" w:eastAsiaTheme="minorEastAsia" w:cstheme="minorEastAsia"/>
          <w:color w:val="auto"/>
          <w:kern w:val="2"/>
          <w:sz w:val="24"/>
          <w:szCs w:val="24"/>
          <w:highlight w:val="none"/>
          <w:lang w:val="en-US" w:eastAsia="zh-CN" w:bidi="ar-SA"/>
        </w:rPr>
      </w:pPr>
      <w:r>
        <w:rPr>
          <w:rStyle w:val="21"/>
          <w:rFonts w:hint="eastAsia" w:asciiTheme="minorEastAsia" w:hAnsiTheme="minorEastAsia" w:eastAsiaTheme="minorEastAsia" w:cstheme="minorEastAsia"/>
          <w:color w:val="auto"/>
          <w:kern w:val="2"/>
          <w:sz w:val="24"/>
          <w:szCs w:val="24"/>
          <w:highlight w:val="none"/>
          <w:lang w:val="en-US" w:eastAsia="zh-CN" w:bidi="ar-SA"/>
        </w:rPr>
        <w:t>1.1.4.4开工通知：指监理人按第11.1款通知承包人开工的函件。</w:t>
      </w:r>
    </w:p>
    <w:p>
      <w:pPr>
        <w:pStyle w:val="65"/>
        <w:tabs>
          <w:tab w:val="left" w:pos="8280"/>
        </w:tabs>
        <w:spacing w:line="360" w:lineRule="auto"/>
        <w:ind w:left="-359" w:leftChars="-171" w:firstLine="720" w:firstLineChars="300"/>
        <w:rPr>
          <w:rStyle w:val="21"/>
          <w:rFonts w:hint="eastAsia" w:asciiTheme="minorEastAsia" w:hAnsiTheme="minorEastAsia" w:eastAsiaTheme="minorEastAsia" w:cstheme="minorEastAsia"/>
          <w:color w:val="auto"/>
          <w:kern w:val="2"/>
          <w:sz w:val="24"/>
          <w:szCs w:val="24"/>
          <w:highlight w:val="none"/>
          <w:lang w:val="en-US" w:eastAsia="zh-CN" w:bidi="ar-SA"/>
        </w:rPr>
      </w:pPr>
      <w:r>
        <w:rPr>
          <w:rStyle w:val="21"/>
          <w:rFonts w:hint="eastAsia" w:asciiTheme="minorEastAsia" w:hAnsiTheme="minorEastAsia" w:eastAsiaTheme="minorEastAsia" w:cstheme="minorEastAsia"/>
          <w:color w:val="auto"/>
          <w:kern w:val="2"/>
          <w:sz w:val="24"/>
          <w:szCs w:val="24"/>
          <w:highlight w:val="none"/>
          <w:lang w:val="en-US" w:eastAsia="zh-CN" w:bidi="ar-SA"/>
        </w:rPr>
        <w:t>1.1.4.2开工日期：指监理人按第11.1款发出的开工通知中写明的开工日期。</w:t>
      </w:r>
    </w:p>
    <w:p>
      <w:pPr>
        <w:pStyle w:val="65"/>
        <w:tabs>
          <w:tab w:val="left" w:pos="8280"/>
        </w:tabs>
        <w:spacing w:line="360" w:lineRule="auto"/>
        <w:ind w:firstLine="360" w:firstLineChars="150"/>
        <w:rPr>
          <w:rStyle w:val="21"/>
          <w:rFonts w:hint="eastAsia" w:asciiTheme="minorEastAsia" w:hAnsiTheme="minorEastAsia" w:eastAsiaTheme="minorEastAsia" w:cstheme="minorEastAsia"/>
          <w:color w:val="auto"/>
          <w:kern w:val="2"/>
          <w:sz w:val="24"/>
          <w:szCs w:val="24"/>
          <w:highlight w:val="none"/>
          <w:lang w:val="en-US" w:eastAsia="zh-CN" w:bidi="ar-SA"/>
        </w:rPr>
      </w:pPr>
      <w:r>
        <w:rPr>
          <w:rStyle w:val="21"/>
          <w:rFonts w:hint="eastAsia" w:asciiTheme="minorEastAsia" w:hAnsiTheme="minorEastAsia" w:eastAsiaTheme="minorEastAsia" w:cstheme="minorEastAsia"/>
          <w:color w:val="auto"/>
          <w:kern w:val="2"/>
          <w:sz w:val="24"/>
          <w:szCs w:val="24"/>
          <w:highlight w:val="none"/>
          <w:lang w:val="en-US" w:eastAsia="zh-CN" w:bidi="ar-SA"/>
        </w:rPr>
        <w:t>1.1.4.3工期：指承包人在投标函中承诺的完成合同工程所需的期限，包括按第11.3款、第11.4款和第11.6款约定所作的变更。</w:t>
      </w:r>
    </w:p>
    <w:p>
      <w:pPr>
        <w:pStyle w:val="65"/>
        <w:tabs>
          <w:tab w:val="left" w:pos="8280"/>
        </w:tabs>
        <w:spacing w:line="360" w:lineRule="auto"/>
        <w:ind w:firstLine="360" w:firstLineChars="150"/>
        <w:rPr>
          <w:rStyle w:val="21"/>
          <w:rFonts w:hint="eastAsia" w:asciiTheme="minorEastAsia" w:hAnsiTheme="minorEastAsia" w:eastAsiaTheme="minorEastAsia" w:cstheme="minorEastAsia"/>
          <w:color w:val="auto"/>
          <w:kern w:val="2"/>
          <w:sz w:val="24"/>
          <w:szCs w:val="24"/>
          <w:highlight w:val="none"/>
          <w:lang w:val="en-US" w:eastAsia="zh-CN" w:bidi="ar-SA"/>
        </w:rPr>
      </w:pPr>
      <w:r>
        <w:rPr>
          <w:rStyle w:val="21"/>
          <w:rFonts w:hint="eastAsia" w:asciiTheme="minorEastAsia" w:hAnsiTheme="minorEastAsia" w:eastAsiaTheme="minorEastAsia" w:cstheme="minorEastAsia"/>
          <w:color w:val="auto"/>
          <w:kern w:val="2"/>
          <w:sz w:val="24"/>
          <w:szCs w:val="24"/>
          <w:highlight w:val="none"/>
          <w:lang w:val="en-US" w:eastAsia="zh-CN" w:bidi="ar-SA"/>
        </w:rPr>
        <w:t xml:space="preserve">1.1.4.4竣工日期：即合同工程完工日期，指第1.1.4.3目约定工期届满时的日期。实际完工日期以合同工程完工证书中写明的日期为准。  </w:t>
      </w:r>
    </w:p>
    <w:p>
      <w:pPr>
        <w:pStyle w:val="65"/>
        <w:tabs>
          <w:tab w:val="left" w:pos="8280"/>
        </w:tabs>
        <w:spacing w:line="360" w:lineRule="auto"/>
        <w:ind w:firstLine="360" w:firstLineChars="150"/>
        <w:rPr>
          <w:rStyle w:val="21"/>
          <w:rFonts w:hint="eastAsia" w:asciiTheme="minorEastAsia" w:hAnsiTheme="minorEastAsia" w:eastAsiaTheme="minorEastAsia" w:cstheme="minorEastAsia"/>
          <w:color w:val="auto"/>
          <w:kern w:val="2"/>
          <w:sz w:val="24"/>
          <w:szCs w:val="24"/>
          <w:highlight w:val="none"/>
          <w:lang w:val="en-US" w:eastAsia="zh-CN" w:bidi="ar-SA"/>
        </w:rPr>
      </w:pPr>
      <w:r>
        <w:rPr>
          <w:rStyle w:val="21"/>
          <w:rFonts w:hint="eastAsia" w:asciiTheme="minorEastAsia" w:hAnsiTheme="minorEastAsia" w:eastAsiaTheme="minorEastAsia" w:cstheme="minorEastAsia"/>
          <w:color w:val="auto"/>
          <w:kern w:val="2"/>
          <w:sz w:val="24"/>
          <w:szCs w:val="24"/>
          <w:highlight w:val="none"/>
          <w:lang w:val="en-US" w:eastAsia="zh-CN" w:bidi="ar-SA"/>
        </w:rPr>
        <w:t>1.1.4.5缺陷责任期：即工程质量保修期，指履行第17.2款约定的缺陷责任的期限，包括根据第17.3款约定所作的延长，具体期限由专用合同条款约定。</w:t>
      </w:r>
    </w:p>
    <w:p>
      <w:pPr>
        <w:pStyle w:val="65"/>
        <w:tabs>
          <w:tab w:val="left" w:pos="8280"/>
        </w:tabs>
        <w:spacing w:line="360" w:lineRule="auto"/>
        <w:ind w:firstLine="480" w:firstLineChars="200"/>
        <w:rPr>
          <w:rStyle w:val="21"/>
          <w:rFonts w:hint="eastAsia" w:asciiTheme="minorEastAsia" w:hAnsiTheme="minorEastAsia" w:eastAsiaTheme="minorEastAsia" w:cstheme="minorEastAsia"/>
          <w:color w:val="auto"/>
          <w:kern w:val="2"/>
          <w:sz w:val="24"/>
          <w:szCs w:val="24"/>
          <w:highlight w:val="none"/>
          <w:lang w:val="en-US" w:eastAsia="zh-CN" w:bidi="ar-SA"/>
        </w:rPr>
      </w:pPr>
      <w:r>
        <w:rPr>
          <w:rStyle w:val="21"/>
          <w:rFonts w:hint="eastAsia" w:asciiTheme="minorEastAsia" w:hAnsiTheme="minorEastAsia" w:eastAsiaTheme="minorEastAsia" w:cstheme="minorEastAsia"/>
          <w:color w:val="auto"/>
          <w:kern w:val="2"/>
          <w:sz w:val="24"/>
          <w:szCs w:val="24"/>
          <w:highlight w:val="none"/>
          <w:lang w:val="en-US" w:eastAsia="zh-CN" w:bidi="ar-SA"/>
        </w:rPr>
        <w:t>1.1.4.6基准日期：指投标截止时间前18天的日期。</w:t>
      </w:r>
    </w:p>
    <w:p>
      <w:pPr>
        <w:pStyle w:val="65"/>
        <w:tabs>
          <w:tab w:val="left" w:pos="8280"/>
        </w:tabs>
        <w:spacing w:line="360" w:lineRule="auto"/>
        <w:ind w:firstLine="480" w:firstLineChars="200"/>
        <w:rPr>
          <w:rStyle w:val="21"/>
          <w:rFonts w:hint="eastAsia" w:asciiTheme="minorEastAsia" w:hAnsiTheme="minorEastAsia" w:eastAsiaTheme="minorEastAsia" w:cstheme="minorEastAsia"/>
          <w:color w:val="auto"/>
          <w:kern w:val="2"/>
          <w:sz w:val="24"/>
          <w:szCs w:val="24"/>
          <w:highlight w:val="none"/>
          <w:lang w:val="en-US" w:eastAsia="zh-CN" w:bidi="ar-SA"/>
        </w:rPr>
      </w:pPr>
      <w:r>
        <w:rPr>
          <w:rStyle w:val="21"/>
          <w:rFonts w:hint="eastAsia" w:asciiTheme="minorEastAsia" w:hAnsiTheme="minorEastAsia" w:eastAsiaTheme="minorEastAsia" w:cstheme="minorEastAsia"/>
          <w:color w:val="auto"/>
          <w:kern w:val="2"/>
          <w:sz w:val="24"/>
          <w:szCs w:val="24"/>
          <w:highlight w:val="none"/>
          <w:lang w:val="en-US" w:eastAsia="zh-CN" w:bidi="ar-SA"/>
        </w:rPr>
        <w:t>1.1.4.7天：除特别指明外，指日历天。合同中按天计算时间的，开始当天不计入，从次日开始计算。期限最后一天的截止时间为当天。</w:t>
      </w:r>
    </w:p>
    <w:p>
      <w:pPr>
        <w:pStyle w:val="65"/>
        <w:tabs>
          <w:tab w:val="left" w:pos="8280"/>
        </w:tabs>
        <w:spacing w:line="360" w:lineRule="auto"/>
        <w:ind w:firstLine="480" w:firstLineChars="200"/>
        <w:rPr>
          <w:rStyle w:val="21"/>
          <w:rFonts w:hint="eastAsia" w:asciiTheme="minorEastAsia" w:hAnsiTheme="minorEastAsia" w:eastAsiaTheme="minorEastAsia" w:cstheme="minorEastAsia"/>
          <w:color w:val="auto"/>
          <w:kern w:val="2"/>
          <w:sz w:val="24"/>
          <w:szCs w:val="24"/>
          <w:highlight w:val="none"/>
          <w:lang w:val="en-US" w:eastAsia="zh-CN" w:bidi="ar-SA"/>
        </w:rPr>
      </w:pPr>
      <w:r>
        <w:rPr>
          <w:rStyle w:val="21"/>
          <w:rFonts w:hint="eastAsia" w:asciiTheme="minorEastAsia" w:hAnsiTheme="minorEastAsia" w:eastAsiaTheme="minorEastAsia" w:cstheme="minorEastAsia"/>
          <w:color w:val="auto"/>
          <w:kern w:val="2"/>
          <w:sz w:val="24"/>
          <w:szCs w:val="24"/>
          <w:highlight w:val="none"/>
          <w:lang w:val="en-US" w:eastAsia="zh-CN" w:bidi="ar-SA"/>
        </w:rPr>
        <w:t>1.1.5合同价格和费用</w:t>
      </w:r>
    </w:p>
    <w:p>
      <w:pPr>
        <w:pStyle w:val="65"/>
        <w:tabs>
          <w:tab w:val="left" w:pos="8280"/>
        </w:tabs>
        <w:spacing w:line="360" w:lineRule="auto"/>
        <w:ind w:firstLine="480" w:firstLineChars="200"/>
        <w:rPr>
          <w:rStyle w:val="21"/>
          <w:rFonts w:hint="eastAsia" w:asciiTheme="minorEastAsia" w:hAnsiTheme="minorEastAsia" w:eastAsiaTheme="minorEastAsia" w:cstheme="minorEastAsia"/>
          <w:color w:val="auto"/>
          <w:kern w:val="2"/>
          <w:sz w:val="24"/>
          <w:szCs w:val="24"/>
          <w:highlight w:val="none"/>
          <w:lang w:val="en-US" w:eastAsia="zh-CN" w:bidi="ar-SA"/>
        </w:rPr>
      </w:pPr>
      <w:r>
        <w:rPr>
          <w:rStyle w:val="21"/>
          <w:rFonts w:hint="eastAsia" w:asciiTheme="minorEastAsia" w:hAnsiTheme="minorEastAsia" w:eastAsiaTheme="minorEastAsia" w:cstheme="minorEastAsia"/>
          <w:color w:val="auto"/>
          <w:kern w:val="2"/>
          <w:sz w:val="24"/>
          <w:szCs w:val="24"/>
          <w:highlight w:val="none"/>
          <w:lang w:val="en-US" w:eastAsia="zh-CN" w:bidi="ar-SA"/>
        </w:rPr>
        <w:t>1.1.5.1签约合同价：指签定合同时合同协议书中写明的合同总金额。</w:t>
      </w:r>
    </w:p>
    <w:p>
      <w:pPr>
        <w:pStyle w:val="65"/>
        <w:tabs>
          <w:tab w:val="left" w:pos="8280"/>
        </w:tabs>
        <w:spacing w:line="360" w:lineRule="auto"/>
        <w:ind w:firstLine="480" w:firstLineChars="200"/>
        <w:rPr>
          <w:rStyle w:val="21"/>
          <w:rFonts w:hint="eastAsia" w:asciiTheme="minorEastAsia" w:hAnsiTheme="minorEastAsia" w:eastAsiaTheme="minorEastAsia" w:cstheme="minorEastAsia"/>
          <w:color w:val="auto"/>
          <w:kern w:val="2"/>
          <w:sz w:val="24"/>
          <w:szCs w:val="24"/>
          <w:highlight w:val="none"/>
          <w:lang w:val="en-US" w:eastAsia="zh-CN" w:bidi="ar-SA"/>
        </w:rPr>
      </w:pPr>
      <w:r>
        <w:rPr>
          <w:rStyle w:val="21"/>
          <w:rFonts w:hint="eastAsia" w:asciiTheme="minorEastAsia" w:hAnsiTheme="minorEastAsia" w:eastAsiaTheme="minorEastAsia" w:cstheme="minorEastAsia"/>
          <w:color w:val="auto"/>
          <w:kern w:val="2"/>
          <w:sz w:val="24"/>
          <w:szCs w:val="24"/>
          <w:highlight w:val="none"/>
          <w:lang w:val="en-US" w:eastAsia="zh-CN" w:bidi="ar-SA"/>
        </w:rPr>
        <w:t>1.1.5.2合同价格：指承 包人按合同约定完成了包括缺陷责任期内的全部承包工作后，发包人应付给承包人的金额，包括在履行合同过程中按合同约定进行的变更和调整。</w:t>
      </w:r>
    </w:p>
    <w:p>
      <w:pPr>
        <w:pStyle w:val="65"/>
        <w:tabs>
          <w:tab w:val="left" w:pos="8280"/>
        </w:tabs>
        <w:spacing w:line="360" w:lineRule="auto"/>
        <w:ind w:firstLine="480" w:firstLineChars="200"/>
        <w:rPr>
          <w:rStyle w:val="21"/>
          <w:rFonts w:hint="eastAsia" w:asciiTheme="minorEastAsia" w:hAnsiTheme="minorEastAsia" w:eastAsiaTheme="minorEastAsia" w:cstheme="minorEastAsia"/>
          <w:color w:val="auto"/>
          <w:kern w:val="2"/>
          <w:sz w:val="24"/>
          <w:szCs w:val="24"/>
          <w:highlight w:val="none"/>
          <w:lang w:val="en-US" w:eastAsia="zh-CN" w:bidi="ar-SA"/>
        </w:rPr>
      </w:pPr>
      <w:r>
        <w:rPr>
          <w:rStyle w:val="21"/>
          <w:rFonts w:hint="eastAsia" w:asciiTheme="minorEastAsia" w:hAnsiTheme="minorEastAsia" w:eastAsiaTheme="minorEastAsia" w:cstheme="minorEastAsia"/>
          <w:color w:val="auto"/>
          <w:kern w:val="2"/>
          <w:sz w:val="24"/>
          <w:szCs w:val="24"/>
          <w:highlight w:val="none"/>
          <w:lang w:val="en-US" w:eastAsia="zh-CN" w:bidi="ar-SA"/>
        </w:rPr>
        <w:t xml:space="preserve">1.1.5.3费用：指为履行合同所发生的或将要发生的所有合理开支，包括管理费和应分摊的其他费用，但不包括利润。   </w:t>
      </w:r>
    </w:p>
    <w:p>
      <w:pPr>
        <w:pStyle w:val="65"/>
        <w:tabs>
          <w:tab w:val="left" w:pos="8280"/>
        </w:tabs>
        <w:spacing w:line="360" w:lineRule="auto"/>
        <w:ind w:firstLine="480" w:firstLineChars="200"/>
        <w:rPr>
          <w:rStyle w:val="21"/>
          <w:rFonts w:hint="eastAsia" w:asciiTheme="minorEastAsia" w:hAnsiTheme="minorEastAsia" w:eastAsiaTheme="minorEastAsia" w:cstheme="minorEastAsia"/>
          <w:color w:val="auto"/>
          <w:kern w:val="2"/>
          <w:sz w:val="24"/>
          <w:szCs w:val="24"/>
          <w:highlight w:val="none"/>
          <w:lang w:val="en-US" w:eastAsia="zh-CN" w:bidi="ar-SA"/>
        </w:rPr>
      </w:pPr>
      <w:r>
        <w:rPr>
          <w:rStyle w:val="21"/>
          <w:rFonts w:hint="eastAsia" w:asciiTheme="minorEastAsia" w:hAnsiTheme="minorEastAsia" w:eastAsiaTheme="minorEastAsia" w:cstheme="minorEastAsia"/>
          <w:color w:val="auto"/>
          <w:kern w:val="2"/>
          <w:sz w:val="24"/>
          <w:szCs w:val="24"/>
          <w:highlight w:val="none"/>
          <w:lang w:val="en-US" w:eastAsia="zh-CN" w:bidi="ar-SA"/>
        </w:rPr>
        <w:t>1.1.5.7质量保证金(或称保留金)：指按第16.4.1项约定用于保证在缺陷责任期内履行缺陷修复义务的金额。</w:t>
      </w:r>
    </w:p>
    <w:p>
      <w:pPr>
        <w:pStyle w:val="65"/>
        <w:tabs>
          <w:tab w:val="left" w:pos="8280"/>
        </w:tabs>
        <w:spacing w:line="360" w:lineRule="auto"/>
        <w:ind w:firstLine="480" w:firstLineChars="200"/>
        <w:rPr>
          <w:rStyle w:val="21"/>
          <w:rFonts w:hint="eastAsia" w:asciiTheme="minorEastAsia" w:hAnsiTheme="minorEastAsia" w:eastAsiaTheme="minorEastAsia" w:cstheme="minorEastAsia"/>
          <w:color w:val="auto"/>
          <w:kern w:val="2"/>
          <w:sz w:val="24"/>
          <w:szCs w:val="24"/>
          <w:highlight w:val="none"/>
          <w:lang w:val="en-US" w:eastAsia="zh-CN" w:bidi="ar-SA"/>
        </w:rPr>
      </w:pPr>
      <w:r>
        <w:rPr>
          <w:rStyle w:val="21"/>
          <w:rFonts w:hint="eastAsia" w:asciiTheme="minorEastAsia" w:hAnsiTheme="minorEastAsia" w:eastAsiaTheme="minorEastAsia" w:cstheme="minorEastAsia"/>
          <w:color w:val="auto"/>
          <w:kern w:val="2"/>
          <w:sz w:val="24"/>
          <w:szCs w:val="24"/>
          <w:highlight w:val="none"/>
          <w:lang w:val="en-US" w:eastAsia="zh-CN" w:bidi="ar-SA"/>
        </w:rPr>
        <w:t xml:space="preserve">1.1.6其他    </w:t>
      </w:r>
    </w:p>
    <w:p>
      <w:pPr>
        <w:pStyle w:val="65"/>
        <w:tabs>
          <w:tab w:val="left" w:pos="8280"/>
        </w:tabs>
        <w:spacing w:line="360" w:lineRule="auto"/>
        <w:ind w:firstLine="464" w:firstLineChars="200"/>
        <w:rPr>
          <w:rStyle w:val="21"/>
          <w:rFonts w:hint="eastAsia" w:asciiTheme="minorEastAsia" w:hAnsiTheme="minorEastAsia" w:eastAsiaTheme="minorEastAsia" w:cstheme="minorEastAsia"/>
          <w:color w:val="auto"/>
          <w:spacing w:val="-4"/>
          <w:kern w:val="2"/>
          <w:sz w:val="24"/>
          <w:szCs w:val="24"/>
          <w:highlight w:val="none"/>
          <w:lang w:val="en-US" w:eastAsia="zh-CN" w:bidi="ar-SA"/>
        </w:rPr>
      </w:pPr>
      <w:r>
        <w:rPr>
          <w:rStyle w:val="21"/>
          <w:rFonts w:hint="eastAsia" w:asciiTheme="minorEastAsia" w:hAnsiTheme="minorEastAsia" w:eastAsiaTheme="minorEastAsia" w:cstheme="minorEastAsia"/>
          <w:color w:val="auto"/>
          <w:spacing w:val="-4"/>
          <w:kern w:val="2"/>
          <w:sz w:val="24"/>
          <w:szCs w:val="24"/>
          <w:highlight w:val="none"/>
          <w:lang w:val="en-US" w:eastAsia="zh-CN" w:bidi="ar-SA"/>
        </w:rPr>
        <w:t>1.1.6.1书面形式：指合同文件、信函、电报、传真等可以有形地表现所载内容的形式。</w:t>
      </w:r>
    </w:p>
    <w:p>
      <w:pPr>
        <w:pStyle w:val="65"/>
        <w:widowControl/>
        <w:snapToGrid w:val="0"/>
        <w:spacing w:line="360" w:lineRule="auto"/>
        <w:jc w:val="left"/>
        <w:rPr>
          <w:rStyle w:val="21"/>
          <w:rFonts w:hint="eastAsia" w:asciiTheme="minorEastAsia" w:hAnsiTheme="minorEastAsia" w:eastAsiaTheme="minorEastAsia" w:cstheme="minorEastAsia"/>
          <w:b/>
          <w:color w:val="auto"/>
          <w:kern w:val="0"/>
          <w:sz w:val="24"/>
          <w:szCs w:val="24"/>
          <w:highlight w:val="none"/>
          <w:lang w:val="en-US" w:eastAsia="zh-CN" w:bidi="ar-SA"/>
        </w:rPr>
      </w:pPr>
      <w:r>
        <w:rPr>
          <w:rStyle w:val="21"/>
          <w:rFonts w:hint="eastAsia" w:asciiTheme="minorEastAsia" w:hAnsiTheme="minorEastAsia" w:eastAsiaTheme="minorEastAsia" w:cstheme="minorEastAsia"/>
          <w:b/>
          <w:color w:val="auto"/>
          <w:kern w:val="0"/>
          <w:sz w:val="24"/>
          <w:szCs w:val="24"/>
          <w:highlight w:val="none"/>
          <w:lang w:val="en-US" w:eastAsia="zh-CN" w:bidi="ar-SA"/>
        </w:rPr>
        <w:t>1.2语言文字</w:t>
      </w:r>
    </w:p>
    <w:p>
      <w:pPr>
        <w:pStyle w:val="65"/>
        <w:tabs>
          <w:tab w:val="left" w:pos="8280"/>
        </w:tabs>
        <w:spacing w:line="360" w:lineRule="auto"/>
        <w:ind w:firstLine="360" w:firstLineChars="150"/>
        <w:rPr>
          <w:rStyle w:val="21"/>
          <w:rFonts w:hint="eastAsia" w:asciiTheme="minorEastAsia" w:hAnsiTheme="minorEastAsia" w:eastAsiaTheme="minorEastAsia" w:cstheme="minorEastAsia"/>
          <w:color w:val="auto"/>
          <w:kern w:val="2"/>
          <w:sz w:val="24"/>
          <w:szCs w:val="24"/>
          <w:highlight w:val="none"/>
          <w:lang w:val="en-US" w:eastAsia="zh-CN" w:bidi="ar-SA"/>
        </w:rPr>
      </w:pPr>
      <w:r>
        <w:rPr>
          <w:rStyle w:val="21"/>
          <w:rFonts w:hint="eastAsia" w:asciiTheme="minorEastAsia" w:hAnsiTheme="minorEastAsia" w:eastAsiaTheme="minorEastAsia" w:cstheme="minorEastAsia"/>
          <w:color w:val="auto"/>
          <w:kern w:val="2"/>
          <w:sz w:val="24"/>
          <w:szCs w:val="24"/>
          <w:highlight w:val="none"/>
          <w:lang w:val="en-US" w:eastAsia="zh-CN" w:bidi="ar-SA"/>
        </w:rPr>
        <w:t>除专用术语外，合同使用的语言文字为中文。必要时专用术语应附有中文注释。</w:t>
      </w:r>
    </w:p>
    <w:p>
      <w:pPr>
        <w:pStyle w:val="65"/>
        <w:widowControl/>
        <w:snapToGrid w:val="0"/>
        <w:spacing w:line="360" w:lineRule="auto"/>
        <w:jc w:val="left"/>
        <w:rPr>
          <w:rStyle w:val="21"/>
          <w:rFonts w:hint="eastAsia" w:asciiTheme="minorEastAsia" w:hAnsiTheme="minorEastAsia" w:eastAsiaTheme="minorEastAsia" w:cstheme="minorEastAsia"/>
          <w:b/>
          <w:color w:val="auto"/>
          <w:kern w:val="0"/>
          <w:sz w:val="24"/>
          <w:szCs w:val="24"/>
          <w:highlight w:val="none"/>
          <w:lang w:val="en-US" w:eastAsia="zh-CN" w:bidi="ar-SA"/>
        </w:rPr>
      </w:pPr>
      <w:r>
        <w:rPr>
          <w:rStyle w:val="21"/>
          <w:rFonts w:hint="eastAsia" w:asciiTheme="minorEastAsia" w:hAnsiTheme="minorEastAsia" w:eastAsiaTheme="minorEastAsia" w:cstheme="minorEastAsia"/>
          <w:b/>
          <w:color w:val="auto"/>
          <w:kern w:val="0"/>
          <w:sz w:val="24"/>
          <w:szCs w:val="24"/>
          <w:highlight w:val="none"/>
          <w:lang w:val="en-US" w:eastAsia="zh-CN" w:bidi="ar-SA"/>
        </w:rPr>
        <w:t>1.3法律</w:t>
      </w:r>
    </w:p>
    <w:p>
      <w:pPr>
        <w:pStyle w:val="65"/>
        <w:tabs>
          <w:tab w:val="left" w:pos="8280"/>
        </w:tabs>
        <w:spacing w:line="360" w:lineRule="auto"/>
        <w:ind w:firstLine="360" w:firstLineChars="150"/>
        <w:rPr>
          <w:rStyle w:val="21"/>
          <w:rFonts w:hint="eastAsia" w:asciiTheme="minorEastAsia" w:hAnsiTheme="minorEastAsia" w:eastAsiaTheme="minorEastAsia" w:cstheme="minorEastAsia"/>
          <w:color w:val="auto"/>
          <w:kern w:val="2"/>
          <w:sz w:val="24"/>
          <w:szCs w:val="24"/>
          <w:highlight w:val="none"/>
          <w:lang w:val="en-US" w:eastAsia="zh-CN" w:bidi="ar-SA"/>
        </w:rPr>
      </w:pPr>
      <w:r>
        <w:rPr>
          <w:rStyle w:val="21"/>
          <w:rFonts w:hint="eastAsia" w:asciiTheme="minorEastAsia" w:hAnsiTheme="minorEastAsia" w:eastAsiaTheme="minorEastAsia" w:cstheme="minorEastAsia"/>
          <w:color w:val="auto"/>
          <w:kern w:val="2"/>
          <w:sz w:val="24"/>
          <w:szCs w:val="24"/>
          <w:highlight w:val="none"/>
          <w:lang w:val="en-US" w:eastAsia="zh-CN" w:bidi="ar-SA"/>
        </w:rPr>
        <w:t>适用于合同的法律包括中华人民共和国法律、行政法规、部门规章，以及工程所在地的地方法规、自治条例、单行条例和地方政府规章。</w:t>
      </w:r>
    </w:p>
    <w:p>
      <w:pPr>
        <w:pStyle w:val="65"/>
        <w:tabs>
          <w:tab w:val="left" w:pos="8280"/>
        </w:tabs>
        <w:spacing w:line="360" w:lineRule="auto"/>
        <w:rPr>
          <w:rStyle w:val="21"/>
          <w:rFonts w:hint="eastAsia" w:asciiTheme="minorEastAsia" w:hAnsiTheme="minorEastAsia" w:eastAsiaTheme="minorEastAsia" w:cstheme="minorEastAsia"/>
          <w:b/>
          <w:color w:val="auto"/>
          <w:kern w:val="2"/>
          <w:sz w:val="24"/>
          <w:szCs w:val="24"/>
          <w:highlight w:val="none"/>
          <w:lang w:val="en-US" w:eastAsia="zh-CN" w:bidi="ar-SA"/>
        </w:rPr>
      </w:pPr>
      <w:r>
        <w:rPr>
          <w:rStyle w:val="21"/>
          <w:rFonts w:hint="eastAsia" w:asciiTheme="minorEastAsia" w:hAnsiTheme="minorEastAsia" w:eastAsiaTheme="minorEastAsia" w:cstheme="minorEastAsia"/>
          <w:b/>
          <w:color w:val="auto"/>
          <w:kern w:val="2"/>
          <w:sz w:val="24"/>
          <w:szCs w:val="24"/>
          <w:highlight w:val="none"/>
          <w:lang w:val="en-US" w:eastAsia="zh-CN" w:bidi="ar-SA"/>
        </w:rPr>
        <w:t>1.4合同文件的优先顺序</w:t>
      </w:r>
    </w:p>
    <w:p>
      <w:pPr>
        <w:pStyle w:val="65"/>
        <w:tabs>
          <w:tab w:val="left" w:pos="8280"/>
        </w:tabs>
        <w:spacing w:line="360" w:lineRule="auto"/>
        <w:ind w:firstLine="360" w:firstLineChars="150"/>
        <w:rPr>
          <w:rStyle w:val="21"/>
          <w:rFonts w:hint="eastAsia" w:asciiTheme="minorEastAsia" w:hAnsiTheme="minorEastAsia" w:eastAsiaTheme="minorEastAsia" w:cstheme="minorEastAsia"/>
          <w:color w:val="auto"/>
          <w:kern w:val="2"/>
          <w:sz w:val="24"/>
          <w:szCs w:val="24"/>
          <w:highlight w:val="none"/>
          <w:lang w:val="en-US" w:eastAsia="zh-CN" w:bidi="ar-SA"/>
        </w:rPr>
      </w:pPr>
      <w:r>
        <w:rPr>
          <w:rStyle w:val="21"/>
          <w:rFonts w:hint="eastAsia" w:asciiTheme="minorEastAsia" w:hAnsiTheme="minorEastAsia" w:eastAsiaTheme="minorEastAsia" w:cstheme="minorEastAsia"/>
          <w:color w:val="auto"/>
          <w:kern w:val="2"/>
          <w:sz w:val="24"/>
          <w:szCs w:val="24"/>
          <w:highlight w:val="none"/>
          <w:lang w:val="en-US" w:eastAsia="zh-CN" w:bidi="ar-SA"/>
        </w:rPr>
        <w:t>组成合同的各项文件应互相解释，互为说明。除专用合同条款另有约定外，解释合同文件的优先顺序如下：</w:t>
      </w:r>
    </w:p>
    <w:p>
      <w:pPr>
        <w:pStyle w:val="65"/>
        <w:tabs>
          <w:tab w:val="left" w:pos="8280"/>
        </w:tabs>
        <w:spacing w:line="360" w:lineRule="auto"/>
        <w:ind w:firstLine="360" w:firstLineChars="150"/>
        <w:rPr>
          <w:rStyle w:val="21"/>
          <w:rFonts w:hint="eastAsia" w:asciiTheme="minorEastAsia" w:hAnsiTheme="minorEastAsia" w:eastAsiaTheme="minorEastAsia" w:cstheme="minorEastAsia"/>
          <w:color w:val="auto"/>
          <w:kern w:val="2"/>
          <w:sz w:val="24"/>
          <w:szCs w:val="24"/>
          <w:highlight w:val="none"/>
          <w:lang w:val="en-US" w:eastAsia="zh-CN" w:bidi="ar-SA"/>
        </w:rPr>
      </w:pPr>
      <w:r>
        <w:rPr>
          <w:rStyle w:val="21"/>
          <w:rFonts w:hint="eastAsia" w:asciiTheme="minorEastAsia" w:hAnsiTheme="minorEastAsia" w:eastAsiaTheme="minorEastAsia" w:cstheme="minorEastAsia"/>
          <w:color w:val="auto"/>
          <w:kern w:val="2"/>
          <w:sz w:val="24"/>
          <w:szCs w:val="24"/>
          <w:highlight w:val="none"/>
          <w:lang w:val="en-US" w:eastAsia="zh-CN" w:bidi="ar-SA"/>
        </w:rPr>
        <w:t>(1)合同协议书；</w:t>
      </w:r>
    </w:p>
    <w:p>
      <w:pPr>
        <w:pStyle w:val="65"/>
        <w:tabs>
          <w:tab w:val="left" w:pos="8280"/>
        </w:tabs>
        <w:spacing w:line="360" w:lineRule="auto"/>
        <w:ind w:firstLine="360" w:firstLineChars="150"/>
        <w:rPr>
          <w:rStyle w:val="21"/>
          <w:rFonts w:hint="eastAsia" w:asciiTheme="minorEastAsia" w:hAnsiTheme="minorEastAsia" w:eastAsiaTheme="minorEastAsia" w:cstheme="minorEastAsia"/>
          <w:color w:val="auto"/>
          <w:kern w:val="2"/>
          <w:sz w:val="24"/>
          <w:szCs w:val="24"/>
          <w:highlight w:val="none"/>
          <w:lang w:val="en-US" w:eastAsia="zh-CN" w:bidi="ar-SA"/>
        </w:rPr>
      </w:pPr>
      <w:r>
        <w:rPr>
          <w:rStyle w:val="21"/>
          <w:rFonts w:hint="eastAsia" w:asciiTheme="minorEastAsia" w:hAnsiTheme="minorEastAsia" w:eastAsiaTheme="minorEastAsia" w:cstheme="minorEastAsia"/>
          <w:color w:val="auto"/>
          <w:kern w:val="2"/>
          <w:sz w:val="24"/>
          <w:szCs w:val="24"/>
          <w:highlight w:val="none"/>
          <w:lang w:val="en-US" w:eastAsia="zh-CN" w:bidi="ar-SA"/>
        </w:rPr>
        <w:t xml:space="preserve">(2)中标通知书；    </w:t>
      </w:r>
    </w:p>
    <w:p>
      <w:pPr>
        <w:pStyle w:val="65"/>
        <w:tabs>
          <w:tab w:val="left" w:pos="8280"/>
        </w:tabs>
        <w:spacing w:line="360" w:lineRule="auto"/>
        <w:ind w:firstLine="360" w:firstLineChars="150"/>
        <w:rPr>
          <w:rStyle w:val="21"/>
          <w:rFonts w:hint="eastAsia" w:asciiTheme="minorEastAsia" w:hAnsiTheme="minorEastAsia" w:eastAsiaTheme="minorEastAsia" w:cstheme="minorEastAsia"/>
          <w:color w:val="auto"/>
          <w:kern w:val="2"/>
          <w:sz w:val="24"/>
          <w:szCs w:val="24"/>
          <w:highlight w:val="none"/>
          <w:lang w:val="en-US" w:eastAsia="zh-CN" w:bidi="ar-SA"/>
        </w:rPr>
      </w:pPr>
      <w:r>
        <w:rPr>
          <w:rStyle w:val="21"/>
          <w:rFonts w:hint="eastAsia" w:asciiTheme="minorEastAsia" w:hAnsiTheme="minorEastAsia" w:eastAsiaTheme="minorEastAsia" w:cstheme="minorEastAsia"/>
          <w:color w:val="auto"/>
          <w:kern w:val="2"/>
          <w:sz w:val="24"/>
          <w:szCs w:val="24"/>
          <w:highlight w:val="none"/>
          <w:lang w:val="en-US" w:eastAsia="zh-CN" w:bidi="ar-SA"/>
        </w:rPr>
        <w:t>(3)投标函及投标函附录；</w:t>
      </w:r>
    </w:p>
    <w:p>
      <w:pPr>
        <w:pStyle w:val="65"/>
        <w:tabs>
          <w:tab w:val="left" w:pos="8280"/>
        </w:tabs>
        <w:spacing w:line="360" w:lineRule="auto"/>
        <w:ind w:firstLine="360" w:firstLineChars="150"/>
        <w:rPr>
          <w:rStyle w:val="21"/>
          <w:rFonts w:hint="eastAsia" w:asciiTheme="minorEastAsia" w:hAnsiTheme="minorEastAsia" w:eastAsiaTheme="minorEastAsia" w:cstheme="minorEastAsia"/>
          <w:color w:val="auto"/>
          <w:kern w:val="2"/>
          <w:sz w:val="24"/>
          <w:szCs w:val="24"/>
          <w:highlight w:val="none"/>
          <w:lang w:val="en-US" w:eastAsia="zh-CN" w:bidi="ar-SA"/>
        </w:rPr>
      </w:pPr>
      <w:r>
        <w:rPr>
          <w:rStyle w:val="21"/>
          <w:rFonts w:hint="eastAsia" w:asciiTheme="minorEastAsia" w:hAnsiTheme="minorEastAsia" w:eastAsiaTheme="minorEastAsia" w:cstheme="minorEastAsia"/>
          <w:color w:val="auto"/>
          <w:kern w:val="2"/>
          <w:sz w:val="24"/>
          <w:szCs w:val="24"/>
          <w:highlight w:val="none"/>
          <w:lang w:val="en-US" w:eastAsia="zh-CN" w:bidi="ar-SA"/>
        </w:rPr>
        <w:t>(4)专用合同条款；</w:t>
      </w:r>
    </w:p>
    <w:p>
      <w:pPr>
        <w:pStyle w:val="65"/>
        <w:tabs>
          <w:tab w:val="left" w:pos="8280"/>
        </w:tabs>
        <w:spacing w:line="360" w:lineRule="auto"/>
        <w:ind w:firstLine="360" w:firstLineChars="150"/>
        <w:rPr>
          <w:rStyle w:val="21"/>
          <w:rFonts w:hint="eastAsia" w:asciiTheme="minorEastAsia" w:hAnsiTheme="minorEastAsia" w:eastAsiaTheme="minorEastAsia" w:cstheme="minorEastAsia"/>
          <w:color w:val="auto"/>
          <w:kern w:val="2"/>
          <w:sz w:val="24"/>
          <w:szCs w:val="24"/>
          <w:highlight w:val="none"/>
          <w:lang w:val="en-US" w:eastAsia="zh-CN" w:bidi="ar-SA"/>
        </w:rPr>
      </w:pPr>
      <w:r>
        <w:rPr>
          <w:rStyle w:val="21"/>
          <w:rFonts w:hint="eastAsia" w:asciiTheme="minorEastAsia" w:hAnsiTheme="minorEastAsia" w:eastAsiaTheme="minorEastAsia" w:cstheme="minorEastAsia"/>
          <w:color w:val="auto"/>
          <w:kern w:val="2"/>
          <w:sz w:val="24"/>
          <w:szCs w:val="24"/>
          <w:highlight w:val="none"/>
          <w:lang w:val="en-US" w:eastAsia="zh-CN" w:bidi="ar-SA"/>
        </w:rPr>
        <w:t xml:space="preserve">(5)通用合同条款；    </w:t>
      </w:r>
    </w:p>
    <w:p>
      <w:pPr>
        <w:pStyle w:val="65"/>
        <w:tabs>
          <w:tab w:val="left" w:pos="8280"/>
        </w:tabs>
        <w:spacing w:line="360" w:lineRule="auto"/>
        <w:ind w:firstLine="360" w:firstLineChars="150"/>
        <w:rPr>
          <w:rStyle w:val="21"/>
          <w:rFonts w:hint="eastAsia" w:asciiTheme="minorEastAsia" w:hAnsiTheme="minorEastAsia" w:eastAsiaTheme="minorEastAsia" w:cstheme="minorEastAsia"/>
          <w:color w:val="auto"/>
          <w:kern w:val="2"/>
          <w:sz w:val="24"/>
          <w:szCs w:val="24"/>
          <w:highlight w:val="none"/>
          <w:lang w:val="en-US" w:eastAsia="zh-CN" w:bidi="ar-SA"/>
        </w:rPr>
      </w:pPr>
      <w:r>
        <w:rPr>
          <w:rStyle w:val="21"/>
          <w:rFonts w:hint="eastAsia" w:asciiTheme="minorEastAsia" w:hAnsiTheme="minorEastAsia" w:eastAsiaTheme="minorEastAsia" w:cstheme="minorEastAsia"/>
          <w:color w:val="auto"/>
          <w:kern w:val="2"/>
          <w:sz w:val="24"/>
          <w:szCs w:val="24"/>
          <w:highlight w:val="none"/>
          <w:lang w:val="en-US" w:eastAsia="zh-CN" w:bidi="ar-SA"/>
        </w:rPr>
        <w:t>(6)技术标准和要求；</w:t>
      </w:r>
    </w:p>
    <w:p>
      <w:pPr>
        <w:pStyle w:val="65"/>
        <w:tabs>
          <w:tab w:val="left" w:pos="8280"/>
        </w:tabs>
        <w:spacing w:line="360" w:lineRule="auto"/>
        <w:ind w:firstLine="360" w:firstLineChars="150"/>
        <w:rPr>
          <w:rStyle w:val="21"/>
          <w:rFonts w:hint="eastAsia" w:asciiTheme="minorEastAsia" w:hAnsiTheme="minorEastAsia" w:eastAsiaTheme="minorEastAsia" w:cstheme="minorEastAsia"/>
          <w:color w:val="auto"/>
          <w:kern w:val="2"/>
          <w:sz w:val="24"/>
          <w:szCs w:val="24"/>
          <w:highlight w:val="none"/>
          <w:lang w:val="en-US" w:eastAsia="zh-CN" w:bidi="ar-SA"/>
        </w:rPr>
      </w:pPr>
      <w:r>
        <w:rPr>
          <w:rStyle w:val="21"/>
          <w:rFonts w:hint="eastAsia" w:asciiTheme="minorEastAsia" w:hAnsiTheme="minorEastAsia" w:eastAsiaTheme="minorEastAsia" w:cstheme="minorEastAsia"/>
          <w:color w:val="auto"/>
          <w:kern w:val="2"/>
          <w:sz w:val="24"/>
          <w:szCs w:val="24"/>
          <w:highlight w:val="none"/>
          <w:lang w:val="en-US" w:eastAsia="zh-CN" w:bidi="ar-SA"/>
        </w:rPr>
        <w:t>(7)图纸；</w:t>
      </w:r>
    </w:p>
    <w:p>
      <w:pPr>
        <w:pStyle w:val="65"/>
        <w:tabs>
          <w:tab w:val="left" w:pos="8280"/>
        </w:tabs>
        <w:spacing w:line="360" w:lineRule="auto"/>
        <w:ind w:firstLine="360" w:firstLineChars="150"/>
        <w:rPr>
          <w:rStyle w:val="21"/>
          <w:rFonts w:hint="eastAsia" w:asciiTheme="minorEastAsia" w:hAnsiTheme="minorEastAsia" w:eastAsiaTheme="minorEastAsia" w:cstheme="minorEastAsia"/>
          <w:color w:val="auto"/>
          <w:kern w:val="2"/>
          <w:sz w:val="24"/>
          <w:szCs w:val="24"/>
          <w:highlight w:val="none"/>
          <w:lang w:val="en-US" w:eastAsia="zh-CN" w:bidi="ar-SA"/>
        </w:rPr>
      </w:pPr>
      <w:r>
        <w:rPr>
          <w:rStyle w:val="21"/>
          <w:rFonts w:hint="eastAsia" w:asciiTheme="minorEastAsia" w:hAnsiTheme="minorEastAsia" w:eastAsiaTheme="minorEastAsia" w:cstheme="minorEastAsia"/>
          <w:color w:val="auto"/>
          <w:kern w:val="2"/>
          <w:sz w:val="24"/>
          <w:szCs w:val="24"/>
          <w:highlight w:val="none"/>
          <w:lang w:val="en-US" w:eastAsia="zh-CN" w:bidi="ar-SA"/>
        </w:rPr>
        <w:t xml:space="preserve">(8)己标价工程量清单；   </w:t>
      </w:r>
    </w:p>
    <w:p>
      <w:pPr>
        <w:pStyle w:val="65"/>
        <w:tabs>
          <w:tab w:val="left" w:pos="8280"/>
        </w:tabs>
        <w:spacing w:line="360" w:lineRule="auto"/>
        <w:ind w:firstLine="360" w:firstLineChars="150"/>
        <w:rPr>
          <w:rStyle w:val="21"/>
          <w:rFonts w:hint="eastAsia" w:asciiTheme="minorEastAsia" w:hAnsiTheme="minorEastAsia" w:eastAsiaTheme="minorEastAsia" w:cstheme="minorEastAsia"/>
          <w:color w:val="auto"/>
          <w:kern w:val="2"/>
          <w:sz w:val="24"/>
          <w:szCs w:val="24"/>
          <w:highlight w:val="none"/>
          <w:lang w:val="en-US" w:eastAsia="zh-CN" w:bidi="ar-SA"/>
        </w:rPr>
      </w:pPr>
      <w:r>
        <w:rPr>
          <w:rStyle w:val="21"/>
          <w:rFonts w:hint="eastAsia" w:asciiTheme="minorEastAsia" w:hAnsiTheme="minorEastAsia" w:eastAsiaTheme="minorEastAsia" w:cstheme="minorEastAsia"/>
          <w:color w:val="auto"/>
          <w:kern w:val="2"/>
          <w:sz w:val="24"/>
          <w:szCs w:val="24"/>
          <w:highlight w:val="none"/>
          <w:lang w:val="en-US" w:eastAsia="zh-CN" w:bidi="ar-SA"/>
        </w:rPr>
        <w:t>(9)其他合同文件。</w:t>
      </w:r>
    </w:p>
    <w:p>
      <w:pPr>
        <w:pStyle w:val="65"/>
        <w:tabs>
          <w:tab w:val="left" w:pos="8280"/>
        </w:tabs>
        <w:spacing w:line="360" w:lineRule="auto"/>
        <w:rPr>
          <w:rStyle w:val="21"/>
          <w:rFonts w:hint="eastAsia" w:asciiTheme="minorEastAsia" w:hAnsiTheme="minorEastAsia" w:eastAsiaTheme="minorEastAsia" w:cstheme="minorEastAsia"/>
          <w:b/>
          <w:color w:val="auto"/>
          <w:kern w:val="2"/>
          <w:sz w:val="24"/>
          <w:szCs w:val="24"/>
          <w:highlight w:val="none"/>
          <w:lang w:val="en-US" w:eastAsia="zh-CN" w:bidi="ar-SA"/>
        </w:rPr>
      </w:pPr>
      <w:r>
        <w:rPr>
          <w:rStyle w:val="21"/>
          <w:rFonts w:hint="eastAsia" w:asciiTheme="minorEastAsia" w:hAnsiTheme="minorEastAsia" w:eastAsiaTheme="minorEastAsia" w:cstheme="minorEastAsia"/>
          <w:b/>
          <w:color w:val="auto"/>
          <w:kern w:val="2"/>
          <w:sz w:val="24"/>
          <w:szCs w:val="24"/>
          <w:highlight w:val="none"/>
          <w:lang w:val="en-US" w:eastAsia="zh-CN" w:bidi="ar-SA"/>
        </w:rPr>
        <w:t>1.5合同协议书</w:t>
      </w:r>
    </w:p>
    <w:p>
      <w:pPr>
        <w:pStyle w:val="65"/>
        <w:tabs>
          <w:tab w:val="left" w:pos="8280"/>
        </w:tabs>
        <w:spacing w:line="360" w:lineRule="auto"/>
        <w:ind w:firstLine="360" w:firstLineChars="150"/>
        <w:rPr>
          <w:rStyle w:val="21"/>
          <w:rFonts w:hint="eastAsia" w:asciiTheme="minorEastAsia" w:hAnsiTheme="minorEastAsia" w:eastAsiaTheme="minorEastAsia" w:cstheme="minorEastAsia"/>
          <w:color w:val="auto"/>
          <w:kern w:val="2"/>
          <w:sz w:val="24"/>
          <w:szCs w:val="24"/>
          <w:highlight w:val="none"/>
          <w:lang w:val="en-US" w:eastAsia="zh-CN" w:bidi="ar-SA"/>
        </w:rPr>
      </w:pPr>
      <w:r>
        <w:rPr>
          <w:rStyle w:val="21"/>
          <w:rFonts w:hint="eastAsia" w:asciiTheme="minorEastAsia" w:hAnsiTheme="minorEastAsia" w:eastAsiaTheme="minorEastAsia" w:cstheme="minorEastAsia"/>
          <w:color w:val="auto"/>
          <w:kern w:val="2"/>
          <w:sz w:val="24"/>
          <w:szCs w:val="24"/>
          <w:highlight w:val="none"/>
          <w:lang w:val="en-US" w:eastAsia="zh-CN" w:bidi="ar-SA"/>
        </w:rPr>
        <w:t>承包人按中标通知书规定的时间与发包人签订合同协议书。除法律另有规定或合同另有约定外，发包人和承包人的法定代表人或其委托代理人在合同协议书上签字并盖单位章。</w:t>
      </w:r>
    </w:p>
    <w:p>
      <w:pPr>
        <w:pStyle w:val="65"/>
        <w:tabs>
          <w:tab w:val="left" w:pos="8280"/>
        </w:tabs>
        <w:spacing w:line="360" w:lineRule="auto"/>
        <w:ind w:right="-315" w:rightChars="-150"/>
        <w:rPr>
          <w:rStyle w:val="21"/>
          <w:rFonts w:hint="eastAsia" w:asciiTheme="minorEastAsia" w:hAnsiTheme="minorEastAsia" w:eastAsiaTheme="minorEastAsia" w:cstheme="minorEastAsia"/>
          <w:color w:val="auto"/>
          <w:kern w:val="2"/>
          <w:sz w:val="24"/>
          <w:szCs w:val="24"/>
          <w:highlight w:val="none"/>
          <w:lang w:val="en-US" w:eastAsia="zh-CN" w:bidi="ar-SA"/>
        </w:rPr>
      </w:pPr>
      <w:r>
        <w:rPr>
          <w:rStyle w:val="21"/>
          <w:rFonts w:hint="eastAsia" w:asciiTheme="minorEastAsia" w:hAnsiTheme="minorEastAsia" w:eastAsiaTheme="minorEastAsia" w:cstheme="minorEastAsia"/>
          <w:b/>
          <w:color w:val="auto"/>
          <w:kern w:val="2"/>
          <w:sz w:val="24"/>
          <w:szCs w:val="24"/>
          <w:highlight w:val="none"/>
          <w:lang w:val="en-US" w:eastAsia="zh-CN" w:bidi="ar-SA"/>
        </w:rPr>
        <w:t>1.6图纸和承包人文件</w:t>
      </w:r>
    </w:p>
    <w:p>
      <w:pPr>
        <w:pStyle w:val="65"/>
        <w:tabs>
          <w:tab w:val="left" w:pos="8280"/>
        </w:tabs>
        <w:spacing w:line="360" w:lineRule="auto"/>
        <w:ind w:firstLine="360" w:firstLineChars="150"/>
        <w:rPr>
          <w:rStyle w:val="21"/>
          <w:rFonts w:hint="eastAsia" w:asciiTheme="minorEastAsia" w:hAnsiTheme="minorEastAsia" w:eastAsiaTheme="minorEastAsia" w:cstheme="minorEastAsia"/>
          <w:color w:val="auto"/>
          <w:kern w:val="2"/>
          <w:sz w:val="24"/>
          <w:szCs w:val="24"/>
          <w:highlight w:val="none"/>
          <w:lang w:val="en-US" w:eastAsia="zh-CN" w:bidi="ar-SA"/>
        </w:rPr>
      </w:pPr>
      <w:r>
        <w:rPr>
          <w:rStyle w:val="21"/>
          <w:rFonts w:hint="eastAsia" w:asciiTheme="minorEastAsia" w:hAnsiTheme="minorEastAsia" w:eastAsiaTheme="minorEastAsia" w:cstheme="minorEastAsia"/>
          <w:color w:val="auto"/>
          <w:kern w:val="2"/>
          <w:sz w:val="24"/>
          <w:szCs w:val="24"/>
          <w:highlight w:val="none"/>
          <w:lang w:val="en-US" w:eastAsia="zh-CN" w:bidi="ar-SA"/>
        </w:rPr>
        <w:t xml:space="preserve">发包人应按技术标准和要求(合同技术条款)约定的期限和数量将施工图纸以及其它图纸(包括配套说明和有关资料)提供给承包人。由于发包人未按时提供图纸造成工期延误的，按第11.3款的约定办理。   </w:t>
      </w:r>
    </w:p>
    <w:p>
      <w:pPr>
        <w:pStyle w:val="65"/>
        <w:tabs>
          <w:tab w:val="left" w:pos="8280"/>
        </w:tabs>
        <w:spacing w:line="360" w:lineRule="auto"/>
        <w:ind w:firstLine="360" w:firstLineChars="150"/>
        <w:rPr>
          <w:rStyle w:val="21"/>
          <w:rFonts w:hint="eastAsia" w:asciiTheme="minorEastAsia" w:hAnsiTheme="minorEastAsia" w:eastAsiaTheme="minorEastAsia" w:cstheme="minorEastAsia"/>
          <w:color w:val="auto"/>
          <w:kern w:val="2"/>
          <w:sz w:val="24"/>
          <w:szCs w:val="24"/>
          <w:highlight w:val="none"/>
          <w:lang w:val="en-US" w:eastAsia="zh-CN" w:bidi="ar-SA"/>
        </w:rPr>
      </w:pPr>
      <w:r>
        <w:rPr>
          <w:rStyle w:val="21"/>
          <w:rFonts w:hint="eastAsia" w:asciiTheme="minorEastAsia" w:hAnsiTheme="minorEastAsia" w:eastAsiaTheme="minorEastAsia" w:cstheme="minorEastAsia"/>
          <w:color w:val="auto"/>
          <w:kern w:val="2"/>
          <w:sz w:val="24"/>
          <w:szCs w:val="24"/>
          <w:highlight w:val="none"/>
          <w:lang w:val="en-US" w:eastAsia="zh-CN" w:bidi="ar-SA"/>
        </w:rPr>
        <w:t>1.6.1承包人提供的文件</w:t>
      </w:r>
    </w:p>
    <w:p>
      <w:pPr>
        <w:pStyle w:val="65"/>
        <w:tabs>
          <w:tab w:val="left" w:pos="8280"/>
        </w:tabs>
        <w:spacing w:line="360" w:lineRule="auto"/>
        <w:ind w:firstLine="360" w:firstLineChars="150"/>
        <w:rPr>
          <w:rStyle w:val="21"/>
          <w:rFonts w:hint="eastAsia" w:asciiTheme="minorEastAsia" w:hAnsiTheme="minorEastAsia" w:eastAsiaTheme="minorEastAsia" w:cstheme="minorEastAsia"/>
          <w:color w:val="auto"/>
          <w:kern w:val="2"/>
          <w:sz w:val="24"/>
          <w:szCs w:val="24"/>
          <w:highlight w:val="none"/>
          <w:lang w:val="en-US" w:eastAsia="zh-CN" w:bidi="ar-SA"/>
        </w:rPr>
      </w:pPr>
      <w:r>
        <w:rPr>
          <w:rStyle w:val="21"/>
          <w:rFonts w:hint="eastAsia" w:asciiTheme="minorEastAsia" w:hAnsiTheme="minorEastAsia" w:eastAsiaTheme="minorEastAsia" w:cstheme="minorEastAsia"/>
          <w:color w:val="auto"/>
          <w:kern w:val="2"/>
          <w:sz w:val="24"/>
          <w:szCs w:val="24"/>
          <w:highlight w:val="none"/>
          <w:lang w:val="en-US" w:eastAsia="zh-CN" w:bidi="ar-SA"/>
        </w:rPr>
        <w:t>承包人提供的文件应按技术标准和要求(合同技术条款)约定的期限和数量提供给监理人。监理人应按技术标准和要求(合同技术条款)约定的期限批复承包人。</w:t>
      </w:r>
    </w:p>
    <w:p>
      <w:pPr>
        <w:pStyle w:val="65"/>
        <w:tabs>
          <w:tab w:val="left" w:pos="8280"/>
        </w:tabs>
        <w:spacing w:line="360" w:lineRule="auto"/>
        <w:ind w:firstLine="360" w:firstLineChars="150"/>
        <w:rPr>
          <w:rStyle w:val="21"/>
          <w:rFonts w:hint="eastAsia" w:asciiTheme="minorEastAsia" w:hAnsiTheme="minorEastAsia" w:eastAsiaTheme="minorEastAsia" w:cstheme="minorEastAsia"/>
          <w:color w:val="auto"/>
          <w:kern w:val="2"/>
          <w:sz w:val="24"/>
          <w:szCs w:val="24"/>
          <w:highlight w:val="none"/>
          <w:lang w:val="en-US" w:eastAsia="zh-CN" w:bidi="ar-SA"/>
        </w:rPr>
      </w:pPr>
      <w:r>
        <w:rPr>
          <w:rStyle w:val="21"/>
          <w:rFonts w:hint="eastAsia" w:asciiTheme="minorEastAsia" w:hAnsiTheme="minorEastAsia" w:eastAsiaTheme="minorEastAsia" w:cstheme="minorEastAsia"/>
          <w:color w:val="auto"/>
          <w:kern w:val="2"/>
          <w:sz w:val="24"/>
          <w:szCs w:val="24"/>
          <w:highlight w:val="none"/>
          <w:lang w:val="en-US" w:eastAsia="zh-CN" w:bidi="ar-SA"/>
        </w:rPr>
        <w:t>1.6.2图纸的修改</w:t>
      </w:r>
    </w:p>
    <w:p>
      <w:pPr>
        <w:pStyle w:val="65"/>
        <w:tabs>
          <w:tab w:val="left" w:pos="8280"/>
        </w:tabs>
        <w:spacing w:line="360" w:lineRule="auto"/>
        <w:ind w:firstLine="360" w:firstLineChars="150"/>
        <w:rPr>
          <w:rStyle w:val="21"/>
          <w:rFonts w:hint="eastAsia" w:asciiTheme="minorEastAsia" w:hAnsiTheme="minorEastAsia" w:eastAsiaTheme="minorEastAsia" w:cstheme="minorEastAsia"/>
          <w:color w:val="auto"/>
          <w:kern w:val="2"/>
          <w:sz w:val="24"/>
          <w:szCs w:val="24"/>
          <w:highlight w:val="none"/>
          <w:lang w:val="en-US" w:eastAsia="zh-CN" w:bidi="ar-SA"/>
        </w:rPr>
      </w:pPr>
      <w:r>
        <w:rPr>
          <w:rStyle w:val="21"/>
          <w:rFonts w:hint="eastAsia" w:asciiTheme="minorEastAsia" w:hAnsiTheme="minorEastAsia" w:eastAsiaTheme="minorEastAsia" w:cstheme="minorEastAsia"/>
          <w:color w:val="auto"/>
          <w:kern w:val="2"/>
          <w:sz w:val="24"/>
          <w:szCs w:val="24"/>
          <w:highlight w:val="none"/>
          <w:lang w:val="en-US" w:eastAsia="zh-CN" w:bidi="ar-SA"/>
        </w:rPr>
        <w:t>设计人需要对已发给承包人的施工图纸进行修改时，监理人应在技术标准和要求(合同技术条款)约定的期限内签发施工图纸的修改图给承包人。承包人应按技术标准和要求 (合同技术条款)的约定编制一份承包人实施计划提交监理人批准后执行。</w:t>
      </w:r>
    </w:p>
    <w:p>
      <w:pPr>
        <w:pStyle w:val="65"/>
        <w:tabs>
          <w:tab w:val="left" w:pos="8280"/>
        </w:tabs>
        <w:spacing w:line="360" w:lineRule="auto"/>
        <w:ind w:firstLine="360" w:firstLineChars="150"/>
        <w:rPr>
          <w:rStyle w:val="21"/>
          <w:rFonts w:hint="eastAsia" w:asciiTheme="minorEastAsia" w:hAnsiTheme="minorEastAsia" w:eastAsiaTheme="minorEastAsia" w:cstheme="minorEastAsia"/>
          <w:color w:val="auto"/>
          <w:kern w:val="2"/>
          <w:sz w:val="24"/>
          <w:szCs w:val="24"/>
          <w:highlight w:val="none"/>
          <w:lang w:val="en-US" w:eastAsia="zh-CN" w:bidi="ar-SA"/>
        </w:rPr>
      </w:pPr>
      <w:r>
        <w:rPr>
          <w:rStyle w:val="21"/>
          <w:rFonts w:hint="eastAsia" w:asciiTheme="minorEastAsia" w:hAnsiTheme="minorEastAsia" w:eastAsiaTheme="minorEastAsia" w:cstheme="minorEastAsia"/>
          <w:color w:val="auto"/>
          <w:kern w:val="2"/>
          <w:sz w:val="24"/>
          <w:szCs w:val="24"/>
          <w:highlight w:val="none"/>
          <w:lang w:val="en-US" w:eastAsia="zh-CN" w:bidi="ar-SA"/>
        </w:rPr>
        <w:t>1.6.3图纸的错误</w:t>
      </w:r>
    </w:p>
    <w:p>
      <w:pPr>
        <w:pStyle w:val="65"/>
        <w:tabs>
          <w:tab w:val="left" w:pos="8280"/>
        </w:tabs>
        <w:spacing w:line="360" w:lineRule="auto"/>
        <w:ind w:firstLine="360" w:firstLineChars="150"/>
        <w:rPr>
          <w:rStyle w:val="21"/>
          <w:rFonts w:hint="eastAsia" w:asciiTheme="minorEastAsia" w:hAnsiTheme="minorEastAsia" w:eastAsiaTheme="minorEastAsia" w:cstheme="minorEastAsia"/>
          <w:color w:val="auto"/>
          <w:kern w:val="2"/>
          <w:sz w:val="24"/>
          <w:szCs w:val="24"/>
          <w:highlight w:val="none"/>
          <w:lang w:val="en-US" w:eastAsia="zh-CN" w:bidi="ar-SA"/>
        </w:rPr>
      </w:pPr>
      <w:r>
        <w:rPr>
          <w:rStyle w:val="21"/>
          <w:rFonts w:hint="eastAsia" w:asciiTheme="minorEastAsia" w:hAnsiTheme="minorEastAsia" w:eastAsiaTheme="minorEastAsia" w:cstheme="minorEastAsia"/>
          <w:color w:val="auto"/>
          <w:kern w:val="2"/>
          <w:sz w:val="24"/>
          <w:szCs w:val="24"/>
          <w:highlight w:val="none"/>
          <w:lang w:val="en-US" w:eastAsia="zh-CN" w:bidi="ar-SA"/>
        </w:rPr>
        <w:t>承包人发现发包人提供的图纸存在明显错误或疏忽，应及时通知监理人。</w:t>
      </w:r>
    </w:p>
    <w:p>
      <w:pPr>
        <w:pStyle w:val="65"/>
        <w:tabs>
          <w:tab w:val="left" w:pos="8280"/>
        </w:tabs>
        <w:spacing w:line="360" w:lineRule="auto"/>
        <w:ind w:firstLine="360" w:firstLineChars="150"/>
        <w:rPr>
          <w:rStyle w:val="21"/>
          <w:rFonts w:hint="eastAsia" w:asciiTheme="minorEastAsia" w:hAnsiTheme="minorEastAsia" w:eastAsiaTheme="minorEastAsia" w:cstheme="minorEastAsia"/>
          <w:color w:val="auto"/>
          <w:kern w:val="2"/>
          <w:sz w:val="24"/>
          <w:szCs w:val="24"/>
          <w:highlight w:val="none"/>
          <w:lang w:val="en-US" w:eastAsia="zh-CN" w:bidi="ar-SA"/>
        </w:rPr>
      </w:pPr>
      <w:r>
        <w:rPr>
          <w:rStyle w:val="21"/>
          <w:rFonts w:hint="eastAsia" w:asciiTheme="minorEastAsia" w:hAnsiTheme="minorEastAsia" w:eastAsiaTheme="minorEastAsia" w:cstheme="minorEastAsia"/>
          <w:color w:val="auto"/>
          <w:kern w:val="2"/>
          <w:sz w:val="24"/>
          <w:szCs w:val="24"/>
          <w:highlight w:val="none"/>
          <w:lang w:val="en-US" w:eastAsia="zh-CN" w:bidi="ar-SA"/>
        </w:rPr>
        <w:t>1.6.4图纸和承包人文件的保管</w:t>
      </w:r>
    </w:p>
    <w:p>
      <w:pPr>
        <w:pStyle w:val="65"/>
        <w:tabs>
          <w:tab w:val="left" w:pos="8280"/>
        </w:tabs>
        <w:spacing w:line="360" w:lineRule="auto"/>
        <w:ind w:firstLine="360" w:firstLineChars="150"/>
        <w:rPr>
          <w:rStyle w:val="21"/>
          <w:rFonts w:hint="eastAsia" w:asciiTheme="minorEastAsia" w:hAnsiTheme="minorEastAsia" w:eastAsiaTheme="minorEastAsia" w:cstheme="minorEastAsia"/>
          <w:color w:val="auto"/>
          <w:kern w:val="2"/>
          <w:sz w:val="24"/>
          <w:szCs w:val="24"/>
          <w:highlight w:val="none"/>
          <w:lang w:val="en-US" w:eastAsia="zh-CN" w:bidi="ar-SA"/>
        </w:rPr>
      </w:pPr>
      <w:r>
        <w:rPr>
          <w:rStyle w:val="21"/>
          <w:rFonts w:hint="eastAsia" w:asciiTheme="minorEastAsia" w:hAnsiTheme="minorEastAsia" w:eastAsiaTheme="minorEastAsia" w:cstheme="minorEastAsia"/>
          <w:color w:val="auto"/>
          <w:kern w:val="2"/>
          <w:sz w:val="24"/>
          <w:szCs w:val="24"/>
          <w:highlight w:val="none"/>
          <w:lang w:val="en-US" w:eastAsia="zh-CN" w:bidi="ar-SA"/>
        </w:rPr>
        <w:t>监理人和承包人均应在施工场地各保存一套完整的包含第1.6.1项、第1.6.2项、第1.6.3项约定内容的图纸和承包人文件。</w:t>
      </w:r>
    </w:p>
    <w:p>
      <w:pPr>
        <w:pStyle w:val="65"/>
        <w:tabs>
          <w:tab w:val="left" w:pos="8280"/>
        </w:tabs>
        <w:spacing w:line="360" w:lineRule="auto"/>
        <w:rPr>
          <w:rStyle w:val="21"/>
          <w:rFonts w:hint="eastAsia" w:asciiTheme="minorEastAsia" w:hAnsiTheme="minorEastAsia" w:eastAsiaTheme="minorEastAsia" w:cstheme="minorEastAsia"/>
          <w:b/>
          <w:color w:val="auto"/>
          <w:kern w:val="2"/>
          <w:sz w:val="24"/>
          <w:szCs w:val="24"/>
          <w:highlight w:val="none"/>
          <w:lang w:val="en-US" w:eastAsia="zh-CN" w:bidi="ar-SA"/>
        </w:rPr>
      </w:pPr>
      <w:r>
        <w:rPr>
          <w:rStyle w:val="21"/>
          <w:rFonts w:hint="eastAsia" w:asciiTheme="minorEastAsia" w:hAnsiTheme="minorEastAsia" w:eastAsiaTheme="minorEastAsia" w:cstheme="minorEastAsia"/>
          <w:b/>
          <w:color w:val="auto"/>
          <w:kern w:val="2"/>
          <w:sz w:val="24"/>
          <w:szCs w:val="24"/>
          <w:highlight w:val="none"/>
          <w:lang w:val="en-US" w:eastAsia="zh-CN" w:bidi="ar-SA"/>
        </w:rPr>
        <w:t>1.7联络</w:t>
      </w:r>
    </w:p>
    <w:p>
      <w:pPr>
        <w:pStyle w:val="65"/>
        <w:tabs>
          <w:tab w:val="left" w:pos="8280"/>
        </w:tabs>
        <w:spacing w:line="360" w:lineRule="auto"/>
        <w:ind w:firstLine="360" w:firstLineChars="150"/>
        <w:rPr>
          <w:rStyle w:val="21"/>
          <w:rFonts w:hint="eastAsia" w:asciiTheme="minorEastAsia" w:hAnsiTheme="minorEastAsia" w:eastAsiaTheme="minorEastAsia" w:cstheme="minorEastAsia"/>
          <w:color w:val="auto"/>
          <w:kern w:val="2"/>
          <w:sz w:val="24"/>
          <w:szCs w:val="24"/>
          <w:highlight w:val="none"/>
          <w:lang w:val="en-US" w:eastAsia="zh-CN" w:bidi="ar-SA"/>
        </w:rPr>
      </w:pPr>
      <w:r>
        <w:rPr>
          <w:rStyle w:val="21"/>
          <w:rFonts w:hint="eastAsia" w:asciiTheme="minorEastAsia" w:hAnsiTheme="minorEastAsia" w:eastAsiaTheme="minorEastAsia" w:cstheme="minorEastAsia"/>
          <w:color w:val="auto"/>
          <w:kern w:val="2"/>
          <w:sz w:val="24"/>
          <w:szCs w:val="24"/>
          <w:highlight w:val="none"/>
          <w:lang w:val="en-US" w:eastAsia="zh-CN" w:bidi="ar-SA"/>
        </w:rPr>
        <w:t>1.7.1与合同有关的通知、批准、证明、证书、指示、要求、请求、同意、意见、确定和决定等，均应采用书面形式。</w:t>
      </w:r>
    </w:p>
    <w:p>
      <w:pPr>
        <w:pStyle w:val="65"/>
        <w:tabs>
          <w:tab w:val="left" w:pos="8280"/>
        </w:tabs>
        <w:spacing w:line="360" w:lineRule="auto"/>
        <w:ind w:firstLine="360" w:firstLineChars="150"/>
        <w:rPr>
          <w:rStyle w:val="21"/>
          <w:rFonts w:hint="eastAsia" w:asciiTheme="minorEastAsia" w:hAnsiTheme="minorEastAsia" w:eastAsiaTheme="minorEastAsia" w:cstheme="minorEastAsia"/>
          <w:color w:val="auto"/>
          <w:kern w:val="2"/>
          <w:sz w:val="24"/>
          <w:szCs w:val="24"/>
          <w:highlight w:val="none"/>
          <w:lang w:val="en-US" w:eastAsia="zh-CN" w:bidi="ar-SA"/>
        </w:rPr>
      </w:pPr>
      <w:r>
        <w:rPr>
          <w:rStyle w:val="21"/>
          <w:rFonts w:hint="eastAsia" w:asciiTheme="minorEastAsia" w:hAnsiTheme="minorEastAsia" w:eastAsiaTheme="minorEastAsia" w:cstheme="minorEastAsia"/>
          <w:color w:val="auto"/>
          <w:kern w:val="2"/>
          <w:sz w:val="24"/>
          <w:szCs w:val="24"/>
          <w:highlight w:val="none"/>
          <w:lang w:val="en-US" w:eastAsia="zh-CN" w:bidi="ar-SA"/>
        </w:rPr>
        <w:t>1.7.2第1.7.1项中的通知、批准、证明、证书、指示、要求、请求、同意、意见、确定和决定等来往函件，均应在合同约定的期限内送达指定地点和接收人，并办理签收手续。来往函件的送达期限在技术标准和要求(合同技术条款)中约定，送达地点在专用合同条款中约定。</w:t>
      </w:r>
    </w:p>
    <w:p>
      <w:pPr>
        <w:pStyle w:val="65"/>
        <w:tabs>
          <w:tab w:val="left" w:pos="8280"/>
        </w:tabs>
        <w:spacing w:line="360" w:lineRule="auto"/>
        <w:rPr>
          <w:rStyle w:val="21"/>
          <w:rFonts w:hint="eastAsia" w:asciiTheme="minorEastAsia" w:hAnsiTheme="minorEastAsia" w:eastAsiaTheme="minorEastAsia" w:cstheme="minorEastAsia"/>
          <w:color w:val="auto"/>
          <w:kern w:val="2"/>
          <w:sz w:val="24"/>
          <w:szCs w:val="24"/>
          <w:highlight w:val="none"/>
          <w:lang w:val="en-US" w:eastAsia="zh-CN" w:bidi="ar-SA"/>
        </w:rPr>
      </w:pPr>
      <w:r>
        <w:rPr>
          <w:rStyle w:val="21"/>
          <w:rFonts w:hint="eastAsia" w:asciiTheme="minorEastAsia" w:hAnsiTheme="minorEastAsia" w:eastAsiaTheme="minorEastAsia" w:cstheme="minorEastAsia"/>
          <w:b/>
          <w:color w:val="auto"/>
          <w:kern w:val="2"/>
          <w:sz w:val="24"/>
          <w:szCs w:val="24"/>
          <w:highlight w:val="none"/>
          <w:lang w:val="en-US" w:eastAsia="zh-CN" w:bidi="ar-SA"/>
        </w:rPr>
        <w:t>1.8转让</w:t>
      </w:r>
    </w:p>
    <w:p>
      <w:pPr>
        <w:pStyle w:val="65"/>
        <w:tabs>
          <w:tab w:val="left" w:pos="8280"/>
        </w:tabs>
        <w:spacing w:line="360" w:lineRule="auto"/>
        <w:ind w:firstLine="360" w:firstLineChars="150"/>
        <w:rPr>
          <w:rStyle w:val="21"/>
          <w:rFonts w:hint="eastAsia" w:asciiTheme="minorEastAsia" w:hAnsiTheme="minorEastAsia" w:eastAsiaTheme="minorEastAsia" w:cstheme="minorEastAsia"/>
          <w:color w:val="auto"/>
          <w:kern w:val="2"/>
          <w:sz w:val="24"/>
          <w:szCs w:val="24"/>
          <w:highlight w:val="none"/>
          <w:lang w:val="en-US" w:eastAsia="zh-CN" w:bidi="ar-SA"/>
        </w:rPr>
      </w:pPr>
      <w:r>
        <w:rPr>
          <w:rStyle w:val="21"/>
          <w:rFonts w:hint="eastAsia" w:asciiTheme="minorEastAsia" w:hAnsiTheme="minorEastAsia" w:eastAsiaTheme="minorEastAsia" w:cstheme="minorEastAsia"/>
          <w:color w:val="auto"/>
          <w:kern w:val="2"/>
          <w:sz w:val="24"/>
          <w:szCs w:val="24"/>
          <w:highlight w:val="none"/>
          <w:lang w:val="en-US" w:eastAsia="zh-CN" w:bidi="ar-SA"/>
        </w:rPr>
        <w:t>除合同另有约定外，未经对方当事人同意，一方当事人不得将合同权利全部或部分转让给第三人，也不得全部或部分转移合同义务。</w:t>
      </w:r>
    </w:p>
    <w:p>
      <w:pPr>
        <w:pStyle w:val="65"/>
        <w:tabs>
          <w:tab w:val="left" w:pos="8280"/>
        </w:tabs>
        <w:spacing w:line="360" w:lineRule="auto"/>
        <w:ind w:right="-315" w:rightChars="-150"/>
        <w:rPr>
          <w:rStyle w:val="21"/>
          <w:rFonts w:hint="eastAsia" w:asciiTheme="minorEastAsia" w:hAnsiTheme="minorEastAsia" w:eastAsiaTheme="minorEastAsia" w:cstheme="minorEastAsia"/>
          <w:b/>
          <w:color w:val="auto"/>
          <w:kern w:val="2"/>
          <w:sz w:val="24"/>
          <w:szCs w:val="24"/>
          <w:highlight w:val="none"/>
          <w:lang w:val="en-US" w:eastAsia="zh-CN" w:bidi="ar-SA"/>
        </w:rPr>
      </w:pPr>
      <w:r>
        <w:rPr>
          <w:rStyle w:val="21"/>
          <w:rFonts w:hint="eastAsia" w:asciiTheme="minorEastAsia" w:hAnsiTheme="minorEastAsia" w:eastAsiaTheme="minorEastAsia" w:cstheme="minorEastAsia"/>
          <w:b/>
          <w:color w:val="auto"/>
          <w:kern w:val="2"/>
          <w:sz w:val="24"/>
          <w:szCs w:val="24"/>
          <w:highlight w:val="none"/>
          <w:lang w:val="en-US" w:eastAsia="zh-CN" w:bidi="ar-SA"/>
        </w:rPr>
        <w:t>1.9严禁贿赂</w:t>
      </w:r>
    </w:p>
    <w:p>
      <w:pPr>
        <w:pStyle w:val="65"/>
        <w:tabs>
          <w:tab w:val="left" w:pos="8280"/>
        </w:tabs>
        <w:spacing w:line="360" w:lineRule="auto"/>
        <w:ind w:firstLine="360" w:firstLineChars="150"/>
        <w:rPr>
          <w:rStyle w:val="21"/>
          <w:rFonts w:hint="eastAsia" w:asciiTheme="minorEastAsia" w:hAnsiTheme="minorEastAsia" w:eastAsiaTheme="minorEastAsia" w:cstheme="minorEastAsia"/>
          <w:color w:val="auto"/>
          <w:kern w:val="2"/>
          <w:sz w:val="24"/>
          <w:szCs w:val="24"/>
          <w:highlight w:val="none"/>
          <w:lang w:val="en-US" w:eastAsia="zh-CN" w:bidi="ar-SA"/>
        </w:rPr>
      </w:pPr>
      <w:r>
        <w:rPr>
          <w:rStyle w:val="21"/>
          <w:rFonts w:hint="eastAsia" w:asciiTheme="minorEastAsia" w:hAnsiTheme="minorEastAsia" w:eastAsiaTheme="minorEastAsia" w:cstheme="minorEastAsia"/>
          <w:color w:val="auto"/>
          <w:kern w:val="2"/>
          <w:sz w:val="24"/>
          <w:szCs w:val="24"/>
          <w:highlight w:val="none"/>
          <w:lang w:val="en-US" w:eastAsia="zh-CN" w:bidi="ar-SA"/>
        </w:rPr>
        <w:t>合同双方当事人不得以贿赂或变相贿赂的方式，谋取不当利益或损害对方权益。因贿赂造成对方损失的应当赔偿损失。</w:t>
      </w:r>
    </w:p>
    <w:p>
      <w:pPr>
        <w:pStyle w:val="65"/>
        <w:tabs>
          <w:tab w:val="left" w:pos="8280"/>
        </w:tabs>
        <w:spacing w:line="360" w:lineRule="auto"/>
        <w:ind w:firstLine="360" w:firstLineChars="150"/>
        <w:rPr>
          <w:rStyle w:val="21"/>
          <w:rFonts w:hint="eastAsia" w:asciiTheme="minorEastAsia" w:hAnsiTheme="minorEastAsia" w:eastAsiaTheme="minorEastAsia" w:cstheme="minorEastAsia"/>
          <w:color w:val="auto"/>
          <w:kern w:val="2"/>
          <w:sz w:val="24"/>
          <w:szCs w:val="24"/>
          <w:highlight w:val="none"/>
          <w:lang w:val="en-US" w:eastAsia="zh-CN" w:bidi="ar-SA"/>
        </w:rPr>
      </w:pPr>
      <w:r>
        <w:rPr>
          <w:rStyle w:val="21"/>
          <w:rFonts w:hint="eastAsia" w:asciiTheme="minorEastAsia" w:hAnsiTheme="minorEastAsia" w:eastAsiaTheme="minorEastAsia" w:cstheme="minorEastAsia"/>
          <w:color w:val="auto"/>
          <w:kern w:val="2"/>
          <w:sz w:val="24"/>
          <w:szCs w:val="24"/>
          <w:highlight w:val="none"/>
          <w:lang w:val="en-US" w:eastAsia="zh-CN" w:bidi="ar-SA"/>
        </w:rPr>
        <w:t>1.9.1图纸和文件的保密。</w:t>
      </w:r>
    </w:p>
    <w:p>
      <w:pPr>
        <w:pStyle w:val="65"/>
        <w:tabs>
          <w:tab w:val="left" w:pos="8280"/>
        </w:tabs>
        <w:spacing w:line="360" w:lineRule="auto"/>
        <w:ind w:firstLine="360" w:firstLineChars="150"/>
        <w:rPr>
          <w:rStyle w:val="21"/>
          <w:rFonts w:hint="eastAsia" w:asciiTheme="minorEastAsia" w:hAnsiTheme="minorEastAsia" w:eastAsiaTheme="minorEastAsia" w:cstheme="minorEastAsia"/>
          <w:color w:val="auto"/>
          <w:kern w:val="2"/>
          <w:sz w:val="24"/>
          <w:szCs w:val="24"/>
          <w:highlight w:val="none"/>
          <w:lang w:val="en-US" w:eastAsia="zh-CN" w:bidi="ar-SA"/>
        </w:rPr>
      </w:pPr>
      <w:r>
        <w:rPr>
          <w:rStyle w:val="21"/>
          <w:rFonts w:hint="eastAsia" w:asciiTheme="minorEastAsia" w:hAnsiTheme="minorEastAsia" w:eastAsiaTheme="minorEastAsia" w:cstheme="minorEastAsia"/>
          <w:color w:val="auto"/>
          <w:kern w:val="2"/>
          <w:sz w:val="24"/>
          <w:szCs w:val="24"/>
          <w:highlight w:val="none"/>
          <w:lang w:val="en-US" w:eastAsia="zh-CN" w:bidi="ar-SA"/>
        </w:rPr>
        <w:t>1.9.2发包人提供的图纸和文件，未经发包人同意，承包人不得为合同以外的目的泄露给他人或公开发表与引用。</w:t>
      </w:r>
    </w:p>
    <w:p>
      <w:pPr>
        <w:pStyle w:val="65"/>
        <w:tabs>
          <w:tab w:val="left" w:pos="8280"/>
        </w:tabs>
        <w:spacing w:line="360" w:lineRule="auto"/>
        <w:ind w:firstLine="360" w:firstLineChars="150"/>
        <w:rPr>
          <w:rStyle w:val="21"/>
          <w:rFonts w:hint="eastAsia" w:asciiTheme="minorEastAsia" w:hAnsiTheme="minorEastAsia" w:eastAsiaTheme="minorEastAsia" w:cstheme="minorEastAsia"/>
          <w:color w:val="auto"/>
          <w:kern w:val="2"/>
          <w:sz w:val="24"/>
          <w:szCs w:val="24"/>
          <w:highlight w:val="none"/>
          <w:lang w:val="en-US" w:eastAsia="zh-CN" w:bidi="ar-SA"/>
        </w:rPr>
      </w:pPr>
      <w:r>
        <w:rPr>
          <w:rStyle w:val="21"/>
          <w:rFonts w:hint="eastAsia" w:asciiTheme="minorEastAsia" w:hAnsiTheme="minorEastAsia" w:eastAsiaTheme="minorEastAsia" w:cstheme="minorEastAsia"/>
          <w:color w:val="auto"/>
          <w:kern w:val="2"/>
          <w:sz w:val="24"/>
          <w:szCs w:val="24"/>
          <w:highlight w:val="none"/>
          <w:lang w:val="en-US" w:eastAsia="zh-CN" w:bidi="ar-SA"/>
        </w:rPr>
        <w:t xml:space="preserve">1.9.3承包人提供的文件，未经承包人同意，发包人和监理人不得为合同以外的目的泄露给他人或公开发表与引用。  </w:t>
      </w:r>
    </w:p>
    <w:p>
      <w:pPr>
        <w:pStyle w:val="65"/>
        <w:tabs>
          <w:tab w:val="left" w:pos="8280"/>
        </w:tabs>
        <w:spacing w:line="360" w:lineRule="auto"/>
        <w:ind w:right="-315" w:rightChars="-150"/>
        <w:rPr>
          <w:rStyle w:val="21"/>
          <w:rFonts w:hint="eastAsia" w:asciiTheme="minorEastAsia" w:hAnsiTheme="minorEastAsia" w:eastAsiaTheme="minorEastAsia" w:cstheme="minorEastAsia"/>
          <w:b/>
          <w:color w:val="auto"/>
          <w:kern w:val="2"/>
          <w:sz w:val="24"/>
          <w:szCs w:val="24"/>
          <w:highlight w:val="none"/>
          <w:lang w:val="en-US" w:eastAsia="zh-CN" w:bidi="ar-SA"/>
        </w:rPr>
      </w:pPr>
      <w:r>
        <w:rPr>
          <w:rStyle w:val="21"/>
          <w:rFonts w:hint="eastAsia" w:asciiTheme="minorEastAsia" w:hAnsiTheme="minorEastAsia" w:eastAsiaTheme="minorEastAsia" w:cstheme="minorEastAsia"/>
          <w:b/>
          <w:color w:val="auto"/>
          <w:kern w:val="2"/>
          <w:sz w:val="24"/>
          <w:szCs w:val="24"/>
          <w:highlight w:val="none"/>
          <w:lang w:val="en-US" w:eastAsia="zh-CN" w:bidi="ar-SA"/>
        </w:rPr>
        <w:t>1.10 化石、文物</w:t>
      </w:r>
    </w:p>
    <w:p>
      <w:pPr>
        <w:pStyle w:val="65"/>
        <w:tabs>
          <w:tab w:val="left" w:pos="8280"/>
        </w:tabs>
        <w:spacing w:line="360" w:lineRule="auto"/>
        <w:ind w:firstLine="360" w:firstLineChars="150"/>
        <w:rPr>
          <w:rStyle w:val="21"/>
          <w:rFonts w:hint="eastAsia" w:asciiTheme="minorEastAsia" w:hAnsiTheme="minorEastAsia" w:eastAsiaTheme="minorEastAsia" w:cstheme="minorEastAsia"/>
          <w:color w:val="auto"/>
          <w:kern w:val="2"/>
          <w:sz w:val="24"/>
          <w:szCs w:val="24"/>
          <w:highlight w:val="none"/>
          <w:lang w:val="en-US" w:eastAsia="zh-CN" w:bidi="ar-SA"/>
        </w:rPr>
      </w:pPr>
      <w:r>
        <w:rPr>
          <w:rStyle w:val="21"/>
          <w:rFonts w:hint="eastAsia" w:asciiTheme="minorEastAsia" w:hAnsiTheme="minorEastAsia" w:eastAsiaTheme="minorEastAsia" w:cstheme="minorEastAsia"/>
          <w:color w:val="auto"/>
          <w:kern w:val="2"/>
          <w:sz w:val="24"/>
          <w:szCs w:val="24"/>
          <w:highlight w:val="none"/>
          <w:lang w:val="en-US" w:eastAsia="zh-CN" w:bidi="ar-SA"/>
        </w:rPr>
        <w:t>1.10.1 在施工场地发掘的所有文物、古迹以及具有地质研究或考古价值的其他遗迹、化石、钱币或物品属于国家所有。一旦发现上述文物，承包人应采取有效合理的保护措施，防止任何人员移动或损坏上述物品，并立即报告当地文物行政部门，同时通知监理人。发包人、监理人和承包人应按文物行政部门要求采取妥善保护措施，由此导致费用增加和（或）工期延误由发包人承担。</w:t>
      </w:r>
    </w:p>
    <w:p>
      <w:pPr>
        <w:pStyle w:val="65"/>
        <w:tabs>
          <w:tab w:val="left" w:pos="8280"/>
        </w:tabs>
        <w:spacing w:line="360" w:lineRule="auto"/>
        <w:ind w:firstLine="360" w:firstLineChars="150"/>
        <w:rPr>
          <w:rStyle w:val="21"/>
          <w:rFonts w:hint="eastAsia" w:asciiTheme="minorEastAsia" w:hAnsiTheme="minorEastAsia" w:eastAsiaTheme="minorEastAsia" w:cstheme="minorEastAsia"/>
          <w:color w:val="auto"/>
          <w:kern w:val="2"/>
          <w:sz w:val="24"/>
          <w:szCs w:val="24"/>
          <w:highlight w:val="none"/>
          <w:lang w:val="en-US" w:eastAsia="zh-CN" w:bidi="ar-SA"/>
        </w:rPr>
      </w:pPr>
      <w:r>
        <w:rPr>
          <w:rStyle w:val="21"/>
          <w:rFonts w:hint="eastAsia" w:asciiTheme="minorEastAsia" w:hAnsiTheme="minorEastAsia" w:eastAsiaTheme="minorEastAsia" w:cstheme="minorEastAsia"/>
          <w:color w:val="auto"/>
          <w:kern w:val="2"/>
          <w:sz w:val="24"/>
          <w:szCs w:val="24"/>
          <w:highlight w:val="none"/>
          <w:lang w:val="en-US" w:eastAsia="zh-CN" w:bidi="ar-SA"/>
        </w:rPr>
        <w:t>1.10.2 承包人发现文物后不及时报告或隐瞒不报，致使文物丢失或损坏的，应赔偿损失，并承担相应的法律责任。</w:t>
      </w:r>
    </w:p>
    <w:p>
      <w:pPr>
        <w:pStyle w:val="65"/>
        <w:tabs>
          <w:tab w:val="left" w:pos="8280"/>
        </w:tabs>
        <w:spacing w:line="360" w:lineRule="auto"/>
        <w:ind w:right="-315" w:rightChars="-150"/>
        <w:rPr>
          <w:rStyle w:val="21"/>
          <w:rFonts w:hint="eastAsia" w:asciiTheme="minorEastAsia" w:hAnsiTheme="minorEastAsia" w:eastAsiaTheme="minorEastAsia" w:cstheme="minorEastAsia"/>
          <w:b/>
          <w:color w:val="auto"/>
          <w:kern w:val="2"/>
          <w:sz w:val="24"/>
          <w:szCs w:val="24"/>
          <w:highlight w:val="none"/>
          <w:lang w:val="en-US" w:eastAsia="zh-CN" w:bidi="ar-SA"/>
        </w:rPr>
      </w:pPr>
      <w:r>
        <w:rPr>
          <w:rStyle w:val="21"/>
          <w:rFonts w:hint="eastAsia" w:asciiTheme="minorEastAsia" w:hAnsiTheme="minorEastAsia" w:eastAsiaTheme="minorEastAsia" w:cstheme="minorEastAsia"/>
          <w:b/>
          <w:color w:val="auto"/>
          <w:kern w:val="2"/>
          <w:sz w:val="24"/>
          <w:szCs w:val="24"/>
          <w:highlight w:val="none"/>
          <w:lang w:val="en-US" w:eastAsia="zh-CN" w:bidi="ar-SA"/>
        </w:rPr>
        <w:t>1.11 专利技术</w:t>
      </w:r>
    </w:p>
    <w:p>
      <w:pPr>
        <w:pStyle w:val="65"/>
        <w:tabs>
          <w:tab w:val="left" w:pos="8280"/>
        </w:tabs>
        <w:spacing w:line="360" w:lineRule="auto"/>
        <w:ind w:firstLine="360" w:firstLineChars="150"/>
        <w:rPr>
          <w:rStyle w:val="21"/>
          <w:rFonts w:hint="eastAsia" w:asciiTheme="minorEastAsia" w:hAnsiTheme="minorEastAsia" w:eastAsiaTheme="minorEastAsia" w:cstheme="minorEastAsia"/>
          <w:color w:val="auto"/>
          <w:kern w:val="2"/>
          <w:sz w:val="24"/>
          <w:szCs w:val="24"/>
          <w:highlight w:val="none"/>
          <w:lang w:val="en-US" w:eastAsia="zh-CN" w:bidi="ar-SA"/>
        </w:rPr>
      </w:pPr>
      <w:r>
        <w:rPr>
          <w:rStyle w:val="21"/>
          <w:rFonts w:hint="eastAsia" w:asciiTheme="minorEastAsia" w:hAnsiTheme="minorEastAsia" w:eastAsiaTheme="minorEastAsia" w:cstheme="minorEastAsia"/>
          <w:color w:val="auto"/>
          <w:kern w:val="2"/>
          <w:sz w:val="24"/>
          <w:szCs w:val="24"/>
          <w:highlight w:val="none"/>
          <w:lang w:val="en-US" w:eastAsia="zh-CN" w:bidi="ar-SA"/>
        </w:rPr>
        <w:t>1.11.1 承包人在使用任何材料、承包人设备、工程设备或采用施工工艺时，因侵犯专利权或其他知识产权所引起的责任，由承包人承担，但由于遵照发包人提供的设计或技术标准和要求引起的除外。</w:t>
      </w:r>
    </w:p>
    <w:p>
      <w:pPr>
        <w:pStyle w:val="65"/>
        <w:tabs>
          <w:tab w:val="left" w:pos="8280"/>
        </w:tabs>
        <w:spacing w:line="360" w:lineRule="auto"/>
        <w:ind w:firstLine="360" w:firstLineChars="150"/>
        <w:rPr>
          <w:rStyle w:val="21"/>
          <w:rFonts w:hint="eastAsia" w:asciiTheme="minorEastAsia" w:hAnsiTheme="minorEastAsia" w:eastAsiaTheme="minorEastAsia" w:cstheme="minorEastAsia"/>
          <w:color w:val="auto"/>
          <w:kern w:val="2"/>
          <w:sz w:val="24"/>
          <w:szCs w:val="24"/>
          <w:highlight w:val="none"/>
          <w:lang w:val="en-US" w:eastAsia="zh-CN" w:bidi="ar-SA"/>
        </w:rPr>
      </w:pPr>
      <w:r>
        <w:rPr>
          <w:rStyle w:val="21"/>
          <w:rFonts w:hint="eastAsia" w:asciiTheme="minorEastAsia" w:hAnsiTheme="minorEastAsia" w:eastAsiaTheme="minorEastAsia" w:cstheme="minorEastAsia"/>
          <w:color w:val="auto"/>
          <w:kern w:val="2"/>
          <w:sz w:val="24"/>
          <w:szCs w:val="24"/>
          <w:highlight w:val="none"/>
          <w:lang w:val="en-US" w:eastAsia="zh-CN" w:bidi="ar-SA"/>
        </w:rPr>
        <w:t>1.11.2 承包人在投标文件中采用专利技术的，专利技术的使用费包含在投标报价内。</w:t>
      </w:r>
    </w:p>
    <w:p>
      <w:pPr>
        <w:pStyle w:val="65"/>
        <w:tabs>
          <w:tab w:val="left" w:pos="8280"/>
        </w:tabs>
        <w:spacing w:line="360" w:lineRule="auto"/>
        <w:ind w:firstLine="360" w:firstLineChars="150"/>
        <w:rPr>
          <w:rStyle w:val="21"/>
          <w:rFonts w:hint="eastAsia" w:asciiTheme="minorEastAsia" w:hAnsiTheme="minorEastAsia" w:eastAsiaTheme="minorEastAsia" w:cstheme="minorEastAsia"/>
          <w:color w:val="auto"/>
          <w:kern w:val="2"/>
          <w:sz w:val="24"/>
          <w:szCs w:val="24"/>
          <w:highlight w:val="none"/>
          <w:lang w:val="en-US" w:eastAsia="zh-CN" w:bidi="ar-SA"/>
        </w:rPr>
      </w:pPr>
      <w:r>
        <w:rPr>
          <w:rStyle w:val="21"/>
          <w:rFonts w:hint="eastAsia" w:asciiTheme="minorEastAsia" w:hAnsiTheme="minorEastAsia" w:eastAsiaTheme="minorEastAsia" w:cstheme="minorEastAsia"/>
          <w:color w:val="auto"/>
          <w:kern w:val="2"/>
          <w:sz w:val="24"/>
          <w:szCs w:val="24"/>
          <w:highlight w:val="none"/>
          <w:lang w:val="en-US" w:eastAsia="zh-CN" w:bidi="ar-SA"/>
        </w:rPr>
        <w:t>1.11.3 承包人的技术秘密和声明需要保密的资料和信息，发包人和监理人不得为合同以外的目的泄露给他人。</w:t>
      </w:r>
    </w:p>
    <w:p>
      <w:pPr>
        <w:pStyle w:val="65"/>
        <w:tabs>
          <w:tab w:val="left" w:pos="8280"/>
        </w:tabs>
        <w:spacing w:line="360" w:lineRule="auto"/>
        <w:ind w:firstLine="360" w:firstLineChars="150"/>
        <w:rPr>
          <w:rStyle w:val="21"/>
          <w:rFonts w:hint="eastAsia" w:asciiTheme="minorEastAsia" w:hAnsiTheme="minorEastAsia" w:eastAsiaTheme="minorEastAsia" w:cstheme="minorEastAsia"/>
          <w:color w:val="auto"/>
          <w:kern w:val="2"/>
          <w:sz w:val="24"/>
          <w:szCs w:val="24"/>
          <w:highlight w:val="none"/>
          <w:lang w:val="en-US" w:eastAsia="zh-CN" w:bidi="ar-SA"/>
        </w:rPr>
      </w:pPr>
      <w:r>
        <w:rPr>
          <w:rStyle w:val="21"/>
          <w:rFonts w:hint="eastAsia" w:asciiTheme="minorEastAsia" w:hAnsiTheme="minorEastAsia" w:eastAsiaTheme="minorEastAsia" w:cstheme="minorEastAsia"/>
          <w:color w:val="auto"/>
          <w:kern w:val="2"/>
          <w:sz w:val="24"/>
          <w:szCs w:val="24"/>
          <w:highlight w:val="none"/>
          <w:lang w:val="en-US" w:eastAsia="zh-CN" w:bidi="ar-SA"/>
        </w:rPr>
        <w:t xml:space="preserve">1.11.4合同实施过程中，发包人要求承包人采用专利技术的，发包人应办理相应的使用手续，承包人应按发包人约定的条件使用，并承担使用专利技术的相关试验工作，所需费用由发包人承担。    </w:t>
      </w:r>
    </w:p>
    <w:p>
      <w:pPr>
        <w:pStyle w:val="65"/>
        <w:tabs>
          <w:tab w:val="left" w:pos="8280"/>
        </w:tabs>
        <w:spacing w:line="360" w:lineRule="auto"/>
        <w:ind w:right="-315" w:rightChars="-150"/>
        <w:rPr>
          <w:rStyle w:val="21"/>
          <w:rFonts w:hint="eastAsia" w:asciiTheme="minorEastAsia" w:hAnsiTheme="minorEastAsia" w:eastAsiaTheme="minorEastAsia" w:cstheme="minorEastAsia"/>
          <w:b/>
          <w:color w:val="auto"/>
          <w:kern w:val="2"/>
          <w:sz w:val="24"/>
          <w:szCs w:val="24"/>
          <w:highlight w:val="none"/>
          <w:lang w:val="en-US" w:eastAsia="zh-CN" w:bidi="ar-SA"/>
        </w:rPr>
      </w:pPr>
      <w:r>
        <w:rPr>
          <w:rStyle w:val="21"/>
          <w:rFonts w:hint="eastAsia" w:asciiTheme="minorEastAsia" w:hAnsiTheme="minorEastAsia" w:eastAsiaTheme="minorEastAsia" w:cstheme="minorEastAsia"/>
          <w:b/>
          <w:color w:val="auto"/>
          <w:kern w:val="2"/>
          <w:sz w:val="24"/>
          <w:szCs w:val="24"/>
          <w:highlight w:val="none"/>
          <w:lang w:val="en-US" w:eastAsia="zh-CN" w:bidi="ar-SA"/>
        </w:rPr>
        <w:t>1.12 图纸和文件的保密</w:t>
      </w:r>
    </w:p>
    <w:p>
      <w:pPr>
        <w:pStyle w:val="65"/>
        <w:tabs>
          <w:tab w:val="left" w:pos="8280"/>
        </w:tabs>
        <w:spacing w:line="360" w:lineRule="auto"/>
        <w:ind w:firstLine="360" w:firstLineChars="150"/>
        <w:rPr>
          <w:rStyle w:val="21"/>
          <w:rFonts w:hint="eastAsia" w:asciiTheme="minorEastAsia" w:hAnsiTheme="minorEastAsia" w:eastAsiaTheme="minorEastAsia" w:cstheme="minorEastAsia"/>
          <w:color w:val="auto"/>
          <w:kern w:val="2"/>
          <w:sz w:val="24"/>
          <w:szCs w:val="24"/>
          <w:highlight w:val="none"/>
          <w:lang w:val="en-US" w:eastAsia="zh-CN" w:bidi="ar-SA"/>
        </w:rPr>
      </w:pPr>
      <w:r>
        <w:rPr>
          <w:rStyle w:val="21"/>
          <w:rFonts w:hint="eastAsia" w:asciiTheme="minorEastAsia" w:hAnsiTheme="minorEastAsia" w:eastAsiaTheme="minorEastAsia" w:cstheme="minorEastAsia"/>
          <w:color w:val="auto"/>
          <w:kern w:val="2"/>
          <w:sz w:val="24"/>
          <w:szCs w:val="24"/>
          <w:highlight w:val="none"/>
          <w:lang w:val="en-US" w:eastAsia="zh-CN" w:bidi="ar-SA"/>
        </w:rPr>
        <w:t>1.12.1 发包人提供的图纸和文件，未经发包人同意，承包人不得为合同以外的目的泄露给他人或公开发表与引用。</w:t>
      </w:r>
    </w:p>
    <w:p>
      <w:pPr>
        <w:pStyle w:val="65"/>
        <w:tabs>
          <w:tab w:val="left" w:pos="8280"/>
        </w:tabs>
        <w:spacing w:line="360" w:lineRule="auto"/>
        <w:ind w:firstLine="360" w:firstLineChars="150"/>
        <w:rPr>
          <w:rStyle w:val="21"/>
          <w:rFonts w:hint="eastAsia" w:asciiTheme="minorEastAsia" w:hAnsiTheme="minorEastAsia" w:eastAsiaTheme="minorEastAsia" w:cstheme="minorEastAsia"/>
          <w:color w:val="auto"/>
          <w:kern w:val="2"/>
          <w:sz w:val="24"/>
          <w:szCs w:val="24"/>
          <w:highlight w:val="none"/>
          <w:lang w:val="en-US" w:eastAsia="zh-CN" w:bidi="ar-SA"/>
        </w:rPr>
      </w:pPr>
      <w:r>
        <w:rPr>
          <w:rStyle w:val="21"/>
          <w:rFonts w:hint="eastAsia" w:asciiTheme="minorEastAsia" w:hAnsiTheme="minorEastAsia" w:eastAsiaTheme="minorEastAsia" w:cstheme="minorEastAsia"/>
          <w:color w:val="auto"/>
          <w:kern w:val="2"/>
          <w:sz w:val="24"/>
          <w:szCs w:val="24"/>
          <w:highlight w:val="none"/>
          <w:lang w:val="en-US" w:eastAsia="zh-CN" w:bidi="ar-SA"/>
        </w:rPr>
        <w:t>1.12.2 承包人提供的文件，未经承包人同意，发包人和监理人不得为合同以外的目的泄露给他人或公开发表与引用。</w:t>
      </w:r>
    </w:p>
    <w:p>
      <w:pPr>
        <w:pStyle w:val="66"/>
        <w:rPr>
          <w:rStyle w:val="21"/>
          <w:rFonts w:hint="eastAsia" w:asciiTheme="minorEastAsia" w:hAnsiTheme="minorEastAsia" w:eastAsiaTheme="minorEastAsia" w:cstheme="minorEastAsia"/>
          <w:color w:val="auto"/>
          <w:kern w:val="2"/>
          <w:sz w:val="24"/>
          <w:szCs w:val="24"/>
          <w:highlight w:val="none"/>
          <w:lang w:val="en-US" w:eastAsia="zh-CN" w:bidi="ar-SA"/>
        </w:rPr>
      </w:pPr>
      <w:bookmarkStart w:id="270" w:name="_Toc27529"/>
      <w:r>
        <w:rPr>
          <w:rStyle w:val="21"/>
          <w:rFonts w:hint="eastAsia" w:asciiTheme="minorEastAsia" w:hAnsiTheme="minorEastAsia" w:eastAsiaTheme="minorEastAsia" w:cstheme="minorEastAsia"/>
          <w:color w:val="auto"/>
          <w:kern w:val="2"/>
          <w:sz w:val="24"/>
          <w:szCs w:val="24"/>
          <w:highlight w:val="none"/>
          <w:lang w:val="en-US" w:eastAsia="zh-CN" w:bidi="ar-SA"/>
        </w:rPr>
        <w:t>2 发包人义务</w:t>
      </w:r>
      <w:bookmarkEnd w:id="270"/>
      <w:r>
        <w:rPr>
          <w:rStyle w:val="21"/>
          <w:rFonts w:hint="eastAsia" w:asciiTheme="minorEastAsia" w:hAnsiTheme="minorEastAsia" w:eastAsiaTheme="minorEastAsia" w:cstheme="minorEastAsia"/>
          <w:color w:val="auto"/>
          <w:kern w:val="2"/>
          <w:sz w:val="24"/>
          <w:szCs w:val="24"/>
          <w:highlight w:val="none"/>
          <w:lang w:val="en-US" w:eastAsia="zh-CN" w:bidi="ar-SA"/>
        </w:rPr>
        <w:t xml:space="preserve">   </w:t>
      </w:r>
    </w:p>
    <w:p>
      <w:pPr>
        <w:pStyle w:val="65"/>
        <w:tabs>
          <w:tab w:val="left" w:pos="8280"/>
        </w:tabs>
        <w:spacing w:line="360" w:lineRule="auto"/>
        <w:rPr>
          <w:rStyle w:val="21"/>
          <w:rFonts w:hint="eastAsia" w:asciiTheme="minorEastAsia" w:hAnsiTheme="minorEastAsia" w:eastAsiaTheme="minorEastAsia" w:cstheme="minorEastAsia"/>
          <w:color w:val="auto"/>
          <w:kern w:val="2"/>
          <w:sz w:val="24"/>
          <w:szCs w:val="24"/>
          <w:highlight w:val="none"/>
          <w:lang w:val="en-US" w:eastAsia="zh-CN" w:bidi="ar-SA"/>
        </w:rPr>
      </w:pPr>
      <w:r>
        <w:rPr>
          <w:rStyle w:val="21"/>
          <w:rFonts w:hint="eastAsia" w:asciiTheme="minorEastAsia" w:hAnsiTheme="minorEastAsia" w:eastAsiaTheme="minorEastAsia" w:cstheme="minorEastAsia"/>
          <w:b/>
          <w:color w:val="auto"/>
          <w:kern w:val="2"/>
          <w:sz w:val="24"/>
          <w:szCs w:val="24"/>
          <w:highlight w:val="none"/>
          <w:lang w:val="en-US" w:eastAsia="zh-CN" w:bidi="ar-SA"/>
        </w:rPr>
        <w:t>2.1遵守法律</w:t>
      </w:r>
      <w:r>
        <w:rPr>
          <w:rStyle w:val="21"/>
          <w:rFonts w:hint="eastAsia" w:asciiTheme="minorEastAsia" w:hAnsiTheme="minorEastAsia" w:eastAsiaTheme="minorEastAsia" w:cstheme="minorEastAsia"/>
          <w:color w:val="auto"/>
          <w:kern w:val="2"/>
          <w:sz w:val="24"/>
          <w:szCs w:val="24"/>
          <w:highlight w:val="none"/>
          <w:lang w:val="en-US" w:eastAsia="zh-CN" w:bidi="ar-SA"/>
        </w:rPr>
        <w:t xml:space="preserve">    </w:t>
      </w:r>
    </w:p>
    <w:p>
      <w:pPr>
        <w:pStyle w:val="65"/>
        <w:tabs>
          <w:tab w:val="left" w:pos="8280"/>
        </w:tabs>
        <w:spacing w:line="360" w:lineRule="auto"/>
        <w:ind w:firstLine="360" w:firstLineChars="150"/>
        <w:rPr>
          <w:rStyle w:val="21"/>
          <w:rFonts w:hint="eastAsia" w:asciiTheme="minorEastAsia" w:hAnsiTheme="minorEastAsia" w:eastAsiaTheme="minorEastAsia" w:cstheme="minorEastAsia"/>
          <w:color w:val="auto"/>
          <w:kern w:val="2"/>
          <w:sz w:val="24"/>
          <w:szCs w:val="24"/>
          <w:highlight w:val="none"/>
          <w:lang w:val="en-US" w:eastAsia="zh-CN" w:bidi="ar-SA"/>
        </w:rPr>
      </w:pPr>
      <w:r>
        <w:rPr>
          <w:rStyle w:val="21"/>
          <w:rFonts w:hint="eastAsia" w:asciiTheme="minorEastAsia" w:hAnsiTheme="minorEastAsia" w:eastAsiaTheme="minorEastAsia" w:cstheme="minorEastAsia"/>
          <w:color w:val="auto"/>
          <w:kern w:val="2"/>
          <w:sz w:val="24"/>
          <w:szCs w:val="24"/>
          <w:highlight w:val="none"/>
          <w:lang w:val="en-US" w:eastAsia="zh-CN" w:bidi="ar-SA"/>
        </w:rPr>
        <w:t>发包人在履行合同过程中应遵守法律，并保证承包人免于承担因发包人违反法律而引起的任何责任。</w:t>
      </w:r>
    </w:p>
    <w:p>
      <w:pPr>
        <w:pStyle w:val="65"/>
        <w:tabs>
          <w:tab w:val="left" w:pos="8280"/>
        </w:tabs>
        <w:spacing w:line="360" w:lineRule="auto"/>
        <w:rPr>
          <w:rStyle w:val="21"/>
          <w:rFonts w:hint="eastAsia" w:asciiTheme="minorEastAsia" w:hAnsiTheme="minorEastAsia" w:eastAsiaTheme="minorEastAsia" w:cstheme="minorEastAsia"/>
          <w:color w:val="auto"/>
          <w:kern w:val="2"/>
          <w:sz w:val="24"/>
          <w:szCs w:val="24"/>
          <w:highlight w:val="none"/>
          <w:lang w:val="en-US" w:eastAsia="zh-CN" w:bidi="ar-SA"/>
        </w:rPr>
      </w:pPr>
      <w:r>
        <w:rPr>
          <w:rStyle w:val="21"/>
          <w:rFonts w:hint="eastAsia" w:asciiTheme="minorEastAsia" w:hAnsiTheme="minorEastAsia" w:eastAsiaTheme="minorEastAsia" w:cstheme="minorEastAsia"/>
          <w:b/>
          <w:color w:val="auto"/>
          <w:kern w:val="2"/>
          <w:sz w:val="24"/>
          <w:szCs w:val="24"/>
          <w:highlight w:val="none"/>
          <w:lang w:val="en-US" w:eastAsia="zh-CN" w:bidi="ar-SA"/>
        </w:rPr>
        <w:t>2.2发出开工通知</w:t>
      </w:r>
    </w:p>
    <w:p>
      <w:pPr>
        <w:pStyle w:val="65"/>
        <w:tabs>
          <w:tab w:val="left" w:pos="8280"/>
        </w:tabs>
        <w:spacing w:line="360" w:lineRule="auto"/>
        <w:ind w:firstLine="360" w:firstLineChars="150"/>
        <w:rPr>
          <w:rStyle w:val="21"/>
          <w:rFonts w:hint="eastAsia" w:asciiTheme="minorEastAsia" w:hAnsiTheme="minorEastAsia" w:eastAsiaTheme="minorEastAsia" w:cstheme="minorEastAsia"/>
          <w:color w:val="auto"/>
          <w:kern w:val="2"/>
          <w:sz w:val="24"/>
          <w:szCs w:val="24"/>
          <w:highlight w:val="none"/>
          <w:lang w:val="en-US" w:eastAsia="zh-CN" w:bidi="ar-SA"/>
        </w:rPr>
      </w:pPr>
      <w:r>
        <w:rPr>
          <w:rStyle w:val="21"/>
          <w:rFonts w:hint="eastAsia" w:asciiTheme="minorEastAsia" w:hAnsiTheme="minorEastAsia" w:eastAsiaTheme="minorEastAsia" w:cstheme="minorEastAsia"/>
          <w:color w:val="auto"/>
          <w:kern w:val="2"/>
          <w:sz w:val="24"/>
          <w:szCs w:val="24"/>
          <w:highlight w:val="none"/>
          <w:lang w:val="en-US" w:eastAsia="zh-CN" w:bidi="ar-SA"/>
        </w:rPr>
        <w:t>发包人应委托监理人按第11.1款的约定向承包人发出开工通知。</w:t>
      </w:r>
    </w:p>
    <w:p>
      <w:pPr>
        <w:pStyle w:val="65"/>
        <w:tabs>
          <w:tab w:val="left" w:pos="8280"/>
        </w:tabs>
        <w:spacing w:line="360" w:lineRule="auto"/>
        <w:ind w:right="-315" w:rightChars="-150"/>
        <w:rPr>
          <w:rStyle w:val="21"/>
          <w:rFonts w:hint="eastAsia" w:asciiTheme="minorEastAsia" w:hAnsiTheme="minorEastAsia" w:eastAsiaTheme="minorEastAsia" w:cstheme="minorEastAsia"/>
          <w:b/>
          <w:color w:val="auto"/>
          <w:kern w:val="2"/>
          <w:sz w:val="24"/>
          <w:szCs w:val="24"/>
          <w:highlight w:val="none"/>
          <w:lang w:val="en-US" w:eastAsia="zh-CN" w:bidi="ar-SA"/>
        </w:rPr>
      </w:pPr>
      <w:r>
        <w:rPr>
          <w:rStyle w:val="21"/>
          <w:rFonts w:hint="eastAsia" w:asciiTheme="minorEastAsia" w:hAnsiTheme="minorEastAsia" w:eastAsiaTheme="minorEastAsia" w:cstheme="minorEastAsia"/>
          <w:b/>
          <w:color w:val="auto"/>
          <w:kern w:val="2"/>
          <w:sz w:val="24"/>
          <w:szCs w:val="24"/>
          <w:highlight w:val="none"/>
          <w:lang w:val="en-US" w:eastAsia="zh-CN" w:bidi="ar-SA"/>
        </w:rPr>
        <w:t>2.3提供施工场地</w:t>
      </w:r>
    </w:p>
    <w:p>
      <w:pPr>
        <w:pStyle w:val="65"/>
        <w:tabs>
          <w:tab w:val="left" w:pos="8280"/>
        </w:tabs>
        <w:spacing w:line="360" w:lineRule="auto"/>
        <w:ind w:firstLine="360" w:firstLineChars="150"/>
        <w:rPr>
          <w:rStyle w:val="21"/>
          <w:rFonts w:hint="eastAsia" w:asciiTheme="minorEastAsia" w:hAnsiTheme="minorEastAsia" w:eastAsiaTheme="minorEastAsia" w:cstheme="minorEastAsia"/>
          <w:color w:val="auto"/>
          <w:kern w:val="2"/>
          <w:sz w:val="24"/>
          <w:szCs w:val="24"/>
          <w:highlight w:val="none"/>
          <w:lang w:val="en-US" w:eastAsia="zh-CN" w:bidi="ar-SA"/>
        </w:rPr>
      </w:pPr>
      <w:r>
        <w:rPr>
          <w:rStyle w:val="21"/>
          <w:rFonts w:hint="eastAsia" w:asciiTheme="minorEastAsia" w:hAnsiTheme="minorEastAsia" w:eastAsiaTheme="minorEastAsia" w:cstheme="minorEastAsia"/>
          <w:color w:val="auto"/>
          <w:kern w:val="2"/>
          <w:sz w:val="24"/>
          <w:szCs w:val="24"/>
          <w:highlight w:val="none"/>
          <w:lang w:val="en-US" w:eastAsia="zh-CN" w:bidi="ar-SA"/>
        </w:rPr>
        <w:t>2.3.1发包人应在合同双方签订合同协议书后的14天内，将本合同工程的施工场地范围图提交给承包人。发包人提供的施工场地范围图应标明场地范围内永久占地与临时占地的范围和界限，以及指明提供给承包人用于施工场地布置的范围和界限及其有关资料。</w:t>
      </w:r>
    </w:p>
    <w:p>
      <w:pPr>
        <w:pStyle w:val="65"/>
        <w:tabs>
          <w:tab w:val="left" w:pos="8280"/>
        </w:tabs>
        <w:spacing w:line="360" w:lineRule="auto"/>
        <w:ind w:firstLine="360" w:firstLineChars="150"/>
        <w:rPr>
          <w:rStyle w:val="21"/>
          <w:rFonts w:hint="eastAsia" w:asciiTheme="minorEastAsia" w:hAnsiTheme="minorEastAsia" w:eastAsiaTheme="minorEastAsia" w:cstheme="minorEastAsia"/>
          <w:color w:val="auto"/>
          <w:kern w:val="2"/>
          <w:sz w:val="24"/>
          <w:szCs w:val="24"/>
          <w:highlight w:val="none"/>
          <w:lang w:val="en-US" w:eastAsia="zh-CN" w:bidi="ar-SA"/>
        </w:rPr>
      </w:pPr>
      <w:r>
        <w:rPr>
          <w:rStyle w:val="21"/>
          <w:rFonts w:hint="eastAsia" w:asciiTheme="minorEastAsia" w:hAnsiTheme="minorEastAsia" w:eastAsiaTheme="minorEastAsia" w:cstheme="minorEastAsia"/>
          <w:color w:val="auto"/>
          <w:kern w:val="2"/>
          <w:sz w:val="24"/>
          <w:szCs w:val="24"/>
          <w:highlight w:val="none"/>
          <w:lang w:val="en-US" w:eastAsia="zh-CN" w:bidi="ar-SA"/>
        </w:rPr>
        <w:t>2.3.2发包人提供的施工用地范围在专用合同条款中约定。</w:t>
      </w:r>
    </w:p>
    <w:p>
      <w:pPr>
        <w:pStyle w:val="65"/>
        <w:tabs>
          <w:tab w:val="left" w:pos="8280"/>
        </w:tabs>
        <w:spacing w:line="360" w:lineRule="auto"/>
        <w:ind w:firstLine="360" w:firstLineChars="150"/>
        <w:rPr>
          <w:rStyle w:val="21"/>
          <w:rFonts w:hint="eastAsia" w:asciiTheme="minorEastAsia" w:hAnsiTheme="minorEastAsia" w:eastAsiaTheme="minorEastAsia" w:cstheme="minorEastAsia"/>
          <w:color w:val="auto"/>
          <w:kern w:val="2"/>
          <w:sz w:val="24"/>
          <w:szCs w:val="24"/>
          <w:highlight w:val="none"/>
          <w:lang w:val="en-US" w:eastAsia="zh-CN" w:bidi="ar-SA"/>
        </w:rPr>
      </w:pPr>
      <w:r>
        <w:rPr>
          <w:rStyle w:val="21"/>
          <w:rFonts w:hint="eastAsia" w:asciiTheme="minorEastAsia" w:hAnsiTheme="minorEastAsia" w:eastAsiaTheme="minorEastAsia" w:cstheme="minorEastAsia"/>
          <w:color w:val="auto"/>
          <w:kern w:val="2"/>
          <w:sz w:val="24"/>
          <w:szCs w:val="24"/>
          <w:highlight w:val="none"/>
          <w:lang w:val="en-US" w:eastAsia="zh-CN" w:bidi="ar-SA"/>
        </w:rPr>
        <w:t>2.3.3除专用合同条款另有约定外，发包人应按技术标淮和要求(合同技术条款)的约定，向承包人提供施工场地内的工程地质图纸和报告，以及地下障碍物图纸等施工场地有关资料，并保证资料的真实、准确、完整。</w:t>
      </w:r>
    </w:p>
    <w:p>
      <w:pPr>
        <w:pStyle w:val="65"/>
        <w:tabs>
          <w:tab w:val="left" w:pos="8280"/>
        </w:tabs>
        <w:spacing w:line="360" w:lineRule="auto"/>
        <w:ind w:right="-315" w:rightChars="-150"/>
        <w:rPr>
          <w:rStyle w:val="21"/>
          <w:rFonts w:hint="eastAsia" w:asciiTheme="minorEastAsia" w:hAnsiTheme="minorEastAsia" w:eastAsiaTheme="minorEastAsia" w:cstheme="minorEastAsia"/>
          <w:b/>
          <w:color w:val="auto"/>
          <w:kern w:val="2"/>
          <w:sz w:val="24"/>
          <w:szCs w:val="24"/>
          <w:highlight w:val="none"/>
          <w:lang w:val="en-US" w:eastAsia="zh-CN" w:bidi="ar-SA"/>
        </w:rPr>
      </w:pPr>
      <w:r>
        <w:rPr>
          <w:rStyle w:val="21"/>
          <w:rFonts w:hint="eastAsia" w:asciiTheme="minorEastAsia" w:hAnsiTheme="minorEastAsia" w:eastAsiaTheme="minorEastAsia" w:cstheme="minorEastAsia"/>
          <w:b/>
          <w:color w:val="auto"/>
          <w:kern w:val="2"/>
          <w:sz w:val="24"/>
          <w:szCs w:val="24"/>
          <w:highlight w:val="none"/>
          <w:lang w:val="en-US" w:eastAsia="zh-CN" w:bidi="ar-SA"/>
        </w:rPr>
        <w:t>2.4协助承包人办理证件和批件</w:t>
      </w:r>
    </w:p>
    <w:p>
      <w:pPr>
        <w:pStyle w:val="65"/>
        <w:tabs>
          <w:tab w:val="left" w:pos="8280"/>
        </w:tabs>
        <w:spacing w:line="360" w:lineRule="auto"/>
        <w:ind w:firstLine="360" w:firstLineChars="150"/>
        <w:rPr>
          <w:rStyle w:val="21"/>
          <w:rFonts w:hint="eastAsia" w:asciiTheme="minorEastAsia" w:hAnsiTheme="minorEastAsia" w:eastAsiaTheme="minorEastAsia" w:cstheme="minorEastAsia"/>
          <w:color w:val="auto"/>
          <w:kern w:val="2"/>
          <w:sz w:val="24"/>
          <w:szCs w:val="24"/>
          <w:highlight w:val="none"/>
          <w:lang w:val="en-US" w:eastAsia="zh-CN" w:bidi="ar-SA"/>
        </w:rPr>
      </w:pPr>
      <w:r>
        <w:rPr>
          <w:rStyle w:val="21"/>
          <w:rFonts w:hint="eastAsia" w:asciiTheme="minorEastAsia" w:hAnsiTheme="minorEastAsia" w:eastAsiaTheme="minorEastAsia" w:cstheme="minorEastAsia"/>
          <w:color w:val="auto"/>
          <w:kern w:val="2"/>
          <w:sz w:val="24"/>
          <w:szCs w:val="24"/>
          <w:highlight w:val="none"/>
          <w:lang w:val="en-US" w:eastAsia="zh-CN" w:bidi="ar-SA"/>
        </w:rPr>
        <w:t>发包人应协助承包人办理法律规定的有关施工证件和批件。</w:t>
      </w:r>
    </w:p>
    <w:p>
      <w:pPr>
        <w:pStyle w:val="65"/>
        <w:tabs>
          <w:tab w:val="left" w:pos="8280"/>
        </w:tabs>
        <w:spacing w:line="360" w:lineRule="auto"/>
        <w:rPr>
          <w:rStyle w:val="21"/>
          <w:rFonts w:hint="eastAsia" w:asciiTheme="minorEastAsia" w:hAnsiTheme="minorEastAsia" w:eastAsiaTheme="minorEastAsia" w:cstheme="minorEastAsia"/>
          <w:b/>
          <w:color w:val="auto"/>
          <w:kern w:val="2"/>
          <w:sz w:val="24"/>
          <w:szCs w:val="24"/>
          <w:highlight w:val="none"/>
          <w:lang w:val="en-US" w:eastAsia="zh-CN" w:bidi="ar-SA"/>
        </w:rPr>
      </w:pPr>
      <w:r>
        <w:rPr>
          <w:rStyle w:val="21"/>
          <w:rFonts w:hint="eastAsia" w:asciiTheme="minorEastAsia" w:hAnsiTheme="minorEastAsia" w:eastAsiaTheme="minorEastAsia" w:cstheme="minorEastAsia"/>
          <w:b/>
          <w:color w:val="auto"/>
          <w:kern w:val="2"/>
          <w:sz w:val="24"/>
          <w:szCs w:val="24"/>
          <w:highlight w:val="none"/>
          <w:lang w:val="en-US" w:eastAsia="zh-CN" w:bidi="ar-SA"/>
        </w:rPr>
        <w:t xml:space="preserve">2.5组织设计交底 </w:t>
      </w:r>
    </w:p>
    <w:p>
      <w:pPr>
        <w:pStyle w:val="65"/>
        <w:tabs>
          <w:tab w:val="left" w:pos="8280"/>
        </w:tabs>
        <w:spacing w:line="360" w:lineRule="auto"/>
        <w:ind w:firstLine="360" w:firstLineChars="150"/>
        <w:rPr>
          <w:rStyle w:val="21"/>
          <w:rFonts w:hint="eastAsia" w:asciiTheme="minorEastAsia" w:hAnsiTheme="minorEastAsia" w:eastAsiaTheme="minorEastAsia" w:cstheme="minorEastAsia"/>
          <w:color w:val="auto"/>
          <w:kern w:val="2"/>
          <w:sz w:val="24"/>
          <w:szCs w:val="24"/>
          <w:highlight w:val="none"/>
          <w:lang w:val="en-US" w:eastAsia="zh-CN" w:bidi="ar-SA"/>
        </w:rPr>
      </w:pPr>
      <w:r>
        <w:rPr>
          <w:rStyle w:val="21"/>
          <w:rFonts w:hint="eastAsia" w:asciiTheme="minorEastAsia" w:hAnsiTheme="minorEastAsia" w:eastAsiaTheme="minorEastAsia" w:cstheme="minorEastAsia"/>
          <w:color w:val="auto"/>
          <w:kern w:val="2"/>
          <w:sz w:val="24"/>
          <w:szCs w:val="24"/>
          <w:highlight w:val="none"/>
          <w:lang w:val="en-US" w:eastAsia="zh-CN" w:bidi="ar-SA"/>
        </w:rPr>
        <w:t>发包人应根据合同进度计划，组织设计单位向承包人进行设计交底。</w:t>
      </w:r>
    </w:p>
    <w:p>
      <w:pPr>
        <w:pStyle w:val="65"/>
        <w:tabs>
          <w:tab w:val="left" w:pos="8280"/>
        </w:tabs>
        <w:spacing w:line="360" w:lineRule="auto"/>
        <w:rPr>
          <w:rStyle w:val="21"/>
          <w:rFonts w:hint="eastAsia" w:asciiTheme="minorEastAsia" w:hAnsiTheme="minorEastAsia" w:eastAsiaTheme="minorEastAsia" w:cstheme="minorEastAsia"/>
          <w:b/>
          <w:color w:val="auto"/>
          <w:kern w:val="2"/>
          <w:sz w:val="24"/>
          <w:szCs w:val="24"/>
          <w:highlight w:val="none"/>
          <w:lang w:val="en-US" w:eastAsia="zh-CN" w:bidi="ar-SA"/>
        </w:rPr>
      </w:pPr>
      <w:r>
        <w:rPr>
          <w:rStyle w:val="21"/>
          <w:rFonts w:hint="eastAsia" w:asciiTheme="minorEastAsia" w:hAnsiTheme="minorEastAsia" w:eastAsiaTheme="minorEastAsia" w:cstheme="minorEastAsia"/>
          <w:b/>
          <w:color w:val="auto"/>
          <w:kern w:val="2"/>
          <w:sz w:val="24"/>
          <w:szCs w:val="24"/>
          <w:highlight w:val="none"/>
          <w:lang w:val="en-US" w:eastAsia="zh-CN" w:bidi="ar-SA"/>
        </w:rPr>
        <w:t>2.6支付合同价款</w:t>
      </w:r>
    </w:p>
    <w:p>
      <w:pPr>
        <w:pStyle w:val="65"/>
        <w:tabs>
          <w:tab w:val="left" w:pos="8280"/>
        </w:tabs>
        <w:spacing w:line="360" w:lineRule="auto"/>
        <w:ind w:firstLine="360" w:firstLineChars="150"/>
        <w:rPr>
          <w:rStyle w:val="21"/>
          <w:rFonts w:hint="eastAsia" w:asciiTheme="minorEastAsia" w:hAnsiTheme="minorEastAsia" w:eastAsiaTheme="minorEastAsia" w:cstheme="minorEastAsia"/>
          <w:color w:val="auto"/>
          <w:kern w:val="2"/>
          <w:sz w:val="24"/>
          <w:szCs w:val="24"/>
          <w:highlight w:val="none"/>
          <w:lang w:val="en-US" w:eastAsia="zh-CN" w:bidi="ar-SA"/>
        </w:rPr>
      </w:pPr>
      <w:r>
        <w:rPr>
          <w:rStyle w:val="21"/>
          <w:rFonts w:hint="eastAsia" w:asciiTheme="minorEastAsia" w:hAnsiTheme="minorEastAsia" w:eastAsiaTheme="minorEastAsia" w:cstheme="minorEastAsia"/>
          <w:color w:val="auto"/>
          <w:kern w:val="2"/>
          <w:sz w:val="24"/>
          <w:szCs w:val="24"/>
          <w:highlight w:val="none"/>
          <w:lang w:val="en-US" w:eastAsia="zh-CN" w:bidi="ar-SA"/>
        </w:rPr>
        <w:t>发包人应按合同约定向承包人及时支付合同价款。</w:t>
      </w:r>
    </w:p>
    <w:p>
      <w:pPr>
        <w:pStyle w:val="65"/>
        <w:tabs>
          <w:tab w:val="left" w:pos="8280"/>
        </w:tabs>
        <w:spacing w:line="360" w:lineRule="auto"/>
        <w:rPr>
          <w:rStyle w:val="21"/>
          <w:rFonts w:hint="eastAsia" w:asciiTheme="minorEastAsia" w:hAnsiTheme="minorEastAsia" w:eastAsiaTheme="minorEastAsia" w:cstheme="minorEastAsia"/>
          <w:b/>
          <w:color w:val="auto"/>
          <w:kern w:val="2"/>
          <w:sz w:val="24"/>
          <w:szCs w:val="24"/>
          <w:highlight w:val="none"/>
          <w:lang w:val="en-US" w:eastAsia="zh-CN" w:bidi="ar-SA"/>
        </w:rPr>
      </w:pPr>
      <w:r>
        <w:rPr>
          <w:rStyle w:val="21"/>
          <w:rFonts w:hint="eastAsia" w:asciiTheme="minorEastAsia" w:hAnsiTheme="minorEastAsia" w:eastAsiaTheme="minorEastAsia" w:cstheme="minorEastAsia"/>
          <w:b/>
          <w:color w:val="auto"/>
          <w:kern w:val="2"/>
          <w:sz w:val="24"/>
          <w:szCs w:val="24"/>
          <w:highlight w:val="none"/>
          <w:lang w:val="en-US" w:eastAsia="zh-CN" w:bidi="ar-SA"/>
        </w:rPr>
        <w:t>2.7组织竣工验收(组织法人验收)</w:t>
      </w:r>
    </w:p>
    <w:p>
      <w:pPr>
        <w:pStyle w:val="65"/>
        <w:tabs>
          <w:tab w:val="left" w:pos="8280"/>
        </w:tabs>
        <w:spacing w:line="360" w:lineRule="auto"/>
        <w:ind w:firstLine="360" w:firstLineChars="150"/>
        <w:rPr>
          <w:rStyle w:val="21"/>
          <w:rFonts w:hint="eastAsia" w:asciiTheme="minorEastAsia" w:hAnsiTheme="minorEastAsia" w:eastAsiaTheme="minorEastAsia" w:cstheme="minorEastAsia"/>
          <w:color w:val="auto"/>
          <w:kern w:val="2"/>
          <w:sz w:val="24"/>
          <w:szCs w:val="24"/>
          <w:highlight w:val="none"/>
          <w:lang w:val="en-US" w:eastAsia="zh-CN" w:bidi="ar-SA"/>
        </w:rPr>
      </w:pPr>
      <w:r>
        <w:rPr>
          <w:rStyle w:val="21"/>
          <w:rFonts w:hint="eastAsia" w:asciiTheme="minorEastAsia" w:hAnsiTheme="minorEastAsia" w:eastAsiaTheme="minorEastAsia" w:cstheme="minorEastAsia"/>
          <w:color w:val="auto"/>
          <w:kern w:val="2"/>
          <w:sz w:val="24"/>
          <w:szCs w:val="24"/>
          <w:highlight w:val="none"/>
          <w:lang w:val="en-US" w:eastAsia="zh-CN" w:bidi="ar-SA"/>
        </w:rPr>
        <w:t>发包人应按合同约定及时组织竣工验收。</w:t>
      </w:r>
    </w:p>
    <w:p>
      <w:pPr>
        <w:pStyle w:val="65"/>
        <w:tabs>
          <w:tab w:val="left" w:pos="8280"/>
        </w:tabs>
        <w:spacing w:line="360" w:lineRule="auto"/>
        <w:rPr>
          <w:rStyle w:val="21"/>
          <w:rFonts w:hint="eastAsia" w:asciiTheme="minorEastAsia" w:hAnsiTheme="minorEastAsia" w:eastAsiaTheme="minorEastAsia" w:cstheme="minorEastAsia"/>
          <w:b/>
          <w:color w:val="auto"/>
          <w:kern w:val="2"/>
          <w:sz w:val="24"/>
          <w:szCs w:val="24"/>
          <w:highlight w:val="none"/>
          <w:lang w:val="en-US" w:eastAsia="zh-CN" w:bidi="ar-SA"/>
        </w:rPr>
      </w:pPr>
      <w:r>
        <w:rPr>
          <w:rStyle w:val="21"/>
          <w:rFonts w:hint="eastAsia" w:asciiTheme="minorEastAsia" w:hAnsiTheme="minorEastAsia" w:eastAsiaTheme="minorEastAsia" w:cstheme="minorEastAsia"/>
          <w:b/>
          <w:color w:val="auto"/>
          <w:kern w:val="2"/>
          <w:sz w:val="24"/>
          <w:szCs w:val="24"/>
          <w:highlight w:val="none"/>
          <w:lang w:val="en-US" w:eastAsia="zh-CN" w:bidi="ar-SA"/>
        </w:rPr>
        <w:t>2.8其他义务</w:t>
      </w:r>
    </w:p>
    <w:p>
      <w:pPr>
        <w:pStyle w:val="65"/>
        <w:tabs>
          <w:tab w:val="left" w:pos="8280"/>
        </w:tabs>
        <w:spacing w:line="360" w:lineRule="auto"/>
        <w:ind w:firstLine="360" w:firstLineChars="150"/>
        <w:rPr>
          <w:rStyle w:val="21"/>
          <w:rFonts w:hint="eastAsia" w:asciiTheme="minorEastAsia" w:hAnsiTheme="minorEastAsia" w:eastAsiaTheme="minorEastAsia" w:cstheme="minorEastAsia"/>
          <w:color w:val="auto"/>
          <w:kern w:val="2"/>
          <w:sz w:val="24"/>
          <w:szCs w:val="24"/>
          <w:highlight w:val="none"/>
          <w:lang w:val="en-US" w:eastAsia="zh-CN" w:bidi="ar-SA"/>
        </w:rPr>
      </w:pPr>
      <w:r>
        <w:rPr>
          <w:rStyle w:val="21"/>
          <w:rFonts w:hint="eastAsia" w:asciiTheme="minorEastAsia" w:hAnsiTheme="minorEastAsia" w:eastAsiaTheme="minorEastAsia" w:cstheme="minorEastAsia"/>
          <w:color w:val="auto"/>
          <w:kern w:val="2"/>
          <w:sz w:val="24"/>
          <w:szCs w:val="24"/>
          <w:highlight w:val="none"/>
          <w:lang w:val="en-US" w:eastAsia="zh-CN" w:bidi="ar-SA"/>
        </w:rPr>
        <w:t>其它义务在专用合同条款中补充约定。</w:t>
      </w:r>
    </w:p>
    <w:p>
      <w:pPr>
        <w:pStyle w:val="66"/>
        <w:rPr>
          <w:rStyle w:val="21"/>
          <w:rFonts w:hint="eastAsia" w:asciiTheme="minorEastAsia" w:hAnsiTheme="minorEastAsia" w:eastAsiaTheme="minorEastAsia" w:cstheme="minorEastAsia"/>
          <w:color w:val="auto"/>
          <w:kern w:val="2"/>
          <w:sz w:val="24"/>
          <w:szCs w:val="24"/>
          <w:highlight w:val="none"/>
          <w:lang w:val="en-US" w:eastAsia="zh-CN" w:bidi="ar-SA"/>
        </w:rPr>
      </w:pPr>
      <w:bookmarkStart w:id="271" w:name="_Toc14809"/>
      <w:r>
        <w:rPr>
          <w:rStyle w:val="21"/>
          <w:rFonts w:hint="eastAsia" w:asciiTheme="minorEastAsia" w:hAnsiTheme="minorEastAsia" w:eastAsiaTheme="minorEastAsia" w:cstheme="minorEastAsia"/>
          <w:color w:val="auto"/>
          <w:kern w:val="2"/>
          <w:sz w:val="24"/>
          <w:szCs w:val="24"/>
          <w:highlight w:val="none"/>
          <w:lang w:val="en-US" w:eastAsia="zh-CN" w:bidi="ar-SA"/>
        </w:rPr>
        <w:t>3 监理人</w:t>
      </w:r>
      <w:bookmarkEnd w:id="271"/>
    </w:p>
    <w:p>
      <w:pPr>
        <w:pStyle w:val="65"/>
        <w:tabs>
          <w:tab w:val="left" w:pos="8280"/>
        </w:tabs>
        <w:spacing w:line="360" w:lineRule="auto"/>
        <w:rPr>
          <w:rStyle w:val="21"/>
          <w:rFonts w:hint="eastAsia" w:asciiTheme="minorEastAsia" w:hAnsiTheme="minorEastAsia" w:eastAsiaTheme="minorEastAsia" w:cstheme="minorEastAsia"/>
          <w:b/>
          <w:color w:val="auto"/>
          <w:kern w:val="2"/>
          <w:sz w:val="24"/>
          <w:szCs w:val="24"/>
          <w:highlight w:val="none"/>
          <w:lang w:val="en-US" w:eastAsia="zh-CN" w:bidi="ar-SA"/>
        </w:rPr>
      </w:pPr>
      <w:r>
        <w:rPr>
          <w:rStyle w:val="21"/>
          <w:rFonts w:hint="eastAsia" w:asciiTheme="minorEastAsia" w:hAnsiTheme="minorEastAsia" w:eastAsiaTheme="minorEastAsia" w:cstheme="minorEastAsia"/>
          <w:b/>
          <w:color w:val="auto"/>
          <w:kern w:val="2"/>
          <w:sz w:val="24"/>
          <w:szCs w:val="24"/>
          <w:highlight w:val="none"/>
          <w:lang w:val="en-US" w:eastAsia="zh-CN" w:bidi="ar-SA"/>
        </w:rPr>
        <w:t>3．1监理人的职责和权力</w:t>
      </w:r>
    </w:p>
    <w:p>
      <w:pPr>
        <w:pStyle w:val="65"/>
        <w:tabs>
          <w:tab w:val="left" w:pos="8280"/>
        </w:tabs>
        <w:spacing w:line="360" w:lineRule="auto"/>
        <w:ind w:firstLine="360" w:firstLineChars="150"/>
        <w:rPr>
          <w:rStyle w:val="21"/>
          <w:rFonts w:hint="eastAsia" w:asciiTheme="minorEastAsia" w:hAnsiTheme="minorEastAsia" w:eastAsiaTheme="minorEastAsia" w:cstheme="minorEastAsia"/>
          <w:color w:val="auto"/>
          <w:kern w:val="2"/>
          <w:sz w:val="24"/>
          <w:szCs w:val="24"/>
          <w:highlight w:val="none"/>
          <w:lang w:val="en-US" w:eastAsia="zh-CN" w:bidi="ar-SA"/>
        </w:rPr>
      </w:pPr>
      <w:r>
        <w:rPr>
          <w:rStyle w:val="21"/>
          <w:rFonts w:hint="eastAsia" w:asciiTheme="minorEastAsia" w:hAnsiTheme="minorEastAsia" w:eastAsiaTheme="minorEastAsia" w:cstheme="minorEastAsia"/>
          <w:color w:val="auto"/>
          <w:kern w:val="2"/>
          <w:sz w:val="24"/>
          <w:szCs w:val="24"/>
          <w:highlight w:val="none"/>
          <w:lang w:val="en-US" w:eastAsia="zh-CN" w:bidi="ar-SA"/>
        </w:rPr>
        <w:t>3.1.1监理人受发包人的委托，享有合同约定的权力。监理人的权力范围在专用合同条款中明确。当监理人认为出现了危及生命、工程或毗邻财产等安全的紧急事件时，在不免除合同约定的承包人责任的情况下，监理人可以指示承包人实施为消除或减少这种危险所必须进行的工作，即使没有发包人的事先批准，承包人也应立即遵照执行。监理人应按第15条的约定增加相应的费用，并通知承包人。</w:t>
      </w:r>
    </w:p>
    <w:p>
      <w:pPr>
        <w:pStyle w:val="65"/>
        <w:tabs>
          <w:tab w:val="left" w:pos="8280"/>
        </w:tabs>
        <w:spacing w:line="360" w:lineRule="auto"/>
        <w:ind w:firstLine="360" w:firstLineChars="150"/>
        <w:rPr>
          <w:rStyle w:val="21"/>
          <w:rFonts w:hint="eastAsia" w:asciiTheme="minorEastAsia" w:hAnsiTheme="minorEastAsia" w:eastAsiaTheme="minorEastAsia" w:cstheme="minorEastAsia"/>
          <w:color w:val="auto"/>
          <w:kern w:val="2"/>
          <w:sz w:val="24"/>
          <w:szCs w:val="24"/>
          <w:highlight w:val="none"/>
          <w:lang w:val="en-US" w:eastAsia="zh-CN" w:bidi="ar-SA"/>
        </w:rPr>
      </w:pPr>
      <w:r>
        <w:rPr>
          <w:rStyle w:val="21"/>
          <w:rFonts w:hint="eastAsia" w:asciiTheme="minorEastAsia" w:hAnsiTheme="minorEastAsia" w:eastAsiaTheme="minorEastAsia" w:cstheme="minorEastAsia"/>
          <w:color w:val="auto"/>
          <w:kern w:val="2"/>
          <w:sz w:val="24"/>
          <w:szCs w:val="24"/>
          <w:highlight w:val="none"/>
          <w:lang w:val="en-US" w:eastAsia="zh-CN" w:bidi="ar-SA"/>
        </w:rPr>
        <w:t>3.1.2监理人发出的任何指示应视为已得到发包人的批准，但监理人无权免除或变更合同约定的发包人和承包人的权利、义务和责任。</w:t>
      </w:r>
    </w:p>
    <w:p>
      <w:pPr>
        <w:pStyle w:val="65"/>
        <w:tabs>
          <w:tab w:val="left" w:pos="8280"/>
        </w:tabs>
        <w:spacing w:line="360" w:lineRule="auto"/>
        <w:ind w:firstLine="360" w:firstLineChars="150"/>
        <w:rPr>
          <w:rStyle w:val="21"/>
          <w:rFonts w:hint="eastAsia" w:asciiTheme="minorEastAsia" w:hAnsiTheme="minorEastAsia" w:eastAsiaTheme="minorEastAsia" w:cstheme="minorEastAsia"/>
          <w:color w:val="auto"/>
          <w:kern w:val="2"/>
          <w:sz w:val="24"/>
          <w:szCs w:val="24"/>
          <w:highlight w:val="none"/>
          <w:lang w:val="en-US" w:eastAsia="zh-CN" w:bidi="ar-SA"/>
        </w:rPr>
      </w:pPr>
      <w:r>
        <w:rPr>
          <w:rStyle w:val="21"/>
          <w:rFonts w:hint="eastAsia" w:asciiTheme="minorEastAsia" w:hAnsiTheme="minorEastAsia" w:eastAsiaTheme="minorEastAsia" w:cstheme="minorEastAsia"/>
          <w:color w:val="auto"/>
          <w:kern w:val="2"/>
          <w:sz w:val="24"/>
          <w:szCs w:val="24"/>
          <w:highlight w:val="none"/>
          <w:lang w:val="en-US" w:eastAsia="zh-CN" w:bidi="ar-SA"/>
        </w:rPr>
        <w:t xml:space="preserve">3.1.3合同约定应由承包人承担的义务和责任，不因监理人对承包人提交文件的审查或批准，对工程、材料和设备的检查和检验，以及为实施监理作出的指示等职务行为而减轻或解除。   </w:t>
      </w:r>
    </w:p>
    <w:p>
      <w:pPr>
        <w:pStyle w:val="65"/>
        <w:tabs>
          <w:tab w:val="left" w:pos="8280"/>
        </w:tabs>
        <w:spacing w:line="360" w:lineRule="auto"/>
        <w:rPr>
          <w:rStyle w:val="21"/>
          <w:rFonts w:hint="eastAsia" w:asciiTheme="minorEastAsia" w:hAnsiTheme="minorEastAsia" w:eastAsiaTheme="minorEastAsia" w:cstheme="minorEastAsia"/>
          <w:color w:val="auto"/>
          <w:kern w:val="2"/>
          <w:sz w:val="24"/>
          <w:szCs w:val="24"/>
          <w:highlight w:val="none"/>
          <w:lang w:val="en-US" w:eastAsia="zh-CN" w:bidi="ar-SA"/>
        </w:rPr>
      </w:pPr>
      <w:r>
        <w:rPr>
          <w:rStyle w:val="21"/>
          <w:rFonts w:hint="eastAsia" w:asciiTheme="minorEastAsia" w:hAnsiTheme="minorEastAsia" w:eastAsiaTheme="minorEastAsia" w:cstheme="minorEastAsia"/>
          <w:b/>
          <w:color w:val="auto"/>
          <w:kern w:val="2"/>
          <w:sz w:val="24"/>
          <w:szCs w:val="24"/>
          <w:highlight w:val="none"/>
          <w:lang w:val="en-US" w:eastAsia="zh-CN" w:bidi="ar-SA"/>
        </w:rPr>
        <w:t>3.2总监理工程师</w:t>
      </w:r>
    </w:p>
    <w:p>
      <w:pPr>
        <w:pStyle w:val="65"/>
        <w:tabs>
          <w:tab w:val="left" w:pos="8280"/>
        </w:tabs>
        <w:spacing w:line="360" w:lineRule="auto"/>
        <w:ind w:firstLine="360" w:firstLineChars="150"/>
        <w:rPr>
          <w:rStyle w:val="21"/>
          <w:rFonts w:hint="eastAsia" w:asciiTheme="minorEastAsia" w:hAnsiTheme="minorEastAsia" w:eastAsiaTheme="minorEastAsia" w:cstheme="minorEastAsia"/>
          <w:color w:val="auto"/>
          <w:kern w:val="2"/>
          <w:sz w:val="24"/>
          <w:szCs w:val="24"/>
          <w:highlight w:val="none"/>
          <w:lang w:val="en-US" w:eastAsia="zh-CN" w:bidi="ar-SA"/>
        </w:rPr>
      </w:pPr>
      <w:r>
        <w:rPr>
          <w:rStyle w:val="21"/>
          <w:rFonts w:hint="eastAsia" w:asciiTheme="minorEastAsia" w:hAnsiTheme="minorEastAsia" w:eastAsiaTheme="minorEastAsia" w:cstheme="minorEastAsia"/>
          <w:color w:val="auto"/>
          <w:kern w:val="2"/>
          <w:sz w:val="24"/>
          <w:szCs w:val="24"/>
          <w:highlight w:val="none"/>
          <w:lang w:val="en-US" w:eastAsia="zh-CN" w:bidi="ar-SA"/>
        </w:rPr>
        <w:t>发包人应在发出开工通知前将总监理工程师的任命通知承包人。总监理工程师更换时，应在调离14天前通知承包人。总监理工程师短期离开施工场地的，应委派代表代行其职责，并通知承包人。</w:t>
      </w:r>
    </w:p>
    <w:p>
      <w:pPr>
        <w:pStyle w:val="65"/>
        <w:tabs>
          <w:tab w:val="left" w:pos="8280"/>
        </w:tabs>
        <w:spacing w:line="360" w:lineRule="auto"/>
        <w:ind w:right="-315" w:rightChars="-150"/>
        <w:rPr>
          <w:rStyle w:val="21"/>
          <w:rFonts w:hint="eastAsia" w:asciiTheme="minorEastAsia" w:hAnsiTheme="minorEastAsia" w:eastAsiaTheme="minorEastAsia" w:cstheme="minorEastAsia"/>
          <w:b/>
          <w:color w:val="auto"/>
          <w:kern w:val="2"/>
          <w:sz w:val="24"/>
          <w:szCs w:val="24"/>
          <w:highlight w:val="none"/>
          <w:lang w:val="en-US" w:eastAsia="zh-CN" w:bidi="ar-SA"/>
        </w:rPr>
      </w:pPr>
      <w:r>
        <w:rPr>
          <w:rStyle w:val="21"/>
          <w:rFonts w:hint="eastAsia" w:asciiTheme="minorEastAsia" w:hAnsiTheme="minorEastAsia" w:eastAsiaTheme="minorEastAsia" w:cstheme="minorEastAsia"/>
          <w:b/>
          <w:color w:val="auto"/>
          <w:kern w:val="2"/>
          <w:sz w:val="24"/>
          <w:szCs w:val="24"/>
          <w:highlight w:val="none"/>
          <w:lang w:val="en-US" w:eastAsia="zh-CN" w:bidi="ar-SA"/>
        </w:rPr>
        <w:t>3.3监理人员</w:t>
      </w:r>
    </w:p>
    <w:p>
      <w:pPr>
        <w:pStyle w:val="65"/>
        <w:tabs>
          <w:tab w:val="left" w:pos="8280"/>
        </w:tabs>
        <w:spacing w:line="360" w:lineRule="auto"/>
        <w:ind w:firstLine="360" w:firstLineChars="150"/>
        <w:rPr>
          <w:rStyle w:val="21"/>
          <w:rFonts w:hint="eastAsia" w:asciiTheme="minorEastAsia" w:hAnsiTheme="minorEastAsia" w:eastAsiaTheme="minorEastAsia" w:cstheme="minorEastAsia"/>
          <w:color w:val="auto"/>
          <w:kern w:val="2"/>
          <w:sz w:val="24"/>
          <w:szCs w:val="24"/>
          <w:highlight w:val="none"/>
          <w:lang w:val="en-US" w:eastAsia="zh-CN" w:bidi="ar-SA"/>
        </w:rPr>
      </w:pPr>
      <w:r>
        <w:rPr>
          <w:rStyle w:val="21"/>
          <w:rFonts w:hint="eastAsia" w:asciiTheme="minorEastAsia" w:hAnsiTheme="minorEastAsia" w:eastAsiaTheme="minorEastAsia" w:cstheme="minorEastAsia"/>
          <w:color w:val="auto"/>
          <w:kern w:val="2"/>
          <w:sz w:val="24"/>
          <w:szCs w:val="24"/>
          <w:highlight w:val="none"/>
          <w:lang w:val="en-US" w:eastAsia="zh-CN" w:bidi="ar-SA"/>
        </w:rPr>
        <w:t>3.3.1总监理工程师可以授权其他监理人员负责执行其指派的一项或多项监理工作。总监理工程师应将被援权监理人员的姓名及其授权范围通知承包人。被授权的监理人员在授权范围内发出的指示视为己得到总监理工程师的同意，与总监理工程师发出的指示具有同等效力。总监理工程师撤销某项授权时，应将撤销授权的决定及时通知承包人。</w:t>
      </w:r>
    </w:p>
    <w:p>
      <w:pPr>
        <w:pStyle w:val="65"/>
        <w:tabs>
          <w:tab w:val="left" w:pos="8280"/>
        </w:tabs>
        <w:spacing w:line="360" w:lineRule="auto"/>
        <w:ind w:firstLine="360" w:firstLineChars="150"/>
        <w:rPr>
          <w:rStyle w:val="21"/>
          <w:rFonts w:hint="eastAsia" w:asciiTheme="minorEastAsia" w:hAnsiTheme="minorEastAsia" w:eastAsiaTheme="minorEastAsia" w:cstheme="minorEastAsia"/>
          <w:color w:val="auto"/>
          <w:kern w:val="2"/>
          <w:sz w:val="24"/>
          <w:szCs w:val="24"/>
          <w:highlight w:val="none"/>
          <w:lang w:val="en-US" w:eastAsia="zh-CN" w:bidi="ar-SA"/>
        </w:rPr>
      </w:pPr>
      <w:r>
        <w:rPr>
          <w:rStyle w:val="21"/>
          <w:rFonts w:hint="eastAsia" w:asciiTheme="minorEastAsia" w:hAnsiTheme="minorEastAsia" w:eastAsiaTheme="minorEastAsia" w:cstheme="minorEastAsia"/>
          <w:color w:val="auto"/>
          <w:kern w:val="2"/>
          <w:sz w:val="24"/>
          <w:szCs w:val="24"/>
          <w:highlight w:val="none"/>
          <w:lang w:val="en-US" w:eastAsia="zh-CN" w:bidi="ar-SA"/>
        </w:rPr>
        <w:t>3.3.2监理入员对承包入的任何工作、工程或其采用的材料和工程设备未在约定的或合理的期限内提出否定意见的，视为已获批准，但不影响监理人在以后拒绝该项工作、工程、材料或工程设备的权利。</w:t>
      </w:r>
    </w:p>
    <w:p>
      <w:pPr>
        <w:pStyle w:val="65"/>
        <w:tabs>
          <w:tab w:val="left" w:pos="8280"/>
        </w:tabs>
        <w:spacing w:line="360" w:lineRule="auto"/>
        <w:ind w:firstLine="360" w:firstLineChars="150"/>
        <w:rPr>
          <w:rStyle w:val="21"/>
          <w:rFonts w:hint="eastAsia" w:asciiTheme="minorEastAsia" w:hAnsiTheme="minorEastAsia" w:eastAsiaTheme="minorEastAsia" w:cstheme="minorEastAsia"/>
          <w:color w:val="auto"/>
          <w:kern w:val="2"/>
          <w:sz w:val="24"/>
          <w:szCs w:val="24"/>
          <w:highlight w:val="none"/>
          <w:lang w:val="en-US" w:eastAsia="zh-CN" w:bidi="ar-SA"/>
        </w:rPr>
      </w:pPr>
      <w:r>
        <w:rPr>
          <w:rStyle w:val="21"/>
          <w:rFonts w:hint="eastAsia" w:asciiTheme="minorEastAsia" w:hAnsiTheme="minorEastAsia" w:eastAsiaTheme="minorEastAsia" w:cstheme="minorEastAsia"/>
          <w:color w:val="auto"/>
          <w:kern w:val="2"/>
          <w:sz w:val="24"/>
          <w:szCs w:val="24"/>
          <w:highlight w:val="none"/>
          <w:lang w:val="en-US" w:eastAsia="zh-CN" w:bidi="ar-SA"/>
        </w:rPr>
        <w:t>3.3.3承包人对总监理工程师授权的监理人员发出的指示有疑问的，可向总监理工程师提出书面异议，总监理工程师应在48小时内对该指示予以确认、更改或撤销。</w:t>
      </w:r>
    </w:p>
    <w:p>
      <w:pPr>
        <w:pStyle w:val="65"/>
        <w:tabs>
          <w:tab w:val="left" w:pos="8280"/>
        </w:tabs>
        <w:spacing w:line="360" w:lineRule="auto"/>
        <w:ind w:firstLine="360" w:firstLineChars="150"/>
        <w:rPr>
          <w:rStyle w:val="21"/>
          <w:rFonts w:hint="eastAsia" w:asciiTheme="minorEastAsia" w:hAnsiTheme="minorEastAsia" w:eastAsiaTheme="minorEastAsia" w:cstheme="minorEastAsia"/>
          <w:color w:val="auto"/>
          <w:kern w:val="2"/>
          <w:sz w:val="24"/>
          <w:szCs w:val="24"/>
          <w:highlight w:val="none"/>
          <w:lang w:val="en-US" w:eastAsia="zh-CN" w:bidi="ar-SA"/>
        </w:rPr>
      </w:pPr>
      <w:r>
        <w:rPr>
          <w:rStyle w:val="21"/>
          <w:rFonts w:hint="eastAsia" w:asciiTheme="minorEastAsia" w:hAnsiTheme="minorEastAsia" w:eastAsiaTheme="minorEastAsia" w:cstheme="minorEastAsia"/>
          <w:color w:val="auto"/>
          <w:kern w:val="2"/>
          <w:sz w:val="24"/>
          <w:szCs w:val="24"/>
          <w:highlight w:val="none"/>
          <w:lang w:val="en-US" w:eastAsia="zh-CN" w:bidi="ar-SA"/>
        </w:rPr>
        <w:t>3.3.4除专用合同条款另有约定外，总监理工程师不应将第3.5款约定应由总监理工程师作出确定的权力授权或委托给其他监理人员。</w:t>
      </w:r>
    </w:p>
    <w:p>
      <w:pPr>
        <w:pStyle w:val="65"/>
        <w:tabs>
          <w:tab w:val="left" w:pos="8280"/>
        </w:tabs>
        <w:spacing w:line="360" w:lineRule="auto"/>
        <w:ind w:right="-315" w:rightChars="-150"/>
        <w:rPr>
          <w:rStyle w:val="21"/>
          <w:rFonts w:hint="eastAsia" w:asciiTheme="minorEastAsia" w:hAnsiTheme="minorEastAsia" w:eastAsiaTheme="minorEastAsia" w:cstheme="minorEastAsia"/>
          <w:b/>
          <w:color w:val="auto"/>
          <w:kern w:val="2"/>
          <w:sz w:val="24"/>
          <w:szCs w:val="24"/>
          <w:highlight w:val="none"/>
          <w:lang w:val="en-US" w:eastAsia="zh-CN" w:bidi="ar-SA"/>
        </w:rPr>
      </w:pPr>
      <w:r>
        <w:rPr>
          <w:rStyle w:val="21"/>
          <w:rFonts w:hint="eastAsia" w:asciiTheme="minorEastAsia" w:hAnsiTheme="minorEastAsia" w:eastAsiaTheme="minorEastAsia" w:cstheme="minorEastAsia"/>
          <w:b/>
          <w:color w:val="auto"/>
          <w:kern w:val="2"/>
          <w:sz w:val="24"/>
          <w:szCs w:val="24"/>
          <w:highlight w:val="none"/>
          <w:lang w:val="en-US" w:eastAsia="zh-CN" w:bidi="ar-SA"/>
        </w:rPr>
        <w:t>3.4监理人的指示</w:t>
      </w:r>
    </w:p>
    <w:p>
      <w:pPr>
        <w:pStyle w:val="65"/>
        <w:tabs>
          <w:tab w:val="left" w:pos="8280"/>
        </w:tabs>
        <w:spacing w:line="360" w:lineRule="auto"/>
        <w:ind w:firstLine="360" w:firstLineChars="150"/>
        <w:rPr>
          <w:rStyle w:val="21"/>
          <w:rFonts w:hint="eastAsia" w:asciiTheme="minorEastAsia" w:hAnsiTheme="minorEastAsia" w:eastAsiaTheme="minorEastAsia" w:cstheme="minorEastAsia"/>
          <w:color w:val="auto"/>
          <w:kern w:val="2"/>
          <w:sz w:val="24"/>
          <w:szCs w:val="24"/>
          <w:highlight w:val="none"/>
          <w:lang w:val="en-US" w:eastAsia="zh-CN" w:bidi="ar-SA"/>
        </w:rPr>
      </w:pPr>
      <w:r>
        <w:rPr>
          <w:rStyle w:val="21"/>
          <w:rFonts w:hint="eastAsia" w:asciiTheme="minorEastAsia" w:hAnsiTheme="minorEastAsia" w:eastAsiaTheme="minorEastAsia" w:cstheme="minorEastAsia"/>
          <w:color w:val="auto"/>
          <w:kern w:val="2"/>
          <w:sz w:val="24"/>
          <w:szCs w:val="24"/>
          <w:highlight w:val="none"/>
          <w:lang w:val="en-US" w:eastAsia="zh-CN" w:bidi="ar-SA"/>
        </w:rPr>
        <w:t xml:space="preserve">3.4.1监理人应按第3.1款的约定向承包人发出指示，监理入的指示应盖有监理人授权的施工场地机构章，并由总监理工程师或总监理工程师按第3.3.1项约定授权的监理人员签字。    </w:t>
      </w:r>
    </w:p>
    <w:p>
      <w:pPr>
        <w:pStyle w:val="65"/>
        <w:tabs>
          <w:tab w:val="left" w:pos="8280"/>
        </w:tabs>
        <w:spacing w:line="360" w:lineRule="auto"/>
        <w:ind w:firstLine="360" w:firstLineChars="150"/>
        <w:rPr>
          <w:rStyle w:val="21"/>
          <w:rFonts w:hint="eastAsia" w:asciiTheme="minorEastAsia" w:hAnsiTheme="minorEastAsia" w:eastAsiaTheme="minorEastAsia" w:cstheme="minorEastAsia"/>
          <w:color w:val="auto"/>
          <w:kern w:val="2"/>
          <w:sz w:val="24"/>
          <w:szCs w:val="24"/>
          <w:highlight w:val="none"/>
          <w:lang w:val="en-US" w:eastAsia="zh-CN" w:bidi="ar-SA"/>
        </w:rPr>
      </w:pPr>
      <w:r>
        <w:rPr>
          <w:rStyle w:val="21"/>
          <w:rFonts w:hint="eastAsia" w:asciiTheme="minorEastAsia" w:hAnsiTheme="minorEastAsia" w:eastAsiaTheme="minorEastAsia" w:cstheme="minorEastAsia"/>
          <w:color w:val="auto"/>
          <w:kern w:val="2"/>
          <w:sz w:val="24"/>
          <w:szCs w:val="24"/>
          <w:highlight w:val="none"/>
          <w:lang w:val="en-US" w:eastAsia="zh-CN" w:bidi="ar-SA"/>
        </w:rPr>
        <w:t>3.4.2承包人收到监理人按第3.4.1项作出的指示后应遵照执行。指示构成变更的，应按第23条处理。</w:t>
      </w:r>
    </w:p>
    <w:p>
      <w:pPr>
        <w:pStyle w:val="65"/>
        <w:tabs>
          <w:tab w:val="left" w:pos="8280"/>
        </w:tabs>
        <w:spacing w:line="360" w:lineRule="auto"/>
        <w:ind w:firstLine="360" w:firstLineChars="150"/>
        <w:rPr>
          <w:rStyle w:val="21"/>
          <w:rFonts w:hint="eastAsia" w:asciiTheme="minorEastAsia" w:hAnsiTheme="minorEastAsia" w:eastAsiaTheme="minorEastAsia" w:cstheme="minorEastAsia"/>
          <w:color w:val="auto"/>
          <w:kern w:val="2"/>
          <w:sz w:val="24"/>
          <w:szCs w:val="24"/>
          <w:highlight w:val="none"/>
          <w:lang w:val="en-US" w:eastAsia="zh-CN" w:bidi="ar-SA"/>
        </w:rPr>
      </w:pPr>
      <w:r>
        <w:rPr>
          <w:rStyle w:val="21"/>
          <w:rFonts w:hint="eastAsia" w:asciiTheme="minorEastAsia" w:hAnsiTheme="minorEastAsia" w:eastAsiaTheme="minorEastAsia" w:cstheme="minorEastAsia"/>
          <w:color w:val="auto"/>
          <w:kern w:val="2"/>
          <w:sz w:val="24"/>
          <w:szCs w:val="24"/>
          <w:highlight w:val="none"/>
          <w:lang w:val="en-US" w:eastAsia="zh-CN" w:bidi="ar-SA"/>
        </w:rPr>
        <w:t>3.4.3在紧急情况下，总监理工程师或被授权的监理人员可以当场签发临时书面指示，承包人应遵照执行。承包人应在收到上述临时书面指示后24小时内，向监理人发出书面确认函。监理人在收到书面确认函后24小时内未予答复的，该书面确认函应被视为监理人的正式指示。</w:t>
      </w:r>
    </w:p>
    <w:p>
      <w:pPr>
        <w:pStyle w:val="65"/>
        <w:tabs>
          <w:tab w:val="left" w:pos="8280"/>
        </w:tabs>
        <w:spacing w:line="360" w:lineRule="auto"/>
        <w:ind w:firstLine="360" w:firstLineChars="150"/>
        <w:rPr>
          <w:rStyle w:val="21"/>
          <w:rFonts w:hint="eastAsia" w:asciiTheme="minorEastAsia" w:hAnsiTheme="minorEastAsia" w:eastAsiaTheme="minorEastAsia" w:cstheme="minorEastAsia"/>
          <w:color w:val="auto"/>
          <w:kern w:val="2"/>
          <w:sz w:val="24"/>
          <w:szCs w:val="24"/>
          <w:highlight w:val="none"/>
          <w:lang w:val="en-US" w:eastAsia="zh-CN" w:bidi="ar-SA"/>
        </w:rPr>
      </w:pPr>
      <w:r>
        <w:rPr>
          <w:rStyle w:val="21"/>
          <w:rFonts w:hint="eastAsia" w:asciiTheme="minorEastAsia" w:hAnsiTheme="minorEastAsia" w:eastAsiaTheme="minorEastAsia" w:cstheme="minorEastAsia"/>
          <w:color w:val="auto"/>
          <w:kern w:val="2"/>
          <w:sz w:val="24"/>
          <w:szCs w:val="24"/>
          <w:highlight w:val="none"/>
          <w:lang w:val="en-US" w:eastAsia="zh-CN" w:bidi="ar-SA"/>
        </w:rPr>
        <w:t>3.4.4除合同另有约定外，承包入只从总监理工程师或按第3.3..1项被授权的l监理人员处取得指示。</w:t>
      </w:r>
    </w:p>
    <w:p>
      <w:pPr>
        <w:pStyle w:val="65"/>
        <w:tabs>
          <w:tab w:val="left" w:pos="8280"/>
        </w:tabs>
        <w:spacing w:line="360" w:lineRule="auto"/>
        <w:ind w:firstLine="360" w:firstLineChars="150"/>
        <w:rPr>
          <w:rStyle w:val="21"/>
          <w:rFonts w:hint="eastAsia" w:asciiTheme="minorEastAsia" w:hAnsiTheme="minorEastAsia" w:eastAsiaTheme="minorEastAsia" w:cstheme="minorEastAsia"/>
          <w:color w:val="auto"/>
          <w:kern w:val="2"/>
          <w:sz w:val="24"/>
          <w:szCs w:val="24"/>
          <w:highlight w:val="none"/>
          <w:lang w:val="en-US" w:eastAsia="zh-CN" w:bidi="ar-SA"/>
        </w:rPr>
      </w:pPr>
      <w:r>
        <w:rPr>
          <w:rStyle w:val="21"/>
          <w:rFonts w:hint="eastAsia" w:asciiTheme="minorEastAsia" w:hAnsiTheme="minorEastAsia" w:eastAsiaTheme="minorEastAsia" w:cstheme="minorEastAsia"/>
          <w:color w:val="auto"/>
          <w:kern w:val="2"/>
          <w:sz w:val="24"/>
          <w:szCs w:val="24"/>
          <w:highlight w:val="none"/>
          <w:lang w:val="en-US" w:eastAsia="zh-CN" w:bidi="ar-SA"/>
        </w:rPr>
        <w:t>3.4.5由于监理人未能按合同约定发出指示、指示延误或指示错误而导致承包人费用增加和(或)工期延误的，由发包人承担赔偿责任。</w:t>
      </w:r>
    </w:p>
    <w:p>
      <w:pPr>
        <w:pStyle w:val="65"/>
        <w:tabs>
          <w:tab w:val="left" w:pos="8280"/>
        </w:tabs>
        <w:spacing w:line="360" w:lineRule="auto"/>
        <w:ind w:right="-315" w:rightChars="-150"/>
        <w:rPr>
          <w:rStyle w:val="21"/>
          <w:rFonts w:hint="eastAsia" w:asciiTheme="minorEastAsia" w:hAnsiTheme="minorEastAsia" w:eastAsiaTheme="minorEastAsia" w:cstheme="minorEastAsia"/>
          <w:b/>
          <w:color w:val="auto"/>
          <w:kern w:val="2"/>
          <w:sz w:val="24"/>
          <w:szCs w:val="24"/>
          <w:highlight w:val="none"/>
          <w:lang w:val="en-US" w:eastAsia="zh-CN" w:bidi="ar-SA"/>
        </w:rPr>
      </w:pPr>
      <w:r>
        <w:rPr>
          <w:rStyle w:val="21"/>
          <w:rFonts w:hint="eastAsia" w:asciiTheme="minorEastAsia" w:hAnsiTheme="minorEastAsia" w:eastAsiaTheme="minorEastAsia" w:cstheme="minorEastAsia"/>
          <w:b/>
          <w:color w:val="auto"/>
          <w:kern w:val="2"/>
          <w:sz w:val="24"/>
          <w:szCs w:val="24"/>
          <w:highlight w:val="none"/>
          <w:lang w:val="en-US" w:eastAsia="zh-CN" w:bidi="ar-SA"/>
        </w:rPr>
        <w:t>3.5商定或确定</w:t>
      </w:r>
    </w:p>
    <w:p>
      <w:pPr>
        <w:pStyle w:val="65"/>
        <w:tabs>
          <w:tab w:val="left" w:pos="8280"/>
        </w:tabs>
        <w:spacing w:line="360" w:lineRule="auto"/>
        <w:ind w:firstLine="360" w:firstLineChars="150"/>
        <w:rPr>
          <w:rStyle w:val="21"/>
          <w:rFonts w:hint="eastAsia" w:asciiTheme="minorEastAsia" w:hAnsiTheme="minorEastAsia" w:eastAsiaTheme="minorEastAsia" w:cstheme="minorEastAsia"/>
          <w:color w:val="auto"/>
          <w:kern w:val="2"/>
          <w:sz w:val="24"/>
          <w:szCs w:val="24"/>
          <w:highlight w:val="none"/>
          <w:lang w:val="en-US" w:eastAsia="zh-CN" w:bidi="ar-SA"/>
        </w:rPr>
      </w:pPr>
      <w:r>
        <w:rPr>
          <w:rStyle w:val="21"/>
          <w:rFonts w:hint="eastAsia" w:asciiTheme="minorEastAsia" w:hAnsiTheme="minorEastAsia" w:eastAsiaTheme="minorEastAsia" w:cstheme="minorEastAsia"/>
          <w:color w:val="auto"/>
          <w:kern w:val="2"/>
          <w:sz w:val="24"/>
          <w:szCs w:val="24"/>
          <w:highlight w:val="none"/>
          <w:lang w:val="en-US" w:eastAsia="zh-CN" w:bidi="ar-SA"/>
        </w:rPr>
        <w:t xml:space="preserve">3.5.1合同约定总监理工程师应按照本款对任何事项进行商定或确定时，总监理工程师应与合同当事人协商，尽量达成一致。不能达成一致的，总监理工程师应认真研究后审慎确定。   </w:t>
      </w:r>
    </w:p>
    <w:p>
      <w:pPr>
        <w:pStyle w:val="65"/>
        <w:tabs>
          <w:tab w:val="left" w:pos="8280"/>
        </w:tabs>
        <w:spacing w:line="360" w:lineRule="auto"/>
        <w:ind w:firstLine="360" w:firstLineChars="150"/>
        <w:rPr>
          <w:rStyle w:val="21"/>
          <w:rFonts w:hint="eastAsia" w:asciiTheme="minorEastAsia" w:hAnsiTheme="minorEastAsia" w:eastAsiaTheme="minorEastAsia" w:cstheme="minorEastAsia"/>
          <w:color w:val="auto"/>
          <w:kern w:val="2"/>
          <w:sz w:val="24"/>
          <w:szCs w:val="24"/>
          <w:highlight w:val="none"/>
          <w:lang w:val="en-US" w:eastAsia="zh-CN" w:bidi="ar-SA"/>
        </w:rPr>
      </w:pPr>
      <w:r>
        <w:rPr>
          <w:rStyle w:val="21"/>
          <w:rFonts w:hint="eastAsia" w:asciiTheme="minorEastAsia" w:hAnsiTheme="minorEastAsia" w:eastAsiaTheme="minorEastAsia" w:cstheme="minorEastAsia"/>
          <w:color w:val="auto"/>
          <w:kern w:val="2"/>
          <w:sz w:val="24"/>
          <w:szCs w:val="24"/>
          <w:highlight w:val="none"/>
          <w:lang w:val="en-US" w:eastAsia="zh-CN" w:bidi="ar-SA"/>
        </w:rPr>
        <w:t>3.5.2总监理工程币应将商定或确定的事项通知合同当事人，并附详细依据。对总监理工程师的确定有异议的，构成争议，按照第22条的约定处理。在争议解决前，双方应暂按总监理工程师的确定执行，按照第22条的约定对总监理工程师的确定作出修改的，按修改后的结果执行。</w:t>
      </w:r>
    </w:p>
    <w:p>
      <w:pPr>
        <w:pStyle w:val="66"/>
        <w:rPr>
          <w:rStyle w:val="21"/>
          <w:rFonts w:hint="eastAsia" w:asciiTheme="minorEastAsia" w:hAnsiTheme="minorEastAsia" w:eastAsiaTheme="minorEastAsia" w:cstheme="minorEastAsia"/>
          <w:color w:val="auto"/>
          <w:kern w:val="2"/>
          <w:sz w:val="24"/>
          <w:szCs w:val="24"/>
          <w:highlight w:val="none"/>
          <w:lang w:val="en-US" w:eastAsia="zh-CN" w:bidi="ar-SA"/>
        </w:rPr>
      </w:pPr>
      <w:bookmarkStart w:id="272" w:name="_Toc30082"/>
      <w:r>
        <w:rPr>
          <w:rStyle w:val="21"/>
          <w:rFonts w:hint="eastAsia" w:asciiTheme="minorEastAsia" w:hAnsiTheme="minorEastAsia" w:eastAsiaTheme="minorEastAsia" w:cstheme="minorEastAsia"/>
          <w:color w:val="auto"/>
          <w:kern w:val="2"/>
          <w:sz w:val="24"/>
          <w:szCs w:val="24"/>
          <w:highlight w:val="none"/>
          <w:lang w:val="en-US" w:eastAsia="zh-CN" w:bidi="ar-SA"/>
        </w:rPr>
        <w:t>4 承包人</w:t>
      </w:r>
      <w:bookmarkEnd w:id="272"/>
      <w:r>
        <w:rPr>
          <w:rStyle w:val="21"/>
          <w:rFonts w:hint="eastAsia" w:asciiTheme="minorEastAsia" w:hAnsiTheme="minorEastAsia" w:eastAsiaTheme="minorEastAsia" w:cstheme="minorEastAsia"/>
          <w:color w:val="auto"/>
          <w:kern w:val="2"/>
          <w:sz w:val="24"/>
          <w:szCs w:val="24"/>
          <w:highlight w:val="none"/>
          <w:lang w:val="en-US" w:eastAsia="zh-CN" w:bidi="ar-SA"/>
        </w:rPr>
        <w:t xml:space="preserve">   </w:t>
      </w:r>
    </w:p>
    <w:p>
      <w:pPr>
        <w:pStyle w:val="65"/>
        <w:tabs>
          <w:tab w:val="left" w:pos="8280"/>
        </w:tabs>
        <w:spacing w:line="360" w:lineRule="auto"/>
        <w:rPr>
          <w:rStyle w:val="21"/>
          <w:rFonts w:hint="eastAsia" w:asciiTheme="minorEastAsia" w:hAnsiTheme="minorEastAsia" w:eastAsiaTheme="minorEastAsia" w:cstheme="minorEastAsia"/>
          <w:b/>
          <w:color w:val="auto"/>
          <w:kern w:val="2"/>
          <w:sz w:val="24"/>
          <w:szCs w:val="24"/>
          <w:highlight w:val="none"/>
          <w:lang w:val="en-US" w:eastAsia="zh-CN" w:bidi="ar-SA"/>
        </w:rPr>
      </w:pPr>
      <w:r>
        <w:rPr>
          <w:rStyle w:val="21"/>
          <w:rFonts w:hint="eastAsia" w:asciiTheme="minorEastAsia" w:hAnsiTheme="minorEastAsia" w:eastAsiaTheme="minorEastAsia" w:cstheme="minorEastAsia"/>
          <w:b/>
          <w:color w:val="auto"/>
          <w:kern w:val="2"/>
          <w:sz w:val="24"/>
          <w:szCs w:val="24"/>
          <w:highlight w:val="none"/>
          <w:lang w:val="en-US" w:eastAsia="zh-CN" w:bidi="ar-SA"/>
        </w:rPr>
        <w:t>4.1承包人的一般义务</w:t>
      </w:r>
    </w:p>
    <w:p>
      <w:pPr>
        <w:pStyle w:val="65"/>
        <w:tabs>
          <w:tab w:val="left" w:pos="8280"/>
        </w:tabs>
        <w:spacing w:line="360" w:lineRule="auto"/>
        <w:ind w:firstLine="360" w:firstLineChars="150"/>
        <w:rPr>
          <w:rStyle w:val="21"/>
          <w:rFonts w:hint="eastAsia" w:asciiTheme="minorEastAsia" w:hAnsiTheme="minorEastAsia" w:eastAsiaTheme="minorEastAsia" w:cstheme="minorEastAsia"/>
          <w:color w:val="auto"/>
          <w:kern w:val="2"/>
          <w:sz w:val="24"/>
          <w:szCs w:val="24"/>
          <w:highlight w:val="none"/>
          <w:lang w:val="en-US" w:eastAsia="zh-CN" w:bidi="ar-SA"/>
        </w:rPr>
      </w:pPr>
      <w:r>
        <w:rPr>
          <w:rStyle w:val="21"/>
          <w:rFonts w:hint="eastAsia" w:asciiTheme="minorEastAsia" w:hAnsiTheme="minorEastAsia" w:eastAsiaTheme="minorEastAsia" w:cstheme="minorEastAsia"/>
          <w:color w:val="auto"/>
          <w:kern w:val="2"/>
          <w:sz w:val="24"/>
          <w:szCs w:val="24"/>
          <w:highlight w:val="none"/>
          <w:lang w:val="en-US" w:eastAsia="zh-CN" w:bidi="ar-SA"/>
        </w:rPr>
        <w:t>4.1.1遵守法律</w:t>
      </w:r>
    </w:p>
    <w:p>
      <w:pPr>
        <w:pStyle w:val="65"/>
        <w:tabs>
          <w:tab w:val="left" w:pos="8280"/>
        </w:tabs>
        <w:spacing w:line="360" w:lineRule="auto"/>
        <w:ind w:firstLine="360" w:firstLineChars="150"/>
        <w:rPr>
          <w:rStyle w:val="21"/>
          <w:rFonts w:hint="eastAsia" w:asciiTheme="minorEastAsia" w:hAnsiTheme="minorEastAsia" w:eastAsiaTheme="minorEastAsia" w:cstheme="minorEastAsia"/>
          <w:color w:val="auto"/>
          <w:kern w:val="2"/>
          <w:sz w:val="24"/>
          <w:szCs w:val="24"/>
          <w:highlight w:val="none"/>
          <w:lang w:val="en-US" w:eastAsia="zh-CN" w:bidi="ar-SA"/>
        </w:rPr>
      </w:pPr>
      <w:r>
        <w:rPr>
          <w:rStyle w:val="21"/>
          <w:rFonts w:hint="eastAsia" w:asciiTheme="minorEastAsia" w:hAnsiTheme="minorEastAsia" w:eastAsiaTheme="minorEastAsia" w:cstheme="minorEastAsia"/>
          <w:color w:val="auto"/>
          <w:kern w:val="2"/>
          <w:sz w:val="24"/>
          <w:szCs w:val="24"/>
          <w:highlight w:val="none"/>
          <w:lang w:val="en-US" w:eastAsia="zh-CN" w:bidi="ar-SA"/>
        </w:rPr>
        <w:t xml:space="preserve">承包人在履行合同过程中应遵守法律，并保证发包人免于承担因承包人违反法律而引起的任何责任。 </w:t>
      </w:r>
    </w:p>
    <w:p>
      <w:pPr>
        <w:pStyle w:val="65"/>
        <w:tabs>
          <w:tab w:val="left" w:pos="8280"/>
        </w:tabs>
        <w:spacing w:line="360" w:lineRule="auto"/>
        <w:ind w:firstLine="360" w:firstLineChars="150"/>
        <w:rPr>
          <w:rStyle w:val="21"/>
          <w:rFonts w:hint="eastAsia" w:asciiTheme="minorEastAsia" w:hAnsiTheme="minorEastAsia" w:eastAsiaTheme="minorEastAsia" w:cstheme="minorEastAsia"/>
          <w:color w:val="auto"/>
          <w:kern w:val="2"/>
          <w:sz w:val="24"/>
          <w:szCs w:val="24"/>
          <w:highlight w:val="none"/>
          <w:lang w:val="en-US" w:eastAsia="zh-CN" w:bidi="ar-SA"/>
        </w:rPr>
      </w:pPr>
      <w:r>
        <w:rPr>
          <w:rStyle w:val="21"/>
          <w:rFonts w:hint="eastAsia" w:asciiTheme="minorEastAsia" w:hAnsiTheme="minorEastAsia" w:eastAsiaTheme="minorEastAsia" w:cstheme="minorEastAsia"/>
          <w:color w:val="auto"/>
          <w:kern w:val="2"/>
          <w:sz w:val="24"/>
          <w:szCs w:val="24"/>
          <w:highlight w:val="none"/>
          <w:lang w:val="en-US" w:eastAsia="zh-CN" w:bidi="ar-SA"/>
        </w:rPr>
        <w:t>4.1.2依法纳税</w:t>
      </w:r>
    </w:p>
    <w:p>
      <w:pPr>
        <w:pStyle w:val="65"/>
        <w:tabs>
          <w:tab w:val="left" w:pos="8280"/>
        </w:tabs>
        <w:spacing w:line="360" w:lineRule="auto"/>
        <w:ind w:firstLine="360" w:firstLineChars="150"/>
        <w:rPr>
          <w:rStyle w:val="21"/>
          <w:rFonts w:hint="eastAsia" w:asciiTheme="minorEastAsia" w:hAnsiTheme="minorEastAsia" w:eastAsiaTheme="minorEastAsia" w:cstheme="minorEastAsia"/>
          <w:color w:val="auto"/>
          <w:kern w:val="2"/>
          <w:sz w:val="24"/>
          <w:szCs w:val="24"/>
          <w:highlight w:val="none"/>
          <w:lang w:val="en-US" w:eastAsia="zh-CN" w:bidi="ar-SA"/>
        </w:rPr>
      </w:pPr>
      <w:r>
        <w:rPr>
          <w:rStyle w:val="21"/>
          <w:rFonts w:hint="eastAsia" w:asciiTheme="minorEastAsia" w:hAnsiTheme="minorEastAsia" w:eastAsiaTheme="minorEastAsia" w:cstheme="minorEastAsia"/>
          <w:color w:val="auto"/>
          <w:kern w:val="2"/>
          <w:sz w:val="24"/>
          <w:szCs w:val="24"/>
          <w:highlight w:val="none"/>
          <w:lang w:val="en-US" w:eastAsia="zh-CN" w:bidi="ar-SA"/>
        </w:rPr>
        <w:t>承包人应按有关法律规定纳税，应缴纳的税金包括在合同价格内。</w:t>
      </w:r>
    </w:p>
    <w:p>
      <w:pPr>
        <w:pStyle w:val="65"/>
        <w:tabs>
          <w:tab w:val="left" w:pos="8280"/>
        </w:tabs>
        <w:spacing w:line="360" w:lineRule="auto"/>
        <w:ind w:firstLine="360" w:firstLineChars="150"/>
        <w:rPr>
          <w:rStyle w:val="21"/>
          <w:rFonts w:hint="eastAsia" w:asciiTheme="minorEastAsia" w:hAnsiTheme="minorEastAsia" w:eastAsiaTheme="minorEastAsia" w:cstheme="minorEastAsia"/>
          <w:color w:val="auto"/>
          <w:kern w:val="2"/>
          <w:sz w:val="24"/>
          <w:szCs w:val="24"/>
          <w:highlight w:val="none"/>
          <w:lang w:val="en-US" w:eastAsia="zh-CN" w:bidi="ar-SA"/>
        </w:rPr>
      </w:pPr>
      <w:r>
        <w:rPr>
          <w:rStyle w:val="21"/>
          <w:rFonts w:hint="eastAsia" w:asciiTheme="minorEastAsia" w:hAnsiTheme="minorEastAsia" w:eastAsiaTheme="minorEastAsia" w:cstheme="minorEastAsia"/>
          <w:color w:val="auto"/>
          <w:kern w:val="2"/>
          <w:sz w:val="24"/>
          <w:szCs w:val="24"/>
          <w:highlight w:val="none"/>
          <w:lang w:val="en-US" w:eastAsia="zh-CN" w:bidi="ar-SA"/>
        </w:rPr>
        <w:t>4.1.3完成各项承包工作</w:t>
      </w:r>
    </w:p>
    <w:p>
      <w:pPr>
        <w:pStyle w:val="65"/>
        <w:tabs>
          <w:tab w:val="left" w:pos="8280"/>
        </w:tabs>
        <w:spacing w:line="360" w:lineRule="auto"/>
        <w:ind w:firstLine="360" w:firstLineChars="150"/>
        <w:rPr>
          <w:rStyle w:val="21"/>
          <w:rFonts w:hint="eastAsia" w:asciiTheme="minorEastAsia" w:hAnsiTheme="minorEastAsia" w:eastAsiaTheme="minorEastAsia" w:cstheme="minorEastAsia"/>
          <w:color w:val="auto"/>
          <w:kern w:val="2"/>
          <w:sz w:val="24"/>
          <w:szCs w:val="24"/>
          <w:highlight w:val="none"/>
          <w:lang w:val="en-US" w:eastAsia="zh-CN" w:bidi="ar-SA"/>
        </w:rPr>
      </w:pPr>
      <w:r>
        <w:rPr>
          <w:rStyle w:val="21"/>
          <w:rFonts w:hint="eastAsia" w:asciiTheme="minorEastAsia" w:hAnsiTheme="minorEastAsia" w:eastAsiaTheme="minorEastAsia" w:cstheme="minorEastAsia"/>
          <w:color w:val="auto"/>
          <w:kern w:val="2"/>
          <w:sz w:val="24"/>
          <w:szCs w:val="24"/>
          <w:highlight w:val="none"/>
          <w:lang w:val="en-US" w:eastAsia="zh-CN" w:bidi="ar-SA"/>
        </w:rPr>
        <w:t>承包人应按合同约定以及监理人根据第3.4款作出的指示，实施、完成全部工程，并修补工程中的任何缺陷。除第5.2款、第6.2款另有约定外，承包人应提供为完成合同工作所需的劳务、材料、施工设备、工程设备和其它物品，并按合同约定负责临时设施的设计、建造、运行、维护、管理和拆除。</w:t>
      </w:r>
    </w:p>
    <w:p>
      <w:pPr>
        <w:pStyle w:val="65"/>
        <w:tabs>
          <w:tab w:val="left" w:pos="8280"/>
        </w:tabs>
        <w:spacing w:line="360" w:lineRule="auto"/>
        <w:ind w:firstLine="360" w:firstLineChars="150"/>
        <w:rPr>
          <w:rStyle w:val="21"/>
          <w:rFonts w:hint="eastAsia" w:asciiTheme="minorEastAsia" w:hAnsiTheme="minorEastAsia" w:eastAsiaTheme="minorEastAsia" w:cstheme="minorEastAsia"/>
          <w:color w:val="auto"/>
          <w:kern w:val="2"/>
          <w:sz w:val="24"/>
          <w:szCs w:val="24"/>
          <w:highlight w:val="none"/>
          <w:lang w:val="en-US" w:eastAsia="zh-CN" w:bidi="ar-SA"/>
        </w:rPr>
      </w:pPr>
      <w:r>
        <w:rPr>
          <w:rStyle w:val="21"/>
          <w:rFonts w:hint="eastAsia" w:asciiTheme="minorEastAsia" w:hAnsiTheme="minorEastAsia" w:eastAsiaTheme="minorEastAsia" w:cstheme="minorEastAsia"/>
          <w:color w:val="auto"/>
          <w:kern w:val="2"/>
          <w:sz w:val="24"/>
          <w:szCs w:val="24"/>
          <w:highlight w:val="none"/>
          <w:lang w:val="en-US" w:eastAsia="zh-CN" w:bidi="ar-SA"/>
        </w:rPr>
        <w:t>4.1.4对施工作业和施工方法的完备性负责</w:t>
      </w:r>
    </w:p>
    <w:p>
      <w:pPr>
        <w:pStyle w:val="65"/>
        <w:tabs>
          <w:tab w:val="left" w:pos="8280"/>
        </w:tabs>
        <w:spacing w:line="360" w:lineRule="auto"/>
        <w:ind w:firstLine="360" w:firstLineChars="150"/>
        <w:rPr>
          <w:rStyle w:val="21"/>
          <w:rFonts w:hint="eastAsia" w:asciiTheme="minorEastAsia" w:hAnsiTheme="minorEastAsia" w:eastAsiaTheme="minorEastAsia" w:cstheme="minorEastAsia"/>
          <w:color w:val="auto"/>
          <w:kern w:val="2"/>
          <w:sz w:val="24"/>
          <w:szCs w:val="24"/>
          <w:highlight w:val="none"/>
          <w:lang w:val="en-US" w:eastAsia="zh-CN" w:bidi="ar-SA"/>
        </w:rPr>
      </w:pPr>
      <w:r>
        <w:rPr>
          <w:rStyle w:val="21"/>
          <w:rFonts w:hint="eastAsia" w:asciiTheme="minorEastAsia" w:hAnsiTheme="minorEastAsia" w:eastAsiaTheme="minorEastAsia" w:cstheme="minorEastAsia"/>
          <w:color w:val="auto"/>
          <w:kern w:val="2"/>
          <w:sz w:val="24"/>
          <w:szCs w:val="24"/>
          <w:highlight w:val="none"/>
          <w:lang w:val="en-US" w:eastAsia="zh-CN" w:bidi="ar-SA"/>
        </w:rPr>
        <w:t>承包人应按合同约定的工作内容和工 进度要求，编制  组织设计和施工措施计划，并对所有施工作业和施工方法的完备性和安全可靠性负责。</w:t>
      </w:r>
    </w:p>
    <w:p>
      <w:pPr>
        <w:pStyle w:val="65"/>
        <w:tabs>
          <w:tab w:val="left" w:pos="8280"/>
        </w:tabs>
        <w:spacing w:line="360" w:lineRule="auto"/>
        <w:ind w:firstLine="360" w:firstLineChars="150"/>
        <w:rPr>
          <w:rStyle w:val="21"/>
          <w:rFonts w:hint="eastAsia" w:asciiTheme="minorEastAsia" w:hAnsiTheme="minorEastAsia" w:eastAsiaTheme="minorEastAsia" w:cstheme="minorEastAsia"/>
          <w:color w:val="auto"/>
          <w:kern w:val="2"/>
          <w:sz w:val="24"/>
          <w:szCs w:val="24"/>
          <w:highlight w:val="none"/>
          <w:lang w:val="en-US" w:eastAsia="zh-CN" w:bidi="ar-SA"/>
        </w:rPr>
      </w:pPr>
      <w:r>
        <w:rPr>
          <w:rStyle w:val="21"/>
          <w:rFonts w:hint="eastAsia" w:asciiTheme="minorEastAsia" w:hAnsiTheme="minorEastAsia" w:eastAsiaTheme="minorEastAsia" w:cstheme="minorEastAsia"/>
          <w:color w:val="auto"/>
          <w:kern w:val="2"/>
          <w:sz w:val="24"/>
          <w:szCs w:val="24"/>
          <w:highlight w:val="none"/>
          <w:lang w:val="en-US" w:eastAsia="zh-CN" w:bidi="ar-SA"/>
        </w:rPr>
        <w:t>4.1.5保证工程施工和人员的安全</w:t>
      </w:r>
    </w:p>
    <w:p>
      <w:pPr>
        <w:pStyle w:val="65"/>
        <w:tabs>
          <w:tab w:val="left" w:pos="8280"/>
        </w:tabs>
        <w:spacing w:line="360" w:lineRule="auto"/>
        <w:ind w:firstLine="360" w:firstLineChars="150"/>
        <w:rPr>
          <w:rStyle w:val="21"/>
          <w:rFonts w:hint="eastAsia" w:asciiTheme="minorEastAsia" w:hAnsiTheme="minorEastAsia" w:eastAsiaTheme="minorEastAsia" w:cstheme="minorEastAsia"/>
          <w:color w:val="auto"/>
          <w:kern w:val="2"/>
          <w:sz w:val="24"/>
          <w:szCs w:val="24"/>
          <w:highlight w:val="none"/>
          <w:lang w:val="en-US" w:eastAsia="zh-CN" w:bidi="ar-SA"/>
        </w:rPr>
      </w:pPr>
      <w:r>
        <w:rPr>
          <w:rStyle w:val="21"/>
          <w:rFonts w:hint="eastAsia" w:asciiTheme="minorEastAsia" w:hAnsiTheme="minorEastAsia" w:eastAsiaTheme="minorEastAsia" w:cstheme="minorEastAsia"/>
          <w:color w:val="auto"/>
          <w:kern w:val="2"/>
          <w:sz w:val="24"/>
          <w:szCs w:val="24"/>
          <w:highlight w:val="none"/>
          <w:lang w:val="en-US" w:eastAsia="zh-CN" w:bidi="ar-SA"/>
        </w:rPr>
        <w:t>承包人应按第9.2款约定采取施工安全措施，确保工程及其人员、材料、设备和设施的安全，防止因工程施工造成的人身伤害和财产损失。</w:t>
      </w:r>
    </w:p>
    <w:p>
      <w:pPr>
        <w:pStyle w:val="65"/>
        <w:tabs>
          <w:tab w:val="left" w:pos="8280"/>
        </w:tabs>
        <w:spacing w:line="360" w:lineRule="auto"/>
        <w:ind w:firstLine="360" w:firstLineChars="150"/>
        <w:rPr>
          <w:rStyle w:val="21"/>
          <w:rFonts w:hint="eastAsia" w:asciiTheme="minorEastAsia" w:hAnsiTheme="minorEastAsia" w:eastAsiaTheme="minorEastAsia" w:cstheme="minorEastAsia"/>
          <w:color w:val="auto"/>
          <w:kern w:val="2"/>
          <w:sz w:val="24"/>
          <w:szCs w:val="24"/>
          <w:highlight w:val="none"/>
          <w:lang w:val="en-US" w:eastAsia="zh-CN" w:bidi="ar-SA"/>
        </w:rPr>
      </w:pPr>
      <w:r>
        <w:rPr>
          <w:rStyle w:val="21"/>
          <w:rFonts w:hint="eastAsia" w:asciiTheme="minorEastAsia" w:hAnsiTheme="minorEastAsia" w:eastAsiaTheme="minorEastAsia" w:cstheme="minorEastAsia"/>
          <w:color w:val="auto"/>
          <w:kern w:val="2"/>
          <w:sz w:val="24"/>
          <w:szCs w:val="24"/>
          <w:highlight w:val="none"/>
          <w:lang w:val="en-US" w:eastAsia="zh-CN" w:bidi="ar-SA"/>
        </w:rPr>
        <w:t>4.1.6负责施工场地及其周边环境与生态的保护工作</w:t>
      </w:r>
    </w:p>
    <w:p>
      <w:pPr>
        <w:pStyle w:val="65"/>
        <w:tabs>
          <w:tab w:val="left" w:pos="8280"/>
        </w:tabs>
        <w:spacing w:line="360" w:lineRule="auto"/>
        <w:ind w:firstLine="360" w:firstLineChars="150"/>
        <w:rPr>
          <w:rStyle w:val="21"/>
          <w:rFonts w:hint="eastAsia" w:asciiTheme="minorEastAsia" w:hAnsiTheme="minorEastAsia" w:eastAsiaTheme="minorEastAsia" w:cstheme="minorEastAsia"/>
          <w:color w:val="auto"/>
          <w:kern w:val="2"/>
          <w:sz w:val="24"/>
          <w:szCs w:val="24"/>
          <w:highlight w:val="none"/>
          <w:lang w:val="en-US" w:eastAsia="zh-CN" w:bidi="ar-SA"/>
        </w:rPr>
      </w:pPr>
      <w:r>
        <w:rPr>
          <w:rStyle w:val="21"/>
          <w:rFonts w:hint="eastAsia" w:asciiTheme="minorEastAsia" w:hAnsiTheme="minorEastAsia" w:eastAsiaTheme="minorEastAsia" w:cstheme="minorEastAsia"/>
          <w:color w:val="auto"/>
          <w:kern w:val="2"/>
          <w:sz w:val="24"/>
          <w:szCs w:val="24"/>
          <w:highlight w:val="none"/>
          <w:lang w:val="en-US" w:eastAsia="zh-CN" w:bidi="ar-SA"/>
        </w:rPr>
        <w:t>承包人应按照第9.4款约定负责施工场地及其周边环境与生态的保护工作。</w:t>
      </w:r>
    </w:p>
    <w:p>
      <w:pPr>
        <w:pStyle w:val="65"/>
        <w:tabs>
          <w:tab w:val="left" w:pos="8280"/>
        </w:tabs>
        <w:spacing w:line="360" w:lineRule="auto"/>
        <w:ind w:firstLine="360" w:firstLineChars="150"/>
        <w:rPr>
          <w:rStyle w:val="21"/>
          <w:rFonts w:hint="eastAsia" w:asciiTheme="minorEastAsia" w:hAnsiTheme="minorEastAsia" w:eastAsiaTheme="minorEastAsia" w:cstheme="minorEastAsia"/>
          <w:color w:val="auto"/>
          <w:kern w:val="2"/>
          <w:sz w:val="24"/>
          <w:szCs w:val="24"/>
          <w:highlight w:val="none"/>
          <w:lang w:val="en-US" w:eastAsia="zh-CN" w:bidi="ar-SA"/>
        </w:rPr>
      </w:pPr>
      <w:r>
        <w:rPr>
          <w:rStyle w:val="21"/>
          <w:rFonts w:hint="eastAsia" w:asciiTheme="minorEastAsia" w:hAnsiTheme="minorEastAsia" w:eastAsiaTheme="minorEastAsia" w:cstheme="minorEastAsia"/>
          <w:color w:val="auto"/>
          <w:kern w:val="2"/>
          <w:sz w:val="24"/>
          <w:szCs w:val="24"/>
          <w:highlight w:val="none"/>
          <w:lang w:val="en-US" w:eastAsia="zh-CN" w:bidi="ar-SA"/>
        </w:rPr>
        <w:t>4.1.7避免施工对公众与他人的利益造成损害</w:t>
      </w:r>
    </w:p>
    <w:p>
      <w:pPr>
        <w:pStyle w:val="65"/>
        <w:tabs>
          <w:tab w:val="left" w:pos="8280"/>
        </w:tabs>
        <w:spacing w:line="360" w:lineRule="auto"/>
        <w:ind w:firstLine="360" w:firstLineChars="150"/>
        <w:rPr>
          <w:rStyle w:val="21"/>
          <w:rFonts w:hint="eastAsia" w:asciiTheme="minorEastAsia" w:hAnsiTheme="minorEastAsia" w:eastAsiaTheme="minorEastAsia" w:cstheme="minorEastAsia"/>
          <w:color w:val="auto"/>
          <w:kern w:val="2"/>
          <w:sz w:val="24"/>
          <w:szCs w:val="24"/>
          <w:highlight w:val="none"/>
          <w:lang w:val="en-US" w:eastAsia="zh-CN" w:bidi="ar-SA"/>
        </w:rPr>
      </w:pPr>
      <w:r>
        <w:rPr>
          <w:rStyle w:val="21"/>
          <w:rFonts w:hint="eastAsia" w:asciiTheme="minorEastAsia" w:hAnsiTheme="minorEastAsia" w:eastAsiaTheme="minorEastAsia" w:cstheme="minorEastAsia"/>
          <w:color w:val="auto"/>
          <w:kern w:val="2"/>
          <w:sz w:val="24"/>
          <w:szCs w:val="24"/>
          <w:highlight w:val="none"/>
          <w:lang w:val="en-US" w:eastAsia="zh-CN" w:bidi="ar-SA"/>
        </w:rPr>
        <w:t>承包入在进行合同约定的各项工作时，不得侵害发包人与他人使用公用道路水源、市政管网等公共设施的权利，避免对邻近的公共设施产生干扰。承包人占用或使用他人的施工场地，影响他人作业或生活的，应承担相应责任。</w:t>
      </w:r>
    </w:p>
    <w:p>
      <w:pPr>
        <w:pStyle w:val="65"/>
        <w:tabs>
          <w:tab w:val="left" w:pos="8280"/>
        </w:tabs>
        <w:spacing w:line="360" w:lineRule="auto"/>
        <w:ind w:firstLine="360" w:firstLineChars="150"/>
        <w:rPr>
          <w:rStyle w:val="21"/>
          <w:rFonts w:hint="eastAsia" w:asciiTheme="minorEastAsia" w:hAnsiTheme="minorEastAsia" w:eastAsiaTheme="minorEastAsia" w:cstheme="minorEastAsia"/>
          <w:color w:val="auto"/>
          <w:kern w:val="2"/>
          <w:sz w:val="24"/>
          <w:szCs w:val="24"/>
          <w:highlight w:val="none"/>
          <w:lang w:val="en-US" w:eastAsia="zh-CN" w:bidi="ar-SA"/>
        </w:rPr>
      </w:pPr>
      <w:r>
        <w:rPr>
          <w:rStyle w:val="21"/>
          <w:rFonts w:hint="eastAsia" w:asciiTheme="minorEastAsia" w:hAnsiTheme="minorEastAsia" w:eastAsiaTheme="minorEastAsia" w:cstheme="minorEastAsia"/>
          <w:color w:val="auto"/>
          <w:kern w:val="2"/>
          <w:sz w:val="24"/>
          <w:szCs w:val="24"/>
          <w:highlight w:val="none"/>
          <w:lang w:val="en-US" w:eastAsia="zh-CN" w:bidi="ar-SA"/>
        </w:rPr>
        <w:t>4.1.8为他人提供方便</w:t>
      </w:r>
    </w:p>
    <w:p>
      <w:pPr>
        <w:pStyle w:val="65"/>
        <w:tabs>
          <w:tab w:val="left" w:pos="8280"/>
        </w:tabs>
        <w:spacing w:line="360" w:lineRule="auto"/>
        <w:ind w:firstLine="360" w:firstLineChars="150"/>
        <w:rPr>
          <w:rStyle w:val="21"/>
          <w:rFonts w:hint="eastAsia" w:asciiTheme="minorEastAsia" w:hAnsiTheme="minorEastAsia" w:eastAsiaTheme="minorEastAsia" w:cstheme="minorEastAsia"/>
          <w:color w:val="auto"/>
          <w:kern w:val="2"/>
          <w:sz w:val="24"/>
          <w:szCs w:val="24"/>
          <w:highlight w:val="none"/>
          <w:lang w:val="en-US" w:eastAsia="zh-CN" w:bidi="ar-SA"/>
        </w:rPr>
      </w:pPr>
      <w:r>
        <w:rPr>
          <w:rStyle w:val="21"/>
          <w:rFonts w:hint="eastAsia" w:asciiTheme="minorEastAsia" w:hAnsiTheme="minorEastAsia" w:eastAsiaTheme="minorEastAsia" w:cstheme="minorEastAsia"/>
          <w:color w:val="auto"/>
          <w:kern w:val="2"/>
          <w:sz w:val="24"/>
          <w:szCs w:val="24"/>
          <w:highlight w:val="none"/>
          <w:lang w:val="en-US" w:eastAsia="zh-CN" w:bidi="ar-SA"/>
        </w:rPr>
        <w:t>承包人应按监理人的指示为他人在施工场地或附近实施与工程有关的其他各项工作提供可能的条件。除合同另有约定外，提供有关条件的内容和可能发生的费用，由监理人按第3.5款商定或确定。</w:t>
      </w:r>
    </w:p>
    <w:p>
      <w:pPr>
        <w:pStyle w:val="65"/>
        <w:tabs>
          <w:tab w:val="left" w:pos="8280"/>
        </w:tabs>
        <w:spacing w:line="360" w:lineRule="auto"/>
        <w:ind w:firstLine="360" w:firstLineChars="150"/>
        <w:rPr>
          <w:rStyle w:val="21"/>
          <w:rFonts w:hint="eastAsia" w:asciiTheme="minorEastAsia" w:hAnsiTheme="minorEastAsia" w:eastAsiaTheme="minorEastAsia" w:cstheme="minorEastAsia"/>
          <w:color w:val="auto"/>
          <w:kern w:val="2"/>
          <w:sz w:val="24"/>
          <w:szCs w:val="24"/>
          <w:highlight w:val="none"/>
          <w:lang w:val="en-US" w:eastAsia="zh-CN" w:bidi="ar-SA"/>
        </w:rPr>
      </w:pPr>
      <w:r>
        <w:rPr>
          <w:rStyle w:val="21"/>
          <w:rFonts w:hint="eastAsia" w:asciiTheme="minorEastAsia" w:hAnsiTheme="minorEastAsia" w:eastAsiaTheme="minorEastAsia" w:cstheme="minorEastAsia"/>
          <w:color w:val="auto"/>
          <w:kern w:val="2"/>
          <w:sz w:val="24"/>
          <w:szCs w:val="24"/>
          <w:highlight w:val="none"/>
          <w:lang w:val="en-US" w:eastAsia="zh-CN" w:bidi="ar-SA"/>
        </w:rPr>
        <w:t>4.1.9工程的维护和照管</w:t>
      </w:r>
    </w:p>
    <w:p>
      <w:pPr>
        <w:pStyle w:val="65"/>
        <w:tabs>
          <w:tab w:val="left" w:pos="8280"/>
        </w:tabs>
        <w:spacing w:line="360" w:lineRule="auto"/>
        <w:ind w:firstLine="360" w:firstLineChars="150"/>
        <w:rPr>
          <w:rStyle w:val="21"/>
          <w:rFonts w:hint="eastAsia" w:asciiTheme="minorEastAsia" w:hAnsiTheme="minorEastAsia" w:eastAsiaTheme="minorEastAsia" w:cstheme="minorEastAsia"/>
          <w:color w:val="auto"/>
          <w:kern w:val="2"/>
          <w:sz w:val="24"/>
          <w:szCs w:val="24"/>
          <w:highlight w:val="none"/>
          <w:lang w:val="en-US" w:eastAsia="zh-CN" w:bidi="ar-SA"/>
        </w:rPr>
      </w:pPr>
      <w:r>
        <w:rPr>
          <w:rStyle w:val="21"/>
          <w:rFonts w:hint="eastAsia" w:asciiTheme="minorEastAsia" w:hAnsiTheme="minorEastAsia" w:eastAsiaTheme="minorEastAsia" w:cstheme="minorEastAsia"/>
          <w:color w:val="auto"/>
          <w:kern w:val="2"/>
          <w:sz w:val="24"/>
          <w:szCs w:val="24"/>
          <w:highlight w:val="none"/>
          <w:lang w:val="en-US" w:eastAsia="zh-CN" w:bidi="ar-SA"/>
        </w:rPr>
        <w:t>除合同另有约定外，合同工程完工证书颁发前，承包人应负责照管和维护工程。合同工程完工证书颁发时尚有部分未完工程的，承包人还应负责该未完工程的照管和维护工作，直至完工后移交给发包人为止。</w:t>
      </w:r>
    </w:p>
    <w:p>
      <w:pPr>
        <w:pStyle w:val="65"/>
        <w:tabs>
          <w:tab w:val="left" w:pos="8280"/>
        </w:tabs>
        <w:spacing w:line="360" w:lineRule="auto"/>
        <w:ind w:right="-315" w:rightChars="-150"/>
        <w:rPr>
          <w:rStyle w:val="21"/>
          <w:rFonts w:hint="eastAsia" w:asciiTheme="minorEastAsia" w:hAnsiTheme="minorEastAsia" w:eastAsiaTheme="minorEastAsia" w:cstheme="minorEastAsia"/>
          <w:b/>
          <w:color w:val="auto"/>
          <w:kern w:val="2"/>
          <w:sz w:val="24"/>
          <w:szCs w:val="24"/>
          <w:highlight w:val="none"/>
          <w:lang w:val="en-US" w:eastAsia="zh-CN" w:bidi="ar-SA"/>
        </w:rPr>
      </w:pPr>
      <w:r>
        <w:rPr>
          <w:rStyle w:val="21"/>
          <w:rFonts w:hint="eastAsia" w:asciiTheme="minorEastAsia" w:hAnsiTheme="minorEastAsia" w:eastAsiaTheme="minorEastAsia" w:cstheme="minorEastAsia"/>
          <w:b/>
          <w:color w:val="auto"/>
          <w:kern w:val="2"/>
          <w:sz w:val="24"/>
          <w:szCs w:val="24"/>
          <w:highlight w:val="none"/>
          <w:lang w:val="en-US" w:eastAsia="zh-CN" w:bidi="ar-SA"/>
        </w:rPr>
        <w:t xml:space="preserve">4.2履约担保  </w:t>
      </w:r>
    </w:p>
    <w:p>
      <w:pPr>
        <w:pStyle w:val="65"/>
        <w:tabs>
          <w:tab w:val="left" w:pos="8280"/>
        </w:tabs>
        <w:spacing w:line="360" w:lineRule="auto"/>
        <w:ind w:firstLine="360" w:firstLineChars="150"/>
        <w:rPr>
          <w:rStyle w:val="21"/>
          <w:rFonts w:hint="eastAsia" w:asciiTheme="minorEastAsia" w:hAnsiTheme="minorEastAsia" w:eastAsiaTheme="minorEastAsia" w:cstheme="minorEastAsia"/>
          <w:color w:val="auto"/>
          <w:kern w:val="2"/>
          <w:sz w:val="24"/>
          <w:szCs w:val="24"/>
          <w:highlight w:val="none"/>
          <w:lang w:val="en-US" w:eastAsia="zh-CN" w:bidi="ar-SA"/>
        </w:rPr>
      </w:pPr>
      <w:r>
        <w:rPr>
          <w:rStyle w:val="21"/>
          <w:rFonts w:hint="eastAsia" w:asciiTheme="minorEastAsia" w:hAnsiTheme="minorEastAsia" w:eastAsiaTheme="minorEastAsia" w:cstheme="minorEastAsia"/>
          <w:color w:val="auto"/>
          <w:kern w:val="2"/>
          <w:sz w:val="24"/>
          <w:szCs w:val="24"/>
          <w:highlight w:val="none"/>
          <w:lang w:val="en-US" w:eastAsia="zh-CN" w:bidi="ar-SA"/>
        </w:rPr>
        <w:t>承包人应保证其履约担保在发包入颁发合同工程完工证书前一直有效发包入应在合同工程完工证书颁发后28天内将履约担保退还给承包人。</w:t>
      </w:r>
    </w:p>
    <w:p>
      <w:pPr>
        <w:pStyle w:val="65"/>
        <w:tabs>
          <w:tab w:val="left" w:pos="8280"/>
        </w:tabs>
        <w:spacing w:line="360" w:lineRule="auto"/>
        <w:ind w:right="-315" w:rightChars="-150"/>
        <w:rPr>
          <w:rStyle w:val="21"/>
          <w:rFonts w:hint="eastAsia" w:asciiTheme="minorEastAsia" w:hAnsiTheme="minorEastAsia" w:eastAsiaTheme="minorEastAsia" w:cstheme="minorEastAsia"/>
          <w:b/>
          <w:color w:val="auto"/>
          <w:kern w:val="2"/>
          <w:sz w:val="24"/>
          <w:szCs w:val="24"/>
          <w:highlight w:val="none"/>
          <w:lang w:val="en-US" w:eastAsia="zh-CN" w:bidi="ar-SA"/>
        </w:rPr>
      </w:pPr>
      <w:r>
        <w:rPr>
          <w:rStyle w:val="21"/>
          <w:rFonts w:hint="eastAsia" w:asciiTheme="minorEastAsia" w:hAnsiTheme="minorEastAsia" w:eastAsiaTheme="minorEastAsia" w:cstheme="minorEastAsia"/>
          <w:b/>
          <w:color w:val="auto"/>
          <w:kern w:val="2"/>
          <w:sz w:val="24"/>
          <w:szCs w:val="24"/>
          <w:highlight w:val="none"/>
          <w:lang w:val="en-US" w:eastAsia="zh-CN" w:bidi="ar-SA"/>
        </w:rPr>
        <w:t>4.3分包</w:t>
      </w:r>
    </w:p>
    <w:p>
      <w:pPr>
        <w:pStyle w:val="65"/>
        <w:tabs>
          <w:tab w:val="left" w:pos="8280"/>
        </w:tabs>
        <w:spacing w:line="360" w:lineRule="auto"/>
        <w:ind w:firstLine="360" w:firstLineChars="150"/>
        <w:rPr>
          <w:rStyle w:val="21"/>
          <w:rFonts w:hint="eastAsia" w:asciiTheme="minorEastAsia" w:hAnsiTheme="minorEastAsia" w:eastAsiaTheme="minorEastAsia" w:cstheme="minorEastAsia"/>
          <w:color w:val="auto"/>
          <w:kern w:val="2"/>
          <w:sz w:val="24"/>
          <w:szCs w:val="24"/>
          <w:highlight w:val="none"/>
          <w:lang w:val="en-US" w:eastAsia="zh-CN" w:bidi="ar-SA"/>
        </w:rPr>
      </w:pPr>
      <w:r>
        <w:rPr>
          <w:rStyle w:val="21"/>
          <w:rFonts w:hint="eastAsia" w:asciiTheme="minorEastAsia" w:hAnsiTheme="minorEastAsia" w:eastAsiaTheme="minorEastAsia" w:cstheme="minorEastAsia"/>
          <w:color w:val="auto"/>
          <w:kern w:val="2"/>
          <w:sz w:val="24"/>
          <w:szCs w:val="24"/>
          <w:highlight w:val="none"/>
          <w:lang w:val="en-US" w:eastAsia="zh-CN" w:bidi="ar-SA"/>
        </w:rPr>
        <w:t xml:space="preserve">4.3.1承包人不得将其承包的全部工程转包给第三人，或将其承包的全部工程肢解后以分包的名义转包给。    </w:t>
      </w:r>
    </w:p>
    <w:p>
      <w:pPr>
        <w:pStyle w:val="65"/>
        <w:tabs>
          <w:tab w:val="left" w:pos="8280"/>
        </w:tabs>
        <w:spacing w:line="360" w:lineRule="auto"/>
        <w:ind w:firstLine="360" w:firstLineChars="150"/>
        <w:rPr>
          <w:rStyle w:val="21"/>
          <w:rFonts w:hint="eastAsia" w:asciiTheme="minorEastAsia" w:hAnsiTheme="minorEastAsia" w:eastAsiaTheme="minorEastAsia" w:cstheme="minorEastAsia"/>
          <w:color w:val="auto"/>
          <w:kern w:val="2"/>
          <w:sz w:val="24"/>
          <w:szCs w:val="24"/>
          <w:highlight w:val="none"/>
          <w:lang w:val="en-US" w:eastAsia="zh-CN" w:bidi="ar-SA"/>
        </w:rPr>
      </w:pPr>
      <w:r>
        <w:rPr>
          <w:rStyle w:val="21"/>
          <w:rFonts w:hint="eastAsia" w:asciiTheme="minorEastAsia" w:hAnsiTheme="minorEastAsia" w:eastAsiaTheme="minorEastAsia" w:cstheme="minorEastAsia"/>
          <w:color w:val="auto"/>
          <w:kern w:val="2"/>
          <w:sz w:val="24"/>
          <w:szCs w:val="24"/>
          <w:highlight w:val="none"/>
          <w:lang w:val="en-US" w:eastAsia="zh-CN" w:bidi="ar-SA"/>
        </w:rPr>
        <w:t>4.3.2承包人不得将工程主体、关键性工作分包给第三人。除专用合同条款另有约定外，未经发包人同意，承包人不得将工程的其他部分或工作分包给第三人。</w:t>
      </w:r>
    </w:p>
    <w:p>
      <w:pPr>
        <w:pStyle w:val="65"/>
        <w:tabs>
          <w:tab w:val="left" w:pos="8280"/>
        </w:tabs>
        <w:spacing w:line="360" w:lineRule="auto"/>
        <w:ind w:right="-315" w:rightChars="-150"/>
        <w:rPr>
          <w:rStyle w:val="21"/>
          <w:rFonts w:hint="eastAsia" w:asciiTheme="minorEastAsia" w:hAnsiTheme="minorEastAsia" w:eastAsiaTheme="minorEastAsia" w:cstheme="minorEastAsia"/>
          <w:b/>
          <w:color w:val="auto"/>
          <w:kern w:val="2"/>
          <w:sz w:val="24"/>
          <w:szCs w:val="24"/>
          <w:highlight w:val="none"/>
          <w:lang w:val="en-US" w:eastAsia="zh-CN" w:bidi="ar-SA"/>
        </w:rPr>
      </w:pPr>
      <w:r>
        <w:rPr>
          <w:rStyle w:val="21"/>
          <w:rFonts w:hint="eastAsia" w:asciiTheme="minorEastAsia" w:hAnsiTheme="minorEastAsia" w:eastAsiaTheme="minorEastAsia" w:cstheme="minorEastAsia"/>
          <w:b/>
          <w:color w:val="auto"/>
          <w:kern w:val="2"/>
          <w:sz w:val="24"/>
          <w:szCs w:val="24"/>
          <w:highlight w:val="none"/>
          <w:lang w:val="en-US" w:eastAsia="zh-CN" w:bidi="ar-SA"/>
        </w:rPr>
        <w:t>4.4承包人项目经理</w:t>
      </w:r>
    </w:p>
    <w:p>
      <w:pPr>
        <w:pStyle w:val="65"/>
        <w:tabs>
          <w:tab w:val="left" w:pos="8280"/>
        </w:tabs>
        <w:spacing w:line="360" w:lineRule="auto"/>
        <w:ind w:firstLine="360" w:firstLineChars="150"/>
        <w:rPr>
          <w:rStyle w:val="21"/>
          <w:rFonts w:hint="eastAsia" w:asciiTheme="minorEastAsia" w:hAnsiTheme="minorEastAsia" w:eastAsiaTheme="minorEastAsia" w:cstheme="minorEastAsia"/>
          <w:color w:val="auto"/>
          <w:kern w:val="2"/>
          <w:sz w:val="24"/>
          <w:szCs w:val="24"/>
          <w:highlight w:val="none"/>
          <w:lang w:val="en-US" w:eastAsia="zh-CN" w:bidi="ar-SA"/>
        </w:rPr>
      </w:pPr>
      <w:r>
        <w:rPr>
          <w:rStyle w:val="21"/>
          <w:rFonts w:hint="eastAsia" w:asciiTheme="minorEastAsia" w:hAnsiTheme="minorEastAsia" w:eastAsiaTheme="minorEastAsia" w:cstheme="minorEastAsia"/>
          <w:color w:val="auto"/>
          <w:kern w:val="2"/>
          <w:sz w:val="24"/>
          <w:szCs w:val="24"/>
          <w:highlight w:val="none"/>
          <w:lang w:val="en-US" w:eastAsia="zh-CN" w:bidi="ar-SA"/>
        </w:rPr>
        <w:t>4.4.1承包人应按合同约定指派项目经理，并在约定的期限内到位。承包人更换项目经理应事先征得发包人同意，并应在更换14天前通知发包人和监理人。承包人项目经理短期离开施工场地，应事先征得监理人同意，并委派代表代行其职责。</w:t>
      </w:r>
    </w:p>
    <w:p>
      <w:pPr>
        <w:pStyle w:val="65"/>
        <w:tabs>
          <w:tab w:val="left" w:pos="8280"/>
        </w:tabs>
        <w:spacing w:line="360" w:lineRule="auto"/>
        <w:ind w:firstLine="360" w:firstLineChars="150"/>
        <w:rPr>
          <w:rStyle w:val="21"/>
          <w:rFonts w:hint="eastAsia" w:asciiTheme="minorEastAsia" w:hAnsiTheme="minorEastAsia" w:eastAsiaTheme="minorEastAsia" w:cstheme="minorEastAsia"/>
          <w:color w:val="auto"/>
          <w:kern w:val="2"/>
          <w:sz w:val="24"/>
          <w:szCs w:val="24"/>
          <w:highlight w:val="none"/>
          <w:lang w:val="en-US" w:eastAsia="zh-CN" w:bidi="ar-SA"/>
        </w:rPr>
      </w:pPr>
      <w:r>
        <w:rPr>
          <w:rStyle w:val="21"/>
          <w:rFonts w:hint="eastAsia" w:asciiTheme="minorEastAsia" w:hAnsiTheme="minorEastAsia" w:eastAsiaTheme="minorEastAsia" w:cstheme="minorEastAsia"/>
          <w:color w:val="auto"/>
          <w:kern w:val="2"/>
          <w:sz w:val="24"/>
          <w:szCs w:val="24"/>
          <w:highlight w:val="none"/>
          <w:lang w:val="en-US" w:eastAsia="zh-CN" w:bidi="ar-SA"/>
        </w:rPr>
        <w:t>4.4.2承包人项目经理应按合同约定以及监理人按第3.4款作出的指示，负责组织合同工程的实施。在情况紧急且无法与监理人取得联系时，可采取保证工程和人员生命财产安全的紧急措施，并在采取措施后24小时内向监理人提交书面报告。</w:t>
      </w:r>
    </w:p>
    <w:p>
      <w:pPr>
        <w:pStyle w:val="65"/>
        <w:tabs>
          <w:tab w:val="left" w:pos="8280"/>
        </w:tabs>
        <w:spacing w:line="360" w:lineRule="auto"/>
        <w:ind w:firstLine="360" w:firstLineChars="150"/>
        <w:rPr>
          <w:rStyle w:val="21"/>
          <w:rFonts w:hint="eastAsia" w:asciiTheme="minorEastAsia" w:hAnsiTheme="minorEastAsia" w:eastAsiaTheme="minorEastAsia" w:cstheme="minorEastAsia"/>
          <w:color w:val="auto"/>
          <w:kern w:val="2"/>
          <w:sz w:val="24"/>
          <w:szCs w:val="24"/>
          <w:highlight w:val="none"/>
          <w:lang w:val="en-US" w:eastAsia="zh-CN" w:bidi="ar-SA"/>
        </w:rPr>
      </w:pPr>
      <w:r>
        <w:rPr>
          <w:rStyle w:val="21"/>
          <w:rFonts w:hint="eastAsia" w:asciiTheme="minorEastAsia" w:hAnsiTheme="minorEastAsia" w:eastAsiaTheme="minorEastAsia" w:cstheme="minorEastAsia"/>
          <w:color w:val="auto"/>
          <w:kern w:val="2"/>
          <w:sz w:val="24"/>
          <w:szCs w:val="24"/>
          <w:highlight w:val="none"/>
          <w:lang w:val="en-US" w:eastAsia="zh-CN" w:bidi="ar-SA"/>
        </w:rPr>
        <w:t>4.4.3承包人为履行合同发出的一切函件均应盖有承包人授权的施工场地管理机构章，并由承包人项目经理或其授权代表签字。</w:t>
      </w:r>
    </w:p>
    <w:p>
      <w:pPr>
        <w:pStyle w:val="65"/>
        <w:tabs>
          <w:tab w:val="left" w:pos="8280"/>
        </w:tabs>
        <w:spacing w:line="360" w:lineRule="auto"/>
        <w:ind w:firstLine="360" w:firstLineChars="150"/>
        <w:rPr>
          <w:rStyle w:val="21"/>
          <w:rFonts w:hint="eastAsia" w:asciiTheme="minorEastAsia" w:hAnsiTheme="minorEastAsia" w:eastAsiaTheme="minorEastAsia" w:cstheme="minorEastAsia"/>
          <w:color w:val="auto"/>
          <w:kern w:val="2"/>
          <w:sz w:val="24"/>
          <w:szCs w:val="24"/>
          <w:highlight w:val="none"/>
          <w:lang w:val="en-US" w:eastAsia="zh-CN" w:bidi="ar-SA"/>
        </w:rPr>
      </w:pPr>
      <w:r>
        <w:rPr>
          <w:rStyle w:val="21"/>
          <w:rFonts w:hint="eastAsia" w:asciiTheme="minorEastAsia" w:hAnsiTheme="minorEastAsia" w:eastAsiaTheme="minorEastAsia" w:cstheme="minorEastAsia"/>
          <w:color w:val="auto"/>
          <w:kern w:val="2"/>
          <w:sz w:val="24"/>
          <w:szCs w:val="24"/>
          <w:highlight w:val="none"/>
          <w:lang w:val="en-US" w:eastAsia="zh-CN" w:bidi="ar-SA"/>
        </w:rPr>
        <w:t xml:space="preserve">4.4.4承包人项目经理可以授权其下属人员履行其某项职责，但事先应将这些人员的姓名和授权范围通知监理人。    </w:t>
      </w:r>
    </w:p>
    <w:p>
      <w:pPr>
        <w:pStyle w:val="65"/>
        <w:tabs>
          <w:tab w:val="left" w:pos="8280"/>
        </w:tabs>
        <w:spacing w:line="360" w:lineRule="auto"/>
        <w:ind w:right="-315" w:rightChars="-150"/>
        <w:rPr>
          <w:rStyle w:val="21"/>
          <w:rFonts w:hint="eastAsia" w:asciiTheme="minorEastAsia" w:hAnsiTheme="minorEastAsia" w:eastAsiaTheme="minorEastAsia" w:cstheme="minorEastAsia"/>
          <w:b/>
          <w:color w:val="auto"/>
          <w:kern w:val="2"/>
          <w:sz w:val="24"/>
          <w:szCs w:val="24"/>
          <w:highlight w:val="none"/>
          <w:lang w:val="en-US" w:eastAsia="zh-CN" w:bidi="ar-SA"/>
        </w:rPr>
      </w:pPr>
      <w:r>
        <w:rPr>
          <w:rStyle w:val="21"/>
          <w:rFonts w:hint="eastAsia" w:asciiTheme="minorEastAsia" w:hAnsiTheme="minorEastAsia" w:eastAsiaTheme="minorEastAsia" w:cstheme="minorEastAsia"/>
          <w:b/>
          <w:color w:val="auto"/>
          <w:kern w:val="2"/>
          <w:sz w:val="24"/>
          <w:szCs w:val="24"/>
          <w:highlight w:val="none"/>
          <w:lang w:val="en-US" w:eastAsia="zh-CN" w:bidi="ar-SA"/>
        </w:rPr>
        <w:t>4.6承包人人员的管理</w:t>
      </w:r>
    </w:p>
    <w:p>
      <w:pPr>
        <w:pStyle w:val="65"/>
        <w:tabs>
          <w:tab w:val="left" w:pos="8280"/>
        </w:tabs>
        <w:spacing w:line="360" w:lineRule="auto"/>
        <w:ind w:firstLine="360" w:firstLineChars="150"/>
        <w:rPr>
          <w:rStyle w:val="21"/>
          <w:rFonts w:hint="eastAsia" w:asciiTheme="minorEastAsia" w:hAnsiTheme="minorEastAsia" w:eastAsiaTheme="minorEastAsia" w:cstheme="minorEastAsia"/>
          <w:color w:val="auto"/>
          <w:kern w:val="2"/>
          <w:sz w:val="24"/>
          <w:szCs w:val="24"/>
          <w:highlight w:val="none"/>
          <w:lang w:val="en-US" w:eastAsia="zh-CN" w:bidi="ar-SA"/>
        </w:rPr>
      </w:pPr>
      <w:r>
        <w:rPr>
          <w:rStyle w:val="21"/>
          <w:rFonts w:hint="eastAsia" w:asciiTheme="minorEastAsia" w:hAnsiTheme="minorEastAsia" w:eastAsiaTheme="minorEastAsia" w:cstheme="minorEastAsia"/>
          <w:color w:val="auto"/>
          <w:kern w:val="2"/>
          <w:sz w:val="24"/>
          <w:szCs w:val="24"/>
          <w:highlight w:val="none"/>
          <w:lang w:val="en-US" w:eastAsia="zh-CN" w:bidi="ar-SA"/>
        </w:rPr>
        <w:t>4.6.1承包入应在接到开工通知后28天内，向监理入提交承包人在施工场地的管理机构以及人员安排的报告，其内容应包括管理机构的设置、各主要岗位的技术和管理人员名单及其资格，以及各工种技术工人的安排状况。承包人应向监理人提交施工场地人员变动情况的报告。</w:t>
      </w:r>
    </w:p>
    <w:p>
      <w:pPr>
        <w:pStyle w:val="65"/>
        <w:tabs>
          <w:tab w:val="left" w:pos="8280"/>
        </w:tabs>
        <w:spacing w:line="360" w:lineRule="auto"/>
        <w:ind w:firstLine="360" w:firstLineChars="150"/>
        <w:rPr>
          <w:rStyle w:val="21"/>
          <w:rFonts w:hint="eastAsia" w:asciiTheme="minorEastAsia" w:hAnsiTheme="minorEastAsia" w:eastAsiaTheme="minorEastAsia" w:cstheme="minorEastAsia"/>
          <w:color w:val="auto"/>
          <w:kern w:val="2"/>
          <w:sz w:val="24"/>
          <w:szCs w:val="24"/>
          <w:highlight w:val="none"/>
          <w:lang w:val="en-US" w:eastAsia="zh-CN" w:bidi="ar-SA"/>
        </w:rPr>
      </w:pPr>
      <w:r>
        <w:rPr>
          <w:rStyle w:val="21"/>
          <w:rFonts w:hint="eastAsia" w:asciiTheme="minorEastAsia" w:hAnsiTheme="minorEastAsia" w:eastAsiaTheme="minorEastAsia" w:cstheme="minorEastAsia"/>
          <w:color w:val="auto"/>
          <w:kern w:val="2"/>
          <w:sz w:val="24"/>
          <w:szCs w:val="24"/>
          <w:highlight w:val="none"/>
          <w:lang w:val="en-US" w:eastAsia="zh-CN" w:bidi="ar-SA"/>
        </w:rPr>
        <w:t>4.6.2为完成合同约定的各项工作，承包人应向施工场地派遣或雇佣足够数量的下列人员：</w:t>
      </w:r>
    </w:p>
    <w:p>
      <w:pPr>
        <w:pStyle w:val="65"/>
        <w:tabs>
          <w:tab w:val="left" w:pos="8280"/>
        </w:tabs>
        <w:spacing w:line="360" w:lineRule="auto"/>
        <w:ind w:firstLine="360" w:firstLineChars="150"/>
        <w:rPr>
          <w:rStyle w:val="21"/>
          <w:rFonts w:hint="eastAsia" w:asciiTheme="minorEastAsia" w:hAnsiTheme="minorEastAsia" w:eastAsiaTheme="minorEastAsia" w:cstheme="minorEastAsia"/>
          <w:color w:val="auto"/>
          <w:kern w:val="2"/>
          <w:sz w:val="24"/>
          <w:szCs w:val="24"/>
          <w:highlight w:val="none"/>
          <w:lang w:val="en-US" w:eastAsia="zh-CN" w:bidi="ar-SA"/>
        </w:rPr>
      </w:pPr>
      <w:r>
        <w:rPr>
          <w:rStyle w:val="21"/>
          <w:rFonts w:hint="eastAsia" w:asciiTheme="minorEastAsia" w:hAnsiTheme="minorEastAsia" w:eastAsiaTheme="minorEastAsia" w:cstheme="minorEastAsia"/>
          <w:color w:val="auto"/>
          <w:kern w:val="2"/>
          <w:sz w:val="24"/>
          <w:szCs w:val="24"/>
          <w:highlight w:val="none"/>
          <w:lang w:val="en-US" w:eastAsia="zh-CN" w:bidi="ar-SA"/>
        </w:rPr>
        <w:t xml:space="preserve">(1)具有相应资格的专业技工和合格的普工；    </w:t>
      </w:r>
    </w:p>
    <w:p>
      <w:pPr>
        <w:pStyle w:val="65"/>
        <w:tabs>
          <w:tab w:val="left" w:pos="8280"/>
        </w:tabs>
        <w:spacing w:line="360" w:lineRule="auto"/>
        <w:ind w:firstLine="360" w:firstLineChars="150"/>
        <w:rPr>
          <w:rStyle w:val="21"/>
          <w:rFonts w:hint="eastAsia" w:asciiTheme="minorEastAsia" w:hAnsiTheme="minorEastAsia" w:eastAsiaTheme="minorEastAsia" w:cstheme="minorEastAsia"/>
          <w:color w:val="auto"/>
          <w:kern w:val="2"/>
          <w:sz w:val="24"/>
          <w:szCs w:val="24"/>
          <w:highlight w:val="none"/>
          <w:lang w:val="en-US" w:eastAsia="zh-CN" w:bidi="ar-SA"/>
        </w:rPr>
      </w:pPr>
      <w:r>
        <w:rPr>
          <w:rStyle w:val="21"/>
          <w:rFonts w:hint="eastAsia" w:asciiTheme="minorEastAsia" w:hAnsiTheme="minorEastAsia" w:eastAsiaTheme="minorEastAsia" w:cstheme="minorEastAsia"/>
          <w:color w:val="auto"/>
          <w:kern w:val="2"/>
          <w:sz w:val="24"/>
          <w:szCs w:val="24"/>
          <w:highlight w:val="none"/>
          <w:lang w:val="en-US" w:eastAsia="zh-CN" w:bidi="ar-SA"/>
        </w:rPr>
        <w:t>(2)具有相应施工经验的技术人员；</w:t>
      </w:r>
    </w:p>
    <w:p>
      <w:pPr>
        <w:pStyle w:val="65"/>
        <w:tabs>
          <w:tab w:val="left" w:pos="8280"/>
        </w:tabs>
        <w:spacing w:line="360" w:lineRule="auto"/>
        <w:ind w:firstLine="360" w:firstLineChars="150"/>
        <w:rPr>
          <w:rStyle w:val="21"/>
          <w:rFonts w:hint="eastAsia" w:asciiTheme="minorEastAsia" w:hAnsiTheme="minorEastAsia" w:eastAsiaTheme="minorEastAsia" w:cstheme="minorEastAsia"/>
          <w:color w:val="auto"/>
          <w:kern w:val="2"/>
          <w:sz w:val="24"/>
          <w:szCs w:val="24"/>
          <w:highlight w:val="none"/>
          <w:lang w:val="en-US" w:eastAsia="zh-CN" w:bidi="ar-SA"/>
        </w:rPr>
      </w:pPr>
      <w:r>
        <w:rPr>
          <w:rStyle w:val="21"/>
          <w:rFonts w:hint="eastAsia" w:asciiTheme="minorEastAsia" w:hAnsiTheme="minorEastAsia" w:eastAsiaTheme="minorEastAsia" w:cstheme="minorEastAsia"/>
          <w:color w:val="auto"/>
          <w:kern w:val="2"/>
          <w:sz w:val="24"/>
          <w:szCs w:val="24"/>
          <w:highlight w:val="none"/>
          <w:lang w:val="en-US" w:eastAsia="zh-CN" w:bidi="ar-SA"/>
        </w:rPr>
        <w:t>(3)具有相应岗位资格的各级管理入员。</w:t>
      </w:r>
    </w:p>
    <w:p>
      <w:pPr>
        <w:pStyle w:val="65"/>
        <w:tabs>
          <w:tab w:val="left" w:pos="8280"/>
        </w:tabs>
        <w:spacing w:line="360" w:lineRule="auto"/>
        <w:ind w:firstLine="360" w:firstLineChars="150"/>
        <w:rPr>
          <w:rStyle w:val="21"/>
          <w:rFonts w:hint="eastAsia" w:asciiTheme="minorEastAsia" w:hAnsiTheme="minorEastAsia" w:eastAsiaTheme="minorEastAsia" w:cstheme="minorEastAsia"/>
          <w:color w:val="auto"/>
          <w:kern w:val="2"/>
          <w:sz w:val="24"/>
          <w:szCs w:val="24"/>
          <w:highlight w:val="none"/>
          <w:lang w:val="en-US" w:eastAsia="zh-CN" w:bidi="ar-SA"/>
        </w:rPr>
      </w:pPr>
      <w:r>
        <w:rPr>
          <w:rStyle w:val="21"/>
          <w:rFonts w:hint="eastAsia" w:asciiTheme="minorEastAsia" w:hAnsiTheme="minorEastAsia" w:eastAsiaTheme="minorEastAsia" w:cstheme="minorEastAsia"/>
          <w:color w:val="auto"/>
          <w:kern w:val="2"/>
          <w:sz w:val="24"/>
          <w:szCs w:val="24"/>
          <w:highlight w:val="none"/>
          <w:lang w:val="en-US" w:eastAsia="zh-CN" w:bidi="ar-SA"/>
        </w:rPr>
        <w:t>4.6.3承包人安排在施工场地的主要管理人员和技术骨干应相对稳定。承包人更换主要管理人员和技术骨干时，应取得监理人的同意。</w:t>
      </w:r>
    </w:p>
    <w:p>
      <w:pPr>
        <w:pStyle w:val="65"/>
        <w:tabs>
          <w:tab w:val="left" w:pos="8280"/>
        </w:tabs>
        <w:spacing w:line="360" w:lineRule="auto"/>
        <w:ind w:firstLine="360" w:firstLineChars="150"/>
        <w:rPr>
          <w:rStyle w:val="21"/>
          <w:rFonts w:hint="eastAsia" w:asciiTheme="minorEastAsia" w:hAnsiTheme="minorEastAsia" w:eastAsiaTheme="minorEastAsia" w:cstheme="minorEastAsia"/>
          <w:color w:val="auto"/>
          <w:kern w:val="2"/>
          <w:sz w:val="24"/>
          <w:szCs w:val="24"/>
          <w:highlight w:val="none"/>
          <w:lang w:val="en-US" w:eastAsia="zh-CN" w:bidi="ar-SA"/>
        </w:rPr>
      </w:pPr>
      <w:r>
        <w:rPr>
          <w:rStyle w:val="21"/>
          <w:rFonts w:hint="eastAsia" w:asciiTheme="minorEastAsia" w:hAnsiTheme="minorEastAsia" w:eastAsiaTheme="minorEastAsia" w:cstheme="minorEastAsia"/>
          <w:color w:val="auto"/>
          <w:kern w:val="2"/>
          <w:sz w:val="24"/>
          <w:szCs w:val="24"/>
          <w:highlight w:val="none"/>
          <w:lang w:val="en-US" w:eastAsia="zh-CN" w:bidi="ar-SA"/>
        </w:rPr>
        <w:t>4.6.4特殊岗位的工作人员均应持有相应的资格证明，监理人有权随时检查。监理人认为有必要时，可进行现场考核。</w:t>
      </w:r>
    </w:p>
    <w:p>
      <w:pPr>
        <w:pStyle w:val="65"/>
        <w:tabs>
          <w:tab w:val="left" w:pos="8280"/>
        </w:tabs>
        <w:spacing w:line="360" w:lineRule="auto"/>
        <w:ind w:right="-315" w:rightChars="-150"/>
        <w:rPr>
          <w:rStyle w:val="21"/>
          <w:rFonts w:hint="eastAsia" w:asciiTheme="minorEastAsia" w:hAnsiTheme="minorEastAsia" w:eastAsiaTheme="minorEastAsia" w:cstheme="minorEastAsia"/>
          <w:b/>
          <w:color w:val="auto"/>
          <w:kern w:val="2"/>
          <w:sz w:val="24"/>
          <w:szCs w:val="24"/>
          <w:highlight w:val="none"/>
          <w:lang w:val="en-US" w:eastAsia="zh-CN" w:bidi="ar-SA"/>
        </w:rPr>
      </w:pPr>
      <w:r>
        <w:rPr>
          <w:rStyle w:val="21"/>
          <w:rFonts w:hint="eastAsia" w:asciiTheme="minorEastAsia" w:hAnsiTheme="minorEastAsia" w:eastAsiaTheme="minorEastAsia" w:cstheme="minorEastAsia"/>
          <w:b/>
          <w:color w:val="auto"/>
          <w:kern w:val="2"/>
          <w:sz w:val="24"/>
          <w:szCs w:val="24"/>
          <w:highlight w:val="none"/>
          <w:lang w:val="en-US" w:eastAsia="zh-CN" w:bidi="ar-SA"/>
        </w:rPr>
        <w:t>4.7撤换承包人项目经理和其他人员</w:t>
      </w:r>
    </w:p>
    <w:p>
      <w:pPr>
        <w:pStyle w:val="65"/>
        <w:tabs>
          <w:tab w:val="left" w:pos="8280"/>
        </w:tabs>
        <w:spacing w:line="360" w:lineRule="auto"/>
        <w:ind w:firstLine="360" w:firstLineChars="150"/>
        <w:rPr>
          <w:rStyle w:val="21"/>
          <w:rFonts w:hint="eastAsia" w:asciiTheme="minorEastAsia" w:hAnsiTheme="minorEastAsia" w:eastAsiaTheme="minorEastAsia" w:cstheme="minorEastAsia"/>
          <w:color w:val="auto"/>
          <w:kern w:val="2"/>
          <w:sz w:val="24"/>
          <w:szCs w:val="24"/>
          <w:highlight w:val="none"/>
          <w:lang w:val="en-US" w:eastAsia="zh-CN" w:bidi="ar-SA"/>
        </w:rPr>
      </w:pPr>
      <w:r>
        <w:rPr>
          <w:rStyle w:val="21"/>
          <w:rFonts w:hint="eastAsia" w:asciiTheme="minorEastAsia" w:hAnsiTheme="minorEastAsia" w:eastAsiaTheme="minorEastAsia" w:cstheme="minorEastAsia"/>
          <w:color w:val="auto"/>
          <w:kern w:val="2"/>
          <w:sz w:val="24"/>
          <w:szCs w:val="24"/>
          <w:highlight w:val="none"/>
          <w:lang w:val="en-US" w:eastAsia="zh-CN" w:bidi="ar-SA"/>
        </w:rPr>
        <w:t>承包人应对其项目经理和其他人员进行有效管理。监理人要求撤换不能胜任本职工作、行为不端或玩忽职守的承包人项目经理和其他人员的，承包人应予以撤换。</w:t>
      </w:r>
    </w:p>
    <w:p>
      <w:pPr>
        <w:pStyle w:val="65"/>
        <w:tabs>
          <w:tab w:val="left" w:pos="8280"/>
        </w:tabs>
        <w:spacing w:line="360" w:lineRule="auto"/>
        <w:ind w:right="-315" w:rightChars="-150"/>
        <w:rPr>
          <w:rStyle w:val="21"/>
          <w:rFonts w:hint="eastAsia" w:asciiTheme="minorEastAsia" w:hAnsiTheme="minorEastAsia" w:eastAsiaTheme="minorEastAsia" w:cstheme="minorEastAsia"/>
          <w:b/>
          <w:color w:val="auto"/>
          <w:kern w:val="2"/>
          <w:sz w:val="24"/>
          <w:szCs w:val="24"/>
          <w:highlight w:val="none"/>
          <w:lang w:val="en-US" w:eastAsia="zh-CN" w:bidi="ar-SA"/>
        </w:rPr>
      </w:pPr>
      <w:r>
        <w:rPr>
          <w:rStyle w:val="21"/>
          <w:rFonts w:hint="eastAsia" w:asciiTheme="minorEastAsia" w:hAnsiTheme="minorEastAsia" w:eastAsiaTheme="minorEastAsia" w:cstheme="minorEastAsia"/>
          <w:b/>
          <w:color w:val="auto"/>
          <w:kern w:val="2"/>
          <w:sz w:val="24"/>
          <w:szCs w:val="24"/>
          <w:highlight w:val="none"/>
          <w:lang w:val="en-US" w:eastAsia="zh-CN" w:bidi="ar-SA"/>
        </w:rPr>
        <w:t>4.8保障承包人人员的合法权益</w:t>
      </w:r>
    </w:p>
    <w:p>
      <w:pPr>
        <w:pStyle w:val="65"/>
        <w:tabs>
          <w:tab w:val="left" w:pos="8280"/>
        </w:tabs>
        <w:spacing w:line="360" w:lineRule="auto"/>
        <w:ind w:firstLine="360" w:firstLineChars="150"/>
        <w:rPr>
          <w:rStyle w:val="21"/>
          <w:rFonts w:hint="eastAsia" w:asciiTheme="minorEastAsia" w:hAnsiTheme="minorEastAsia" w:eastAsiaTheme="minorEastAsia" w:cstheme="minorEastAsia"/>
          <w:color w:val="auto"/>
          <w:kern w:val="2"/>
          <w:sz w:val="24"/>
          <w:szCs w:val="24"/>
          <w:highlight w:val="none"/>
          <w:lang w:val="en-US" w:eastAsia="zh-CN" w:bidi="ar-SA"/>
        </w:rPr>
      </w:pPr>
      <w:r>
        <w:rPr>
          <w:rStyle w:val="21"/>
          <w:rFonts w:hint="eastAsia" w:asciiTheme="minorEastAsia" w:hAnsiTheme="minorEastAsia" w:eastAsiaTheme="minorEastAsia" w:cstheme="minorEastAsia"/>
          <w:color w:val="auto"/>
          <w:kern w:val="2"/>
          <w:sz w:val="24"/>
          <w:szCs w:val="24"/>
          <w:highlight w:val="none"/>
          <w:lang w:val="en-US" w:eastAsia="zh-CN" w:bidi="ar-SA"/>
        </w:rPr>
        <w:t>4.8.1承包人应与其雇佣的人员签订劳动合同，并按时发放工资。</w:t>
      </w:r>
    </w:p>
    <w:p>
      <w:pPr>
        <w:pStyle w:val="65"/>
        <w:tabs>
          <w:tab w:val="left" w:pos="8280"/>
        </w:tabs>
        <w:spacing w:line="360" w:lineRule="auto"/>
        <w:ind w:firstLine="360" w:firstLineChars="150"/>
        <w:rPr>
          <w:rStyle w:val="21"/>
          <w:rFonts w:hint="eastAsia" w:asciiTheme="minorEastAsia" w:hAnsiTheme="minorEastAsia" w:eastAsiaTheme="minorEastAsia" w:cstheme="minorEastAsia"/>
          <w:color w:val="auto"/>
          <w:kern w:val="2"/>
          <w:sz w:val="24"/>
          <w:szCs w:val="24"/>
          <w:highlight w:val="none"/>
          <w:lang w:val="en-US" w:eastAsia="zh-CN" w:bidi="ar-SA"/>
        </w:rPr>
      </w:pPr>
      <w:r>
        <w:rPr>
          <w:rStyle w:val="21"/>
          <w:rFonts w:hint="eastAsia" w:asciiTheme="minorEastAsia" w:hAnsiTheme="minorEastAsia" w:eastAsiaTheme="minorEastAsia" w:cstheme="minorEastAsia"/>
          <w:color w:val="auto"/>
          <w:kern w:val="2"/>
          <w:sz w:val="24"/>
          <w:szCs w:val="24"/>
          <w:highlight w:val="none"/>
          <w:lang w:val="en-US" w:eastAsia="zh-CN" w:bidi="ar-SA"/>
        </w:rPr>
        <w:t>4.8.2承包人应按劳动法的规定安排工作时间，保证其雇佣人员享有休息和休假的权利。因工程施工的特殊需要占用休假日或延长工作时间的，应不超过法律规定的限度，并按法律规定给予补休或付酬。</w:t>
      </w:r>
    </w:p>
    <w:p>
      <w:pPr>
        <w:pStyle w:val="65"/>
        <w:tabs>
          <w:tab w:val="left" w:pos="8280"/>
        </w:tabs>
        <w:spacing w:line="360" w:lineRule="auto"/>
        <w:ind w:firstLine="360" w:firstLineChars="150"/>
        <w:rPr>
          <w:rStyle w:val="21"/>
          <w:rFonts w:hint="eastAsia" w:asciiTheme="minorEastAsia" w:hAnsiTheme="minorEastAsia" w:eastAsiaTheme="minorEastAsia" w:cstheme="minorEastAsia"/>
          <w:color w:val="auto"/>
          <w:kern w:val="2"/>
          <w:sz w:val="24"/>
          <w:szCs w:val="24"/>
          <w:highlight w:val="none"/>
          <w:lang w:val="en-US" w:eastAsia="zh-CN" w:bidi="ar-SA"/>
        </w:rPr>
      </w:pPr>
      <w:r>
        <w:rPr>
          <w:rStyle w:val="21"/>
          <w:rFonts w:hint="eastAsia" w:asciiTheme="minorEastAsia" w:hAnsiTheme="minorEastAsia" w:eastAsiaTheme="minorEastAsia" w:cstheme="minorEastAsia"/>
          <w:color w:val="auto"/>
          <w:kern w:val="2"/>
          <w:sz w:val="24"/>
          <w:szCs w:val="24"/>
          <w:highlight w:val="none"/>
          <w:lang w:val="en-US" w:eastAsia="zh-CN" w:bidi="ar-SA"/>
        </w:rPr>
        <w:t>4.8.3承包人应为其雇佣人员提供必要的食宿条件，以及符合环境保护和卫生要求的生活环境，在远离城镇的施工场地，还应配备必要的伤病防治和急救的医务人员与医疗设施。</w:t>
      </w:r>
    </w:p>
    <w:p>
      <w:pPr>
        <w:pStyle w:val="65"/>
        <w:tabs>
          <w:tab w:val="left" w:pos="8280"/>
        </w:tabs>
        <w:spacing w:line="360" w:lineRule="auto"/>
        <w:ind w:firstLine="360" w:firstLineChars="150"/>
        <w:rPr>
          <w:rStyle w:val="21"/>
          <w:rFonts w:hint="eastAsia" w:asciiTheme="minorEastAsia" w:hAnsiTheme="minorEastAsia" w:eastAsiaTheme="minorEastAsia" w:cstheme="minorEastAsia"/>
          <w:color w:val="auto"/>
          <w:kern w:val="2"/>
          <w:sz w:val="24"/>
          <w:szCs w:val="24"/>
          <w:highlight w:val="none"/>
          <w:lang w:val="en-US" w:eastAsia="zh-CN" w:bidi="ar-SA"/>
        </w:rPr>
      </w:pPr>
      <w:r>
        <w:rPr>
          <w:rStyle w:val="21"/>
          <w:rFonts w:hint="eastAsia" w:asciiTheme="minorEastAsia" w:hAnsiTheme="minorEastAsia" w:eastAsiaTheme="minorEastAsia" w:cstheme="minorEastAsia"/>
          <w:color w:val="auto"/>
          <w:kern w:val="2"/>
          <w:sz w:val="24"/>
          <w:szCs w:val="24"/>
          <w:highlight w:val="none"/>
          <w:lang w:val="en-US" w:eastAsia="zh-CN" w:bidi="ar-SA"/>
        </w:rPr>
        <w:t>4.8.4承包人应按国家有关劳动保护的规定，采取有效的防止粉尘、降低噪声、控制有害气体和保障高温、高寒、高空作业安全等劳动保护措施。其雇佣人员在施工中受到伤害的，承包人应立即采取有效措施进行抢救和治疗。</w:t>
      </w:r>
    </w:p>
    <w:p>
      <w:pPr>
        <w:pStyle w:val="65"/>
        <w:tabs>
          <w:tab w:val="left" w:pos="8280"/>
        </w:tabs>
        <w:spacing w:line="360" w:lineRule="auto"/>
        <w:ind w:firstLine="360" w:firstLineChars="150"/>
        <w:rPr>
          <w:rStyle w:val="21"/>
          <w:rFonts w:hint="eastAsia" w:asciiTheme="minorEastAsia" w:hAnsiTheme="minorEastAsia" w:eastAsiaTheme="minorEastAsia" w:cstheme="minorEastAsia"/>
          <w:color w:val="auto"/>
          <w:kern w:val="2"/>
          <w:sz w:val="24"/>
          <w:szCs w:val="24"/>
          <w:highlight w:val="none"/>
          <w:lang w:val="en-US" w:eastAsia="zh-CN" w:bidi="ar-SA"/>
        </w:rPr>
      </w:pPr>
      <w:r>
        <w:rPr>
          <w:rStyle w:val="21"/>
          <w:rFonts w:hint="eastAsia" w:asciiTheme="minorEastAsia" w:hAnsiTheme="minorEastAsia" w:eastAsiaTheme="minorEastAsia" w:cstheme="minorEastAsia"/>
          <w:color w:val="auto"/>
          <w:kern w:val="2"/>
          <w:sz w:val="24"/>
          <w:szCs w:val="24"/>
          <w:highlight w:val="none"/>
          <w:lang w:val="en-US" w:eastAsia="zh-CN" w:bidi="ar-SA"/>
        </w:rPr>
        <w:t>4.8.5承包人应按有关法律规定和合同约定，为其雇佣人员办理保险。</w:t>
      </w:r>
    </w:p>
    <w:p>
      <w:pPr>
        <w:pStyle w:val="65"/>
        <w:tabs>
          <w:tab w:val="left" w:pos="8280"/>
        </w:tabs>
        <w:spacing w:line="360" w:lineRule="auto"/>
        <w:ind w:firstLine="360" w:firstLineChars="150"/>
        <w:rPr>
          <w:rStyle w:val="21"/>
          <w:rFonts w:hint="eastAsia" w:asciiTheme="minorEastAsia" w:hAnsiTheme="minorEastAsia" w:eastAsiaTheme="minorEastAsia" w:cstheme="minorEastAsia"/>
          <w:color w:val="auto"/>
          <w:kern w:val="2"/>
          <w:sz w:val="24"/>
          <w:szCs w:val="24"/>
          <w:highlight w:val="none"/>
          <w:lang w:val="en-US" w:eastAsia="zh-CN" w:bidi="ar-SA"/>
        </w:rPr>
      </w:pPr>
      <w:r>
        <w:rPr>
          <w:rStyle w:val="21"/>
          <w:rFonts w:hint="eastAsia" w:asciiTheme="minorEastAsia" w:hAnsiTheme="minorEastAsia" w:eastAsiaTheme="minorEastAsia" w:cstheme="minorEastAsia"/>
          <w:color w:val="auto"/>
          <w:kern w:val="2"/>
          <w:sz w:val="24"/>
          <w:szCs w:val="24"/>
          <w:highlight w:val="none"/>
          <w:lang w:val="en-US" w:eastAsia="zh-CN" w:bidi="ar-SA"/>
        </w:rPr>
        <w:t>4.8.6承包人应负责处理其雇佣人员因工伤亡事故的善后事宜。</w:t>
      </w:r>
    </w:p>
    <w:p>
      <w:pPr>
        <w:pStyle w:val="65"/>
        <w:tabs>
          <w:tab w:val="left" w:pos="8280"/>
        </w:tabs>
        <w:spacing w:line="360" w:lineRule="auto"/>
        <w:ind w:right="-315" w:rightChars="-150"/>
        <w:rPr>
          <w:rStyle w:val="21"/>
          <w:rFonts w:hint="eastAsia" w:asciiTheme="minorEastAsia" w:hAnsiTheme="minorEastAsia" w:eastAsiaTheme="minorEastAsia" w:cstheme="minorEastAsia"/>
          <w:b/>
          <w:color w:val="auto"/>
          <w:kern w:val="2"/>
          <w:sz w:val="24"/>
          <w:szCs w:val="24"/>
          <w:highlight w:val="none"/>
          <w:lang w:val="en-US" w:eastAsia="zh-CN" w:bidi="ar-SA"/>
        </w:rPr>
      </w:pPr>
      <w:r>
        <w:rPr>
          <w:rStyle w:val="21"/>
          <w:rFonts w:hint="eastAsia" w:asciiTheme="minorEastAsia" w:hAnsiTheme="minorEastAsia" w:eastAsiaTheme="minorEastAsia" w:cstheme="minorEastAsia"/>
          <w:b/>
          <w:color w:val="auto"/>
          <w:kern w:val="2"/>
          <w:sz w:val="24"/>
          <w:szCs w:val="24"/>
          <w:highlight w:val="none"/>
          <w:lang w:val="en-US" w:eastAsia="zh-CN" w:bidi="ar-SA"/>
        </w:rPr>
        <w:t xml:space="preserve">4.9工程价款应专款专用   </w:t>
      </w:r>
    </w:p>
    <w:p>
      <w:pPr>
        <w:pStyle w:val="65"/>
        <w:tabs>
          <w:tab w:val="left" w:pos="8280"/>
        </w:tabs>
        <w:spacing w:line="360" w:lineRule="auto"/>
        <w:ind w:firstLine="360" w:firstLineChars="150"/>
        <w:rPr>
          <w:rStyle w:val="21"/>
          <w:rFonts w:hint="eastAsia" w:asciiTheme="minorEastAsia" w:hAnsiTheme="minorEastAsia" w:eastAsiaTheme="minorEastAsia" w:cstheme="minorEastAsia"/>
          <w:color w:val="auto"/>
          <w:kern w:val="2"/>
          <w:sz w:val="24"/>
          <w:szCs w:val="24"/>
          <w:highlight w:val="none"/>
          <w:lang w:val="en-US" w:eastAsia="zh-CN" w:bidi="ar-SA"/>
        </w:rPr>
      </w:pPr>
      <w:r>
        <w:rPr>
          <w:rStyle w:val="21"/>
          <w:rFonts w:hint="eastAsia" w:asciiTheme="minorEastAsia" w:hAnsiTheme="minorEastAsia" w:eastAsiaTheme="minorEastAsia" w:cstheme="minorEastAsia"/>
          <w:color w:val="auto"/>
          <w:kern w:val="2"/>
          <w:sz w:val="24"/>
          <w:szCs w:val="24"/>
          <w:highlight w:val="none"/>
          <w:lang w:val="en-US" w:eastAsia="zh-CN" w:bidi="ar-SA"/>
        </w:rPr>
        <w:t>发包人按合同约定支付给承包人的各项价款应专用于合同工程。</w:t>
      </w:r>
    </w:p>
    <w:p>
      <w:pPr>
        <w:pStyle w:val="65"/>
        <w:tabs>
          <w:tab w:val="left" w:pos="8280"/>
        </w:tabs>
        <w:spacing w:line="360" w:lineRule="auto"/>
        <w:ind w:right="-315" w:rightChars="-150"/>
        <w:rPr>
          <w:rStyle w:val="21"/>
          <w:rFonts w:hint="eastAsia" w:asciiTheme="minorEastAsia" w:hAnsiTheme="minorEastAsia" w:eastAsiaTheme="minorEastAsia" w:cstheme="minorEastAsia"/>
          <w:b/>
          <w:color w:val="auto"/>
          <w:kern w:val="2"/>
          <w:sz w:val="24"/>
          <w:szCs w:val="24"/>
          <w:highlight w:val="none"/>
          <w:lang w:val="en-US" w:eastAsia="zh-CN" w:bidi="ar-SA"/>
        </w:rPr>
      </w:pPr>
      <w:r>
        <w:rPr>
          <w:rStyle w:val="21"/>
          <w:rFonts w:hint="eastAsia" w:asciiTheme="minorEastAsia" w:hAnsiTheme="minorEastAsia" w:eastAsiaTheme="minorEastAsia" w:cstheme="minorEastAsia"/>
          <w:b/>
          <w:color w:val="auto"/>
          <w:kern w:val="2"/>
          <w:sz w:val="24"/>
          <w:szCs w:val="24"/>
          <w:highlight w:val="none"/>
          <w:lang w:val="en-US" w:eastAsia="zh-CN" w:bidi="ar-SA"/>
        </w:rPr>
        <w:t>4.10承包人现场查勘</w:t>
      </w:r>
    </w:p>
    <w:p>
      <w:pPr>
        <w:pStyle w:val="65"/>
        <w:tabs>
          <w:tab w:val="left" w:pos="8280"/>
        </w:tabs>
        <w:spacing w:line="360" w:lineRule="auto"/>
        <w:ind w:firstLine="360" w:firstLineChars="150"/>
        <w:rPr>
          <w:rStyle w:val="21"/>
          <w:rFonts w:hint="eastAsia" w:asciiTheme="minorEastAsia" w:hAnsiTheme="minorEastAsia" w:eastAsiaTheme="minorEastAsia" w:cstheme="minorEastAsia"/>
          <w:color w:val="auto"/>
          <w:kern w:val="2"/>
          <w:sz w:val="24"/>
          <w:szCs w:val="24"/>
          <w:highlight w:val="none"/>
          <w:lang w:val="en-US" w:eastAsia="zh-CN" w:bidi="ar-SA"/>
        </w:rPr>
      </w:pPr>
      <w:r>
        <w:rPr>
          <w:rStyle w:val="21"/>
          <w:rFonts w:hint="eastAsia" w:asciiTheme="minorEastAsia" w:hAnsiTheme="minorEastAsia" w:eastAsiaTheme="minorEastAsia" w:cstheme="minorEastAsia"/>
          <w:color w:val="auto"/>
          <w:kern w:val="2"/>
          <w:sz w:val="24"/>
          <w:szCs w:val="24"/>
          <w:highlight w:val="none"/>
          <w:lang w:val="en-US" w:eastAsia="zh-CN" w:bidi="ar-SA"/>
        </w:rPr>
        <w:t>4.10.1发包人应将其持有的现场地质勘探资料、水文气象资料提供给承包人并对其准确性负责。但承包人应对其阅读上述有关资料后所作出的解释和推断负责。</w:t>
      </w:r>
    </w:p>
    <w:p>
      <w:pPr>
        <w:pStyle w:val="65"/>
        <w:tabs>
          <w:tab w:val="left" w:pos="8280"/>
        </w:tabs>
        <w:spacing w:line="360" w:lineRule="auto"/>
        <w:ind w:firstLine="360" w:firstLineChars="150"/>
        <w:rPr>
          <w:rStyle w:val="21"/>
          <w:rFonts w:hint="eastAsia" w:asciiTheme="minorEastAsia" w:hAnsiTheme="minorEastAsia" w:eastAsiaTheme="minorEastAsia" w:cstheme="minorEastAsia"/>
          <w:color w:val="auto"/>
          <w:kern w:val="2"/>
          <w:sz w:val="24"/>
          <w:szCs w:val="24"/>
          <w:highlight w:val="none"/>
          <w:lang w:val="en-US" w:eastAsia="zh-CN" w:bidi="ar-SA"/>
        </w:rPr>
      </w:pPr>
      <w:r>
        <w:rPr>
          <w:rStyle w:val="21"/>
          <w:rFonts w:hint="eastAsia" w:asciiTheme="minorEastAsia" w:hAnsiTheme="minorEastAsia" w:eastAsiaTheme="minorEastAsia" w:cstheme="minorEastAsia"/>
          <w:color w:val="auto"/>
          <w:kern w:val="2"/>
          <w:sz w:val="24"/>
          <w:szCs w:val="24"/>
          <w:highlight w:val="none"/>
          <w:lang w:val="en-US" w:eastAsia="zh-CN" w:bidi="ar-SA"/>
        </w:rPr>
        <w:t>4.10.2承包人应对施工场地和周围环境进行查勘，并收集有关地质、水文、气象条件、交通条件、风俗习惯以及其他为完成合同工作有关的当地资料。在全部合同工作中，应视为承包人己充分估计了应承担的责任和风险。</w:t>
      </w:r>
    </w:p>
    <w:p>
      <w:pPr>
        <w:pStyle w:val="65"/>
        <w:tabs>
          <w:tab w:val="left" w:pos="8280"/>
        </w:tabs>
        <w:spacing w:line="360" w:lineRule="auto"/>
        <w:ind w:right="-315" w:rightChars="-150"/>
        <w:rPr>
          <w:rStyle w:val="21"/>
          <w:rFonts w:hint="eastAsia" w:asciiTheme="minorEastAsia" w:hAnsiTheme="minorEastAsia" w:eastAsiaTheme="minorEastAsia" w:cstheme="minorEastAsia"/>
          <w:b/>
          <w:color w:val="auto"/>
          <w:kern w:val="2"/>
          <w:sz w:val="24"/>
          <w:szCs w:val="24"/>
          <w:highlight w:val="none"/>
          <w:lang w:val="en-US" w:eastAsia="zh-CN" w:bidi="ar-SA"/>
        </w:rPr>
      </w:pPr>
      <w:r>
        <w:rPr>
          <w:rStyle w:val="21"/>
          <w:rFonts w:hint="eastAsia" w:asciiTheme="minorEastAsia" w:hAnsiTheme="minorEastAsia" w:eastAsiaTheme="minorEastAsia" w:cstheme="minorEastAsia"/>
          <w:b/>
          <w:color w:val="auto"/>
          <w:kern w:val="2"/>
          <w:sz w:val="24"/>
          <w:szCs w:val="24"/>
          <w:highlight w:val="none"/>
          <w:lang w:val="en-US" w:eastAsia="zh-CN" w:bidi="ar-SA"/>
        </w:rPr>
        <w:t xml:space="preserve">4.11不利物质条件    </w:t>
      </w:r>
    </w:p>
    <w:p>
      <w:pPr>
        <w:pStyle w:val="65"/>
        <w:tabs>
          <w:tab w:val="left" w:pos="8280"/>
        </w:tabs>
        <w:spacing w:line="360" w:lineRule="auto"/>
        <w:ind w:firstLine="360" w:firstLineChars="150"/>
        <w:rPr>
          <w:rStyle w:val="21"/>
          <w:rFonts w:hint="eastAsia" w:asciiTheme="minorEastAsia" w:hAnsiTheme="minorEastAsia" w:eastAsiaTheme="minorEastAsia" w:cstheme="minorEastAsia"/>
          <w:color w:val="auto"/>
          <w:kern w:val="2"/>
          <w:sz w:val="24"/>
          <w:szCs w:val="24"/>
          <w:highlight w:val="none"/>
          <w:lang w:val="en-US" w:eastAsia="zh-CN" w:bidi="ar-SA"/>
        </w:rPr>
      </w:pPr>
      <w:r>
        <w:rPr>
          <w:rStyle w:val="21"/>
          <w:rFonts w:hint="eastAsia" w:asciiTheme="minorEastAsia" w:hAnsiTheme="minorEastAsia" w:eastAsiaTheme="minorEastAsia" w:cstheme="minorEastAsia"/>
          <w:color w:val="auto"/>
          <w:kern w:val="2"/>
          <w:sz w:val="24"/>
          <w:szCs w:val="24"/>
          <w:highlight w:val="none"/>
          <w:lang w:val="en-US" w:eastAsia="zh-CN" w:bidi="ar-SA"/>
        </w:rPr>
        <w:t>4.11.1除专用合同条款另有约定外，不利物质条件是指在施工中遭遇不可预见的外界障碍或自然条件造成施工受阻。</w:t>
      </w:r>
    </w:p>
    <w:p>
      <w:pPr>
        <w:pStyle w:val="65"/>
        <w:tabs>
          <w:tab w:val="left" w:pos="8280"/>
        </w:tabs>
        <w:spacing w:line="360" w:lineRule="auto"/>
        <w:ind w:firstLine="360" w:firstLineChars="150"/>
        <w:rPr>
          <w:rStyle w:val="21"/>
          <w:rFonts w:hint="eastAsia" w:asciiTheme="minorEastAsia" w:hAnsiTheme="minorEastAsia" w:eastAsiaTheme="minorEastAsia" w:cstheme="minorEastAsia"/>
          <w:color w:val="auto"/>
          <w:kern w:val="2"/>
          <w:sz w:val="24"/>
          <w:szCs w:val="24"/>
          <w:highlight w:val="none"/>
          <w:lang w:val="en-US" w:eastAsia="zh-CN" w:bidi="ar-SA"/>
        </w:rPr>
      </w:pPr>
      <w:r>
        <w:rPr>
          <w:rStyle w:val="21"/>
          <w:rFonts w:hint="eastAsia" w:asciiTheme="minorEastAsia" w:hAnsiTheme="minorEastAsia" w:eastAsiaTheme="minorEastAsia" w:cstheme="minorEastAsia"/>
          <w:color w:val="auto"/>
          <w:kern w:val="2"/>
          <w:sz w:val="24"/>
          <w:szCs w:val="24"/>
          <w:highlight w:val="none"/>
          <w:lang w:val="en-US" w:eastAsia="zh-CN" w:bidi="ar-SA"/>
        </w:rPr>
        <w:t>4.11.2承包人遇到不利物质条件时，应采取适应不利物质条件的合理措施继续施工，并及时通知监理人。承包人有权根据第21.1款的约定，，要求延长工期及增加费用。监理人收到此类要求后，应在分析上述外界障碍或自然条件是否不可预见及不可预见程度的基础上，按照通用合同条款第15条的约定办理。</w:t>
      </w:r>
    </w:p>
    <w:p>
      <w:pPr>
        <w:pStyle w:val="66"/>
        <w:rPr>
          <w:rStyle w:val="21"/>
          <w:rFonts w:hint="eastAsia" w:asciiTheme="minorEastAsia" w:hAnsiTheme="minorEastAsia" w:eastAsiaTheme="minorEastAsia" w:cstheme="minorEastAsia"/>
          <w:color w:val="auto"/>
          <w:kern w:val="2"/>
          <w:sz w:val="24"/>
          <w:szCs w:val="24"/>
          <w:highlight w:val="none"/>
          <w:lang w:val="en-US" w:eastAsia="zh-CN" w:bidi="ar-SA"/>
        </w:rPr>
      </w:pPr>
      <w:bookmarkStart w:id="273" w:name="_Toc21355"/>
      <w:r>
        <w:rPr>
          <w:rStyle w:val="21"/>
          <w:rFonts w:hint="eastAsia" w:asciiTheme="minorEastAsia" w:hAnsiTheme="minorEastAsia" w:eastAsiaTheme="minorEastAsia" w:cstheme="minorEastAsia"/>
          <w:color w:val="auto"/>
          <w:kern w:val="2"/>
          <w:sz w:val="24"/>
          <w:szCs w:val="24"/>
          <w:highlight w:val="none"/>
          <w:lang w:val="en-US" w:eastAsia="zh-CN" w:bidi="ar-SA"/>
        </w:rPr>
        <w:t>5 材料和工程设备</w:t>
      </w:r>
      <w:bookmarkEnd w:id="273"/>
      <w:r>
        <w:rPr>
          <w:rStyle w:val="21"/>
          <w:rFonts w:hint="eastAsia" w:asciiTheme="minorEastAsia" w:hAnsiTheme="minorEastAsia" w:eastAsiaTheme="minorEastAsia" w:cstheme="minorEastAsia"/>
          <w:color w:val="auto"/>
          <w:kern w:val="2"/>
          <w:sz w:val="24"/>
          <w:szCs w:val="24"/>
          <w:highlight w:val="none"/>
          <w:lang w:val="en-US" w:eastAsia="zh-CN" w:bidi="ar-SA"/>
        </w:rPr>
        <w:t xml:space="preserve">    </w:t>
      </w:r>
    </w:p>
    <w:p>
      <w:pPr>
        <w:pStyle w:val="65"/>
        <w:tabs>
          <w:tab w:val="left" w:pos="8280"/>
        </w:tabs>
        <w:spacing w:line="360" w:lineRule="auto"/>
        <w:ind w:right="-315" w:rightChars="-150"/>
        <w:rPr>
          <w:rStyle w:val="21"/>
          <w:rFonts w:hint="eastAsia" w:asciiTheme="minorEastAsia" w:hAnsiTheme="minorEastAsia" w:eastAsiaTheme="minorEastAsia" w:cstheme="minorEastAsia"/>
          <w:b/>
          <w:color w:val="auto"/>
          <w:kern w:val="2"/>
          <w:sz w:val="24"/>
          <w:szCs w:val="24"/>
          <w:highlight w:val="none"/>
          <w:lang w:val="en-US" w:eastAsia="zh-CN" w:bidi="ar-SA"/>
        </w:rPr>
      </w:pPr>
      <w:r>
        <w:rPr>
          <w:rStyle w:val="21"/>
          <w:rFonts w:hint="eastAsia" w:asciiTheme="minorEastAsia" w:hAnsiTheme="minorEastAsia" w:eastAsiaTheme="minorEastAsia" w:cstheme="minorEastAsia"/>
          <w:b/>
          <w:color w:val="auto"/>
          <w:kern w:val="2"/>
          <w:sz w:val="24"/>
          <w:szCs w:val="24"/>
          <w:highlight w:val="none"/>
          <w:lang w:val="en-US" w:eastAsia="zh-CN" w:bidi="ar-SA"/>
        </w:rPr>
        <w:t>5.1承包人提供的材料和工程设备</w:t>
      </w:r>
    </w:p>
    <w:p>
      <w:pPr>
        <w:pStyle w:val="65"/>
        <w:tabs>
          <w:tab w:val="left" w:pos="8280"/>
        </w:tabs>
        <w:spacing w:line="360" w:lineRule="auto"/>
        <w:ind w:firstLine="360" w:firstLineChars="150"/>
        <w:rPr>
          <w:rStyle w:val="21"/>
          <w:rFonts w:hint="eastAsia" w:asciiTheme="minorEastAsia" w:hAnsiTheme="minorEastAsia" w:eastAsiaTheme="minorEastAsia" w:cstheme="minorEastAsia"/>
          <w:color w:val="auto"/>
          <w:kern w:val="2"/>
          <w:sz w:val="24"/>
          <w:szCs w:val="24"/>
          <w:highlight w:val="none"/>
          <w:lang w:val="en-US" w:eastAsia="zh-CN" w:bidi="ar-SA"/>
        </w:rPr>
      </w:pPr>
      <w:r>
        <w:rPr>
          <w:rStyle w:val="21"/>
          <w:rFonts w:hint="eastAsia" w:asciiTheme="minorEastAsia" w:hAnsiTheme="minorEastAsia" w:eastAsiaTheme="minorEastAsia" w:cstheme="minorEastAsia"/>
          <w:color w:val="auto"/>
          <w:kern w:val="2"/>
          <w:sz w:val="24"/>
          <w:szCs w:val="24"/>
          <w:highlight w:val="none"/>
          <w:lang w:val="en-US" w:eastAsia="zh-CN" w:bidi="ar-SA"/>
        </w:rPr>
        <w:t>5.1.1除第5.2款约定由发包人提供的材料和工程设备外，承包人负责采购、运输和保管完成本合同工作所需的材料和工程设备。承包人应对其采购的材料和工程设备负责。</w:t>
      </w:r>
    </w:p>
    <w:p>
      <w:pPr>
        <w:pStyle w:val="65"/>
        <w:tabs>
          <w:tab w:val="left" w:pos="8280"/>
        </w:tabs>
        <w:spacing w:line="360" w:lineRule="auto"/>
        <w:ind w:firstLine="360" w:firstLineChars="150"/>
        <w:rPr>
          <w:rStyle w:val="21"/>
          <w:rFonts w:hint="eastAsia" w:asciiTheme="minorEastAsia" w:hAnsiTheme="minorEastAsia" w:eastAsiaTheme="minorEastAsia" w:cstheme="minorEastAsia"/>
          <w:color w:val="auto"/>
          <w:kern w:val="2"/>
          <w:sz w:val="24"/>
          <w:szCs w:val="24"/>
          <w:highlight w:val="none"/>
          <w:lang w:val="en-US" w:eastAsia="zh-CN" w:bidi="ar-SA"/>
        </w:rPr>
      </w:pPr>
      <w:r>
        <w:rPr>
          <w:rStyle w:val="21"/>
          <w:rFonts w:hint="eastAsia" w:asciiTheme="minorEastAsia" w:hAnsiTheme="minorEastAsia" w:eastAsiaTheme="minorEastAsia" w:cstheme="minorEastAsia"/>
          <w:color w:val="auto"/>
          <w:kern w:val="2"/>
          <w:sz w:val="24"/>
          <w:szCs w:val="24"/>
          <w:highlight w:val="none"/>
          <w:lang w:val="en-US" w:eastAsia="zh-CN" w:bidi="ar-SA"/>
        </w:rPr>
        <w:t>5.1.2承包人应按专用合同条款的约定，将各项材料和工程设备的供货人及品种、规格、数量和供货时间等报送监理人审批。承包人应向监理人提交其负责提供的材料和工程设备的量证明文件，并满足合同约定的质量标准。</w:t>
      </w:r>
    </w:p>
    <w:p>
      <w:pPr>
        <w:pStyle w:val="65"/>
        <w:tabs>
          <w:tab w:val="left" w:pos="8280"/>
        </w:tabs>
        <w:spacing w:line="360" w:lineRule="auto"/>
        <w:ind w:firstLine="360" w:firstLineChars="150"/>
        <w:rPr>
          <w:rStyle w:val="21"/>
          <w:rFonts w:hint="eastAsia" w:asciiTheme="minorEastAsia" w:hAnsiTheme="minorEastAsia" w:eastAsiaTheme="minorEastAsia" w:cstheme="minorEastAsia"/>
          <w:color w:val="auto"/>
          <w:kern w:val="2"/>
          <w:sz w:val="24"/>
          <w:szCs w:val="24"/>
          <w:highlight w:val="none"/>
          <w:lang w:val="en-US" w:eastAsia="zh-CN" w:bidi="ar-SA"/>
        </w:rPr>
      </w:pPr>
      <w:r>
        <w:rPr>
          <w:rStyle w:val="21"/>
          <w:rFonts w:hint="eastAsia" w:asciiTheme="minorEastAsia" w:hAnsiTheme="minorEastAsia" w:eastAsiaTheme="minorEastAsia" w:cstheme="minorEastAsia"/>
          <w:color w:val="auto"/>
          <w:kern w:val="2"/>
          <w:sz w:val="24"/>
          <w:szCs w:val="24"/>
          <w:highlight w:val="none"/>
          <w:lang w:val="en-US" w:eastAsia="zh-CN" w:bidi="ar-SA"/>
        </w:rPr>
        <w:t>5.1.3对承包人提供的材料和工程设备，承包人应会同监理人进行检验和交货验收，查验材料合格证明和产品合格证书，并按合同约定和监理人指示，进行材料的抽样检验和工程设备的检验测试，检验和测试结果应提交监理人，所需费用由承包人承担。</w:t>
      </w:r>
    </w:p>
    <w:p>
      <w:pPr>
        <w:pStyle w:val="65"/>
        <w:tabs>
          <w:tab w:val="left" w:pos="8280"/>
        </w:tabs>
        <w:spacing w:line="360" w:lineRule="auto"/>
        <w:ind w:right="-315" w:rightChars="-150"/>
        <w:rPr>
          <w:rStyle w:val="21"/>
          <w:rFonts w:hint="eastAsia" w:asciiTheme="minorEastAsia" w:hAnsiTheme="minorEastAsia" w:eastAsiaTheme="minorEastAsia" w:cstheme="minorEastAsia"/>
          <w:b/>
          <w:color w:val="auto"/>
          <w:kern w:val="2"/>
          <w:sz w:val="24"/>
          <w:szCs w:val="24"/>
          <w:highlight w:val="none"/>
          <w:lang w:val="en-US" w:eastAsia="zh-CN" w:bidi="ar-SA"/>
        </w:rPr>
      </w:pPr>
      <w:r>
        <w:rPr>
          <w:rStyle w:val="21"/>
          <w:rFonts w:hint="eastAsia" w:asciiTheme="minorEastAsia" w:hAnsiTheme="minorEastAsia" w:eastAsiaTheme="minorEastAsia" w:cstheme="minorEastAsia"/>
          <w:b/>
          <w:color w:val="auto"/>
          <w:kern w:val="2"/>
          <w:sz w:val="24"/>
          <w:szCs w:val="24"/>
          <w:highlight w:val="none"/>
          <w:lang w:val="en-US" w:eastAsia="zh-CN" w:bidi="ar-SA"/>
        </w:rPr>
        <w:t>5.2禁止使用不合格的材料和工程设备</w:t>
      </w:r>
    </w:p>
    <w:p>
      <w:pPr>
        <w:pStyle w:val="65"/>
        <w:tabs>
          <w:tab w:val="left" w:pos="8280"/>
        </w:tabs>
        <w:spacing w:line="360" w:lineRule="auto"/>
        <w:ind w:firstLine="360" w:firstLineChars="150"/>
        <w:rPr>
          <w:rStyle w:val="21"/>
          <w:rFonts w:hint="eastAsia" w:asciiTheme="minorEastAsia" w:hAnsiTheme="minorEastAsia" w:eastAsiaTheme="minorEastAsia" w:cstheme="minorEastAsia"/>
          <w:color w:val="auto"/>
          <w:kern w:val="2"/>
          <w:sz w:val="24"/>
          <w:szCs w:val="24"/>
          <w:highlight w:val="none"/>
          <w:lang w:val="en-US" w:eastAsia="zh-CN" w:bidi="ar-SA"/>
        </w:rPr>
      </w:pPr>
      <w:r>
        <w:rPr>
          <w:rStyle w:val="21"/>
          <w:rFonts w:hint="eastAsia" w:asciiTheme="minorEastAsia" w:hAnsiTheme="minorEastAsia" w:eastAsiaTheme="minorEastAsia" w:cstheme="minorEastAsia"/>
          <w:color w:val="auto"/>
          <w:kern w:val="2"/>
          <w:sz w:val="24"/>
          <w:szCs w:val="24"/>
          <w:highlight w:val="none"/>
          <w:lang w:val="en-US" w:eastAsia="zh-CN" w:bidi="ar-SA"/>
        </w:rPr>
        <w:t>5.2.1监理人有权拒绝承包人提供的不合格材料或工程设备，并要求承包人立即进行更换。监理人应在更换后再次进行检查和检验，由此增加的费用和(或)工期延误由承包人承担。</w:t>
      </w:r>
    </w:p>
    <w:p>
      <w:pPr>
        <w:pStyle w:val="65"/>
        <w:tabs>
          <w:tab w:val="left" w:pos="8280"/>
        </w:tabs>
        <w:spacing w:line="360" w:lineRule="auto"/>
        <w:ind w:firstLine="360" w:firstLineChars="150"/>
        <w:rPr>
          <w:rStyle w:val="21"/>
          <w:rFonts w:hint="eastAsia" w:asciiTheme="minorEastAsia" w:hAnsiTheme="minorEastAsia" w:eastAsiaTheme="minorEastAsia" w:cstheme="minorEastAsia"/>
          <w:color w:val="auto"/>
          <w:kern w:val="2"/>
          <w:sz w:val="24"/>
          <w:szCs w:val="24"/>
          <w:highlight w:val="none"/>
          <w:lang w:val="en-US" w:eastAsia="zh-CN" w:bidi="ar-SA"/>
        </w:rPr>
      </w:pPr>
      <w:r>
        <w:rPr>
          <w:rStyle w:val="21"/>
          <w:rFonts w:hint="eastAsia" w:asciiTheme="minorEastAsia" w:hAnsiTheme="minorEastAsia" w:eastAsiaTheme="minorEastAsia" w:cstheme="minorEastAsia"/>
          <w:color w:val="auto"/>
          <w:kern w:val="2"/>
          <w:sz w:val="24"/>
          <w:szCs w:val="24"/>
          <w:highlight w:val="none"/>
          <w:lang w:val="en-US" w:eastAsia="zh-CN" w:bidi="ar-SA"/>
        </w:rPr>
        <w:t>5.2.2监理人发现承包人使用了不合格的材料和工程设备，应即时发出指示要求承包人立即改正，并禁止在工程中继续使用不合格的材料和工程设备。</w:t>
      </w:r>
    </w:p>
    <w:p>
      <w:pPr>
        <w:pStyle w:val="66"/>
        <w:rPr>
          <w:rStyle w:val="21"/>
          <w:rFonts w:hint="eastAsia" w:asciiTheme="minorEastAsia" w:hAnsiTheme="minorEastAsia" w:eastAsiaTheme="minorEastAsia" w:cstheme="minorEastAsia"/>
          <w:color w:val="auto"/>
          <w:kern w:val="2"/>
          <w:sz w:val="24"/>
          <w:szCs w:val="24"/>
          <w:highlight w:val="none"/>
          <w:lang w:val="en-US" w:eastAsia="zh-CN" w:bidi="ar-SA"/>
        </w:rPr>
      </w:pPr>
      <w:bookmarkStart w:id="274" w:name="_Toc14582"/>
      <w:r>
        <w:rPr>
          <w:rStyle w:val="21"/>
          <w:rFonts w:hint="eastAsia" w:asciiTheme="minorEastAsia" w:hAnsiTheme="minorEastAsia" w:eastAsiaTheme="minorEastAsia" w:cstheme="minorEastAsia"/>
          <w:color w:val="auto"/>
          <w:kern w:val="2"/>
          <w:sz w:val="24"/>
          <w:szCs w:val="24"/>
          <w:highlight w:val="none"/>
          <w:lang w:val="en-US" w:eastAsia="zh-CN" w:bidi="ar-SA"/>
        </w:rPr>
        <w:t>6 施工设备和临时设施</w:t>
      </w:r>
      <w:bookmarkEnd w:id="274"/>
    </w:p>
    <w:p>
      <w:pPr>
        <w:pStyle w:val="65"/>
        <w:tabs>
          <w:tab w:val="left" w:pos="8280"/>
        </w:tabs>
        <w:spacing w:line="360" w:lineRule="auto"/>
        <w:rPr>
          <w:rStyle w:val="21"/>
          <w:rFonts w:hint="eastAsia" w:asciiTheme="minorEastAsia" w:hAnsiTheme="minorEastAsia" w:eastAsiaTheme="minorEastAsia" w:cstheme="minorEastAsia"/>
          <w:b/>
          <w:color w:val="auto"/>
          <w:kern w:val="2"/>
          <w:sz w:val="24"/>
          <w:szCs w:val="24"/>
          <w:highlight w:val="none"/>
          <w:lang w:val="en-US" w:eastAsia="zh-CN" w:bidi="ar-SA"/>
        </w:rPr>
      </w:pPr>
      <w:r>
        <w:rPr>
          <w:rStyle w:val="21"/>
          <w:rFonts w:hint="eastAsia" w:asciiTheme="minorEastAsia" w:hAnsiTheme="minorEastAsia" w:eastAsiaTheme="minorEastAsia" w:cstheme="minorEastAsia"/>
          <w:b/>
          <w:color w:val="auto"/>
          <w:kern w:val="2"/>
          <w:sz w:val="24"/>
          <w:szCs w:val="24"/>
          <w:highlight w:val="none"/>
          <w:lang w:val="en-US" w:eastAsia="zh-CN" w:bidi="ar-SA"/>
        </w:rPr>
        <w:t>6.1承包人提供的施工设备和临时设施</w:t>
      </w:r>
    </w:p>
    <w:p>
      <w:pPr>
        <w:pStyle w:val="65"/>
        <w:tabs>
          <w:tab w:val="left" w:pos="8280"/>
        </w:tabs>
        <w:spacing w:line="360" w:lineRule="auto"/>
        <w:ind w:firstLine="360" w:firstLineChars="150"/>
        <w:rPr>
          <w:rStyle w:val="21"/>
          <w:rFonts w:hint="eastAsia" w:asciiTheme="minorEastAsia" w:hAnsiTheme="minorEastAsia" w:eastAsiaTheme="minorEastAsia" w:cstheme="minorEastAsia"/>
          <w:color w:val="auto"/>
          <w:kern w:val="2"/>
          <w:sz w:val="24"/>
          <w:szCs w:val="24"/>
          <w:highlight w:val="none"/>
          <w:lang w:val="en-US" w:eastAsia="zh-CN" w:bidi="ar-SA"/>
        </w:rPr>
      </w:pPr>
      <w:r>
        <w:rPr>
          <w:rStyle w:val="21"/>
          <w:rFonts w:hint="eastAsia" w:asciiTheme="minorEastAsia" w:hAnsiTheme="minorEastAsia" w:eastAsiaTheme="minorEastAsia" w:cstheme="minorEastAsia"/>
          <w:color w:val="auto"/>
          <w:kern w:val="2"/>
          <w:sz w:val="24"/>
          <w:szCs w:val="24"/>
          <w:highlight w:val="none"/>
          <w:lang w:val="en-US" w:eastAsia="zh-CN" w:bidi="ar-SA"/>
        </w:rPr>
        <w:t>6.1.1承包人应按合同进度计划的要求，及时配置施工设备和修建临时设施。进入施工场地的承包人设备需经监理人核查后才能投入使用。承包人更换合同约定的承包人设备的，立即报监理人批准。</w:t>
      </w:r>
    </w:p>
    <w:p>
      <w:pPr>
        <w:pStyle w:val="65"/>
        <w:tabs>
          <w:tab w:val="left" w:pos="8280"/>
        </w:tabs>
        <w:spacing w:line="360" w:lineRule="auto"/>
        <w:ind w:firstLine="360" w:firstLineChars="150"/>
        <w:rPr>
          <w:rStyle w:val="21"/>
          <w:rFonts w:hint="eastAsia" w:asciiTheme="minorEastAsia" w:hAnsiTheme="minorEastAsia" w:eastAsiaTheme="minorEastAsia" w:cstheme="minorEastAsia"/>
          <w:color w:val="auto"/>
          <w:kern w:val="2"/>
          <w:sz w:val="24"/>
          <w:szCs w:val="24"/>
          <w:highlight w:val="none"/>
          <w:lang w:val="en-US" w:eastAsia="zh-CN" w:bidi="ar-SA"/>
        </w:rPr>
      </w:pPr>
      <w:r>
        <w:rPr>
          <w:rStyle w:val="21"/>
          <w:rFonts w:hint="eastAsia" w:asciiTheme="minorEastAsia" w:hAnsiTheme="minorEastAsia" w:eastAsiaTheme="minorEastAsia" w:cstheme="minorEastAsia"/>
          <w:color w:val="auto"/>
          <w:kern w:val="2"/>
          <w:sz w:val="24"/>
          <w:szCs w:val="24"/>
          <w:highlight w:val="none"/>
          <w:lang w:val="en-US" w:eastAsia="zh-CN" w:bidi="ar-SA"/>
        </w:rPr>
        <w:t>6.1.2除专用合同条款另有约定外，承包人应自行承担修建临时设施的费用，需要临时占地的，应由发包人办理申请手续并承担相应费用。</w:t>
      </w:r>
    </w:p>
    <w:p>
      <w:pPr>
        <w:pStyle w:val="65"/>
        <w:tabs>
          <w:tab w:val="left" w:pos="8280"/>
        </w:tabs>
        <w:spacing w:line="360" w:lineRule="auto"/>
        <w:rPr>
          <w:rStyle w:val="21"/>
          <w:rFonts w:hint="eastAsia" w:asciiTheme="minorEastAsia" w:hAnsiTheme="minorEastAsia" w:eastAsiaTheme="minorEastAsia" w:cstheme="minorEastAsia"/>
          <w:color w:val="auto"/>
          <w:kern w:val="2"/>
          <w:sz w:val="24"/>
          <w:szCs w:val="24"/>
          <w:highlight w:val="none"/>
          <w:lang w:val="en-US" w:eastAsia="zh-CN" w:bidi="ar-SA"/>
        </w:rPr>
      </w:pPr>
      <w:r>
        <w:rPr>
          <w:rStyle w:val="21"/>
          <w:rFonts w:hint="eastAsia" w:asciiTheme="minorEastAsia" w:hAnsiTheme="minorEastAsia" w:eastAsiaTheme="minorEastAsia" w:cstheme="minorEastAsia"/>
          <w:b/>
          <w:color w:val="auto"/>
          <w:kern w:val="2"/>
          <w:sz w:val="24"/>
          <w:szCs w:val="24"/>
          <w:highlight w:val="none"/>
          <w:lang w:val="en-US" w:eastAsia="zh-CN" w:bidi="ar-SA"/>
        </w:rPr>
        <w:t>6.3要求承包人增加或更换施工设备</w:t>
      </w:r>
    </w:p>
    <w:p>
      <w:pPr>
        <w:pStyle w:val="65"/>
        <w:tabs>
          <w:tab w:val="left" w:pos="8280"/>
        </w:tabs>
        <w:spacing w:line="360" w:lineRule="auto"/>
        <w:ind w:firstLine="360" w:firstLineChars="150"/>
        <w:rPr>
          <w:rStyle w:val="21"/>
          <w:rFonts w:hint="eastAsia" w:asciiTheme="minorEastAsia" w:hAnsiTheme="minorEastAsia" w:eastAsiaTheme="minorEastAsia" w:cstheme="minorEastAsia"/>
          <w:color w:val="auto"/>
          <w:kern w:val="2"/>
          <w:sz w:val="24"/>
          <w:szCs w:val="24"/>
          <w:highlight w:val="none"/>
          <w:lang w:val="en-US" w:eastAsia="zh-CN" w:bidi="ar-SA"/>
        </w:rPr>
      </w:pPr>
      <w:r>
        <w:rPr>
          <w:rStyle w:val="21"/>
          <w:rFonts w:hint="eastAsia" w:asciiTheme="minorEastAsia" w:hAnsiTheme="minorEastAsia" w:eastAsiaTheme="minorEastAsia" w:cstheme="minorEastAsia"/>
          <w:color w:val="auto"/>
          <w:kern w:val="2"/>
          <w:sz w:val="24"/>
          <w:szCs w:val="24"/>
          <w:highlight w:val="none"/>
          <w:lang w:val="en-US" w:eastAsia="zh-CN" w:bidi="ar-SA"/>
        </w:rPr>
        <w:t>承包人使用的施工设备不能满足合同进度计划和(或)质量要求时，监理人有权要求承包人增加或更换施工设备，承包人应及时增加或更换，由此增加的费用和(或)工期延误由承包人承担。</w:t>
      </w:r>
    </w:p>
    <w:p>
      <w:pPr>
        <w:pStyle w:val="65"/>
        <w:tabs>
          <w:tab w:val="left" w:pos="8280"/>
        </w:tabs>
        <w:spacing w:line="360" w:lineRule="auto"/>
        <w:rPr>
          <w:rStyle w:val="21"/>
          <w:rFonts w:hint="eastAsia" w:asciiTheme="minorEastAsia" w:hAnsiTheme="minorEastAsia" w:eastAsiaTheme="minorEastAsia" w:cstheme="minorEastAsia"/>
          <w:b/>
          <w:color w:val="auto"/>
          <w:kern w:val="2"/>
          <w:sz w:val="24"/>
          <w:szCs w:val="24"/>
          <w:highlight w:val="none"/>
          <w:lang w:val="en-US" w:eastAsia="zh-CN" w:bidi="ar-SA"/>
        </w:rPr>
      </w:pPr>
      <w:r>
        <w:rPr>
          <w:rStyle w:val="21"/>
          <w:rFonts w:hint="eastAsia" w:asciiTheme="minorEastAsia" w:hAnsiTheme="minorEastAsia" w:eastAsiaTheme="minorEastAsia" w:cstheme="minorEastAsia"/>
          <w:b/>
          <w:color w:val="auto"/>
          <w:kern w:val="2"/>
          <w:sz w:val="24"/>
          <w:szCs w:val="24"/>
          <w:highlight w:val="none"/>
          <w:lang w:val="en-US" w:eastAsia="zh-CN" w:bidi="ar-SA"/>
        </w:rPr>
        <w:t>6.4施工设备和临时设施专用于合同工程</w:t>
      </w:r>
    </w:p>
    <w:p>
      <w:pPr>
        <w:pStyle w:val="65"/>
        <w:tabs>
          <w:tab w:val="left" w:pos="8280"/>
        </w:tabs>
        <w:spacing w:line="360" w:lineRule="auto"/>
        <w:ind w:firstLine="360" w:firstLineChars="150"/>
        <w:rPr>
          <w:rStyle w:val="21"/>
          <w:rFonts w:hint="eastAsia" w:asciiTheme="minorEastAsia" w:hAnsiTheme="minorEastAsia" w:eastAsiaTheme="minorEastAsia" w:cstheme="minorEastAsia"/>
          <w:color w:val="auto"/>
          <w:kern w:val="2"/>
          <w:sz w:val="24"/>
          <w:szCs w:val="24"/>
          <w:highlight w:val="none"/>
          <w:lang w:val="en-US" w:eastAsia="zh-CN" w:bidi="ar-SA"/>
        </w:rPr>
      </w:pPr>
      <w:r>
        <w:rPr>
          <w:rStyle w:val="21"/>
          <w:rFonts w:hint="eastAsia" w:asciiTheme="minorEastAsia" w:hAnsiTheme="minorEastAsia" w:eastAsiaTheme="minorEastAsia" w:cstheme="minorEastAsia"/>
          <w:color w:val="auto"/>
          <w:kern w:val="2"/>
          <w:sz w:val="24"/>
          <w:szCs w:val="24"/>
          <w:highlight w:val="none"/>
          <w:lang w:val="en-US" w:eastAsia="zh-CN" w:bidi="ar-SA"/>
        </w:rPr>
        <w:t>6.4.1除合同另有约定外，运入施工场地的所有施工设备以及在施工场地建设的临时设施应专用于合同工程。未经监理人同意，不得将上述施工设备和临时设施中的任何部分运出施工场地或挪作他用。</w:t>
      </w:r>
    </w:p>
    <w:p>
      <w:pPr>
        <w:pStyle w:val="65"/>
        <w:tabs>
          <w:tab w:val="left" w:pos="8280"/>
        </w:tabs>
        <w:spacing w:line="360" w:lineRule="auto"/>
        <w:ind w:firstLine="360" w:firstLineChars="150"/>
        <w:rPr>
          <w:rStyle w:val="21"/>
          <w:rFonts w:hint="eastAsia" w:asciiTheme="minorEastAsia" w:hAnsiTheme="minorEastAsia" w:eastAsiaTheme="minorEastAsia" w:cstheme="minorEastAsia"/>
          <w:color w:val="auto"/>
          <w:kern w:val="2"/>
          <w:sz w:val="24"/>
          <w:szCs w:val="24"/>
          <w:highlight w:val="none"/>
          <w:lang w:val="en-US" w:eastAsia="zh-CN" w:bidi="ar-SA"/>
        </w:rPr>
      </w:pPr>
      <w:r>
        <w:rPr>
          <w:rStyle w:val="21"/>
          <w:rFonts w:hint="eastAsia" w:asciiTheme="minorEastAsia" w:hAnsiTheme="minorEastAsia" w:eastAsiaTheme="minorEastAsia" w:cstheme="minorEastAsia"/>
          <w:color w:val="auto"/>
          <w:kern w:val="2"/>
          <w:sz w:val="24"/>
          <w:szCs w:val="24"/>
          <w:highlight w:val="none"/>
          <w:lang w:val="en-US" w:eastAsia="zh-CN" w:bidi="ar-SA"/>
        </w:rPr>
        <w:t>6.4.2经监理人同意，承包人可根据合同进度计划撤走闲置的施工设备。</w:t>
      </w:r>
    </w:p>
    <w:p>
      <w:pPr>
        <w:pStyle w:val="66"/>
        <w:rPr>
          <w:rStyle w:val="21"/>
          <w:rFonts w:hint="eastAsia" w:asciiTheme="minorEastAsia" w:hAnsiTheme="minorEastAsia" w:eastAsiaTheme="minorEastAsia" w:cstheme="minorEastAsia"/>
          <w:color w:val="auto"/>
          <w:kern w:val="2"/>
          <w:sz w:val="24"/>
          <w:szCs w:val="24"/>
          <w:highlight w:val="none"/>
          <w:lang w:val="en-US" w:eastAsia="zh-CN" w:bidi="ar-SA"/>
        </w:rPr>
      </w:pPr>
      <w:bookmarkStart w:id="275" w:name="_Toc13494"/>
      <w:r>
        <w:rPr>
          <w:rStyle w:val="21"/>
          <w:rFonts w:hint="eastAsia" w:asciiTheme="minorEastAsia" w:hAnsiTheme="minorEastAsia" w:eastAsiaTheme="minorEastAsia" w:cstheme="minorEastAsia"/>
          <w:color w:val="auto"/>
          <w:kern w:val="2"/>
          <w:sz w:val="24"/>
          <w:szCs w:val="24"/>
          <w:highlight w:val="none"/>
          <w:lang w:val="en-US" w:eastAsia="zh-CN" w:bidi="ar-SA"/>
        </w:rPr>
        <w:t>7 交通运输</w:t>
      </w:r>
      <w:bookmarkEnd w:id="275"/>
      <w:r>
        <w:rPr>
          <w:rStyle w:val="21"/>
          <w:rFonts w:hint="eastAsia" w:asciiTheme="minorEastAsia" w:hAnsiTheme="minorEastAsia" w:eastAsiaTheme="minorEastAsia" w:cstheme="minorEastAsia"/>
          <w:color w:val="auto"/>
          <w:kern w:val="2"/>
          <w:sz w:val="24"/>
          <w:szCs w:val="24"/>
          <w:highlight w:val="none"/>
          <w:lang w:val="en-US" w:eastAsia="zh-CN" w:bidi="ar-SA"/>
        </w:rPr>
        <w:t xml:space="preserve">    </w:t>
      </w:r>
    </w:p>
    <w:p>
      <w:pPr>
        <w:pStyle w:val="65"/>
        <w:tabs>
          <w:tab w:val="left" w:pos="8280"/>
        </w:tabs>
        <w:spacing w:line="360" w:lineRule="auto"/>
        <w:rPr>
          <w:rStyle w:val="21"/>
          <w:rFonts w:hint="eastAsia" w:asciiTheme="minorEastAsia" w:hAnsiTheme="minorEastAsia" w:eastAsiaTheme="minorEastAsia" w:cstheme="minorEastAsia"/>
          <w:b/>
          <w:color w:val="auto"/>
          <w:kern w:val="2"/>
          <w:sz w:val="24"/>
          <w:szCs w:val="24"/>
          <w:highlight w:val="none"/>
          <w:lang w:val="en-US" w:eastAsia="zh-CN" w:bidi="ar-SA"/>
        </w:rPr>
      </w:pPr>
      <w:r>
        <w:rPr>
          <w:rStyle w:val="21"/>
          <w:rFonts w:hint="eastAsia" w:asciiTheme="minorEastAsia" w:hAnsiTheme="minorEastAsia" w:eastAsiaTheme="minorEastAsia" w:cstheme="minorEastAsia"/>
          <w:b/>
          <w:color w:val="auto"/>
          <w:kern w:val="2"/>
          <w:sz w:val="24"/>
          <w:szCs w:val="24"/>
          <w:highlight w:val="none"/>
          <w:lang w:val="en-US" w:eastAsia="zh-CN" w:bidi="ar-SA"/>
        </w:rPr>
        <w:t xml:space="preserve">7.1道路通行权和场外设施   </w:t>
      </w:r>
    </w:p>
    <w:p>
      <w:pPr>
        <w:pStyle w:val="65"/>
        <w:tabs>
          <w:tab w:val="left" w:pos="8280"/>
        </w:tabs>
        <w:spacing w:line="360" w:lineRule="auto"/>
        <w:ind w:firstLine="360" w:firstLineChars="150"/>
        <w:rPr>
          <w:rStyle w:val="21"/>
          <w:rFonts w:hint="eastAsia" w:asciiTheme="minorEastAsia" w:hAnsiTheme="minorEastAsia" w:eastAsiaTheme="minorEastAsia" w:cstheme="minorEastAsia"/>
          <w:color w:val="auto"/>
          <w:kern w:val="2"/>
          <w:sz w:val="24"/>
          <w:szCs w:val="24"/>
          <w:highlight w:val="none"/>
          <w:lang w:val="en-US" w:eastAsia="zh-CN" w:bidi="ar-SA"/>
        </w:rPr>
      </w:pPr>
      <w:r>
        <w:rPr>
          <w:rStyle w:val="21"/>
          <w:rFonts w:hint="eastAsia" w:asciiTheme="minorEastAsia" w:hAnsiTheme="minorEastAsia" w:eastAsiaTheme="minorEastAsia" w:cstheme="minorEastAsia"/>
          <w:color w:val="auto"/>
          <w:kern w:val="2"/>
          <w:sz w:val="24"/>
          <w:szCs w:val="24"/>
          <w:highlight w:val="none"/>
          <w:lang w:val="en-US" w:eastAsia="zh-CN" w:bidi="ar-SA"/>
        </w:rPr>
        <w:t>除专用合同条款另有约定外，承包人应根据合同工程的施工需要，负责办理取得出入施工场地的专用和临时道路的通行权，以及取得为工程建设所需修建场外设施的权利，并承担相关费用。发包人应协助承包人办理上述手续。</w:t>
      </w:r>
    </w:p>
    <w:p>
      <w:pPr>
        <w:pStyle w:val="65"/>
        <w:tabs>
          <w:tab w:val="left" w:pos="8280"/>
        </w:tabs>
        <w:spacing w:line="360" w:lineRule="auto"/>
        <w:rPr>
          <w:rStyle w:val="21"/>
          <w:rFonts w:hint="eastAsia" w:asciiTheme="minorEastAsia" w:hAnsiTheme="minorEastAsia" w:eastAsiaTheme="minorEastAsia" w:cstheme="minorEastAsia"/>
          <w:b/>
          <w:color w:val="auto"/>
          <w:kern w:val="2"/>
          <w:sz w:val="24"/>
          <w:szCs w:val="24"/>
          <w:highlight w:val="none"/>
          <w:lang w:val="en-US" w:eastAsia="zh-CN" w:bidi="ar-SA"/>
        </w:rPr>
      </w:pPr>
      <w:r>
        <w:rPr>
          <w:rStyle w:val="21"/>
          <w:rFonts w:hint="eastAsia" w:asciiTheme="minorEastAsia" w:hAnsiTheme="minorEastAsia" w:eastAsiaTheme="minorEastAsia" w:cstheme="minorEastAsia"/>
          <w:b/>
          <w:color w:val="auto"/>
          <w:kern w:val="2"/>
          <w:sz w:val="24"/>
          <w:szCs w:val="24"/>
          <w:highlight w:val="none"/>
          <w:lang w:val="en-US" w:eastAsia="zh-CN" w:bidi="ar-SA"/>
        </w:rPr>
        <w:t>7.2场内施工道路</w:t>
      </w:r>
    </w:p>
    <w:p>
      <w:pPr>
        <w:pStyle w:val="65"/>
        <w:tabs>
          <w:tab w:val="left" w:pos="8280"/>
        </w:tabs>
        <w:spacing w:line="360" w:lineRule="auto"/>
        <w:ind w:firstLine="360" w:firstLineChars="150"/>
        <w:rPr>
          <w:rStyle w:val="21"/>
          <w:rFonts w:hint="eastAsia" w:asciiTheme="minorEastAsia" w:hAnsiTheme="minorEastAsia" w:eastAsiaTheme="minorEastAsia" w:cstheme="minorEastAsia"/>
          <w:color w:val="auto"/>
          <w:kern w:val="2"/>
          <w:sz w:val="24"/>
          <w:szCs w:val="24"/>
          <w:highlight w:val="none"/>
          <w:lang w:val="en-US" w:eastAsia="zh-CN" w:bidi="ar-SA"/>
        </w:rPr>
      </w:pPr>
      <w:r>
        <w:rPr>
          <w:rStyle w:val="21"/>
          <w:rFonts w:hint="eastAsia" w:asciiTheme="minorEastAsia" w:hAnsiTheme="minorEastAsia" w:eastAsiaTheme="minorEastAsia" w:cstheme="minorEastAsia"/>
          <w:color w:val="auto"/>
          <w:kern w:val="2"/>
          <w:sz w:val="24"/>
          <w:szCs w:val="24"/>
          <w:highlight w:val="none"/>
          <w:lang w:val="en-US" w:eastAsia="zh-CN" w:bidi="ar-SA"/>
        </w:rPr>
        <w:t>承包人修建的临时道路和交通设施，应免费提供发包人、监理人以及与本合同有关的其他承包人使用。</w:t>
      </w:r>
    </w:p>
    <w:p>
      <w:pPr>
        <w:pStyle w:val="65"/>
        <w:tabs>
          <w:tab w:val="left" w:pos="8280"/>
        </w:tabs>
        <w:spacing w:line="360" w:lineRule="auto"/>
        <w:rPr>
          <w:rStyle w:val="21"/>
          <w:rFonts w:hint="eastAsia" w:asciiTheme="minorEastAsia" w:hAnsiTheme="minorEastAsia" w:eastAsiaTheme="minorEastAsia" w:cstheme="minorEastAsia"/>
          <w:b/>
          <w:color w:val="auto"/>
          <w:kern w:val="2"/>
          <w:sz w:val="24"/>
          <w:szCs w:val="24"/>
          <w:highlight w:val="none"/>
          <w:lang w:val="en-US" w:eastAsia="zh-CN" w:bidi="ar-SA"/>
        </w:rPr>
      </w:pPr>
      <w:r>
        <w:rPr>
          <w:rStyle w:val="21"/>
          <w:rFonts w:hint="eastAsia" w:asciiTheme="minorEastAsia" w:hAnsiTheme="minorEastAsia" w:eastAsiaTheme="minorEastAsia" w:cstheme="minorEastAsia"/>
          <w:b/>
          <w:color w:val="auto"/>
          <w:kern w:val="2"/>
          <w:sz w:val="24"/>
          <w:szCs w:val="24"/>
          <w:highlight w:val="none"/>
          <w:lang w:val="en-US" w:eastAsia="zh-CN" w:bidi="ar-SA"/>
        </w:rPr>
        <w:t>7.3场外交通</w:t>
      </w:r>
    </w:p>
    <w:p>
      <w:pPr>
        <w:pStyle w:val="65"/>
        <w:tabs>
          <w:tab w:val="left" w:pos="8280"/>
        </w:tabs>
        <w:spacing w:line="360" w:lineRule="auto"/>
        <w:ind w:firstLine="360" w:firstLineChars="150"/>
        <w:rPr>
          <w:rStyle w:val="21"/>
          <w:rFonts w:hint="eastAsia" w:asciiTheme="minorEastAsia" w:hAnsiTheme="minorEastAsia" w:eastAsiaTheme="minorEastAsia" w:cstheme="minorEastAsia"/>
          <w:color w:val="auto"/>
          <w:kern w:val="2"/>
          <w:sz w:val="24"/>
          <w:szCs w:val="24"/>
          <w:highlight w:val="none"/>
          <w:lang w:val="en-US" w:eastAsia="zh-CN" w:bidi="ar-SA"/>
        </w:rPr>
      </w:pPr>
      <w:r>
        <w:rPr>
          <w:rStyle w:val="21"/>
          <w:rFonts w:hint="eastAsia" w:asciiTheme="minorEastAsia" w:hAnsiTheme="minorEastAsia" w:eastAsiaTheme="minorEastAsia" w:cstheme="minorEastAsia"/>
          <w:color w:val="auto"/>
          <w:kern w:val="2"/>
          <w:sz w:val="24"/>
          <w:szCs w:val="24"/>
          <w:highlight w:val="none"/>
          <w:lang w:val="en-US" w:eastAsia="zh-CN" w:bidi="ar-SA"/>
        </w:rPr>
        <w:t>7.3.1承包人车辆外出行驶所需的场外公共道路的通行费、养路费和税款等由承包人承担。</w:t>
      </w:r>
    </w:p>
    <w:p>
      <w:pPr>
        <w:pStyle w:val="65"/>
        <w:tabs>
          <w:tab w:val="left" w:pos="8280"/>
        </w:tabs>
        <w:spacing w:line="360" w:lineRule="auto"/>
        <w:ind w:firstLine="360" w:firstLineChars="150"/>
        <w:rPr>
          <w:rStyle w:val="21"/>
          <w:rFonts w:hint="eastAsia" w:asciiTheme="minorEastAsia" w:hAnsiTheme="minorEastAsia" w:eastAsiaTheme="minorEastAsia" w:cstheme="minorEastAsia"/>
          <w:color w:val="auto"/>
          <w:kern w:val="2"/>
          <w:sz w:val="24"/>
          <w:szCs w:val="24"/>
          <w:highlight w:val="none"/>
          <w:lang w:val="en-US" w:eastAsia="zh-CN" w:bidi="ar-SA"/>
        </w:rPr>
      </w:pPr>
      <w:r>
        <w:rPr>
          <w:rStyle w:val="21"/>
          <w:rFonts w:hint="eastAsia" w:asciiTheme="minorEastAsia" w:hAnsiTheme="minorEastAsia" w:eastAsiaTheme="minorEastAsia" w:cstheme="minorEastAsia"/>
          <w:color w:val="auto"/>
          <w:kern w:val="2"/>
          <w:sz w:val="24"/>
          <w:szCs w:val="24"/>
          <w:highlight w:val="none"/>
          <w:lang w:val="en-US" w:eastAsia="zh-CN" w:bidi="ar-SA"/>
        </w:rPr>
        <w:t>7.3.2承包人应遵守有关交通法规，严格按照道路和桥梁的限制荷重安全行驶，并服从交通管理部门的检查和监督。</w:t>
      </w:r>
    </w:p>
    <w:p>
      <w:pPr>
        <w:pStyle w:val="66"/>
        <w:rPr>
          <w:rStyle w:val="21"/>
          <w:rFonts w:hint="eastAsia" w:asciiTheme="minorEastAsia" w:hAnsiTheme="minorEastAsia" w:eastAsiaTheme="minorEastAsia" w:cstheme="minorEastAsia"/>
          <w:color w:val="auto"/>
          <w:kern w:val="2"/>
          <w:sz w:val="24"/>
          <w:szCs w:val="24"/>
          <w:highlight w:val="none"/>
          <w:lang w:val="en-US" w:eastAsia="zh-CN" w:bidi="ar-SA"/>
        </w:rPr>
      </w:pPr>
      <w:bookmarkStart w:id="276" w:name="_Toc32192"/>
      <w:r>
        <w:rPr>
          <w:rStyle w:val="21"/>
          <w:rFonts w:hint="eastAsia" w:asciiTheme="minorEastAsia" w:hAnsiTheme="minorEastAsia" w:eastAsiaTheme="minorEastAsia" w:cstheme="minorEastAsia"/>
          <w:color w:val="auto"/>
          <w:kern w:val="2"/>
          <w:sz w:val="24"/>
          <w:szCs w:val="24"/>
          <w:highlight w:val="none"/>
          <w:lang w:val="en-US" w:eastAsia="zh-CN" w:bidi="ar-SA"/>
        </w:rPr>
        <w:t>8 测量放线</w:t>
      </w:r>
      <w:bookmarkEnd w:id="276"/>
    </w:p>
    <w:p>
      <w:pPr>
        <w:pStyle w:val="65"/>
        <w:tabs>
          <w:tab w:val="left" w:pos="8280"/>
        </w:tabs>
        <w:spacing w:line="360" w:lineRule="auto"/>
        <w:rPr>
          <w:rStyle w:val="21"/>
          <w:rFonts w:hint="eastAsia" w:asciiTheme="minorEastAsia" w:hAnsiTheme="minorEastAsia" w:eastAsiaTheme="minorEastAsia" w:cstheme="minorEastAsia"/>
          <w:b/>
          <w:color w:val="auto"/>
          <w:kern w:val="2"/>
          <w:sz w:val="24"/>
          <w:szCs w:val="24"/>
          <w:highlight w:val="none"/>
          <w:lang w:val="en-US" w:eastAsia="zh-CN" w:bidi="ar-SA"/>
        </w:rPr>
      </w:pPr>
      <w:r>
        <w:rPr>
          <w:rStyle w:val="21"/>
          <w:rFonts w:hint="eastAsia" w:asciiTheme="minorEastAsia" w:hAnsiTheme="minorEastAsia" w:eastAsiaTheme="minorEastAsia" w:cstheme="minorEastAsia"/>
          <w:b/>
          <w:color w:val="auto"/>
          <w:kern w:val="2"/>
          <w:sz w:val="24"/>
          <w:szCs w:val="24"/>
          <w:highlight w:val="none"/>
          <w:lang w:val="en-US" w:eastAsia="zh-CN" w:bidi="ar-SA"/>
        </w:rPr>
        <w:t xml:space="preserve">8.1施工控制网 </w:t>
      </w:r>
    </w:p>
    <w:p>
      <w:pPr>
        <w:pStyle w:val="65"/>
        <w:tabs>
          <w:tab w:val="left" w:pos="8280"/>
        </w:tabs>
        <w:spacing w:line="360" w:lineRule="auto"/>
        <w:ind w:firstLine="360" w:firstLineChars="150"/>
        <w:rPr>
          <w:rStyle w:val="21"/>
          <w:rFonts w:hint="eastAsia" w:asciiTheme="minorEastAsia" w:hAnsiTheme="minorEastAsia" w:eastAsiaTheme="minorEastAsia" w:cstheme="minorEastAsia"/>
          <w:color w:val="auto"/>
          <w:kern w:val="2"/>
          <w:sz w:val="24"/>
          <w:szCs w:val="24"/>
          <w:highlight w:val="none"/>
          <w:lang w:val="en-US" w:eastAsia="zh-CN" w:bidi="ar-SA"/>
        </w:rPr>
      </w:pPr>
      <w:r>
        <w:rPr>
          <w:rStyle w:val="21"/>
          <w:rFonts w:hint="eastAsia" w:asciiTheme="minorEastAsia" w:hAnsiTheme="minorEastAsia" w:eastAsiaTheme="minorEastAsia" w:cstheme="minorEastAsia"/>
          <w:color w:val="auto"/>
          <w:kern w:val="2"/>
          <w:sz w:val="24"/>
          <w:szCs w:val="24"/>
          <w:highlight w:val="none"/>
          <w:lang w:val="en-US" w:eastAsia="zh-CN" w:bidi="ar-SA"/>
        </w:rPr>
        <w:t xml:space="preserve">8.1.1发包人应在专用合同条款约定的期限内，通过监理人向承包人提供测量基准点、基准线和水准点及其书面资料。除专用合同条款另有约定外，承包人应根据国家测绘基准、测绘系统和工程测量技术规范，按上述基准点(线)以及合同工程精度要求，测设施工控制网，并在专用合同条款约定的期限内，将施工控制网资料报送监理人审批。 </w:t>
      </w:r>
    </w:p>
    <w:p>
      <w:pPr>
        <w:pStyle w:val="65"/>
        <w:tabs>
          <w:tab w:val="left" w:pos="8280"/>
        </w:tabs>
        <w:spacing w:line="360" w:lineRule="auto"/>
        <w:ind w:firstLine="360" w:firstLineChars="150"/>
        <w:rPr>
          <w:rStyle w:val="21"/>
          <w:rFonts w:hint="eastAsia" w:asciiTheme="minorEastAsia" w:hAnsiTheme="minorEastAsia" w:eastAsiaTheme="minorEastAsia" w:cstheme="minorEastAsia"/>
          <w:color w:val="auto"/>
          <w:kern w:val="2"/>
          <w:sz w:val="24"/>
          <w:szCs w:val="24"/>
          <w:highlight w:val="none"/>
          <w:lang w:val="en-US" w:eastAsia="zh-CN" w:bidi="ar-SA"/>
        </w:rPr>
      </w:pPr>
      <w:r>
        <w:rPr>
          <w:rStyle w:val="21"/>
          <w:rFonts w:hint="eastAsia" w:asciiTheme="minorEastAsia" w:hAnsiTheme="minorEastAsia" w:eastAsiaTheme="minorEastAsia" w:cstheme="minorEastAsia"/>
          <w:color w:val="auto"/>
          <w:kern w:val="2"/>
          <w:sz w:val="24"/>
          <w:szCs w:val="24"/>
          <w:highlight w:val="none"/>
          <w:lang w:val="en-US" w:eastAsia="zh-CN" w:bidi="ar-SA"/>
        </w:rPr>
        <w:t xml:space="preserve">8.1.2承包人应负责管理施工控制网点。施工控制网点丢失或损坏的，承包人应及时修复。承包人应承担施工控制网点的管理与修复费用，并在工程竣工后将施工控制网点移交发包人。   </w:t>
      </w:r>
    </w:p>
    <w:p>
      <w:pPr>
        <w:pStyle w:val="65"/>
        <w:tabs>
          <w:tab w:val="left" w:pos="8280"/>
        </w:tabs>
        <w:spacing w:line="360" w:lineRule="auto"/>
        <w:rPr>
          <w:rStyle w:val="21"/>
          <w:rFonts w:hint="eastAsia" w:asciiTheme="minorEastAsia" w:hAnsiTheme="minorEastAsia" w:eastAsiaTheme="minorEastAsia" w:cstheme="minorEastAsia"/>
          <w:b/>
          <w:color w:val="auto"/>
          <w:kern w:val="2"/>
          <w:sz w:val="24"/>
          <w:szCs w:val="24"/>
          <w:highlight w:val="none"/>
          <w:lang w:val="en-US" w:eastAsia="zh-CN" w:bidi="ar-SA"/>
        </w:rPr>
      </w:pPr>
      <w:r>
        <w:rPr>
          <w:rStyle w:val="21"/>
          <w:rFonts w:hint="eastAsia" w:asciiTheme="minorEastAsia" w:hAnsiTheme="minorEastAsia" w:eastAsiaTheme="minorEastAsia" w:cstheme="minorEastAsia"/>
          <w:b/>
          <w:color w:val="auto"/>
          <w:kern w:val="2"/>
          <w:sz w:val="24"/>
          <w:szCs w:val="24"/>
          <w:highlight w:val="none"/>
          <w:lang w:val="en-US" w:eastAsia="zh-CN" w:bidi="ar-SA"/>
        </w:rPr>
        <w:t>8.2施工测量</w:t>
      </w:r>
    </w:p>
    <w:p>
      <w:pPr>
        <w:pStyle w:val="65"/>
        <w:tabs>
          <w:tab w:val="left" w:pos="8280"/>
        </w:tabs>
        <w:spacing w:line="360" w:lineRule="auto"/>
        <w:ind w:firstLine="360" w:firstLineChars="150"/>
        <w:rPr>
          <w:rStyle w:val="21"/>
          <w:rFonts w:hint="eastAsia" w:asciiTheme="minorEastAsia" w:hAnsiTheme="minorEastAsia" w:eastAsiaTheme="minorEastAsia" w:cstheme="minorEastAsia"/>
          <w:color w:val="auto"/>
          <w:kern w:val="2"/>
          <w:sz w:val="24"/>
          <w:szCs w:val="24"/>
          <w:highlight w:val="none"/>
          <w:lang w:val="en-US" w:eastAsia="zh-CN" w:bidi="ar-SA"/>
        </w:rPr>
      </w:pPr>
      <w:r>
        <w:rPr>
          <w:rStyle w:val="21"/>
          <w:rFonts w:hint="eastAsia" w:asciiTheme="minorEastAsia" w:hAnsiTheme="minorEastAsia" w:eastAsiaTheme="minorEastAsia" w:cstheme="minorEastAsia"/>
          <w:color w:val="auto"/>
          <w:kern w:val="2"/>
          <w:sz w:val="24"/>
          <w:szCs w:val="24"/>
          <w:highlight w:val="none"/>
          <w:lang w:val="en-US" w:eastAsia="zh-CN" w:bidi="ar-SA"/>
        </w:rPr>
        <w:t>8.2.1承包人应负责施工过程中的全部施工测量放线工作，并配置合格的人员、仪器、设备和其他物品。</w:t>
      </w:r>
    </w:p>
    <w:p>
      <w:pPr>
        <w:pStyle w:val="65"/>
        <w:tabs>
          <w:tab w:val="left" w:pos="8280"/>
        </w:tabs>
        <w:spacing w:line="360" w:lineRule="auto"/>
        <w:ind w:firstLine="360" w:firstLineChars="150"/>
        <w:rPr>
          <w:rStyle w:val="21"/>
          <w:rFonts w:hint="eastAsia" w:asciiTheme="minorEastAsia" w:hAnsiTheme="minorEastAsia" w:eastAsiaTheme="minorEastAsia" w:cstheme="minorEastAsia"/>
          <w:color w:val="auto"/>
          <w:kern w:val="2"/>
          <w:sz w:val="24"/>
          <w:szCs w:val="24"/>
          <w:highlight w:val="none"/>
          <w:lang w:val="en-US" w:eastAsia="zh-CN" w:bidi="ar-SA"/>
        </w:rPr>
      </w:pPr>
      <w:r>
        <w:rPr>
          <w:rStyle w:val="21"/>
          <w:rFonts w:hint="eastAsia" w:asciiTheme="minorEastAsia" w:hAnsiTheme="minorEastAsia" w:eastAsiaTheme="minorEastAsia" w:cstheme="minorEastAsia"/>
          <w:color w:val="auto"/>
          <w:kern w:val="2"/>
          <w:sz w:val="24"/>
          <w:szCs w:val="24"/>
          <w:highlight w:val="none"/>
          <w:lang w:val="en-US" w:eastAsia="zh-CN" w:bidi="ar-SA"/>
        </w:rPr>
        <w:t>8.2.2监理人可以指示承包人进行抽样复测，当复测中发现错误或出现超过合同约定的误差时，承包人应按监理人指示进行修正或补测，并承担相应的复测费用。</w:t>
      </w:r>
    </w:p>
    <w:p>
      <w:pPr>
        <w:pStyle w:val="65"/>
        <w:tabs>
          <w:tab w:val="left" w:pos="8280"/>
        </w:tabs>
        <w:spacing w:line="360" w:lineRule="auto"/>
        <w:rPr>
          <w:rStyle w:val="21"/>
          <w:rFonts w:hint="eastAsia" w:asciiTheme="minorEastAsia" w:hAnsiTheme="minorEastAsia" w:eastAsiaTheme="minorEastAsia" w:cstheme="minorEastAsia"/>
          <w:b/>
          <w:color w:val="auto"/>
          <w:kern w:val="2"/>
          <w:sz w:val="24"/>
          <w:szCs w:val="24"/>
          <w:highlight w:val="none"/>
          <w:lang w:val="en-US" w:eastAsia="zh-CN" w:bidi="ar-SA"/>
        </w:rPr>
      </w:pPr>
      <w:r>
        <w:rPr>
          <w:rStyle w:val="21"/>
          <w:rFonts w:hint="eastAsia" w:asciiTheme="minorEastAsia" w:hAnsiTheme="minorEastAsia" w:eastAsiaTheme="minorEastAsia" w:cstheme="minorEastAsia"/>
          <w:b/>
          <w:color w:val="auto"/>
          <w:kern w:val="2"/>
          <w:sz w:val="24"/>
          <w:szCs w:val="24"/>
          <w:highlight w:val="none"/>
          <w:lang w:val="en-US" w:eastAsia="zh-CN" w:bidi="ar-SA"/>
        </w:rPr>
        <w:t>8.3基准资料错误的责任</w:t>
      </w:r>
    </w:p>
    <w:p>
      <w:pPr>
        <w:pStyle w:val="65"/>
        <w:tabs>
          <w:tab w:val="left" w:pos="8280"/>
        </w:tabs>
        <w:spacing w:line="360" w:lineRule="auto"/>
        <w:ind w:firstLine="360" w:firstLineChars="150"/>
        <w:rPr>
          <w:rStyle w:val="21"/>
          <w:rFonts w:hint="eastAsia" w:asciiTheme="minorEastAsia" w:hAnsiTheme="minorEastAsia" w:eastAsiaTheme="minorEastAsia" w:cstheme="minorEastAsia"/>
          <w:color w:val="auto"/>
          <w:kern w:val="2"/>
          <w:sz w:val="24"/>
          <w:szCs w:val="24"/>
          <w:highlight w:val="none"/>
          <w:lang w:val="en-US" w:eastAsia="zh-CN" w:bidi="ar-SA"/>
        </w:rPr>
      </w:pPr>
      <w:r>
        <w:rPr>
          <w:rStyle w:val="21"/>
          <w:rFonts w:hint="eastAsia" w:asciiTheme="minorEastAsia" w:hAnsiTheme="minorEastAsia" w:eastAsiaTheme="minorEastAsia" w:cstheme="minorEastAsia"/>
          <w:color w:val="auto"/>
          <w:kern w:val="2"/>
          <w:sz w:val="24"/>
          <w:szCs w:val="24"/>
          <w:highlight w:val="none"/>
          <w:lang w:val="en-US" w:eastAsia="zh-CN" w:bidi="ar-SA"/>
        </w:rPr>
        <w:t>发包人应对其提供的测量基准点、基准线和水准点及其书面资料的真实性、准确性和完整性负责。发包人提供上述基准资料错误导致承包人测量放线工作的返工或造成工程损失的，发包人应当承担由此增加的费用和(或)工期延误，并向承包人支付合理利润。承包人发现发包人提供的上述基准资料存在明显错误或疏忽的，应及时通知监理人。</w:t>
      </w:r>
    </w:p>
    <w:p>
      <w:pPr>
        <w:pStyle w:val="65"/>
        <w:tabs>
          <w:tab w:val="left" w:pos="8280"/>
        </w:tabs>
        <w:spacing w:line="360" w:lineRule="auto"/>
        <w:rPr>
          <w:rStyle w:val="21"/>
          <w:rFonts w:hint="eastAsia" w:asciiTheme="minorEastAsia" w:hAnsiTheme="minorEastAsia" w:eastAsiaTheme="minorEastAsia" w:cstheme="minorEastAsia"/>
          <w:b/>
          <w:color w:val="auto"/>
          <w:kern w:val="2"/>
          <w:sz w:val="24"/>
          <w:szCs w:val="24"/>
          <w:highlight w:val="none"/>
          <w:lang w:val="en-US" w:eastAsia="zh-CN" w:bidi="ar-SA"/>
        </w:rPr>
      </w:pPr>
      <w:r>
        <w:rPr>
          <w:rStyle w:val="21"/>
          <w:rFonts w:hint="eastAsia" w:asciiTheme="minorEastAsia" w:hAnsiTheme="minorEastAsia" w:eastAsiaTheme="minorEastAsia" w:cstheme="minorEastAsia"/>
          <w:b/>
          <w:color w:val="auto"/>
          <w:kern w:val="2"/>
          <w:sz w:val="24"/>
          <w:szCs w:val="24"/>
          <w:highlight w:val="none"/>
          <w:lang w:val="en-US" w:eastAsia="zh-CN" w:bidi="ar-SA"/>
        </w:rPr>
        <w:t>8.4监理人使用施工控制网</w:t>
      </w:r>
    </w:p>
    <w:p>
      <w:pPr>
        <w:pStyle w:val="65"/>
        <w:tabs>
          <w:tab w:val="left" w:pos="8280"/>
        </w:tabs>
        <w:spacing w:line="360" w:lineRule="auto"/>
        <w:ind w:firstLine="360" w:firstLineChars="150"/>
        <w:rPr>
          <w:rStyle w:val="21"/>
          <w:rFonts w:hint="eastAsia" w:asciiTheme="minorEastAsia" w:hAnsiTheme="minorEastAsia" w:eastAsiaTheme="minorEastAsia" w:cstheme="minorEastAsia"/>
          <w:color w:val="auto"/>
          <w:kern w:val="2"/>
          <w:sz w:val="24"/>
          <w:szCs w:val="24"/>
          <w:highlight w:val="none"/>
          <w:lang w:val="en-US" w:eastAsia="zh-CN" w:bidi="ar-SA"/>
        </w:rPr>
      </w:pPr>
      <w:r>
        <w:rPr>
          <w:rStyle w:val="21"/>
          <w:rFonts w:hint="eastAsia" w:asciiTheme="minorEastAsia" w:hAnsiTheme="minorEastAsia" w:eastAsiaTheme="minorEastAsia" w:cstheme="minorEastAsia"/>
          <w:color w:val="auto"/>
          <w:kern w:val="2"/>
          <w:sz w:val="24"/>
          <w:szCs w:val="24"/>
          <w:highlight w:val="none"/>
          <w:lang w:val="en-US" w:eastAsia="zh-CN" w:bidi="ar-SA"/>
        </w:rPr>
        <w:t>监理人需要使用施工控制网的，承包人应提供必要的协助，发包人不再为此支付费用。</w:t>
      </w:r>
    </w:p>
    <w:p>
      <w:pPr>
        <w:pStyle w:val="65"/>
        <w:tabs>
          <w:tab w:val="left" w:pos="8280"/>
        </w:tabs>
        <w:spacing w:line="360" w:lineRule="auto"/>
        <w:rPr>
          <w:rStyle w:val="21"/>
          <w:rFonts w:hint="eastAsia" w:asciiTheme="minorEastAsia" w:hAnsiTheme="minorEastAsia" w:eastAsiaTheme="minorEastAsia" w:cstheme="minorEastAsia"/>
          <w:b/>
          <w:color w:val="auto"/>
          <w:kern w:val="2"/>
          <w:sz w:val="24"/>
          <w:szCs w:val="24"/>
          <w:highlight w:val="none"/>
          <w:lang w:val="en-US" w:eastAsia="zh-CN" w:bidi="ar-SA"/>
        </w:rPr>
      </w:pPr>
      <w:r>
        <w:rPr>
          <w:rStyle w:val="21"/>
          <w:rFonts w:hint="eastAsia" w:asciiTheme="minorEastAsia" w:hAnsiTheme="minorEastAsia" w:eastAsiaTheme="minorEastAsia" w:cstheme="minorEastAsia"/>
          <w:b/>
          <w:color w:val="auto"/>
          <w:kern w:val="2"/>
          <w:sz w:val="24"/>
          <w:szCs w:val="24"/>
          <w:highlight w:val="none"/>
          <w:lang w:val="en-US" w:eastAsia="zh-CN" w:bidi="ar-SA"/>
        </w:rPr>
        <w:t>8.5补充地址勘探</w:t>
      </w:r>
    </w:p>
    <w:p>
      <w:pPr>
        <w:pStyle w:val="65"/>
        <w:tabs>
          <w:tab w:val="left" w:pos="8280"/>
        </w:tabs>
        <w:spacing w:line="360" w:lineRule="auto"/>
        <w:ind w:firstLine="360" w:firstLineChars="150"/>
        <w:rPr>
          <w:rStyle w:val="21"/>
          <w:rFonts w:hint="eastAsia" w:asciiTheme="minorEastAsia" w:hAnsiTheme="minorEastAsia" w:eastAsiaTheme="minorEastAsia" w:cstheme="minorEastAsia"/>
          <w:color w:val="auto"/>
          <w:kern w:val="2"/>
          <w:sz w:val="24"/>
          <w:szCs w:val="24"/>
          <w:highlight w:val="none"/>
          <w:lang w:val="en-US" w:eastAsia="zh-CN" w:bidi="ar-SA"/>
        </w:rPr>
      </w:pPr>
      <w:r>
        <w:rPr>
          <w:rStyle w:val="21"/>
          <w:rFonts w:hint="eastAsia" w:asciiTheme="minorEastAsia" w:hAnsiTheme="minorEastAsia" w:eastAsiaTheme="minorEastAsia" w:cstheme="minorEastAsia"/>
          <w:color w:val="auto"/>
          <w:kern w:val="2"/>
          <w:sz w:val="24"/>
          <w:szCs w:val="24"/>
          <w:highlight w:val="none"/>
          <w:lang w:val="en-US" w:eastAsia="zh-CN" w:bidi="ar-SA"/>
        </w:rPr>
        <w:t>在合同实施期间，监理人可以指示承包人进行必要的补充地址勘探并提供有关资料。承包人为本合同永久工程的需要进行补充地址勘探时，须经监理人批准，并向监理人提交有关资料，上述补充勘探的费用由发包人承担。承包人为其峰时工程设计及施工的需要进行的补充地质勘探，其费用由承包人承担。</w:t>
      </w:r>
    </w:p>
    <w:p>
      <w:pPr>
        <w:pStyle w:val="66"/>
        <w:rPr>
          <w:rStyle w:val="21"/>
          <w:rFonts w:hint="eastAsia" w:asciiTheme="minorEastAsia" w:hAnsiTheme="minorEastAsia" w:eastAsiaTheme="minorEastAsia" w:cstheme="minorEastAsia"/>
          <w:color w:val="auto"/>
          <w:kern w:val="2"/>
          <w:sz w:val="24"/>
          <w:szCs w:val="24"/>
          <w:highlight w:val="none"/>
          <w:lang w:val="en-US" w:eastAsia="zh-CN" w:bidi="ar-SA"/>
        </w:rPr>
      </w:pPr>
      <w:bookmarkStart w:id="277" w:name="_Toc26992"/>
      <w:r>
        <w:rPr>
          <w:rStyle w:val="21"/>
          <w:rFonts w:hint="eastAsia" w:asciiTheme="minorEastAsia" w:hAnsiTheme="minorEastAsia" w:eastAsiaTheme="minorEastAsia" w:cstheme="minorEastAsia"/>
          <w:color w:val="auto"/>
          <w:kern w:val="2"/>
          <w:sz w:val="24"/>
          <w:szCs w:val="24"/>
          <w:highlight w:val="none"/>
          <w:lang w:val="en-US" w:eastAsia="zh-CN" w:bidi="ar-SA"/>
        </w:rPr>
        <w:t>9 施工安全、治安保卫和环境保护</w:t>
      </w:r>
      <w:bookmarkEnd w:id="277"/>
    </w:p>
    <w:p>
      <w:pPr>
        <w:pStyle w:val="65"/>
        <w:tabs>
          <w:tab w:val="left" w:pos="8280"/>
        </w:tabs>
        <w:spacing w:line="360" w:lineRule="auto"/>
        <w:rPr>
          <w:rStyle w:val="21"/>
          <w:rFonts w:hint="eastAsia" w:asciiTheme="minorEastAsia" w:hAnsiTheme="minorEastAsia" w:eastAsiaTheme="minorEastAsia" w:cstheme="minorEastAsia"/>
          <w:b/>
          <w:color w:val="auto"/>
          <w:kern w:val="2"/>
          <w:sz w:val="24"/>
          <w:szCs w:val="24"/>
          <w:highlight w:val="none"/>
          <w:lang w:val="en-US" w:eastAsia="zh-CN" w:bidi="ar-SA"/>
        </w:rPr>
      </w:pPr>
      <w:r>
        <w:rPr>
          <w:rStyle w:val="21"/>
          <w:rFonts w:hint="eastAsia" w:asciiTheme="minorEastAsia" w:hAnsiTheme="minorEastAsia" w:eastAsiaTheme="minorEastAsia" w:cstheme="minorEastAsia"/>
          <w:b/>
          <w:color w:val="auto"/>
          <w:kern w:val="2"/>
          <w:sz w:val="24"/>
          <w:szCs w:val="24"/>
          <w:highlight w:val="none"/>
          <w:lang w:val="en-US" w:eastAsia="zh-CN" w:bidi="ar-SA"/>
        </w:rPr>
        <w:t>9.1发包人的施工安全责任</w:t>
      </w:r>
    </w:p>
    <w:p>
      <w:pPr>
        <w:pStyle w:val="65"/>
        <w:tabs>
          <w:tab w:val="left" w:pos="8280"/>
        </w:tabs>
        <w:spacing w:line="360" w:lineRule="auto"/>
        <w:ind w:firstLine="360" w:firstLineChars="150"/>
        <w:rPr>
          <w:rStyle w:val="21"/>
          <w:rFonts w:hint="eastAsia" w:asciiTheme="minorEastAsia" w:hAnsiTheme="minorEastAsia" w:eastAsiaTheme="minorEastAsia" w:cstheme="minorEastAsia"/>
          <w:color w:val="auto"/>
          <w:kern w:val="2"/>
          <w:sz w:val="24"/>
          <w:szCs w:val="24"/>
          <w:highlight w:val="none"/>
          <w:lang w:val="en-US" w:eastAsia="zh-CN" w:bidi="ar-SA"/>
        </w:rPr>
      </w:pPr>
      <w:r>
        <w:rPr>
          <w:rStyle w:val="21"/>
          <w:rFonts w:hint="eastAsia" w:asciiTheme="minorEastAsia" w:hAnsiTheme="minorEastAsia" w:eastAsiaTheme="minorEastAsia" w:cstheme="minorEastAsia"/>
          <w:color w:val="auto"/>
          <w:kern w:val="2"/>
          <w:sz w:val="24"/>
          <w:szCs w:val="24"/>
          <w:highlight w:val="none"/>
          <w:lang w:val="en-US" w:eastAsia="zh-CN" w:bidi="ar-SA"/>
        </w:rPr>
        <w:t>9.1.1发包人应按合同约定履行安全职责。发包人委托代理人根据国家有关安全的法律、法规、强制性标准以及部门规章，对承包人的安全责任履行情况进行监督和检查。监理人的监督检查不减轻承包人应负的安全责任。</w:t>
      </w:r>
    </w:p>
    <w:p>
      <w:pPr>
        <w:pStyle w:val="65"/>
        <w:tabs>
          <w:tab w:val="left" w:pos="8280"/>
        </w:tabs>
        <w:spacing w:line="360" w:lineRule="auto"/>
        <w:ind w:firstLine="360" w:firstLineChars="150"/>
        <w:rPr>
          <w:rStyle w:val="21"/>
          <w:rFonts w:hint="eastAsia" w:asciiTheme="minorEastAsia" w:hAnsiTheme="minorEastAsia" w:eastAsiaTheme="minorEastAsia" w:cstheme="minorEastAsia"/>
          <w:color w:val="auto"/>
          <w:kern w:val="2"/>
          <w:sz w:val="24"/>
          <w:szCs w:val="24"/>
          <w:highlight w:val="none"/>
          <w:lang w:val="en-US" w:eastAsia="zh-CN" w:bidi="ar-SA"/>
        </w:rPr>
      </w:pPr>
      <w:r>
        <w:rPr>
          <w:rStyle w:val="21"/>
          <w:rFonts w:hint="eastAsia" w:asciiTheme="minorEastAsia" w:hAnsiTheme="minorEastAsia" w:eastAsiaTheme="minorEastAsia" w:cstheme="minorEastAsia"/>
          <w:color w:val="auto"/>
          <w:kern w:val="2"/>
          <w:sz w:val="24"/>
          <w:szCs w:val="24"/>
          <w:highlight w:val="none"/>
          <w:lang w:val="en-US" w:eastAsia="zh-CN" w:bidi="ar-SA"/>
        </w:rPr>
        <w:t>9.1.2发包人应对其现场机构雇佣的全部人员的工伤事故承担责任，但由于承包人原因造成发包人人员工伤的，应由承包人承担责任。</w:t>
      </w:r>
    </w:p>
    <w:p>
      <w:pPr>
        <w:pStyle w:val="65"/>
        <w:tabs>
          <w:tab w:val="left" w:pos="8280"/>
        </w:tabs>
        <w:spacing w:line="360" w:lineRule="auto"/>
        <w:ind w:firstLine="360" w:firstLineChars="150"/>
        <w:rPr>
          <w:rStyle w:val="21"/>
          <w:rFonts w:hint="eastAsia" w:asciiTheme="minorEastAsia" w:hAnsiTheme="minorEastAsia" w:eastAsiaTheme="minorEastAsia" w:cstheme="minorEastAsia"/>
          <w:color w:val="auto"/>
          <w:kern w:val="2"/>
          <w:sz w:val="24"/>
          <w:szCs w:val="24"/>
          <w:highlight w:val="none"/>
          <w:lang w:val="en-US" w:eastAsia="zh-CN" w:bidi="ar-SA"/>
        </w:rPr>
      </w:pPr>
      <w:r>
        <w:rPr>
          <w:rStyle w:val="21"/>
          <w:rFonts w:hint="eastAsia" w:asciiTheme="minorEastAsia" w:hAnsiTheme="minorEastAsia" w:eastAsiaTheme="minorEastAsia" w:cstheme="minorEastAsia"/>
          <w:color w:val="auto"/>
          <w:kern w:val="2"/>
          <w:sz w:val="24"/>
          <w:szCs w:val="24"/>
          <w:highlight w:val="none"/>
          <w:lang w:val="en-US" w:eastAsia="zh-CN" w:bidi="ar-SA"/>
        </w:rPr>
        <w:t>9.1.3发包人应负责赔偿以下各种情况造成的第三者人身伤亡和财产损失；</w:t>
      </w:r>
    </w:p>
    <w:p>
      <w:pPr>
        <w:pStyle w:val="65"/>
        <w:tabs>
          <w:tab w:val="left" w:pos="8280"/>
        </w:tabs>
        <w:spacing w:line="360" w:lineRule="auto"/>
        <w:ind w:firstLine="360" w:firstLineChars="150"/>
        <w:rPr>
          <w:rStyle w:val="21"/>
          <w:rFonts w:hint="eastAsia" w:asciiTheme="minorEastAsia" w:hAnsiTheme="minorEastAsia" w:eastAsiaTheme="minorEastAsia" w:cstheme="minorEastAsia"/>
          <w:color w:val="auto"/>
          <w:kern w:val="2"/>
          <w:sz w:val="24"/>
          <w:szCs w:val="24"/>
          <w:highlight w:val="none"/>
          <w:lang w:val="en-US" w:eastAsia="zh-CN" w:bidi="ar-SA"/>
        </w:rPr>
      </w:pPr>
      <w:r>
        <w:rPr>
          <w:rStyle w:val="21"/>
          <w:rFonts w:hint="eastAsia" w:asciiTheme="minorEastAsia" w:hAnsiTheme="minorEastAsia" w:eastAsiaTheme="minorEastAsia" w:cstheme="minorEastAsia"/>
          <w:color w:val="auto"/>
          <w:kern w:val="2"/>
          <w:sz w:val="24"/>
          <w:szCs w:val="24"/>
          <w:highlight w:val="none"/>
          <w:lang w:val="en-US" w:eastAsia="zh-CN" w:bidi="ar-SA"/>
        </w:rPr>
        <w:t>（1）工程或工程的任何部分对土地的占用所造成的第三者财产损失；</w:t>
      </w:r>
    </w:p>
    <w:p>
      <w:pPr>
        <w:pStyle w:val="65"/>
        <w:tabs>
          <w:tab w:val="left" w:pos="8280"/>
        </w:tabs>
        <w:spacing w:line="360" w:lineRule="auto"/>
        <w:ind w:firstLine="360" w:firstLineChars="150"/>
        <w:rPr>
          <w:rStyle w:val="21"/>
          <w:rFonts w:hint="eastAsia" w:asciiTheme="minorEastAsia" w:hAnsiTheme="minorEastAsia" w:eastAsiaTheme="minorEastAsia" w:cstheme="minorEastAsia"/>
          <w:color w:val="auto"/>
          <w:kern w:val="2"/>
          <w:sz w:val="24"/>
          <w:szCs w:val="24"/>
          <w:highlight w:val="none"/>
          <w:lang w:val="en-US" w:eastAsia="zh-CN" w:bidi="ar-SA"/>
        </w:rPr>
      </w:pPr>
      <w:r>
        <w:rPr>
          <w:rStyle w:val="21"/>
          <w:rFonts w:hint="eastAsia" w:asciiTheme="minorEastAsia" w:hAnsiTheme="minorEastAsia" w:eastAsiaTheme="minorEastAsia" w:cstheme="minorEastAsia"/>
          <w:color w:val="auto"/>
          <w:kern w:val="2"/>
          <w:sz w:val="24"/>
          <w:szCs w:val="24"/>
          <w:highlight w:val="none"/>
          <w:lang w:val="en-US" w:eastAsia="zh-CN" w:bidi="ar-SA"/>
        </w:rPr>
        <w:t>（2）由于发包人原因在施工场及其毗邻地带造成的第三者人身伤亡和财产损失。</w:t>
      </w:r>
    </w:p>
    <w:p>
      <w:pPr>
        <w:pStyle w:val="65"/>
        <w:tabs>
          <w:tab w:val="left" w:pos="8280"/>
        </w:tabs>
        <w:spacing w:line="360" w:lineRule="auto"/>
        <w:ind w:firstLine="360" w:firstLineChars="150"/>
        <w:rPr>
          <w:rStyle w:val="21"/>
          <w:rFonts w:hint="eastAsia" w:asciiTheme="minorEastAsia" w:hAnsiTheme="minorEastAsia" w:eastAsiaTheme="minorEastAsia" w:cstheme="minorEastAsia"/>
          <w:color w:val="auto"/>
          <w:kern w:val="2"/>
          <w:sz w:val="24"/>
          <w:szCs w:val="24"/>
          <w:highlight w:val="none"/>
          <w:lang w:val="en-US" w:eastAsia="zh-CN" w:bidi="ar-SA"/>
        </w:rPr>
      </w:pPr>
      <w:r>
        <w:rPr>
          <w:rStyle w:val="21"/>
          <w:rFonts w:hint="eastAsia" w:asciiTheme="minorEastAsia" w:hAnsiTheme="minorEastAsia" w:eastAsiaTheme="minorEastAsia" w:cstheme="minorEastAsia"/>
          <w:color w:val="auto"/>
          <w:kern w:val="2"/>
          <w:sz w:val="24"/>
          <w:szCs w:val="24"/>
          <w:highlight w:val="none"/>
          <w:lang w:val="en-US" w:eastAsia="zh-CN" w:bidi="ar-SA"/>
        </w:rPr>
        <w:t>9.1.4除专用合同条款另有约定外，发包人负责向承包人提供施工现场及施工可能影响的毗邻区域供水、排水、供电、供气、供热、通信、广播电视等地下管线资料，气象和水文观测资料，拟建工程可能影响的相邻建筑物地下工程的有关资料，并保证有关资料在真实、准确、完整，满足有关技术规程的要求。</w:t>
      </w:r>
    </w:p>
    <w:p>
      <w:pPr>
        <w:pStyle w:val="65"/>
        <w:tabs>
          <w:tab w:val="left" w:pos="8280"/>
        </w:tabs>
        <w:spacing w:line="360" w:lineRule="auto"/>
        <w:ind w:firstLine="360" w:firstLineChars="150"/>
        <w:rPr>
          <w:rStyle w:val="21"/>
          <w:rFonts w:hint="eastAsia" w:asciiTheme="minorEastAsia" w:hAnsiTheme="minorEastAsia" w:eastAsiaTheme="minorEastAsia" w:cstheme="minorEastAsia"/>
          <w:color w:val="auto"/>
          <w:kern w:val="2"/>
          <w:sz w:val="24"/>
          <w:szCs w:val="24"/>
          <w:highlight w:val="none"/>
          <w:lang w:val="en-US" w:eastAsia="zh-CN" w:bidi="ar-SA"/>
        </w:rPr>
      </w:pPr>
      <w:r>
        <w:rPr>
          <w:rStyle w:val="21"/>
          <w:rFonts w:hint="eastAsia" w:asciiTheme="minorEastAsia" w:hAnsiTheme="minorEastAsia" w:eastAsiaTheme="minorEastAsia" w:cstheme="minorEastAsia"/>
          <w:color w:val="auto"/>
          <w:kern w:val="2"/>
          <w:sz w:val="24"/>
          <w:szCs w:val="24"/>
          <w:highlight w:val="none"/>
          <w:lang w:val="en-US" w:eastAsia="zh-CN" w:bidi="ar-SA"/>
        </w:rPr>
        <w:t>9.1.5发包人按照已标价工程量清单所列金额和合同约定的计量支付规定，支付安全作业环境及安全施工措施所有费用。</w:t>
      </w:r>
    </w:p>
    <w:p>
      <w:pPr>
        <w:pStyle w:val="65"/>
        <w:tabs>
          <w:tab w:val="left" w:pos="8280"/>
        </w:tabs>
        <w:spacing w:line="360" w:lineRule="auto"/>
        <w:ind w:firstLine="360" w:firstLineChars="150"/>
        <w:rPr>
          <w:rStyle w:val="21"/>
          <w:rFonts w:hint="eastAsia" w:asciiTheme="minorEastAsia" w:hAnsiTheme="minorEastAsia" w:eastAsiaTheme="minorEastAsia" w:cstheme="minorEastAsia"/>
          <w:color w:val="auto"/>
          <w:kern w:val="2"/>
          <w:sz w:val="24"/>
          <w:szCs w:val="24"/>
          <w:highlight w:val="none"/>
          <w:lang w:val="en-US" w:eastAsia="zh-CN" w:bidi="ar-SA"/>
        </w:rPr>
      </w:pPr>
      <w:r>
        <w:rPr>
          <w:rStyle w:val="21"/>
          <w:rFonts w:hint="eastAsia" w:asciiTheme="minorEastAsia" w:hAnsiTheme="minorEastAsia" w:eastAsiaTheme="minorEastAsia" w:cstheme="minorEastAsia"/>
          <w:color w:val="auto"/>
          <w:kern w:val="2"/>
          <w:sz w:val="24"/>
          <w:szCs w:val="24"/>
          <w:highlight w:val="none"/>
          <w:lang w:val="en-US" w:eastAsia="zh-CN" w:bidi="ar-SA"/>
        </w:rPr>
        <w:t>9.1.6发包人负责组织工程参建单位编制保证安全生产的措施方案。工程开工前，就落实保证安全生产的措施进行全面系统的布置，进一步明确承包人的安全生产责任。</w:t>
      </w:r>
    </w:p>
    <w:p>
      <w:pPr>
        <w:pStyle w:val="65"/>
        <w:tabs>
          <w:tab w:val="left" w:pos="8280"/>
        </w:tabs>
        <w:spacing w:line="360" w:lineRule="auto"/>
        <w:ind w:firstLine="360" w:firstLineChars="150"/>
        <w:rPr>
          <w:rStyle w:val="21"/>
          <w:rFonts w:hint="eastAsia" w:asciiTheme="minorEastAsia" w:hAnsiTheme="minorEastAsia" w:eastAsiaTheme="minorEastAsia" w:cstheme="minorEastAsia"/>
          <w:color w:val="auto"/>
          <w:kern w:val="2"/>
          <w:sz w:val="24"/>
          <w:szCs w:val="24"/>
          <w:highlight w:val="none"/>
          <w:lang w:val="en-US" w:eastAsia="zh-CN" w:bidi="ar-SA"/>
        </w:rPr>
      </w:pPr>
      <w:r>
        <w:rPr>
          <w:rStyle w:val="21"/>
          <w:rFonts w:hint="eastAsia" w:asciiTheme="minorEastAsia" w:hAnsiTheme="minorEastAsia" w:eastAsiaTheme="minorEastAsia" w:cstheme="minorEastAsia"/>
          <w:color w:val="auto"/>
          <w:kern w:val="2"/>
          <w:sz w:val="24"/>
          <w:szCs w:val="24"/>
          <w:highlight w:val="none"/>
          <w:lang w:val="en-US" w:eastAsia="zh-CN" w:bidi="ar-SA"/>
        </w:rPr>
        <w:t>9.1.7发包人负责在拆除工程和爆破工程施工14天前向有关部门或机构报送相关备案资料。</w:t>
      </w:r>
    </w:p>
    <w:p>
      <w:pPr>
        <w:pStyle w:val="65"/>
        <w:tabs>
          <w:tab w:val="left" w:pos="8280"/>
        </w:tabs>
        <w:spacing w:line="360" w:lineRule="auto"/>
        <w:rPr>
          <w:rStyle w:val="21"/>
          <w:rFonts w:hint="eastAsia" w:asciiTheme="minorEastAsia" w:hAnsiTheme="minorEastAsia" w:eastAsiaTheme="minorEastAsia" w:cstheme="minorEastAsia"/>
          <w:b/>
          <w:color w:val="auto"/>
          <w:kern w:val="2"/>
          <w:sz w:val="24"/>
          <w:szCs w:val="24"/>
          <w:highlight w:val="none"/>
          <w:lang w:val="en-US" w:eastAsia="zh-CN" w:bidi="ar-SA"/>
        </w:rPr>
      </w:pPr>
      <w:r>
        <w:rPr>
          <w:rStyle w:val="21"/>
          <w:rFonts w:hint="eastAsia" w:asciiTheme="minorEastAsia" w:hAnsiTheme="minorEastAsia" w:eastAsiaTheme="minorEastAsia" w:cstheme="minorEastAsia"/>
          <w:b/>
          <w:color w:val="auto"/>
          <w:kern w:val="2"/>
          <w:sz w:val="24"/>
          <w:szCs w:val="24"/>
          <w:highlight w:val="none"/>
          <w:lang w:val="en-US" w:eastAsia="zh-CN" w:bidi="ar-SA"/>
        </w:rPr>
        <w:t>9.2承包人的施工安全责任</w:t>
      </w:r>
    </w:p>
    <w:p>
      <w:pPr>
        <w:pStyle w:val="65"/>
        <w:tabs>
          <w:tab w:val="left" w:pos="8280"/>
        </w:tabs>
        <w:spacing w:line="360" w:lineRule="auto"/>
        <w:ind w:firstLine="360" w:firstLineChars="150"/>
        <w:rPr>
          <w:rStyle w:val="21"/>
          <w:rFonts w:hint="eastAsia" w:asciiTheme="minorEastAsia" w:hAnsiTheme="minorEastAsia" w:eastAsiaTheme="minorEastAsia" w:cstheme="minorEastAsia"/>
          <w:color w:val="auto"/>
          <w:kern w:val="2"/>
          <w:sz w:val="24"/>
          <w:szCs w:val="24"/>
          <w:highlight w:val="none"/>
          <w:lang w:val="en-US" w:eastAsia="zh-CN" w:bidi="ar-SA"/>
        </w:rPr>
      </w:pPr>
      <w:r>
        <w:rPr>
          <w:rStyle w:val="21"/>
          <w:rFonts w:hint="eastAsia" w:asciiTheme="minorEastAsia" w:hAnsiTheme="minorEastAsia" w:eastAsiaTheme="minorEastAsia" w:cstheme="minorEastAsia"/>
          <w:color w:val="auto"/>
          <w:kern w:val="2"/>
          <w:sz w:val="24"/>
          <w:szCs w:val="24"/>
          <w:highlight w:val="none"/>
          <w:lang w:val="en-US" w:eastAsia="zh-CN" w:bidi="ar-SA"/>
        </w:rPr>
        <w:t>9.2.1承包人应按合同约定履行安全职责，执行监理人有关安全工作指示。承包人应按技术标准和要求（合同技术条款）约定的内容和期限，以及监理人的指示，编制施工安全技术措施提交监理人审批。监理人应在技术标准和要求（合同技术条款）约定的期限内批复承包人。</w:t>
      </w:r>
    </w:p>
    <w:p>
      <w:pPr>
        <w:pStyle w:val="65"/>
        <w:tabs>
          <w:tab w:val="left" w:pos="8280"/>
        </w:tabs>
        <w:spacing w:line="360" w:lineRule="auto"/>
        <w:ind w:firstLine="360" w:firstLineChars="150"/>
        <w:rPr>
          <w:rStyle w:val="21"/>
          <w:rFonts w:hint="eastAsia" w:asciiTheme="minorEastAsia" w:hAnsiTheme="minorEastAsia" w:eastAsiaTheme="minorEastAsia" w:cstheme="minorEastAsia"/>
          <w:color w:val="auto"/>
          <w:kern w:val="2"/>
          <w:sz w:val="24"/>
          <w:szCs w:val="24"/>
          <w:highlight w:val="none"/>
          <w:lang w:val="en-US" w:eastAsia="zh-CN" w:bidi="ar-SA"/>
        </w:rPr>
      </w:pPr>
      <w:r>
        <w:rPr>
          <w:rStyle w:val="21"/>
          <w:rFonts w:hint="eastAsia" w:asciiTheme="minorEastAsia" w:hAnsiTheme="minorEastAsia" w:eastAsiaTheme="minorEastAsia" w:cstheme="minorEastAsia"/>
          <w:color w:val="auto"/>
          <w:kern w:val="2"/>
          <w:sz w:val="24"/>
          <w:szCs w:val="24"/>
          <w:highlight w:val="none"/>
          <w:lang w:val="en-US" w:eastAsia="zh-CN" w:bidi="ar-SA"/>
        </w:rPr>
        <w:t>9.2.2承包人应加强施工作业安全管理，特别应加强易爆、易爆材料、火工器材、有毒与腐蚀材料和其他危险品管理，以及对爆破作业和地下工程施工危险作业的管理。</w:t>
      </w:r>
    </w:p>
    <w:p>
      <w:pPr>
        <w:pStyle w:val="65"/>
        <w:tabs>
          <w:tab w:val="left" w:pos="8280"/>
        </w:tabs>
        <w:spacing w:line="360" w:lineRule="auto"/>
        <w:ind w:firstLine="360" w:firstLineChars="150"/>
        <w:rPr>
          <w:rStyle w:val="21"/>
          <w:rFonts w:hint="eastAsia" w:asciiTheme="minorEastAsia" w:hAnsiTheme="minorEastAsia" w:eastAsiaTheme="minorEastAsia" w:cstheme="minorEastAsia"/>
          <w:color w:val="auto"/>
          <w:kern w:val="2"/>
          <w:sz w:val="24"/>
          <w:szCs w:val="24"/>
          <w:highlight w:val="none"/>
          <w:lang w:val="en-US" w:eastAsia="zh-CN" w:bidi="ar-SA"/>
        </w:rPr>
      </w:pPr>
      <w:r>
        <w:rPr>
          <w:rStyle w:val="21"/>
          <w:rFonts w:hint="eastAsia" w:asciiTheme="minorEastAsia" w:hAnsiTheme="minorEastAsia" w:eastAsiaTheme="minorEastAsia" w:cstheme="minorEastAsia"/>
          <w:color w:val="auto"/>
          <w:kern w:val="2"/>
          <w:sz w:val="24"/>
          <w:szCs w:val="24"/>
          <w:highlight w:val="none"/>
          <w:lang w:val="en-US" w:eastAsia="zh-CN" w:bidi="ar-SA"/>
        </w:rPr>
        <w:t>9.2.3承包人应严格按照国家安全标准制定施工安全操作规程，配备必要的安全生产和劳动保护设施，加强对承包人人员的安全教育，并发放安全工作手册和劳动保护用具。</w:t>
      </w:r>
    </w:p>
    <w:p>
      <w:pPr>
        <w:pStyle w:val="65"/>
        <w:tabs>
          <w:tab w:val="left" w:pos="8280"/>
        </w:tabs>
        <w:spacing w:line="360" w:lineRule="auto"/>
        <w:ind w:firstLine="360" w:firstLineChars="150"/>
        <w:rPr>
          <w:rStyle w:val="21"/>
          <w:rFonts w:hint="eastAsia" w:asciiTheme="minorEastAsia" w:hAnsiTheme="minorEastAsia" w:eastAsiaTheme="minorEastAsia" w:cstheme="minorEastAsia"/>
          <w:color w:val="auto"/>
          <w:kern w:val="2"/>
          <w:sz w:val="24"/>
          <w:szCs w:val="24"/>
          <w:highlight w:val="none"/>
          <w:lang w:val="en-US" w:eastAsia="zh-CN" w:bidi="ar-SA"/>
        </w:rPr>
      </w:pPr>
      <w:r>
        <w:rPr>
          <w:rStyle w:val="21"/>
          <w:rFonts w:hint="eastAsia" w:asciiTheme="minorEastAsia" w:hAnsiTheme="minorEastAsia" w:eastAsiaTheme="minorEastAsia" w:cstheme="minorEastAsia"/>
          <w:color w:val="auto"/>
          <w:kern w:val="2"/>
          <w:sz w:val="24"/>
          <w:szCs w:val="24"/>
          <w:highlight w:val="none"/>
          <w:lang w:val="en-US" w:eastAsia="zh-CN" w:bidi="ar-SA"/>
        </w:rPr>
        <w:t>9.2.4承包人应按监理人的指示制定应对灾害的紧急预案，报送监理人审批。承包人还应按预案做好安全监察，配置必要的救助物资和器材，切实保护好有关人员的人身和财产安全。</w:t>
      </w:r>
    </w:p>
    <w:p>
      <w:pPr>
        <w:pStyle w:val="65"/>
        <w:tabs>
          <w:tab w:val="left" w:pos="8280"/>
        </w:tabs>
        <w:spacing w:line="360" w:lineRule="auto"/>
        <w:ind w:firstLine="360" w:firstLineChars="150"/>
        <w:rPr>
          <w:rStyle w:val="21"/>
          <w:rFonts w:hint="eastAsia" w:asciiTheme="minorEastAsia" w:hAnsiTheme="minorEastAsia" w:eastAsiaTheme="minorEastAsia" w:cstheme="minorEastAsia"/>
          <w:color w:val="auto"/>
          <w:kern w:val="2"/>
          <w:sz w:val="24"/>
          <w:szCs w:val="24"/>
          <w:highlight w:val="none"/>
          <w:lang w:val="en-US" w:eastAsia="zh-CN" w:bidi="ar-SA"/>
        </w:rPr>
      </w:pPr>
      <w:r>
        <w:rPr>
          <w:rStyle w:val="21"/>
          <w:rFonts w:hint="eastAsia" w:asciiTheme="minorEastAsia" w:hAnsiTheme="minorEastAsia" w:eastAsiaTheme="minorEastAsia" w:cstheme="minorEastAsia"/>
          <w:color w:val="auto"/>
          <w:kern w:val="2"/>
          <w:sz w:val="24"/>
          <w:szCs w:val="24"/>
          <w:highlight w:val="none"/>
          <w:lang w:val="en-US" w:eastAsia="zh-CN" w:bidi="ar-SA"/>
        </w:rPr>
        <w:t>9.2.5合同约定的安全作业环境及安全施工措施所需费用应遵守有关规定，并包括在相关工作合同价格中。因采取合同未约定的安全作业环境及安全施工措施增加的费用，由监理人按第3.5款商定或确定</w:t>
      </w:r>
    </w:p>
    <w:p>
      <w:pPr>
        <w:pStyle w:val="65"/>
        <w:tabs>
          <w:tab w:val="left" w:pos="8280"/>
        </w:tabs>
        <w:spacing w:line="360" w:lineRule="auto"/>
        <w:ind w:firstLine="360" w:firstLineChars="150"/>
        <w:rPr>
          <w:rStyle w:val="21"/>
          <w:rFonts w:hint="eastAsia" w:asciiTheme="minorEastAsia" w:hAnsiTheme="minorEastAsia" w:eastAsiaTheme="minorEastAsia" w:cstheme="minorEastAsia"/>
          <w:color w:val="auto"/>
          <w:kern w:val="2"/>
          <w:sz w:val="24"/>
          <w:szCs w:val="24"/>
          <w:highlight w:val="none"/>
          <w:lang w:val="en-US" w:eastAsia="zh-CN" w:bidi="ar-SA"/>
        </w:rPr>
      </w:pPr>
      <w:r>
        <w:rPr>
          <w:rStyle w:val="21"/>
          <w:rFonts w:hint="eastAsia" w:asciiTheme="minorEastAsia" w:hAnsiTheme="minorEastAsia" w:eastAsiaTheme="minorEastAsia" w:cstheme="minorEastAsia"/>
          <w:color w:val="auto"/>
          <w:kern w:val="2"/>
          <w:sz w:val="24"/>
          <w:szCs w:val="24"/>
          <w:highlight w:val="none"/>
          <w:lang w:val="en-US" w:eastAsia="zh-CN" w:bidi="ar-SA"/>
        </w:rPr>
        <w:t>9.2.6承包人应对其履行合同所雇用的全部人员，包括分包人人员的工伤事故承担责任，但由于发包人原因造成承包人人员工伤事故的，应由发包人承担责任。</w:t>
      </w:r>
    </w:p>
    <w:p>
      <w:pPr>
        <w:pStyle w:val="65"/>
        <w:tabs>
          <w:tab w:val="left" w:pos="8280"/>
        </w:tabs>
        <w:spacing w:line="360" w:lineRule="auto"/>
        <w:ind w:firstLine="360" w:firstLineChars="150"/>
        <w:rPr>
          <w:rStyle w:val="21"/>
          <w:rFonts w:hint="eastAsia" w:asciiTheme="minorEastAsia" w:hAnsiTheme="minorEastAsia" w:eastAsiaTheme="minorEastAsia" w:cstheme="minorEastAsia"/>
          <w:color w:val="auto"/>
          <w:kern w:val="2"/>
          <w:sz w:val="24"/>
          <w:szCs w:val="24"/>
          <w:highlight w:val="none"/>
          <w:lang w:val="en-US" w:eastAsia="zh-CN" w:bidi="ar-SA"/>
        </w:rPr>
      </w:pPr>
      <w:r>
        <w:rPr>
          <w:rStyle w:val="21"/>
          <w:rFonts w:hint="eastAsia" w:asciiTheme="minorEastAsia" w:hAnsiTheme="minorEastAsia" w:eastAsiaTheme="minorEastAsia" w:cstheme="minorEastAsia"/>
          <w:color w:val="auto"/>
          <w:kern w:val="2"/>
          <w:sz w:val="24"/>
          <w:szCs w:val="24"/>
          <w:highlight w:val="none"/>
          <w:lang w:val="en-US" w:eastAsia="zh-CN" w:bidi="ar-SA"/>
        </w:rPr>
        <w:t>9.2.7由于承包人原因在施工地内及其毗邻地带造成的第三者人员伤亡和财产损失，由承包人负责赔偿。</w:t>
      </w:r>
    </w:p>
    <w:p>
      <w:pPr>
        <w:pStyle w:val="65"/>
        <w:tabs>
          <w:tab w:val="left" w:pos="8280"/>
        </w:tabs>
        <w:spacing w:line="360" w:lineRule="auto"/>
        <w:rPr>
          <w:rStyle w:val="21"/>
          <w:rFonts w:hint="eastAsia" w:asciiTheme="minorEastAsia" w:hAnsiTheme="minorEastAsia" w:eastAsiaTheme="minorEastAsia" w:cstheme="minorEastAsia"/>
          <w:b/>
          <w:color w:val="auto"/>
          <w:kern w:val="2"/>
          <w:sz w:val="24"/>
          <w:szCs w:val="24"/>
          <w:highlight w:val="none"/>
          <w:lang w:val="en-US" w:eastAsia="zh-CN" w:bidi="ar-SA"/>
        </w:rPr>
      </w:pPr>
      <w:r>
        <w:rPr>
          <w:rStyle w:val="21"/>
          <w:rFonts w:hint="eastAsia" w:asciiTheme="minorEastAsia" w:hAnsiTheme="minorEastAsia" w:eastAsiaTheme="minorEastAsia" w:cstheme="minorEastAsia"/>
          <w:b/>
          <w:color w:val="auto"/>
          <w:kern w:val="2"/>
          <w:sz w:val="24"/>
          <w:szCs w:val="24"/>
          <w:highlight w:val="none"/>
          <w:lang w:val="en-US" w:eastAsia="zh-CN" w:bidi="ar-SA"/>
        </w:rPr>
        <w:t>9. 3治安保卫</w:t>
      </w:r>
    </w:p>
    <w:p>
      <w:pPr>
        <w:pStyle w:val="65"/>
        <w:tabs>
          <w:tab w:val="left" w:pos="8280"/>
        </w:tabs>
        <w:spacing w:line="360" w:lineRule="auto"/>
        <w:ind w:firstLine="360" w:firstLineChars="150"/>
        <w:rPr>
          <w:rStyle w:val="21"/>
          <w:rFonts w:hint="eastAsia" w:asciiTheme="minorEastAsia" w:hAnsiTheme="minorEastAsia" w:eastAsiaTheme="minorEastAsia" w:cstheme="minorEastAsia"/>
          <w:color w:val="auto"/>
          <w:kern w:val="2"/>
          <w:sz w:val="24"/>
          <w:szCs w:val="24"/>
          <w:highlight w:val="none"/>
          <w:lang w:val="en-US" w:eastAsia="zh-CN" w:bidi="ar-SA"/>
        </w:rPr>
      </w:pPr>
      <w:r>
        <w:rPr>
          <w:rStyle w:val="21"/>
          <w:rFonts w:hint="eastAsia" w:asciiTheme="minorEastAsia" w:hAnsiTheme="minorEastAsia" w:eastAsiaTheme="minorEastAsia" w:cstheme="minorEastAsia"/>
          <w:color w:val="auto"/>
          <w:kern w:val="2"/>
          <w:sz w:val="24"/>
          <w:szCs w:val="24"/>
          <w:highlight w:val="none"/>
          <w:lang w:val="en-US" w:eastAsia="zh-CN" w:bidi="ar-SA"/>
        </w:rPr>
        <w:t>9.3.1除合同另有约定外，发包人应与当地公安部门协商，在现场建立治安管理机构或联络组织，统一管理施工场地的治安保卫事项，履行合同工程的治安保卫职责。</w:t>
      </w:r>
    </w:p>
    <w:p>
      <w:pPr>
        <w:pStyle w:val="65"/>
        <w:tabs>
          <w:tab w:val="left" w:pos="8280"/>
        </w:tabs>
        <w:spacing w:line="360" w:lineRule="auto"/>
        <w:ind w:firstLine="360" w:firstLineChars="150"/>
        <w:rPr>
          <w:rStyle w:val="21"/>
          <w:rFonts w:hint="eastAsia" w:asciiTheme="minorEastAsia" w:hAnsiTheme="minorEastAsia" w:eastAsiaTheme="minorEastAsia" w:cstheme="minorEastAsia"/>
          <w:color w:val="auto"/>
          <w:kern w:val="2"/>
          <w:sz w:val="24"/>
          <w:szCs w:val="24"/>
          <w:highlight w:val="none"/>
          <w:lang w:val="en-US" w:eastAsia="zh-CN" w:bidi="ar-SA"/>
        </w:rPr>
      </w:pPr>
      <w:r>
        <w:rPr>
          <w:rStyle w:val="21"/>
          <w:rFonts w:hint="eastAsia" w:asciiTheme="minorEastAsia" w:hAnsiTheme="minorEastAsia" w:eastAsiaTheme="minorEastAsia" w:cstheme="minorEastAsia"/>
          <w:color w:val="auto"/>
          <w:kern w:val="2"/>
          <w:sz w:val="24"/>
          <w:szCs w:val="24"/>
          <w:highlight w:val="none"/>
          <w:lang w:val="en-US" w:eastAsia="zh-CN" w:bidi="ar-SA"/>
        </w:rPr>
        <w:t>9.3.2发包人和承包人除应协助现场治安管理机构联络组织维护施工场地的社会治安外，还应做好包括生活区在内的各自管辖区的治安保卫工作。</w:t>
      </w:r>
    </w:p>
    <w:p>
      <w:pPr>
        <w:pStyle w:val="65"/>
        <w:tabs>
          <w:tab w:val="left" w:pos="8280"/>
        </w:tabs>
        <w:spacing w:line="360" w:lineRule="auto"/>
        <w:ind w:firstLine="360" w:firstLineChars="150"/>
        <w:rPr>
          <w:rStyle w:val="21"/>
          <w:rFonts w:hint="eastAsia" w:asciiTheme="minorEastAsia" w:hAnsiTheme="minorEastAsia" w:eastAsiaTheme="minorEastAsia" w:cstheme="minorEastAsia"/>
          <w:color w:val="auto"/>
          <w:kern w:val="2"/>
          <w:sz w:val="24"/>
          <w:szCs w:val="24"/>
          <w:highlight w:val="none"/>
          <w:lang w:val="en-US" w:eastAsia="zh-CN" w:bidi="ar-SA"/>
        </w:rPr>
      </w:pPr>
      <w:r>
        <w:rPr>
          <w:rStyle w:val="21"/>
          <w:rFonts w:hint="eastAsia" w:asciiTheme="minorEastAsia" w:hAnsiTheme="minorEastAsia" w:eastAsiaTheme="minorEastAsia" w:cstheme="minorEastAsia"/>
          <w:color w:val="auto"/>
          <w:kern w:val="2"/>
          <w:sz w:val="24"/>
          <w:szCs w:val="24"/>
          <w:highlight w:val="none"/>
          <w:lang w:val="en-US" w:eastAsia="zh-CN" w:bidi="ar-SA"/>
        </w:rPr>
        <w:t>9.3.3除合同另有约定外，发包人金额承包人应在工程开工后，共同编制施工场地治安管理计划，并制定应对突发治安事件的紧急预案。在工程施工过程中，发生暴乱、爆炸等恐怖事件，以及群殴、械斗等群体性突发治安事件的，发包人和承包人应在立即向当地政府报告。发包人和承包人应积极协助当地协助当地有关部门采取措施平息事态，防止事态扩大，尽量减少财产损失和避免人员伤亡。</w:t>
      </w:r>
    </w:p>
    <w:p>
      <w:pPr>
        <w:pStyle w:val="65"/>
        <w:tabs>
          <w:tab w:val="left" w:pos="8280"/>
        </w:tabs>
        <w:spacing w:line="360" w:lineRule="auto"/>
        <w:rPr>
          <w:rStyle w:val="21"/>
          <w:rFonts w:hint="eastAsia" w:asciiTheme="minorEastAsia" w:hAnsiTheme="minorEastAsia" w:eastAsiaTheme="minorEastAsia" w:cstheme="minorEastAsia"/>
          <w:b/>
          <w:color w:val="auto"/>
          <w:kern w:val="2"/>
          <w:sz w:val="24"/>
          <w:szCs w:val="24"/>
          <w:highlight w:val="none"/>
          <w:lang w:val="en-US" w:eastAsia="zh-CN" w:bidi="ar-SA"/>
        </w:rPr>
      </w:pPr>
      <w:r>
        <w:rPr>
          <w:rStyle w:val="21"/>
          <w:rFonts w:hint="eastAsia" w:asciiTheme="minorEastAsia" w:hAnsiTheme="minorEastAsia" w:eastAsiaTheme="minorEastAsia" w:cstheme="minorEastAsia"/>
          <w:b/>
          <w:color w:val="auto"/>
          <w:kern w:val="2"/>
          <w:sz w:val="24"/>
          <w:szCs w:val="24"/>
          <w:highlight w:val="none"/>
          <w:lang w:val="en-US" w:eastAsia="zh-CN" w:bidi="ar-SA"/>
        </w:rPr>
        <w:t>9.4环境保护</w:t>
      </w:r>
    </w:p>
    <w:p>
      <w:pPr>
        <w:pStyle w:val="65"/>
        <w:tabs>
          <w:tab w:val="left" w:pos="8280"/>
        </w:tabs>
        <w:spacing w:line="360" w:lineRule="auto"/>
        <w:ind w:firstLine="360" w:firstLineChars="150"/>
        <w:rPr>
          <w:rStyle w:val="21"/>
          <w:rFonts w:hint="eastAsia" w:asciiTheme="minorEastAsia" w:hAnsiTheme="minorEastAsia" w:eastAsiaTheme="minorEastAsia" w:cstheme="minorEastAsia"/>
          <w:color w:val="auto"/>
          <w:kern w:val="2"/>
          <w:sz w:val="24"/>
          <w:szCs w:val="24"/>
          <w:highlight w:val="none"/>
          <w:lang w:val="en-US" w:eastAsia="zh-CN" w:bidi="ar-SA"/>
        </w:rPr>
      </w:pPr>
      <w:r>
        <w:rPr>
          <w:rStyle w:val="21"/>
          <w:rFonts w:hint="eastAsia" w:asciiTheme="minorEastAsia" w:hAnsiTheme="minorEastAsia" w:eastAsiaTheme="minorEastAsia" w:cstheme="minorEastAsia"/>
          <w:color w:val="auto"/>
          <w:kern w:val="2"/>
          <w:sz w:val="24"/>
          <w:szCs w:val="24"/>
          <w:highlight w:val="none"/>
          <w:lang w:val="en-US" w:eastAsia="zh-CN" w:bidi="ar-SA"/>
        </w:rPr>
        <w:t>9.4.1承包人在施工过程中，应遵守有关环境保护的法律，履行合同约定的环境保护义务，并对违反法律和合同约定义务所造成的环境破坏、人身伤害和财产损失负责。</w:t>
      </w:r>
    </w:p>
    <w:p>
      <w:pPr>
        <w:pStyle w:val="65"/>
        <w:tabs>
          <w:tab w:val="left" w:pos="8280"/>
        </w:tabs>
        <w:spacing w:line="360" w:lineRule="auto"/>
        <w:ind w:firstLine="360" w:firstLineChars="150"/>
        <w:rPr>
          <w:rStyle w:val="21"/>
          <w:rFonts w:hint="eastAsia" w:asciiTheme="minorEastAsia" w:hAnsiTheme="minorEastAsia" w:eastAsiaTheme="minorEastAsia" w:cstheme="minorEastAsia"/>
          <w:color w:val="auto"/>
          <w:kern w:val="2"/>
          <w:sz w:val="24"/>
          <w:szCs w:val="24"/>
          <w:highlight w:val="none"/>
          <w:lang w:val="en-US" w:eastAsia="zh-CN" w:bidi="ar-SA"/>
        </w:rPr>
      </w:pPr>
      <w:r>
        <w:rPr>
          <w:rStyle w:val="21"/>
          <w:rFonts w:hint="eastAsia" w:asciiTheme="minorEastAsia" w:hAnsiTheme="minorEastAsia" w:eastAsiaTheme="minorEastAsia" w:cstheme="minorEastAsia"/>
          <w:color w:val="auto"/>
          <w:kern w:val="2"/>
          <w:sz w:val="24"/>
          <w:szCs w:val="24"/>
          <w:highlight w:val="none"/>
          <w:lang w:val="en-US" w:eastAsia="zh-CN" w:bidi="ar-SA"/>
        </w:rPr>
        <w:t>9.4.2承包人应按合同约定的环保工作内容，编制施工环保措施计划，报送监理人审批。</w:t>
      </w:r>
    </w:p>
    <w:p>
      <w:pPr>
        <w:pStyle w:val="65"/>
        <w:tabs>
          <w:tab w:val="left" w:pos="8280"/>
        </w:tabs>
        <w:spacing w:line="360" w:lineRule="auto"/>
        <w:ind w:firstLine="360" w:firstLineChars="150"/>
        <w:rPr>
          <w:rStyle w:val="21"/>
          <w:rFonts w:hint="eastAsia" w:asciiTheme="minorEastAsia" w:hAnsiTheme="minorEastAsia" w:eastAsiaTheme="minorEastAsia" w:cstheme="minorEastAsia"/>
          <w:color w:val="auto"/>
          <w:kern w:val="2"/>
          <w:sz w:val="24"/>
          <w:szCs w:val="24"/>
          <w:highlight w:val="none"/>
          <w:lang w:val="en-US" w:eastAsia="zh-CN" w:bidi="ar-SA"/>
        </w:rPr>
      </w:pPr>
      <w:r>
        <w:rPr>
          <w:rStyle w:val="21"/>
          <w:rFonts w:hint="eastAsia" w:asciiTheme="minorEastAsia" w:hAnsiTheme="minorEastAsia" w:eastAsiaTheme="minorEastAsia" w:cstheme="minorEastAsia"/>
          <w:color w:val="auto"/>
          <w:kern w:val="2"/>
          <w:sz w:val="24"/>
          <w:szCs w:val="24"/>
          <w:highlight w:val="none"/>
          <w:lang w:val="en-US" w:eastAsia="zh-CN" w:bidi="ar-SA"/>
        </w:rPr>
        <w:t>9.4.3承包人应按照批准的施工环保工作措施计划有序地堆放和处理施工废弃物，避免对环境造成破坏。因承包人任意堆放或弃置施工废弃物造成妨碍公共交通、影响城镇居民生活、降低河流排洪能力、危机居民安全、破坏周边环境，或者影响其他承包人施工等后果的，承包人承担责任。</w:t>
      </w:r>
    </w:p>
    <w:p>
      <w:pPr>
        <w:pStyle w:val="65"/>
        <w:tabs>
          <w:tab w:val="left" w:pos="8280"/>
        </w:tabs>
        <w:spacing w:line="360" w:lineRule="auto"/>
        <w:ind w:firstLine="360" w:firstLineChars="150"/>
        <w:rPr>
          <w:rStyle w:val="21"/>
          <w:rFonts w:hint="eastAsia" w:asciiTheme="minorEastAsia" w:hAnsiTheme="minorEastAsia" w:eastAsiaTheme="minorEastAsia" w:cstheme="minorEastAsia"/>
          <w:color w:val="auto"/>
          <w:kern w:val="2"/>
          <w:sz w:val="24"/>
          <w:szCs w:val="24"/>
          <w:highlight w:val="none"/>
          <w:lang w:val="en-US" w:eastAsia="zh-CN" w:bidi="ar-SA"/>
        </w:rPr>
      </w:pPr>
      <w:r>
        <w:rPr>
          <w:rStyle w:val="21"/>
          <w:rFonts w:hint="eastAsia" w:asciiTheme="minorEastAsia" w:hAnsiTheme="minorEastAsia" w:eastAsiaTheme="minorEastAsia" w:cstheme="minorEastAsia"/>
          <w:color w:val="auto"/>
          <w:kern w:val="2"/>
          <w:sz w:val="24"/>
          <w:szCs w:val="24"/>
          <w:highlight w:val="none"/>
          <w:lang w:val="en-US" w:eastAsia="zh-CN" w:bidi="ar-SA"/>
        </w:rPr>
        <w:t>9.4.4承包人应按合同约定采取措施，对施工开挖的边坡及时进行支护，维护排水设施，并进行水土保护，避免应施工造成的地质灾害。</w:t>
      </w:r>
    </w:p>
    <w:p>
      <w:pPr>
        <w:pStyle w:val="65"/>
        <w:tabs>
          <w:tab w:val="left" w:pos="8280"/>
        </w:tabs>
        <w:spacing w:line="360" w:lineRule="auto"/>
        <w:ind w:firstLine="360" w:firstLineChars="150"/>
        <w:rPr>
          <w:rStyle w:val="21"/>
          <w:rFonts w:hint="eastAsia" w:asciiTheme="minorEastAsia" w:hAnsiTheme="minorEastAsia" w:eastAsiaTheme="minorEastAsia" w:cstheme="minorEastAsia"/>
          <w:color w:val="auto"/>
          <w:kern w:val="2"/>
          <w:sz w:val="24"/>
          <w:szCs w:val="24"/>
          <w:highlight w:val="none"/>
          <w:lang w:val="en-US" w:eastAsia="zh-CN" w:bidi="ar-SA"/>
        </w:rPr>
      </w:pPr>
      <w:r>
        <w:rPr>
          <w:rStyle w:val="21"/>
          <w:rFonts w:hint="eastAsia" w:asciiTheme="minorEastAsia" w:hAnsiTheme="minorEastAsia" w:eastAsiaTheme="minorEastAsia" w:cstheme="minorEastAsia"/>
          <w:color w:val="auto"/>
          <w:kern w:val="2"/>
          <w:sz w:val="24"/>
          <w:szCs w:val="24"/>
          <w:highlight w:val="none"/>
          <w:lang w:val="en-US" w:eastAsia="zh-CN" w:bidi="ar-SA"/>
        </w:rPr>
        <w:t>9.4.5承包人应按国家饮用水管理标准定期对饮用进行检测，防止施工活动污染饮用水源。</w:t>
      </w:r>
    </w:p>
    <w:p>
      <w:pPr>
        <w:pStyle w:val="65"/>
        <w:tabs>
          <w:tab w:val="left" w:pos="8280"/>
        </w:tabs>
        <w:spacing w:line="360" w:lineRule="auto"/>
        <w:ind w:firstLine="360" w:firstLineChars="150"/>
        <w:rPr>
          <w:rStyle w:val="21"/>
          <w:rFonts w:hint="eastAsia" w:asciiTheme="minorEastAsia" w:hAnsiTheme="minorEastAsia" w:eastAsiaTheme="minorEastAsia" w:cstheme="minorEastAsia"/>
          <w:color w:val="auto"/>
          <w:kern w:val="2"/>
          <w:sz w:val="24"/>
          <w:szCs w:val="24"/>
          <w:highlight w:val="none"/>
          <w:lang w:val="en-US" w:eastAsia="zh-CN" w:bidi="ar-SA"/>
        </w:rPr>
      </w:pPr>
      <w:r>
        <w:rPr>
          <w:rStyle w:val="21"/>
          <w:rFonts w:hint="eastAsia" w:asciiTheme="minorEastAsia" w:hAnsiTheme="minorEastAsia" w:eastAsiaTheme="minorEastAsia" w:cstheme="minorEastAsia"/>
          <w:color w:val="auto"/>
          <w:kern w:val="2"/>
          <w:sz w:val="24"/>
          <w:szCs w:val="24"/>
          <w:highlight w:val="none"/>
          <w:lang w:val="en-US" w:eastAsia="zh-CN" w:bidi="ar-SA"/>
        </w:rPr>
        <w:t>9.4.6承包人应按合同约定，加强对嗓声、粉尘、废弃、废水和废油的控制，努力降低嗓声，控制粉尘和废气浓度，做好废水和废油的治理和排放。</w:t>
      </w:r>
    </w:p>
    <w:p>
      <w:pPr>
        <w:pStyle w:val="65"/>
        <w:tabs>
          <w:tab w:val="left" w:pos="8280"/>
        </w:tabs>
        <w:spacing w:line="360" w:lineRule="auto"/>
        <w:rPr>
          <w:rStyle w:val="21"/>
          <w:rFonts w:hint="eastAsia" w:asciiTheme="minorEastAsia" w:hAnsiTheme="minorEastAsia" w:eastAsiaTheme="minorEastAsia" w:cstheme="minorEastAsia"/>
          <w:b/>
          <w:color w:val="auto"/>
          <w:kern w:val="2"/>
          <w:sz w:val="24"/>
          <w:szCs w:val="24"/>
          <w:highlight w:val="none"/>
          <w:lang w:val="en-US" w:eastAsia="zh-CN" w:bidi="ar-SA"/>
        </w:rPr>
      </w:pPr>
      <w:r>
        <w:rPr>
          <w:rStyle w:val="21"/>
          <w:rFonts w:hint="eastAsia" w:asciiTheme="minorEastAsia" w:hAnsiTheme="minorEastAsia" w:eastAsiaTheme="minorEastAsia" w:cstheme="minorEastAsia"/>
          <w:b/>
          <w:color w:val="auto"/>
          <w:kern w:val="2"/>
          <w:sz w:val="24"/>
          <w:szCs w:val="24"/>
          <w:highlight w:val="none"/>
          <w:lang w:val="en-US" w:eastAsia="zh-CN" w:bidi="ar-SA"/>
        </w:rPr>
        <w:t>9.5事故处理</w:t>
      </w:r>
    </w:p>
    <w:p>
      <w:pPr>
        <w:pStyle w:val="65"/>
        <w:tabs>
          <w:tab w:val="left" w:pos="8280"/>
        </w:tabs>
        <w:spacing w:line="360" w:lineRule="auto"/>
        <w:ind w:firstLine="360" w:firstLineChars="150"/>
        <w:rPr>
          <w:rStyle w:val="21"/>
          <w:rFonts w:hint="eastAsia" w:asciiTheme="minorEastAsia" w:hAnsiTheme="minorEastAsia" w:eastAsiaTheme="minorEastAsia" w:cstheme="minorEastAsia"/>
          <w:color w:val="auto"/>
          <w:kern w:val="2"/>
          <w:sz w:val="24"/>
          <w:szCs w:val="24"/>
          <w:highlight w:val="none"/>
          <w:lang w:val="en-US" w:eastAsia="zh-CN" w:bidi="ar-SA"/>
        </w:rPr>
      </w:pPr>
      <w:r>
        <w:rPr>
          <w:rStyle w:val="21"/>
          <w:rFonts w:hint="eastAsia" w:asciiTheme="minorEastAsia" w:hAnsiTheme="minorEastAsia" w:eastAsiaTheme="minorEastAsia" w:cstheme="minorEastAsia"/>
          <w:color w:val="auto"/>
          <w:kern w:val="2"/>
          <w:sz w:val="24"/>
          <w:szCs w:val="24"/>
          <w:highlight w:val="none"/>
          <w:lang w:val="en-US" w:eastAsia="zh-CN" w:bidi="ar-SA"/>
        </w:rPr>
        <w:t>9.5.1发包人负责组织参建单位制定本工程的质量与安全事故应急预案，建立质量与安全事故应急处置指挥部。</w:t>
      </w:r>
    </w:p>
    <w:p>
      <w:pPr>
        <w:pStyle w:val="65"/>
        <w:tabs>
          <w:tab w:val="left" w:pos="8280"/>
        </w:tabs>
        <w:spacing w:line="360" w:lineRule="auto"/>
        <w:ind w:firstLine="360" w:firstLineChars="150"/>
        <w:rPr>
          <w:rStyle w:val="21"/>
          <w:rFonts w:hint="eastAsia" w:asciiTheme="minorEastAsia" w:hAnsiTheme="minorEastAsia" w:eastAsiaTheme="minorEastAsia" w:cstheme="minorEastAsia"/>
          <w:color w:val="auto"/>
          <w:kern w:val="2"/>
          <w:sz w:val="24"/>
          <w:szCs w:val="24"/>
          <w:highlight w:val="none"/>
          <w:lang w:val="en-US" w:eastAsia="zh-CN" w:bidi="ar-SA"/>
        </w:rPr>
      </w:pPr>
      <w:r>
        <w:rPr>
          <w:rStyle w:val="21"/>
          <w:rFonts w:hint="eastAsia" w:asciiTheme="minorEastAsia" w:hAnsiTheme="minorEastAsia" w:eastAsiaTheme="minorEastAsia" w:cstheme="minorEastAsia"/>
          <w:color w:val="auto"/>
          <w:kern w:val="2"/>
          <w:sz w:val="24"/>
          <w:szCs w:val="24"/>
          <w:highlight w:val="none"/>
          <w:lang w:val="en-US" w:eastAsia="zh-CN" w:bidi="ar-SA"/>
        </w:rPr>
        <w:t>9.5.2承包人应对施工现场易发生重大事故的部位、环节进行监控，配备救援器材、设备，并定期组织检查。</w:t>
      </w:r>
    </w:p>
    <w:p>
      <w:pPr>
        <w:pStyle w:val="65"/>
        <w:tabs>
          <w:tab w:val="left" w:pos="8280"/>
        </w:tabs>
        <w:spacing w:line="360" w:lineRule="auto"/>
        <w:ind w:firstLine="360" w:firstLineChars="150"/>
        <w:rPr>
          <w:rStyle w:val="21"/>
          <w:rFonts w:hint="eastAsia" w:asciiTheme="minorEastAsia" w:hAnsiTheme="minorEastAsia" w:eastAsiaTheme="minorEastAsia" w:cstheme="minorEastAsia"/>
          <w:color w:val="auto"/>
          <w:kern w:val="2"/>
          <w:sz w:val="24"/>
          <w:szCs w:val="24"/>
          <w:highlight w:val="none"/>
          <w:lang w:val="en-US" w:eastAsia="zh-CN" w:bidi="ar-SA"/>
        </w:rPr>
      </w:pPr>
      <w:r>
        <w:rPr>
          <w:rStyle w:val="21"/>
          <w:rFonts w:hint="eastAsia" w:asciiTheme="minorEastAsia" w:hAnsiTheme="minorEastAsia" w:eastAsiaTheme="minorEastAsia" w:cstheme="minorEastAsia"/>
          <w:color w:val="auto"/>
          <w:kern w:val="2"/>
          <w:sz w:val="24"/>
          <w:szCs w:val="24"/>
          <w:highlight w:val="none"/>
          <w:lang w:val="en-US" w:eastAsia="zh-CN" w:bidi="ar-SA"/>
        </w:rPr>
        <w:t>9.5.3工程开工前，承包人应根据本工程的特点制定施工现场施工质量与安全事故应急预案，并报发包人备案。</w:t>
      </w:r>
    </w:p>
    <w:p>
      <w:pPr>
        <w:pStyle w:val="65"/>
        <w:tabs>
          <w:tab w:val="left" w:pos="8280"/>
        </w:tabs>
        <w:spacing w:line="360" w:lineRule="auto"/>
        <w:ind w:firstLine="360" w:firstLineChars="150"/>
        <w:rPr>
          <w:rStyle w:val="21"/>
          <w:rFonts w:hint="eastAsia" w:asciiTheme="minorEastAsia" w:hAnsiTheme="minorEastAsia" w:eastAsiaTheme="minorEastAsia" w:cstheme="minorEastAsia"/>
          <w:color w:val="auto"/>
          <w:kern w:val="2"/>
          <w:sz w:val="24"/>
          <w:szCs w:val="24"/>
          <w:highlight w:val="none"/>
          <w:lang w:val="en-US" w:eastAsia="zh-CN" w:bidi="ar-SA"/>
        </w:rPr>
      </w:pPr>
      <w:r>
        <w:rPr>
          <w:rStyle w:val="21"/>
          <w:rFonts w:hint="eastAsia" w:asciiTheme="minorEastAsia" w:hAnsiTheme="minorEastAsia" w:eastAsiaTheme="minorEastAsia" w:cstheme="minorEastAsia"/>
          <w:color w:val="auto"/>
          <w:kern w:val="2"/>
          <w:sz w:val="24"/>
          <w:szCs w:val="24"/>
          <w:highlight w:val="none"/>
          <w:lang w:val="en-US" w:eastAsia="zh-CN" w:bidi="ar-SA"/>
        </w:rPr>
        <w:t>9.5.4施工过程中发生事故时，发包人、承包人应立即启动应急预案。</w:t>
      </w:r>
    </w:p>
    <w:p>
      <w:pPr>
        <w:pStyle w:val="65"/>
        <w:tabs>
          <w:tab w:val="left" w:pos="8280"/>
        </w:tabs>
        <w:spacing w:line="360" w:lineRule="auto"/>
        <w:ind w:firstLine="360" w:firstLineChars="150"/>
        <w:rPr>
          <w:rStyle w:val="21"/>
          <w:rFonts w:hint="eastAsia" w:asciiTheme="minorEastAsia" w:hAnsiTheme="minorEastAsia" w:eastAsiaTheme="minorEastAsia" w:cstheme="minorEastAsia"/>
          <w:color w:val="auto"/>
          <w:kern w:val="2"/>
          <w:sz w:val="24"/>
          <w:szCs w:val="24"/>
          <w:highlight w:val="none"/>
          <w:lang w:val="en-US" w:eastAsia="zh-CN" w:bidi="ar-SA"/>
        </w:rPr>
      </w:pPr>
      <w:r>
        <w:rPr>
          <w:rStyle w:val="21"/>
          <w:rFonts w:hint="eastAsia" w:asciiTheme="minorEastAsia" w:hAnsiTheme="minorEastAsia" w:eastAsiaTheme="minorEastAsia" w:cstheme="minorEastAsia"/>
          <w:color w:val="auto"/>
          <w:kern w:val="2"/>
          <w:sz w:val="24"/>
          <w:szCs w:val="24"/>
          <w:highlight w:val="none"/>
          <w:lang w:val="en-US" w:eastAsia="zh-CN" w:bidi="ar-SA"/>
        </w:rPr>
        <w:t>9.5.5事故调查处理理由发包人按相关规定履行手续，承包人应配合。</w:t>
      </w:r>
    </w:p>
    <w:p>
      <w:pPr>
        <w:pStyle w:val="65"/>
        <w:tabs>
          <w:tab w:val="left" w:pos="8280"/>
        </w:tabs>
        <w:spacing w:line="360" w:lineRule="auto"/>
        <w:rPr>
          <w:rStyle w:val="21"/>
          <w:rFonts w:hint="eastAsia" w:asciiTheme="minorEastAsia" w:hAnsiTheme="minorEastAsia" w:eastAsiaTheme="minorEastAsia" w:cstheme="minorEastAsia"/>
          <w:b/>
          <w:color w:val="auto"/>
          <w:kern w:val="2"/>
          <w:sz w:val="24"/>
          <w:szCs w:val="24"/>
          <w:highlight w:val="none"/>
          <w:lang w:val="en-US" w:eastAsia="zh-CN" w:bidi="ar-SA"/>
        </w:rPr>
      </w:pPr>
      <w:r>
        <w:rPr>
          <w:rStyle w:val="21"/>
          <w:rFonts w:hint="eastAsia" w:asciiTheme="minorEastAsia" w:hAnsiTheme="minorEastAsia" w:eastAsiaTheme="minorEastAsia" w:cstheme="minorEastAsia"/>
          <w:b/>
          <w:color w:val="auto"/>
          <w:kern w:val="2"/>
          <w:sz w:val="24"/>
          <w:szCs w:val="24"/>
          <w:highlight w:val="none"/>
          <w:lang w:val="en-US" w:eastAsia="zh-CN" w:bidi="ar-SA"/>
        </w:rPr>
        <w:t>9.6水土保持</w:t>
      </w:r>
    </w:p>
    <w:p>
      <w:pPr>
        <w:pStyle w:val="65"/>
        <w:tabs>
          <w:tab w:val="left" w:pos="8280"/>
        </w:tabs>
        <w:spacing w:line="360" w:lineRule="auto"/>
        <w:ind w:firstLine="360" w:firstLineChars="150"/>
        <w:rPr>
          <w:rStyle w:val="21"/>
          <w:rFonts w:hint="eastAsia" w:asciiTheme="minorEastAsia" w:hAnsiTheme="minorEastAsia" w:eastAsiaTheme="minorEastAsia" w:cstheme="minorEastAsia"/>
          <w:color w:val="auto"/>
          <w:kern w:val="2"/>
          <w:sz w:val="24"/>
          <w:szCs w:val="24"/>
          <w:highlight w:val="none"/>
          <w:lang w:val="en-US" w:eastAsia="zh-CN" w:bidi="ar-SA"/>
        </w:rPr>
      </w:pPr>
      <w:r>
        <w:rPr>
          <w:rStyle w:val="21"/>
          <w:rFonts w:hint="eastAsia" w:asciiTheme="minorEastAsia" w:hAnsiTheme="minorEastAsia" w:eastAsiaTheme="minorEastAsia" w:cstheme="minorEastAsia"/>
          <w:color w:val="auto"/>
          <w:kern w:val="2"/>
          <w:sz w:val="24"/>
          <w:szCs w:val="24"/>
          <w:highlight w:val="none"/>
          <w:lang w:val="en-US" w:eastAsia="zh-CN" w:bidi="ar-SA"/>
        </w:rPr>
        <w:t>9.6.1发包人应及时向承包人提供水土保持方案。</w:t>
      </w:r>
    </w:p>
    <w:p>
      <w:pPr>
        <w:pStyle w:val="65"/>
        <w:tabs>
          <w:tab w:val="left" w:pos="8280"/>
        </w:tabs>
        <w:spacing w:line="360" w:lineRule="auto"/>
        <w:ind w:firstLine="360" w:firstLineChars="150"/>
        <w:rPr>
          <w:rStyle w:val="21"/>
          <w:rFonts w:hint="eastAsia" w:asciiTheme="minorEastAsia" w:hAnsiTheme="minorEastAsia" w:eastAsiaTheme="minorEastAsia" w:cstheme="minorEastAsia"/>
          <w:color w:val="auto"/>
          <w:kern w:val="2"/>
          <w:sz w:val="24"/>
          <w:szCs w:val="24"/>
          <w:highlight w:val="none"/>
          <w:lang w:val="en-US" w:eastAsia="zh-CN" w:bidi="ar-SA"/>
        </w:rPr>
      </w:pPr>
      <w:r>
        <w:rPr>
          <w:rStyle w:val="21"/>
          <w:rFonts w:hint="eastAsia" w:asciiTheme="minorEastAsia" w:hAnsiTheme="minorEastAsia" w:eastAsiaTheme="minorEastAsia" w:cstheme="minorEastAsia"/>
          <w:color w:val="auto"/>
          <w:kern w:val="2"/>
          <w:sz w:val="24"/>
          <w:szCs w:val="24"/>
          <w:highlight w:val="none"/>
          <w:lang w:val="en-US" w:eastAsia="zh-CN" w:bidi="ar-SA"/>
        </w:rPr>
        <w:t>9.6.2承包人在施工过程中，应遵守有关水土保持的法律法规和规章，履行合同约定的水土保持义务，并对其违反法律和合同约定义务所造成的水土流失灾害、人身伤害和财产损失负责。</w:t>
      </w:r>
    </w:p>
    <w:p>
      <w:pPr>
        <w:pStyle w:val="65"/>
        <w:tabs>
          <w:tab w:val="left" w:pos="8280"/>
        </w:tabs>
        <w:spacing w:line="360" w:lineRule="auto"/>
        <w:ind w:firstLine="360" w:firstLineChars="150"/>
        <w:rPr>
          <w:rStyle w:val="21"/>
          <w:rFonts w:hint="eastAsia" w:asciiTheme="minorEastAsia" w:hAnsiTheme="minorEastAsia" w:eastAsiaTheme="minorEastAsia" w:cstheme="minorEastAsia"/>
          <w:color w:val="auto"/>
          <w:kern w:val="2"/>
          <w:sz w:val="24"/>
          <w:szCs w:val="24"/>
          <w:highlight w:val="none"/>
          <w:lang w:val="en-US" w:eastAsia="zh-CN" w:bidi="ar-SA"/>
        </w:rPr>
      </w:pPr>
      <w:r>
        <w:rPr>
          <w:rStyle w:val="21"/>
          <w:rFonts w:hint="eastAsia" w:asciiTheme="minorEastAsia" w:hAnsiTheme="minorEastAsia" w:eastAsiaTheme="minorEastAsia" w:cstheme="minorEastAsia"/>
          <w:color w:val="auto"/>
          <w:kern w:val="2"/>
          <w:sz w:val="24"/>
          <w:szCs w:val="24"/>
          <w:highlight w:val="none"/>
          <w:lang w:val="en-US" w:eastAsia="zh-CN" w:bidi="ar-SA"/>
        </w:rPr>
        <w:t>9.6.3承包人的水土保持措施计划，应满足技术标准和要求（合同技术条款）约定的要求。</w:t>
      </w:r>
    </w:p>
    <w:p>
      <w:pPr>
        <w:pStyle w:val="65"/>
        <w:tabs>
          <w:tab w:val="left" w:pos="8280"/>
        </w:tabs>
        <w:spacing w:line="360" w:lineRule="auto"/>
        <w:rPr>
          <w:rStyle w:val="21"/>
          <w:rFonts w:hint="eastAsia" w:asciiTheme="minorEastAsia" w:hAnsiTheme="minorEastAsia" w:eastAsiaTheme="minorEastAsia" w:cstheme="minorEastAsia"/>
          <w:b/>
          <w:color w:val="auto"/>
          <w:kern w:val="2"/>
          <w:sz w:val="24"/>
          <w:szCs w:val="24"/>
          <w:highlight w:val="none"/>
          <w:lang w:val="en-US" w:eastAsia="zh-CN" w:bidi="ar-SA"/>
        </w:rPr>
      </w:pPr>
      <w:r>
        <w:rPr>
          <w:rStyle w:val="21"/>
          <w:rFonts w:hint="eastAsia" w:asciiTheme="minorEastAsia" w:hAnsiTheme="minorEastAsia" w:eastAsiaTheme="minorEastAsia" w:cstheme="minorEastAsia"/>
          <w:b/>
          <w:color w:val="auto"/>
          <w:kern w:val="2"/>
          <w:sz w:val="24"/>
          <w:szCs w:val="24"/>
          <w:highlight w:val="none"/>
          <w:lang w:val="en-US" w:eastAsia="zh-CN" w:bidi="ar-SA"/>
        </w:rPr>
        <w:t>9.7文明工地</w:t>
      </w:r>
    </w:p>
    <w:p>
      <w:pPr>
        <w:pStyle w:val="65"/>
        <w:tabs>
          <w:tab w:val="left" w:pos="8280"/>
        </w:tabs>
        <w:spacing w:line="360" w:lineRule="auto"/>
        <w:ind w:firstLine="360" w:firstLineChars="150"/>
        <w:rPr>
          <w:rStyle w:val="21"/>
          <w:rFonts w:hint="eastAsia" w:asciiTheme="minorEastAsia" w:hAnsiTheme="minorEastAsia" w:eastAsiaTheme="minorEastAsia" w:cstheme="minorEastAsia"/>
          <w:color w:val="auto"/>
          <w:kern w:val="2"/>
          <w:sz w:val="24"/>
          <w:szCs w:val="24"/>
          <w:highlight w:val="none"/>
          <w:lang w:val="en-US" w:eastAsia="zh-CN" w:bidi="ar-SA"/>
        </w:rPr>
      </w:pPr>
      <w:r>
        <w:rPr>
          <w:rStyle w:val="21"/>
          <w:rFonts w:hint="eastAsia" w:asciiTheme="minorEastAsia" w:hAnsiTheme="minorEastAsia" w:eastAsiaTheme="minorEastAsia" w:cstheme="minorEastAsia"/>
          <w:color w:val="auto"/>
          <w:kern w:val="2"/>
          <w:sz w:val="24"/>
          <w:szCs w:val="24"/>
          <w:highlight w:val="none"/>
          <w:lang w:val="en-US" w:eastAsia="zh-CN" w:bidi="ar-SA"/>
        </w:rPr>
        <w:t>9.7.1发包人应按专用合同条款的约定，负责建立创建文明建设工地的组织机构，制定创建文明建设工地的规划和办法。</w:t>
      </w:r>
    </w:p>
    <w:p>
      <w:pPr>
        <w:pStyle w:val="65"/>
        <w:tabs>
          <w:tab w:val="left" w:pos="8280"/>
        </w:tabs>
        <w:spacing w:line="360" w:lineRule="auto"/>
        <w:ind w:firstLine="360" w:firstLineChars="150"/>
        <w:rPr>
          <w:rStyle w:val="21"/>
          <w:rFonts w:hint="eastAsia" w:asciiTheme="minorEastAsia" w:hAnsiTheme="minorEastAsia" w:eastAsiaTheme="minorEastAsia" w:cstheme="minorEastAsia"/>
          <w:color w:val="auto"/>
          <w:kern w:val="2"/>
          <w:sz w:val="24"/>
          <w:szCs w:val="24"/>
          <w:highlight w:val="none"/>
          <w:lang w:val="en-US" w:eastAsia="zh-CN" w:bidi="ar-SA"/>
        </w:rPr>
      </w:pPr>
      <w:r>
        <w:rPr>
          <w:rStyle w:val="21"/>
          <w:rFonts w:hint="eastAsia" w:asciiTheme="minorEastAsia" w:hAnsiTheme="minorEastAsia" w:eastAsiaTheme="minorEastAsia" w:cstheme="minorEastAsia"/>
          <w:color w:val="auto"/>
          <w:kern w:val="2"/>
          <w:sz w:val="24"/>
          <w:szCs w:val="24"/>
          <w:highlight w:val="none"/>
          <w:lang w:val="en-US" w:eastAsia="zh-CN" w:bidi="ar-SA"/>
        </w:rPr>
        <w:t>9.7.2承包人应按创建文明建设工地的规划和办法，履行职责，一承担相应责任。所需费用应含在已标价工程量清单中。</w:t>
      </w:r>
    </w:p>
    <w:p>
      <w:pPr>
        <w:pStyle w:val="65"/>
        <w:tabs>
          <w:tab w:val="left" w:pos="8280"/>
        </w:tabs>
        <w:spacing w:line="360" w:lineRule="auto"/>
        <w:rPr>
          <w:rStyle w:val="21"/>
          <w:rFonts w:hint="eastAsia" w:asciiTheme="minorEastAsia" w:hAnsiTheme="minorEastAsia" w:eastAsiaTheme="minorEastAsia" w:cstheme="minorEastAsia"/>
          <w:b/>
          <w:color w:val="auto"/>
          <w:kern w:val="2"/>
          <w:sz w:val="24"/>
          <w:szCs w:val="24"/>
          <w:highlight w:val="none"/>
          <w:lang w:val="en-US" w:eastAsia="zh-CN" w:bidi="ar-SA"/>
        </w:rPr>
      </w:pPr>
      <w:r>
        <w:rPr>
          <w:rStyle w:val="21"/>
          <w:rFonts w:hint="eastAsia" w:asciiTheme="minorEastAsia" w:hAnsiTheme="minorEastAsia" w:eastAsiaTheme="minorEastAsia" w:cstheme="minorEastAsia"/>
          <w:b/>
          <w:color w:val="auto"/>
          <w:kern w:val="2"/>
          <w:sz w:val="24"/>
          <w:szCs w:val="24"/>
          <w:highlight w:val="none"/>
          <w:lang w:val="en-US" w:eastAsia="zh-CN" w:bidi="ar-SA"/>
        </w:rPr>
        <w:t>9.8防汛度汛</w:t>
      </w:r>
    </w:p>
    <w:p>
      <w:pPr>
        <w:pStyle w:val="65"/>
        <w:tabs>
          <w:tab w:val="left" w:pos="8280"/>
        </w:tabs>
        <w:spacing w:line="360" w:lineRule="auto"/>
        <w:ind w:firstLine="360" w:firstLineChars="150"/>
        <w:rPr>
          <w:rStyle w:val="21"/>
          <w:rFonts w:hint="eastAsia" w:asciiTheme="minorEastAsia" w:hAnsiTheme="minorEastAsia" w:eastAsiaTheme="minorEastAsia" w:cstheme="minorEastAsia"/>
          <w:color w:val="auto"/>
          <w:kern w:val="2"/>
          <w:sz w:val="24"/>
          <w:szCs w:val="24"/>
          <w:highlight w:val="none"/>
          <w:lang w:val="en-US" w:eastAsia="zh-CN" w:bidi="ar-SA"/>
        </w:rPr>
      </w:pPr>
      <w:r>
        <w:rPr>
          <w:rStyle w:val="21"/>
          <w:rFonts w:hint="eastAsia" w:asciiTheme="minorEastAsia" w:hAnsiTheme="minorEastAsia" w:eastAsiaTheme="minorEastAsia" w:cstheme="minorEastAsia"/>
          <w:color w:val="auto"/>
          <w:kern w:val="2"/>
          <w:sz w:val="24"/>
          <w:szCs w:val="24"/>
          <w:highlight w:val="none"/>
          <w:lang w:val="en-US" w:eastAsia="zh-CN" w:bidi="ar-SA"/>
        </w:rPr>
        <w:t>9.8.1发包人负责组织工程参建单位编制本工程的防讯有案和措施。</w:t>
      </w:r>
    </w:p>
    <w:p>
      <w:pPr>
        <w:pStyle w:val="65"/>
        <w:tabs>
          <w:tab w:val="left" w:pos="8280"/>
        </w:tabs>
        <w:spacing w:line="360" w:lineRule="auto"/>
        <w:ind w:firstLine="360" w:firstLineChars="150"/>
        <w:rPr>
          <w:rStyle w:val="21"/>
          <w:rFonts w:hint="eastAsia" w:asciiTheme="minorEastAsia" w:hAnsiTheme="minorEastAsia" w:eastAsiaTheme="minorEastAsia" w:cstheme="minorEastAsia"/>
          <w:color w:val="auto"/>
          <w:kern w:val="2"/>
          <w:sz w:val="24"/>
          <w:szCs w:val="24"/>
          <w:highlight w:val="none"/>
          <w:lang w:val="en-US" w:eastAsia="zh-CN" w:bidi="ar-SA"/>
        </w:rPr>
      </w:pPr>
      <w:r>
        <w:rPr>
          <w:rStyle w:val="21"/>
          <w:rFonts w:hint="eastAsia" w:asciiTheme="minorEastAsia" w:hAnsiTheme="minorEastAsia" w:eastAsiaTheme="minorEastAsia" w:cstheme="minorEastAsia"/>
          <w:color w:val="auto"/>
          <w:kern w:val="2"/>
          <w:sz w:val="24"/>
          <w:szCs w:val="24"/>
          <w:highlight w:val="none"/>
          <w:lang w:val="en-US" w:eastAsia="zh-CN" w:bidi="ar-SA"/>
        </w:rPr>
        <w:t>9.8.2承包人应根据发包人编制的本工程度汛方案和措施，制定相应的度汛方案，报发包人批准后实施。</w:t>
      </w:r>
    </w:p>
    <w:p>
      <w:pPr>
        <w:pStyle w:val="66"/>
        <w:rPr>
          <w:rStyle w:val="21"/>
          <w:rFonts w:hint="eastAsia" w:asciiTheme="minorEastAsia" w:hAnsiTheme="minorEastAsia" w:eastAsiaTheme="minorEastAsia" w:cstheme="minorEastAsia"/>
          <w:color w:val="auto"/>
          <w:kern w:val="2"/>
          <w:sz w:val="24"/>
          <w:szCs w:val="24"/>
          <w:highlight w:val="none"/>
          <w:lang w:val="en-US" w:eastAsia="zh-CN" w:bidi="ar-SA"/>
        </w:rPr>
      </w:pPr>
      <w:bookmarkStart w:id="278" w:name="_Toc7908"/>
      <w:r>
        <w:rPr>
          <w:rStyle w:val="21"/>
          <w:rFonts w:hint="eastAsia" w:asciiTheme="minorEastAsia" w:hAnsiTheme="minorEastAsia" w:eastAsiaTheme="minorEastAsia" w:cstheme="minorEastAsia"/>
          <w:color w:val="auto"/>
          <w:kern w:val="2"/>
          <w:sz w:val="24"/>
          <w:szCs w:val="24"/>
          <w:highlight w:val="none"/>
          <w:lang w:val="en-US" w:eastAsia="zh-CN" w:bidi="ar-SA"/>
        </w:rPr>
        <w:t>10 进度计划</w:t>
      </w:r>
      <w:bookmarkEnd w:id="278"/>
    </w:p>
    <w:p>
      <w:pPr>
        <w:pStyle w:val="65"/>
        <w:tabs>
          <w:tab w:val="left" w:pos="8280"/>
        </w:tabs>
        <w:spacing w:line="360" w:lineRule="auto"/>
        <w:rPr>
          <w:rStyle w:val="21"/>
          <w:rFonts w:hint="eastAsia" w:asciiTheme="minorEastAsia" w:hAnsiTheme="minorEastAsia" w:eastAsiaTheme="minorEastAsia" w:cstheme="minorEastAsia"/>
          <w:b/>
          <w:color w:val="auto"/>
          <w:kern w:val="2"/>
          <w:sz w:val="24"/>
          <w:szCs w:val="24"/>
          <w:highlight w:val="none"/>
          <w:lang w:val="en-US" w:eastAsia="zh-CN" w:bidi="ar-SA"/>
        </w:rPr>
      </w:pPr>
      <w:r>
        <w:rPr>
          <w:rStyle w:val="21"/>
          <w:rFonts w:hint="eastAsia" w:asciiTheme="minorEastAsia" w:hAnsiTheme="minorEastAsia" w:eastAsiaTheme="minorEastAsia" w:cstheme="minorEastAsia"/>
          <w:b/>
          <w:color w:val="auto"/>
          <w:kern w:val="2"/>
          <w:sz w:val="24"/>
          <w:szCs w:val="24"/>
          <w:highlight w:val="none"/>
          <w:lang w:val="en-US" w:eastAsia="zh-CN" w:bidi="ar-SA"/>
        </w:rPr>
        <w:t>10.1合同进度计划</w:t>
      </w:r>
    </w:p>
    <w:p>
      <w:pPr>
        <w:pStyle w:val="65"/>
        <w:tabs>
          <w:tab w:val="left" w:pos="8280"/>
        </w:tabs>
        <w:spacing w:line="360" w:lineRule="auto"/>
        <w:ind w:firstLine="360" w:firstLineChars="150"/>
        <w:rPr>
          <w:rStyle w:val="21"/>
          <w:rFonts w:hint="eastAsia" w:asciiTheme="minorEastAsia" w:hAnsiTheme="minorEastAsia" w:eastAsiaTheme="minorEastAsia" w:cstheme="minorEastAsia"/>
          <w:color w:val="auto"/>
          <w:kern w:val="2"/>
          <w:sz w:val="24"/>
          <w:szCs w:val="24"/>
          <w:highlight w:val="none"/>
          <w:lang w:val="en-US" w:eastAsia="zh-CN" w:bidi="ar-SA"/>
        </w:rPr>
      </w:pPr>
      <w:r>
        <w:rPr>
          <w:rStyle w:val="21"/>
          <w:rFonts w:hint="eastAsia" w:asciiTheme="minorEastAsia" w:hAnsiTheme="minorEastAsia" w:eastAsiaTheme="minorEastAsia" w:cstheme="minorEastAsia"/>
          <w:color w:val="auto"/>
          <w:kern w:val="2"/>
          <w:sz w:val="24"/>
          <w:szCs w:val="24"/>
          <w:highlight w:val="none"/>
          <w:lang w:val="en-US" w:eastAsia="zh-CN" w:bidi="ar-SA"/>
        </w:rPr>
        <w:t>承包人应按技术标准和要求(合同技术条款)约定的内容和期限以及监理人的指示，编制详细的施工总进度计划及其说明提交监理人审批。监理人应在技术标准和要求(合同技术条款)约定的期限内批复承包人，否则该进度计划视为已得到批准。经监理人批准的施工进度计划称为合同进度计划，是控制合同工程进度的依据。承包人还应根据合同进度计划，编制更为详细的分阶段或单位工程或分部工程进度计划，报监理人审批。</w:t>
      </w:r>
    </w:p>
    <w:p>
      <w:pPr>
        <w:pStyle w:val="65"/>
        <w:tabs>
          <w:tab w:val="left" w:pos="8280"/>
        </w:tabs>
        <w:spacing w:line="360" w:lineRule="auto"/>
        <w:rPr>
          <w:rStyle w:val="21"/>
          <w:rFonts w:hint="eastAsia" w:asciiTheme="minorEastAsia" w:hAnsiTheme="minorEastAsia" w:eastAsiaTheme="minorEastAsia" w:cstheme="minorEastAsia"/>
          <w:b/>
          <w:color w:val="auto"/>
          <w:kern w:val="2"/>
          <w:sz w:val="24"/>
          <w:szCs w:val="24"/>
          <w:highlight w:val="none"/>
          <w:lang w:val="en-US" w:eastAsia="zh-CN" w:bidi="ar-SA"/>
        </w:rPr>
      </w:pPr>
      <w:r>
        <w:rPr>
          <w:rStyle w:val="21"/>
          <w:rFonts w:hint="eastAsia" w:asciiTheme="minorEastAsia" w:hAnsiTheme="minorEastAsia" w:eastAsiaTheme="minorEastAsia" w:cstheme="minorEastAsia"/>
          <w:b/>
          <w:color w:val="auto"/>
          <w:kern w:val="2"/>
          <w:sz w:val="24"/>
          <w:szCs w:val="24"/>
          <w:highlight w:val="none"/>
          <w:lang w:val="en-US" w:eastAsia="zh-CN" w:bidi="ar-SA"/>
        </w:rPr>
        <w:t>10.2合同进度计划的修订</w:t>
      </w:r>
    </w:p>
    <w:p>
      <w:pPr>
        <w:pStyle w:val="65"/>
        <w:tabs>
          <w:tab w:val="left" w:pos="8280"/>
        </w:tabs>
        <w:spacing w:line="360" w:lineRule="auto"/>
        <w:ind w:firstLine="360" w:firstLineChars="150"/>
        <w:rPr>
          <w:rStyle w:val="21"/>
          <w:rFonts w:hint="eastAsia" w:asciiTheme="minorEastAsia" w:hAnsiTheme="minorEastAsia" w:eastAsiaTheme="minorEastAsia" w:cstheme="minorEastAsia"/>
          <w:color w:val="auto"/>
          <w:kern w:val="2"/>
          <w:sz w:val="24"/>
          <w:szCs w:val="24"/>
          <w:highlight w:val="none"/>
          <w:lang w:val="en-US" w:eastAsia="zh-CN" w:bidi="ar-SA"/>
        </w:rPr>
      </w:pPr>
      <w:r>
        <w:rPr>
          <w:rStyle w:val="21"/>
          <w:rFonts w:hint="eastAsia" w:asciiTheme="minorEastAsia" w:hAnsiTheme="minorEastAsia" w:eastAsiaTheme="minorEastAsia" w:cstheme="minorEastAsia"/>
          <w:color w:val="auto"/>
          <w:kern w:val="2"/>
          <w:sz w:val="24"/>
          <w:szCs w:val="24"/>
          <w:highlight w:val="none"/>
          <w:lang w:val="en-US" w:eastAsia="zh-CN" w:bidi="ar-SA"/>
        </w:rPr>
        <w:t>不论何种原因造成工程的实际进度与第10.1款的合同进度计划不符时，承包人均应在14天内向监理人提交修订合同进度计划的申请报告，并附有关措施和相关资料，报监理人审批，监理人应在收到申请报告后的14天内批复。当监理人认为需要修订合同进度计划时，承包人应按监理人的指示，在14天内向监理人提交修订的合同进度计划，并附调整计划的相关资料，提交监理人审批。监理人应在收到进度计划后的14天内批复。不论何种原因造成施工进度延迟，承包人均应按监理人的指示，采取有效措施赶上进度。承包人应在向监理人提交修订合同进度计划的同时，编制一份赶工措施报告提交监理人审批。由于发包人原因造成施工进度延迟，应按第11.3款的约定办理；由于承包人原因造成施工进度延迟，应按第11.5款的约定办理。</w:t>
      </w:r>
    </w:p>
    <w:p>
      <w:pPr>
        <w:pStyle w:val="65"/>
        <w:tabs>
          <w:tab w:val="left" w:pos="8280"/>
        </w:tabs>
        <w:spacing w:line="360" w:lineRule="auto"/>
        <w:rPr>
          <w:rStyle w:val="21"/>
          <w:rFonts w:hint="eastAsia" w:asciiTheme="minorEastAsia" w:hAnsiTheme="minorEastAsia" w:eastAsiaTheme="minorEastAsia" w:cstheme="minorEastAsia"/>
          <w:b/>
          <w:color w:val="auto"/>
          <w:kern w:val="2"/>
          <w:sz w:val="24"/>
          <w:szCs w:val="24"/>
          <w:highlight w:val="none"/>
          <w:lang w:val="en-US" w:eastAsia="zh-CN" w:bidi="ar-SA"/>
        </w:rPr>
      </w:pPr>
      <w:r>
        <w:rPr>
          <w:rStyle w:val="21"/>
          <w:rFonts w:hint="eastAsia" w:asciiTheme="minorEastAsia" w:hAnsiTheme="minorEastAsia" w:eastAsiaTheme="minorEastAsia" w:cstheme="minorEastAsia"/>
          <w:b/>
          <w:color w:val="auto"/>
          <w:kern w:val="2"/>
          <w:sz w:val="24"/>
          <w:szCs w:val="24"/>
          <w:highlight w:val="none"/>
          <w:lang w:val="en-US" w:eastAsia="zh-CN" w:bidi="ar-SA"/>
        </w:rPr>
        <w:t>10.3单位工程进度计划</w:t>
      </w:r>
    </w:p>
    <w:p>
      <w:pPr>
        <w:pStyle w:val="65"/>
        <w:tabs>
          <w:tab w:val="left" w:pos="8280"/>
        </w:tabs>
        <w:spacing w:line="360" w:lineRule="auto"/>
        <w:ind w:firstLine="360" w:firstLineChars="150"/>
        <w:rPr>
          <w:rStyle w:val="21"/>
          <w:rFonts w:hint="eastAsia" w:asciiTheme="minorEastAsia" w:hAnsiTheme="minorEastAsia" w:eastAsiaTheme="minorEastAsia" w:cstheme="minorEastAsia"/>
          <w:color w:val="auto"/>
          <w:kern w:val="2"/>
          <w:sz w:val="24"/>
          <w:szCs w:val="24"/>
          <w:highlight w:val="none"/>
          <w:lang w:val="en-US" w:eastAsia="zh-CN" w:bidi="ar-SA"/>
        </w:rPr>
      </w:pPr>
      <w:r>
        <w:rPr>
          <w:rStyle w:val="21"/>
          <w:rFonts w:hint="eastAsia" w:asciiTheme="minorEastAsia" w:hAnsiTheme="minorEastAsia" w:eastAsiaTheme="minorEastAsia" w:cstheme="minorEastAsia"/>
          <w:color w:val="auto"/>
          <w:kern w:val="2"/>
          <w:sz w:val="24"/>
          <w:szCs w:val="24"/>
          <w:highlight w:val="none"/>
          <w:lang w:val="en-US" w:eastAsia="zh-CN" w:bidi="ar-SA"/>
        </w:rPr>
        <w:t>监理人认为有必要时，承包人应按监理人指示的内容和期限，并根据合同进度计划的进度控制要求，编制单位工程进度计划，提交监理人审批。</w:t>
      </w:r>
    </w:p>
    <w:p>
      <w:pPr>
        <w:pStyle w:val="65"/>
        <w:tabs>
          <w:tab w:val="left" w:pos="8280"/>
        </w:tabs>
        <w:spacing w:line="360" w:lineRule="auto"/>
        <w:rPr>
          <w:rStyle w:val="21"/>
          <w:rFonts w:hint="eastAsia" w:asciiTheme="minorEastAsia" w:hAnsiTheme="minorEastAsia" w:eastAsiaTheme="minorEastAsia" w:cstheme="minorEastAsia"/>
          <w:color w:val="auto"/>
          <w:kern w:val="2"/>
          <w:sz w:val="24"/>
          <w:szCs w:val="24"/>
          <w:highlight w:val="none"/>
          <w:lang w:val="en-US" w:eastAsia="zh-CN" w:bidi="ar-SA"/>
        </w:rPr>
      </w:pPr>
      <w:r>
        <w:rPr>
          <w:rStyle w:val="21"/>
          <w:rFonts w:hint="eastAsia" w:asciiTheme="minorEastAsia" w:hAnsiTheme="minorEastAsia" w:eastAsiaTheme="minorEastAsia" w:cstheme="minorEastAsia"/>
          <w:b/>
          <w:color w:val="auto"/>
          <w:kern w:val="2"/>
          <w:sz w:val="24"/>
          <w:szCs w:val="24"/>
          <w:highlight w:val="none"/>
          <w:lang w:val="en-US" w:eastAsia="zh-CN" w:bidi="ar-SA"/>
        </w:rPr>
        <w:t xml:space="preserve">10.4提交资金流估算表  </w:t>
      </w:r>
      <w:r>
        <w:rPr>
          <w:rStyle w:val="21"/>
          <w:rFonts w:hint="eastAsia" w:asciiTheme="minorEastAsia" w:hAnsiTheme="minorEastAsia" w:eastAsiaTheme="minorEastAsia" w:cstheme="minorEastAsia"/>
          <w:color w:val="auto"/>
          <w:kern w:val="2"/>
          <w:sz w:val="24"/>
          <w:szCs w:val="24"/>
          <w:highlight w:val="none"/>
          <w:lang w:val="en-US" w:eastAsia="zh-CN" w:bidi="ar-SA"/>
        </w:rPr>
        <w:t xml:space="preserve"> </w:t>
      </w:r>
    </w:p>
    <w:p>
      <w:pPr>
        <w:pStyle w:val="65"/>
        <w:tabs>
          <w:tab w:val="left" w:pos="8280"/>
        </w:tabs>
        <w:spacing w:line="360" w:lineRule="auto"/>
        <w:ind w:firstLine="360" w:firstLineChars="150"/>
        <w:rPr>
          <w:rStyle w:val="21"/>
          <w:rFonts w:hint="eastAsia" w:asciiTheme="minorEastAsia" w:hAnsiTheme="minorEastAsia" w:eastAsiaTheme="minorEastAsia" w:cstheme="minorEastAsia"/>
          <w:color w:val="auto"/>
          <w:kern w:val="2"/>
          <w:sz w:val="24"/>
          <w:szCs w:val="24"/>
          <w:highlight w:val="none"/>
          <w:lang w:val="en-US" w:eastAsia="zh-CN" w:bidi="ar-SA"/>
        </w:rPr>
      </w:pPr>
      <w:r>
        <w:rPr>
          <w:rStyle w:val="21"/>
          <w:rFonts w:hint="eastAsia" w:asciiTheme="minorEastAsia" w:hAnsiTheme="minorEastAsia" w:eastAsiaTheme="minorEastAsia" w:cstheme="minorEastAsia"/>
          <w:color w:val="auto"/>
          <w:kern w:val="2"/>
          <w:sz w:val="24"/>
          <w:szCs w:val="24"/>
          <w:highlight w:val="none"/>
          <w:lang w:val="en-US" w:eastAsia="zh-CN" w:bidi="ar-SA"/>
        </w:rPr>
        <w:t>承包人应在按第10.1款约定向监理人提交施工总进度计划的同时，按下表约定的格式，向监理人提交按月的资金流估算表。估算表应包括承包人计划可从发包人处得到的全部款额，以供发包人参考。此后，当监理人提出要求时，承包人应在监理人指定的期限内提交修订的资金流估算表。</w:t>
      </w:r>
    </w:p>
    <w:p>
      <w:pPr>
        <w:pStyle w:val="65"/>
        <w:tabs>
          <w:tab w:val="left" w:pos="8280"/>
        </w:tabs>
        <w:spacing w:line="360" w:lineRule="auto"/>
        <w:rPr>
          <w:rStyle w:val="21"/>
          <w:rFonts w:hint="eastAsia" w:asciiTheme="minorEastAsia" w:hAnsiTheme="minorEastAsia" w:eastAsiaTheme="minorEastAsia" w:cstheme="minorEastAsia"/>
          <w:b/>
          <w:color w:val="auto"/>
          <w:kern w:val="2"/>
          <w:sz w:val="24"/>
          <w:szCs w:val="24"/>
          <w:highlight w:val="none"/>
          <w:lang w:val="en-US" w:eastAsia="zh-CN" w:bidi="ar-SA"/>
        </w:rPr>
      </w:pPr>
      <w:r>
        <w:rPr>
          <w:rStyle w:val="21"/>
          <w:rFonts w:hint="eastAsia" w:asciiTheme="minorEastAsia" w:hAnsiTheme="minorEastAsia" w:eastAsiaTheme="minorEastAsia" w:cstheme="minorEastAsia"/>
          <w:b/>
          <w:color w:val="auto"/>
          <w:kern w:val="2"/>
          <w:sz w:val="24"/>
          <w:szCs w:val="24"/>
          <w:highlight w:val="none"/>
          <w:lang w:val="en-US" w:eastAsia="zh-CN" w:bidi="ar-SA"/>
        </w:rPr>
        <w:t xml:space="preserve">                     资金流估算表(参考格式)                     金额单位</w:t>
      </w:r>
    </w:p>
    <w:tbl>
      <w:tblPr>
        <w:tblStyle w:val="1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72"/>
        <w:gridCol w:w="472"/>
        <w:gridCol w:w="1259"/>
        <w:gridCol w:w="1416"/>
        <w:gridCol w:w="1416"/>
        <w:gridCol w:w="1101"/>
        <w:gridCol w:w="944"/>
        <w:gridCol w:w="472"/>
        <w:gridCol w:w="836"/>
        <w:gridCol w:w="105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7" w:hRule="atLeast"/>
        </w:trPr>
        <w:tc>
          <w:tcPr>
            <w:tcW w:w="472" w:type="dxa"/>
            <w:tcBorders>
              <w:top w:val="single" w:color="auto" w:sz="4" w:space="0"/>
              <w:left w:val="single" w:color="auto" w:sz="4" w:space="0"/>
              <w:bottom w:val="single" w:color="auto" w:sz="4" w:space="0"/>
              <w:right w:val="single" w:color="auto" w:sz="4" w:space="0"/>
            </w:tcBorders>
            <w:noWrap w:val="0"/>
            <w:vAlign w:val="center"/>
          </w:tcPr>
          <w:p>
            <w:pPr>
              <w:pStyle w:val="65"/>
              <w:tabs>
                <w:tab w:val="left" w:pos="8280"/>
              </w:tabs>
              <w:spacing w:line="360" w:lineRule="auto"/>
              <w:ind w:left="-288" w:leftChars="-137"/>
              <w:jc w:val="center"/>
              <w:rPr>
                <w:rStyle w:val="21"/>
                <w:rFonts w:hint="eastAsia" w:asciiTheme="minorEastAsia" w:hAnsiTheme="minorEastAsia" w:eastAsiaTheme="minorEastAsia" w:cstheme="minorEastAsia"/>
                <w:color w:val="auto"/>
                <w:kern w:val="2"/>
                <w:sz w:val="24"/>
                <w:szCs w:val="24"/>
                <w:highlight w:val="none"/>
                <w:lang w:val="en-US" w:eastAsia="zh-CN" w:bidi="ar-SA"/>
              </w:rPr>
            </w:pPr>
            <w:r>
              <w:rPr>
                <w:rStyle w:val="21"/>
                <w:rFonts w:hint="eastAsia" w:asciiTheme="minorEastAsia" w:hAnsiTheme="minorEastAsia" w:eastAsiaTheme="minorEastAsia" w:cstheme="minorEastAsia"/>
                <w:color w:val="auto"/>
                <w:kern w:val="2"/>
                <w:sz w:val="24"/>
                <w:szCs w:val="24"/>
                <w:highlight w:val="none"/>
                <w:lang w:val="en-US" w:eastAsia="zh-CN" w:bidi="ar-SA"/>
              </w:rPr>
              <w:t xml:space="preserve">   年</w:t>
            </w:r>
          </w:p>
        </w:tc>
        <w:tc>
          <w:tcPr>
            <w:tcW w:w="472" w:type="dxa"/>
            <w:tcBorders>
              <w:top w:val="single" w:color="auto" w:sz="4" w:space="0"/>
              <w:left w:val="single" w:color="auto" w:sz="4" w:space="0"/>
              <w:bottom w:val="single" w:color="auto" w:sz="4" w:space="0"/>
              <w:right w:val="single" w:color="auto" w:sz="4" w:space="0"/>
            </w:tcBorders>
            <w:noWrap w:val="0"/>
            <w:vAlign w:val="center"/>
          </w:tcPr>
          <w:p>
            <w:pPr>
              <w:pStyle w:val="65"/>
              <w:tabs>
                <w:tab w:val="left" w:pos="8280"/>
              </w:tabs>
              <w:spacing w:line="360" w:lineRule="auto"/>
              <w:jc w:val="center"/>
              <w:rPr>
                <w:rStyle w:val="21"/>
                <w:rFonts w:hint="eastAsia" w:asciiTheme="minorEastAsia" w:hAnsiTheme="minorEastAsia" w:eastAsiaTheme="minorEastAsia" w:cstheme="minorEastAsia"/>
                <w:color w:val="auto"/>
                <w:kern w:val="2"/>
                <w:sz w:val="24"/>
                <w:szCs w:val="24"/>
                <w:highlight w:val="none"/>
                <w:lang w:val="en-US" w:eastAsia="zh-CN" w:bidi="ar-SA"/>
              </w:rPr>
            </w:pPr>
            <w:r>
              <w:rPr>
                <w:rStyle w:val="21"/>
                <w:rFonts w:hint="eastAsia" w:asciiTheme="minorEastAsia" w:hAnsiTheme="minorEastAsia" w:eastAsiaTheme="minorEastAsia" w:cstheme="minorEastAsia"/>
                <w:color w:val="auto"/>
                <w:kern w:val="2"/>
                <w:sz w:val="24"/>
                <w:szCs w:val="24"/>
                <w:highlight w:val="none"/>
                <w:lang w:val="en-US" w:eastAsia="zh-CN" w:bidi="ar-SA"/>
              </w:rPr>
              <w:t>月</w:t>
            </w:r>
          </w:p>
        </w:tc>
        <w:tc>
          <w:tcPr>
            <w:tcW w:w="1259" w:type="dxa"/>
            <w:tcBorders>
              <w:top w:val="single" w:color="auto" w:sz="4" w:space="0"/>
              <w:left w:val="single" w:color="auto" w:sz="4" w:space="0"/>
              <w:bottom w:val="single" w:color="auto" w:sz="4" w:space="0"/>
              <w:right w:val="single" w:color="auto" w:sz="4" w:space="0"/>
            </w:tcBorders>
            <w:noWrap w:val="0"/>
            <w:vAlign w:val="center"/>
          </w:tcPr>
          <w:p>
            <w:pPr>
              <w:pStyle w:val="65"/>
              <w:tabs>
                <w:tab w:val="left" w:pos="8280"/>
              </w:tabs>
              <w:spacing w:line="360" w:lineRule="auto"/>
              <w:jc w:val="center"/>
              <w:rPr>
                <w:rStyle w:val="21"/>
                <w:rFonts w:hint="eastAsia" w:asciiTheme="minorEastAsia" w:hAnsiTheme="minorEastAsia" w:eastAsiaTheme="minorEastAsia" w:cstheme="minorEastAsia"/>
                <w:color w:val="auto"/>
                <w:kern w:val="2"/>
                <w:sz w:val="24"/>
                <w:szCs w:val="24"/>
                <w:highlight w:val="none"/>
                <w:lang w:val="en-US" w:eastAsia="zh-CN" w:bidi="ar-SA"/>
              </w:rPr>
            </w:pPr>
            <w:r>
              <w:rPr>
                <w:rStyle w:val="21"/>
                <w:rFonts w:hint="eastAsia" w:asciiTheme="minorEastAsia" w:hAnsiTheme="minorEastAsia" w:eastAsiaTheme="minorEastAsia" w:cstheme="minorEastAsia"/>
                <w:color w:val="auto"/>
                <w:kern w:val="2"/>
                <w:sz w:val="24"/>
                <w:szCs w:val="24"/>
                <w:highlight w:val="none"/>
                <w:lang w:val="en-US" w:eastAsia="zh-CN" w:bidi="ar-SA"/>
              </w:rPr>
              <w:t>工程工作</w:t>
            </w:r>
          </w:p>
          <w:p>
            <w:pPr>
              <w:pStyle w:val="65"/>
              <w:tabs>
                <w:tab w:val="left" w:pos="8280"/>
              </w:tabs>
              <w:spacing w:line="360" w:lineRule="auto"/>
              <w:jc w:val="center"/>
              <w:rPr>
                <w:rStyle w:val="21"/>
                <w:rFonts w:hint="eastAsia" w:asciiTheme="minorEastAsia" w:hAnsiTheme="minorEastAsia" w:eastAsiaTheme="minorEastAsia" w:cstheme="minorEastAsia"/>
                <w:color w:val="auto"/>
                <w:kern w:val="2"/>
                <w:sz w:val="24"/>
                <w:szCs w:val="24"/>
                <w:highlight w:val="none"/>
                <w:lang w:val="en-US" w:eastAsia="zh-CN" w:bidi="ar-SA"/>
              </w:rPr>
            </w:pPr>
            <w:r>
              <w:rPr>
                <w:rStyle w:val="21"/>
                <w:rFonts w:hint="eastAsia" w:asciiTheme="minorEastAsia" w:hAnsiTheme="minorEastAsia" w:eastAsiaTheme="minorEastAsia" w:cstheme="minorEastAsia"/>
                <w:color w:val="auto"/>
                <w:kern w:val="2"/>
                <w:sz w:val="24"/>
                <w:szCs w:val="24"/>
                <w:highlight w:val="none"/>
                <w:lang w:val="en-US" w:eastAsia="zh-CN" w:bidi="ar-SA"/>
              </w:rPr>
              <w:t>付款</w:t>
            </w:r>
          </w:p>
        </w:tc>
        <w:tc>
          <w:tcPr>
            <w:tcW w:w="1416" w:type="dxa"/>
            <w:tcBorders>
              <w:top w:val="single" w:color="auto" w:sz="4" w:space="0"/>
              <w:left w:val="single" w:color="auto" w:sz="4" w:space="0"/>
              <w:bottom w:val="single" w:color="auto" w:sz="4" w:space="0"/>
              <w:right w:val="single" w:color="auto" w:sz="4" w:space="0"/>
            </w:tcBorders>
            <w:noWrap w:val="0"/>
            <w:vAlign w:val="center"/>
          </w:tcPr>
          <w:p>
            <w:pPr>
              <w:pStyle w:val="65"/>
              <w:tabs>
                <w:tab w:val="left" w:pos="8280"/>
              </w:tabs>
              <w:spacing w:line="360" w:lineRule="auto"/>
              <w:jc w:val="center"/>
              <w:rPr>
                <w:rStyle w:val="21"/>
                <w:rFonts w:hint="eastAsia" w:asciiTheme="minorEastAsia" w:hAnsiTheme="minorEastAsia" w:eastAsiaTheme="minorEastAsia" w:cstheme="minorEastAsia"/>
                <w:color w:val="auto"/>
                <w:kern w:val="2"/>
                <w:sz w:val="24"/>
                <w:szCs w:val="24"/>
                <w:highlight w:val="none"/>
                <w:lang w:val="en-US" w:eastAsia="zh-CN" w:bidi="ar-SA"/>
              </w:rPr>
            </w:pPr>
            <w:r>
              <w:rPr>
                <w:rStyle w:val="21"/>
                <w:rFonts w:hint="eastAsia" w:asciiTheme="minorEastAsia" w:hAnsiTheme="minorEastAsia" w:eastAsiaTheme="minorEastAsia" w:cstheme="minorEastAsia"/>
                <w:color w:val="auto"/>
                <w:kern w:val="2"/>
                <w:sz w:val="24"/>
                <w:szCs w:val="24"/>
                <w:highlight w:val="none"/>
                <w:lang w:val="en-US" w:eastAsia="zh-CN" w:bidi="ar-SA"/>
              </w:rPr>
              <w:t>完成工作量</w:t>
            </w:r>
          </w:p>
          <w:p>
            <w:pPr>
              <w:pStyle w:val="65"/>
              <w:tabs>
                <w:tab w:val="left" w:pos="8280"/>
              </w:tabs>
              <w:spacing w:line="360" w:lineRule="auto"/>
              <w:jc w:val="center"/>
              <w:rPr>
                <w:rStyle w:val="21"/>
                <w:rFonts w:hint="eastAsia" w:asciiTheme="minorEastAsia" w:hAnsiTheme="minorEastAsia" w:eastAsiaTheme="minorEastAsia" w:cstheme="minorEastAsia"/>
                <w:color w:val="auto"/>
                <w:kern w:val="2"/>
                <w:sz w:val="24"/>
                <w:szCs w:val="24"/>
                <w:highlight w:val="none"/>
                <w:lang w:val="en-US" w:eastAsia="zh-CN" w:bidi="ar-SA"/>
              </w:rPr>
            </w:pPr>
            <w:r>
              <w:rPr>
                <w:rStyle w:val="21"/>
                <w:rFonts w:hint="eastAsia" w:asciiTheme="minorEastAsia" w:hAnsiTheme="minorEastAsia" w:eastAsiaTheme="minorEastAsia" w:cstheme="minorEastAsia"/>
                <w:color w:val="auto"/>
                <w:kern w:val="2"/>
                <w:sz w:val="24"/>
                <w:szCs w:val="24"/>
                <w:highlight w:val="none"/>
                <w:lang w:val="en-US" w:eastAsia="zh-CN" w:bidi="ar-SA"/>
              </w:rPr>
              <w:t>付款</w:t>
            </w:r>
          </w:p>
        </w:tc>
        <w:tc>
          <w:tcPr>
            <w:tcW w:w="1416" w:type="dxa"/>
            <w:tcBorders>
              <w:top w:val="single" w:color="auto" w:sz="4" w:space="0"/>
              <w:left w:val="single" w:color="auto" w:sz="4" w:space="0"/>
              <w:bottom w:val="single" w:color="auto" w:sz="4" w:space="0"/>
              <w:right w:val="single" w:color="auto" w:sz="4" w:space="0"/>
            </w:tcBorders>
            <w:noWrap w:val="0"/>
            <w:vAlign w:val="center"/>
          </w:tcPr>
          <w:p>
            <w:pPr>
              <w:pStyle w:val="65"/>
              <w:tabs>
                <w:tab w:val="left" w:pos="8280"/>
              </w:tabs>
              <w:spacing w:line="360" w:lineRule="auto"/>
              <w:jc w:val="center"/>
              <w:rPr>
                <w:rStyle w:val="21"/>
                <w:rFonts w:hint="eastAsia" w:asciiTheme="minorEastAsia" w:hAnsiTheme="minorEastAsia" w:eastAsiaTheme="minorEastAsia" w:cstheme="minorEastAsia"/>
                <w:color w:val="auto"/>
                <w:kern w:val="2"/>
                <w:sz w:val="24"/>
                <w:szCs w:val="24"/>
                <w:highlight w:val="none"/>
                <w:lang w:val="en-US" w:eastAsia="zh-CN" w:bidi="ar-SA"/>
              </w:rPr>
            </w:pPr>
            <w:r>
              <w:rPr>
                <w:rStyle w:val="21"/>
                <w:rFonts w:hint="eastAsia" w:asciiTheme="minorEastAsia" w:hAnsiTheme="minorEastAsia" w:eastAsiaTheme="minorEastAsia" w:cstheme="minorEastAsia"/>
                <w:color w:val="auto"/>
                <w:kern w:val="2"/>
                <w:sz w:val="24"/>
                <w:szCs w:val="24"/>
                <w:highlight w:val="none"/>
                <w:lang w:val="en-US" w:eastAsia="zh-CN" w:bidi="ar-SA"/>
              </w:rPr>
              <w:t>质量保证金</w:t>
            </w:r>
          </w:p>
          <w:p>
            <w:pPr>
              <w:pStyle w:val="65"/>
              <w:tabs>
                <w:tab w:val="left" w:pos="8280"/>
              </w:tabs>
              <w:spacing w:line="360" w:lineRule="auto"/>
              <w:jc w:val="center"/>
              <w:rPr>
                <w:rStyle w:val="21"/>
                <w:rFonts w:hint="eastAsia" w:asciiTheme="minorEastAsia" w:hAnsiTheme="minorEastAsia" w:eastAsiaTheme="minorEastAsia" w:cstheme="minorEastAsia"/>
                <w:color w:val="auto"/>
                <w:kern w:val="2"/>
                <w:sz w:val="24"/>
                <w:szCs w:val="24"/>
                <w:highlight w:val="none"/>
                <w:lang w:val="en-US" w:eastAsia="zh-CN" w:bidi="ar-SA"/>
              </w:rPr>
            </w:pPr>
            <w:r>
              <w:rPr>
                <w:rStyle w:val="21"/>
                <w:rFonts w:hint="eastAsia" w:asciiTheme="minorEastAsia" w:hAnsiTheme="minorEastAsia" w:eastAsiaTheme="minorEastAsia" w:cstheme="minorEastAsia"/>
                <w:color w:val="auto"/>
                <w:kern w:val="2"/>
                <w:sz w:val="24"/>
                <w:szCs w:val="24"/>
                <w:highlight w:val="none"/>
                <w:lang w:val="en-US" w:eastAsia="zh-CN" w:bidi="ar-SA"/>
              </w:rPr>
              <w:t>扣留</w:t>
            </w:r>
          </w:p>
        </w:tc>
        <w:tc>
          <w:tcPr>
            <w:tcW w:w="1101" w:type="dxa"/>
            <w:tcBorders>
              <w:top w:val="single" w:color="auto" w:sz="4" w:space="0"/>
              <w:left w:val="single" w:color="auto" w:sz="4" w:space="0"/>
              <w:bottom w:val="single" w:color="auto" w:sz="4" w:space="0"/>
              <w:right w:val="single" w:color="auto" w:sz="4" w:space="0"/>
            </w:tcBorders>
            <w:noWrap w:val="0"/>
            <w:vAlign w:val="center"/>
          </w:tcPr>
          <w:p>
            <w:pPr>
              <w:pStyle w:val="65"/>
              <w:tabs>
                <w:tab w:val="left" w:pos="8280"/>
              </w:tabs>
              <w:spacing w:line="360" w:lineRule="auto"/>
              <w:jc w:val="center"/>
              <w:rPr>
                <w:rStyle w:val="21"/>
                <w:rFonts w:hint="eastAsia" w:asciiTheme="minorEastAsia" w:hAnsiTheme="minorEastAsia" w:eastAsiaTheme="minorEastAsia" w:cstheme="minorEastAsia"/>
                <w:color w:val="auto"/>
                <w:kern w:val="2"/>
                <w:sz w:val="24"/>
                <w:szCs w:val="24"/>
                <w:highlight w:val="none"/>
                <w:lang w:val="en-US" w:eastAsia="zh-CN" w:bidi="ar-SA"/>
              </w:rPr>
            </w:pPr>
            <w:r>
              <w:rPr>
                <w:rStyle w:val="21"/>
                <w:rFonts w:hint="eastAsia" w:asciiTheme="minorEastAsia" w:hAnsiTheme="minorEastAsia" w:eastAsiaTheme="minorEastAsia" w:cstheme="minorEastAsia"/>
                <w:color w:val="auto"/>
                <w:kern w:val="2"/>
                <w:sz w:val="24"/>
                <w:szCs w:val="24"/>
                <w:highlight w:val="none"/>
                <w:lang w:val="en-US" w:eastAsia="zh-CN" w:bidi="ar-SA"/>
              </w:rPr>
              <w:t>材料款</w:t>
            </w:r>
          </w:p>
          <w:p>
            <w:pPr>
              <w:pStyle w:val="65"/>
              <w:tabs>
                <w:tab w:val="left" w:pos="8280"/>
              </w:tabs>
              <w:spacing w:line="360" w:lineRule="auto"/>
              <w:jc w:val="center"/>
              <w:rPr>
                <w:rStyle w:val="21"/>
                <w:rFonts w:hint="eastAsia" w:asciiTheme="minorEastAsia" w:hAnsiTheme="minorEastAsia" w:eastAsiaTheme="minorEastAsia" w:cstheme="minorEastAsia"/>
                <w:color w:val="auto"/>
                <w:kern w:val="2"/>
                <w:sz w:val="24"/>
                <w:szCs w:val="24"/>
                <w:highlight w:val="none"/>
                <w:lang w:val="en-US" w:eastAsia="zh-CN" w:bidi="ar-SA"/>
              </w:rPr>
            </w:pPr>
            <w:r>
              <w:rPr>
                <w:rStyle w:val="21"/>
                <w:rFonts w:hint="eastAsia" w:asciiTheme="minorEastAsia" w:hAnsiTheme="minorEastAsia" w:eastAsiaTheme="minorEastAsia" w:cstheme="minorEastAsia"/>
                <w:color w:val="auto"/>
                <w:kern w:val="2"/>
                <w:sz w:val="24"/>
                <w:szCs w:val="24"/>
                <w:highlight w:val="none"/>
                <w:lang w:val="en-US" w:eastAsia="zh-CN" w:bidi="ar-SA"/>
              </w:rPr>
              <w:t>扣除</w:t>
            </w:r>
          </w:p>
        </w:tc>
        <w:tc>
          <w:tcPr>
            <w:tcW w:w="944" w:type="dxa"/>
            <w:tcBorders>
              <w:top w:val="single" w:color="auto" w:sz="4" w:space="0"/>
              <w:left w:val="single" w:color="auto" w:sz="4" w:space="0"/>
              <w:bottom w:val="single" w:color="auto" w:sz="4" w:space="0"/>
              <w:right w:val="single" w:color="auto" w:sz="4" w:space="0"/>
            </w:tcBorders>
            <w:noWrap w:val="0"/>
            <w:vAlign w:val="center"/>
          </w:tcPr>
          <w:p>
            <w:pPr>
              <w:pStyle w:val="65"/>
              <w:tabs>
                <w:tab w:val="left" w:pos="8280"/>
              </w:tabs>
              <w:spacing w:line="360" w:lineRule="auto"/>
              <w:jc w:val="center"/>
              <w:rPr>
                <w:rStyle w:val="21"/>
                <w:rFonts w:hint="eastAsia" w:asciiTheme="minorEastAsia" w:hAnsiTheme="minorEastAsia" w:eastAsiaTheme="minorEastAsia" w:cstheme="minorEastAsia"/>
                <w:color w:val="auto"/>
                <w:kern w:val="2"/>
                <w:sz w:val="24"/>
                <w:szCs w:val="24"/>
                <w:highlight w:val="none"/>
                <w:lang w:val="en-US" w:eastAsia="zh-CN" w:bidi="ar-SA"/>
              </w:rPr>
            </w:pPr>
            <w:r>
              <w:rPr>
                <w:rStyle w:val="21"/>
                <w:rFonts w:hint="eastAsia" w:asciiTheme="minorEastAsia" w:hAnsiTheme="minorEastAsia" w:eastAsiaTheme="minorEastAsia" w:cstheme="minorEastAsia"/>
                <w:color w:val="auto"/>
                <w:kern w:val="2"/>
                <w:sz w:val="24"/>
                <w:szCs w:val="24"/>
                <w:highlight w:val="none"/>
                <w:lang w:val="en-US" w:eastAsia="zh-CN" w:bidi="ar-SA"/>
              </w:rPr>
              <w:t>预款扣还</w:t>
            </w:r>
          </w:p>
        </w:tc>
        <w:tc>
          <w:tcPr>
            <w:tcW w:w="472" w:type="dxa"/>
            <w:tcBorders>
              <w:top w:val="single" w:color="auto" w:sz="4" w:space="0"/>
              <w:left w:val="single" w:color="auto" w:sz="4" w:space="0"/>
              <w:bottom w:val="single" w:color="auto" w:sz="4" w:space="0"/>
              <w:right w:val="single" w:color="auto" w:sz="4" w:space="0"/>
            </w:tcBorders>
            <w:noWrap w:val="0"/>
            <w:vAlign w:val="center"/>
          </w:tcPr>
          <w:p>
            <w:pPr>
              <w:pStyle w:val="65"/>
              <w:tabs>
                <w:tab w:val="left" w:pos="8280"/>
              </w:tabs>
              <w:spacing w:line="360" w:lineRule="auto"/>
              <w:jc w:val="center"/>
              <w:rPr>
                <w:rStyle w:val="21"/>
                <w:rFonts w:hint="eastAsia" w:asciiTheme="minorEastAsia" w:hAnsiTheme="minorEastAsia" w:eastAsiaTheme="minorEastAsia" w:cstheme="minorEastAsia"/>
                <w:color w:val="auto"/>
                <w:kern w:val="2"/>
                <w:sz w:val="24"/>
                <w:szCs w:val="24"/>
                <w:highlight w:val="none"/>
                <w:lang w:val="en-US" w:eastAsia="zh-CN" w:bidi="ar-SA"/>
              </w:rPr>
            </w:pPr>
            <w:r>
              <w:rPr>
                <w:rStyle w:val="21"/>
                <w:rFonts w:hint="eastAsia" w:asciiTheme="minorEastAsia" w:hAnsiTheme="minorEastAsia" w:eastAsiaTheme="minorEastAsia" w:cstheme="minorEastAsia"/>
                <w:color w:val="auto"/>
                <w:kern w:val="2"/>
                <w:sz w:val="24"/>
                <w:szCs w:val="24"/>
                <w:highlight w:val="none"/>
                <w:lang w:val="en-US" w:eastAsia="zh-CN" w:bidi="ar-SA"/>
              </w:rPr>
              <w:t>其它</w:t>
            </w:r>
          </w:p>
        </w:tc>
        <w:tc>
          <w:tcPr>
            <w:tcW w:w="836" w:type="dxa"/>
            <w:tcBorders>
              <w:top w:val="single" w:color="auto" w:sz="4" w:space="0"/>
              <w:left w:val="single" w:color="auto" w:sz="4" w:space="0"/>
              <w:bottom w:val="single" w:color="auto" w:sz="4" w:space="0"/>
              <w:right w:val="single" w:color="auto" w:sz="4" w:space="0"/>
            </w:tcBorders>
            <w:noWrap w:val="0"/>
            <w:vAlign w:val="center"/>
          </w:tcPr>
          <w:p>
            <w:pPr>
              <w:pStyle w:val="65"/>
              <w:tabs>
                <w:tab w:val="left" w:pos="8280"/>
              </w:tabs>
              <w:spacing w:line="360" w:lineRule="auto"/>
              <w:jc w:val="center"/>
              <w:rPr>
                <w:rStyle w:val="21"/>
                <w:rFonts w:hint="eastAsia" w:asciiTheme="minorEastAsia" w:hAnsiTheme="minorEastAsia" w:eastAsiaTheme="minorEastAsia" w:cstheme="minorEastAsia"/>
                <w:color w:val="auto"/>
                <w:kern w:val="2"/>
                <w:sz w:val="24"/>
                <w:szCs w:val="24"/>
                <w:highlight w:val="none"/>
                <w:lang w:val="en-US" w:eastAsia="zh-CN" w:bidi="ar-SA"/>
              </w:rPr>
            </w:pPr>
            <w:r>
              <w:rPr>
                <w:rStyle w:val="21"/>
                <w:rFonts w:hint="eastAsia" w:asciiTheme="minorEastAsia" w:hAnsiTheme="minorEastAsia" w:eastAsiaTheme="minorEastAsia" w:cstheme="minorEastAsia"/>
                <w:color w:val="auto"/>
                <w:kern w:val="2"/>
                <w:sz w:val="24"/>
                <w:szCs w:val="24"/>
                <w:highlight w:val="none"/>
                <w:lang w:val="en-US" w:eastAsia="zh-CN" w:bidi="ar-SA"/>
              </w:rPr>
              <w:t>应收款</w:t>
            </w:r>
          </w:p>
        </w:tc>
        <w:tc>
          <w:tcPr>
            <w:tcW w:w="1052" w:type="dxa"/>
            <w:tcBorders>
              <w:top w:val="single" w:color="auto" w:sz="4" w:space="0"/>
              <w:left w:val="single" w:color="auto" w:sz="4" w:space="0"/>
              <w:bottom w:val="single" w:color="auto" w:sz="4" w:space="0"/>
              <w:right w:val="single" w:color="auto" w:sz="4" w:space="0"/>
            </w:tcBorders>
            <w:noWrap w:val="0"/>
            <w:vAlign w:val="center"/>
          </w:tcPr>
          <w:p>
            <w:pPr>
              <w:pStyle w:val="65"/>
              <w:tabs>
                <w:tab w:val="left" w:pos="1734"/>
                <w:tab w:val="left" w:pos="8280"/>
              </w:tabs>
              <w:spacing w:line="360" w:lineRule="auto"/>
              <w:jc w:val="center"/>
              <w:rPr>
                <w:rStyle w:val="21"/>
                <w:rFonts w:hint="eastAsia" w:asciiTheme="minorEastAsia" w:hAnsiTheme="minorEastAsia" w:eastAsiaTheme="minorEastAsia" w:cstheme="minorEastAsia"/>
                <w:color w:val="auto"/>
                <w:kern w:val="2"/>
                <w:sz w:val="24"/>
                <w:szCs w:val="24"/>
                <w:highlight w:val="none"/>
                <w:lang w:val="en-US" w:eastAsia="zh-CN" w:bidi="ar-SA"/>
              </w:rPr>
            </w:pPr>
            <w:r>
              <w:rPr>
                <w:rStyle w:val="21"/>
                <w:rFonts w:hint="eastAsia" w:asciiTheme="minorEastAsia" w:hAnsiTheme="minorEastAsia" w:eastAsiaTheme="minorEastAsia" w:cstheme="minorEastAsia"/>
                <w:color w:val="auto"/>
                <w:kern w:val="2"/>
                <w:sz w:val="24"/>
                <w:szCs w:val="24"/>
                <w:highlight w:val="none"/>
                <w:lang w:val="en-US" w:eastAsia="zh-CN" w:bidi="ar-SA"/>
              </w:rPr>
              <w:t>累计应</w:t>
            </w:r>
          </w:p>
          <w:p>
            <w:pPr>
              <w:pStyle w:val="65"/>
              <w:tabs>
                <w:tab w:val="left" w:pos="1734"/>
                <w:tab w:val="left" w:pos="8280"/>
              </w:tabs>
              <w:spacing w:line="360" w:lineRule="auto"/>
              <w:jc w:val="center"/>
              <w:rPr>
                <w:rStyle w:val="21"/>
                <w:rFonts w:hint="eastAsia" w:asciiTheme="minorEastAsia" w:hAnsiTheme="minorEastAsia" w:eastAsiaTheme="minorEastAsia" w:cstheme="minorEastAsia"/>
                <w:color w:val="auto"/>
                <w:kern w:val="2"/>
                <w:sz w:val="24"/>
                <w:szCs w:val="24"/>
                <w:highlight w:val="none"/>
                <w:lang w:val="en-US" w:eastAsia="zh-CN" w:bidi="ar-SA"/>
              </w:rPr>
            </w:pPr>
            <w:r>
              <w:rPr>
                <w:rStyle w:val="21"/>
                <w:rFonts w:hint="eastAsia" w:asciiTheme="minorEastAsia" w:hAnsiTheme="minorEastAsia" w:eastAsiaTheme="minorEastAsia" w:cstheme="minorEastAsia"/>
                <w:color w:val="auto"/>
                <w:kern w:val="2"/>
                <w:sz w:val="24"/>
                <w:szCs w:val="24"/>
                <w:highlight w:val="none"/>
                <w:lang w:val="en-US" w:eastAsia="zh-CN" w:bidi="ar-SA"/>
              </w:rPr>
              <w:t>收款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7" w:hRule="atLeast"/>
        </w:trPr>
        <w:tc>
          <w:tcPr>
            <w:tcW w:w="472" w:type="dxa"/>
            <w:tcBorders>
              <w:top w:val="single" w:color="auto" w:sz="4" w:space="0"/>
              <w:left w:val="single" w:color="auto" w:sz="4" w:space="0"/>
              <w:bottom w:val="single" w:color="auto" w:sz="4" w:space="0"/>
              <w:right w:val="single" w:color="auto" w:sz="4" w:space="0"/>
            </w:tcBorders>
            <w:noWrap w:val="0"/>
            <w:vAlign w:val="top"/>
          </w:tcPr>
          <w:p>
            <w:pPr>
              <w:pStyle w:val="65"/>
              <w:tabs>
                <w:tab w:val="left" w:pos="8280"/>
              </w:tabs>
              <w:spacing w:line="360" w:lineRule="auto"/>
              <w:rPr>
                <w:rStyle w:val="21"/>
                <w:rFonts w:hint="eastAsia" w:asciiTheme="minorEastAsia" w:hAnsiTheme="minorEastAsia" w:eastAsiaTheme="minorEastAsia" w:cstheme="minorEastAsia"/>
                <w:color w:val="auto"/>
                <w:kern w:val="2"/>
                <w:sz w:val="24"/>
                <w:szCs w:val="24"/>
                <w:highlight w:val="none"/>
                <w:lang w:val="en-US" w:eastAsia="zh-CN" w:bidi="ar-SA"/>
              </w:rPr>
            </w:pPr>
          </w:p>
        </w:tc>
        <w:tc>
          <w:tcPr>
            <w:tcW w:w="472" w:type="dxa"/>
            <w:tcBorders>
              <w:top w:val="single" w:color="auto" w:sz="4" w:space="0"/>
              <w:left w:val="single" w:color="auto" w:sz="4" w:space="0"/>
              <w:bottom w:val="single" w:color="auto" w:sz="4" w:space="0"/>
              <w:right w:val="single" w:color="auto" w:sz="4" w:space="0"/>
            </w:tcBorders>
            <w:noWrap w:val="0"/>
            <w:vAlign w:val="top"/>
          </w:tcPr>
          <w:p>
            <w:pPr>
              <w:pStyle w:val="65"/>
              <w:tabs>
                <w:tab w:val="left" w:pos="8280"/>
              </w:tabs>
              <w:spacing w:line="360" w:lineRule="auto"/>
              <w:rPr>
                <w:rStyle w:val="21"/>
                <w:rFonts w:hint="eastAsia" w:asciiTheme="minorEastAsia" w:hAnsiTheme="minorEastAsia" w:eastAsiaTheme="minorEastAsia" w:cstheme="minorEastAsia"/>
                <w:color w:val="auto"/>
                <w:kern w:val="2"/>
                <w:sz w:val="24"/>
                <w:szCs w:val="24"/>
                <w:highlight w:val="none"/>
                <w:lang w:val="en-US" w:eastAsia="zh-CN" w:bidi="ar-SA"/>
              </w:rPr>
            </w:pPr>
          </w:p>
        </w:tc>
        <w:tc>
          <w:tcPr>
            <w:tcW w:w="1259" w:type="dxa"/>
            <w:tcBorders>
              <w:top w:val="single" w:color="auto" w:sz="4" w:space="0"/>
              <w:left w:val="single" w:color="auto" w:sz="4" w:space="0"/>
              <w:bottom w:val="single" w:color="auto" w:sz="4" w:space="0"/>
              <w:right w:val="single" w:color="auto" w:sz="4" w:space="0"/>
            </w:tcBorders>
            <w:noWrap w:val="0"/>
            <w:vAlign w:val="top"/>
          </w:tcPr>
          <w:p>
            <w:pPr>
              <w:pStyle w:val="65"/>
              <w:tabs>
                <w:tab w:val="left" w:pos="8280"/>
              </w:tabs>
              <w:spacing w:line="360" w:lineRule="auto"/>
              <w:rPr>
                <w:rStyle w:val="21"/>
                <w:rFonts w:hint="eastAsia" w:asciiTheme="minorEastAsia" w:hAnsiTheme="minorEastAsia" w:eastAsiaTheme="minorEastAsia" w:cstheme="minorEastAsia"/>
                <w:color w:val="auto"/>
                <w:kern w:val="2"/>
                <w:sz w:val="24"/>
                <w:szCs w:val="24"/>
                <w:highlight w:val="none"/>
                <w:lang w:val="en-US" w:eastAsia="zh-CN" w:bidi="ar-SA"/>
              </w:rPr>
            </w:pPr>
          </w:p>
        </w:tc>
        <w:tc>
          <w:tcPr>
            <w:tcW w:w="1416" w:type="dxa"/>
            <w:tcBorders>
              <w:top w:val="single" w:color="auto" w:sz="4" w:space="0"/>
              <w:left w:val="single" w:color="auto" w:sz="4" w:space="0"/>
              <w:bottom w:val="single" w:color="auto" w:sz="4" w:space="0"/>
              <w:right w:val="single" w:color="auto" w:sz="4" w:space="0"/>
            </w:tcBorders>
            <w:noWrap w:val="0"/>
            <w:vAlign w:val="top"/>
          </w:tcPr>
          <w:p>
            <w:pPr>
              <w:pStyle w:val="65"/>
              <w:tabs>
                <w:tab w:val="left" w:pos="8280"/>
              </w:tabs>
              <w:spacing w:line="360" w:lineRule="auto"/>
              <w:rPr>
                <w:rStyle w:val="21"/>
                <w:rFonts w:hint="eastAsia" w:asciiTheme="minorEastAsia" w:hAnsiTheme="minorEastAsia" w:eastAsiaTheme="minorEastAsia" w:cstheme="minorEastAsia"/>
                <w:color w:val="auto"/>
                <w:kern w:val="2"/>
                <w:sz w:val="24"/>
                <w:szCs w:val="24"/>
                <w:highlight w:val="none"/>
                <w:lang w:val="en-US" w:eastAsia="zh-CN" w:bidi="ar-SA"/>
              </w:rPr>
            </w:pPr>
          </w:p>
        </w:tc>
        <w:tc>
          <w:tcPr>
            <w:tcW w:w="1416" w:type="dxa"/>
            <w:tcBorders>
              <w:top w:val="single" w:color="auto" w:sz="4" w:space="0"/>
              <w:left w:val="single" w:color="auto" w:sz="4" w:space="0"/>
              <w:bottom w:val="single" w:color="auto" w:sz="4" w:space="0"/>
              <w:right w:val="single" w:color="auto" w:sz="4" w:space="0"/>
            </w:tcBorders>
            <w:noWrap w:val="0"/>
            <w:vAlign w:val="top"/>
          </w:tcPr>
          <w:p>
            <w:pPr>
              <w:pStyle w:val="65"/>
              <w:tabs>
                <w:tab w:val="left" w:pos="8280"/>
              </w:tabs>
              <w:spacing w:line="360" w:lineRule="auto"/>
              <w:rPr>
                <w:rStyle w:val="21"/>
                <w:rFonts w:hint="eastAsia" w:asciiTheme="minorEastAsia" w:hAnsiTheme="minorEastAsia" w:eastAsiaTheme="minorEastAsia" w:cstheme="minorEastAsia"/>
                <w:color w:val="auto"/>
                <w:kern w:val="2"/>
                <w:sz w:val="24"/>
                <w:szCs w:val="24"/>
                <w:highlight w:val="none"/>
                <w:lang w:val="en-US" w:eastAsia="zh-CN" w:bidi="ar-SA"/>
              </w:rPr>
            </w:pPr>
          </w:p>
        </w:tc>
        <w:tc>
          <w:tcPr>
            <w:tcW w:w="1101" w:type="dxa"/>
            <w:tcBorders>
              <w:top w:val="single" w:color="auto" w:sz="4" w:space="0"/>
              <w:left w:val="single" w:color="auto" w:sz="4" w:space="0"/>
              <w:bottom w:val="single" w:color="auto" w:sz="4" w:space="0"/>
              <w:right w:val="single" w:color="auto" w:sz="4" w:space="0"/>
            </w:tcBorders>
            <w:noWrap w:val="0"/>
            <w:vAlign w:val="top"/>
          </w:tcPr>
          <w:p>
            <w:pPr>
              <w:pStyle w:val="65"/>
              <w:tabs>
                <w:tab w:val="left" w:pos="8280"/>
              </w:tabs>
              <w:spacing w:line="360" w:lineRule="auto"/>
              <w:rPr>
                <w:rStyle w:val="21"/>
                <w:rFonts w:hint="eastAsia" w:asciiTheme="minorEastAsia" w:hAnsiTheme="minorEastAsia" w:eastAsiaTheme="minorEastAsia" w:cstheme="minorEastAsia"/>
                <w:color w:val="auto"/>
                <w:kern w:val="2"/>
                <w:sz w:val="24"/>
                <w:szCs w:val="24"/>
                <w:highlight w:val="none"/>
                <w:lang w:val="en-US" w:eastAsia="zh-CN" w:bidi="ar-SA"/>
              </w:rPr>
            </w:pPr>
          </w:p>
        </w:tc>
        <w:tc>
          <w:tcPr>
            <w:tcW w:w="944" w:type="dxa"/>
            <w:tcBorders>
              <w:top w:val="single" w:color="auto" w:sz="4" w:space="0"/>
              <w:left w:val="single" w:color="auto" w:sz="4" w:space="0"/>
              <w:bottom w:val="single" w:color="auto" w:sz="4" w:space="0"/>
              <w:right w:val="single" w:color="auto" w:sz="4" w:space="0"/>
            </w:tcBorders>
            <w:noWrap w:val="0"/>
            <w:vAlign w:val="top"/>
          </w:tcPr>
          <w:p>
            <w:pPr>
              <w:pStyle w:val="65"/>
              <w:tabs>
                <w:tab w:val="left" w:pos="8280"/>
              </w:tabs>
              <w:spacing w:line="360" w:lineRule="auto"/>
              <w:rPr>
                <w:rStyle w:val="21"/>
                <w:rFonts w:hint="eastAsia" w:asciiTheme="minorEastAsia" w:hAnsiTheme="minorEastAsia" w:eastAsiaTheme="minorEastAsia" w:cstheme="minorEastAsia"/>
                <w:color w:val="auto"/>
                <w:kern w:val="2"/>
                <w:sz w:val="24"/>
                <w:szCs w:val="24"/>
                <w:highlight w:val="none"/>
                <w:lang w:val="en-US" w:eastAsia="zh-CN" w:bidi="ar-SA"/>
              </w:rPr>
            </w:pPr>
          </w:p>
        </w:tc>
        <w:tc>
          <w:tcPr>
            <w:tcW w:w="472" w:type="dxa"/>
            <w:tcBorders>
              <w:top w:val="single" w:color="auto" w:sz="4" w:space="0"/>
              <w:left w:val="single" w:color="auto" w:sz="4" w:space="0"/>
              <w:bottom w:val="single" w:color="auto" w:sz="4" w:space="0"/>
              <w:right w:val="single" w:color="auto" w:sz="4" w:space="0"/>
            </w:tcBorders>
            <w:noWrap w:val="0"/>
            <w:vAlign w:val="top"/>
          </w:tcPr>
          <w:p>
            <w:pPr>
              <w:pStyle w:val="65"/>
              <w:tabs>
                <w:tab w:val="left" w:pos="8280"/>
              </w:tabs>
              <w:spacing w:line="360" w:lineRule="auto"/>
              <w:rPr>
                <w:rStyle w:val="21"/>
                <w:rFonts w:hint="eastAsia" w:asciiTheme="minorEastAsia" w:hAnsiTheme="minorEastAsia" w:eastAsiaTheme="minorEastAsia" w:cstheme="minorEastAsia"/>
                <w:color w:val="auto"/>
                <w:kern w:val="2"/>
                <w:sz w:val="24"/>
                <w:szCs w:val="24"/>
                <w:highlight w:val="none"/>
                <w:lang w:val="en-US" w:eastAsia="zh-CN" w:bidi="ar-SA"/>
              </w:rPr>
            </w:pPr>
          </w:p>
        </w:tc>
        <w:tc>
          <w:tcPr>
            <w:tcW w:w="836" w:type="dxa"/>
            <w:tcBorders>
              <w:top w:val="single" w:color="auto" w:sz="4" w:space="0"/>
              <w:left w:val="single" w:color="auto" w:sz="4" w:space="0"/>
              <w:bottom w:val="single" w:color="auto" w:sz="4" w:space="0"/>
              <w:right w:val="single" w:color="auto" w:sz="4" w:space="0"/>
            </w:tcBorders>
            <w:noWrap w:val="0"/>
            <w:vAlign w:val="top"/>
          </w:tcPr>
          <w:p>
            <w:pPr>
              <w:pStyle w:val="65"/>
              <w:tabs>
                <w:tab w:val="left" w:pos="8280"/>
              </w:tabs>
              <w:spacing w:line="360" w:lineRule="auto"/>
              <w:rPr>
                <w:rStyle w:val="21"/>
                <w:rFonts w:hint="eastAsia" w:asciiTheme="minorEastAsia" w:hAnsiTheme="minorEastAsia" w:eastAsiaTheme="minorEastAsia" w:cstheme="minorEastAsia"/>
                <w:color w:val="auto"/>
                <w:kern w:val="2"/>
                <w:sz w:val="24"/>
                <w:szCs w:val="24"/>
                <w:highlight w:val="none"/>
                <w:lang w:val="en-US" w:eastAsia="zh-CN" w:bidi="ar-SA"/>
              </w:rPr>
            </w:pPr>
          </w:p>
        </w:tc>
        <w:tc>
          <w:tcPr>
            <w:tcW w:w="1052" w:type="dxa"/>
            <w:tcBorders>
              <w:top w:val="single" w:color="auto" w:sz="4" w:space="0"/>
              <w:left w:val="single" w:color="auto" w:sz="4" w:space="0"/>
              <w:bottom w:val="single" w:color="auto" w:sz="4" w:space="0"/>
              <w:right w:val="single" w:color="auto" w:sz="4" w:space="0"/>
            </w:tcBorders>
            <w:noWrap w:val="0"/>
            <w:vAlign w:val="top"/>
          </w:tcPr>
          <w:p>
            <w:pPr>
              <w:pStyle w:val="65"/>
              <w:tabs>
                <w:tab w:val="left" w:pos="8280"/>
              </w:tabs>
              <w:spacing w:line="360" w:lineRule="auto"/>
              <w:rPr>
                <w:rStyle w:val="21"/>
                <w:rFonts w:hint="eastAsia" w:asciiTheme="minorEastAsia" w:hAnsiTheme="minorEastAsia" w:eastAsiaTheme="minorEastAsia" w:cstheme="minorEastAsia"/>
                <w:color w:val="auto"/>
                <w:kern w:val="2"/>
                <w:sz w:val="24"/>
                <w:szCs w:val="24"/>
                <w:highlight w:val="none"/>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7" w:hRule="atLeast"/>
        </w:trPr>
        <w:tc>
          <w:tcPr>
            <w:tcW w:w="472" w:type="dxa"/>
            <w:tcBorders>
              <w:top w:val="single" w:color="auto" w:sz="4" w:space="0"/>
              <w:left w:val="single" w:color="auto" w:sz="4" w:space="0"/>
              <w:bottom w:val="single" w:color="auto" w:sz="4" w:space="0"/>
              <w:right w:val="single" w:color="auto" w:sz="4" w:space="0"/>
            </w:tcBorders>
            <w:noWrap w:val="0"/>
            <w:vAlign w:val="top"/>
          </w:tcPr>
          <w:p>
            <w:pPr>
              <w:pStyle w:val="65"/>
              <w:tabs>
                <w:tab w:val="left" w:pos="8280"/>
              </w:tabs>
              <w:spacing w:line="360" w:lineRule="auto"/>
              <w:rPr>
                <w:rStyle w:val="21"/>
                <w:rFonts w:hint="eastAsia" w:asciiTheme="minorEastAsia" w:hAnsiTheme="minorEastAsia" w:eastAsiaTheme="minorEastAsia" w:cstheme="minorEastAsia"/>
                <w:color w:val="auto"/>
                <w:kern w:val="2"/>
                <w:sz w:val="24"/>
                <w:szCs w:val="24"/>
                <w:highlight w:val="none"/>
                <w:lang w:val="en-US" w:eastAsia="zh-CN" w:bidi="ar-SA"/>
              </w:rPr>
            </w:pPr>
          </w:p>
        </w:tc>
        <w:tc>
          <w:tcPr>
            <w:tcW w:w="472" w:type="dxa"/>
            <w:tcBorders>
              <w:top w:val="single" w:color="auto" w:sz="4" w:space="0"/>
              <w:left w:val="single" w:color="auto" w:sz="4" w:space="0"/>
              <w:bottom w:val="single" w:color="auto" w:sz="4" w:space="0"/>
              <w:right w:val="single" w:color="auto" w:sz="4" w:space="0"/>
            </w:tcBorders>
            <w:noWrap w:val="0"/>
            <w:vAlign w:val="top"/>
          </w:tcPr>
          <w:p>
            <w:pPr>
              <w:pStyle w:val="65"/>
              <w:tabs>
                <w:tab w:val="left" w:pos="8280"/>
              </w:tabs>
              <w:spacing w:line="360" w:lineRule="auto"/>
              <w:rPr>
                <w:rStyle w:val="21"/>
                <w:rFonts w:hint="eastAsia" w:asciiTheme="minorEastAsia" w:hAnsiTheme="minorEastAsia" w:eastAsiaTheme="minorEastAsia" w:cstheme="minorEastAsia"/>
                <w:color w:val="auto"/>
                <w:kern w:val="2"/>
                <w:sz w:val="24"/>
                <w:szCs w:val="24"/>
                <w:highlight w:val="none"/>
                <w:lang w:val="en-US" w:eastAsia="zh-CN" w:bidi="ar-SA"/>
              </w:rPr>
            </w:pPr>
          </w:p>
        </w:tc>
        <w:tc>
          <w:tcPr>
            <w:tcW w:w="1259" w:type="dxa"/>
            <w:tcBorders>
              <w:top w:val="single" w:color="auto" w:sz="4" w:space="0"/>
              <w:left w:val="single" w:color="auto" w:sz="4" w:space="0"/>
              <w:bottom w:val="single" w:color="auto" w:sz="4" w:space="0"/>
              <w:right w:val="single" w:color="auto" w:sz="4" w:space="0"/>
            </w:tcBorders>
            <w:noWrap w:val="0"/>
            <w:vAlign w:val="top"/>
          </w:tcPr>
          <w:p>
            <w:pPr>
              <w:pStyle w:val="65"/>
              <w:tabs>
                <w:tab w:val="left" w:pos="8280"/>
              </w:tabs>
              <w:spacing w:line="360" w:lineRule="auto"/>
              <w:rPr>
                <w:rStyle w:val="21"/>
                <w:rFonts w:hint="eastAsia" w:asciiTheme="minorEastAsia" w:hAnsiTheme="minorEastAsia" w:eastAsiaTheme="minorEastAsia" w:cstheme="minorEastAsia"/>
                <w:color w:val="auto"/>
                <w:kern w:val="2"/>
                <w:sz w:val="24"/>
                <w:szCs w:val="24"/>
                <w:highlight w:val="none"/>
                <w:lang w:val="en-US" w:eastAsia="zh-CN" w:bidi="ar-SA"/>
              </w:rPr>
            </w:pPr>
          </w:p>
        </w:tc>
        <w:tc>
          <w:tcPr>
            <w:tcW w:w="1416" w:type="dxa"/>
            <w:tcBorders>
              <w:top w:val="single" w:color="auto" w:sz="4" w:space="0"/>
              <w:left w:val="single" w:color="auto" w:sz="4" w:space="0"/>
              <w:bottom w:val="single" w:color="auto" w:sz="4" w:space="0"/>
              <w:right w:val="single" w:color="auto" w:sz="4" w:space="0"/>
            </w:tcBorders>
            <w:noWrap w:val="0"/>
            <w:vAlign w:val="top"/>
          </w:tcPr>
          <w:p>
            <w:pPr>
              <w:pStyle w:val="65"/>
              <w:tabs>
                <w:tab w:val="left" w:pos="8280"/>
              </w:tabs>
              <w:spacing w:line="360" w:lineRule="auto"/>
              <w:rPr>
                <w:rStyle w:val="21"/>
                <w:rFonts w:hint="eastAsia" w:asciiTheme="minorEastAsia" w:hAnsiTheme="minorEastAsia" w:eastAsiaTheme="minorEastAsia" w:cstheme="minorEastAsia"/>
                <w:color w:val="auto"/>
                <w:kern w:val="2"/>
                <w:sz w:val="24"/>
                <w:szCs w:val="24"/>
                <w:highlight w:val="none"/>
                <w:lang w:val="en-US" w:eastAsia="zh-CN" w:bidi="ar-SA"/>
              </w:rPr>
            </w:pPr>
          </w:p>
        </w:tc>
        <w:tc>
          <w:tcPr>
            <w:tcW w:w="1416" w:type="dxa"/>
            <w:tcBorders>
              <w:top w:val="single" w:color="auto" w:sz="4" w:space="0"/>
              <w:left w:val="single" w:color="auto" w:sz="4" w:space="0"/>
              <w:bottom w:val="single" w:color="auto" w:sz="4" w:space="0"/>
              <w:right w:val="single" w:color="auto" w:sz="4" w:space="0"/>
            </w:tcBorders>
            <w:noWrap w:val="0"/>
            <w:vAlign w:val="top"/>
          </w:tcPr>
          <w:p>
            <w:pPr>
              <w:pStyle w:val="65"/>
              <w:tabs>
                <w:tab w:val="left" w:pos="8280"/>
              </w:tabs>
              <w:spacing w:line="360" w:lineRule="auto"/>
              <w:rPr>
                <w:rStyle w:val="21"/>
                <w:rFonts w:hint="eastAsia" w:asciiTheme="minorEastAsia" w:hAnsiTheme="minorEastAsia" w:eastAsiaTheme="minorEastAsia" w:cstheme="minorEastAsia"/>
                <w:color w:val="auto"/>
                <w:kern w:val="2"/>
                <w:sz w:val="24"/>
                <w:szCs w:val="24"/>
                <w:highlight w:val="none"/>
                <w:lang w:val="en-US" w:eastAsia="zh-CN" w:bidi="ar-SA"/>
              </w:rPr>
            </w:pPr>
          </w:p>
        </w:tc>
        <w:tc>
          <w:tcPr>
            <w:tcW w:w="1101" w:type="dxa"/>
            <w:tcBorders>
              <w:top w:val="single" w:color="auto" w:sz="4" w:space="0"/>
              <w:left w:val="single" w:color="auto" w:sz="4" w:space="0"/>
              <w:bottom w:val="single" w:color="auto" w:sz="4" w:space="0"/>
              <w:right w:val="single" w:color="auto" w:sz="4" w:space="0"/>
            </w:tcBorders>
            <w:noWrap w:val="0"/>
            <w:vAlign w:val="top"/>
          </w:tcPr>
          <w:p>
            <w:pPr>
              <w:pStyle w:val="65"/>
              <w:tabs>
                <w:tab w:val="left" w:pos="8280"/>
              </w:tabs>
              <w:spacing w:line="360" w:lineRule="auto"/>
              <w:rPr>
                <w:rStyle w:val="21"/>
                <w:rFonts w:hint="eastAsia" w:asciiTheme="minorEastAsia" w:hAnsiTheme="minorEastAsia" w:eastAsiaTheme="minorEastAsia" w:cstheme="minorEastAsia"/>
                <w:color w:val="auto"/>
                <w:kern w:val="2"/>
                <w:sz w:val="24"/>
                <w:szCs w:val="24"/>
                <w:highlight w:val="none"/>
                <w:lang w:val="en-US" w:eastAsia="zh-CN" w:bidi="ar-SA"/>
              </w:rPr>
            </w:pPr>
          </w:p>
        </w:tc>
        <w:tc>
          <w:tcPr>
            <w:tcW w:w="944" w:type="dxa"/>
            <w:tcBorders>
              <w:top w:val="single" w:color="auto" w:sz="4" w:space="0"/>
              <w:left w:val="single" w:color="auto" w:sz="4" w:space="0"/>
              <w:bottom w:val="single" w:color="auto" w:sz="4" w:space="0"/>
              <w:right w:val="single" w:color="auto" w:sz="4" w:space="0"/>
            </w:tcBorders>
            <w:noWrap w:val="0"/>
            <w:vAlign w:val="top"/>
          </w:tcPr>
          <w:p>
            <w:pPr>
              <w:pStyle w:val="65"/>
              <w:tabs>
                <w:tab w:val="left" w:pos="8280"/>
              </w:tabs>
              <w:spacing w:line="360" w:lineRule="auto"/>
              <w:rPr>
                <w:rStyle w:val="21"/>
                <w:rFonts w:hint="eastAsia" w:asciiTheme="minorEastAsia" w:hAnsiTheme="minorEastAsia" w:eastAsiaTheme="minorEastAsia" w:cstheme="minorEastAsia"/>
                <w:color w:val="auto"/>
                <w:kern w:val="2"/>
                <w:sz w:val="24"/>
                <w:szCs w:val="24"/>
                <w:highlight w:val="none"/>
                <w:lang w:val="en-US" w:eastAsia="zh-CN" w:bidi="ar-SA"/>
              </w:rPr>
            </w:pPr>
          </w:p>
        </w:tc>
        <w:tc>
          <w:tcPr>
            <w:tcW w:w="472" w:type="dxa"/>
            <w:tcBorders>
              <w:top w:val="single" w:color="auto" w:sz="4" w:space="0"/>
              <w:left w:val="single" w:color="auto" w:sz="4" w:space="0"/>
              <w:bottom w:val="single" w:color="auto" w:sz="4" w:space="0"/>
              <w:right w:val="single" w:color="auto" w:sz="4" w:space="0"/>
            </w:tcBorders>
            <w:noWrap w:val="0"/>
            <w:vAlign w:val="top"/>
          </w:tcPr>
          <w:p>
            <w:pPr>
              <w:pStyle w:val="65"/>
              <w:tabs>
                <w:tab w:val="left" w:pos="8280"/>
              </w:tabs>
              <w:spacing w:line="360" w:lineRule="auto"/>
              <w:rPr>
                <w:rStyle w:val="21"/>
                <w:rFonts w:hint="eastAsia" w:asciiTheme="minorEastAsia" w:hAnsiTheme="minorEastAsia" w:eastAsiaTheme="minorEastAsia" w:cstheme="minorEastAsia"/>
                <w:color w:val="auto"/>
                <w:kern w:val="2"/>
                <w:sz w:val="24"/>
                <w:szCs w:val="24"/>
                <w:highlight w:val="none"/>
                <w:lang w:val="en-US" w:eastAsia="zh-CN" w:bidi="ar-SA"/>
              </w:rPr>
            </w:pPr>
          </w:p>
        </w:tc>
        <w:tc>
          <w:tcPr>
            <w:tcW w:w="836" w:type="dxa"/>
            <w:tcBorders>
              <w:top w:val="single" w:color="auto" w:sz="4" w:space="0"/>
              <w:left w:val="single" w:color="auto" w:sz="4" w:space="0"/>
              <w:bottom w:val="single" w:color="auto" w:sz="4" w:space="0"/>
              <w:right w:val="single" w:color="auto" w:sz="4" w:space="0"/>
            </w:tcBorders>
            <w:noWrap w:val="0"/>
            <w:vAlign w:val="top"/>
          </w:tcPr>
          <w:p>
            <w:pPr>
              <w:pStyle w:val="65"/>
              <w:tabs>
                <w:tab w:val="left" w:pos="8280"/>
              </w:tabs>
              <w:spacing w:line="360" w:lineRule="auto"/>
              <w:rPr>
                <w:rStyle w:val="21"/>
                <w:rFonts w:hint="eastAsia" w:asciiTheme="minorEastAsia" w:hAnsiTheme="minorEastAsia" w:eastAsiaTheme="minorEastAsia" w:cstheme="minorEastAsia"/>
                <w:color w:val="auto"/>
                <w:kern w:val="2"/>
                <w:sz w:val="24"/>
                <w:szCs w:val="24"/>
                <w:highlight w:val="none"/>
                <w:lang w:val="en-US" w:eastAsia="zh-CN" w:bidi="ar-SA"/>
              </w:rPr>
            </w:pPr>
          </w:p>
        </w:tc>
        <w:tc>
          <w:tcPr>
            <w:tcW w:w="1052" w:type="dxa"/>
            <w:tcBorders>
              <w:top w:val="single" w:color="auto" w:sz="4" w:space="0"/>
              <w:left w:val="single" w:color="auto" w:sz="4" w:space="0"/>
              <w:bottom w:val="single" w:color="auto" w:sz="4" w:space="0"/>
              <w:right w:val="single" w:color="auto" w:sz="4" w:space="0"/>
            </w:tcBorders>
            <w:noWrap w:val="0"/>
            <w:vAlign w:val="top"/>
          </w:tcPr>
          <w:p>
            <w:pPr>
              <w:pStyle w:val="65"/>
              <w:tabs>
                <w:tab w:val="left" w:pos="8280"/>
              </w:tabs>
              <w:spacing w:line="360" w:lineRule="auto"/>
              <w:rPr>
                <w:rStyle w:val="21"/>
                <w:rFonts w:hint="eastAsia" w:asciiTheme="minorEastAsia" w:hAnsiTheme="minorEastAsia" w:eastAsiaTheme="minorEastAsia" w:cstheme="minorEastAsia"/>
                <w:color w:val="auto"/>
                <w:kern w:val="2"/>
                <w:sz w:val="24"/>
                <w:szCs w:val="24"/>
                <w:highlight w:val="none"/>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2" w:hRule="atLeast"/>
        </w:trPr>
        <w:tc>
          <w:tcPr>
            <w:tcW w:w="472" w:type="dxa"/>
            <w:tcBorders>
              <w:top w:val="single" w:color="auto" w:sz="4" w:space="0"/>
              <w:left w:val="single" w:color="auto" w:sz="4" w:space="0"/>
              <w:bottom w:val="single" w:color="auto" w:sz="4" w:space="0"/>
              <w:right w:val="single" w:color="auto" w:sz="4" w:space="0"/>
            </w:tcBorders>
            <w:noWrap w:val="0"/>
            <w:vAlign w:val="top"/>
          </w:tcPr>
          <w:p>
            <w:pPr>
              <w:pStyle w:val="65"/>
              <w:tabs>
                <w:tab w:val="left" w:pos="8280"/>
              </w:tabs>
              <w:spacing w:line="360" w:lineRule="auto"/>
              <w:rPr>
                <w:rStyle w:val="21"/>
                <w:rFonts w:hint="eastAsia" w:asciiTheme="minorEastAsia" w:hAnsiTheme="minorEastAsia" w:eastAsiaTheme="minorEastAsia" w:cstheme="minorEastAsia"/>
                <w:color w:val="auto"/>
                <w:kern w:val="2"/>
                <w:sz w:val="24"/>
                <w:szCs w:val="24"/>
                <w:highlight w:val="none"/>
                <w:lang w:val="en-US" w:eastAsia="zh-CN" w:bidi="ar-SA"/>
              </w:rPr>
            </w:pPr>
          </w:p>
        </w:tc>
        <w:tc>
          <w:tcPr>
            <w:tcW w:w="472" w:type="dxa"/>
            <w:tcBorders>
              <w:top w:val="single" w:color="auto" w:sz="4" w:space="0"/>
              <w:left w:val="single" w:color="auto" w:sz="4" w:space="0"/>
              <w:bottom w:val="single" w:color="auto" w:sz="4" w:space="0"/>
              <w:right w:val="single" w:color="auto" w:sz="4" w:space="0"/>
            </w:tcBorders>
            <w:noWrap w:val="0"/>
            <w:vAlign w:val="top"/>
          </w:tcPr>
          <w:p>
            <w:pPr>
              <w:pStyle w:val="65"/>
              <w:tabs>
                <w:tab w:val="left" w:pos="8280"/>
              </w:tabs>
              <w:spacing w:line="360" w:lineRule="auto"/>
              <w:rPr>
                <w:rStyle w:val="21"/>
                <w:rFonts w:hint="eastAsia" w:asciiTheme="minorEastAsia" w:hAnsiTheme="minorEastAsia" w:eastAsiaTheme="minorEastAsia" w:cstheme="minorEastAsia"/>
                <w:color w:val="auto"/>
                <w:kern w:val="2"/>
                <w:sz w:val="24"/>
                <w:szCs w:val="24"/>
                <w:highlight w:val="none"/>
                <w:lang w:val="en-US" w:eastAsia="zh-CN" w:bidi="ar-SA"/>
              </w:rPr>
            </w:pPr>
          </w:p>
        </w:tc>
        <w:tc>
          <w:tcPr>
            <w:tcW w:w="1259" w:type="dxa"/>
            <w:tcBorders>
              <w:top w:val="single" w:color="auto" w:sz="4" w:space="0"/>
              <w:left w:val="single" w:color="auto" w:sz="4" w:space="0"/>
              <w:bottom w:val="single" w:color="auto" w:sz="4" w:space="0"/>
              <w:right w:val="single" w:color="auto" w:sz="4" w:space="0"/>
            </w:tcBorders>
            <w:noWrap w:val="0"/>
            <w:vAlign w:val="top"/>
          </w:tcPr>
          <w:p>
            <w:pPr>
              <w:pStyle w:val="65"/>
              <w:tabs>
                <w:tab w:val="left" w:pos="8280"/>
              </w:tabs>
              <w:spacing w:line="360" w:lineRule="auto"/>
              <w:rPr>
                <w:rStyle w:val="21"/>
                <w:rFonts w:hint="eastAsia" w:asciiTheme="minorEastAsia" w:hAnsiTheme="minorEastAsia" w:eastAsiaTheme="minorEastAsia" w:cstheme="minorEastAsia"/>
                <w:color w:val="auto"/>
                <w:kern w:val="2"/>
                <w:sz w:val="24"/>
                <w:szCs w:val="24"/>
                <w:highlight w:val="none"/>
                <w:lang w:val="en-US" w:eastAsia="zh-CN" w:bidi="ar-SA"/>
              </w:rPr>
            </w:pPr>
          </w:p>
        </w:tc>
        <w:tc>
          <w:tcPr>
            <w:tcW w:w="1416" w:type="dxa"/>
            <w:tcBorders>
              <w:top w:val="single" w:color="auto" w:sz="4" w:space="0"/>
              <w:left w:val="single" w:color="auto" w:sz="4" w:space="0"/>
              <w:bottom w:val="single" w:color="auto" w:sz="4" w:space="0"/>
              <w:right w:val="single" w:color="auto" w:sz="4" w:space="0"/>
            </w:tcBorders>
            <w:noWrap w:val="0"/>
            <w:vAlign w:val="top"/>
          </w:tcPr>
          <w:p>
            <w:pPr>
              <w:pStyle w:val="65"/>
              <w:tabs>
                <w:tab w:val="left" w:pos="8280"/>
              </w:tabs>
              <w:spacing w:line="360" w:lineRule="auto"/>
              <w:rPr>
                <w:rStyle w:val="21"/>
                <w:rFonts w:hint="eastAsia" w:asciiTheme="minorEastAsia" w:hAnsiTheme="minorEastAsia" w:eastAsiaTheme="minorEastAsia" w:cstheme="minorEastAsia"/>
                <w:color w:val="auto"/>
                <w:kern w:val="2"/>
                <w:sz w:val="24"/>
                <w:szCs w:val="24"/>
                <w:highlight w:val="none"/>
                <w:lang w:val="en-US" w:eastAsia="zh-CN" w:bidi="ar-SA"/>
              </w:rPr>
            </w:pPr>
          </w:p>
        </w:tc>
        <w:tc>
          <w:tcPr>
            <w:tcW w:w="1416" w:type="dxa"/>
            <w:tcBorders>
              <w:top w:val="single" w:color="auto" w:sz="4" w:space="0"/>
              <w:left w:val="single" w:color="auto" w:sz="4" w:space="0"/>
              <w:bottom w:val="single" w:color="auto" w:sz="4" w:space="0"/>
              <w:right w:val="single" w:color="auto" w:sz="4" w:space="0"/>
            </w:tcBorders>
            <w:noWrap w:val="0"/>
            <w:vAlign w:val="top"/>
          </w:tcPr>
          <w:p>
            <w:pPr>
              <w:pStyle w:val="65"/>
              <w:tabs>
                <w:tab w:val="left" w:pos="8280"/>
              </w:tabs>
              <w:spacing w:line="360" w:lineRule="auto"/>
              <w:rPr>
                <w:rStyle w:val="21"/>
                <w:rFonts w:hint="eastAsia" w:asciiTheme="minorEastAsia" w:hAnsiTheme="minorEastAsia" w:eastAsiaTheme="minorEastAsia" w:cstheme="minorEastAsia"/>
                <w:color w:val="auto"/>
                <w:kern w:val="2"/>
                <w:sz w:val="24"/>
                <w:szCs w:val="24"/>
                <w:highlight w:val="none"/>
                <w:lang w:val="en-US" w:eastAsia="zh-CN" w:bidi="ar-SA"/>
              </w:rPr>
            </w:pPr>
          </w:p>
        </w:tc>
        <w:tc>
          <w:tcPr>
            <w:tcW w:w="1101" w:type="dxa"/>
            <w:tcBorders>
              <w:top w:val="single" w:color="auto" w:sz="4" w:space="0"/>
              <w:left w:val="single" w:color="auto" w:sz="4" w:space="0"/>
              <w:bottom w:val="single" w:color="auto" w:sz="4" w:space="0"/>
              <w:right w:val="single" w:color="auto" w:sz="4" w:space="0"/>
            </w:tcBorders>
            <w:noWrap w:val="0"/>
            <w:vAlign w:val="top"/>
          </w:tcPr>
          <w:p>
            <w:pPr>
              <w:pStyle w:val="65"/>
              <w:tabs>
                <w:tab w:val="left" w:pos="8280"/>
              </w:tabs>
              <w:spacing w:line="360" w:lineRule="auto"/>
              <w:rPr>
                <w:rStyle w:val="21"/>
                <w:rFonts w:hint="eastAsia" w:asciiTheme="minorEastAsia" w:hAnsiTheme="minorEastAsia" w:eastAsiaTheme="minorEastAsia" w:cstheme="minorEastAsia"/>
                <w:color w:val="auto"/>
                <w:kern w:val="2"/>
                <w:sz w:val="24"/>
                <w:szCs w:val="24"/>
                <w:highlight w:val="none"/>
                <w:lang w:val="en-US" w:eastAsia="zh-CN" w:bidi="ar-SA"/>
              </w:rPr>
            </w:pPr>
          </w:p>
        </w:tc>
        <w:tc>
          <w:tcPr>
            <w:tcW w:w="944" w:type="dxa"/>
            <w:tcBorders>
              <w:top w:val="single" w:color="auto" w:sz="4" w:space="0"/>
              <w:left w:val="single" w:color="auto" w:sz="4" w:space="0"/>
              <w:bottom w:val="single" w:color="auto" w:sz="4" w:space="0"/>
              <w:right w:val="single" w:color="auto" w:sz="4" w:space="0"/>
            </w:tcBorders>
            <w:noWrap w:val="0"/>
            <w:vAlign w:val="top"/>
          </w:tcPr>
          <w:p>
            <w:pPr>
              <w:pStyle w:val="65"/>
              <w:tabs>
                <w:tab w:val="left" w:pos="8280"/>
              </w:tabs>
              <w:spacing w:line="360" w:lineRule="auto"/>
              <w:rPr>
                <w:rStyle w:val="21"/>
                <w:rFonts w:hint="eastAsia" w:asciiTheme="minorEastAsia" w:hAnsiTheme="minorEastAsia" w:eastAsiaTheme="minorEastAsia" w:cstheme="minorEastAsia"/>
                <w:color w:val="auto"/>
                <w:kern w:val="2"/>
                <w:sz w:val="24"/>
                <w:szCs w:val="24"/>
                <w:highlight w:val="none"/>
                <w:lang w:val="en-US" w:eastAsia="zh-CN" w:bidi="ar-SA"/>
              </w:rPr>
            </w:pPr>
          </w:p>
        </w:tc>
        <w:tc>
          <w:tcPr>
            <w:tcW w:w="472" w:type="dxa"/>
            <w:tcBorders>
              <w:top w:val="single" w:color="auto" w:sz="4" w:space="0"/>
              <w:left w:val="single" w:color="auto" w:sz="4" w:space="0"/>
              <w:bottom w:val="single" w:color="auto" w:sz="4" w:space="0"/>
              <w:right w:val="single" w:color="auto" w:sz="4" w:space="0"/>
            </w:tcBorders>
            <w:noWrap w:val="0"/>
            <w:vAlign w:val="top"/>
          </w:tcPr>
          <w:p>
            <w:pPr>
              <w:pStyle w:val="65"/>
              <w:tabs>
                <w:tab w:val="left" w:pos="8280"/>
              </w:tabs>
              <w:spacing w:line="360" w:lineRule="auto"/>
              <w:rPr>
                <w:rStyle w:val="21"/>
                <w:rFonts w:hint="eastAsia" w:asciiTheme="minorEastAsia" w:hAnsiTheme="minorEastAsia" w:eastAsiaTheme="minorEastAsia" w:cstheme="minorEastAsia"/>
                <w:color w:val="auto"/>
                <w:kern w:val="2"/>
                <w:sz w:val="24"/>
                <w:szCs w:val="24"/>
                <w:highlight w:val="none"/>
                <w:lang w:val="en-US" w:eastAsia="zh-CN" w:bidi="ar-SA"/>
              </w:rPr>
            </w:pPr>
          </w:p>
        </w:tc>
        <w:tc>
          <w:tcPr>
            <w:tcW w:w="836" w:type="dxa"/>
            <w:tcBorders>
              <w:top w:val="single" w:color="auto" w:sz="4" w:space="0"/>
              <w:left w:val="single" w:color="auto" w:sz="4" w:space="0"/>
              <w:bottom w:val="single" w:color="auto" w:sz="4" w:space="0"/>
              <w:right w:val="single" w:color="auto" w:sz="4" w:space="0"/>
            </w:tcBorders>
            <w:noWrap w:val="0"/>
            <w:vAlign w:val="top"/>
          </w:tcPr>
          <w:p>
            <w:pPr>
              <w:pStyle w:val="65"/>
              <w:tabs>
                <w:tab w:val="left" w:pos="8280"/>
              </w:tabs>
              <w:spacing w:line="360" w:lineRule="auto"/>
              <w:rPr>
                <w:rStyle w:val="21"/>
                <w:rFonts w:hint="eastAsia" w:asciiTheme="minorEastAsia" w:hAnsiTheme="minorEastAsia" w:eastAsiaTheme="minorEastAsia" w:cstheme="minorEastAsia"/>
                <w:color w:val="auto"/>
                <w:kern w:val="2"/>
                <w:sz w:val="24"/>
                <w:szCs w:val="24"/>
                <w:highlight w:val="none"/>
                <w:lang w:val="en-US" w:eastAsia="zh-CN" w:bidi="ar-SA"/>
              </w:rPr>
            </w:pPr>
          </w:p>
        </w:tc>
        <w:tc>
          <w:tcPr>
            <w:tcW w:w="1052" w:type="dxa"/>
            <w:tcBorders>
              <w:top w:val="single" w:color="auto" w:sz="4" w:space="0"/>
              <w:left w:val="single" w:color="auto" w:sz="4" w:space="0"/>
              <w:bottom w:val="single" w:color="auto" w:sz="4" w:space="0"/>
              <w:right w:val="single" w:color="auto" w:sz="4" w:space="0"/>
            </w:tcBorders>
            <w:noWrap w:val="0"/>
            <w:vAlign w:val="top"/>
          </w:tcPr>
          <w:p>
            <w:pPr>
              <w:pStyle w:val="65"/>
              <w:tabs>
                <w:tab w:val="left" w:pos="8280"/>
              </w:tabs>
              <w:spacing w:line="360" w:lineRule="auto"/>
              <w:rPr>
                <w:rStyle w:val="21"/>
                <w:rFonts w:hint="eastAsia" w:asciiTheme="minorEastAsia" w:hAnsiTheme="minorEastAsia" w:eastAsiaTheme="minorEastAsia" w:cstheme="minorEastAsia"/>
                <w:color w:val="auto"/>
                <w:kern w:val="2"/>
                <w:sz w:val="24"/>
                <w:szCs w:val="24"/>
                <w:highlight w:val="none"/>
                <w:lang w:val="en-US" w:eastAsia="zh-CN" w:bidi="ar-SA"/>
              </w:rPr>
            </w:pPr>
          </w:p>
        </w:tc>
      </w:tr>
    </w:tbl>
    <w:p>
      <w:pPr>
        <w:pStyle w:val="66"/>
        <w:rPr>
          <w:rStyle w:val="21"/>
          <w:rFonts w:hint="eastAsia" w:asciiTheme="minorEastAsia" w:hAnsiTheme="minorEastAsia" w:eastAsiaTheme="minorEastAsia" w:cstheme="minorEastAsia"/>
          <w:color w:val="auto"/>
          <w:kern w:val="2"/>
          <w:sz w:val="24"/>
          <w:szCs w:val="24"/>
          <w:highlight w:val="none"/>
          <w:lang w:val="en-US" w:eastAsia="zh-CN" w:bidi="ar-SA"/>
        </w:rPr>
      </w:pPr>
      <w:bookmarkStart w:id="279" w:name="_Toc28204"/>
      <w:r>
        <w:rPr>
          <w:rStyle w:val="21"/>
          <w:rFonts w:hint="eastAsia" w:asciiTheme="minorEastAsia" w:hAnsiTheme="minorEastAsia" w:eastAsiaTheme="minorEastAsia" w:cstheme="minorEastAsia"/>
          <w:color w:val="auto"/>
          <w:kern w:val="2"/>
          <w:sz w:val="24"/>
          <w:szCs w:val="24"/>
          <w:highlight w:val="none"/>
          <w:lang w:val="en-US" w:eastAsia="zh-CN" w:bidi="ar-SA"/>
        </w:rPr>
        <w:t>11 开工和竣工</w:t>
      </w:r>
      <w:bookmarkEnd w:id="279"/>
    </w:p>
    <w:p>
      <w:pPr>
        <w:pStyle w:val="65"/>
        <w:tabs>
          <w:tab w:val="left" w:pos="8280"/>
        </w:tabs>
        <w:spacing w:line="360" w:lineRule="auto"/>
        <w:rPr>
          <w:rStyle w:val="21"/>
          <w:rFonts w:hint="eastAsia" w:asciiTheme="minorEastAsia" w:hAnsiTheme="minorEastAsia" w:eastAsiaTheme="minorEastAsia" w:cstheme="minorEastAsia"/>
          <w:b/>
          <w:color w:val="auto"/>
          <w:kern w:val="2"/>
          <w:sz w:val="24"/>
          <w:szCs w:val="24"/>
          <w:highlight w:val="none"/>
          <w:lang w:val="en-US" w:eastAsia="zh-CN" w:bidi="ar-SA"/>
        </w:rPr>
      </w:pPr>
      <w:r>
        <w:rPr>
          <w:rStyle w:val="21"/>
          <w:rFonts w:hint="eastAsia" w:asciiTheme="minorEastAsia" w:hAnsiTheme="minorEastAsia" w:eastAsiaTheme="minorEastAsia" w:cstheme="minorEastAsia"/>
          <w:b/>
          <w:color w:val="auto"/>
          <w:kern w:val="2"/>
          <w:sz w:val="24"/>
          <w:szCs w:val="24"/>
          <w:highlight w:val="none"/>
          <w:lang w:val="en-US" w:eastAsia="zh-CN" w:bidi="ar-SA"/>
        </w:rPr>
        <w:t>11.1开工</w:t>
      </w:r>
    </w:p>
    <w:p>
      <w:pPr>
        <w:pStyle w:val="65"/>
        <w:tabs>
          <w:tab w:val="left" w:pos="8280"/>
        </w:tabs>
        <w:spacing w:line="360" w:lineRule="auto"/>
        <w:ind w:firstLine="360" w:firstLineChars="150"/>
        <w:rPr>
          <w:rStyle w:val="21"/>
          <w:rFonts w:hint="eastAsia" w:asciiTheme="minorEastAsia" w:hAnsiTheme="minorEastAsia" w:eastAsiaTheme="minorEastAsia" w:cstheme="minorEastAsia"/>
          <w:color w:val="auto"/>
          <w:kern w:val="2"/>
          <w:sz w:val="24"/>
          <w:szCs w:val="24"/>
          <w:highlight w:val="none"/>
          <w:lang w:val="en-US" w:eastAsia="zh-CN" w:bidi="ar-SA"/>
        </w:rPr>
      </w:pPr>
      <w:r>
        <w:rPr>
          <w:rStyle w:val="21"/>
          <w:rFonts w:hint="eastAsia" w:asciiTheme="minorEastAsia" w:hAnsiTheme="minorEastAsia" w:eastAsiaTheme="minorEastAsia" w:cstheme="minorEastAsia"/>
          <w:color w:val="auto"/>
          <w:kern w:val="2"/>
          <w:sz w:val="24"/>
          <w:szCs w:val="24"/>
          <w:highlight w:val="none"/>
          <w:lang w:val="en-US" w:eastAsia="zh-CN" w:bidi="ar-SA"/>
        </w:rPr>
        <w:t xml:space="preserve">11.1.1监理人应在开工日期7天前向承包人发出开工通知。监理人在发出开工通知前应获得发包人同意。工期自监理人发出的开工通知中载明的开工日期起计算。承包人应在开工日期后尽快施工。   </w:t>
      </w:r>
    </w:p>
    <w:p>
      <w:pPr>
        <w:pStyle w:val="65"/>
        <w:tabs>
          <w:tab w:val="left" w:pos="8280"/>
        </w:tabs>
        <w:spacing w:line="360" w:lineRule="auto"/>
        <w:ind w:firstLine="360" w:firstLineChars="150"/>
        <w:rPr>
          <w:rStyle w:val="21"/>
          <w:rFonts w:hint="eastAsia" w:asciiTheme="minorEastAsia" w:hAnsiTheme="minorEastAsia" w:eastAsiaTheme="minorEastAsia" w:cstheme="minorEastAsia"/>
          <w:color w:val="auto"/>
          <w:kern w:val="2"/>
          <w:sz w:val="24"/>
          <w:szCs w:val="24"/>
          <w:highlight w:val="none"/>
          <w:lang w:val="en-US" w:eastAsia="zh-CN" w:bidi="ar-SA"/>
        </w:rPr>
      </w:pPr>
      <w:r>
        <w:rPr>
          <w:rStyle w:val="21"/>
          <w:rFonts w:hint="eastAsia" w:asciiTheme="minorEastAsia" w:hAnsiTheme="minorEastAsia" w:eastAsiaTheme="minorEastAsia" w:cstheme="minorEastAsia"/>
          <w:color w:val="auto"/>
          <w:kern w:val="2"/>
          <w:sz w:val="24"/>
          <w:szCs w:val="24"/>
          <w:highlight w:val="none"/>
          <w:lang w:val="en-US" w:eastAsia="zh-CN" w:bidi="ar-SA"/>
        </w:rPr>
        <w:t>11.1.2承包人应按第10.1款约定的合同进度计划，向监理人提交工程开工报审表，经监理人审批后执行。开工报审表应详细说明按合同进度计划正常施工所需的施工道路、临时设施、材料设备、施工人员等施工组织措施的落实情况以及工程的进度安排。</w:t>
      </w:r>
    </w:p>
    <w:p>
      <w:pPr>
        <w:pStyle w:val="65"/>
        <w:tabs>
          <w:tab w:val="left" w:pos="8280"/>
        </w:tabs>
        <w:spacing w:line="360" w:lineRule="auto"/>
        <w:ind w:firstLine="360" w:firstLineChars="150"/>
        <w:rPr>
          <w:rStyle w:val="21"/>
          <w:rFonts w:hint="eastAsia" w:asciiTheme="minorEastAsia" w:hAnsiTheme="minorEastAsia" w:eastAsiaTheme="minorEastAsia" w:cstheme="minorEastAsia"/>
          <w:color w:val="auto"/>
          <w:kern w:val="2"/>
          <w:sz w:val="24"/>
          <w:szCs w:val="24"/>
          <w:highlight w:val="none"/>
          <w:lang w:val="en-US" w:eastAsia="zh-CN" w:bidi="ar-SA"/>
        </w:rPr>
      </w:pPr>
      <w:r>
        <w:rPr>
          <w:rStyle w:val="21"/>
          <w:rFonts w:hint="eastAsia" w:asciiTheme="minorEastAsia" w:hAnsiTheme="minorEastAsia" w:eastAsiaTheme="minorEastAsia" w:cstheme="minorEastAsia"/>
          <w:color w:val="auto"/>
          <w:kern w:val="2"/>
          <w:sz w:val="24"/>
          <w:szCs w:val="24"/>
          <w:highlight w:val="none"/>
          <w:lang w:val="en-US" w:eastAsia="zh-CN" w:bidi="ar-SA"/>
        </w:rPr>
        <w:t>11.1.3若发包人未能按合同约定向承包人提供开工的必要条件，承包人有权要求延长工期。监理人应在收到承包人的书面要求后，按第3.5款的约定，与合同双方商定或确定增加的费用和延长的工期。</w:t>
      </w:r>
    </w:p>
    <w:p>
      <w:pPr>
        <w:pStyle w:val="65"/>
        <w:tabs>
          <w:tab w:val="left" w:pos="8280"/>
        </w:tabs>
        <w:spacing w:line="360" w:lineRule="auto"/>
        <w:ind w:firstLine="360" w:firstLineChars="150"/>
        <w:rPr>
          <w:rStyle w:val="21"/>
          <w:rFonts w:hint="eastAsia" w:asciiTheme="minorEastAsia" w:hAnsiTheme="minorEastAsia" w:eastAsiaTheme="minorEastAsia" w:cstheme="minorEastAsia"/>
          <w:color w:val="auto"/>
          <w:kern w:val="2"/>
          <w:sz w:val="24"/>
          <w:szCs w:val="24"/>
          <w:highlight w:val="none"/>
          <w:lang w:val="en-US" w:eastAsia="zh-CN" w:bidi="ar-SA"/>
        </w:rPr>
      </w:pPr>
      <w:r>
        <w:rPr>
          <w:rStyle w:val="21"/>
          <w:rFonts w:hint="eastAsia" w:asciiTheme="minorEastAsia" w:hAnsiTheme="minorEastAsia" w:eastAsiaTheme="minorEastAsia" w:cstheme="minorEastAsia"/>
          <w:color w:val="auto"/>
          <w:kern w:val="2"/>
          <w:sz w:val="24"/>
          <w:szCs w:val="24"/>
          <w:highlight w:val="none"/>
          <w:lang w:val="en-US" w:eastAsia="zh-CN" w:bidi="ar-SA"/>
        </w:rPr>
        <w:t>11.1.4承包人在接到开工通知后14天内未按进度计划要求及时进场组织施工，监理人可通知承包人在接到通知后7天内提交一份说明其进场延误的书面报告，报送监理人。书面报告应说明不能及时进场的原因和补救措施，由此增加的费用和工期延误责任由承包人承担。</w:t>
      </w:r>
    </w:p>
    <w:p>
      <w:pPr>
        <w:pStyle w:val="65"/>
        <w:tabs>
          <w:tab w:val="left" w:pos="8280"/>
        </w:tabs>
        <w:spacing w:line="360" w:lineRule="auto"/>
        <w:rPr>
          <w:rStyle w:val="21"/>
          <w:rFonts w:hint="eastAsia" w:asciiTheme="minorEastAsia" w:hAnsiTheme="minorEastAsia" w:eastAsiaTheme="minorEastAsia" w:cstheme="minorEastAsia"/>
          <w:color w:val="auto"/>
          <w:kern w:val="2"/>
          <w:sz w:val="24"/>
          <w:szCs w:val="24"/>
          <w:highlight w:val="none"/>
          <w:lang w:val="en-US" w:eastAsia="zh-CN" w:bidi="ar-SA"/>
        </w:rPr>
      </w:pPr>
      <w:r>
        <w:rPr>
          <w:rStyle w:val="21"/>
          <w:rFonts w:hint="eastAsia" w:asciiTheme="minorEastAsia" w:hAnsiTheme="minorEastAsia" w:eastAsiaTheme="minorEastAsia" w:cstheme="minorEastAsia"/>
          <w:b/>
          <w:color w:val="auto"/>
          <w:kern w:val="2"/>
          <w:sz w:val="24"/>
          <w:szCs w:val="24"/>
          <w:highlight w:val="none"/>
          <w:lang w:val="en-US" w:eastAsia="zh-CN" w:bidi="ar-SA"/>
        </w:rPr>
        <w:t>11.2竣工(完工)</w:t>
      </w:r>
    </w:p>
    <w:p>
      <w:pPr>
        <w:pStyle w:val="65"/>
        <w:tabs>
          <w:tab w:val="left" w:pos="8280"/>
        </w:tabs>
        <w:spacing w:line="360" w:lineRule="auto"/>
        <w:ind w:firstLine="360" w:firstLineChars="150"/>
        <w:rPr>
          <w:rStyle w:val="21"/>
          <w:rFonts w:hint="eastAsia" w:asciiTheme="minorEastAsia" w:hAnsiTheme="minorEastAsia" w:eastAsiaTheme="minorEastAsia" w:cstheme="minorEastAsia"/>
          <w:color w:val="auto"/>
          <w:kern w:val="2"/>
          <w:sz w:val="24"/>
          <w:szCs w:val="24"/>
          <w:highlight w:val="none"/>
          <w:lang w:val="en-US" w:eastAsia="zh-CN" w:bidi="ar-SA"/>
        </w:rPr>
      </w:pPr>
      <w:r>
        <w:rPr>
          <w:rStyle w:val="21"/>
          <w:rFonts w:hint="eastAsia" w:asciiTheme="minorEastAsia" w:hAnsiTheme="minorEastAsia" w:eastAsiaTheme="minorEastAsia" w:cstheme="minorEastAsia"/>
          <w:color w:val="auto"/>
          <w:kern w:val="2"/>
          <w:sz w:val="24"/>
          <w:szCs w:val="24"/>
          <w:highlight w:val="none"/>
          <w:lang w:val="en-US" w:eastAsia="zh-CN" w:bidi="ar-SA"/>
        </w:rPr>
        <w:t xml:space="preserve">承包人应在第1.1.4.3目约定的期限内完成合同工程。合同工程实际完工日期在合同工程完工证书中明确。   </w:t>
      </w:r>
    </w:p>
    <w:p>
      <w:pPr>
        <w:pStyle w:val="65"/>
        <w:tabs>
          <w:tab w:val="left" w:pos="8280"/>
        </w:tabs>
        <w:spacing w:line="360" w:lineRule="auto"/>
        <w:rPr>
          <w:rStyle w:val="21"/>
          <w:rFonts w:hint="eastAsia" w:asciiTheme="minorEastAsia" w:hAnsiTheme="minorEastAsia" w:eastAsiaTheme="minorEastAsia" w:cstheme="minorEastAsia"/>
          <w:b/>
          <w:color w:val="auto"/>
          <w:kern w:val="2"/>
          <w:sz w:val="24"/>
          <w:szCs w:val="24"/>
          <w:highlight w:val="none"/>
          <w:lang w:val="en-US" w:eastAsia="zh-CN" w:bidi="ar-SA"/>
        </w:rPr>
      </w:pPr>
      <w:r>
        <w:rPr>
          <w:rStyle w:val="21"/>
          <w:rFonts w:hint="eastAsia" w:asciiTheme="minorEastAsia" w:hAnsiTheme="minorEastAsia" w:eastAsiaTheme="minorEastAsia" w:cstheme="minorEastAsia"/>
          <w:b/>
          <w:color w:val="auto"/>
          <w:kern w:val="2"/>
          <w:sz w:val="24"/>
          <w:szCs w:val="24"/>
          <w:highlight w:val="none"/>
          <w:lang w:val="en-US" w:eastAsia="zh-CN" w:bidi="ar-SA"/>
        </w:rPr>
        <w:t>11.3发包人的工期延误</w:t>
      </w:r>
    </w:p>
    <w:p>
      <w:pPr>
        <w:pStyle w:val="65"/>
        <w:tabs>
          <w:tab w:val="left" w:pos="8280"/>
        </w:tabs>
        <w:spacing w:line="360" w:lineRule="auto"/>
        <w:ind w:firstLine="360" w:firstLineChars="150"/>
        <w:rPr>
          <w:rStyle w:val="21"/>
          <w:rFonts w:hint="eastAsia" w:asciiTheme="minorEastAsia" w:hAnsiTheme="minorEastAsia" w:eastAsiaTheme="minorEastAsia" w:cstheme="minorEastAsia"/>
          <w:color w:val="auto"/>
          <w:kern w:val="2"/>
          <w:sz w:val="24"/>
          <w:szCs w:val="24"/>
          <w:highlight w:val="none"/>
          <w:lang w:val="en-US" w:eastAsia="zh-CN" w:bidi="ar-SA"/>
        </w:rPr>
      </w:pPr>
      <w:r>
        <w:rPr>
          <w:rStyle w:val="21"/>
          <w:rFonts w:hint="eastAsia" w:asciiTheme="minorEastAsia" w:hAnsiTheme="minorEastAsia" w:eastAsiaTheme="minorEastAsia" w:cstheme="minorEastAsia"/>
          <w:color w:val="auto"/>
          <w:kern w:val="2"/>
          <w:sz w:val="24"/>
          <w:szCs w:val="24"/>
          <w:highlight w:val="none"/>
          <w:lang w:val="en-US" w:eastAsia="zh-CN" w:bidi="ar-SA"/>
        </w:rPr>
        <w:t>在履行合同过程中，由于发包人的下列原因造成工期延误的，承包人有权要求发包人延长工期和(或)增加费用，并支付合理利润。需要修订合同进度计划的，按照第10.2款的约定办理。</w:t>
      </w:r>
    </w:p>
    <w:p>
      <w:pPr>
        <w:pStyle w:val="65"/>
        <w:tabs>
          <w:tab w:val="left" w:pos="8280"/>
        </w:tabs>
        <w:spacing w:line="360" w:lineRule="auto"/>
        <w:ind w:firstLine="360" w:firstLineChars="150"/>
        <w:rPr>
          <w:rStyle w:val="21"/>
          <w:rFonts w:hint="eastAsia" w:asciiTheme="minorEastAsia" w:hAnsiTheme="minorEastAsia" w:eastAsiaTheme="minorEastAsia" w:cstheme="minorEastAsia"/>
          <w:color w:val="auto"/>
          <w:kern w:val="2"/>
          <w:sz w:val="24"/>
          <w:szCs w:val="24"/>
          <w:highlight w:val="none"/>
          <w:lang w:val="en-US" w:eastAsia="zh-CN" w:bidi="ar-SA"/>
        </w:rPr>
      </w:pPr>
      <w:r>
        <w:rPr>
          <w:rStyle w:val="21"/>
          <w:rFonts w:hint="eastAsia" w:asciiTheme="minorEastAsia" w:hAnsiTheme="minorEastAsia" w:eastAsiaTheme="minorEastAsia" w:cstheme="minorEastAsia"/>
          <w:color w:val="auto"/>
          <w:kern w:val="2"/>
          <w:sz w:val="24"/>
          <w:szCs w:val="24"/>
          <w:highlight w:val="none"/>
          <w:lang w:val="en-US" w:eastAsia="zh-CN" w:bidi="ar-SA"/>
        </w:rPr>
        <w:t>(1)增加合同工作内容；</w:t>
      </w:r>
    </w:p>
    <w:p>
      <w:pPr>
        <w:pStyle w:val="65"/>
        <w:tabs>
          <w:tab w:val="left" w:pos="8280"/>
        </w:tabs>
        <w:spacing w:line="360" w:lineRule="auto"/>
        <w:ind w:firstLine="360" w:firstLineChars="150"/>
        <w:rPr>
          <w:rStyle w:val="21"/>
          <w:rFonts w:hint="eastAsia" w:asciiTheme="minorEastAsia" w:hAnsiTheme="minorEastAsia" w:eastAsiaTheme="minorEastAsia" w:cstheme="minorEastAsia"/>
          <w:color w:val="auto"/>
          <w:kern w:val="2"/>
          <w:sz w:val="24"/>
          <w:szCs w:val="24"/>
          <w:highlight w:val="none"/>
          <w:lang w:val="en-US" w:eastAsia="zh-CN" w:bidi="ar-SA"/>
        </w:rPr>
      </w:pPr>
      <w:r>
        <w:rPr>
          <w:rStyle w:val="21"/>
          <w:rFonts w:hint="eastAsia" w:asciiTheme="minorEastAsia" w:hAnsiTheme="minorEastAsia" w:eastAsiaTheme="minorEastAsia" w:cstheme="minorEastAsia"/>
          <w:color w:val="auto"/>
          <w:kern w:val="2"/>
          <w:sz w:val="24"/>
          <w:szCs w:val="24"/>
          <w:highlight w:val="none"/>
          <w:lang w:val="en-US" w:eastAsia="zh-CN" w:bidi="ar-SA"/>
        </w:rPr>
        <w:t>(2)改变合同中任何一项工作的质量要求或其他特性；</w:t>
      </w:r>
    </w:p>
    <w:p>
      <w:pPr>
        <w:pStyle w:val="65"/>
        <w:tabs>
          <w:tab w:val="left" w:pos="8280"/>
        </w:tabs>
        <w:spacing w:line="360" w:lineRule="auto"/>
        <w:ind w:firstLine="360" w:firstLineChars="150"/>
        <w:rPr>
          <w:rStyle w:val="21"/>
          <w:rFonts w:hint="eastAsia" w:asciiTheme="minorEastAsia" w:hAnsiTheme="minorEastAsia" w:eastAsiaTheme="minorEastAsia" w:cstheme="minorEastAsia"/>
          <w:color w:val="auto"/>
          <w:kern w:val="2"/>
          <w:sz w:val="24"/>
          <w:szCs w:val="24"/>
          <w:highlight w:val="none"/>
          <w:lang w:val="en-US" w:eastAsia="zh-CN" w:bidi="ar-SA"/>
        </w:rPr>
      </w:pPr>
      <w:r>
        <w:rPr>
          <w:rStyle w:val="21"/>
          <w:rFonts w:hint="eastAsia" w:asciiTheme="minorEastAsia" w:hAnsiTheme="minorEastAsia" w:eastAsiaTheme="minorEastAsia" w:cstheme="minorEastAsia"/>
          <w:color w:val="auto"/>
          <w:kern w:val="2"/>
          <w:sz w:val="24"/>
          <w:szCs w:val="24"/>
          <w:highlight w:val="none"/>
          <w:lang w:val="en-US" w:eastAsia="zh-CN" w:bidi="ar-SA"/>
        </w:rPr>
        <w:t>(3)发包人迟延提供材料、工程设备或变更交货地点的；</w:t>
      </w:r>
    </w:p>
    <w:p>
      <w:pPr>
        <w:pStyle w:val="65"/>
        <w:tabs>
          <w:tab w:val="left" w:pos="8280"/>
        </w:tabs>
        <w:spacing w:line="360" w:lineRule="auto"/>
        <w:ind w:firstLine="360" w:firstLineChars="150"/>
        <w:rPr>
          <w:rStyle w:val="21"/>
          <w:rFonts w:hint="eastAsia" w:asciiTheme="minorEastAsia" w:hAnsiTheme="minorEastAsia" w:eastAsiaTheme="minorEastAsia" w:cstheme="minorEastAsia"/>
          <w:color w:val="auto"/>
          <w:kern w:val="2"/>
          <w:sz w:val="24"/>
          <w:szCs w:val="24"/>
          <w:highlight w:val="none"/>
          <w:lang w:val="en-US" w:eastAsia="zh-CN" w:bidi="ar-SA"/>
        </w:rPr>
      </w:pPr>
      <w:r>
        <w:rPr>
          <w:rStyle w:val="21"/>
          <w:rFonts w:hint="eastAsia" w:asciiTheme="minorEastAsia" w:hAnsiTheme="minorEastAsia" w:eastAsiaTheme="minorEastAsia" w:cstheme="minorEastAsia"/>
          <w:color w:val="auto"/>
          <w:kern w:val="2"/>
          <w:sz w:val="24"/>
          <w:szCs w:val="24"/>
          <w:highlight w:val="none"/>
          <w:lang w:val="en-US" w:eastAsia="zh-CN" w:bidi="ar-SA"/>
        </w:rPr>
        <w:t>(4)因发包人原因导致的暂停施工；</w:t>
      </w:r>
    </w:p>
    <w:p>
      <w:pPr>
        <w:pStyle w:val="65"/>
        <w:tabs>
          <w:tab w:val="left" w:pos="8280"/>
        </w:tabs>
        <w:spacing w:line="360" w:lineRule="auto"/>
        <w:ind w:firstLine="360" w:firstLineChars="150"/>
        <w:rPr>
          <w:rStyle w:val="21"/>
          <w:rFonts w:hint="eastAsia" w:asciiTheme="minorEastAsia" w:hAnsiTheme="minorEastAsia" w:eastAsiaTheme="minorEastAsia" w:cstheme="minorEastAsia"/>
          <w:color w:val="auto"/>
          <w:kern w:val="2"/>
          <w:sz w:val="24"/>
          <w:szCs w:val="24"/>
          <w:highlight w:val="none"/>
          <w:lang w:val="en-US" w:eastAsia="zh-CN" w:bidi="ar-SA"/>
        </w:rPr>
      </w:pPr>
      <w:r>
        <w:rPr>
          <w:rStyle w:val="21"/>
          <w:rFonts w:hint="eastAsia" w:asciiTheme="minorEastAsia" w:hAnsiTheme="minorEastAsia" w:eastAsiaTheme="minorEastAsia" w:cstheme="minorEastAsia"/>
          <w:color w:val="auto"/>
          <w:kern w:val="2"/>
          <w:sz w:val="24"/>
          <w:szCs w:val="24"/>
          <w:highlight w:val="none"/>
          <w:lang w:val="en-US" w:eastAsia="zh-CN" w:bidi="ar-SA"/>
        </w:rPr>
        <w:t>(5)提供图纸延误；</w:t>
      </w:r>
    </w:p>
    <w:p>
      <w:pPr>
        <w:pStyle w:val="65"/>
        <w:tabs>
          <w:tab w:val="left" w:pos="8280"/>
        </w:tabs>
        <w:spacing w:line="360" w:lineRule="auto"/>
        <w:ind w:firstLine="360" w:firstLineChars="150"/>
        <w:rPr>
          <w:rStyle w:val="21"/>
          <w:rFonts w:hint="eastAsia" w:asciiTheme="minorEastAsia" w:hAnsiTheme="minorEastAsia" w:eastAsiaTheme="minorEastAsia" w:cstheme="minorEastAsia"/>
          <w:color w:val="auto"/>
          <w:kern w:val="2"/>
          <w:sz w:val="24"/>
          <w:szCs w:val="24"/>
          <w:highlight w:val="none"/>
          <w:lang w:val="en-US" w:eastAsia="zh-CN" w:bidi="ar-SA"/>
        </w:rPr>
      </w:pPr>
      <w:r>
        <w:rPr>
          <w:rStyle w:val="21"/>
          <w:rFonts w:hint="eastAsia" w:asciiTheme="minorEastAsia" w:hAnsiTheme="minorEastAsia" w:eastAsiaTheme="minorEastAsia" w:cstheme="minorEastAsia"/>
          <w:color w:val="auto"/>
          <w:kern w:val="2"/>
          <w:sz w:val="24"/>
          <w:szCs w:val="24"/>
          <w:highlight w:val="none"/>
          <w:lang w:val="en-US" w:eastAsia="zh-CN" w:bidi="ar-SA"/>
        </w:rPr>
        <w:t>(6)未按合同约定及时支付预付款、进度款；</w:t>
      </w:r>
    </w:p>
    <w:p>
      <w:pPr>
        <w:pStyle w:val="65"/>
        <w:tabs>
          <w:tab w:val="left" w:pos="8280"/>
        </w:tabs>
        <w:spacing w:line="360" w:lineRule="auto"/>
        <w:ind w:firstLine="360" w:firstLineChars="150"/>
        <w:rPr>
          <w:rStyle w:val="21"/>
          <w:rFonts w:hint="eastAsia" w:asciiTheme="minorEastAsia" w:hAnsiTheme="minorEastAsia" w:eastAsiaTheme="minorEastAsia" w:cstheme="minorEastAsia"/>
          <w:color w:val="auto"/>
          <w:kern w:val="2"/>
          <w:sz w:val="24"/>
          <w:szCs w:val="24"/>
          <w:highlight w:val="none"/>
          <w:lang w:val="en-US" w:eastAsia="zh-CN" w:bidi="ar-SA"/>
        </w:rPr>
      </w:pPr>
      <w:r>
        <w:rPr>
          <w:rStyle w:val="21"/>
          <w:rFonts w:hint="eastAsia" w:asciiTheme="minorEastAsia" w:hAnsiTheme="minorEastAsia" w:eastAsiaTheme="minorEastAsia" w:cstheme="minorEastAsia"/>
          <w:color w:val="auto"/>
          <w:kern w:val="2"/>
          <w:sz w:val="24"/>
          <w:szCs w:val="24"/>
          <w:highlight w:val="none"/>
          <w:lang w:val="en-US" w:eastAsia="zh-CN" w:bidi="ar-SA"/>
        </w:rPr>
        <w:t>(7)发包人造成工期延误的其他原因。</w:t>
      </w:r>
    </w:p>
    <w:p>
      <w:pPr>
        <w:pStyle w:val="65"/>
        <w:tabs>
          <w:tab w:val="left" w:pos="8280"/>
        </w:tabs>
        <w:spacing w:line="360" w:lineRule="auto"/>
        <w:rPr>
          <w:rStyle w:val="21"/>
          <w:rFonts w:hint="eastAsia" w:asciiTheme="minorEastAsia" w:hAnsiTheme="minorEastAsia" w:eastAsiaTheme="minorEastAsia" w:cstheme="minorEastAsia"/>
          <w:b/>
          <w:color w:val="auto"/>
          <w:kern w:val="2"/>
          <w:sz w:val="24"/>
          <w:szCs w:val="24"/>
          <w:highlight w:val="none"/>
          <w:lang w:val="en-US" w:eastAsia="zh-CN" w:bidi="ar-SA"/>
        </w:rPr>
      </w:pPr>
      <w:r>
        <w:rPr>
          <w:rStyle w:val="21"/>
          <w:rFonts w:hint="eastAsia" w:asciiTheme="minorEastAsia" w:hAnsiTheme="minorEastAsia" w:eastAsiaTheme="minorEastAsia" w:cstheme="minorEastAsia"/>
          <w:b/>
          <w:color w:val="auto"/>
          <w:kern w:val="2"/>
          <w:sz w:val="24"/>
          <w:szCs w:val="24"/>
          <w:highlight w:val="none"/>
          <w:lang w:val="en-US" w:eastAsia="zh-CN" w:bidi="ar-SA"/>
        </w:rPr>
        <w:t>11.4异常恶劣的气候条件</w:t>
      </w:r>
    </w:p>
    <w:p>
      <w:pPr>
        <w:pStyle w:val="65"/>
        <w:tabs>
          <w:tab w:val="left" w:pos="8280"/>
        </w:tabs>
        <w:spacing w:line="360" w:lineRule="auto"/>
        <w:ind w:firstLine="360" w:firstLineChars="150"/>
        <w:rPr>
          <w:rStyle w:val="21"/>
          <w:rFonts w:hint="eastAsia" w:asciiTheme="minorEastAsia" w:hAnsiTheme="minorEastAsia" w:eastAsiaTheme="minorEastAsia" w:cstheme="minorEastAsia"/>
          <w:color w:val="auto"/>
          <w:kern w:val="2"/>
          <w:sz w:val="24"/>
          <w:szCs w:val="24"/>
          <w:highlight w:val="none"/>
          <w:lang w:val="en-US" w:eastAsia="zh-CN" w:bidi="ar-SA"/>
        </w:rPr>
      </w:pPr>
      <w:r>
        <w:rPr>
          <w:rStyle w:val="21"/>
          <w:rFonts w:hint="eastAsia" w:asciiTheme="minorEastAsia" w:hAnsiTheme="minorEastAsia" w:eastAsiaTheme="minorEastAsia" w:cstheme="minorEastAsia"/>
          <w:color w:val="auto"/>
          <w:kern w:val="2"/>
          <w:sz w:val="24"/>
          <w:szCs w:val="24"/>
          <w:highlight w:val="none"/>
          <w:lang w:val="en-US" w:eastAsia="zh-CN" w:bidi="ar-SA"/>
        </w:rPr>
        <w:t>11.4.1当工程所在地发生危及施工安全的异常恶劣气候时，发包人和承包人应按本合同通用合同条款第12条的约定，及时采取暂停施工或部分暂停施工措施。异常恶劣气候条件解除后，承包人应及时安排复工。</w:t>
      </w:r>
    </w:p>
    <w:p>
      <w:pPr>
        <w:pStyle w:val="65"/>
        <w:tabs>
          <w:tab w:val="left" w:pos="8280"/>
        </w:tabs>
        <w:spacing w:line="360" w:lineRule="auto"/>
        <w:ind w:firstLine="360" w:firstLineChars="150"/>
        <w:rPr>
          <w:rStyle w:val="21"/>
          <w:rFonts w:hint="eastAsia" w:asciiTheme="minorEastAsia" w:hAnsiTheme="minorEastAsia" w:eastAsiaTheme="minorEastAsia" w:cstheme="minorEastAsia"/>
          <w:color w:val="auto"/>
          <w:kern w:val="2"/>
          <w:sz w:val="24"/>
          <w:szCs w:val="24"/>
          <w:highlight w:val="none"/>
          <w:lang w:val="en-US" w:eastAsia="zh-CN" w:bidi="ar-SA"/>
        </w:rPr>
      </w:pPr>
      <w:r>
        <w:rPr>
          <w:rStyle w:val="21"/>
          <w:rFonts w:hint="eastAsia" w:asciiTheme="minorEastAsia" w:hAnsiTheme="minorEastAsia" w:eastAsiaTheme="minorEastAsia" w:cstheme="minorEastAsia"/>
          <w:color w:val="auto"/>
          <w:kern w:val="2"/>
          <w:sz w:val="24"/>
          <w:szCs w:val="24"/>
          <w:highlight w:val="none"/>
          <w:lang w:val="en-US" w:eastAsia="zh-CN" w:bidi="ar-SA"/>
        </w:rPr>
        <w:t xml:space="preserve">11.4.2异常恶劣气候条件造成的工期延误和工程损坏，应由发包人与承包人参照本合同通用合同条款第21.3款的约定协商处理。  </w:t>
      </w:r>
    </w:p>
    <w:p>
      <w:pPr>
        <w:pStyle w:val="65"/>
        <w:tabs>
          <w:tab w:val="left" w:pos="8280"/>
        </w:tabs>
        <w:spacing w:line="360" w:lineRule="auto"/>
        <w:ind w:firstLine="360" w:firstLineChars="150"/>
        <w:rPr>
          <w:rStyle w:val="21"/>
          <w:rFonts w:hint="eastAsia" w:asciiTheme="minorEastAsia" w:hAnsiTheme="minorEastAsia" w:eastAsiaTheme="minorEastAsia" w:cstheme="minorEastAsia"/>
          <w:color w:val="auto"/>
          <w:kern w:val="2"/>
          <w:sz w:val="24"/>
          <w:szCs w:val="24"/>
          <w:highlight w:val="none"/>
          <w:lang w:val="en-US" w:eastAsia="zh-CN" w:bidi="ar-SA"/>
        </w:rPr>
      </w:pPr>
      <w:r>
        <w:rPr>
          <w:rStyle w:val="21"/>
          <w:rFonts w:hint="eastAsia" w:asciiTheme="minorEastAsia" w:hAnsiTheme="minorEastAsia" w:eastAsiaTheme="minorEastAsia" w:cstheme="minorEastAsia"/>
          <w:color w:val="auto"/>
          <w:kern w:val="2"/>
          <w:sz w:val="24"/>
          <w:szCs w:val="24"/>
          <w:highlight w:val="none"/>
          <w:lang w:val="en-US" w:eastAsia="zh-CN" w:bidi="ar-SA"/>
        </w:rPr>
        <w:t>11.4.3本合同工程界定异常恶劣气候条件的范围在专用合同条款中约定。</w:t>
      </w:r>
    </w:p>
    <w:p>
      <w:pPr>
        <w:pStyle w:val="65"/>
        <w:tabs>
          <w:tab w:val="left" w:pos="8280"/>
        </w:tabs>
        <w:spacing w:line="360" w:lineRule="auto"/>
        <w:rPr>
          <w:rStyle w:val="21"/>
          <w:rFonts w:hint="eastAsia" w:asciiTheme="minorEastAsia" w:hAnsiTheme="minorEastAsia" w:eastAsiaTheme="minorEastAsia" w:cstheme="minorEastAsia"/>
          <w:b/>
          <w:color w:val="auto"/>
          <w:kern w:val="2"/>
          <w:sz w:val="24"/>
          <w:szCs w:val="24"/>
          <w:highlight w:val="none"/>
          <w:lang w:val="en-US" w:eastAsia="zh-CN" w:bidi="ar-SA"/>
        </w:rPr>
      </w:pPr>
      <w:r>
        <w:rPr>
          <w:rStyle w:val="21"/>
          <w:rFonts w:hint="eastAsia" w:asciiTheme="minorEastAsia" w:hAnsiTheme="minorEastAsia" w:eastAsiaTheme="minorEastAsia" w:cstheme="minorEastAsia"/>
          <w:b/>
          <w:color w:val="auto"/>
          <w:kern w:val="2"/>
          <w:sz w:val="24"/>
          <w:szCs w:val="24"/>
          <w:highlight w:val="none"/>
          <w:lang w:val="en-US" w:eastAsia="zh-CN" w:bidi="ar-SA"/>
        </w:rPr>
        <w:t xml:space="preserve">11.5承包人的工期延误   </w:t>
      </w:r>
    </w:p>
    <w:p>
      <w:pPr>
        <w:pStyle w:val="65"/>
        <w:tabs>
          <w:tab w:val="left" w:pos="8280"/>
        </w:tabs>
        <w:spacing w:line="360" w:lineRule="auto"/>
        <w:ind w:firstLine="360" w:firstLineChars="150"/>
        <w:rPr>
          <w:rStyle w:val="21"/>
          <w:rFonts w:hint="eastAsia" w:asciiTheme="minorEastAsia" w:hAnsiTheme="minorEastAsia" w:eastAsiaTheme="minorEastAsia" w:cstheme="minorEastAsia"/>
          <w:color w:val="auto"/>
          <w:kern w:val="2"/>
          <w:sz w:val="24"/>
          <w:szCs w:val="24"/>
          <w:highlight w:val="none"/>
          <w:lang w:val="en-US" w:eastAsia="zh-CN" w:bidi="ar-SA"/>
        </w:rPr>
      </w:pPr>
      <w:r>
        <w:rPr>
          <w:rStyle w:val="21"/>
          <w:rFonts w:hint="eastAsia" w:asciiTheme="minorEastAsia" w:hAnsiTheme="minorEastAsia" w:eastAsiaTheme="minorEastAsia" w:cstheme="minorEastAsia"/>
          <w:color w:val="auto"/>
          <w:kern w:val="2"/>
          <w:sz w:val="24"/>
          <w:szCs w:val="24"/>
          <w:highlight w:val="none"/>
          <w:lang w:val="en-US" w:eastAsia="zh-CN" w:bidi="ar-SA"/>
        </w:rPr>
        <w:t>由于承包人原因，未能按合同进度计划完成工作，或监理人认为承包人施工进度不能满足合同工期要求的，承包人应采取措施加快进度，并承担加快进度所增加的费用。由于承包人原因造成工期延误，承包人应支付逾期竣工违约金。逾期竣工违约金的计算方法在专用合同条款中约定。承包人支付逾期竣工违约金，不免除承包人完成工程及修补缺陷的义务。</w:t>
      </w:r>
    </w:p>
    <w:p>
      <w:pPr>
        <w:pStyle w:val="66"/>
        <w:rPr>
          <w:rStyle w:val="21"/>
          <w:rFonts w:hint="eastAsia" w:asciiTheme="minorEastAsia" w:hAnsiTheme="minorEastAsia" w:eastAsiaTheme="minorEastAsia" w:cstheme="minorEastAsia"/>
          <w:color w:val="auto"/>
          <w:kern w:val="2"/>
          <w:sz w:val="24"/>
          <w:szCs w:val="24"/>
          <w:highlight w:val="none"/>
          <w:lang w:val="en-US" w:eastAsia="zh-CN" w:bidi="ar-SA"/>
        </w:rPr>
      </w:pPr>
      <w:bookmarkStart w:id="280" w:name="_Toc26077"/>
      <w:r>
        <w:rPr>
          <w:rStyle w:val="21"/>
          <w:rFonts w:hint="eastAsia" w:asciiTheme="minorEastAsia" w:hAnsiTheme="minorEastAsia" w:eastAsiaTheme="minorEastAsia" w:cstheme="minorEastAsia"/>
          <w:color w:val="auto"/>
          <w:kern w:val="2"/>
          <w:sz w:val="24"/>
          <w:szCs w:val="24"/>
          <w:highlight w:val="none"/>
          <w:lang w:val="en-US" w:eastAsia="zh-CN" w:bidi="ar-SA"/>
        </w:rPr>
        <w:t>12 暂停施工</w:t>
      </w:r>
      <w:bookmarkEnd w:id="280"/>
    </w:p>
    <w:p>
      <w:pPr>
        <w:pStyle w:val="65"/>
        <w:tabs>
          <w:tab w:val="left" w:pos="8280"/>
        </w:tabs>
        <w:spacing w:line="360" w:lineRule="auto"/>
        <w:rPr>
          <w:rStyle w:val="21"/>
          <w:rFonts w:hint="eastAsia" w:asciiTheme="minorEastAsia" w:hAnsiTheme="minorEastAsia" w:eastAsiaTheme="minorEastAsia" w:cstheme="minorEastAsia"/>
          <w:b/>
          <w:color w:val="auto"/>
          <w:kern w:val="2"/>
          <w:sz w:val="24"/>
          <w:szCs w:val="24"/>
          <w:highlight w:val="none"/>
          <w:lang w:val="en-US" w:eastAsia="zh-CN" w:bidi="ar-SA"/>
        </w:rPr>
      </w:pPr>
      <w:r>
        <w:rPr>
          <w:rStyle w:val="21"/>
          <w:rFonts w:hint="eastAsia" w:asciiTheme="minorEastAsia" w:hAnsiTheme="minorEastAsia" w:eastAsiaTheme="minorEastAsia" w:cstheme="minorEastAsia"/>
          <w:b/>
          <w:color w:val="auto"/>
          <w:kern w:val="2"/>
          <w:sz w:val="24"/>
          <w:szCs w:val="24"/>
          <w:highlight w:val="none"/>
          <w:lang w:val="en-US" w:eastAsia="zh-CN" w:bidi="ar-SA"/>
        </w:rPr>
        <w:t>12.1承包人暂停施工的责任</w:t>
      </w:r>
    </w:p>
    <w:p>
      <w:pPr>
        <w:pStyle w:val="65"/>
        <w:tabs>
          <w:tab w:val="left" w:pos="8280"/>
        </w:tabs>
        <w:spacing w:line="360" w:lineRule="auto"/>
        <w:ind w:firstLine="360" w:firstLineChars="150"/>
        <w:rPr>
          <w:rStyle w:val="21"/>
          <w:rFonts w:hint="eastAsia" w:asciiTheme="minorEastAsia" w:hAnsiTheme="minorEastAsia" w:eastAsiaTheme="minorEastAsia" w:cstheme="minorEastAsia"/>
          <w:color w:val="auto"/>
          <w:kern w:val="2"/>
          <w:sz w:val="24"/>
          <w:szCs w:val="24"/>
          <w:highlight w:val="none"/>
          <w:lang w:val="en-US" w:eastAsia="zh-CN" w:bidi="ar-SA"/>
        </w:rPr>
      </w:pPr>
      <w:r>
        <w:rPr>
          <w:rStyle w:val="21"/>
          <w:rFonts w:hint="eastAsia" w:asciiTheme="minorEastAsia" w:hAnsiTheme="minorEastAsia" w:eastAsiaTheme="minorEastAsia" w:cstheme="minorEastAsia"/>
          <w:color w:val="auto"/>
          <w:kern w:val="2"/>
          <w:sz w:val="24"/>
          <w:szCs w:val="24"/>
          <w:highlight w:val="none"/>
          <w:lang w:val="en-US" w:eastAsia="zh-CN" w:bidi="ar-SA"/>
        </w:rPr>
        <w:t>因下列暂停施工增加的费用和(或)工期延误由承包人承担：</w:t>
      </w:r>
    </w:p>
    <w:p>
      <w:pPr>
        <w:pStyle w:val="65"/>
        <w:tabs>
          <w:tab w:val="left" w:pos="8280"/>
        </w:tabs>
        <w:spacing w:line="360" w:lineRule="auto"/>
        <w:ind w:firstLine="360" w:firstLineChars="150"/>
        <w:rPr>
          <w:rStyle w:val="21"/>
          <w:rFonts w:hint="eastAsia" w:asciiTheme="minorEastAsia" w:hAnsiTheme="minorEastAsia" w:eastAsiaTheme="minorEastAsia" w:cstheme="minorEastAsia"/>
          <w:color w:val="auto"/>
          <w:kern w:val="2"/>
          <w:sz w:val="24"/>
          <w:szCs w:val="24"/>
          <w:highlight w:val="none"/>
          <w:lang w:val="en-US" w:eastAsia="zh-CN" w:bidi="ar-SA"/>
        </w:rPr>
      </w:pPr>
      <w:r>
        <w:rPr>
          <w:rStyle w:val="21"/>
          <w:rFonts w:hint="eastAsia" w:asciiTheme="minorEastAsia" w:hAnsiTheme="minorEastAsia" w:eastAsiaTheme="minorEastAsia" w:cstheme="minorEastAsia"/>
          <w:color w:val="auto"/>
          <w:kern w:val="2"/>
          <w:sz w:val="24"/>
          <w:szCs w:val="24"/>
          <w:highlight w:val="none"/>
          <w:lang w:val="en-US" w:eastAsia="zh-CN" w:bidi="ar-SA"/>
        </w:rPr>
        <w:t>(1)承包人违约引起的暂停施工；</w:t>
      </w:r>
    </w:p>
    <w:p>
      <w:pPr>
        <w:pStyle w:val="65"/>
        <w:tabs>
          <w:tab w:val="left" w:pos="8280"/>
        </w:tabs>
        <w:spacing w:line="360" w:lineRule="auto"/>
        <w:ind w:firstLine="360" w:firstLineChars="150"/>
        <w:rPr>
          <w:rStyle w:val="21"/>
          <w:rFonts w:hint="eastAsia" w:asciiTheme="minorEastAsia" w:hAnsiTheme="minorEastAsia" w:eastAsiaTheme="minorEastAsia" w:cstheme="minorEastAsia"/>
          <w:color w:val="auto"/>
          <w:kern w:val="2"/>
          <w:sz w:val="24"/>
          <w:szCs w:val="24"/>
          <w:highlight w:val="none"/>
          <w:lang w:val="en-US" w:eastAsia="zh-CN" w:bidi="ar-SA"/>
        </w:rPr>
      </w:pPr>
      <w:r>
        <w:rPr>
          <w:rStyle w:val="21"/>
          <w:rFonts w:hint="eastAsia" w:asciiTheme="minorEastAsia" w:hAnsiTheme="minorEastAsia" w:eastAsiaTheme="minorEastAsia" w:cstheme="minorEastAsia"/>
          <w:color w:val="auto"/>
          <w:kern w:val="2"/>
          <w:sz w:val="24"/>
          <w:szCs w:val="24"/>
          <w:highlight w:val="none"/>
          <w:lang w:val="en-US" w:eastAsia="zh-CN" w:bidi="ar-SA"/>
        </w:rPr>
        <w:t>(2)由于承包人原因为工程合理施工和安全保障所必需的暂停施工；</w:t>
      </w:r>
    </w:p>
    <w:p>
      <w:pPr>
        <w:pStyle w:val="65"/>
        <w:tabs>
          <w:tab w:val="left" w:pos="8280"/>
        </w:tabs>
        <w:spacing w:line="360" w:lineRule="auto"/>
        <w:ind w:firstLine="360" w:firstLineChars="150"/>
        <w:rPr>
          <w:rStyle w:val="21"/>
          <w:rFonts w:hint="eastAsia" w:asciiTheme="minorEastAsia" w:hAnsiTheme="minorEastAsia" w:eastAsiaTheme="minorEastAsia" w:cstheme="minorEastAsia"/>
          <w:color w:val="auto"/>
          <w:kern w:val="2"/>
          <w:sz w:val="24"/>
          <w:szCs w:val="24"/>
          <w:highlight w:val="none"/>
          <w:lang w:val="en-US" w:eastAsia="zh-CN" w:bidi="ar-SA"/>
        </w:rPr>
      </w:pPr>
      <w:r>
        <w:rPr>
          <w:rStyle w:val="21"/>
          <w:rFonts w:hint="eastAsia" w:asciiTheme="minorEastAsia" w:hAnsiTheme="minorEastAsia" w:eastAsiaTheme="minorEastAsia" w:cstheme="minorEastAsia"/>
          <w:color w:val="auto"/>
          <w:kern w:val="2"/>
          <w:sz w:val="24"/>
          <w:szCs w:val="24"/>
          <w:highlight w:val="none"/>
          <w:lang w:val="en-US" w:eastAsia="zh-CN" w:bidi="ar-SA"/>
        </w:rPr>
        <w:t>(3)承包人擅自暂停施工；</w:t>
      </w:r>
    </w:p>
    <w:p>
      <w:pPr>
        <w:pStyle w:val="65"/>
        <w:tabs>
          <w:tab w:val="left" w:pos="8280"/>
        </w:tabs>
        <w:spacing w:line="360" w:lineRule="auto"/>
        <w:ind w:firstLine="360" w:firstLineChars="150"/>
        <w:rPr>
          <w:rStyle w:val="21"/>
          <w:rFonts w:hint="eastAsia" w:asciiTheme="minorEastAsia" w:hAnsiTheme="minorEastAsia" w:eastAsiaTheme="minorEastAsia" w:cstheme="minorEastAsia"/>
          <w:color w:val="auto"/>
          <w:kern w:val="2"/>
          <w:sz w:val="24"/>
          <w:szCs w:val="24"/>
          <w:highlight w:val="none"/>
          <w:lang w:val="en-US" w:eastAsia="zh-CN" w:bidi="ar-SA"/>
        </w:rPr>
      </w:pPr>
      <w:r>
        <w:rPr>
          <w:rStyle w:val="21"/>
          <w:rFonts w:hint="eastAsia" w:asciiTheme="minorEastAsia" w:hAnsiTheme="minorEastAsia" w:eastAsiaTheme="minorEastAsia" w:cstheme="minorEastAsia"/>
          <w:color w:val="auto"/>
          <w:kern w:val="2"/>
          <w:sz w:val="24"/>
          <w:szCs w:val="24"/>
          <w:highlight w:val="none"/>
          <w:lang w:val="en-US" w:eastAsia="zh-CN" w:bidi="ar-SA"/>
        </w:rPr>
        <w:t>(4)承包人其他原因引起的暂停施工；</w:t>
      </w:r>
    </w:p>
    <w:p>
      <w:pPr>
        <w:pStyle w:val="65"/>
        <w:tabs>
          <w:tab w:val="left" w:pos="8280"/>
        </w:tabs>
        <w:spacing w:line="360" w:lineRule="auto"/>
        <w:ind w:firstLine="360" w:firstLineChars="150"/>
        <w:rPr>
          <w:rStyle w:val="21"/>
          <w:rFonts w:hint="eastAsia" w:asciiTheme="minorEastAsia" w:hAnsiTheme="minorEastAsia" w:eastAsiaTheme="minorEastAsia" w:cstheme="minorEastAsia"/>
          <w:color w:val="auto"/>
          <w:kern w:val="2"/>
          <w:sz w:val="24"/>
          <w:szCs w:val="24"/>
          <w:highlight w:val="none"/>
          <w:lang w:val="en-US" w:eastAsia="zh-CN" w:bidi="ar-SA"/>
        </w:rPr>
      </w:pPr>
      <w:r>
        <w:rPr>
          <w:rStyle w:val="21"/>
          <w:rFonts w:hint="eastAsia" w:asciiTheme="minorEastAsia" w:hAnsiTheme="minorEastAsia" w:eastAsiaTheme="minorEastAsia" w:cstheme="minorEastAsia"/>
          <w:color w:val="auto"/>
          <w:kern w:val="2"/>
          <w:sz w:val="24"/>
          <w:szCs w:val="24"/>
          <w:highlight w:val="none"/>
          <w:lang w:val="en-US" w:eastAsia="zh-CN" w:bidi="ar-SA"/>
        </w:rPr>
        <w:t>(5)专用合同条款约定由承包人承担的其他暂停施工。</w:t>
      </w:r>
    </w:p>
    <w:p>
      <w:pPr>
        <w:pStyle w:val="65"/>
        <w:tabs>
          <w:tab w:val="left" w:pos="8280"/>
        </w:tabs>
        <w:spacing w:line="360" w:lineRule="auto"/>
        <w:rPr>
          <w:rStyle w:val="21"/>
          <w:rFonts w:hint="eastAsia" w:asciiTheme="minorEastAsia" w:hAnsiTheme="minorEastAsia" w:eastAsiaTheme="minorEastAsia" w:cstheme="minorEastAsia"/>
          <w:b/>
          <w:color w:val="auto"/>
          <w:kern w:val="2"/>
          <w:sz w:val="24"/>
          <w:szCs w:val="24"/>
          <w:highlight w:val="none"/>
          <w:lang w:val="en-US" w:eastAsia="zh-CN" w:bidi="ar-SA"/>
        </w:rPr>
      </w:pPr>
      <w:r>
        <w:rPr>
          <w:rStyle w:val="21"/>
          <w:rFonts w:hint="eastAsia" w:asciiTheme="minorEastAsia" w:hAnsiTheme="minorEastAsia" w:eastAsiaTheme="minorEastAsia" w:cstheme="minorEastAsia"/>
          <w:b/>
          <w:color w:val="auto"/>
          <w:kern w:val="2"/>
          <w:sz w:val="24"/>
          <w:szCs w:val="24"/>
          <w:highlight w:val="none"/>
          <w:lang w:val="en-US" w:eastAsia="zh-CN" w:bidi="ar-SA"/>
        </w:rPr>
        <w:t>12.2发包人暂停施工的责任</w:t>
      </w:r>
    </w:p>
    <w:p>
      <w:pPr>
        <w:pStyle w:val="65"/>
        <w:tabs>
          <w:tab w:val="left" w:pos="8280"/>
        </w:tabs>
        <w:spacing w:line="360" w:lineRule="auto"/>
        <w:ind w:firstLine="360" w:firstLineChars="150"/>
        <w:rPr>
          <w:rStyle w:val="21"/>
          <w:rFonts w:hint="eastAsia" w:asciiTheme="minorEastAsia" w:hAnsiTheme="minorEastAsia" w:eastAsiaTheme="minorEastAsia" w:cstheme="minorEastAsia"/>
          <w:color w:val="auto"/>
          <w:kern w:val="2"/>
          <w:sz w:val="24"/>
          <w:szCs w:val="24"/>
          <w:highlight w:val="none"/>
          <w:lang w:val="en-US" w:eastAsia="zh-CN" w:bidi="ar-SA"/>
        </w:rPr>
      </w:pPr>
      <w:r>
        <w:rPr>
          <w:rStyle w:val="21"/>
          <w:rFonts w:hint="eastAsia" w:asciiTheme="minorEastAsia" w:hAnsiTheme="minorEastAsia" w:eastAsiaTheme="minorEastAsia" w:cstheme="minorEastAsia"/>
          <w:color w:val="auto"/>
          <w:kern w:val="2"/>
          <w:sz w:val="24"/>
          <w:szCs w:val="24"/>
          <w:highlight w:val="none"/>
          <w:lang w:val="en-US" w:eastAsia="zh-CN" w:bidi="ar-SA"/>
        </w:rPr>
        <w:t>由于发包人原因引起的暂停施工造成工期延误的，承包人有权要求发包人延长工期和(或)增加费用，并支付合理利润。属于下列任何一种情况引起的暂停施工，均为发包人的责任：</w:t>
      </w:r>
    </w:p>
    <w:p>
      <w:pPr>
        <w:pStyle w:val="65"/>
        <w:tabs>
          <w:tab w:val="left" w:pos="8280"/>
        </w:tabs>
        <w:spacing w:line="360" w:lineRule="auto"/>
        <w:ind w:firstLine="360" w:firstLineChars="150"/>
        <w:rPr>
          <w:rStyle w:val="21"/>
          <w:rFonts w:hint="eastAsia" w:asciiTheme="minorEastAsia" w:hAnsiTheme="minorEastAsia" w:eastAsiaTheme="minorEastAsia" w:cstheme="minorEastAsia"/>
          <w:color w:val="auto"/>
          <w:kern w:val="2"/>
          <w:sz w:val="24"/>
          <w:szCs w:val="24"/>
          <w:highlight w:val="none"/>
          <w:lang w:val="en-US" w:eastAsia="zh-CN" w:bidi="ar-SA"/>
        </w:rPr>
      </w:pPr>
      <w:r>
        <w:rPr>
          <w:rStyle w:val="21"/>
          <w:rFonts w:hint="eastAsia" w:asciiTheme="minorEastAsia" w:hAnsiTheme="minorEastAsia" w:eastAsiaTheme="minorEastAsia" w:cstheme="minorEastAsia"/>
          <w:color w:val="auto"/>
          <w:kern w:val="2"/>
          <w:sz w:val="24"/>
          <w:szCs w:val="24"/>
          <w:highlight w:val="none"/>
          <w:lang w:val="en-US" w:eastAsia="zh-CN" w:bidi="ar-SA"/>
        </w:rPr>
        <w:t>(1)由于发包人违约引起的暂停施工；</w:t>
      </w:r>
    </w:p>
    <w:p>
      <w:pPr>
        <w:pStyle w:val="65"/>
        <w:tabs>
          <w:tab w:val="left" w:pos="8280"/>
        </w:tabs>
        <w:spacing w:line="360" w:lineRule="auto"/>
        <w:ind w:firstLine="360" w:firstLineChars="150"/>
        <w:rPr>
          <w:rStyle w:val="21"/>
          <w:rFonts w:hint="eastAsia" w:asciiTheme="minorEastAsia" w:hAnsiTheme="minorEastAsia" w:eastAsiaTheme="minorEastAsia" w:cstheme="minorEastAsia"/>
          <w:color w:val="auto"/>
          <w:kern w:val="2"/>
          <w:sz w:val="24"/>
          <w:szCs w:val="24"/>
          <w:highlight w:val="none"/>
          <w:lang w:val="en-US" w:eastAsia="zh-CN" w:bidi="ar-SA"/>
        </w:rPr>
      </w:pPr>
      <w:r>
        <w:rPr>
          <w:rStyle w:val="21"/>
          <w:rFonts w:hint="eastAsia" w:asciiTheme="minorEastAsia" w:hAnsiTheme="minorEastAsia" w:eastAsiaTheme="minorEastAsia" w:cstheme="minorEastAsia"/>
          <w:color w:val="auto"/>
          <w:kern w:val="2"/>
          <w:sz w:val="24"/>
          <w:szCs w:val="24"/>
          <w:highlight w:val="none"/>
          <w:lang w:val="en-US" w:eastAsia="zh-CN" w:bidi="ar-SA"/>
        </w:rPr>
        <w:t>(2)由于不可抗力的自然或社会因素引起的暂停施工；</w:t>
      </w:r>
    </w:p>
    <w:p>
      <w:pPr>
        <w:pStyle w:val="65"/>
        <w:tabs>
          <w:tab w:val="left" w:pos="8280"/>
        </w:tabs>
        <w:spacing w:line="360" w:lineRule="auto"/>
        <w:ind w:firstLine="360" w:firstLineChars="150"/>
        <w:rPr>
          <w:rStyle w:val="21"/>
          <w:rFonts w:hint="eastAsia" w:asciiTheme="minorEastAsia" w:hAnsiTheme="minorEastAsia" w:eastAsiaTheme="minorEastAsia" w:cstheme="minorEastAsia"/>
          <w:color w:val="auto"/>
          <w:kern w:val="2"/>
          <w:sz w:val="24"/>
          <w:szCs w:val="24"/>
          <w:highlight w:val="none"/>
          <w:lang w:val="en-US" w:eastAsia="zh-CN" w:bidi="ar-SA"/>
        </w:rPr>
      </w:pPr>
      <w:r>
        <w:rPr>
          <w:rStyle w:val="21"/>
          <w:rFonts w:hint="eastAsia" w:asciiTheme="minorEastAsia" w:hAnsiTheme="minorEastAsia" w:eastAsiaTheme="minorEastAsia" w:cstheme="minorEastAsia"/>
          <w:color w:val="auto"/>
          <w:kern w:val="2"/>
          <w:sz w:val="24"/>
          <w:szCs w:val="24"/>
          <w:highlight w:val="none"/>
          <w:lang w:val="en-US" w:eastAsia="zh-CN" w:bidi="ar-SA"/>
        </w:rPr>
        <w:t>(3)专用合同条款中约定的其它由于发包人原因引起的暂停施工。</w:t>
      </w:r>
    </w:p>
    <w:p>
      <w:pPr>
        <w:pStyle w:val="65"/>
        <w:tabs>
          <w:tab w:val="left" w:pos="8280"/>
        </w:tabs>
        <w:spacing w:line="360" w:lineRule="auto"/>
        <w:rPr>
          <w:rStyle w:val="21"/>
          <w:rFonts w:hint="eastAsia" w:asciiTheme="minorEastAsia" w:hAnsiTheme="minorEastAsia" w:eastAsiaTheme="minorEastAsia" w:cstheme="minorEastAsia"/>
          <w:b/>
          <w:color w:val="auto"/>
          <w:kern w:val="2"/>
          <w:sz w:val="24"/>
          <w:szCs w:val="24"/>
          <w:highlight w:val="none"/>
          <w:lang w:val="en-US" w:eastAsia="zh-CN" w:bidi="ar-SA"/>
        </w:rPr>
      </w:pPr>
      <w:r>
        <w:rPr>
          <w:rStyle w:val="21"/>
          <w:rFonts w:hint="eastAsia" w:asciiTheme="minorEastAsia" w:hAnsiTheme="minorEastAsia" w:eastAsiaTheme="minorEastAsia" w:cstheme="minorEastAsia"/>
          <w:b/>
          <w:color w:val="auto"/>
          <w:kern w:val="2"/>
          <w:sz w:val="24"/>
          <w:szCs w:val="24"/>
          <w:highlight w:val="none"/>
          <w:lang w:val="en-US" w:eastAsia="zh-CN" w:bidi="ar-SA"/>
        </w:rPr>
        <w:t>12.3监理人暂停施工指示</w:t>
      </w:r>
    </w:p>
    <w:p>
      <w:pPr>
        <w:pStyle w:val="65"/>
        <w:tabs>
          <w:tab w:val="left" w:pos="8280"/>
        </w:tabs>
        <w:spacing w:line="360" w:lineRule="auto"/>
        <w:ind w:firstLine="360" w:firstLineChars="150"/>
        <w:rPr>
          <w:rStyle w:val="21"/>
          <w:rFonts w:hint="eastAsia" w:asciiTheme="minorEastAsia" w:hAnsiTheme="minorEastAsia" w:eastAsiaTheme="minorEastAsia" w:cstheme="minorEastAsia"/>
          <w:color w:val="auto"/>
          <w:kern w:val="2"/>
          <w:sz w:val="24"/>
          <w:szCs w:val="24"/>
          <w:highlight w:val="none"/>
          <w:lang w:val="en-US" w:eastAsia="zh-CN" w:bidi="ar-SA"/>
        </w:rPr>
      </w:pPr>
      <w:r>
        <w:rPr>
          <w:rStyle w:val="21"/>
          <w:rFonts w:hint="eastAsia" w:asciiTheme="minorEastAsia" w:hAnsiTheme="minorEastAsia" w:eastAsiaTheme="minorEastAsia" w:cstheme="minorEastAsia"/>
          <w:color w:val="auto"/>
          <w:kern w:val="2"/>
          <w:sz w:val="24"/>
          <w:szCs w:val="24"/>
          <w:highlight w:val="none"/>
          <w:lang w:val="en-US" w:eastAsia="zh-CN" w:bidi="ar-SA"/>
        </w:rPr>
        <w:t>12.3.1监理人认为有必要时，可向承包人作出暂停施工的指示，承包人应按监理人指示暂停施工。不论由于何种原因引起的暂停施工，暂停施工期间承包人应负责妥善保护工程并提供安全保障。</w:t>
      </w:r>
    </w:p>
    <w:p>
      <w:pPr>
        <w:pStyle w:val="65"/>
        <w:tabs>
          <w:tab w:val="left" w:pos="8280"/>
        </w:tabs>
        <w:spacing w:line="360" w:lineRule="auto"/>
        <w:ind w:firstLine="360" w:firstLineChars="150"/>
        <w:rPr>
          <w:rStyle w:val="21"/>
          <w:rFonts w:hint="eastAsia" w:asciiTheme="minorEastAsia" w:hAnsiTheme="minorEastAsia" w:eastAsiaTheme="minorEastAsia" w:cstheme="minorEastAsia"/>
          <w:color w:val="auto"/>
          <w:kern w:val="2"/>
          <w:sz w:val="24"/>
          <w:szCs w:val="24"/>
          <w:highlight w:val="none"/>
          <w:lang w:val="en-US" w:eastAsia="zh-CN" w:bidi="ar-SA"/>
        </w:rPr>
      </w:pPr>
      <w:r>
        <w:rPr>
          <w:rStyle w:val="21"/>
          <w:rFonts w:hint="eastAsia" w:asciiTheme="minorEastAsia" w:hAnsiTheme="minorEastAsia" w:eastAsiaTheme="minorEastAsia" w:cstheme="minorEastAsia"/>
          <w:color w:val="auto"/>
          <w:kern w:val="2"/>
          <w:sz w:val="24"/>
          <w:szCs w:val="24"/>
          <w:highlight w:val="none"/>
          <w:lang w:val="en-US" w:eastAsia="zh-CN" w:bidi="ar-SA"/>
        </w:rPr>
        <w:t>12.3.2由于发包人的原因发生暂停施工的紧急倩况，且监理人未及时下达暂停工示的，承包人可先暂停旅工，并及时向监理人提出暂停施工的书面请求。监理人应在接到书面请求后的24小时内予以答复，逾期未答复的，视为同意承包人的暂停施工请求。</w:t>
      </w:r>
    </w:p>
    <w:p>
      <w:pPr>
        <w:pStyle w:val="65"/>
        <w:tabs>
          <w:tab w:val="left" w:pos="8280"/>
        </w:tabs>
        <w:spacing w:line="360" w:lineRule="auto"/>
        <w:rPr>
          <w:rStyle w:val="21"/>
          <w:rFonts w:hint="eastAsia" w:asciiTheme="minorEastAsia" w:hAnsiTheme="minorEastAsia" w:eastAsiaTheme="minorEastAsia" w:cstheme="minorEastAsia"/>
          <w:b/>
          <w:color w:val="auto"/>
          <w:kern w:val="2"/>
          <w:sz w:val="24"/>
          <w:szCs w:val="24"/>
          <w:highlight w:val="none"/>
          <w:lang w:val="en-US" w:eastAsia="zh-CN" w:bidi="ar-SA"/>
        </w:rPr>
      </w:pPr>
      <w:r>
        <w:rPr>
          <w:rStyle w:val="21"/>
          <w:rFonts w:hint="eastAsia" w:asciiTheme="minorEastAsia" w:hAnsiTheme="minorEastAsia" w:eastAsiaTheme="minorEastAsia" w:cstheme="minorEastAsia"/>
          <w:b/>
          <w:color w:val="auto"/>
          <w:kern w:val="2"/>
          <w:sz w:val="24"/>
          <w:szCs w:val="24"/>
          <w:highlight w:val="none"/>
          <w:lang w:val="en-US" w:eastAsia="zh-CN" w:bidi="ar-SA"/>
        </w:rPr>
        <w:t>12.4暂停施工后的复工</w:t>
      </w:r>
    </w:p>
    <w:p>
      <w:pPr>
        <w:pStyle w:val="65"/>
        <w:tabs>
          <w:tab w:val="left" w:pos="8280"/>
        </w:tabs>
        <w:spacing w:line="360" w:lineRule="auto"/>
        <w:ind w:firstLine="360" w:firstLineChars="150"/>
        <w:rPr>
          <w:rStyle w:val="21"/>
          <w:rFonts w:hint="eastAsia" w:asciiTheme="minorEastAsia" w:hAnsiTheme="minorEastAsia" w:eastAsiaTheme="minorEastAsia" w:cstheme="minorEastAsia"/>
          <w:color w:val="auto"/>
          <w:kern w:val="2"/>
          <w:sz w:val="24"/>
          <w:szCs w:val="24"/>
          <w:highlight w:val="none"/>
          <w:lang w:val="en-US" w:eastAsia="zh-CN" w:bidi="ar-SA"/>
        </w:rPr>
      </w:pPr>
      <w:r>
        <w:rPr>
          <w:rStyle w:val="21"/>
          <w:rFonts w:hint="eastAsia" w:asciiTheme="minorEastAsia" w:hAnsiTheme="minorEastAsia" w:eastAsiaTheme="minorEastAsia" w:cstheme="minorEastAsia"/>
          <w:color w:val="auto"/>
          <w:kern w:val="2"/>
          <w:sz w:val="24"/>
          <w:szCs w:val="24"/>
          <w:highlight w:val="none"/>
          <w:lang w:val="en-US" w:eastAsia="zh-CN" w:bidi="ar-SA"/>
        </w:rPr>
        <w:t>12.4.1暂停施工后，监理人应与发包人和承包人协商，采取有效措施积极消除暂停施工的影响。当工程具备复工条件时，监理人应立即向承包人发出复工通知。承包人收到复工通知后，应在监理人指定的期限内复工。</w:t>
      </w:r>
    </w:p>
    <w:p>
      <w:pPr>
        <w:pStyle w:val="65"/>
        <w:tabs>
          <w:tab w:val="left" w:pos="8280"/>
        </w:tabs>
        <w:spacing w:line="360" w:lineRule="auto"/>
        <w:ind w:firstLine="360" w:firstLineChars="150"/>
        <w:rPr>
          <w:rStyle w:val="21"/>
          <w:rFonts w:hint="eastAsia" w:asciiTheme="minorEastAsia" w:hAnsiTheme="minorEastAsia" w:eastAsiaTheme="minorEastAsia" w:cstheme="minorEastAsia"/>
          <w:color w:val="auto"/>
          <w:kern w:val="2"/>
          <w:sz w:val="24"/>
          <w:szCs w:val="24"/>
          <w:highlight w:val="none"/>
          <w:lang w:val="en-US" w:eastAsia="zh-CN" w:bidi="ar-SA"/>
        </w:rPr>
      </w:pPr>
      <w:r>
        <w:rPr>
          <w:rStyle w:val="21"/>
          <w:rFonts w:hint="eastAsia" w:asciiTheme="minorEastAsia" w:hAnsiTheme="minorEastAsia" w:eastAsiaTheme="minorEastAsia" w:cstheme="minorEastAsia"/>
          <w:color w:val="auto"/>
          <w:kern w:val="2"/>
          <w:sz w:val="24"/>
          <w:szCs w:val="24"/>
          <w:highlight w:val="none"/>
          <w:lang w:val="en-US" w:eastAsia="zh-CN" w:bidi="ar-SA"/>
        </w:rPr>
        <w:t>12.4.2承包人无故拖延和拒绝复工的，由此增加的费用和工期延误由承包人承担；因发包人原因无法按时复工的，承包人有权要求发包人延长工期和(或)增加费用，并支付合理利润。</w:t>
      </w:r>
    </w:p>
    <w:p>
      <w:pPr>
        <w:pStyle w:val="65"/>
        <w:tabs>
          <w:tab w:val="left" w:pos="8280"/>
        </w:tabs>
        <w:spacing w:line="360" w:lineRule="auto"/>
        <w:rPr>
          <w:rStyle w:val="21"/>
          <w:rFonts w:hint="eastAsia" w:asciiTheme="minorEastAsia" w:hAnsiTheme="minorEastAsia" w:eastAsiaTheme="minorEastAsia" w:cstheme="minorEastAsia"/>
          <w:b/>
          <w:color w:val="auto"/>
          <w:kern w:val="2"/>
          <w:sz w:val="24"/>
          <w:szCs w:val="24"/>
          <w:highlight w:val="none"/>
          <w:lang w:val="en-US" w:eastAsia="zh-CN" w:bidi="ar-SA"/>
        </w:rPr>
      </w:pPr>
      <w:r>
        <w:rPr>
          <w:rStyle w:val="21"/>
          <w:rFonts w:hint="eastAsia" w:asciiTheme="minorEastAsia" w:hAnsiTheme="minorEastAsia" w:eastAsiaTheme="minorEastAsia" w:cstheme="minorEastAsia"/>
          <w:b/>
          <w:color w:val="auto"/>
          <w:kern w:val="2"/>
          <w:sz w:val="24"/>
          <w:szCs w:val="24"/>
          <w:highlight w:val="none"/>
          <w:lang w:val="en-US" w:eastAsia="zh-CN" w:bidi="ar-SA"/>
        </w:rPr>
        <w:t>12.5暂停施工持续56天以上</w:t>
      </w:r>
    </w:p>
    <w:p>
      <w:pPr>
        <w:pStyle w:val="65"/>
        <w:tabs>
          <w:tab w:val="left" w:pos="8280"/>
        </w:tabs>
        <w:spacing w:line="360" w:lineRule="auto"/>
        <w:ind w:firstLine="360" w:firstLineChars="150"/>
        <w:rPr>
          <w:rStyle w:val="21"/>
          <w:rFonts w:hint="eastAsia" w:asciiTheme="minorEastAsia" w:hAnsiTheme="minorEastAsia" w:eastAsiaTheme="minorEastAsia" w:cstheme="minorEastAsia"/>
          <w:color w:val="auto"/>
          <w:kern w:val="2"/>
          <w:sz w:val="24"/>
          <w:szCs w:val="24"/>
          <w:highlight w:val="none"/>
          <w:lang w:val="en-US" w:eastAsia="zh-CN" w:bidi="ar-SA"/>
        </w:rPr>
      </w:pPr>
      <w:r>
        <w:rPr>
          <w:rStyle w:val="21"/>
          <w:rFonts w:hint="eastAsia" w:asciiTheme="minorEastAsia" w:hAnsiTheme="minorEastAsia" w:eastAsiaTheme="minorEastAsia" w:cstheme="minorEastAsia"/>
          <w:color w:val="auto"/>
          <w:kern w:val="2"/>
          <w:sz w:val="24"/>
          <w:szCs w:val="24"/>
          <w:highlight w:val="none"/>
          <w:lang w:val="en-US" w:eastAsia="zh-CN" w:bidi="ar-SA"/>
        </w:rPr>
        <w:t>12.5.1监理人发出暂停施工指示后56天内未向承包人发出复工通知，除了该项停工属于第12.1款的情况外，承包人可向监理人提交书面通知，要求监理人在收到书面通知后28天内准许已暂停施工的工程或其中一部分工程继续施工。如监理人逾期不予批准，则承包人可以通知监理人，将工程受影响的部分视为按第15.1(1)项的可取消工作。如暂停施工影响到整个工程，可视为发包人违约，应按第20.2款的规定办理。</w:t>
      </w:r>
    </w:p>
    <w:p>
      <w:pPr>
        <w:pStyle w:val="65"/>
        <w:tabs>
          <w:tab w:val="left" w:pos="8280"/>
        </w:tabs>
        <w:spacing w:line="360" w:lineRule="auto"/>
        <w:ind w:firstLine="360" w:firstLineChars="150"/>
        <w:rPr>
          <w:rStyle w:val="21"/>
          <w:rFonts w:hint="eastAsia" w:asciiTheme="minorEastAsia" w:hAnsiTheme="minorEastAsia" w:eastAsiaTheme="minorEastAsia" w:cstheme="minorEastAsia"/>
          <w:color w:val="auto"/>
          <w:kern w:val="2"/>
          <w:sz w:val="24"/>
          <w:szCs w:val="24"/>
          <w:highlight w:val="none"/>
          <w:lang w:val="en-US" w:eastAsia="zh-CN" w:bidi="ar-SA"/>
        </w:rPr>
      </w:pPr>
      <w:r>
        <w:rPr>
          <w:rStyle w:val="21"/>
          <w:rFonts w:hint="eastAsia" w:asciiTheme="minorEastAsia" w:hAnsiTheme="minorEastAsia" w:eastAsiaTheme="minorEastAsia" w:cstheme="minorEastAsia"/>
          <w:color w:val="auto"/>
          <w:kern w:val="2"/>
          <w:sz w:val="24"/>
          <w:szCs w:val="24"/>
          <w:highlight w:val="none"/>
          <w:lang w:val="en-US" w:eastAsia="zh-CN" w:bidi="ar-SA"/>
        </w:rPr>
        <w:t xml:space="preserve">12.5.2由于承包人责任引起的暂停施工，如承包人在收到监理人暂停施工指示后56天内不认真采取有效的复工措施，造成工期延误，可视为承包人违约，应按第20.1款的规定办理。   </w:t>
      </w:r>
    </w:p>
    <w:p>
      <w:pPr>
        <w:pStyle w:val="66"/>
        <w:rPr>
          <w:rStyle w:val="21"/>
          <w:rFonts w:hint="eastAsia" w:asciiTheme="minorEastAsia" w:hAnsiTheme="minorEastAsia" w:eastAsiaTheme="minorEastAsia" w:cstheme="minorEastAsia"/>
          <w:color w:val="auto"/>
          <w:kern w:val="2"/>
          <w:sz w:val="24"/>
          <w:szCs w:val="24"/>
          <w:highlight w:val="none"/>
          <w:lang w:val="en-US" w:eastAsia="zh-CN" w:bidi="ar-SA"/>
        </w:rPr>
      </w:pPr>
      <w:bookmarkStart w:id="281" w:name="_Toc28896"/>
      <w:r>
        <w:rPr>
          <w:rStyle w:val="21"/>
          <w:rFonts w:hint="eastAsia" w:asciiTheme="minorEastAsia" w:hAnsiTheme="minorEastAsia" w:eastAsiaTheme="minorEastAsia" w:cstheme="minorEastAsia"/>
          <w:color w:val="auto"/>
          <w:kern w:val="2"/>
          <w:sz w:val="24"/>
          <w:szCs w:val="24"/>
          <w:highlight w:val="none"/>
          <w:lang w:val="en-US" w:eastAsia="zh-CN" w:bidi="ar-SA"/>
        </w:rPr>
        <w:t>13 工程质量</w:t>
      </w:r>
      <w:bookmarkEnd w:id="281"/>
    </w:p>
    <w:p>
      <w:pPr>
        <w:pStyle w:val="65"/>
        <w:tabs>
          <w:tab w:val="left" w:pos="8280"/>
        </w:tabs>
        <w:spacing w:line="360" w:lineRule="auto"/>
        <w:rPr>
          <w:rStyle w:val="21"/>
          <w:rFonts w:hint="eastAsia" w:asciiTheme="minorEastAsia" w:hAnsiTheme="minorEastAsia" w:eastAsiaTheme="minorEastAsia" w:cstheme="minorEastAsia"/>
          <w:b/>
          <w:color w:val="auto"/>
          <w:kern w:val="2"/>
          <w:sz w:val="24"/>
          <w:szCs w:val="24"/>
          <w:highlight w:val="none"/>
          <w:lang w:val="en-US" w:eastAsia="zh-CN" w:bidi="ar-SA"/>
        </w:rPr>
      </w:pPr>
      <w:r>
        <w:rPr>
          <w:rStyle w:val="21"/>
          <w:rFonts w:hint="eastAsia" w:asciiTheme="minorEastAsia" w:hAnsiTheme="minorEastAsia" w:eastAsiaTheme="minorEastAsia" w:cstheme="minorEastAsia"/>
          <w:b/>
          <w:color w:val="auto"/>
          <w:kern w:val="2"/>
          <w:sz w:val="24"/>
          <w:szCs w:val="24"/>
          <w:highlight w:val="none"/>
          <w:lang w:val="en-US" w:eastAsia="zh-CN" w:bidi="ar-SA"/>
        </w:rPr>
        <w:t>13.1工程质量要求</w:t>
      </w:r>
    </w:p>
    <w:p>
      <w:pPr>
        <w:pStyle w:val="65"/>
        <w:tabs>
          <w:tab w:val="left" w:pos="8280"/>
        </w:tabs>
        <w:spacing w:line="360" w:lineRule="auto"/>
        <w:ind w:firstLine="360" w:firstLineChars="150"/>
        <w:rPr>
          <w:rStyle w:val="21"/>
          <w:rFonts w:hint="eastAsia" w:asciiTheme="minorEastAsia" w:hAnsiTheme="minorEastAsia" w:eastAsiaTheme="minorEastAsia" w:cstheme="minorEastAsia"/>
          <w:color w:val="auto"/>
          <w:kern w:val="2"/>
          <w:sz w:val="24"/>
          <w:szCs w:val="24"/>
          <w:highlight w:val="none"/>
          <w:lang w:val="en-US" w:eastAsia="zh-CN" w:bidi="ar-SA"/>
        </w:rPr>
      </w:pPr>
      <w:r>
        <w:rPr>
          <w:rStyle w:val="21"/>
          <w:rFonts w:hint="eastAsia" w:asciiTheme="minorEastAsia" w:hAnsiTheme="minorEastAsia" w:eastAsiaTheme="minorEastAsia" w:cstheme="minorEastAsia"/>
          <w:color w:val="auto"/>
          <w:kern w:val="2"/>
          <w:sz w:val="24"/>
          <w:szCs w:val="24"/>
          <w:highlight w:val="none"/>
          <w:lang w:val="en-US" w:eastAsia="zh-CN" w:bidi="ar-SA"/>
        </w:rPr>
        <w:t>13.1.1工程质量验收按合同约定验收标准执行。</w:t>
      </w:r>
    </w:p>
    <w:p>
      <w:pPr>
        <w:pStyle w:val="65"/>
        <w:tabs>
          <w:tab w:val="left" w:pos="8280"/>
        </w:tabs>
        <w:spacing w:line="360" w:lineRule="auto"/>
        <w:ind w:firstLine="360" w:firstLineChars="150"/>
        <w:rPr>
          <w:rStyle w:val="21"/>
          <w:rFonts w:hint="eastAsia" w:asciiTheme="minorEastAsia" w:hAnsiTheme="minorEastAsia" w:eastAsiaTheme="minorEastAsia" w:cstheme="minorEastAsia"/>
          <w:color w:val="auto"/>
          <w:kern w:val="2"/>
          <w:sz w:val="24"/>
          <w:szCs w:val="24"/>
          <w:highlight w:val="none"/>
          <w:lang w:val="en-US" w:eastAsia="zh-CN" w:bidi="ar-SA"/>
        </w:rPr>
      </w:pPr>
      <w:r>
        <w:rPr>
          <w:rStyle w:val="21"/>
          <w:rFonts w:hint="eastAsia" w:asciiTheme="minorEastAsia" w:hAnsiTheme="minorEastAsia" w:eastAsiaTheme="minorEastAsia" w:cstheme="minorEastAsia"/>
          <w:color w:val="auto"/>
          <w:kern w:val="2"/>
          <w:sz w:val="24"/>
          <w:szCs w:val="24"/>
          <w:highlight w:val="none"/>
          <w:lang w:val="en-US" w:eastAsia="zh-CN" w:bidi="ar-SA"/>
        </w:rPr>
        <w:t>13.1.2因承包人原因造成工程质量达不到合同约定验收标准的，监理人有权要求承包人返工直至符合合同要求为止．由此造成的费用增加和(或)工期延误由承包人承担。</w:t>
      </w:r>
    </w:p>
    <w:p>
      <w:pPr>
        <w:pStyle w:val="65"/>
        <w:tabs>
          <w:tab w:val="left" w:pos="8280"/>
        </w:tabs>
        <w:spacing w:line="360" w:lineRule="auto"/>
        <w:ind w:firstLine="360" w:firstLineChars="150"/>
        <w:rPr>
          <w:rStyle w:val="21"/>
          <w:rFonts w:hint="eastAsia" w:asciiTheme="minorEastAsia" w:hAnsiTheme="minorEastAsia" w:eastAsiaTheme="minorEastAsia" w:cstheme="minorEastAsia"/>
          <w:color w:val="auto"/>
          <w:kern w:val="2"/>
          <w:sz w:val="24"/>
          <w:szCs w:val="24"/>
          <w:highlight w:val="none"/>
          <w:lang w:val="en-US" w:eastAsia="zh-CN" w:bidi="ar-SA"/>
        </w:rPr>
      </w:pPr>
      <w:r>
        <w:rPr>
          <w:rStyle w:val="21"/>
          <w:rFonts w:hint="eastAsia" w:asciiTheme="minorEastAsia" w:hAnsiTheme="minorEastAsia" w:eastAsiaTheme="minorEastAsia" w:cstheme="minorEastAsia"/>
          <w:color w:val="auto"/>
          <w:kern w:val="2"/>
          <w:sz w:val="24"/>
          <w:szCs w:val="24"/>
          <w:highlight w:val="none"/>
          <w:lang w:val="en-US" w:eastAsia="zh-CN" w:bidi="ar-SA"/>
        </w:rPr>
        <w:t>13.1.3因发包人原因造成工程质量达不到合同约定验收标准的，发包人应承担由于承包人返工造成的费用增加和(或)工期延误，并支付承包人合理利润。</w:t>
      </w:r>
    </w:p>
    <w:p>
      <w:pPr>
        <w:pStyle w:val="65"/>
        <w:tabs>
          <w:tab w:val="left" w:pos="8280"/>
        </w:tabs>
        <w:spacing w:line="360" w:lineRule="auto"/>
        <w:rPr>
          <w:rStyle w:val="21"/>
          <w:rFonts w:hint="eastAsia" w:asciiTheme="minorEastAsia" w:hAnsiTheme="minorEastAsia" w:eastAsiaTheme="minorEastAsia" w:cstheme="minorEastAsia"/>
          <w:color w:val="auto"/>
          <w:kern w:val="2"/>
          <w:sz w:val="24"/>
          <w:szCs w:val="24"/>
          <w:highlight w:val="none"/>
          <w:lang w:val="en-US" w:eastAsia="zh-CN" w:bidi="ar-SA"/>
        </w:rPr>
      </w:pPr>
      <w:r>
        <w:rPr>
          <w:rStyle w:val="21"/>
          <w:rFonts w:hint="eastAsia" w:asciiTheme="minorEastAsia" w:hAnsiTheme="minorEastAsia" w:eastAsiaTheme="minorEastAsia" w:cstheme="minorEastAsia"/>
          <w:b/>
          <w:color w:val="auto"/>
          <w:kern w:val="2"/>
          <w:sz w:val="24"/>
          <w:szCs w:val="24"/>
          <w:highlight w:val="none"/>
          <w:lang w:val="en-US" w:eastAsia="zh-CN" w:bidi="ar-SA"/>
        </w:rPr>
        <w:t xml:space="preserve">13.2承包人的质量管理   </w:t>
      </w:r>
      <w:r>
        <w:rPr>
          <w:rStyle w:val="21"/>
          <w:rFonts w:hint="eastAsia" w:asciiTheme="minorEastAsia" w:hAnsiTheme="minorEastAsia" w:eastAsiaTheme="minorEastAsia" w:cstheme="minorEastAsia"/>
          <w:color w:val="auto"/>
          <w:kern w:val="2"/>
          <w:sz w:val="24"/>
          <w:szCs w:val="24"/>
          <w:highlight w:val="none"/>
          <w:lang w:val="en-US" w:eastAsia="zh-CN" w:bidi="ar-SA"/>
        </w:rPr>
        <w:t xml:space="preserve"> </w:t>
      </w:r>
    </w:p>
    <w:p>
      <w:pPr>
        <w:pStyle w:val="65"/>
        <w:tabs>
          <w:tab w:val="left" w:pos="8280"/>
        </w:tabs>
        <w:spacing w:line="360" w:lineRule="auto"/>
        <w:ind w:firstLine="360" w:firstLineChars="150"/>
        <w:rPr>
          <w:rStyle w:val="21"/>
          <w:rFonts w:hint="eastAsia" w:asciiTheme="minorEastAsia" w:hAnsiTheme="minorEastAsia" w:eastAsiaTheme="minorEastAsia" w:cstheme="minorEastAsia"/>
          <w:color w:val="auto"/>
          <w:kern w:val="2"/>
          <w:sz w:val="24"/>
          <w:szCs w:val="24"/>
          <w:highlight w:val="none"/>
          <w:lang w:val="en-US" w:eastAsia="zh-CN" w:bidi="ar-SA"/>
        </w:rPr>
      </w:pPr>
      <w:r>
        <w:rPr>
          <w:rStyle w:val="21"/>
          <w:rFonts w:hint="eastAsia" w:asciiTheme="minorEastAsia" w:hAnsiTheme="minorEastAsia" w:eastAsiaTheme="minorEastAsia" w:cstheme="minorEastAsia"/>
          <w:color w:val="auto"/>
          <w:kern w:val="2"/>
          <w:sz w:val="24"/>
          <w:szCs w:val="24"/>
          <w:highlight w:val="none"/>
          <w:lang w:val="en-US" w:eastAsia="zh-CN" w:bidi="ar-SA"/>
        </w:rPr>
        <w:t>13.2.1承包人应在施工场地设置专门的质量检查机构，配备专职质量检查人员，建立完善的质量检查制度。承包人应按技术标准和要求(合同技术条款)约定的内容和期限，编制工程质量保证措施文件，包括质量检查机构的组织和岗位责任、质量检查人员的组成、质量检查程序和实施细则等，提交监理人审批。监理人应在技术标准和要求(合同技术条款)规定的期限内批复承包人。</w:t>
      </w:r>
    </w:p>
    <w:p>
      <w:pPr>
        <w:pStyle w:val="65"/>
        <w:tabs>
          <w:tab w:val="left" w:pos="8280"/>
        </w:tabs>
        <w:spacing w:line="360" w:lineRule="auto"/>
        <w:ind w:firstLine="360" w:firstLineChars="150"/>
        <w:rPr>
          <w:rStyle w:val="21"/>
          <w:rFonts w:hint="eastAsia" w:asciiTheme="minorEastAsia" w:hAnsiTheme="minorEastAsia" w:eastAsiaTheme="minorEastAsia" w:cstheme="minorEastAsia"/>
          <w:color w:val="auto"/>
          <w:kern w:val="2"/>
          <w:sz w:val="24"/>
          <w:szCs w:val="24"/>
          <w:highlight w:val="none"/>
          <w:lang w:val="en-US" w:eastAsia="zh-CN" w:bidi="ar-SA"/>
        </w:rPr>
      </w:pPr>
      <w:r>
        <w:rPr>
          <w:rStyle w:val="21"/>
          <w:rFonts w:hint="eastAsia" w:asciiTheme="minorEastAsia" w:hAnsiTheme="minorEastAsia" w:eastAsiaTheme="minorEastAsia" w:cstheme="minorEastAsia"/>
          <w:color w:val="auto"/>
          <w:kern w:val="2"/>
          <w:sz w:val="24"/>
          <w:szCs w:val="24"/>
          <w:highlight w:val="none"/>
          <w:lang w:val="en-US" w:eastAsia="zh-CN" w:bidi="ar-SA"/>
        </w:rPr>
        <w:t>13.2.2承包人应加强对施工人员的质量教育和技术培训，定期考核施工人员的劳动技能严格执行规范和操作规程。</w:t>
      </w:r>
    </w:p>
    <w:p>
      <w:pPr>
        <w:pStyle w:val="65"/>
        <w:tabs>
          <w:tab w:val="left" w:pos="8280"/>
        </w:tabs>
        <w:spacing w:line="360" w:lineRule="auto"/>
        <w:rPr>
          <w:rStyle w:val="21"/>
          <w:rFonts w:hint="eastAsia" w:asciiTheme="minorEastAsia" w:hAnsiTheme="minorEastAsia" w:eastAsiaTheme="minorEastAsia" w:cstheme="minorEastAsia"/>
          <w:b/>
          <w:color w:val="auto"/>
          <w:kern w:val="2"/>
          <w:sz w:val="24"/>
          <w:szCs w:val="24"/>
          <w:highlight w:val="none"/>
          <w:lang w:val="en-US" w:eastAsia="zh-CN" w:bidi="ar-SA"/>
        </w:rPr>
      </w:pPr>
      <w:r>
        <w:rPr>
          <w:rStyle w:val="21"/>
          <w:rFonts w:hint="eastAsia" w:asciiTheme="minorEastAsia" w:hAnsiTheme="minorEastAsia" w:eastAsiaTheme="minorEastAsia" w:cstheme="minorEastAsia"/>
          <w:b/>
          <w:color w:val="auto"/>
          <w:kern w:val="2"/>
          <w:sz w:val="24"/>
          <w:szCs w:val="24"/>
          <w:highlight w:val="none"/>
          <w:lang w:val="en-US" w:eastAsia="zh-CN" w:bidi="ar-SA"/>
        </w:rPr>
        <w:t xml:space="preserve">13.3承包人的质量检查    </w:t>
      </w:r>
    </w:p>
    <w:p>
      <w:pPr>
        <w:pStyle w:val="65"/>
        <w:tabs>
          <w:tab w:val="left" w:pos="8280"/>
        </w:tabs>
        <w:spacing w:line="360" w:lineRule="auto"/>
        <w:ind w:firstLine="360" w:firstLineChars="150"/>
        <w:rPr>
          <w:rStyle w:val="21"/>
          <w:rFonts w:hint="eastAsia" w:asciiTheme="minorEastAsia" w:hAnsiTheme="minorEastAsia" w:eastAsiaTheme="minorEastAsia" w:cstheme="minorEastAsia"/>
          <w:color w:val="auto"/>
          <w:kern w:val="2"/>
          <w:sz w:val="24"/>
          <w:szCs w:val="24"/>
          <w:highlight w:val="none"/>
          <w:lang w:val="en-US" w:eastAsia="zh-CN" w:bidi="ar-SA"/>
        </w:rPr>
      </w:pPr>
      <w:r>
        <w:rPr>
          <w:rStyle w:val="21"/>
          <w:rFonts w:hint="eastAsia" w:asciiTheme="minorEastAsia" w:hAnsiTheme="minorEastAsia" w:eastAsiaTheme="minorEastAsia" w:cstheme="minorEastAsia"/>
          <w:color w:val="auto"/>
          <w:kern w:val="2"/>
          <w:sz w:val="24"/>
          <w:szCs w:val="24"/>
          <w:highlight w:val="none"/>
          <w:lang w:val="en-US" w:eastAsia="zh-CN" w:bidi="ar-SA"/>
        </w:rPr>
        <w:t>承包人应按合同约定对材料、工程设备以及工程的所有部位及其施工工艺进行全过程的质量检查和检验，并作详细记录，编制工程质量报表，报送监理人审查。</w:t>
      </w:r>
    </w:p>
    <w:p>
      <w:pPr>
        <w:pStyle w:val="65"/>
        <w:tabs>
          <w:tab w:val="left" w:pos="8280"/>
        </w:tabs>
        <w:spacing w:line="360" w:lineRule="auto"/>
        <w:rPr>
          <w:rStyle w:val="21"/>
          <w:rFonts w:hint="eastAsia" w:asciiTheme="minorEastAsia" w:hAnsiTheme="minorEastAsia" w:eastAsiaTheme="minorEastAsia" w:cstheme="minorEastAsia"/>
          <w:b/>
          <w:color w:val="auto"/>
          <w:kern w:val="2"/>
          <w:sz w:val="24"/>
          <w:szCs w:val="24"/>
          <w:highlight w:val="none"/>
          <w:lang w:val="en-US" w:eastAsia="zh-CN" w:bidi="ar-SA"/>
        </w:rPr>
      </w:pPr>
      <w:r>
        <w:rPr>
          <w:rStyle w:val="21"/>
          <w:rFonts w:hint="eastAsia" w:asciiTheme="minorEastAsia" w:hAnsiTheme="minorEastAsia" w:eastAsiaTheme="minorEastAsia" w:cstheme="minorEastAsia"/>
          <w:b/>
          <w:color w:val="auto"/>
          <w:kern w:val="2"/>
          <w:sz w:val="24"/>
          <w:szCs w:val="24"/>
          <w:highlight w:val="none"/>
          <w:lang w:val="en-US" w:eastAsia="zh-CN" w:bidi="ar-SA"/>
        </w:rPr>
        <w:t>13.4监理人的质量检查</w:t>
      </w:r>
    </w:p>
    <w:p>
      <w:pPr>
        <w:pStyle w:val="65"/>
        <w:tabs>
          <w:tab w:val="left" w:pos="8280"/>
        </w:tabs>
        <w:spacing w:line="360" w:lineRule="auto"/>
        <w:ind w:firstLine="360" w:firstLineChars="150"/>
        <w:rPr>
          <w:rStyle w:val="21"/>
          <w:rFonts w:hint="eastAsia" w:asciiTheme="minorEastAsia" w:hAnsiTheme="minorEastAsia" w:eastAsiaTheme="minorEastAsia" w:cstheme="minorEastAsia"/>
          <w:color w:val="auto"/>
          <w:kern w:val="2"/>
          <w:sz w:val="24"/>
          <w:szCs w:val="24"/>
          <w:highlight w:val="none"/>
          <w:lang w:val="en-US" w:eastAsia="zh-CN" w:bidi="ar-SA"/>
        </w:rPr>
      </w:pPr>
      <w:r>
        <w:rPr>
          <w:rStyle w:val="21"/>
          <w:rFonts w:hint="eastAsia" w:asciiTheme="minorEastAsia" w:hAnsiTheme="minorEastAsia" w:eastAsiaTheme="minorEastAsia" w:cstheme="minorEastAsia"/>
          <w:color w:val="auto"/>
          <w:kern w:val="2"/>
          <w:sz w:val="24"/>
          <w:szCs w:val="24"/>
          <w:highlight w:val="none"/>
          <w:lang w:val="en-US" w:eastAsia="zh-CN" w:bidi="ar-SA"/>
        </w:rPr>
        <w:t xml:space="preserve">监理人有权对工程的所有部位及其施工工艺、材料和工程设备进行检查和检验。承包人应为监理人的检查和检验提供方便，包括监理人到施工场地，或制造、加工地点，或合同约定的其他地方进行察看和查阅施工原始记录。承包人还应按监理人指示，进行施工场地取样实验、工程复核测量和设备性能检测，提供试验样品、提交试验报告和测量成果以及监理人要求进行的其他工作。监理人的检查和检验，不免除承包人按合同约定应负的责任。  </w:t>
      </w:r>
    </w:p>
    <w:p>
      <w:pPr>
        <w:pStyle w:val="65"/>
        <w:tabs>
          <w:tab w:val="left" w:pos="8280"/>
        </w:tabs>
        <w:spacing w:line="360" w:lineRule="auto"/>
        <w:rPr>
          <w:rStyle w:val="21"/>
          <w:rFonts w:hint="eastAsia" w:asciiTheme="minorEastAsia" w:hAnsiTheme="minorEastAsia" w:eastAsiaTheme="minorEastAsia" w:cstheme="minorEastAsia"/>
          <w:b/>
          <w:color w:val="auto"/>
          <w:kern w:val="2"/>
          <w:sz w:val="24"/>
          <w:szCs w:val="24"/>
          <w:highlight w:val="none"/>
          <w:lang w:val="en-US" w:eastAsia="zh-CN" w:bidi="ar-SA"/>
        </w:rPr>
      </w:pPr>
      <w:r>
        <w:rPr>
          <w:rStyle w:val="21"/>
          <w:rFonts w:hint="eastAsia" w:asciiTheme="minorEastAsia" w:hAnsiTheme="minorEastAsia" w:eastAsiaTheme="minorEastAsia" w:cstheme="minorEastAsia"/>
          <w:b/>
          <w:color w:val="auto"/>
          <w:kern w:val="2"/>
          <w:sz w:val="24"/>
          <w:szCs w:val="24"/>
          <w:highlight w:val="none"/>
          <w:lang w:val="en-US" w:eastAsia="zh-CN" w:bidi="ar-SA"/>
        </w:rPr>
        <w:t>13.5工程隐蔽部位覆盖前的检查</w:t>
      </w:r>
    </w:p>
    <w:p>
      <w:pPr>
        <w:pStyle w:val="65"/>
        <w:tabs>
          <w:tab w:val="left" w:pos="8280"/>
        </w:tabs>
        <w:spacing w:line="360" w:lineRule="auto"/>
        <w:ind w:firstLine="360" w:firstLineChars="150"/>
        <w:rPr>
          <w:rStyle w:val="21"/>
          <w:rFonts w:hint="eastAsia" w:asciiTheme="minorEastAsia" w:hAnsiTheme="minorEastAsia" w:eastAsiaTheme="minorEastAsia" w:cstheme="minorEastAsia"/>
          <w:color w:val="auto"/>
          <w:kern w:val="2"/>
          <w:sz w:val="24"/>
          <w:szCs w:val="24"/>
          <w:highlight w:val="none"/>
          <w:lang w:val="en-US" w:eastAsia="zh-CN" w:bidi="ar-SA"/>
        </w:rPr>
      </w:pPr>
      <w:r>
        <w:rPr>
          <w:rStyle w:val="21"/>
          <w:rFonts w:hint="eastAsia" w:asciiTheme="minorEastAsia" w:hAnsiTheme="minorEastAsia" w:eastAsiaTheme="minorEastAsia" w:cstheme="minorEastAsia"/>
          <w:color w:val="auto"/>
          <w:kern w:val="2"/>
          <w:sz w:val="24"/>
          <w:szCs w:val="24"/>
          <w:highlight w:val="none"/>
          <w:lang w:val="en-US" w:eastAsia="zh-CN" w:bidi="ar-SA"/>
        </w:rPr>
        <w:t>13.5.1通知监理人检查</w:t>
      </w:r>
    </w:p>
    <w:p>
      <w:pPr>
        <w:pStyle w:val="65"/>
        <w:tabs>
          <w:tab w:val="left" w:pos="8280"/>
        </w:tabs>
        <w:spacing w:line="360" w:lineRule="auto"/>
        <w:ind w:firstLine="360" w:firstLineChars="150"/>
        <w:rPr>
          <w:rStyle w:val="21"/>
          <w:rFonts w:hint="eastAsia" w:asciiTheme="minorEastAsia" w:hAnsiTheme="minorEastAsia" w:eastAsiaTheme="minorEastAsia" w:cstheme="minorEastAsia"/>
          <w:color w:val="auto"/>
          <w:kern w:val="2"/>
          <w:sz w:val="24"/>
          <w:szCs w:val="24"/>
          <w:highlight w:val="none"/>
          <w:lang w:val="en-US" w:eastAsia="zh-CN" w:bidi="ar-SA"/>
        </w:rPr>
      </w:pPr>
      <w:r>
        <w:rPr>
          <w:rStyle w:val="21"/>
          <w:rFonts w:hint="eastAsia" w:asciiTheme="minorEastAsia" w:hAnsiTheme="minorEastAsia" w:eastAsiaTheme="minorEastAsia" w:cstheme="minorEastAsia"/>
          <w:color w:val="auto"/>
          <w:kern w:val="2"/>
          <w:sz w:val="24"/>
          <w:szCs w:val="24"/>
          <w:highlight w:val="none"/>
          <w:lang w:val="en-US" w:eastAsia="zh-CN" w:bidi="ar-SA"/>
        </w:rPr>
        <w:t>经承包人自检确认的工程隐蔽部位具备覆盖条件后，承包人应通知监理人在约定的期限的检查。承包人的通知应附有自检记录和必要的检查资料。监理人应按时到场检查。经监理人检查确认质量符合隐蔽要求，并在检查记录上签字后，承包人才能进行覆盖。监理人检查确认质量不合格的，承包人应在监理人指示的时间内修整返工后，由监理人重新检查。</w:t>
      </w:r>
    </w:p>
    <w:p>
      <w:pPr>
        <w:pStyle w:val="65"/>
        <w:tabs>
          <w:tab w:val="left" w:pos="8280"/>
        </w:tabs>
        <w:spacing w:line="360" w:lineRule="auto"/>
        <w:ind w:firstLine="360" w:firstLineChars="150"/>
        <w:rPr>
          <w:rStyle w:val="21"/>
          <w:rFonts w:hint="eastAsia" w:asciiTheme="minorEastAsia" w:hAnsiTheme="minorEastAsia" w:eastAsiaTheme="minorEastAsia" w:cstheme="minorEastAsia"/>
          <w:color w:val="auto"/>
          <w:kern w:val="2"/>
          <w:sz w:val="24"/>
          <w:szCs w:val="24"/>
          <w:highlight w:val="none"/>
          <w:lang w:val="en-US" w:eastAsia="zh-CN" w:bidi="ar-SA"/>
        </w:rPr>
      </w:pPr>
      <w:r>
        <w:rPr>
          <w:rStyle w:val="21"/>
          <w:rFonts w:hint="eastAsia" w:asciiTheme="minorEastAsia" w:hAnsiTheme="minorEastAsia" w:eastAsiaTheme="minorEastAsia" w:cstheme="minorEastAsia"/>
          <w:color w:val="auto"/>
          <w:kern w:val="2"/>
          <w:sz w:val="24"/>
          <w:szCs w:val="24"/>
          <w:highlight w:val="none"/>
          <w:lang w:val="en-US" w:eastAsia="zh-CN" w:bidi="ar-SA"/>
        </w:rPr>
        <w:t>13.5.2监理人未到场检查</w:t>
      </w:r>
    </w:p>
    <w:p>
      <w:pPr>
        <w:pStyle w:val="65"/>
        <w:tabs>
          <w:tab w:val="left" w:pos="8280"/>
        </w:tabs>
        <w:spacing w:line="360" w:lineRule="auto"/>
        <w:ind w:firstLine="360" w:firstLineChars="150"/>
        <w:rPr>
          <w:rStyle w:val="21"/>
          <w:rFonts w:hint="eastAsia" w:asciiTheme="minorEastAsia" w:hAnsiTheme="minorEastAsia" w:eastAsiaTheme="minorEastAsia" w:cstheme="minorEastAsia"/>
          <w:color w:val="auto"/>
          <w:kern w:val="2"/>
          <w:sz w:val="24"/>
          <w:szCs w:val="24"/>
          <w:highlight w:val="none"/>
          <w:lang w:val="en-US" w:eastAsia="zh-CN" w:bidi="ar-SA"/>
        </w:rPr>
      </w:pPr>
      <w:r>
        <w:rPr>
          <w:rStyle w:val="21"/>
          <w:rFonts w:hint="eastAsia" w:asciiTheme="minorEastAsia" w:hAnsiTheme="minorEastAsia" w:eastAsiaTheme="minorEastAsia" w:cstheme="minorEastAsia"/>
          <w:color w:val="auto"/>
          <w:kern w:val="2"/>
          <w:sz w:val="24"/>
          <w:szCs w:val="24"/>
          <w:highlight w:val="none"/>
          <w:lang w:val="en-US" w:eastAsia="zh-CN" w:bidi="ar-SA"/>
        </w:rPr>
        <w:t>监理人未按第13.5.1项约定的时间进行检查的，除监理人另有指示外，承包人可自行完成覆盖工作，并作相应记录报送监理人，监理人应签字确认。监理人事后对检查记录有疑问的，可按第13.5.3项的约定重新检查。</w:t>
      </w:r>
    </w:p>
    <w:p>
      <w:pPr>
        <w:pStyle w:val="65"/>
        <w:tabs>
          <w:tab w:val="left" w:pos="8280"/>
        </w:tabs>
        <w:spacing w:line="360" w:lineRule="auto"/>
        <w:ind w:firstLine="360" w:firstLineChars="150"/>
        <w:rPr>
          <w:rStyle w:val="21"/>
          <w:rFonts w:hint="eastAsia" w:asciiTheme="minorEastAsia" w:hAnsiTheme="minorEastAsia" w:eastAsiaTheme="minorEastAsia" w:cstheme="minorEastAsia"/>
          <w:color w:val="auto"/>
          <w:kern w:val="2"/>
          <w:sz w:val="24"/>
          <w:szCs w:val="24"/>
          <w:highlight w:val="none"/>
          <w:lang w:val="en-US" w:eastAsia="zh-CN" w:bidi="ar-SA"/>
        </w:rPr>
      </w:pPr>
      <w:r>
        <w:rPr>
          <w:rStyle w:val="21"/>
          <w:rFonts w:hint="eastAsia" w:asciiTheme="minorEastAsia" w:hAnsiTheme="minorEastAsia" w:eastAsiaTheme="minorEastAsia" w:cstheme="minorEastAsia"/>
          <w:color w:val="auto"/>
          <w:kern w:val="2"/>
          <w:sz w:val="24"/>
          <w:szCs w:val="24"/>
          <w:highlight w:val="none"/>
          <w:lang w:val="en-US" w:eastAsia="zh-CN" w:bidi="ar-SA"/>
        </w:rPr>
        <w:t xml:space="preserve">13.5.3监理人重新检查    </w:t>
      </w:r>
    </w:p>
    <w:p>
      <w:pPr>
        <w:pStyle w:val="65"/>
        <w:tabs>
          <w:tab w:val="left" w:pos="8280"/>
        </w:tabs>
        <w:spacing w:line="360" w:lineRule="auto"/>
        <w:ind w:firstLine="360" w:firstLineChars="150"/>
        <w:rPr>
          <w:rStyle w:val="21"/>
          <w:rFonts w:hint="eastAsia" w:asciiTheme="minorEastAsia" w:hAnsiTheme="minorEastAsia" w:eastAsiaTheme="minorEastAsia" w:cstheme="minorEastAsia"/>
          <w:color w:val="auto"/>
          <w:kern w:val="2"/>
          <w:sz w:val="24"/>
          <w:szCs w:val="24"/>
          <w:highlight w:val="none"/>
          <w:lang w:val="en-US" w:eastAsia="zh-CN" w:bidi="ar-SA"/>
        </w:rPr>
      </w:pPr>
      <w:r>
        <w:rPr>
          <w:rStyle w:val="21"/>
          <w:rFonts w:hint="eastAsia" w:asciiTheme="minorEastAsia" w:hAnsiTheme="minorEastAsia" w:eastAsiaTheme="minorEastAsia" w:cstheme="minorEastAsia"/>
          <w:color w:val="auto"/>
          <w:kern w:val="2"/>
          <w:sz w:val="24"/>
          <w:szCs w:val="24"/>
          <w:highlight w:val="none"/>
          <w:lang w:val="en-US" w:eastAsia="zh-CN" w:bidi="ar-SA"/>
        </w:rPr>
        <w:t xml:space="preserve">承包人按第13.5.1项或第13.5.2项覆盖工程隐蔽部位后，监理人对质量有疑问的，可要求承包人对已覆盖的部位进行钻孔探测或揭开重新检验，承包人应遵照执行，并在检验后重新覆盖恢复原状。经检验证明工程质量符合合同要求的，由发包人承担由此增加的费用和(或)工期延误，并支付承包人合理利润；经检验证明工程质量不符合合同要求的，由此增加的费用和(或)工期延误由承包人承担。    </w:t>
      </w:r>
    </w:p>
    <w:p>
      <w:pPr>
        <w:pStyle w:val="65"/>
        <w:tabs>
          <w:tab w:val="left" w:pos="8280"/>
        </w:tabs>
        <w:spacing w:line="360" w:lineRule="auto"/>
        <w:ind w:firstLine="360" w:firstLineChars="150"/>
        <w:rPr>
          <w:rStyle w:val="21"/>
          <w:rFonts w:hint="eastAsia" w:asciiTheme="minorEastAsia" w:hAnsiTheme="minorEastAsia" w:eastAsiaTheme="minorEastAsia" w:cstheme="minorEastAsia"/>
          <w:color w:val="auto"/>
          <w:kern w:val="2"/>
          <w:sz w:val="24"/>
          <w:szCs w:val="24"/>
          <w:highlight w:val="none"/>
          <w:lang w:val="en-US" w:eastAsia="zh-CN" w:bidi="ar-SA"/>
        </w:rPr>
      </w:pPr>
      <w:r>
        <w:rPr>
          <w:rStyle w:val="21"/>
          <w:rFonts w:hint="eastAsia" w:asciiTheme="minorEastAsia" w:hAnsiTheme="minorEastAsia" w:eastAsiaTheme="minorEastAsia" w:cstheme="minorEastAsia"/>
          <w:color w:val="auto"/>
          <w:kern w:val="2"/>
          <w:sz w:val="24"/>
          <w:szCs w:val="24"/>
          <w:highlight w:val="none"/>
          <w:lang w:val="en-US" w:eastAsia="zh-CN" w:bidi="ar-SA"/>
        </w:rPr>
        <w:t>13.5.4承包人私自覆盖</w:t>
      </w:r>
    </w:p>
    <w:p>
      <w:pPr>
        <w:pStyle w:val="65"/>
        <w:tabs>
          <w:tab w:val="left" w:pos="8280"/>
        </w:tabs>
        <w:spacing w:line="360" w:lineRule="auto"/>
        <w:ind w:firstLine="360" w:firstLineChars="150"/>
        <w:rPr>
          <w:rStyle w:val="21"/>
          <w:rFonts w:hint="eastAsia" w:asciiTheme="minorEastAsia" w:hAnsiTheme="minorEastAsia" w:eastAsiaTheme="minorEastAsia" w:cstheme="minorEastAsia"/>
          <w:color w:val="auto"/>
          <w:kern w:val="2"/>
          <w:sz w:val="24"/>
          <w:szCs w:val="24"/>
          <w:highlight w:val="none"/>
          <w:lang w:val="en-US" w:eastAsia="zh-CN" w:bidi="ar-SA"/>
        </w:rPr>
      </w:pPr>
      <w:r>
        <w:rPr>
          <w:rStyle w:val="21"/>
          <w:rFonts w:hint="eastAsia" w:asciiTheme="minorEastAsia" w:hAnsiTheme="minorEastAsia" w:eastAsiaTheme="minorEastAsia" w:cstheme="minorEastAsia"/>
          <w:color w:val="auto"/>
          <w:kern w:val="2"/>
          <w:sz w:val="24"/>
          <w:szCs w:val="24"/>
          <w:highlight w:val="none"/>
          <w:lang w:val="en-US" w:eastAsia="zh-CN" w:bidi="ar-SA"/>
        </w:rPr>
        <w:t>承包人未通知监理人到场检查，私自将工程隐蔽部位覆盖的，监理人有权指示承包人钻孔探测或揭开检查，由此增加的费用和(或)工期延误由承包人承担。</w:t>
      </w:r>
    </w:p>
    <w:p>
      <w:pPr>
        <w:pStyle w:val="65"/>
        <w:tabs>
          <w:tab w:val="left" w:pos="8280"/>
        </w:tabs>
        <w:spacing w:line="360" w:lineRule="auto"/>
        <w:ind w:right="-315" w:rightChars="-150"/>
        <w:rPr>
          <w:rStyle w:val="21"/>
          <w:rFonts w:hint="eastAsia" w:asciiTheme="minorEastAsia" w:hAnsiTheme="minorEastAsia" w:eastAsiaTheme="minorEastAsia" w:cstheme="minorEastAsia"/>
          <w:color w:val="auto"/>
          <w:kern w:val="2"/>
          <w:sz w:val="24"/>
          <w:szCs w:val="24"/>
          <w:highlight w:val="none"/>
          <w:lang w:val="en-US" w:eastAsia="zh-CN" w:bidi="ar-SA"/>
        </w:rPr>
      </w:pPr>
      <w:r>
        <w:rPr>
          <w:rStyle w:val="21"/>
          <w:rFonts w:hint="eastAsia" w:asciiTheme="minorEastAsia" w:hAnsiTheme="minorEastAsia" w:eastAsiaTheme="minorEastAsia" w:cstheme="minorEastAsia"/>
          <w:b/>
          <w:color w:val="auto"/>
          <w:kern w:val="2"/>
          <w:sz w:val="24"/>
          <w:szCs w:val="24"/>
          <w:highlight w:val="none"/>
          <w:lang w:val="en-US" w:eastAsia="zh-CN" w:bidi="ar-SA"/>
        </w:rPr>
        <w:t>13.6清除不合格工程</w:t>
      </w:r>
    </w:p>
    <w:p>
      <w:pPr>
        <w:pStyle w:val="65"/>
        <w:tabs>
          <w:tab w:val="left" w:pos="8280"/>
        </w:tabs>
        <w:spacing w:line="360" w:lineRule="auto"/>
        <w:ind w:firstLine="360" w:firstLineChars="150"/>
        <w:rPr>
          <w:rStyle w:val="21"/>
          <w:rFonts w:hint="eastAsia" w:asciiTheme="minorEastAsia" w:hAnsiTheme="minorEastAsia" w:eastAsiaTheme="minorEastAsia" w:cstheme="minorEastAsia"/>
          <w:color w:val="auto"/>
          <w:kern w:val="2"/>
          <w:sz w:val="24"/>
          <w:szCs w:val="24"/>
          <w:highlight w:val="none"/>
          <w:lang w:val="en-US" w:eastAsia="zh-CN" w:bidi="ar-SA"/>
        </w:rPr>
      </w:pPr>
      <w:r>
        <w:rPr>
          <w:rStyle w:val="21"/>
          <w:rFonts w:hint="eastAsia" w:asciiTheme="minorEastAsia" w:hAnsiTheme="minorEastAsia" w:eastAsiaTheme="minorEastAsia" w:cstheme="minorEastAsia"/>
          <w:color w:val="auto"/>
          <w:kern w:val="2"/>
          <w:sz w:val="24"/>
          <w:szCs w:val="24"/>
          <w:highlight w:val="none"/>
          <w:lang w:val="en-US" w:eastAsia="zh-CN" w:bidi="ar-SA"/>
        </w:rPr>
        <w:t>承包人使用不合格材料、工程设备，或采用不适当的施工工艺，或施工不当，造成工程不合格的，监理人可以随时发出指示，要求承包人立即采取措施进行补救，直至达到合同要求的质量标准，由此增加的费用和(或)工期延误由承包人承担。</w:t>
      </w:r>
    </w:p>
    <w:p>
      <w:pPr>
        <w:pStyle w:val="65"/>
        <w:tabs>
          <w:tab w:val="left" w:pos="8280"/>
        </w:tabs>
        <w:spacing w:line="360" w:lineRule="auto"/>
        <w:ind w:right="-315" w:rightChars="-150"/>
        <w:rPr>
          <w:rStyle w:val="21"/>
          <w:rFonts w:hint="eastAsia" w:asciiTheme="minorEastAsia" w:hAnsiTheme="minorEastAsia" w:eastAsiaTheme="minorEastAsia" w:cstheme="minorEastAsia"/>
          <w:b/>
          <w:color w:val="auto"/>
          <w:kern w:val="2"/>
          <w:sz w:val="24"/>
          <w:szCs w:val="24"/>
          <w:highlight w:val="none"/>
          <w:lang w:val="en-US" w:eastAsia="zh-CN" w:bidi="ar-SA"/>
        </w:rPr>
      </w:pPr>
      <w:r>
        <w:rPr>
          <w:rStyle w:val="21"/>
          <w:rFonts w:hint="eastAsia" w:asciiTheme="minorEastAsia" w:hAnsiTheme="minorEastAsia" w:eastAsiaTheme="minorEastAsia" w:cstheme="minorEastAsia"/>
          <w:b/>
          <w:color w:val="auto"/>
          <w:kern w:val="2"/>
          <w:sz w:val="24"/>
          <w:szCs w:val="24"/>
          <w:highlight w:val="none"/>
          <w:lang w:val="en-US" w:eastAsia="zh-CN" w:bidi="ar-SA"/>
        </w:rPr>
        <w:t>13.7质量评定</w:t>
      </w:r>
    </w:p>
    <w:p>
      <w:pPr>
        <w:pStyle w:val="65"/>
        <w:tabs>
          <w:tab w:val="left" w:pos="8280"/>
        </w:tabs>
        <w:spacing w:line="360" w:lineRule="auto"/>
        <w:ind w:firstLine="360" w:firstLineChars="150"/>
        <w:rPr>
          <w:rStyle w:val="21"/>
          <w:rFonts w:hint="eastAsia" w:asciiTheme="minorEastAsia" w:hAnsiTheme="minorEastAsia" w:eastAsiaTheme="minorEastAsia" w:cstheme="minorEastAsia"/>
          <w:color w:val="auto"/>
          <w:kern w:val="2"/>
          <w:sz w:val="24"/>
          <w:szCs w:val="24"/>
          <w:highlight w:val="none"/>
          <w:lang w:val="en-US" w:eastAsia="zh-CN" w:bidi="ar-SA"/>
        </w:rPr>
      </w:pPr>
      <w:r>
        <w:rPr>
          <w:rStyle w:val="21"/>
          <w:rFonts w:hint="eastAsia" w:asciiTheme="minorEastAsia" w:hAnsiTheme="minorEastAsia" w:eastAsiaTheme="minorEastAsia" w:cstheme="minorEastAsia"/>
          <w:color w:val="auto"/>
          <w:kern w:val="2"/>
          <w:sz w:val="24"/>
          <w:szCs w:val="24"/>
          <w:highlight w:val="none"/>
          <w:lang w:val="en-US" w:eastAsia="zh-CN" w:bidi="ar-SA"/>
        </w:rPr>
        <w:t>13.7.1发包人应组织承包人进行工程项目划分，并确定单位工程、主要分部工程、重要隐蔽单元工程和关键部位单元工程。</w:t>
      </w:r>
    </w:p>
    <w:p>
      <w:pPr>
        <w:pStyle w:val="65"/>
        <w:tabs>
          <w:tab w:val="left" w:pos="8280"/>
        </w:tabs>
        <w:spacing w:line="360" w:lineRule="auto"/>
        <w:ind w:firstLine="360" w:firstLineChars="150"/>
        <w:rPr>
          <w:rStyle w:val="21"/>
          <w:rFonts w:hint="eastAsia" w:asciiTheme="minorEastAsia" w:hAnsiTheme="minorEastAsia" w:eastAsiaTheme="minorEastAsia" w:cstheme="minorEastAsia"/>
          <w:color w:val="auto"/>
          <w:kern w:val="2"/>
          <w:sz w:val="24"/>
          <w:szCs w:val="24"/>
          <w:highlight w:val="none"/>
          <w:lang w:val="en-US" w:eastAsia="zh-CN" w:bidi="ar-SA"/>
        </w:rPr>
      </w:pPr>
      <w:r>
        <w:rPr>
          <w:rStyle w:val="21"/>
          <w:rFonts w:hint="eastAsia" w:asciiTheme="minorEastAsia" w:hAnsiTheme="minorEastAsia" w:eastAsiaTheme="minorEastAsia" w:cstheme="minorEastAsia"/>
          <w:color w:val="auto"/>
          <w:kern w:val="2"/>
          <w:sz w:val="24"/>
          <w:szCs w:val="24"/>
          <w:highlight w:val="none"/>
          <w:lang w:val="en-US" w:eastAsia="zh-CN" w:bidi="ar-SA"/>
        </w:rPr>
        <w:t>13.7.2工程实施过程中，单位工程、主要分部工程、重要隐蔽单元工程和关键部位单元工程的项目划分需要调整时，承包人应报发包人确认。</w:t>
      </w:r>
    </w:p>
    <w:p>
      <w:pPr>
        <w:pStyle w:val="65"/>
        <w:tabs>
          <w:tab w:val="left" w:pos="8280"/>
        </w:tabs>
        <w:spacing w:line="360" w:lineRule="auto"/>
        <w:ind w:firstLine="360" w:firstLineChars="150"/>
        <w:rPr>
          <w:rStyle w:val="21"/>
          <w:rFonts w:hint="eastAsia" w:asciiTheme="minorEastAsia" w:hAnsiTheme="minorEastAsia" w:eastAsiaTheme="minorEastAsia" w:cstheme="minorEastAsia"/>
          <w:color w:val="auto"/>
          <w:kern w:val="2"/>
          <w:sz w:val="24"/>
          <w:szCs w:val="24"/>
          <w:highlight w:val="none"/>
          <w:lang w:val="en-US" w:eastAsia="zh-CN" w:bidi="ar-SA"/>
        </w:rPr>
      </w:pPr>
      <w:r>
        <w:rPr>
          <w:rStyle w:val="21"/>
          <w:rFonts w:hint="eastAsia" w:asciiTheme="minorEastAsia" w:hAnsiTheme="minorEastAsia" w:eastAsiaTheme="minorEastAsia" w:cstheme="minorEastAsia"/>
          <w:color w:val="auto"/>
          <w:kern w:val="2"/>
          <w:sz w:val="24"/>
          <w:szCs w:val="24"/>
          <w:highlight w:val="none"/>
          <w:lang w:val="en-US" w:eastAsia="zh-CN" w:bidi="ar-SA"/>
        </w:rPr>
        <w:t>13.7.3承包人应在单元(工序)工程质量自评合格后，报监理人核定质量等级并签证认可。</w:t>
      </w:r>
    </w:p>
    <w:p>
      <w:pPr>
        <w:pStyle w:val="65"/>
        <w:tabs>
          <w:tab w:val="left" w:pos="8280"/>
        </w:tabs>
        <w:spacing w:line="360" w:lineRule="auto"/>
        <w:ind w:firstLine="360" w:firstLineChars="150"/>
        <w:rPr>
          <w:rStyle w:val="21"/>
          <w:rFonts w:hint="eastAsia" w:asciiTheme="minorEastAsia" w:hAnsiTheme="minorEastAsia" w:eastAsiaTheme="minorEastAsia" w:cstheme="minorEastAsia"/>
          <w:color w:val="auto"/>
          <w:kern w:val="2"/>
          <w:sz w:val="24"/>
          <w:szCs w:val="24"/>
          <w:highlight w:val="none"/>
          <w:lang w:val="en-US" w:eastAsia="zh-CN" w:bidi="ar-SA"/>
        </w:rPr>
      </w:pPr>
      <w:r>
        <w:rPr>
          <w:rStyle w:val="21"/>
          <w:rFonts w:hint="eastAsia" w:asciiTheme="minorEastAsia" w:hAnsiTheme="minorEastAsia" w:eastAsiaTheme="minorEastAsia" w:cstheme="minorEastAsia"/>
          <w:color w:val="auto"/>
          <w:kern w:val="2"/>
          <w:sz w:val="24"/>
          <w:szCs w:val="24"/>
          <w:highlight w:val="none"/>
          <w:lang w:val="en-US" w:eastAsia="zh-CN" w:bidi="ar-SA"/>
        </w:rPr>
        <w:t xml:space="preserve">13.7.4除专用合同条款另有约定外，承包人应在重要隐蔽单元工程和关键部位单元工程质量自评合格以及监理人抽检后，由监理人组织承包人等单位组成的联合小组，共同检查核定其质量等级并填写签证表。发包人按有关规定完成质量结论报工程质量监督机构核备手续。    </w:t>
      </w:r>
    </w:p>
    <w:p>
      <w:pPr>
        <w:pStyle w:val="65"/>
        <w:tabs>
          <w:tab w:val="left" w:pos="8280"/>
        </w:tabs>
        <w:spacing w:line="360" w:lineRule="auto"/>
        <w:ind w:firstLine="360" w:firstLineChars="150"/>
        <w:rPr>
          <w:rStyle w:val="21"/>
          <w:rFonts w:hint="eastAsia" w:asciiTheme="minorEastAsia" w:hAnsiTheme="minorEastAsia" w:eastAsiaTheme="minorEastAsia" w:cstheme="minorEastAsia"/>
          <w:color w:val="auto"/>
          <w:kern w:val="2"/>
          <w:sz w:val="24"/>
          <w:szCs w:val="24"/>
          <w:highlight w:val="none"/>
          <w:lang w:val="en-US" w:eastAsia="zh-CN" w:bidi="ar-SA"/>
        </w:rPr>
      </w:pPr>
      <w:r>
        <w:rPr>
          <w:rStyle w:val="21"/>
          <w:rFonts w:hint="eastAsia" w:asciiTheme="minorEastAsia" w:hAnsiTheme="minorEastAsia" w:eastAsiaTheme="minorEastAsia" w:cstheme="minorEastAsia"/>
          <w:color w:val="auto"/>
          <w:kern w:val="2"/>
          <w:sz w:val="24"/>
          <w:szCs w:val="24"/>
          <w:highlight w:val="none"/>
          <w:lang w:val="en-US" w:eastAsia="zh-CN" w:bidi="ar-SA"/>
        </w:rPr>
        <w:t>13.7.5承包人应在分部工程质量自评合格后，报监理人复核和发包人认定。发包人负责按有关规定完成分部工程质量结论报工程质量监督机构核备(核定)手续。</w:t>
      </w:r>
    </w:p>
    <w:p>
      <w:pPr>
        <w:pStyle w:val="65"/>
        <w:tabs>
          <w:tab w:val="left" w:pos="8280"/>
        </w:tabs>
        <w:spacing w:line="360" w:lineRule="auto"/>
        <w:ind w:firstLine="360" w:firstLineChars="150"/>
        <w:rPr>
          <w:rStyle w:val="21"/>
          <w:rFonts w:hint="eastAsia" w:asciiTheme="minorEastAsia" w:hAnsiTheme="minorEastAsia" w:eastAsiaTheme="minorEastAsia" w:cstheme="minorEastAsia"/>
          <w:color w:val="auto"/>
          <w:kern w:val="2"/>
          <w:sz w:val="24"/>
          <w:szCs w:val="24"/>
          <w:highlight w:val="none"/>
          <w:lang w:val="en-US" w:eastAsia="zh-CN" w:bidi="ar-SA"/>
        </w:rPr>
      </w:pPr>
      <w:r>
        <w:rPr>
          <w:rStyle w:val="21"/>
          <w:rFonts w:hint="eastAsia" w:asciiTheme="minorEastAsia" w:hAnsiTheme="minorEastAsia" w:eastAsiaTheme="minorEastAsia" w:cstheme="minorEastAsia"/>
          <w:color w:val="auto"/>
          <w:kern w:val="2"/>
          <w:sz w:val="24"/>
          <w:szCs w:val="24"/>
          <w:highlight w:val="none"/>
          <w:lang w:val="en-US" w:eastAsia="zh-CN" w:bidi="ar-SA"/>
        </w:rPr>
        <w:t xml:space="preserve">13.7.6承包人应在单位工程质量自评合格后，报监理人复核和发包人认定。发包人负责按有关规定完成单位工程质量结论报工程质量监督机构核定手续。    </w:t>
      </w:r>
    </w:p>
    <w:p>
      <w:pPr>
        <w:pStyle w:val="65"/>
        <w:tabs>
          <w:tab w:val="left" w:pos="8280"/>
        </w:tabs>
        <w:spacing w:line="360" w:lineRule="auto"/>
        <w:ind w:firstLine="360" w:firstLineChars="150"/>
        <w:rPr>
          <w:rStyle w:val="21"/>
          <w:rFonts w:hint="eastAsia" w:asciiTheme="minorEastAsia" w:hAnsiTheme="minorEastAsia" w:eastAsiaTheme="minorEastAsia" w:cstheme="minorEastAsia"/>
          <w:color w:val="auto"/>
          <w:kern w:val="2"/>
          <w:sz w:val="24"/>
          <w:szCs w:val="24"/>
          <w:highlight w:val="none"/>
          <w:lang w:val="en-US" w:eastAsia="zh-CN" w:bidi="ar-SA"/>
        </w:rPr>
      </w:pPr>
      <w:r>
        <w:rPr>
          <w:rStyle w:val="21"/>
          <w:rFonts w:hint="eastAsia" w:asciiTheme="minorEastAsia" w:hAnsiTheme="minorEastAsia" w:eastAsiaTheme="minorEastAsia" w:cstheme="minorEastAsia"/>
          <w:color w:val="auto"/>
          <w:kern w:val="2"/>
          <w:sz w:val="24"/>
          <w:szCs w:val="24"/>
          <w:highlight w:val="none"/>
          <w:lang w:val="en-US" w:eastAsia="zh-CN" w:bidi="ar-SA"/>
        </w:rPr>
        <w:t xml:space="preserve">13.7.7除专用合同条款另有约定外，工程质量等级分为合格和优良，应分别达到约定的标准。    </w:t>
      </w:r>
    </w:p>
    <w:p>
      <w:pPr>
        <w:pStyle w:val="65"/>
        <w:tabs>
          <w:tab w:val="left" w:pos="8280"/>
        </w:tabs>
        <w:spacing w:line="360" w:lineRule="auto"/>
        <w:rPr>
          <w:rStyle w:val="21"/>
          <w:rFonts w:hint="eastAsia" w:asciiTheme="minorEastAsia" w:hAnsiTheme="minorEastAsia" w:eastAsiaTheme="minorEastAsia" w:cstheme="minorEastAsia"/>
          <w:b/>
          <w:color w:val="auto"/>
          <w:kern w:val="2"/>
          <w:sz w:val="24"/>
          <w:szCs w:val="24"/>
          <w:highlight w:val="none"/>
          <w:lang w:val="en-US" w:eastAsia="zh-CN" w:bidi="ar-SA"/>
        </w:rPr>
      </w:pPr>
      <w:r>
        <w:rPr>
          <w:rStyle w:val="21"/>
          <w:rFonts w:hint="eastAsia" w:asciiTheme="minorEastAsia" w:hAnsiTheme="minorEastAsia" w:eastAsiaTheme="minorEastAsia" w:cstheme="minorEastAsia"/>
          <w:b/>
          <w:color w:val="auto"/>
          <w:kern w:val="2"/>
          <w:sz w:val="24"/>
          <w:szCs w:val="24"/>
          <w:highlight w:val="none"/>
          <w:lang w:val="en-US" w:eastAsia="zh-CN" w:bidi="ar-SA"/>
        </w:rPr>
        <w:t>13.8质量事故处理</w:t>
      </w:r>
    </w:p>
    <w:p>
      <w:pPr>
        <w:pStyle w:val="65"/>
        <w:tabs>
          <w:tab w:val="left" w:pos="8280"/>
        </w:tabs>
        <w:spacing w:line="360" w:lineRule="auto"/>
        <w:ind w:firstLine="360" w:firstLineChars="150"/>
        <w:rPr>
          <w:rStyle w:val="21"/>
          <w:rFonts w:hint="eastAsia" w:asciiTheme="minorEastAsia" w:hAnsiTheme="minorEastAsia" w:eastAsiaTheme="minorEastAsia" w:cstheme="minorEastAsia"/>
          <w:color w:val="auto"/>
          <w:kern w:val="2"/>
          <w:sz w:val="24"/>
          <w:szCs w:val="24"/>
          <w:highlight w:val="none"/>
          <w:lang w:val="en-US" w:eastAsia="zh-CN" w:bidi="ar-SA"/>
        </w:rPr>
      </w:pPr>
      <w:r>
        <w:rPr>
          <w:rStyle w:val="21"/>
          <w:rFonts w:hint="eastAsia" w:asciiTheme="minorEastAsia" w:hAnsiTheme="minorEastAsia" w:eastAsiaTheme="minorEastAsia" w:cstheme="minorEastAsia"/>
          <w:color w:val="auto"/>
          <w:kern w:val="2"/>
          <w:sz w:val="24"/>
          <w:szCs w:val="24"/>
          <w:highlight w:val="none"/>
          <w:lang w:val="en-US" w:eastAsia="zh-CN" w:bidi="ar-SA"/>
        </w:rPr>
        <w:t>13.8.1发生质量事故时，承包人应及时向发包人和监理人报告。</w:t>
      </w:r>
    </w:p>
    <w:p>
      <w:pPr>
        <w:pStyle w:val="65"/>
        <w:tabs>
          <w:tab w:val="left" w:pos="8280"/>
        </w:tabs>
        <w:spacing w:line="360" w:lineRule="auto"/>
        <w:ind w:firstLine="360" w:firstLineChars="150"/>
        <w:rPr>
          <w:rStyle w:val="21"/>
          <w:rFonts w:hint="eastAsia" w:asciiTheme="minorEastAsia" w:hAnsiTheme="minorEastAsia" w:eastAsiaTheme="minorEastAsia" w:cstheme="minorEastAsia"/>
          <w:color w:val="auto"/>
          <w:kern w:val="2"/>
          <w:sz w:val="24"/>
          <w:szCs w:val="24"/>
          <w:highlight w:val="none"/>
          <w:lang w:val="en-US" w:eastAsia="zh-CN" w:bidi="ar-SA"/>
        </w:rPr>
      </w:pPr>
      <w:r>
        <w:rPr>
          <w:rStyle w:val="21"/>
          <w:rFonts w:hint="eastAsia" w:asciiTheme="minorEastAsia" w:hAnsiTheme="minorEastAsia" w:eastAsiaTheme="minorEastAsia" w:cstheme="minorEastAsia"/>
          <w:color w:val="auto"/>
          <w:kern w:val="2"/>
          <w:sz w:val="24"/>
          <w:szCs w:val="24"/>
          <w:highlight w:val="none"/>
          <w:lang w:val="en-US" w:eastAsia="zh-CN" w:bidi="ar-SA"/>
        </w:rPr>
        <w:t xml:space="preserve">13.8.2质量事故调查处理由发包人按相关规定履行手续，承包人应配合。    </w:t>
      </w:r>
    </w:p>
    <w:p>
      <w:pPr>
        <w:pStyle w:val="65"/>
        <w:tabs>
          <w:tab w:val="left" w:pos="8280"/>
        </w:tabs>
        <w:spacing w:line="360" w:lineRule="auto"/>
        <w:ind w:firstLine="360" w:firstLineChars="150"/>
        <w:rPr>
          <w:rStyle w:val="21"/>
          <w:rFonts w:hint="eastAsia" w:asciiTheme="minorEastAsia" w:hAnsiTheme="minorEastAsia" w:eastAsiaTheme="minorEastAsia" w:cstheme="minorEastAsia"/>
          <w:color w:val="auto"/>
          <w:kern w:val="2"/>
          <w:sz w:val="24"/>
          <w:szCs w:val="24"/>
          <w:highlight w:val="none"/>
          <w:lang w:val="en-US" w:eastAsia="zh-CN" w:bidi="ar-SA"/>
        </w:rPr>
      </w:pPr>
      <w:r>
        <w:rPr>
          <w:rStyle w:val="21"/>
          <w:rFonts w:hint="eastAsia" w:asciiTheme="minorEastAsia" w:hAnsiTheme="minorEastAsia" w:eastAsiaTheme="minorEastAsia" w:cstheme="minorEastAsia"/>
          <w:color w:val="auto"/>
          <w:kern w:val="2"/>
          <w:sz w:val="24"/>
          <w:szCs w:val="24"/>
          <w:highlight w:val="none"/>
          <w:lang w:val="en-US" w:eastAsia="zh-CN" w:bidi="ar-SA"/>
        </w:rPr>
        <w:t>13.8.3承包人应对质量缺陷进行备案。发包人委托监理人对质量缺陷备案情况进行监督检查并履行相关手续。</w:t>
      </w:r>
    </w:p>
    <w:p>
      <w:pPr>
        <w:pStyle w:val="65"/>
        <w:tabs>
          <w:tab w:val="left" w:pos="8280"/>
        </w:tabs>
        <w:spacing w:line="360" w:lineRule="auto"/>
        <w:ind w:firstLine="360" w:firstLineChars="150"/>
        <w:rPr>
          <w:rStyle w:val="21"/>
          <w:rFonts w:hint="eastAsia" w:asciiTheme="minorEastAsia" w:hAnsiTheme="minorEastAsia" w:eastAsiaTheme="minorEastAsia" w:cstheme="minorEastAsia"/>
          <w:color w:val="auto"/>
          <w:kern w:val="2"/>
          <w:sz w:val="24"/>
          <w:szCs w:val="24"/>
          <w:highlight w:val="none"/>
          <w:lang w:val="en-US" w:eastAsia="zh-CN" w:bidi="ar-SA"/>
        </w:rPr>
      </w:pPr>
      <w:r>
        <w:rPr>
          <w:rStyle w:val="21"/>
          <w:rFonts w:hint="eastAsia" w:asciiTheme="minorEastAsia" w:hAnsiTheme="minorEastAsia" w:eastAsiaTheme="minorEastAsia" w:cstheme="minorEastAsia"/>
          <w:color w:val="auto"/>
          <w:kern w:val="2"/>
          <w:sz w:val="24"/>
          <w:szCs w:val="24"/>
          <w:highlight w:val="none"/>
          <w:lang w:val="en-US" w:eastAsia="zh-CN" w:bidi="ar-SA"/>
        </w:rPr>
        <w:t>13.8.4除专用合同条款另有约定外，工程竣工验收时，发包人负责向竣工验收委员会汇报并提交历次质量缺陷处理的备案资料。</w:t>
      </w:r>
    </w:p>
    <w:p>
      <w:pPr>
        <w:pStyle w:val="66"/>
        <w:rPr>
          <w:rStyle w:val="21"/>
          <w:rFonts w:hint="eastAsia" w:asciiTheme="minorEastAsia" w:hAnsiTheme="minorEastAsia" w:eastAsiaTheme="minorEastAsia" w:cstheme="minorEastAsia"/>
          <w:color w:val="auto"/>
          <w:kern w:val="2"/>
          <w:sz w:val="24"/>
          <w:szCs w:val="24"/>
          <w:highlight w:val="none"/>
          <w:lang w:val="en-US" w:eastAsia="zh-CN" w:bidi="ar-SA"/>
        </w:rPr>
      </w:pPr>
      <w:bookmarkStart w:id="282" w:name="_Toc20870"/>
      <w:r>
        <w:rPr>
          <w:rStyle w:val="21"/>
          <w:rFonts w:hint="eastAsia" w:asciiTheme="minorEastAsia" w:hAnsiTheme="minorEastAsia" w:eastAsiaTheme="minorEastAsia" w:cstheme="minorEastAsia"/>
          <w:color w:val="auto"/>
          <w:kern w:val="2"/>
          <w:sz w:val="24"/>
          <w:szCs w:val="24"/>
          <w:highlight w:val="none"/>
          <w:lang w:val="en-US" w:eastAsia="zh-CN" w:bidi="ar-SA"/>
        </w:rPr>
        <w:t>14 试验和检验</w:t>
      </w:r>
      <w:bookmarkEnd w:id="282"/>
    </w:p>
    <w:p>
      <w:pPr>
        <w:pStyle w:val="65"/>
        <w:tabs>
          <w:tab w:val="left" w:pos="8280"/>
        </w:tabs>
        <w:spacing w:line="360" w:lineRule="auto"/>
        <w:rPr>
          <w:rStyle w:val="21"/>
          <w:rFonts w:hint="eastAsia" w:asciiTheme="minorEastAsia" w:hAnsiTheme="minorEastAsia" w:eastAsiaTheme="minorEastAsia" w:cstheme="minorEastAsia"/>
          <w:b/>
          <w:color w:val="auto"/>
          <w:kern w:val="2"/>
          <w:sz w:val="24"/>
          <w:szCs w:val="24"/>
          <w:highlight w:val="none"/>
          <w:lang w:val="en-US" w:eastAsia="zh-CN" w:bidi="ar-SA"/>
        </w:rPr>
      </w:pPr>
      <w:r>
        <w:rPr>
          <w:rStyle w:val="21"/>
          <w:rFonts w:hint="eastAsia" w:asciiTheme="minorEastAsia" w:hAnsiTheme="minorEastAsia" w:eastAsiaTheme="minorEastAsia" w:cstheme="minorEastAsia"/>
          <w:b/>
          <w:color w:val="auto"/>
          <w:kern w:val="2"/>
          <w:sz w:val="24"/>
          <w:szCs w:val="24"/>
          <w:highlight w:val="none"/>
          <w:lang w:val="en-US" w:eastAsia="zh-CN" w:bidi="ar-SA"/>
        </w:rPr>
        <w:t>14.1材料、工程设备和工程的试验和检验</w:t>
      </w:r>
    </w:p>
    <w:p>
      <w:pPr>
        <w:pStyle w:val="65"/>
        <w:tabs>
          <w:tab w:val="left" w:pos="8280"/>
        </w:tabs>
        <w:spacing w:line="360" w:lineRule="auto"/>
        <w:ind w:firstLine="360" w:firstLineChars="150"/>
        <w:rPr>
          <w:rStyle w:val="21"/>
          <w:rFonts w:hint="eastAsia" w:asciiTheme="minorEastAsia" w:hAnsiTheme="minorEastAsia" w:eastAsiaTheme="minorEastAsia" w:cstheme="minorEastAsia"/>
          <w:color w:val="auto"/>
          <w:kern w:val="2"/>
          <w:sz w:val="24"/>
          <w:szCs w:val="24"/>
          <w:highlight w:val="none"/>
          <w:lang w:val="en-US" w:eastAsia="zh-CN" w:bidi="ar-SA"/>
        </w:rPr>
      </w:pPr>
      <w:r>
        <w:rPr>
          <w:rStyle w:val="21"/>
          <w:rFonts w:hint="eastAsia" w:asciiTheme="minorEastAsia" w:hAnsiTheme="minorEastAsia" w:eastAsiaTheme="minorEastAsia" w:cstheme="minorEastAsia"/>
          <w:color w:val="auto"/>
          <w:kern w:val="2"/>
          <w:sz w:val="24"/>
          <w:szCs w:val="24"/>
          <w:highlight w:val="none"/>
          <w:lang w:val="en-US" w:eastAsia="zh-CN" w:bidi="ar-SA"/>
        </w:rPr>
        <w:t>14.1.1承包人应按合同约定进行材料、工程设备和工程的试验和检查，并为监理人对上述材料、工程设备和工程的质量检查提供必要的试验资料和原始记录。按合同约定应由监理人与承包人共同进行试验和检验的，由承包人负责提供必要的试验资料和原始记录。</w:t>
      </w:r>
    </w:p>
    <w:p>
      <w:pPr>
        <w:pStyle w:val="65"/>
        <w:tabs>
          <w:tab w:val="left" w:pos="8280"/>
        </w:tabs>
        <w:spacing w:line="360" w:lineRule="auto"/>
        <w:ind w:firstLine="360" w:firstLineChars="150"/>
        <w:rPr>
          <w:rStyle w:val="21"/>
          <w:rFonts w:hint="eastAsia" w:asciiTheme="minorEastAsia" w:hAnsiTheme="minorEastAsia" w:eastAsiaTheme="minorEastAsia" w:cstheme="minorEastAsia"/>
          <w:color w:val="auto"/>
          <w:kern w:val="2"/>
          <w:sz w:val="24"/>
          <w:szCs w:val="24"/>
          <w:highlight w:val="none"/>
          <w:lang w:val="en-US" w:eastAsia="zh-CN" w:bidi="ar-SA"/>
        </w:rPr>
      </w:pPr>
      <w:r>
        <w:rPr>
          <w:rStyle w:val="21"/>
          <w:rFonts w:hint="eastAsia" w:asciiTheme="minorEastAsia" w:hAnsiTheme="minorEastAsia" w:eastAsiaTheme="minorEastAsia" w:cstheme="minorEastAsia"/>
          <w:color w:val="auto"/>
          <w:kern w:val="2"/>
          <w:sz w:val="24"/>
          <w:szCs w:val="24"/>
          <w:highlight w:val="none"/>
          <w:lang w:val="en-US" w:eastAsia="zh-CN" w:bidi="ar-SA"/>
        </w:rPr>
        <w:t>14.1.2监理人为按合同约定派员参加试验和检验的，除监理人另有指示外，承包人可自行试验和检验，并应立即将试验和检验结果报送监理人，监理人应等签字确认。</w:t>
      </w:r>
    </w:p>
    <w:p>
      <w:pPr>
        <w:pStyle w:val="65"/>
        <w:tabs>
          <w:tab w:val="left" w:pos="8280"/>
        </w:tabs>
        <w:spacing w:line="360" w:lineRule="auto"/>
        <w:ind w:firstLine="360" w:firstLineChars="150"/>
        <w:rPr>
          <w:rStyle w:val="21"/>
          <w:rFonts w:hint="eastAsia" w:asciiTheme="minorEastAsia" w:hAnsiTheme="minorEastAsia" w:eastAsiaTheme="minorEastAsia" w:cstheme="minorEastAsia"/>
          <w:color w:val="auto"/>
          <w:kern w:val="2"/>
          <w:sz w:val="24"/>
          <w:szCs w:val="24"/>
          <w:highlight w:val="none"/>
          <w:lang w:val="en-US" w:eastAsia="zh-CN" w:bidi="ar-SA"/>
        </w:rPr>
      </w:pPr>
      <w:r>
        <w:rPr>
          <w:rStyle w:val="21"/>
          <w:rFonts w:hint="eastAsia" w:asciiTheme="minorEastAsia" w:hAnsiTheme="minorEastAsia" w:eastAsiaTheme="minorEastAsia" w:cstheme="minorEastAsia"/>
          <w:color w:val="auto"/>
          <w:kern w:val="2"/>
          <w:sz w:val="24"/>
          <w:szCs w:val="24"/>
          <w:highlight w:val="none"/>
          <w:lang w:val="en-US" w:eastAsia="zh-CN" w:bidi="ar-SA"/>
        </w:rPr>
        <w:t>14.1.3监理人对承包人的试验和检验结果有疑问的，或为查清承包人试验和检验成果的可靠性要求承包人重新试验和检验的可按合同约定由监理人与承包人共同进行，重新试验和检验的结果证明该项材料、工程设备或工程的质量不符合合同要求的由此增加的费用和（或）工期延误由承包人承担；重新试验和检验结果证明该项材料、工程设备和工程符合合同要求，由发包人承担由此增加的费用和（或）工期延误，并支付承包人合同利润。</w:t>
      </w:r>
    </w:p>
    <w:p>
      <w:pPr>
        <w:pStyle w:val="65"/>
        <w:tabs>
          <w:tab w:val="left" w:pos="8280"/>
        </w:tabs>
        <w:spacing w:line="360" w:lineRule="auto"/>
        <w:ind w:firstLine="360" w:firstLineChars="150"/>
        <w:rPr>
          <w:rStyle w:val="21"/>
          <w:rFonts w:hint="eastAsia" w:asciiTheme="minorEastAsia" w:hAnsiTheme="minorEastAsia" w:eastAsiaTheme="minorEastAsia" w:cstheme="minorEastAsia"/>
          <w:color w:val="auto"/>
          <w:kern w:val="2"/>
          <w:sz w:val="24"/>
          <w:szCs w:val="24"/>
          <w:highlight w:val="none"/>
          <w:lang w:val="en-US" w:eastAsia="zh-CN" w:bidi="ar-SA"/>
        </w:rPr>
      </w:pPr>
      <w:r>
        <w:rPr>
          <w:rStyle w:val="21"/>
          <w:rFonts w:hint="eastAsia" w:asciiTheme="minorEastAsia" w:hAnsiTheme="minorEastAsia" w:eastAsiaTheme="minorEastAsia" w:cstheme="minorEastAsia"/>
          <w:color w:val="auto"/>
          <w:kern w:val="2"/>
          <w:sz w:val="24"/>
          <w:szCs w:val="24"/>
          <w:highlight w:val="none"/>
          <w:lang w:val="en-US" w:eastAsia="zh-CN" w:bidi="ar-SA"/>
        </w:rPr>
        <w:t>14.1.4承包人应按相关规定和标准对水泥、水工金属结构、启闭机及机电产品进场后，监理人组织发包人按合同进行检验，并报监理人复核。</w:t>
      </w:r>
    </w:p>
    <w:p>
      <w:pPr>
        <w:pStyle w:val="65"/>
        <w:tabs>
          <w:tab w:val="left" w:pos="8280"/>
        </w:tabs>
        <w:spacing w:line="360" w:lineRule="auto"/>
        <w:ind w:firstLine="360" w:firstLineChars="150"/>
        <w:rPr>
          <w:rStyle w:val="21"/>
          <w:rFonts w:hint="eastAsia" w:asciiTheme="minorEastAsia" w:hAnsiTheme="minorEastAsia" w:eastAsiaTheme="minorEastAsia" w:cstheme="minorEastAsia"/>
          <w:color w:val="auto"/>
          <w:kern w:val="2"/>
          <w:sz w:val="24"/>
          <w:szCs w:val="24"/>
          <w:highlight w:val="none"/>
          <w:lang w:val="en-US" w:eastAsia="zh-CN" w:bidi="ar-SA"/>
        </w:rPr>
      </w:pPr>
      <w:r>
        <w:rPr>
          <w:rStyle w:val="21"/>
          <w:rFonts w:hint="eastAsia" w:asciiTheme="minorEastAsia" w:hAnsiTheme="minorEastAsia" w:eastAsiaTheme="minorEastAsia" w:cstheme="minorEastAsia"/>
          <w:color w:val="auto"/>
          <w:kern w:val="2"/>
          <w:sz w:val="24"/>
          <w:szCs w:val="24"/>
          <w:highlight w:val="none"/>
          <w:lang w:val="en-US" w:eastAsia="zh-CN" w:bidi="ar-SA"/>
        </w:rPr>
        <w:t>14.1.5除专用合同条款另有约定外，水工金属结构、启闭机及机电产品进场后，监理人组织发包人按合同进行交货检查和验收。安装前，承包人验检查产品是否有出厂合格证、设备安装说明书及有关技术文件，对在运输和存放过程中发生的变形、受潮、损坏等问题应作好记录，并进行妥善处理。</w:t>
      </w:r>
    </w:p>
    <w:p>
      <w:pPr>
        <w:pStyle w:val="65"/>
        <w:tabs>
          <w:tab w:val="left" w:pos="8280"/>
        </w:tabs>
        <w:spacing w:line="360" w:lineRule="auto"/>
        <w:ind w:firstLine="360" w:firstLineChars="150"/>
        <w:rPr>
          <w:rStyle w:val="21"/>
          <w:rFonts w:hint="eastAsia" w:asciiTheme="minorEastAsia" w:hAnsiTheme="minorEastAsia" w:eastAsiaTheme="minorEastAsia" w:cstheme="minorEastAsia"/>
          <w:color w:val="auto"/>
          <w:kern w:val="2"/>
          <w:sz w:val="24"/>
          <w:szCs w:val="24"/>
          <w:highlight w:val="none"/>
          <w:lang w:val="en-US" w:eastAsia="zh-CN" w:bidi="ar-SA"/>
        </w:rPr>
      </w:pPr>
      <w:r>
        <w:rPr>
          <w:rStyle w:val="21"/>
          <w:rFonts w:hint="eastAsia" w:asciiTheme="minorEastAsia" w:hAnsiTheme="minorEastAsia" w:eastAsiaTheme="minorEastAsia" w:cstheme="minorEastAsia"/>
          <w:color w:val="auto"/>
          <w:kern w:val="2"/>
          <w:sz w:val="24"/>
          <w:szCs w:val="24"/>
          <w:highlight w:val="none"/>
          <w:lang w:val="en-US" w:eastAsia="zh-CN" w:bidi="ar-SA"/>
        </w:rPr>
        <w:t>14.1.6对专用合同条款约定的试块、试件及有关材料，监理人实行见证取样。见证取样资料由承包人制备，记录应真实齐全，监理人、承包人等参与见证取样人员均应在相关文件上签字。</w:t>
      </w:r>
    </w:p>
    <w:p>
      <w:pPr>
        <w:pStyle w:val="65"/>
        <w:tabs>
          <w:tab w:val="left" w:pos="8280"/>
        </w:tabs>
        <w:spacing w:line="360" w:lineRule="auto"/>
        <w:rPr>
          <w:rStyle w:val="21"/>
          <w:rFonts w:hint="eastAsia" w:asciiTheme="minorEastAsia" w:hAnsiTheme="minorEastAsia" w:eastAsiaTheme="minorEastAsia" w:cstheme="minorEastAsia"/>
          <w:b/>
          <w:color w:val="auto"/>
          <w:kern w:val="2"/>
          <w:sz w:val="24"/>
          <w:szCs w:val="24"/>
          <w:highlight w:val="none"/>
          <w:lang w:val="en-US" w:eastAsia="zh-CN" w:bidi="ar-SA"/>
        </w:rPr>
      </w:pPr>
      <w:r>
        <w:rPr>
          <w:rStyle w:val="21"/>
          <w:rFonts w:hint="eastAsia" w:asciiTheme="minorEastAsia" w:hAnsiTheme="minorEastAsia" w:eastAsiaTheme="minorEastAsia" w:cstheme="minorEastAsia"/>
          <w:b/>
          <w:color w:val="auto"/>
          <w:kern w:val="2"/>
          <w:sz w:val="24"/>
          <w:szCs w:val="24"/>
          <w:highlight w:val="none"/>
          <w:lang w:val="en-US" w:eastAsia="zh-CN" w:bidi="ar-SA"/>
        </w:rPr>
        <w:t>14.2现场材料试验</w:t>
      </w:r>
    </w:p>
    <w:p>
      <w:pPr>
        <w:pStyle w:val="65"/>
        <w:tabs>
          <w:tab w:val="left" w:pos="8280"/>
        </w:tabs>
        <w:spacing w:line="360" w:lineRule="auto"/>
        <w:ind w:firstLine="360" w:firstLineChars="150"/>
        <w:rPr>
          <w:rStyle w:val="21"/>
          <w:rFonts w:hint="eastAsia" w:asciiTheme="minorEastAsia" w:hAnsiTheme="minorEastAsia" w:eastAsiaTheme="minorEastAsia" w:cstheme="minorEastAsia"/>
          <w:color w:val="auto"/>
          <w:kern w:val="2"/>
          <w:sz w:val="24"/>
          <w:szCs w:val="24"/>
          <w:highlight w:val="none"/>
          <w:lang w:val="en-US" w:eastAsia="zh-CN" w:bidi="ar-SA"/>
        </w:rPr>
      </w:pPr>
      <w:r>
        <w:rPr>
          <w:rStyle w:val="21"/>
          <w:rFonts w:hint="eastAsia" w:asciiTheme="minorEastAsia" w:hAnsiTheme="minorEastAsia" w:eastAsiaTheme="minorEastAsia" w:cstheme="minorEastAsia"/>
          <w:color w:val="auto"/>
          <w:kern w:val="2"/>
          <w:sz w:val="24"/>
          <w:szCs w:val="24"/>
          <w:highlight w:val="none"/>
          <w:lang w:val="en-US" w:eastAsia="zh-CN" w:bidi="ar-SA"/>
        </w:rPr>
        <w:t>14.2.1承包人根据合同约定或监理人指示进行的现场材料试验，应由承包人提供试验场所、试验人员、试验设备器材以及其他必要的试验条件。</w:t>
      </w:r>
    </w:p>
    <w:p>
      <w:pPr>
        <w:pStyle w:val="65"/>
        <w:tabs>
          <w:tab w:val="left" w:pos="8280"/>
        </w:tabs>
        <w:spacing w:line="360" w:lineRule="auto"/>
        <w:ind w:firstLine="360" w:firstLineChars="150"/>
        <w:rPr>
          <w:rStyle w:val="21"/>
          <w:rFonts w:hint="eastAsia" w:asciiTheme="minorEastAsia" w:hAnsiTheme="minorEastAsia" w:eastAsiaTheme="minorEastAsia" w:cstheme="minorEastAsia"/>
          <w:color w:val="auto"/>
          <w:kern w:val="2"/>
          <w:sz w:val="24"/>
          <w:szCs w:val="24"/>
          <w:highlight w:val="none"/>
          <w:lang w:val="en-US" w:eastAsia="zh-CN" w:bidi="ar-SA"/>
        </w:rPr>
      </w:pPr>
      <w:r>
        <w:rPr>
          <w:rStyle w:val="21"/>
          <w:rFonts w:hint="eastAsia" w:asciiTheme="minorEastAsia" w:hAnsiTheme="minorEastAsia" w:eastAsiaTheme="minorEastAsia" w:cstheme="minorEastAsia"/>
          <w:color w:val="auto"/>
          <w:kern w:val="2"/>
          <w:sz w:val="24"/>
          <w:szCs w:val="24"/>
          <w:highlight w:val="none"/>
          <w:lang w:val="en-US" w:eastAsia="zh-CN" w:bidi="ar-SA"/>
        </w:rPr>
        <w:t>14.2.2监理人在必要时可以使用人的试验场所、试验设备器材以及其他试验条件，进行以工程质量检查为目的的复核性材料试验，承包人应予以协助。</w:t>
      </w:r>
    </w:p>
    <w:p>
      <w:pPr>
        <w:pStyle w:val="66"/>
        <w:rPr>
          <w:rStyle w:val="21"/>
          <w:rFonts w:hint="eastAsia" w:asciiTheme="minorEastAsia" w:hAnsiTheme="minorEastAsia" w:eastAsiaTheme="minorEastAsia" w:cstheme="minorEastAsia"/>
          <w:color w:val="auto"/>
          <w:kern w:val="2"/>
          <w:sz w:val="24"/>
          <w:szCs w:val="24"/>
          <w:highlight w:val="none"/>
          <w:lang w:val="en-US" w:eastAsia="zh-CN" w:bidi="ar-SA"/>
        </w:rPr>
      </w:pPr>
      <w:bookmarkStart w:id="283" w:name="_Toc25266"/>
      <w:r>
        <w:rPr>
          <w:rStyle w:val="21"/>
          <w:rFonts w:hint="eastAsia" w:asciiTheme="minorEastAsia" w:hAnsiTheme="minorEastAsia" w:eastAsiaTheme="minorEastAsia" w:cstheme="minorEastAsia"/>
          <w:color w:val="auto"/>
          <w:kern w:val="2"/>
          <w:sz w:val="24"/>
          <w:szCs w:val="24"/>
          <w:highlight w:val="none"/>
          <w:lang w:val="en-US" w:eastAsia="zh-CN" w:bidi="ar-SA"/>
        </w:rPr>
        <w:t>15 变更</w:t>
      </w:r>
      <w:bookmarkEnd w:id="283"/>
    </w:p>
    <w:p>
      <w:pPr>
        <w:pStyle w:val="65"/>
        <w:tabs>
          <w:tab w:val="left" w:pos="8280"/>
        </w:tabs>
        <w:spacing w:line="360" w:lineRule="auto"/>
        <w:rPr>
          <w:rStyle w:val="21"/>
          <w:rFonts w:hint="eastAsia" w:asciiTheme="minorEastAsia" w:hAnsiTheme="minorEastAsia" w:eastAsiaTheme="minorEastAsia" w:cstheme="minorEastAsia"/>
          <w:color w:val="auto"/>
          <w:kern w:val="2"/>
          <w:sz w:val="24"/>
          <w:szCs w:val="24"/>
          <w:highlight w:val="none"/>
          <w:lang w:val="en-US" w:eastAsia="zh-CN" w:bidi="ar-SA"/>
        </w:rPr>
      </w:pPr>
      <w:r>
        <w:rPr>
          <w:rStyle w:val="21"/>
          <w:rFonts w:hint="eastAsia" w:asciiTheme="minorEastAsia" w:hAnsiTheme="minorEastAsia" w:eastAsiaTheme="minorEastAsia" w:cstheme="minorEastAsia"/>
          <w:b/>
          <w:color w:val="auto"/>
          <w:kern w:val="2"/>
          <w:sz w:val="24"/>
          <w:szCs w:val="24"/>
          <w:highlight w:val="none"/>
          <w:lang w:val="en-US" w:eastAsia="zh-CN" w:bidi="ar-SA"/>
        </w:rPr>
        <w:t>15.1变更的范围和内容</w:t>
      </w:r>
    </w:p>
    <w:p>
      <w:pPr>
        <w:pStyle w:val="65"/>
        <w:tabs>
          <w:tab w:val="left" w:pos="8280"/>
        </w:tabs>
        <w:spacing w:line="360" w:lineRule="auto"/>
        <w:ind w:firstLine="360" w:firstLineChars="150"/>
        <w:rPr>
          <w:rStyle w:val="21"/>
          <w:rFonts w:hint="eastAsia" w:asciiTheme="minorEastAsia" w:hAnsiTheme="minorEastAsia" w:eastAsiaTheme="minorEastAsia" w:cstheme="minorEastAsia"/>
          <w:color w:val="auto"/>
          <w:kern w:val="2"/>
          <w:sz w:val="24"/>
          <w:szCs w:val="24"/>
          <w:highlight w:val="none"/>
          <w:lang w:val="en-US" w:eastAsia="zh-CN" w:bidi="ar-SA"/>
        </w:rPr>
      </w:pPr>
      <w:r>
        <w:rPr>
          <w:rStyle w:val="21"/>
          <w:rFonts w:hint="eastAsia" w:asciiTheme="minorEastAsia" w:hAnsiTheme="minorEastAsia" w:eastAsiaTheme="minorEastAsia" w:cstheme="minorEastAsia"/>
          <w:color w:val="auto"/>
          <w:kern w:val="2"/>
          <w:sz w:val="24"/>
          <w:szCs w:val="24"/>
          <w:highlight w:val="none"/>
          <w:lang w:val="en-US" w:eastAsia="zh-CN" w:bidi="ar-SA"/>
        </w:rPr>
        <w:t>在履行合同发生以下情形之一，应按照本款规定进行变更。</w:t>
      </w:r>
    </w:p>
    <w:p>
      <w:pPr>
        <w:pStyle w:val="65"/>
        <w:tabs>
          <w:tab w:val="left" w:pos="8280"/>
        </w:tabs>
        <w:spacing w:line="360" w:lineRule="auto"/>
        <w:ind w:firstLine="360" w:firstLineChars="150"/>
        <w:rPr>
          <w:rStyle w:val="21"/>
          <w:rFonts w:hint="eastAsia" w:asciiTheme="minorEastAsia" w:hAnsiTheme="minorEastAsia" w:eastAsiaTheme="minorEastAsia" w:cstheme="minorEastAsia"/>
          <w:color w:val="auto"/>
          <w:kern w:val="2"/>
          <w:sz w:val="24"/>
          <w:szCs w:val="24"/>
          <w:highlight w:val="none"/>
          <w:lang w:val="en-US" w:eastAsia="zh-CN" w:bidi="ar-SA"/>
        </w:rPr>
      </w:pPr>
      <w:r>
        <w:rPr>
          <w:rStyle w:val="21"/>
          <w:rFonts w:hint="eastAsia" w:asciiTheme="minorEastAsia" w:hAnsiTheme="minorEastAsia" w:eastAsiaTheme="minorEastAsia" w:cstheme="minorEastAsia"/>
          <w:color w:val="auto"/>
          <w:kern w:val="2"/>
          <w:sz w:val="24"/>
          <w:szCs w:val="24"/>
          <w:highlight w:val="none"/>
          <w:lang w:val="en-US" w:eastAsia="zh-CN" w:bidi="ar-SA"/>
        </w:rPr>
        <w:t>（1）取消合同中任何一项工作，但被取消的工作不能转由发包人或其它人实施：</w:t>
      </w:r>
    </w:p>
    <w:p>
      <w:pPr>
        <w:pStyle w:val="65"/>
        <w:tabs>
          <w:tab w:val="left" w:pos="8280"/>
        </w:tabs>
        <w:spacing w:line="360" w:lineRule="auto"/>
        <w:ind w:firstLine="360" w:firstLineChars="150"/>
        <w:rPr>
          <w:rStyle w:val="21"/>
          <w:rFonts w:hint="eastAsia" w:asciiTheme="minorEastAsia" w:hAnsiTheme="minorEastAsia" w:eastAsiaTheme="minorEastAsia" w:cstheme="minorEastAsia"/>
          <w:color w:val="auto"/>
          <w:kern w:val="2"/>
          <w:sz w:val="24"/>
          <w:szCs w:val="24"/>
          <w:highlight w:val="none"/>
          <w:lang w:val="en-US" w:eastAsia="zh-CN" w:bidi="ar-SA"/>
        </w:rPr>
      </w:pPr>
      <w:r>
        <w:rPr>
          <w:rStyle w:val="21"/>
          <w:rFonts w:hint="eastAsia" w:asciiTheme="minorEastAsia" w:hAnsiTheme="minorEastAsia" w:eastAsiaTheme="minorEastAsia" w:cstheme="minorEastAsia"/>
          <w:color w:val="auto"/>
          <w:kern w:val="2"/>
          <w:sz w:val="24"/>
          <w:szCs w:val="24"/>
          <w:highlight w:val="none"/>
          <w:lang w:val="en-US" w:eastAsia="zh-CN" w:bidi="ar-SA"/>
        </w:rPr>
        <w:t>（2）改变合同任何一项工作的质量或其它特性；</w:t>
      </w:r>
    </w:p>
    <w:p>
      <w:pPr>
        <w:pStyle w:val="65"/>
        <w:tabs>
          <w:tab w:val="left" w:pos="8280"/>
        </w:tabs>
        <w:spacing w:line="360" w:lineRule="auto"/>
        <w:ind w:firstLine="360" w:firstLineChars="150"/>
        <w:rPr>
          <w:rStyle w:val="21"/>
          <w:rFonts w:hint="eastAsia" w:asciiTheme="minorEastAsia" w:hAnsiTheme="minorEastAsia" w:eastAsiaTheme="minorEastAsia" w:cstheme="minorEastAsia"/>
          <w:color w:val="auto"/>
          <w:kern w:val="2"/>
          <w:sz w:val="24"/>
          <w:szCs w:val="24"/>
          <w:highlight w:val="none"/>
          <w:lang w:val="en-US" w:eastAsia="zh-CN" w:bidi="ar-SA"/>
        </w:rPr>
      </w:pPr>
      <w:r>
        <w:rPr>
          <w:rStyle w:val="21"/>
          <w:rFonts w:hint="eastAsia" w:asciiTheme="minorEastAsia" w:hAnsiTheme="minorEastAsia" w:eastAsiaTheme="minorEastAsia" w:cstheme="minorEastAsia"/>
          <w:color w:val="auto"/>
          <w:kern w:val="2"/>
          <w:sz w:val="24"/>
          <w:szCs w:val="24"/>
          <w:highlight w:val="none"/>
          <w:lang w:val="en-US" w:eastAsia="zh-CN" w:bidi="ar-SA"/>
        </w:rPr>
        <w:t>（3）改变合同工程的基线、标高、位置或尺寸；</w:t>
      </w:r>
    </w:p>
    <w:p>
      <w:pPr>
        <w:pStyle w:val="65"/>
        <w:tabs>
          <w:tab w:val="left" w:pos="8280"/>
        </w:tabs>
        <w:spacing w:line="360" w:lineRule="auto"/>
        <w:ind w:firstLine="360" w:firstLineChars="150"/>
        <w:rPr>
          <w:rStyle w:val="21"/>
          <w:rFonts w:hint="eastAsia" w:asciiTheme="minorEastAsia" w:hAnsiTheme="minorEastAsia" w:eastAsiaTheme="minorEastAsia" w:cstheme="minorEastAsia"/>
          <w:color w:val="auto"/>
          <w:kern w:val="2"/>
          <w:sz w:val="24"/>
          <w:szCs w:val="24"/>
          <w:highlight w:val="none"/>
          <w:lang w:val="en-US" w:eastAsia="zh-CN" w:bidi="ar-SA"/>
        </w:rPr>
      </w:pPr>
      <w:r>
        <w:rPr>
          <w:rStyle w:val="21"/>
          <w:rFonts w:hint="eastAsia" w:asciiTheme="minorEastAsia" w:hAnsiTheme="minorEastAsia" w:eastAsiaTheme="minorEastAsia" w:cstheme="minorEastAsia"/>
          <w:color w:val="auto"/>
          <w:kern w:val="2"/>
          <w:sz w:val="24"/>
          <w:szCs w:val="24"/>
          <w:highlight w:val="none"/>
          <w:lang w:val="en-US" w:eastAsia="zh-CN" w:bidi="ar-SA"/>
        </w:rPr>
        <w:t>（4）改变合同任何一项工作的施工时间或改变已批准的施工工艺或顺序；</w:t>
      </w:r>
    </w:p>
    <w:p>
      <w:pPr>
        <w:pStyle w:val="65"/>
        <w:tabs>
          <w:tab w:val="left" w:pos="8280"/>
        </w:tabs>
        <w:spacing w:line="360" w:lineRule="auto"/>
        <w:ind w:firstLine="360" w:firstLineChars="150"/>
        <w:rPr>
          <w:rStyle w:val="21"/>
          <w:rFonts w:hint="eastAsia" w:asciiTheme="minorEastAsia" w:hAnsiTheme="minorEastAsia" w:eastAsiaTheme="minorEastAsia" w:cstheme="minorEastAsia"/>
          <w:color w:val="auto"/>
          <w:kern w:val="2"/>
          <w:sz w:val="24"/>
          <w:szCs w:val="24"/>
          <w:highlight w:val="none"/>
          <w:lang w:val="en-US" w:eastAsia="zh-CN" w:bidi="ar-SA"/>
        </w:rPr>
      </w:pPr>
      <w:r>
        <w:rPr>
          <w:rStyle w:val="21"/>
          <w:rFonts w:hint="eastAsia" w:asciiTheme="minorEastAsia" w:hAnsiTheme="minorEastAsia" w:eastAsiaTheme="minorEastAsia" w:cstheme="minorEastAsia"/>
          <w:color w:val="auto"/>
          <w:kern w:val="2"/>
          <w:sz w:val="24"/>
          <w:szCs w:val="24"/>
          <w:highlight w:val="none"/>
          <w:lang w:val="en-US" w:eastAsia="zh-CN" w:bidi="ar-SA"/>
        </w:rPr>
        <w:t>（5）为完成工程需要追加的额外工作；</w:t>
      </w:r>
    </w:p>
    <w:p>
      <w:pPr>
        <w:pStyle w:val="65"/>
        <w:tabs>
          <w:tab w:val="left" w:pos="8280"/>
        </w:tabs>
        <w:spacing w:line="360" w:lineRule="auto"/>
        <w:ind w:firstLine="360" w:firstLineChars="150"/>
        <w:rPr>
          <w:rStyle w:val="21"/>
          <w:rFonts w:hint="eastAsia" w:asciiTheme="minorEastAsia" w:hAnsiTheme="minorEastAsia" w:eastAsiaTheme="minorEastAsia" w:cstheme="minorEastAsia"/>
          <w:color w:val="auto"/>
          <w:kern w:val="2"/>
          <w:sz w:val="24"/>
          <w:szCs w:val="24"/>
          <w:highlight w:val="none"/>
          <w:lang w:val="en-US" w:eastAsia="zh-CN" w:bidi="ar-SA"/>
        </w:rPr>
      </w:pPr>
      <w:r>
        <w:rPr>
          <w:rStyle w:val="21"/>
          <w:rFonts w:hint="eastAsia" w:asciiTheme="minorEastAsia" w:hAnsiTheme="minorEastAsia" w:eastAsiaTheme="minorEastAsia" w:cstheme="minorEastAsia"/>
          <w:color w:val="auto"/>
          <w:kern w:val="2"/>
          <w:sz w:val="24"/>
          <w:szCs w:val="24"/>
          <w:highlight w:val="none"/>
          <w:lang w:val="en-US" w:eastAsia="zh-CN" w:bidi="ar-SA"/>
        </w:rPr>
        <w:t>（6）增加或减少专用条款中约定的关键项目工程量超过其工程总量的一定数量百分比。</w:t>
      </w:r>
    </w:p>
    <w:p>
      <w:pPr>
        <w:pStyle w:val="65"/>
        <w:tabs>
          <w:tab w:val="left" w:pos="8280"/>
        </w:tabs>
        <w:spacing w:line="360" w:lineRule="auto"/>
        <w:ind w:firstLine="360" w:firstLineChars="150"/>
        <w:rPr>
          <w:rStyle w:val="21"/>
          <w:rFonts w:hint="eastAsia" w:asciiTheme="minorEastAsia" w:hAnsiTheme="minorEastAsia" w:eastAsiaTheme="minorEastAsia" w:cstheme="minorEastAsia"/>
          <w:color w:val="auto"/>
          <w:kern w:val="2"/>
          <w:sz w:val="24"/>
          <w:szCs w:val="24"/>
          <w:highlight w:val="none"/>
          <w:lang w:val="en-US" w:eastAsia="zh-CN" w:bidi="ar-SA"/>
        </w:rPr>
      </w:pPr>
      <w:r>
        <w:rPr>
          <w:rStyle w:val="21"/>
          <w:rFonts w:hint="eastAsia" w:asciiTheme="minorEastAsia" w:hAnsiTheme="minorEastAsia" w:eastAsiaTheme="minorEastAsia" w:cstheme="minorEastAsia"/>
          <w:color w:val="auto"/>
          <w:kern w:val="2"/>
          <w:sz w:val="24"/>
          <w:szCs w:val="24"/>
          <w:highlight w:val="none"/>
          <w:lang w:val="en-US" w:eastAsia="zh-CN" w:bidi="ar-SA"/>
        </w:rPr>
        <w:t>上述第（1）～（6）目的变更内容引起工程施工组织和进度计划发生实质性变动和影响其原定的价格时，才予调整该项目的单价。第（6）目的情形下单价调整方式在专用合同条款中约定。</w:t>
      </w:r>
    </w:p>
    <w:p>
      <w:pPr>
        <w:pStyle w:val="65"/>
        <w:tabs>
          <w:tab w:val="left" w:pos="8280"/>
        </w:tabs>
        <w:spacing w:line="360" w:lineRule="auto"/>
        <w:rPr>
          <w:rStyle w:val="21"/>
          <w:rFonts w:hint="eastAsia" w:asciiTheme="minorEastAsia" w:hAnsiTheme="minorEastAsia" w:eastAsiaTheme="minorEastAsia" w:cstheme="minorEastAsia"/>
          <w:color w:val="auto"/>
          <w:kern w:val="2"/>
          <w:sz w:val="24"/>
          <w:szCs w:val="24"/>
          <w:highlight w:val="none"/>
          <w:lang w:val="en-US" w:eastAsia="zh-CN" w:bidi="ar-SA"/>
        </w:rPr>
      </w:pPr>
      <w:r>
        <w:rPr>
          <w:rStyle w:val="21"/>
          <w:rFonts w:hint="eastAsia" w:asciiTheme="minorEastAsia" w:hAnsiTheme="minorEastAsia" w:eastAsiaTheme="minorEastAsia" w:cstheme="minorEastAsia"/>
          <w:b/>
          <w:color w:val="auto"/>
          <w:kern w:val="2"/>
          <w:sz w:val="24"/>
          <w:szCs w:val="24"/>
          <w:highlight w:val="none"/>
          <w:lang w:val="en-US" w:eastAsia="zh-CN" w:bidi="ar-SA"/>
        </w:rPr>
        <w:t>15.2变更权</w:t>
      </w:r>
    </w:p>
    <w:p>
      <w:pPr>
        <w:pStyle w:val="65"/>
        <w:tabs>
          <w:tab w:val="left" w:pos="8280"/>
        </w:tabs>
        <w:spacing w:line="360" w:lineRule="auto"/>
        <w:ind w:firstLine="360" w:firstLineChars="150"/>
        <w:rPr>
          <w:rStyle w:val="21"/>
          <w:rFonts w:hint="eastAsia" w:asciiTheme="minorEastAsia" w:hAnsiTheme="minorEastAsia" w:eastAsiaTheme="minorEastAsia" w:cstheme="minorEastAsia"/>
          <w:color w:val="auto"/>
          <w:kern w:val="2"/>
          <w:sz w:val="24"/>
          <w:szCs w:val="24"/>
          <w:highlight w:val="none"/>
          <w:lang w:val="en-US" w:eastAsia="zh-CN" w:bidi="ar-SA"/>
        </w:rPr>
      </w:pPr>
      <w:r>
        <w:rPr>
          <w:rStyle w:val="21"/>
          <w:rFonts w:hint="eastAsia" w:asciiTheme="minorEastAsia" w:hAnsiTheme="minorEastAsia" w:eastAsiaTheme="minorEastAsia" w:cstheme="minorEastAsia"/>
          <w:color w:val="auto"/>
          <w:kern w:val="2"/>
          <w:sz w:val="24"/>
          <w:szCs w:val="24"/>
          <w:highlight w:val="none"/>
          <w:lang w:val="en-US" w:eastAsia="zh-CN" w:bidi="ar-SA"/>
        </w:rPr>
        <w:t>在履行合同过程中，经发包人同意，监理人可按第15.3款约定变更程序向承包人作出变更指示，承包人应遵照执行。没有监理人的变更指示，承包人不得擅自变更。</w:t>
      </w:r>
    </w:p>
    <w:p>
      <w:pPr>
        <w:pStyle w:val="65"/>
        <w:tabs>
          <w:tab w:val="left" w:pos="8280"/>
        </w:tabs>
        <w:spacing w:line="360" w:lineRule="auto"/>
        <w:rPr>
          <w:rStyle w:val="21"/>
          <w:rFonts w:hint="eastAsia" w:asciiTheme="minorEastAsia" w:hAnsiTheme="minorEastAsia" w:eastAsiaTheme="minorEastAsia" w:cstheme="minorEastAsia"/>
          <w:b/>
          <w:color w:val="auto"/>
          <w:kern w:val="2"/>
          <w:sz w:val="24"/>
          <w:szCs w:val="24"/>
          <w:highlight w:val="none"/>
          <w:lang w:val="en-US" w:eastAsia="zh-CN" w:bidi="ar-SA"/>
        </w:rPr>
      </w:pPr>
      <w:r>
        <w:rPr>
          <w:rStyle w:val="21"/>
          <w:rFonts w:hint="eastAsia" w:asciiTheme="minorEastAsia" w:hAnsiTheme="minorEastAsia" w:eastAsiaTheme="minorEastAsia" w:cstheme="minorEastAsia"/>
          <w:b/>
          <w:color w:val="auto"/>
          <w:kern w:val="2"/>
          <w:sz w:val="24"/>
          <w:szCs w:val="24"/>
          <w:highlight w:val="none"/>
          <w:lang w:val="en-US" w:eastAsia="zh-CN" w:bidi="ar-SA"/>
        </w:rPr>
        <w:t>15.3变更程序</w:t>
      </w:r>
    </w:p>
    <w:p>
      <w:pPr>
        <w:pStyle w:val="65"/>
        <w:tabs>
          <w:tab w:val="left" w:pos="8280"/>
        </w:tabs>
        <w:spacing w:line="360" w:lineRule="auto"/>
        <w:ind w:firstLine="360" w:firstLineChars="150"/>
        <w:rPr>
          <w:rStyle w:val="21"/>
          <w:rFonts w:hint="eastAsia" w:asciiTheme="minorEastAsia" w:hAnsiTheme="minorEastAsia" w:eastAsiaTheme="minorEastAsia" w:cstheme="minorEastAsia"/>
          <w:color w:val="auto"/>
          <w:kern w:val="2"/>
          <w:sz w:val="24"/>
          <w:szCs w:val="24"/>
          <w:highlight w:val="none"/>
          <w:lang w:val="en-US" w:eastAsia="zh-CN" w:bidi="ar-SA"/>
        </w:rPr>
      </w:pPr>
      <w:r>
        <w:rPr>
          <w:rStyle w:val="21"/>
          <w:rFonts w:hint="eastAsia" w:asciiTheme="minorEastAsia" w:hAnsiTheme="minorEastAsia" w:eastAsiaTheme="minorEastAsia" w:cstheme="minorEastAsia"/>
          <w:color w:val="auto"/>
          <w:kern w:val="2"/>
          <w:sz w:val="24"/>
          <w:szCs w:val="24"/>
          <w:highlight w:val="none"/>
          <w:lang w:val="en-US" w:eastAsia="zh-CN" w:bidi="ar-SA"/>
        </w:rPr>
        <w:t>15.3.1变更的提出</w:t>
      </w:r>
    </w:p>
    <w:p>
      <w:pPr>
        <w:pStyle w:val="65"/>
        <w:tabs>
          <w:tab w:val="left" w:pos="8280"/>
        </w:tabs>
        <w:spacing w:line="360" w:lineRule="auto"/>
        <w:ind w:firstLine="360" w:firstLineChars="150"/>
        <w:rPr>
          <w:rStyle w:val="21"/>
          <w:rFonts w:hint="eastAsia" w:asciiTheme="minorEastAsia" w:hAnsiTheme="minorEastAsia" w:eastAsiaTheme="minorEastAsia" w:cstheme="minorEastAsia"/>
          <w:color w:val="auto"/>
          <w:kern w:val="2"/>
          <w:sz w:val="24"/>
          <w:szCs w:val="24"/>
          <w:highlight w:val="none"/>
          <w:lang w:val="en-US" w:eastAsia="zh-CN" w:bidi="ar-SA"/>
        </w:rPr>
      </w:pPr>
      <w:r>
        <w:rPr>
          <w:rStyle w:val="21"/>
          <w:rFonts w:hint="eastAsia" w:asciiTheme="minorEastAsia" w:hAnsiTheme="minorEastAsia" w:eastAsiaTheme="minorEastAsia" w:cstheme="minorEastAsia"/>
          <w:color w:val="auto"/>
          <w:kern w:val="2"/>
          <w:sz w:val="24"/>
          <w:szCs w:val="24"/>
          <w:highlight w:val="none"/>
          <w:lang w:val="en-US" w:eastAsia="zh-CN" w:bidi="ar-SA"/>
        </w:rPr>
        <w:t>（1）在合同履行过程中，可能发生地15.1款约定情形的，监理人可乡承包人发出变更意向书。变更意向书应说明变更的具体内容和发包人对变更的时间要求，并附必要的图纸和相关资料。变更意向书应要求承包人提交包括拟实施变更工作的计划、措施和竣工时间等内容的实施方案。发包人同意承包人更具变更意向书要求提交的变更实施方案的，由监理人按第15.3.3相约发出变更指示。</w:t>
      </w:r>
    </w:p>
    <w:p>
      <w:pPr>
        <w:pStyle w:val="65"/>
        <w:tabs>
          <w:tab w:val="left" w:pos="8280"/>
        </w:tabs>
        <w:spacing w:line="360" w:lineRule="auto"/>
        <w:ind w:firstLine="360" w:firstLineChars="150"/>
        <w:rPr>
          <w:rStyle w:val="21"/>
          <w:rFonts w:hint="eastAsia" w:asciiTheme="minorEastAsia" w:hAnsiTheme="minorEastAsia" w:eastAsiaTheme="minorEastAsia" w:cstheme="minorEastAsia"/>
          <w:color w:val="auto"/>
          <w:kern w:val="2"/>
          <w:sz w:val="24"/>
          <w:szCs w:val="24"/>
          <w:highlight w:val="none"/>
          <w:lang w:val="en-US" w:eastAsia="zh-CN" w:bidi="ar-SA"/>
        </w:rPr>
      </w:pPr>
      <w:r>
        <w:rPr>
          <w:rStyle w:val="21"/>
          <w:rFonts w:hint="eastAsia" w:asciiTheme="minorEastAsia" w:hAnsiTheme="minorEastAsia" w:eastAsiaTheme="minorEastAsia" w:cstheme="minorEastAsia"/>
          <w:color w:val="auto"/>
          <w:kern w:val="2"/>
          <w:sz w:val="24"/>
          <w:szCs w:val="24"/>
          <w:highlight w:val="none"/>
          <w:lang w:val="en-US" w:eastAsia="zh-CN" w:bidi="ar-SA"/>
        </w:rPr>
        <w:t>（2）在合同履行过程中，发生地15.1款约定定情的，监理人应按照第15.3.3项约定向承包人发出变更指示。</w:t>
      </w:r>
    </w:p>
    <w:p>
      <w:pPr>
        <w:pStyle w:val="65"/>
        <w:tabs>
          <w:tab w:val="left" w:pos="8280"/>
        </w:tabs>
        <w:spacing w:line="360" w:lineRule="auto"/>
        <w:ind w:firstLine="360" w:firstLineChars="150"/>
        <w:rPr>
          <w:rStyle w:val="21"/>
          <w:rFonts w:hint="eastAsia" w:asciiTheme="minorEastAsia" w:hAnsiTheme="minorEastAsia" w:eastAsiaTheme="minorEastAsia" w:cstheme="minorEastAsia"/>
          <w:color w:val="auto"/>
          <w:kern w:val="2"/>
          <w:sz w:val="24"/>
          <w:szCs w:val="24"/>
          <w:highlight w:val="none"/>
          <w:lang w:val="en-US" w:eastAsia="zh-CN" w:bidi="ar-SA"/>
        </w:rPr>
      </w:pPr>
      <w:r>
        <w:rPr>
          <w:rStyle w:val="21"/>
          <w:rFonts w:hint="eastAsia" w:asciiTheme="minorEastAsia" w:hAnsiTheme="minorEastAsia" w:eastAsiaTheme="minorEastAsia" w:cstheme="minorEastAsia"/>
          <w:color w:val="auto"/>
          <w:kern w:val="2"/>
          <w:sz w:val="24"/>
          <w:szCs w:val="24"/>
          <w:highlight w:val="none"/>
          <w:lang w:val="en-US" w:eastAsia="zh-CN" w:bidi="ar-SA"/>
        </w:rPr>
        <w:t>（3）承包人收到监理人按合同约定发出的图纸和文件，经检查认为其中存在第15.1款约定情形的，可向监理人提出书面变更建议，变更建议应阐明要求的依据，并附必要的图纸和说明。监理人收到承包人书面建议后，应先发包人共同研究，确认存在变更的，应在收到承包人书面建议后的14天内作出变更指示。经研究后不同意作为变更的应由监理人书面答复承包人。</w:t>
      </w:r>
    </w:p>
    <w:p>
      <w:pPr>
        <w:pStyle w:val="65"/>
        <w:tabs>
          <w:tab w:val="left" w:pos="8280"/>
        </w:tabs>
        <w:spacing w:line="360" w:lineRule="auto"/>
        <w:ind w:firstLine="360" w:firstLineChars="150"/>
        <w:rPr>
          <w:rStyle w:val="21"/>
          <w:rFonts w:hint="eastAsia" w:asciiTheme="minorEastAsia" w:hAnsiTheme="minorEastAsia" w:eastAsiaTheme="minorEastAsia" w:cstheme="minorEastAsia"/>
          <w:color w:val="auto"/>
          <w:kern w:val="2"/>
          <w:sz w:val="24"/>
          <w:szCs w:val="24"/>
          <w:highlight w:val="none"/>
          <w:lang w:val="en-US" w:eastAsia="zh-CN" w:bidi="ar-SA"/>
        </w:rPr>
      </w:pPr>
      <w:r>
        <w:rPr>
          <w:rStyle w:val="21"/>
          <w:rFonts w:hint="eastAsia" w:asciiTheme="minorEastAsia" w:hAnsiTheme="minorEastAsia" w:eastAsiaTheme="minorEastAsia" w:cstheme="minorEastAsia"/>
          <w:color w:val="auto"/>
          <w:kern w:val="2"/>
          <w:sz w:val="24"/>
          <w:szCs w:val="24"/>
          <w:highlight w:val="none"/>
          <w:lang w:val="en-US" w:eastAsia="zh-CN" w:bidi="ar-SA"/>
        </w:rPr>
        <w:t>（4）若承包人收到监理人的变更意向书后认为难以实施此项变更，应以即通知监理人，说明原因并附详细依据。监理人与承包人和发包人协商后确定撤销、改变或不改变原变更意向书。</w:t>
      </w:r>
    </w:p>
    <w:p>
      <w:pPr>
        <w:pStyle w:val="65"/>
        <w:tabs>
          <w:tab w:val="left" w:pos="8280"/>
        </w:tabs>
        <w:spacing w:line="360" w:lineRule="auto"/>
        <w:ind w:firstLine="360" w:firstLineChars="150"/>
        <w:rPr>
          <w:rStyle w:val="21"/>
          <w:rFonts w:hint="eastAsia" w:asciiTheme="minorEastAsia" w:hAnsiTheme="minorEastAsia" w:eastAsiaTheme="minorEastAsia" w:cstheme="minorEastAsia"/>
          <w:color w:val="auto"/>
          <w:kern w:val="2"/>
          <w:sz w:val="24"/>
          <w:szCs w:val="24"/>
          <w:highlight w:val="none"/>
          <w:lang w:val="en-US" w:eastAsia="zh-CN" w:bidi="ar-SA"/>
        </w:rPr>
      </w:pPr>
      <w:r>
        <w:rPr>
          <w:rStyle w:val="21"/>
          <w:rFonts w:hint="eastAsia" w:asciiTheme="minorEastAsia" w:hAnsiTheme="minorEastAsia" w:eastAsiaTheme="minorEastAsia" w:cstheme="minorEastAsia"/>
          <w:color w:val="auto"/>
          <w:kern w:val="2"/>
          <w:sz w:val="24"/>
          <w:szCs w:val="24"/>
          <w:highlight w:val="none"/>
          <w:lang w:val="en-US" w:eastAsia="zh-CN" w:bidi="ar-SA"/>
        </w:rPr>
        <w:t>15.3.2变更估价</w:t>
      </w:r>
    </w:p>
    <w:p>
      <w:pPr>
        <w:pStyle w:val="65"/>
        <w:tabs>
          <w:tab w:val="left" w:pos="8280"/>
        </w:tabs>
        <w:spacing w:line="360" w:lineRule="auto"/>
        <w:ind w:firstLine="360" w:firstLineChars="150"/>
        <w:rPr>
          <w:rStyle w:val="21"/>
          <w:rFonts w:hint="eastAsia" w:asciiTheme="minorEastAsia" w:hAnsiTheme="minorEastAsia" w:eastAsiaTheme="minorEastAsia" w:cstheme="minorEastAsia"/>
          <w:color w:val="auto"/>
          <w:kern w:val="2"/>
          <w:sz w:val="24"/>
          <w:szCs w:val="24"/>
          <w:highlight w:val="none"/>
          <w:lang w:val="en-US" w:eastAsia="zh-CN" w:bidi="ar-SA"/>
        </w:rPr>
      </w:pPr>
      <w:r>
        <w:rPr>
          <w:rStyle w:val="21"/>
          <w:rFonts w:hint="eastAsia" w:asciiTheme="minorEastAsia" w:hAnsiTheme="minorEastAsia" w:eastAsiaTheme="minorEastAsia" w:cstheme="minorEastAsia"/>
          <w:color w:val="auto"/>
          <w:kern w:val="2"/>
          <w:sz w:val="24"/>
          <w:szCs w:val="24"/>
          <w:highlight w:val="none"/>
          <w:lang w:val="en-US" w:eastAsia="zh-CN" w:bidi="ar-SA"/>
        </w:rPr>
        <w:t>（1）除专用合同条款对期限另有约定外，承包人应在收到变更指示或变更意向书后的14天内，向监理人提交变更标价书，报价内应根据第15.4款约定的估价原则，详细开列变更工作的价格组成其依据，并附必要的施工方法说明和有关图纸。</w:t>
      </w:r>
    </w:p>
    <w:p>
      <w:pPr>
        <w:pStyle w:val="65"/>
        <w:tabs>
          <w:tab w:val="left" w:pos="8280"/>
        </w:tabs>
        <w:spacing w:line="360" w:lineRule="auto"/>
        <w:ind w:firstLine="360" w:firstLineChars="150"/>
        <w:rPr>
          <w:rStyle w:val="21"/>
          <w:rFonts w:hint="eastAsia" w:asciiTheme="minorEastAsia" w:hAnsiTheme="minorEastAsia" w:eastAsiaTheme="minorEastAsia" w:cstheme="minorEastAsia"/>
          <w:color w:val="auto"/>
          <w:kern w:val="2"/>
          <w:sz w:val="24"/>
          <w:szCs w:val="24"/>
          <w:highlight w:val="none"/>
          <w:lang w:val="en-US" w:eastAsia="zh-CN" w:bidi="ar-SA"/>
        </w:rPr>
      </w:pPr>
      <w:r>
        <w:rPr>
          <w:rStyle w:val="21"/>
          <w:rFonts w:hint="eastAsia" w:asciiTheme="minorEastAsia" w:hAnsiTheme="minorEastAsia" w:eastAsiaTheme="minorEastAsia" w:cstheme="minorEastAsia"/>
          <w:color w:val="auto"/>
          <w:kern w:val="2"/>
          <w:sz w:val="24"/>
          <w:szCs w:val="24"/>
          <w:highlight w:val="none"/>
          <w:lang w:val="en-US" w:eastAsia="zh-CN" w:bidi="ar-SA"/>
        </w:rPr>
        <w:t>（2）变更工作影响工期的，承包人应提出调整工期的具体细节。监理人认为有必要时，可要求承包人提交要求提前或延长工期的施工进度计划及相应施工措施等详细资料。</w:t>
      </w:r>
    </w:p>
    <w:p>
      <w:pPr>
        <w:pStyle w:val="65"/>
        <w:tabs>
          <w:tab w:val="left" w:pos="8280"/>
        </w:tabs>
        <w:spacing w:line="360" w:lineRule="auto"/>
        <w:ind w:firstLine="360" w:firstLineChars="150"/>
        <w:rPr>
          <w:rStyle w:val="21"/>
          <w:rFonts w:hint="eastAsia" w:asciiTheme="minorEastAsia" w:hAnsiTheme="minorEastAsia" w:eastAsiaTheme="minorEastAsia" w:cstheme="minorEastAsia"/>
          <w:color w:val="auto"/>
          <w:kern w:val="2"/>
          <w:sz w:val="24"/>
          <w:szCs w:val="24"/>
          <w:highlight w:val="none"/>
          <w:lang w:val="en-US" w:eastAsia="zh-CN" w:bidi="ar-SA"/>
        </w:rPr>
      </w:pPr>
      <w:r>
        <w:rPr>
          <w:rStyle w:val="21"/>
          <w:rFonts w:hint="eastAsia" w:asciiTheme="minorEastAsia" w:hAnsiTheme="minorEastAsia" w:eastAsiaTheme="minorEastAsia" w:cstheme="minorEastAsia"/>
          <w:color w:val="auto"/>
          <w:kern w:val="2"/>
          <w:sz w:val="24"/>
          <w:szCs w:val="24"/>
          <w:highlight w:val="none"/>
          <w:lang w:val="en-US" w:eastAsia="zh-CN" w:bidi="ar-SA"/>
        </w:rPr>
        <w:t>（3）除专用合同条款对期限另有约定外，监理人收到承包人变更报价书后的14天内，根据第15.4款约定的估价原则，按照第3.5款商定或确定变更价格。</w:t>
      </w:r>
    </w:p>
    <w:p>
      <w:pPr>
        <w:pStyle w:val="65"/>
        <w:tabs>
          <w:tab w:val="left" w:pos="8280"/>
        </w:tabs>
        <w:spacing w:line="360" w:lineRule="auto"/>
        <w:ind w:firstLine="360" w:firstLineChars="150"/>
        <w:rPr>
          <w:rStyle w:val="21"/>
          <w:rFonts w:hint="eastAsia" w:asciiTheme="minorEastAsia" w:hAnsiTheme="minorEastAsia" w:eastAsiaTheme="minorEastAsia" w:cstheme="minorEastAsia"/>
          <w:color w:val="auto"/>
          <w:kern w:val="2"/>
          <w:sz w:val="24"/>
          <w:szCs w:val="24"/>
          <w:highlight w:val="none"/>
          <w:lang w:val="en-US" w:eastAsia="zh-CN" w:bidi="ar-SA"/>
        </w:rPr>
      </w:pPr>
      <w:r>
        <w:rPr>
          <w:rStyle w:val="21"/>
          <w:rFonts w:hint="eastAsia" w:asciiTheme="minorEastAsia" w:hAnsiTheme="minorEastAsia" w:eastAsiaTheme="minorEastAsia" w:cstheme="minorEastAsia"/>
          <w:color w:val="auto"/>
          <w:kern w:val="2"/>
          <w:sz w:val="24"/>
          <w:szCs w:val="24"/>
          <w:highlight w:val="none"/>
          <w:lang w:val="en-US" w:eastAsia="zh-CN" w:bidi="ar-SA"/>
        </w:rPr>
        <w:t>15.3.3变更指示</w:t>
      </w:r>
    </w:p>
    <w:p>
      <w:pPr>
        <w:pStyle w:val="65"/>
        <w:tabs>
          <w:tab w:val="left" w:pos="8280"/>
        </w:tabs>
        <w:spacing w:line="360" w:lineRule="auto"/>
        <w:ind w:firstLine="360" w:firstLineChars="150"/>
        <w:rPr>
          <w:rStyle w:val="21"/>
          <w:rFonts w:hint="eastAsia" w:asciiTheme="minorEastAsia" w:hAnsiTheme="minorEastAsia" w:eastAsiaTheme="minorEastAsia" w:cstheme="minorEastAsia"/>
          <w:color w:val="auto"/>
          <w:kern w:val="2"/>
          <w:sz w:val="24"/>
          <w:szCs w:val="24"/>
          <w:highlight w:val="none"/>
          <w:lang w:val="en-US" w:eastAsia="zh-CN" w:bidi="ar-SA"/>
        </w:rPr>
      </w:pPr>
      <w:r>
        <w:rPr>
          <w:rStyle w:val="21"/>
          <w:rFonts w:hint="eastAsia" w:asciiTheme="minorEastAsia" w:hAnsiTheme="minorEastAsia" w:eastAsiaTheme="minorEastAsia" w:cstheme="minorEastAsia"/>
          <w:color w:val="auto"/>
          <w:kern w:val="2"/>
          <w:sz w:val="24"/>
          <w:szCs w:val="24"/>
          <w:highlight w:val="none"/>
          <w:lang w:val="en-US" w:eastAsia="zh-CN" w:bidi="ar-SA"/>
        </w:rPr>
        <w:t>（1）变更指示只能由监理人发出。</w:t>
      </w:r>
    </w:p>
    <w:p>
      <w:pPr>
        <w:pStyle w:val="65"/>
        <w:tabs>
          <w:tab w:val="left" w:pos="8280"/>
        </w:tabs>
        <w:spacing w:line="360" w:lineRule="auto"/>
        <w:ind w:firstLine="360" w:firstLineChars="150"/>
        <w:rPr>
          <w:rStyle w:val="21"/>
          <w:rFonts w:hint="eastAsia" w:asciiTheme="minorEastAsia" w:hAnsiTheme="minorEastAsia" w:eastAsiaTheme="minorEastAsia" w:cstheme="minorEastAsia"/>
          <w:color w:val="auto"/>
          <w:kern w:val="2"/>
          <w:sz w:val="24"/>
          <w:szCs w:val="24"/>
          <w:highlight w:val="none"/>
          <w:lang w:val="en-US" w:eastAsia="zh-CN" w:bidi="ar-SA"/>
        </w:rPr>
      </w:pPr>
      <w:r>
        <w:rPr>
          <w:rStyle w:val="21"/>
          <w:rFonts w:hint="eastAsia" w:asciiTheme="minorEastAsia" w:hAnsiTheme="minorEastAsia" w:eastAsiaTheme="minorEastAsia" w:cstheme="minorEastAsia"/>
          <w:color w:val="auto"/>
          <w:kern w:val="2"/>
          <w:sz w:val="24"/>
          <w:szCs w:val="24"/>
          <w:highlight w:val="none"/>
          <w:lang w:val="en-US" w:eastAsia="zh-CN" w:bidi="ar-SA"/>
        </w:rPr>
        <w:t>（2）变更指示应说变更的目的、范围、变更内容以及变更的工程量及其进度和技术要求，并附有关图纸和文件。承包人收到变更指示后，应按变更指示进行变更工作。</w:t>
      </w:r>
    </w:p>
    <w:p>
      <w:pPr>
        <w:pStyle w:val="65"/>
        <w:tabs>
          <w:tab w:val="left" w:pos="8280"/>
        </w:tabs>
        <w:spacing w:line="360" w:lineRule="auto"/>
        <w:rPr>
          <w:rStyle w:val="21"/>
          <w:rFonts w:hint="eastAsia" w:asciiTheme="minorEastAsia" w:hAnsiTheme="minorEastAsia" w:eastAsiaTheme="minorEastAsia" w:cstheme="minorEastAsia"/>
          <w:color w:val="auto"/>
          <w:kern w:val="2"/>
          <w:sz w:val="24"/>
          <w:szCs w:val="24"/>
          <w:highlight w:val="none"/>
          <w:lang w:val="en-US" w:eastAsia="zh-CN" w:bidi="ar-SA"/>
        </w:rPr>
      </w:pPr>
      <w:r>
        <w:rPr>
          <w:rStyle w:val="21"/>
          <w:rFonts w:hint="eastAsia" w:asciiTheme="minorEastAsia" w:hAnsiTheme="minorEastAsia" w:eastAsiaTheme="minorEastAsia" w:cstheme="minorEastAsia"/>
          <w:b/>
          <w:color w:val="auto"/>
          <w:kern w:val="2"/>
          <w:sz w:val="24"/>
          <w:szCs w:val="24"/>
          <w:highlight w:val="none"/>
          <w:lang w:val="en-US" w:eastAsia="zh-CN" w:bidi="ar-SA"/>
        </w:rPr>
        <w:t>15.4变更的估价原则</w:t>
      </w:r>
      <w:r>
        <w:rPr>
          <w:rStyle w:val="21"/>
          <w:rFonts w:hint="eastAsia" w:asciiTheme="minorEastAsia" w:hAnsiTheme="minorEastAsia" w:eastAsiaTheme="minorEastAsia" w:cstheme="minorEastAsia"/>
          <w:color w:val="auto"/>
          <w:kern w:val="2"/>
          <w:sz w:val="24"/>
          <w:szCs w:val="24"/>
          <w:highlight w:val="none"/>
          <w:lang w:val="en-US" w:eastAsia="zh-CN" w:bidi="ar-SA"/>
        </w:rPr>
        <w:t xml:space="preserve">    </w:t>
      </w:r>
    </w:p>
    <w:p>
      <w:pPr>
        <w:pStyle w:val="65"/>
        <w:tabs>
          <w:tab w:val="left" w:pos="8280"/>
        </w:tabs>
        <w:spacing w:line="360" w:lineRule="auto"/>
        <w:ind w:firstLine="360" w:firstLineChars="150"/>
        <w:rPr>
          <w:rStyle w:val="21"/>
          <w:rFonts w:hint="eastAsia" w:asciiTheme="minorEastAsia" w:hAnsiTheme="minorEastAsia" w:eastAsiaTheme="minorEastAsia" w:cstheme="minorEastAsia"/>
          <w:color w:val="auto"/>
          <w:kern w:val="2"/>
          <w:sz w:val="24"/>
          <w:szCs w:val="24"/>
          <w:highlight w:val="none"/>
          <w:lang w:val="en-US" w:eastAsia="zh-CN" w:bidi="ar-SA"/>
        </w:rPr>
      </w:pPr>
      <w:r>
        <w:rPr>
          <w:rStyle w:val="21"/>
          <w:rFonts w:hint="eastAsia" w:asciiTheme="minorEastAsia" w:hAnsiTheme="minorEastAsia" w:eastAsiaTheme="minorEastAsia" w:cstheme="minorEastAsia"/>
          <w:color w:val="auto"/>
          <w:kern w:val="2"/>
          <w:sz w:val="24"/>
          <w:szCs w:val="24"/>
          <w:highlight w:val="none"/>
          <w:lang w:val="en-US" w:eastAsia="zh-CN" w:bidi="ar-SA"/>
        </w:rPr>
        <w:t>除专用合同条款另有约定外，因变更引起的价格调整按照本款约定处理。</w:t>
      </w:r>
    </w:p>
    <w:p>
      <w:pPr>
        <w:pStyle w:val="65"/>
        <w:tabs>
          <w:tab w:val="left" w:pos="8280"/>
        </w:tabs>
        <w:spacing w:line="360" w:lineRule="auto"/>
        <w:ind w:firstLine="360" w:firstLineChars="150"/>
        <w:rPr>
          <w:rStyle w:val="21"/>
          <w:rFonts w:hint="eastAsia" w:asciiTheme="minorEastAsia" w:hAnsiTheme="minorEastAsia" w:eastAsiaTheme="minorEastAsia" w:cstheme="minorEastAsia"/>
          <w:color w:val="auto"/>
          <w:kern w:val="2"/>
          <w:sz w:val="24"/>
          <w:szCs w:val="24"/>
          <w:highlight w:val="none"/>
          <w:lang w:val="en-US" w:eastAsia="zh-CN" w:bidi="ar-SA"/>
        </w:rPr>
      </w:pPr>
      <w:r>
        <w:rPr>
          <w:rStyle w:val="21"/>
          <w:rFonts w:hint="eastAsia" w:asciiTheme="minorEastAsia" w:hAnsiTheme="minorEastAsia" w:eastAsiaTheme="minorEastAsia" w:cstheme="minorEastAsia"/>
          <w:color w:val="auto"/>
          <w:kern w:val="2"/>
          <w:sz w:val="24"/>
          <w:szCs w:val="24"/>
          <w:highlight w:val="none"/>
          <w:lang w:val="en-US" w:eastAsia="zh-CN" w:bidi="ar-SA"/>
        </w:rPr>
        <w:t>15.4.1己标价工程量清单中有适用于变更工作的子目的，采用该子目的单价。</w:t>
      </w:r>
    </w:p>
    <w:p>
      <w:pPr>
        <w:pStyle w:val="65"/>
        <w:tabs>
          <w:tab w:val="left" w:pos="8280"/>
        </w:tabs>
        <w:spacing w:line="360" w:lineRule="auto"/>
        <w:ind w:firstLine="360" w:firstLineChars="150"/>
        <w:rPr>
          <w:rStyle w:val="21"/>
          <w:rFonts w:hint="eastAsia" w:asciiTheme="minorEastAsia" w:hAnsiTheme="minorEastAsia" w:eastAsiaTheme="minorEastAsia" w:cstheme="minorEastAsia"/>
          <w:color w:val="auto"/>
          <w:kern w:val="2"/>
          <w:sz w:val="24"/>
          <w:szCs w:val="24"/>
          <w:highlight w:val="none"/>
          <w:lang w:val="en-US" w:eastAsia="zh-CN" w:bidi="ar-SA"/>
        </w:rPr>
      </w:pPr>
      <w:r>
        <w:rPr>
          <w:rStyle w:val="21"/>
          <w:rFonts w:hint="eastAsia" w:asciiTheme="minorEastAsia" w:hAnsiTheme="minorEastAsia" w:eastAsiaTheme="minorEastAsia" w:cstheme="minorEastAsia"/>
          <w:color w:val="auto"/>
          <w:kern w:val="2"/>
          <w:sz w:val="24"/>
          <w:szCs w:val="24"/>
          <w:highlight w:val="none"/>
          <w:lang w:val="en-US" w:eastAsia="zh-CN" w:bidi="ar-SA"/>
        </w:rPr>
        <w:t>15.4.2己标价工程量清单中无适用于变更工作的子目，但有类似子目的，可在合理范围内参照类似子目的单价，由监理人按第3.5款商定或确定变更工作的单价。</w:t>
      </w:r>
    </w:p>
    <w:p>
      <w:pPr>
        <w:pStyle w:val="65"/>
        <w:tabs>
          <w:tab w:val="left" w:pos="8280"/>
        </w:tabs>
        <w:spacing w:line="360" w:lineRule="auto"/>
        <w:ind w:firstLine="360" w:firstLineChars="150"/>
        <w:rPr>
          <w:rStyle w:val="21"/>
          <w:rFonts w:hint="eastAsia" w:asciiTheme="minorEastAsia" w:hAnsiTheme="minorEastAsia" w:eastAsiaTheme="minorEastAsia" w:cstheme="minorEastAsia"/>
          <w:color w:val="auto"/>
          <w:kern w:val="2"/>
          <w:sz w:val="24"/>
          <w:szCs w:val="24"/>
          <w:highlight w:val="none"/>
          <w:lang w:val="en-US" w:eastAsia="zh-CN" w:bidi="ar-SA"/>
        </w:rPr>
      </w:pPr>
      <w:r>
        <w:rPr>
          <w:rStyle w:val="21"/>
          <w:rFonts w:hint="eastAsia" w:asciiTheme="minorEastAsia" w:hAnsiTheme="minorEastAsia" w:eastAsiaTheme="minorEastAsia" w:cstheme="minorEastAsia"/>
          <w:color w:val="auto"/>
          <w:kern w:val="2"/>
          <w:sz w:val="24"/>
          <w:szCs w:val="24"/>
          <w:highlight w:val="none"/>
          <w:lang w:val="en-US" w:eastAsia="zh-CN" w:bidi="ar-SA"/>
        </w:rPr>
        <w:t>15.4.3己标价工程量清单中无适用或类似子目的单价，可按照成本加利润的原则，由监理人按第3.5款商定或确定变更工作的单价。</w:t>
      </w:r>
    </w:p>
    <w:p>
      <w:pPr>
        <w:pStyle w:val="65"/>
        <w:tabs>
          <w:tab w:val="left" w:pos="8280"/>
        </w:tabs>
        <w:spacing w:line="360" w:lineRule="auto"/>
        <w:rPr>
          <w:rStyle w:val="21"/>
          <w:rFonts w:hint="eastAsia" w:asciiTheme="minorEastAsia" w:hAnsiTheme="minorEastAsia" w:eastAsiaTheme="minorEastAsia" w:cstheme="minorEastAsia"/>
          <w:b/>
          <w:color w:val="auto"/>
          <w:kern w:val="2"/>
          <w:sz w:val="24"/>
          <w:szCs w:val="24"/>
          <w:highlight w:val="none"/>
          <w:lang w:val="en-US" w:eastAsia="zh-CN" w:bidi="ar-SA"/>
        </w:rPr>
      </w:pPr>
      <w:r>
        <w:rPr>
          <w:rStyle w:val="21"/>
          <w:rFonts w:hint="eastAsia" w:asciiTheme="minorEastAsia" w:hAnsiTheme="minorEastAsia" w:eastAsiaTheme="minorEastAsia" w:cstheme="minorEastAsia"/>
          <w:b/>
          <w:color w:val="auto"/>
          <w:kern w:val="2"/>
          <w:sz w:val="24"/>
          <w:szCs w:val="24"/>
          <w:highlight w:val="none"/>
          <w:lang w:val="en-US" w:eastAsia="zh-CN" w:bidi="ar-SA"/>
        </w:rPr>
        <w:t>15.5承包人的合理化建议</w:t>
      </w:r>
    </w:p>
    <w:p>
      <w:pPr>
        <w:pStyle w:val="65"/>
        <w:tabs>
          <w:tab w:val="left" w:pos="8280"/>
        </w:tabs>
        <w:spacing w:line="360" w:lineRule="auto"/>
        <w:ind w:firstLine="360" w:firstLineChars="150"/>
        <w:rPr>
          <w:rStyle w:val="21"/>
          <w:rFonts w:hint="eastAsia" w:asciiTheme="minorEastAsia" w:hAnsiTheme="minorEastAsia" w:eastAsiaTheme="minorEastAsia" w:cstheme="minorEastAsia"/>
          <w:color w:val="auto"/>
          <w:kern w:val="2"/>
          <w:sz w:val="24"/>
          <w:szCs w:val="24"/>
          <w:highlight w:val="none"/>
          <w:lang w:val="en-US" w:eastAsia="zh-CN" w:bidi="ar-SA"/>
        </w:rPr>
      </w:pPr>
      <w:r>
        <w:rPr>
          <w:rStyle w:val="21"/>
          <w:rFonts w:hint="eastAsia" w:asciiTheme="minorEastAsia" w:hAnsiTheme="minorEastAsia" w:eastAsiaTheme="minorEastAsia" w:cstheme="minorEastAsia"/>
          <w:color w:val="auto"/>
          <w:kern w:val="2"/>
          <w:sz w:val="24"/>
          <w:szCs w:val="24"/>
          <w:highlight w:val="none"/>
          <w:lang w:val="en-US" w:eastAsia="zh-CN" w:bidi="ar-SA"/>
        </w:rPr>
        <w:t>15.5.1在履行合同过程中，承包人对发包人提供的图纸、技术要求以及其他方面提出的合理化建议，均应以书面形式提交监理人。合理化建议书的内容应包括建议工作的详细说明、进度计划和效益以及与其他工作的协调等，并附必要的设计文件。监理人应与发包人协商是否采纳建议。建议被采纳并构成变更的，应按第15.3.3项约定向承包人发出变更指示。</w:t>
      </w:r>
    </w:p>
    <w:p>
      <w:pPr>
        <w:pStyle w:val="65"/>
        <w:tabs>
          <w:tab w:val="left" w:pos="8280"/>
        </w:tabs>
        <w:spacing w:line="360" w:lineRule="auto"/>
        <w:ind w:firstLine="360" w:firstLineChars="150"/>
        <w:rPr>
          <w:rStyle w:val="21"/>
          <w:rFonts w:hint="eastAsia" w:asciiTheme="minorEastAsia" w:hAnsiTheme="minorEastAsia" w:eastAsiaTheme="minorEastAsia" w:cstheme="minorEastAsia"/>
          <w:color w:val="auto"/>
          <w:kern w:val="2"/>
          <w:sz w:val="24"/>
          <w:szCs w:val="24"/>
          <w:highlight w:val="none"/>
          <w:lang w:val="en-US" w:eastAsia="zh-CN" w:bidi="ar-SA"/>
        </w:rPr>
      </w:pPr>
      <w:r>
        <w:rPr>
          <w:rStyle w:val="21"/>
          <w:rFonts w:hint="eastAsia" w:asciiTheme="minorEastAsia" w:hAnsiTheme="minorEastAsia" w:eastAsiaTheme="minorEastAsia" w:cstheme="minorEastAsia"/>
          <w:color w:val="auto"/>
          <w:kern w:val="2"/>
          <w:sz w:val="24"/>
          <w:szCs w:val="24"/>
          <w:highlight w:val="none"/>
          <w:lang w:val="en-US" w:eastAsia="zh-CN" w:bidi="ar-SA"/>
        </w:rPr>
        <w:t>15.5.2承包人提出的合理化建议降低了合同价格、缩短了工期或者提高了工程经济效益的，发包人可按国家有关规定在专用合同条款中约定给予奖励。</w:t>
      </w:r>
    </w:p>
    <w:p>
      <w:pPr>
        <w:pStyle w:val="66"/>
        <w:rPr>
          <w:rStyle w:val="21"/>
          <w:rFonts w:hint="eastAsia" w:asciiTheme="minorEastAsia" w:hAnsiTheme="minorEastAsia" w:eastAsiaTheme="minorEastAsia" w:cstheme="minorEastAsia"/>
          <w:color w:val="auto"/>
          <w:kern w:val="2"/>
          <w:sz w:val="24"/>
          <w:szCs w:val="24"/>
          <w:highlight w:val="none"/>
          <w:lang w:val="en-US" w:eastAsia="zh-CN" w:bidi="ar-SA"/>
        </w:rPr>
      </w:pPr>
      <w:bookmarkStart w:id="284" w:name="_Toc11587"/>
      <w:r>
        <w:rPr>
          <w:rStyle w:val="21"/>
          <w:rFonts w:hint="eastAsia" w:asciiTheme="minorEastAsia" w:hAnsiTheme="minorEastAsia" w:eastAsiaTheme="minorEastAsia" w:cstheme="minorEastAsia"/>
          <w:color w:val="auto"/>
          <w:kern w:val="2"/>
          <w:sz w:val="24"/>
          <w:szCs w:val="24"/>
          <w:highlight w:val="none"/>
          <w:lang w:val="en-US" w:eastAsia="zh-CN" w:bidi="ar-SA"/>
        </w:rPr>
        <w:t>16．价格调整</w:t>
      </w:r>
      <w:bookmarkEnd w:id="284"/>
    </w:p>
    <w:p>
      <w:pPr>
        <w:pStyle w:val="65"/>
        <w:tabs>
          <w:tab w:val="left" w:pos="8280"/>
        </w:tabs>
        <w:spacing w:line="360" w:lineRule="auto"/>
        <w:rPr>
          <w:rStyle w:val="21"/>
          <w:rFonts w:hint="eastAsia" w:asciiTheme="minorEastAsia" w:hAnsiTheme="minorEastAsia" w:eastAsiaTheme="minorEastAsia" w:cstheme="minorEastAsia"/>
          <w:b/>
          <w:color w:val="auto"/>
          <w:kern w:val="2"/>
          <w:sz w:val="24"/>
          <w:szCs w:val="24"/>
          <w:highlight w:val="none"/>
          <w:lang w:val="en-US" w:eastAsia="zh-CN" w:bidi="ar-SA"/>
        </w:rPr>
      </w:pPr>
      <w:r>
        <w:rPr>
          <w:rStyle w:val="21"/>
          <w:rFonts w:hint="eastAsia" w:asciiTheme="minorEastAsia" w:hAnsiTheme="minorEastAsia" w:eastAsiaTheme="minorEastAsia" w:cstheme="minorEastAsia"/>
          <w:b/>
          <w:color w:val="auto"/>
          <w:kern w:val="2"/>
          <w:sz w:val="24"/>
          <w:szCs w:val="24"/>
          <w:highlight w:val="none"/>
          <w:lang w:val="en-US" w:eastAsia="zh-CN" w:bidi="ar-SA"/>
        </w:rPr>
        <w:t>16.1 物价波动引起的价格调整</w:t>
      </w:r>
    </w:p>
    <w:p>
      <w:pPr>
        <w:pStyle w:val="65"/>
        <w:tabs>
          <w:tab w:val="left" w:pos="8280"/>
        </w:tabs>
        <w:spacing w:line="360" w:lineRule="auto"/>
        <w:ind w:firstLine="361" w:firstLineChars="150"/>
        <w:rPr>
          <w:rStyle w:val="21"/>
          <w:rFonts w:hint="eastAsia" w:asciiTheme="minorEastAsia" w:hAnsiTheme="minorEastAsia" w:eastAsiaTheme="minorEastAsia" w:cstheme="minorEastAsia"/>
          <w:color w:val="auto"/>
          <w:kern w:val="2"/>
          <w:sz w:val="24"/>
          <w:szCs w:val="24"/>
          <w:highlight w:val="none"/>
          <w:lang w:val="en-US" w:eastAsia="zh-CN" w:bidi="ar-SA"/>
        </w:rPr>
      </w:pPr>
      <w:r>
        <w:rPr>
          <w:rStyle w:val="21"/>
          <w:rFonts w:hint="eastAsia" w:asciiTheme="minorEastAsia" w:hAnsiTheme="minorEastAsia" w:eastAsiaTheme="minorEastAsia" w:cstheme="minorEastAsia"/>
          <w:b/>
          <w:color w:val="auto"/>
          <w:kern w:val="2"/>
          <w:sz w:val="24"/>
          <w:szCs w:val="24"/>
          <w:highlight w:val="none"/>
          <w:lang w:val="en-US" w:eastAsia="zh-CN" w:bidi="ar-SA"/>
        </w:rPr>
        <w:t xml:space="preserve">   </w:t>
      </w:r>
      <w:r>
        <w:rPr>
          <w:rStyle w:val="21"/>
          <w:rFonts w:hint="eastAsia" w:asciiTheme="minorEastAsia" w:hAnsiTheme="minorEastAsia" w:eastAsiaTheme="minorEastAsia" w:cstheme="minorEastAsia"/>
          <w:color w:val="auto"/>
          <w:kern w:val="2"/>
          <w:sz w:val="24"/>
          <w:szCs w:val="24"/>
          <w:highlight w:val="none"/>
          <w:lang w:val="en-US" w:eastAsia="zh-CN" w:bidi="ar-SA"/>
        </w:rPr>
        <w:t>由于物价波动原因引起合同价格需要调整的，其价格调整方式在专用合同条款中约定。除专用合同条款另有约定外，因物价波动引起的价格调整按照本款约定处理。</w:t>
      </w:r>
    </w:p>
    <w:p>
      <w:pPr>
        <w:pStyle w:val="65"/>
        <w:tabs>
          <w:tab w:val="left" w:pos="8280"/>
        </w:tabs>
        <w:spacing w:line="360" w:lineRule="auto"/>
        <w:ind w:firstLine="360" w:firstLineChars="150"/>
        <w:rPr>
          <w:rStyle w:val="21"/>
          <w:rFonts w:hint="eastAsia" w:asciiTheme="minorEastAsia" w:hAnsiTheme="minorEastAsia" w:eastAsiaTheme="minorEastAsia" w:cstheme="minorEastAsia"/>
          <w:color w:val="auto"/>
          <w:kern w:val="2"/>
          <w:sz w:val="24"/>
          <w:szCs w:val="24"/>
          <w:highlight w:val="none"/>
          <w:lang w:val="en-US" w:eastAsia="zh-CN" w:bidi="ar-SA"/>
        </w:rPr>
      </w:pPr>
      <w:r>
        <w:rPr>
          <w:rStyle w:val="21"/>
          <w:rFonts w:hint="eastAsia" w:asciiTheme="minorEastAsia" w:hAnsiTheme="minorEastAsia" w:eastAsiaTheme="minorEastAsia" w:cstheme="minorEastAsia"/>
          <w:color w:val="auto"/>
          <w:kern w:val="2"/>
          <w:sz w:val="24"/>
          <w:szCs w:val="24"/>
          <w:highlight w:val="none"/>
          <w:lang w:val="en-US" w:eastAsia="zh-CN" w:bidi="ar-SA"/>
        </w:rPr>
        <w:t>16.1.1 采用价格指数调整价格差额</w:t>
      </w:r>
    </w:p>
    <w:p>
      <w:pPr>
        <w:pStyle w:val="65"/>
        <w:tabs>
          <w:tab w:val="left" w:pos="8280"/>
        </w:tabs>
        <w:spacing w:line="360" w:lineRule="auto"/>
        <w:ind w:firstLine="360" w:firstLineChars="150"/>
        <w:rPr>
          <w:rStyle w:val="21"/>
          <w:rFonts w:hint="eastAsia" w:asciiTheme="minorEastAsia" w:hAnsiTheme="minorEastAsia" w:eastAsiaTheme="minorEastAsia" w:cstheme="minorEastAsia"/>
          <w:color w:val="auto"/>
          <w:kern w:val="2"/>
          <w:sz w:val="24"/>
          <w:szCs w:val="24"/>
          <w:highlight w:val="none"/>
          <w:lang w:val="en-US" w:eastAsia="zh-CN" w:bidi="ar-SA"/>
        </w:rPr>
      </w:pPr>
      <w:r>
        <w:rPr>
          <w:rStyle w:val="21"/>
          <w:rFonts w:hint="eastAsia" w:asciiTheme="minorEastAsia" w:hAnsiTheme="minorEastAsia" w:eastAsiaTheme="minorEastAsia" w:cstheme="minorEastAsia"/>
          <w:color w:val="auto"/>
          <w:kern w:val="2"/>
          <w:sz w:val="24"/>
          <w:szCs w:val="24"/>
          <w:highlight w:val="none"/>
          <w:lang w:val="en-US" w:eastAsia="zh-CN" w:bidi="ar-SA"/>
        </w:rPr>
        <w:t>16.1.1.1 价格调整公式</w:t>
      </w:r>
    </w:p>
    <w:p>
      <w:pPr>
        <w:pStyle w:val="65"/>
        <w:tabs>
          <w:tab w:val="left" w:pos="8280"/>
        </w:tabs>
        <w:spacing w:line="360" w:lineRule="auto"/>
        <w:ind w:firstLine="360" w:firstLineChars="150"/>
        <w:rPr>
          <w:rStyle w:val="21"/>
          <w:rFonts w:hint="eastAsia" w:asciiTheme="minorEastAsia" w:hAnsiTheme="minorEastAsia" w:eastAsiaTheme="minorEastAsia" w:cstheme="minorEastAsia"/>
          <w:color w:val="auto"/>
          <w:kern w:val="2"/>
          <w:sz w:val="24"/>
          <w:szCs w:val="24"/>
          <w:highlight w:val="none"/>
          <w:lang w:val="en-US" w:eastAsia="zh-CN" w:bidi="ar-SA"/>
        </w:rPr>
      </w:pPr>
      <w:r>
        <w:rPr>
          <w:rStyle w:val="21"/>
          <w:rFonts w:hint="eastAsia" w:asciiTheme="minorEastAsia" w:hAnsiTheme="minorEastAsia" w:eastAsiaTheme="minorEastAsia" w:cstheme="minorEastAsia"/>
          <w:color w:val="auto"/>
          <w:kern w:val="2"/>
          <w:sz w:val="24"/>
          <w:szCs w:val="24"/>
          <w:highlight w:val="none"/>
          <w:lang w:val="en-US" w:eastAsia="zh-CN" w:bidi="ar-SA"/>
        </w:rPr>
        <w:t>因人工、材料和设备等价格波动影响合同价格时，根据投标函附录中的价格指数和权重表约定的数据，按以下公式计算差额并调整合同价格。</w:t>
      </w:r>
    </w:p>
    <w:p>
      <w:pPr>
        <w:pStyle w:val="65"/>
        <w:tabs>
          <w:tab w:val="left" w:pos="8280"/>
        </w:tabs>
        <w:spacing w:line="360" w:lineRule="auto"/>
        <w:ind w:firstLine="360" w:firstLineChars="150"/>
        <w:rPr>
          <w:rStyle w:val="21"/>
          <w:rFonts w:hint="eastAsia" w:asciiTheme="minorEastAsia" w:hAnsiTheme="minorEastAsia" w:eastAsiaTheme="minorEastAsia" w:cstheme="minorEastAsia"/>
          <w:color w:val="auto"/>
          <w:kern w:val="2"/>
          <w:sz w:val="24"/>
          <w:szCs w:val="24"/>
          <w:highlight w:val="none"/>
          <w:lang w:val="en-US" w:eastAsia="zh-CN" w:bidi="ar-SA"/>
        </w:rPr>
      </w:pPr>
      <w:r>
        <w:rPr>
          <w:rStyle w:val="21"/>
          <w:rFonts w:hint="eastAsia" w:asciiTheme="minorEastAsia" w:hAnsiTheme="minorEastAsia" w:eastAsiaTheme="minorEastAsia" w:cstheme="minorEastAsia"/>
          <w:color w:val="auto"/>
          <w:kern w:val="2"/>
          <w:sz w:val="24"/>
          <w:szCs w:val="24"/>
          <w:highlight w:val="none"/>
          <w:lang w:val="en-US" w:eastAsia="zh-CN" w:bidi="ar-SA"/>
        </w:rPr>
        <w:t>Ft1         Ft2         Ft3                 Ftn</w:t>
      </w:r>
    </w:p>
    <w:p>
      <w:pPr>
        <w:pStyle w:val="65"/>
        <w:tabs>
          <w:tab w:val="left" w:pos="8280"/>
        </w:tabs>
        <w:spacing w:line="360" w:lineRule="auto"/>
        <w:ind w:firstLine="360" w:firstLineChars="150"/>
        <w:rPr>
          <w:rStyle w:val="21"/>
          <w:rFonts w:hint="eastAsia" w:asciiTheme="minorEastAsia" w:hAnsiTheme="minorEastAsia" w:eastAsiaTheme="minorEastAsia" w:cstheme="minorEastAsia"/>
          <w:color w:val="auto"/>
          <w:kern w:val="2"/>
          <w:sz w:val="24"/>
          <w:szCs w:val="24"/>
          <w:highlight w:val="none"/>
          <w:lang w:val="en-US" w:eastAsia="zh-CN" w:bidi="ar-SA"/>
        </w:rPr>
      </w:pPr>
      <w:r>
        <w:rPr>
          <w:rStyle w:val="21"/>
          <w:rFonts w:hint="eastAsia" w:asciiTheme="minorEastAsia" w:hAnsiTheme="minorEastAsia" w:eastAsiaTheme="minorEastAsia" w:cstheme="minorEastAsia"/>
          <w:color w:val="auto"/>
          <w:kern w:val="2"/>
          <w:sz w:val="24"/>
          <w:szCs w:val="24"/>
          <w:highlight w:val="none"/>
          <w:lang w:val="en-US" w:eastAsia="zh-CN" w:bidi="ar-SA"/>
        </w:rPr>
        <w:t xml:space="preserve">P=PO［A+｛B1×—＋B2×—＋B3×—＋…＋Bn×—｝－1］ </w:t>
      </w:r>
    </w:p>
    <w:p>
      <w:pPr>
        <w:pStyle w:val="65"/>
        <w:tabs>
          <w:tab w:val="left" w:pos="8280"/>
        </w:tabs>
        <w:spacing w:line="360" w:lineRule="auto"/>
        <w:ind w:firstLine="360" w:firstLineChars="150"/>
        <w:rPr>
          <w:rStyle w:val="21"/>
          <w:rFonts w:hint="eastAsia" w:asciiTheme="minorEastAsia" w:hAnsiTheme="minorEastAsia" w:eastAsiaTheme="minorEastAsia" w:cstheme="minorEastAsia"/>
          <w:color w:val="auto"/>
          <w:kern w:val="2"/>
          <w:sz w:val="24"/>
          <w:szCs w:val="24"/>
          <w:highlight w:val="none"/>
          <w:lang w:val="en-US" w:eastAsia="zh-CN" w:bidi="ar-SA"/>
        </w:rPr>
      </w:pPr>
      <w:r>
        <w:rPr>
          <w:rStyle w:val="21"/>
          <w:rFonts w:hint="eastAsia" w:asciiTheme="minorEastAsia" w:hAnsiTheme="minorEastAsia" w:eastAsiaTheme="minorEastAsia" w:cstheme="minorEastAsia"/>
          <w:color w:val="auto"/>
          <w:kern w:val="2"/>
          <w:sz w:val="24"/>
          <w:szCs w:val="24"/>
          <w:highlight w:val="none"/>
          <w:lang w:val="en-US" w:eastAsia="zh-CN" w:bidi="ar-SA"/>
        </w:rPr>
        <w:t>F01        F02       F03              F04</w:t>
      </w:r>
    </w:p>
    <w:p>
      <w:pPr>
        <w:pStyle w:val="65"/>
        <w:tabs>
          <w:tab w:val="left" w:pos="8280"/>
        </w:tabs>
        <w:spacing w:line="360" w:lineRule="auto"/>
        <w:ind w:firstLine="360" w:firstLineChars="150"/>
        <w:rPr>
          <w:rStyle w:val="21"/>
          <w:rFonts w:hint="eastAsia" w:asciiTheme="minorEastAsia" w:hAnsiTheme="minorEastAsia" w:eastAsiaTheme="minorEastAsia" w:cstheme="minorEastAsia"/>
          <w:color w:val="auto"/>
          <w:kern w:val="2"/>
          <w:sz w:val="24"/>
          <w:szCs w:val="24"/>
          <w:highlight w:val="none"/>
          <w:lang w:val="en-US" w:eastAsia="zh-CN" w:bidi="ar-SA"/>
        </w:rPr>
      </w:pPr>
      <w:r>
        <w:rPr>
          <w:rStyle w:val="21"/>
          <w:rFonts w:hint="eastAsia" w:asciiTheme="minorEastAsia" w:hAnsiTheme="minorEastAsia" w:eastAsiaTheme="minorEastAsia" w:cstheme="minorEastAsia"/>
          <w:color w:val="auto"/>
          <w:kern w:val="2"/>
          <w:sz w:val="24"/>
          <w:szCs w:val="24"/>
          <w:highlight w:val="none"/>
          <w:lang w:val="en-US" w:eastAsia="zh-CN" w:bidi="ar-SA"/>
        </w:rPr>
        <w:t>式中：△ P 一需调整的价格差额；</w:t>
      </w:r>
    </w:p>
    <w:p>
      <w:pPr>
        <w:pStyle w:val="65"/>
        <w:tabs>
          <w:tab w:val="left" w:pos="8280"/>
        </w:tabs>
        <w:spacing w:line="360" w:lineRule="auto"/>
        <w:ind w:firstLine="360" w:firstLineChars="150"/>
        <w:rPr>
          <w:rStyle w:val="21"/>
          <w:rFonts w:hint="eastAsia" w:asciiTheme="minorEastAsia" w:hAnsiTheme="minorEastAsia" w:eastAsiaTheme="minorEastAsia" w:cstheme="minorEastAsia"/>
          <w:color w:val="auto"/>
          <w:kern w:val="2"/>
          <w:sz w:val="24"/>
          <w:szCs w:val="24"/>
          <w:highlight w:val="none"/>
          <w:lang w:val="en-US" w:eastAsia="zh-CN" w:bidi="ar-SA"/>
        </w:rPr>
      </w:pPr>
      <w:r>
        <w:rPr>
          <w:rStyle w:val="21"/>
          <w:rFonts w:hint="eastAsia" w:asciiTheme="minorEastAsia" w:hAnsiTheme="minorEastAsia" w:eastAsiaTheme="minorEastAsia" w:cstheme="minorEastAsia"/>
          <w:color w:val="auto"/>
          <w:kern w:val="2"/>
          <w:sz w:val="24"/>
          <w:szCs w:val="24"/>
          <w:highlight w:val="none"/>
          <w:lang w:val="en-US" w:eastAsia="zh-CN" w:bidi="ar-SA"/>
        </w:rPr>
        <w:t>PO一第17.3.3 项、第17.5 .2 项和第17.6.2 项约定的付款证书中承包人应得到的己完成工程量的金额。此项金额应不包括价格调整、不计质量保证金的扣留和支付、预付款的支付和扣回。第15条约定的变更及其他金额已按现行价格计价的，也不计在内；</w:t>
      </w:r>
    </w:p>
    <w:p>
      <w:pPr>
        <w:pStyle w:val="65"/>
        <w:tabs>
          <w:tab w:val="left" w:pos="8280"/>
        </w:tabs>
        <w:spacing w:line="360" w:lineRule="auto"/>
        <w:ind w:firstLine="360" w:firstLineChars="150"/>
        <w:rPr>
          <w:rStyle w:val="21"/>
          <w:rFonts w:hint="eastAsia" w:asciiTheme="minorEastAsia" w:hAnsiTheme="minorEastAsia" w:eastAsiaTheme="minorEastAsia" w:cstheme="minorEastAsia"/>
          <w:color w:val="auto"/>
          <w:kern w:val="2"/>
          <w:sz w:val="24"/>
          <w:szCs w:val="24"/>
          <w:highlight w:val="none"/>
          <w:lang w:val="en-US" w:eastAsia="zh-CN" w:bidi="ar-SA"/>
        </w:rPr>
      </w:pPr>
      <w:r>
        <w:rPr>
          <w:rStyle w:val="21"/>
          <w:rFonts w:hint="eastAsia" w:asciiTheme="minorEastAsia" w:hAnsiTheme="minorEastAsia" w:eastAsiaTheme="minorEastAsia" w:cstheme="minorEastAsia"/>
          <w:color w:val="auto"/>
          <w:kern w:val="2"/>
          <w:sz w:val="24"/>
          <w:szCs w:val="24"/>
          <w:highlight w:val="none"/>
          <w:lang w:val="en-US" w:eastAsia="zh-CN" w:bidi="ar-SA"/>
        </w:rPr>
        <w:t xml:space="preserve">A ---定值权重（即不调部分的权重）； </w:t>
      </w:r>
    </w:p>
    <w:p>
      <w:pPr>
        <w:pStyle w:val="65"/>
        <w:tabs>
          <w:tab w:val="left" w:pos="8280"/>
        </w:tabs>
        <w:spacing w:line="360" w:lineRule="auto"/>
        <w:ind w:firstLine="360" w:firstLineChars="150"/>
        <w:rPr>
          <w:rStyle w:val="21"/>
          <w:rFonts w:hint="eastAsia" w:asciiTheme="minorEastAsia" w:hAnsiTheme="minorEastAsia" w:eastAsiaTheme="minorEastAsia" w:cstheme="minorEastAsia"/>
          <w:color w:val="auto"/>
          <w:kern w:val="2"/>
          <w:sz w:val="24"/>
          <w:szCs w:val="24"/>
          <w:highlight w:val="none"/>
          <w:lang w:val="en-US" w:eastAsia="zh-CN" w:bidi="ar-SA"/>
        </w:rPr>
      </w:pPr>
      <w:r>
        <w:rPr>
          <w:rStyle w:val="21"/>
          <w:rFonts w:hint="eastAsia" w:asciiTheme="minorEastAsia" w:hAnsiTheme="minorEastAsia" w:eastAsiaTheme="minorEastAsia" w:cstheme="minorEastAsia"/>
          <w:color w:val="auto"/>
          <w:kern w:val="2"/>
          <w:sz w:val="24"/>
          <w:szCs w:val="24"/>
          <w:highlight w:val="none"/>
          <w:lang w:val="en-US" w:eastAsia="zh-CN" w:bidi="ar-SA"/>
        </w:rPr>
        <w:t>B1；B2；B3；……Bn---各可调因子的变值权重（即可调部分的权重）为各可调因子在投标函投标总报价中所占的比例；</w:t>
      </w:r>
    </w:p>
    <w:p>
      <w:pPr>
        <w:pStyle w:val="65"/>
        <w:tabs>
          <w:tab w:val="left" w:pos="8280"/>
        </w:tabs>
        <w:spacing w:line="360" w:lineRule="auto"/>
        <w:ind w:firstLine="360" w:firstLineChars="150"/>
        <w:rPr>
          <w:rStyle w:val="21"/>
          <w:rFonts w:hint="eastAsia" w:asciiTheme="minorEastAsia" w:hAnsiTheme="minorEastAsia" w:eastAsiaTheme="minorEastAsia" w:cstheme="minorEastAsia"/>
          <w:color w:val="auto"/>
          <w:kern w:val="2"/>
          <w:sz w:val="24"/>
          <w:szCs w:val="24"/>
          <w:highlight w:val="none"/>
          <w:lang w:val="en-US" w:eastAsia="zh-CN" w:bidi="ar-SA"/>
        </w:rPr>
      </w:pPr>
      <w:r>
        <w:rPr>
          <w:rStyle w:val="21"/>
          <w:rFonts w:hint="eastAsia" w:asciiTheme="minorEastAsia" w:hAnsiTheme="minorEastAsia" w:eastAsiaTheme="minorEastAsia" w:cstheme="minorEastAsia"/>
          <w:color w:val="auto"/>
          <w:kern w:val="2"/>
          <w:sz w:val="24"/>
          <w:szCs w:val="24"/>
          <w:highlight w:val="none"/>
          <w:lang w:val="en-US" w:eastAsia="zh-CN" w:bidi="ar-SA"/>
        </w:rPr>
        <w:t>Ft1；Ft2；Ft3；……Ftn---各可调因子的现行价格指数，指第17.3.3 项、第17.5.2 项和第17.6.2 项约定的付款证书相关周期最后一天的前42天的各可调因子的价格指数；</w:t>
      </w:r>
    </w:p>
    <w:p>
      <w:pPr>
        <w:pStyle w:val="65"/>
        <w:tabs>
          <w:tab w:val="left" w:pos="8280"/>
        </w:tabs>
        <w:spacing w:line="360" w:lineRule="auto"/>
        <w:ind w:firstLine="360" w:firstLineChars="150"/>
        <w:rPr>
          <w:rStyle w:val="21"/>
          <w:rFonts w:hint="eastAsia" w:asciiTheme="minorEastAsia" w:hAnsiTheme="minorEastAsia" w:eastAsiaTheme="minorEastAsia" w:cstheme="minorEastAsia"/>
          <w:color w:val="auto"/>
          <w:kern w:val="2"/>
          <w:sz w:val="24"/>
          <w:szCs w:val="24"/>
          <w:highlight w:val="none"/>
          <w:lang w:val="en-US" w:eastAsia="zh-CN" w:bidi="ar-SA"/>
        </w:rPr>
      </w:pPr>
      <w:r>
        <w:rPr>
          <w:rStyle w:val="21"/>
          <w:rFonts w:hint="eastAsia" w:asciiTheme="minorEastAsia" w:hAnsiTheme="minorEastAsia" w:eastAsiaTheme="minorEastAsia" w:cstheme="minorEastAsia"/>
          <w:color w:val="auto"/>
          <w:kern w:val="2"/>
          <w:sz w:val="24"/>
          <w:szCs w:val="24"/>
          <w:highlight w:val="none"/>
          <w:lang w:val="en-US" w:eastAsia="zh-CN" w:bidi="ar-SA"/>
        </w:rPr>
        <w:t>F01；F02；F03；……F0n---各可调因子的基本价格指数，指基准日期的各可调因子的价格指数。</w:t>
      </w:r>
    </w:p>
    <w:p>
      <w:pPr>
        <w:pStyle w:val="65"/>
        <w:tabs>
          <w:tab w:val="left" w:pos="8280"/>
        </w:tabs>
        <w:spacing w:line="360" w:lineRule="auto"/>
        <w:ind w:firstLine="360" w:firstLineChars="150"/>
        <w:rPr>
          <w:rStyle w:val="21"/>
          <w:rFonts w:hint="eastAsia" w:asciiTheme="minorEastAsia" w:hAnsiTheme="minorEastAsia" w:eastAsiaTheme="minorEastAsia" w:cstheme="minorEastAsia"/>
          <w:color w:val="auto"/>
          <w:kern w:val="2"/>
          <w:sz w:val="24"/>
          <w:szCs w:val="24"/>
          <w:highlight w:val="none"/>
          <w:lang w:val="en-US" w:eastAsia="zh-CN" w:bidi="ar-SA"/>
        </w:rPr>
      </w:pPr>
      <w:r>
        <w:rPr>
          <w:rStyle w:val="21"/>
          <w:rFonts w:hint="eastAsia" w:asciiTheme="minorEastAsia" w:hAnsiTheme="minorEastAsia" w:eastAsiaTheme="minorEastAsia" w:cstheme="minorEastAsia"/>
          <w:color w:val="auto"/>
          <w:kern w:val="2"/>
          <w:sz w:val="24"/>
          <w:szCs w:val="24"/>
          <w:highlight w:val="none"/>
          <w:lang w:val="en-US" w:eastAsia="zh-CN" w:bidi="ar-SA"/>
        </w:rPr>
        <w:t>以上价格调整公式中的各可调因子、定值和变值权重，以及基本价格指数及其来源在投标函附录价格指数和权重表中约定。价格指数应首先采用有关部门提供的价格指数，缺乏上述价格指数时，可采用有关部门提供的价格代替。</w:t>
      </w:r>
    </w:p>
    <w:p>
      <w:pPr>
        <w:pStyle w:val="65"/>
        <w:tabs>
          <w:tab w:val="left" w:pos="8280"/>
        </w:tabs>
        <w:spacing w:line="360" w:lineRule="auto"/>
        <w:ind w:firstLine="360" w:firstLineChars="150"/>
        <w:rPr>
          <w:rStyle w:val="21"/>
          <w:rFonts w:hint="eastAsia" w:asciiTheme="minorEastAsia" w:hAnsiTheme="minorEastAsia" w:eastAsiaTheme="minorEastAsia" w:cstheme="minorEastAsia"/>
          <w:color w:val="auto"/>
          <w:kern w:val="2"/>
          <w:sz w:val="24"/>
          <w:szCs w:val="24"/>
          <w:highlight w:val="none"/>
          <w:lang w:val="en-US" w:eastAsia="zh-CN" w:bidi="ar-SA"/>
        </w:rPr>
      </w:pPr>
      <w:r>
        <w:rPr>
          <w:rStyle w:val="21"/>
          <w:rFonts w:hint="eastAsia" w:asciiTheme="minorEastAsia" w:hAnsiTheme="minorEastAsia" w:eastAsiaTheme="minorEastAsia" w:cstheme="minorEastAsia"/>
          <w:color w:val="auto"/>
          <w:kern w:val="2"/>
          <w:sz w:val="24"/>
          <w:szCs w:val="24"/>
          <w:highlight w:val="none"/>
          <w:lang w:val="en-US" w:eastAsia="zh-CN" w:bidi="ar-SA"/>
        </w:rPr>
        <w:t>16.1.1.2 暂时确定调整差额</w:t>
      </w:r>
    </w:p>
    <w:p>
      <w:pPr>
        <w:pStyle w:val="65"/>
        <w:tabs>
          <w:tab w:val="left" w:pos="8280"/>
        </w:tabs>
        <w:spacing w:line="360" w:lineRule="auto"/>
        <w:ind w:firstLine="360" w:firstLineChars="150"/>
        <w:rPr>
          <w:rStyle w:val="21"/>
          <w:rFonts w:hint="eastAsia" w:asciiTheme="minorEastAsia" w:hAnsiTheme="minorEastAsia" w:eastAsiaTheme="minorEastAsia" w:cstheme="minorEastAsia"/>
          <w:color w:val="auto"/>
          <w:kern w:val="2"/>
          <w:sz w:val="24"/>
          <w:szCs w:val="24"/>
          <w:highlight w:val="none"/>
          <w:lang w:val="en-US" w:eastAsia="zh-CN" w:bidi="ar-SA"/>
        </w:rPr>
      </w:pPr>
      <w:r>
        <w:rPr>
          <w:rStyle w:val="21"/>
          <w:rFonts w:hint="eastAsia" w:asciiTheme="minorEastAsia" w:hAnsiTheme="minorEastAsia" w:eastAsiaTheme="minorEastAsia" w:cstheme="minorEastAsia"/>
          <w:color w:val="auto"/>
          <w:kern w:val="2"/>
          <w:sz w:val="24"/>
          <w:szCs w:val="24"/>
          <w:highlight w:val="none"/>
          <w:lang w:val="en-US" w:eastAsia="zh-CN" w:bidi="ar-SA"/>
        </w:rPr>
        <w:t>在计算调整差额时得不到现行价格指数的，可暂用上一次价格指数计算，并在以后的付款中再按实际价格指数进行调整。</w:t>
      </w:r>
    </w:p>
    <w:p>
      <w:pPr>
        <w:pStyle w:val="65"/>
        <w:tabs>
          <w:tab w:val="left" w:pos="8280"/>
        </w:tabs>
        <w:spacing w:line="360" w:lineRule="auto"/>
        <w:ind w:firstLine="360" w:firstLineChars="150"/>
        <w:rPr>
          <w:rStyle w:val="21"/>
          <w:rFonts w:hint="eastAsia" w:asciiTheme="minorEastAsia" w:hAnsiTheme="minorEastAsia" w:eastAsiaTheme="minorEastAsia" w:cstheme="minorEastAsia"/>
          <w:color w:val="auto"/>
          <w:kern w:val="2"/>
          <w:sz w:val="24"/>
          <w:szCs w:val="24"/>
          <w:highlight w:val="none"/>
          <w:lang w:val="en-US" w:eastAsia="zh-CN" w:bidi="ar-SA"/>
        </w:rPr>
      </w:pPr>
      <w:r>
        <w:rPr>
          <w:rStyle w:val="21"/>
          <w:rFonts w:hint="eastAsia" w:asciiTheme="minorEastAsia" w:hAnsiTheme="minorEastAsia" w:eastAsiaTheme="minorEastAsia" w:cstheme="minorEastAsia"/>
          <w:color w:val="auto"/>
          <w:kern w:val="2"/>
          <w:sz w:val="24"/>
          <w:szCs w:val="24"/>
          <w:highlight w:val="none"/>
          <w:lang w:val="en-US" w:eastAsia="zh-CN" w:bidi="ar-SA"/>
        </w:rPr>
        <w:t>16.1.1.3 权重的调整</w:t>
      </w:r>
    </w:p>
    <w:p>
      <w:pPr>
        <w:pStyle w:val="65"/>
        <w:tabs>
          <w:tab w:val="left" w:pos="8280"/>
        </w:tabs>
        <w:spacing w:line="360" w:lineRule="auto"/>
        <w:ind w:firstLine="360" w:firstLineChars="150"/>
        <w:rPr>
          <w:rStyle w:val="21"/>
          <w:rFonts w:hint="eastAsia" w:asciiTheme="minorEastAsia" w:hAnsiTheme="minorEastAsia" w:eastAsiaTheme="minorEastAsia" w:cstheme="minorEastAsia"/>
          <w:color w:val="auto"/>
          <w:kern w:val="2"/>
          <w:sz w:val="24"/>
          <w:szCs w:val="24"/>
          <w:highlight w:val="none"/>
          <w:lang w:val="en-US" w:eastAsia="zh-CN" w:bidi="ar-SA"/>
        </w:rPr>
      </w:pPr>
      <w:r>
        <w:rPr>
          <w:rStyle w:val="21"/>
          <w:rFonts w:hint="eastAsia" w:asciiTheme="minorEastAsia" w:hAnsiTheme="minorEastAsia" w:eastAsiaTheme="minorEastAsia" w:cstheme="minorEastAsia"/>
          <w:color w:val="auto"/>
          <w:kern w:val="2"/>
          <w:sz w:val="24"/>
          <w:szCs w:val="24"/>
          <w:highlight w:val="none"/>
          <w:lang w:val="en-US" w:eastAsia="zh-CN" w:bidi="ar-SA"/>
        </w:rPr>
        <w:t>按第15.1 款约定的变更导致原定合同中的权重不合理时，由监理人与承包人和发包人协商后进行调整。</w:t>
      </w:r>
    </w:p>
    <w:p>
      <w:pPr>
        <w:pStyle w:val="65"/>
        <w:tabs>
          <w:tab w:val="left" w:pos="8280"/>
        </w:tabs>
        <w:spacing w:line="360" w:lineRule="auto"/>
        <w:ind w:firstLine="360" w:firstLineChars="150"/>
        <w:rPr>
          <w:rStyle w:val="21"/>
          <w:rFonts w:hint="eastAsia" w:asciiTheme="minorEastAsia" w:hAnsiTheme="minorEastAsia" w:eastAsiaTheme="minorEastAsia" w:cstheme="minorEastAsia"/>
          <w:color w:val="auto"/>
          <w:kern w:val="2"/>
          <w:sz w:val="24"/>
          <w:szCs w:val="24"/>
          <w:highlight w:val="none"/>
          <w:lang w:val="en-US" w:eastAsia="zh-CN" w:bidi="ar-SA"/>
        </w:rPr>
      </w:pPr>
      <w:r>
        <w:rPr>
          <w:rStyle w:val="21"/>
          <w:rFonts w:hint="eastAsia" w:asciiTheme="minorEastAsia" w:hAnsiTheme="minorEastAsia" w:eastAsiaTheme="minorEastAsia" w:cstheme="minorEastAsia"/>
          <w:color w:val="auto"/>
          <w:kern w:val="2"/>
          <w:sz w:val="24"/>
          <w:szCs w:val="24"/>
          <w:highlight w:val="none"/>
          <w:lang w:val="en-US" w:eastAsia="zh-CN" w:bidi="ar-SA"/>
        </w:rPr>
        <w:t>16.1.1.4 承包人工期延误后的价格调整</w:t>
      </w:r>
    </w:p>
    <w:p>
      <w:pPr>
        <w:pStyle w:val="65"/>
        <w:tabs>
          <w:tab w:val="left" w:pos="8280"/>
        </w:tabs>
        <w:spacing w:line="360" w:lineRule="auto"/>
        <w:ind w:firstLine="360" w:firstLineChars="150"/>
        <w:rPr>
          <w:rStyle w:val="21"/>
          <w:rFonts w:hint="eastAsia" w:asciiTheme="minorEastAsia" w:hAnsiTheme="minorEastAsia" w:eastAsiaTheme="minorEastAsia" w:cstheme="minorEastAsia"/>
          <w:color w:val="auto"/>
          <w:kern w:val="2"/>
          <w:sz w:val="24"/>
          <w:szCs w:val="24"/>
          <w:highlight w:val="none"/>
          <w:lang w:val="en-US" w:eastAsia="zh-CN" w:bidi="ar-SA"/>
        </w:rPr>
      </w:pPr>
      <w:r>
        <w:rPr>
          <w:rStyle w:val="21"/>
          <w:rFonts w:hint="eastAsia" w:asciiTheme="minorEastAsia" w:hAnsiTheme="minorEastAsia" w:eastAsiaTheme="minorEastAsia" w:cstheme="minorEastAsia"/>
          <w:color w:val="auto"/>
          <w:kern w:val="2"/>
          <w:sz w:val="24"/>
          <w:szCs w:val="24"/>
          <w:highlight w:val="none"/>
          <w:lang w:val="en-US" w:eastAsia="zh-CN" w:bidi="ar-SA"/>
        </w:rPr>
        <w:t>由于承包人原因未在约定的工期内竣工的，则对原约定竣工日期后继续施工的工程，在使用第16.1.1. 1目价格调整公式时，应采用原约定竣工日期与实际竣工日期的两个价格指数中较低的一个作为现行价格指数。</w:t>
      </w:r>
    </w:p>
    <w:p>
      <w:pPr>
        <w:pStyle w:val="65"/>
        <w:tabs>
          <w:tab w:val="left" w:pos="8280"/>
        </w:tabs>
        <w:spacing w:line="360" w:lineRule="auto"/>
        <w:ind w:firstLine="360" w:firstLineChars="150"/>
        <w:rPr>
          <w:rStyle w:val="21"/>
          <w:rFonts w:hint="eastAsia" w:asciiTheme="minorEastAsia" w:hAnsiTheme="minorEastAsia" w:eastAsiaTheme="minorEastAsia" w:cstheme="minorEastAsia"/>
          <w:color w:val="auto"/>
          <w:kern w:val="2"/>
          <w:sz w:val="24"/>
          <w:szCs w:val="24"/>
          <w:highlight w:val="none"/>
          <w:lang w:val="en-US" w:eastAsia="zh-CN" w:bidi="ar-SA"/>
        </w:rPr>
      </w:pPr>
      <w:r>
        <w:rPr>
          <w:rStyle w:val="21"/>
          <w:rFonts w:hint="eastAsia" w:asciiTheme="minorEastAsia" w:hAnsiTheme="minorEastAsia" w:eastAsiaTheme="minorEastAsia" w:cstheme="minorEastAsia"/>
          <w:color w:val="auto"/>
          <w:kern w:val="2"/>
          <w:sz w:val="24"/>
          <w:szCs w:val="24"/>
          <w:highlight w:val="none"/>
          <w:lang w:val="en-US" w:eastAsia="zh-CN" w:bidi="ar-SA"/>
        </w:rPr>
        <w:t>16.1.2 采用造价信息调整价格差额</w:t>
      </w:r>
    </w:p>
    <w:p>
      <w:pPr>
        <w:pStyle w:val="65"/>
        <w:tabs>
          <w:tab w:val="left" w:pos="8280"/>
        </w:tabs>
        <w:spacing w:line="360" w:lineRule="auto"/>
        <w:ind w:firstLine="360" w:firstLineChars="150"/>
        <w:rPr>
          <w:rStyle w:val="21"/>
          <w:rFonts w:hint="eastAsia" w:asciiTheme="minorEastAsia" w:hAnsiTheme="minorEastAsia" w:eastAsiaTheme="minorEastAsia" w:cstheme="minorEastAsia"/>
          <w:color w:val="auto"/>
          <w:kern w:val="2"/>
          <w:sz w:val="24"/>
          <w:szCs w:val="24"/>
          <w:highlight w:val="none"/>
          <w:lang w:val="en-US" w:eastAsia="zh-CN" w:bidi="ar-SA"/>
        </w:rPr>
      </w:pPr>
      <w:r>
        <w:rPr>
          <w:rStyle w:val="21"/>
          <w:rFonts w:hint="eastAsia" w:asciiTheme="minorEastAsia" w:hAnsiTheme="minorEastAsia" w:eastAsiaTheme="minorEastAsia" w:cstheme="minorEastAsia"/>
          <w:color w:val="auto"/>
          <w:kern w:val="2"/>
          <w:sz w:val="24"/>
          <w:szCs w:val="24"/>
          <w:highlight w:val="none"/>
          <w:lang w:val="en-US" w:eastAsia="zh-CN" w:bidi="ar-SA"/>
        </w:rPr>
        <w:t>施工期内，因人工、材料、设备和机械台班价格波动影响合同价格时，人工、机械使用费按照国家或省、自治区、直辖市建设行政管理部门、行业建设管理部门或其授权的工程造价管理机构发布的人工成本信息、机械台班单价或机械使用费系数进行调整；需要进行价格调整的材料，其单价和采购数应由监理人复核，监理人确认需调整的材料单价及数量，作为调整工程合同价格差额的依据。工程造价信息的来源以及价格调整的项目和系数在专用合同条款中约定。</w:t>
      </w:r>
    </w:p>
    <w:p>
      <w:pPr>
        <w:pStyle w:val="65"/>
        <w:tabs>
          <w:tab w:val="left" w:pos="8280"/>
        </w:tabs>
        <w:spacing w:line="360" w:lineRule="auto"/>
        <w:rPr>
          <w:rStyle w:val="21"/>
          <w:rFonts w:hint="eastAsia" w:asciiTheme="minorEastAsia" w:hAnsiTheme="minorEastAsia" w:eastAsiaTheme="minorEastAsia" w:cstheme="minorEastAsia"/>
          <w:b/>
          <w:color w:val="auto"/>
          <w:kern w:val="2"/>
          <w:sz w:val="24"/>
          <w:szCs w:val="24"/>
          <w:highlight w:val="none"/>
          <w:lang w:val="en-US" w:eastAsia="zh-CN" w:bidi="ar-SA"/>
        </w:rPr>
      </w:pPr>
      <w:r>
        <w:rPr>
          <w:rStyle w:val="21"/>
          <w:rFonts w:hint="eastAsia" w:asciiTheme="minorEastAsia" w:hAnsiTheme="minorEastAsia" w:eastAsiaTheme="minorEastAsia" w:cstheme="minorEastAsia"/>
          <w:b/>
          <w:color w:val="auto"/>
          <w:kern w:val="2"/>
          <w:sz w:val="24"/>
          <w:szCs w:val="24"/>
          <w:highlight w:val="none"/>
          <w:lang w:val="en-US" w:eastAsia="zh-CN" w:bidi="ar-SA"/>
        </w:rPr>
        <w:t>16.2 法律变化引起的价格调整</w:t>
      </w:r>
    </w:p>
    <w:p>
      <w:pPr>
        <w:pStyle w:val="65"/>
        <w:tabs>
          <w:tab w:val="left" w:pos="8280"/>
        </w:tabs>
        <w:spacing w:line="360" w:lineRule="auto"/>
        <w:ind w:firstLine="360" w:firstLineChars="150"/>
        <w:rPr>
          <w:rStyle w:val="21"/>
          <w:rFonts w:hint="eastAsia" w:asciiTheme="minorEastAsia" w:hAnsiTheme="minorEastAsia" w:eastAsiaTheme="minorEastAsia" w:cstheme="minorEastAsia"/>
          <w:color w:val="auto"/>
          <w:kern w:val="2"/>
          <w:sz w:val="24"/>
          <w:szCs w:val="24"/>
          <w:highlight w:val="none"/>
          <w:lang w:val="en-US" w:eastAsia="zh-CN" w:bidi="ar-SA"/>
        </w:rPr>
      </w:pPr>
      <w:r>
        <w:rPr>
          <w:rStyle w:val="21"/>
          <w:rFonts w:hint="eastAsia" w:asciiTheme="minorEastAsia" w:hAnsiTheme="minorEastAsia" w:eastAsiaTheme="minorEastAsia" w:cstheme="minorEastAsia"/>
          <w:color w:val="auto"/>
          <w:kern w:val="2"/>
          <w:sz w:val="24"/>
          <w:szCs w:val="24"/>
          <w:highlight w:val="none"/>
          <w:lang w:val="en-US" w:eastAsia="zh-CN" w:bidi="ar-SA"/>
        </w:rPr>
        <w:t>在基准日后，因法律变化导致承包人在合同履行中所需要的工程费用发生除第16.1 款约定以外的增减时，监理人应根据法律、国家或省、自治区、直辖市有关部门的规定，按第3.5 款商定或确定需调整的合同价款。</w:t>
      </w:r>
    </w:p>
    <w:p>
      <w:pPr>
        <w:pStyle w:val="66"/>
        <w:rPr>
          <w:rStyle w:val="21"/>
          <w:rFonts w:hint="eastAsia" w:asciiTheme="minorEastAsia" w:hAnsiTheme="minorEastAsia" w:eastAsiaTheme="minorEastAsia" w:cstheme="minorEastAsia"/>
          <w:color w:val="auto"/>
          <w:kern w:val="2"/>
          <w:sz w:val="24"/>
          <w:szCs w:val="24"/>
          <w:highlight w:val="none"/>
          <w:lang w:val="en-US" w:eastAsia="zh-CN" w:bidi="ar-SA"/>
        </w:rPr>
      </w:pPr>
      <w:bookmarkStart w:id="285" w:name="_Toc19719"/>
      <w:r>
        <w:rPr>
          <w:rStyle w:val="21"/>
          <w:rFonts w:hint="eastAsia" w:asciiTheme="minorEastAsia" w:hAnsiTheme="minorEastAsia" w:eastAsiaTheme="minorEastAsia" w:cstheme="minorEastAsia"/>
          <w:color w:val="auto"/>
          <w:kern w:val="2"/>
          <w:sz w:val="24"/>
          <w:szCs w:val="24"/>
          <w:highlight w:val="none"/>
          <w:lang w:val="en-US" w:eastAsia="zh-CN" w:bidi="ar-SA"/>
        </w:rPr>
        <w:t>17 计量与支付</w:t>
      </w:r>
      <w:bookmarkEnd w:id="285"/>
    </w:p>
    <w:p>
      <w:pPr>
        <w:pStyle w:val="65"/>
        <w:tabs>
          <w:tab w:val="left" w:pos="8280"/>
        </w:tabs>
        <w:spacing w:line="360" w:lineRule="auto"/>
        <w:rPr>
          <w:rStyle w:val="21"/>
          <w:rFonts w:hint="eastAsia" w:asciiTheme="minorEastAsia" w:hAnsiTheme="minorEastAsia" w:eastAsiaTheme="minorEastAsia" w:cstheme="minorEastAsia"/>
          <w:b/>
          <w:color w:val="auto"/>
          <w:kern w:val="2"/>
          <w:sz w:val="24"/>
          <w:szCs w:val="24"/>
          <w:highlight w:val="none"/>
          <w:lang w:val="en-US" w:eastAsia="zh-CN" w:bidi="ar-SA"/>
        </w:rPr>
      </w:pPr>
      <w:r>
        <w:rPr>
          <w:rStyle w:val="21"/>
          <w:rFonts w:hint="eastAsia" w:asciiTheme="minorEastAsia" w:hAnsiTheme="minorEastAsia" w:eastAsiaTheme="minorEastAsia" w:cstheme="minorEastAsia"/>
          <w:b/>
          <w:color w:val="auto"/>
          <w:kern w:val="2"/>
          <w:sz w:val="24"/>
          <w:szCs w:val="24"/>
          <w:highlight w:val="none"/>
          <w:lang w:val="en-US" w:eastAsia="zh-CN" w:bidi="ar-SA"/>
        </w:rPr>
        <w:t>17.1计量</w:t>
      </w:r>
    </w:p>
    <w:p>
      <w:pPr>
        <w:pStyle w:val="65"/>
        <w:tabs>
          <w:tab w:val="left" w:pos="8280"/>
        </w:tabs>
        <w:spacing w:line="360" w:lineRule="auto"/>
        <w:ind w:firstLine="360" w:firstLineChars="150"/>
        <w:rPr>
          <w:rStyle w:val="21"/>
          <w:rFonts w:hint="eastAsia" w:asciiTheme="minorEastAsia" w:hAnsiTheme="minorEastAsia" w:eastAsiaTheme="minorEastAsia" w:cstheme="minorEastAsia"/>
          <w:color w:val="auto"/>
          <w:kern w:val="2"/>
          <w:sz w:val="24"/>
          <w:szCs w:val="24"/>
          <w:highlight w:val="none"/>
          <w:lang w:val="en-US" w:eastAsia="zh-CN" w:bidi="ar-SA"/>
        </w:rPr>
      </w:pPr>
      <w:r>
        <w:rPr>
          <w:rStyle w:val="21"/>
          <w:rFonts w:hint="eastAsia" w:asciiTheme="minorEastAsia" w:hAnsiTheme="minorEastAsia" w:eastAsiaTheme="minorEastAsia" w:cstheme="minorEastAsia"/>
          <w:color w:val="auto"/>
          <w:kern w:val="2"/>
          <w:sz w:val="24"/>
          <w:szCs w:val="24"/>
          <w:highlight w:val="none"/>
          <w:lang w:val="en-US" w:eastAsia="zh-CN" w:bidi="ar-SA"/>
        </w:rPr>
        <w:t>17.1.1计量单位：计量采用国家法定的计量单位。</w:t>
      </w:r>
    </w:p>
    <w:p>
      <w:pPr>
        <w:pStyle w:val="65"/>
        <w:tabs>
          <w:tab w:val="left" w:pos="8280"/>
        </w:tabs>
        <w:spacing w:line="360" w:lineRule="auto"/>
        <w:ind w:firstLine="360" w:firstLineChars="150"/>
        <w:rPr>
          <w:rStyle w:val="21"/>
          <w:rFonts w:hint="eastAsia" w:asciiTheme="minorEastAsia" w:hAnsiTheme="minorEastAsia" w:eastAsiaTheme="minorEastAsia" w:cstheme="minorEastAsia"/>
          <w:color w:val="auto"/>
          <w:kern w:val="2"/>
          <w:sz w:val="24"/>
          <w:szCs w:val="24"/>
          <w:highlight w:val="none"/>
          <w:lang w:val="en-US" w:eastAsia="zh-CN" w:bidi="ar-SA"/>
        </w:rPr>
      </w:pPr>
      <w:r>
        <w:rPr>
          <w:rStyle w:val="21"/>
          <w:rFonts w:hint="eastAsia" w:asciiTheme="minorEastAsia" w:hAnsiTheme="minorEastAsia" w:eastAsiaTheme="minorEastAsia" w:cstheme="minorEastAsia"/>
          <w:color w:val="auto"/>
          <w:kern w:val="2"/>
          <w:sz w:val="24"/>
          <w:szCs w:val="24"/>
          <w:highlight w:val="none"/>
          <w:lang w:val="en-US" w:eastAsia="zh-CN" w:bidi="ar-SA"/>
        </w:rPr>
        <w:t xml:space="preserve">17.1.2计量方法    </w:t>
      </w:r>
    </w:p>
    <w:p>
      <w:pPr>
        <w:pStyle w:val="65"/>
        <w:tabs>
          <w:tab w:val="left" w:pos="8280"/>
        </w:tabs>
        <w:spacing w:line="360" w:lineRule="auto"/>
        <w:ind w:firstLine="360" w:firstLineChars="150"/>
        <w:rPr>
          <w:rStyle w:val="21"/>
          <w:rFonts w:hint="eastAsia" w:asciiTheme="minorEastAsia" w:hAnsiTheme="minorEastAsia" w:eastAsiaTheme="minorEastAsia" w:cstheme="minorEastAsia"/>
          <w:color w:val="auto"/>
          <w:kern w:val="2"/>
          <w:sz w:val="24"/>
          <w:szCs w:val="24"/>
          <w:highlight w:val="none"/>
          <w:lang w:val="en-US" w:eastAsia="zh-CN" w:bidi="ar-SA"/>
        </w:rPr>
      </w:pPr>
      <w:r>
        <w:rPr>
          <w:rStyle w:val="21"/>
          <w:rFonts w:hint="eastAsia" w:asciiTheme="minorEastAsia" w:hAnsiTheme="minorEastAsia" w:eastAsiaTheme="minorEastAsia" w:cstheme="minorEastAsia"/>
          <w:color w:val="auto"/>
          <w:kern w:val="2"/>
          <w:sz w:val="24"/>
          <w:szCs w:val="24"/>
          <w:highlight w:val="none"/>
          <w:lang w:val="en-US" w:eastAsia="zh-CN" w:bidi="ar-SA"/>
        </w:rPr>
        <w:t>结算工程量应按工程量清单中约定的方法计量。</w:t>
      </w:r>
    </w:p>
    <w:p>
      <w:pPr>
        <w:pStyle w:val="65"/>
        <w:tabs>
          <w:tab w:val="left" w:pos="8280"/>
        </w:tabs>
        <w:spacing w:line="360" w:lineRule="auto"/>
        <w:ind w:firstLine="360" w:firstLineChars="150"/>
        <w:rPr>
          <w:rStyle w:val="21"/>
          <w:rFonts w:hint="eastAsia" w:asciiTheme="minorEastAsia" w:hAnsiTheme="minorEastAsia" w:eastAsiaTheme="minorEastAsia" w:cstheme="minorEastAsia"/>
          <w:color w:val="auto"/>
          <w:kern w:val="2"/>
          <w:sz w:val="24"/>
          <w:szCs w:val="24"/>
          <w:highlight w:val="none"/>
          <w:lang w:val="en-US" w:eastAsia="zh-CN" w:bidi="ar-SA"/>
        </w:rPr>
      </w:pPr>
      <w:r>
        <w:rPr>
          <w:rStyle w:val="21"/>
          <w:rFonts w:hint="eastAsia" w:asciiTheme="minorEastAsia" w:hAnsiTheme="minorEastAsia" w:eastAsiaTheme="minorEastAsia" w:cstheme="minorEastAsia"/>
          <w:color w:val="auto"/>
          <w:kern w:val="2"/>
          <w:sz w:val="24"/>
          <w:szCs w:val="24"/>
          <w:highlight w:val="none"/>
          <w:lang w:val="en-US" w:eastAsia="zh-CN" w:bidi="ar-SA"/>
        </w:rPr>
        <w:t>17.1.3计量周期</w:t>
      </w:r>
    </w:p>
    <w:p>
      <w:pPr>
        <w:pStyle w:val="65"/>
        <w:tabs>
          <w:tab w:val="left" w:pos="8280"/>
        </w:tabs>
        <w:spacing w:line="360" w:lineRule="auto"/>
        <w:ind w:firstLine="360" w:firstLineChars="150"/>
        <w:rPr>
          <w:rStyle w:val="21"/>
          <w:rFonts w:hint="eastAsia" w:asciiTheme="minorEastAsia" w:hAnsiTheme="minorEastAsia" w:eastAsiaTheme="minorEastAsia" w:cstheme="minorEastAsia"/>
          <w:color w:val="auto"/>
          <w:kern w:val="2"/>
          <w:sz w:val="24"/>
          <w:szCs w:val="24"/>
          <w:highlight w:val="none"/>
          <w:lang w:val="en-US" w:eastAsia="zh-CN" w:bidi="ar-SA"/>
        </w:rPr>
      </w:pPr>
      <w:r>
        <w:rPr>
          <w:rStyle w:val="21"/>
          <w:rFonts w:hint="eastAsia" w:asciiTheme="minorEastAsia" w:hAnsiTheme="minorEastAsia" w:eastAsiaTheme="minorEastAsia" w:cstheme="minorEastAsia"/>
          <w:color w:val="auto"/>
          <w:kern w:val="2"/>
          <w:sz w:val="24"/>
          <w:szCs w:val="24"/>
          <w:highlight w:val="none"/>
          <w:lang w:val="en-US" w:eastAsia="zh-CN" w:bidi="ar-SA"/>
        </w:rPr>
        <w:t>除专用合同条款另有约定外，单价子目已完成工程量按月计量，总价子目的计量周期按批准的支付分解报告确定。</w:t>
      </w:r>
    </w:p>
    <w:p>
      <w:pPr>
        <w:pStyle w:val="65"/>
        <w:tabs>
          <w:tab w:val="left" w:pos="8280"/>
        </w:tabs>
        <w:spacing w:line="360" w:lineRule="auto"/>
        <w:ind w:firstLine="360" w:firstLineChars="150"/>
        <w:rPr>
          <w:rStyle w:val="21"/>
          <w:rFonts w:hint="eastAsia" w:asciiTheme="minorEastAsia" w:hAnsiTheme="minorEastAsia" w:eastAsiaTheme="minorEastAsia" w:cstheme="minorEastAsia"/>
          <w:color w:val="auto"/>
          <w:kern w:val="2"/>
          <w:sz w:val="24"/>
          <w:szCs w:val="24"/>
          <w:highlight w:val="none"/>
          <w:lang w:val="en-US" w:eastAsia="zh-CN" w:bidi="ar-SA"/>
        </w:rPr>
      </w:pPr>
      <w:r>
        <w:rPr>
          <w:rStyle w:val="21"/>
          <w:rFonts w:hint="eastAsia" w:asciiTheme="minorEastAsia" w:hAnsiTheme="minorEastAsia" w:eastAsiaTheme="minorEastAsia" w:cstheme="minorEastAsia"/>
          <w:color w:val="auto"/>
          <w:kern w:val="2"/>
          <w:sz w:val="24"/>
          <w:szCs w:val="24"/>
          <w:highlight w:val="none"/>
          <w:lang w:val="en-US" w:eastAsia="zh-CN" w:bidi="ar-SA"/>
        </w:rPr>
        <w:t>17.1.4单价子目的计量</w:t>
      </w:r>
    </w:p>
    <w:p>
      <w:pPr>
        <w:pStyle w:val="65"/>
        <w:tabs>
          <w:tab w:val="left" w:pos="8280"/>
        </w:tabs>
        <w:spacing w:line="360" w:lineRule="auto"/>
        <w:ind w:firstLine="360" w:firstLineChars="150"/>
        <w:rPr>
          <w:rStyle w:val="21"/>
          <w:rFonts w:hint="eastAsia" w:asciiTheme="minorEastAsia" w:hAnsiTheme="minorEastAsia" w:eastAsiaTheme="minorEastAsia" w:cstheme="minorEastAsia"/>
          <w:color w:val="auto"/>
          <w:kern w:val="2"/>
          <w:sz w:val="24"/>
          <w:szCs w:val="24"/>
          <w:highlight w:val="none"/>
          <w:lang w:val="en-US" w:eastAsia="zh-CN" w:bidi="ar-SA"/>
        </w:rPr>
      </w:pPr>
      <w:r>
        <w:rPr>
          <w:rStyle w:val="21"/>
          <w:rFonts w:hint="eastAsia" w:asciiTheme="minorEastAsia" w:hAnsiTheme="minorEastAsia" w:eastAsiaTheme="minorEastAsia" w:cstheme="minorEastAsia"/>
          <w:color w:val="auto"/>
          <w:kern w:val="2"/>
          <w:sz w:val="24"/>
          <w:szCs w:val="24"/>
          <w:highlight w:val="none"/>
          <w:lang w:val="en-US" w:eastAsia="zh-CN" w:bidi="ar-SA"/>
        </w:rPr>
        <w:t xml:space="preserve">(1)已标价工程量清单中的单价子目工程量为估算工程量。结算工程量是承包人实际完成的，并按合同约定的计量方法进行计量的工程量。  </w:t>
      </w:r>
    </w:p>
    <w:p>
      <w:pPr>
        <w:pStyle w:val="65"/>
        <w:tabs>
          <w:tab w:val="left" w:pos="8280"/>
        </w:tabs>
        <w:spacing w:line="360" w:lineRule="auto"/>
        <w:ind w:firstLine="360" w:firstLineChars="150"/>
        <w:rPr>
          <w:rStyle w:val="21"/>
          <w:rFonts w:hint="eastAsia" w:asciiTheme="minorEastAsia" w:hAnsiTheme="minorEastAsia" w:eastAsiaTheme="minorEastAsia" w:cstheme="minorEastAsia"/>
          <w:color w:val="auto"/>
          <w:kern w:val="2"/>
          <w:sz w:val="24"/>
          <w:szCs w:val="24"/>
          <w:highlight w:val="none"/>
          <w:lang w:val="en-US" w:eastAsia="zh-CN" w:bidi="ar-SA"/>
        </w:rPr>
      </w:pPr>
      <w:r>
        <w:rPr>
          <w:rStyle w:val="21"/>
          <w:rFonts w:hint="eastAsia" w:asciiTheme="minorEastAsia" w:hAnsiTheme="minorEastAsia" w:eastAsiaTheme="minorEastAsia" w:cstheme="minorEastAsia"/>
          <w:color w:val="auto"/>
          <w:kern w:val="2"/>
          <w:sz w:val="24"/>
          <w:szCs w:val="24"/>
          <w:highlight w:val="none"/>
          <w:lang w:val="en-US" w:eastAsia="zh-CN" w:bidi="ar-SA"/>
        </w:rPr>
        <w:t>(2)承包人对己完成的工程进行计量，向监理人提交进度付款申请单、己完成工程量报表和有关计量资料。</w:t>
      </w:r>
    </w:p>
    <w:p>
      <w:pPr>
        <w:pStyle w:val="65"/>
        <w:tabs>
          <w:tab w:val="left" w:pos="8280"/>
        </w:tabs>
        <w:spacing w:line="360" w:lineRule="auto"/>
        <w:ind w:firstLine="360" w:firstLineChars="150"/>
        <w:rPr>
          <w:rStyle w:val="21"/>
          <w:rFonts w:hint="eastAsia" w:asciiTheme="minorEastAsia" w:hAnsiTheme="minorEastAsia" w:eastAsiaTheme="minorEastAsia" w:cstheme="minorEastAsia"/>
          <w:color w:val="auto"/>
          <w:kern w:val="2"/>
          <w:sz w:val="24"/>
          <w:szCs w:val="24"/>
          <w:highlight w:val="none"/>
          <w:lang w:val="en-US" w:eastAsia="zh-CN" w:bidi="ar-SA"/>
        </w:rPr>
      </w:pPr>
      <w:r>
        <w:rPr>
          <w:rStyle w:val="21"/>
          <w:rFonts w:hint="eastAsia" w:asciiTheme="minorEastAsia" w:hAnsiTheme="minorEastAsia" w:eastAsiaTheme="minorEastAsia" w:cstheme="minorEastAsia"/>
          <w:color w:val="auto"/>
          <w:kern w:val="2"/>
          <w:sz w:val="24"/>
          <w:szCs w:val="24"/>
          <w:highlight w:val="none"/>
          <w:lang w:val="en-US" w:eastAsia="zh-CN" w:bidi="ar-SA"/>
        </w:rPr>
        <w:t>(3)监理人对承包人提交的工程量报表进行复核，以确定实际完成的工程量。对数量有异议的，可要求承包人按第8.2款约定进行共同复核和抽样复测。承包人应协助监理人进行复核并按监理人要求提供补充计量资料。承包人未按监理人要求参加复核，监理人复核或修正的工程量视为承包人实际完成的工程量。</w:t>
      </w:r>
    </w:p>
    <w:p>
      <w:pPr>
        <w:pStyle w:val="65"/>
        <w:tabs>
          <w:tab w:val="left" w:pos="8280"/>
        </w:tabs>
        <w:spacing w:line="360" w:lineRule="auto"/>
        <w:ind w:firstLine="360" w:firstLineChars="150"/>
        <w:rPr>
          <w:rStyle w:val="21"/>
          <w:rFonts w:hint="eastAsia" w:asciiTheme="minorEastAsia" w:hAnsiTheme="minorEastAsia" w:eastAsiaTheme="minorEastAsia" w:cstheme="minorEastAsia"/>
          <w:color w:val="auto"/>
          <w:kern w:val="2"/>
          <w:sz w:val="24"/>
          <w:szCs w:val="24"/>
          <w:highlight w:val="none"/>
          <w:lang w:val="en-US" w:eastAsia="zh-CN" w:bidi="ar-SA"/>
        </w:rPr>
      </w:pPr>
      <w:r>
        <w:rPr>
          <w:rStyle w:val="21"/>
          <w:rFonts w:hint="eastAsia" w:asciiTheme="minorEastAsia" w:hAnsiTheme="minorEastAsia" w:eastAsiaTheme="minorEastAsia" w:cstheme="minorEastAsia"/>
          <w:color w:val="auto"/>
          <w:kern w:val="2"/>
          <w:sz w:val="24"/>
          <w:szCs w:val="24"/>
          <w:highlight w:val="none"/>
          <w:lang w:val="en-US" w:eastAsia="zh-CN" w:bidi="ar-SA"/>
        </w:rPr>
        <w:t>(4)监理人认为有必要时，可通知承包人共同进行联合测量、计量，承包人应遵照执行。</w:t>
      </w:r>
    </w:p>
    <w:p>
      <w:pPr>
        <w:pStyle w:val="65"/>
        <w:tabs>
          <w:tab w:val="left" w:pos="8280"/>
        </w:tabs>
        <w:spacing w:line="360" w:lineRule="auto"/>
        <w:ind w:firstLine="360" w:firstLineChars="150"/>
        <w:rPr>
          <w:rStyle w:val="21"/>
          <w:rFonts w:hint="eastAsia" w:asciiTheme="minorEastAsia" w:hAnsiTheme="minorEastAsia" w:eastAsiaTheme="minorEastAsia" w:cstheme="minorEastAsia"/>
          <w:color w:val="auto"/>
          <w:kern w:val="2"/>
          <w:sz w:val="24"/>
          <w:szCs w:val="24"/>
          <w:highlight w:val="none"/>
          <w:lang w:val="en-US" w:eastAsia="zh-CN" w:bidi="ar-SA"/>
        </w:rPr>
      </w:pPr>
      <w:r>
        <w:rPr>
          <w:rStyle w:val="21"/>
          <w:rFonts w:hint="eastAsia" w:asciiTheme="minorEastAsia" w:hAnsiTheme="minorEastAsia" w:eastAsiaTheme="minorEastAsia" w:cstheme="minorEastAsia"/>
          <w:color w:val="auto"/>
          <w:kern w:val="2"/>
          <w:sz w:val="24"/>
          <w:szCs w:val="24"/>
          <w:highlight w:val="none"/>
          <w:lang w:val="en-US" w:eastAsia="zh-CN" w:bidi="ar-SA"/>
        </w:rPr>
        <w:t>(5)承包人完成工程量清单中每个子目的工程量后，监理人应要求承包人派员共同对每个子目的历次计量报表进行汇总，以核实最终结算工程量。监理人可要求承包人提供补充计量资料，以确定最后一次进度付款的准确工程量。承包人未按监理人要求派员参加的，监理人最终核实的工程量视为承包人完成该子目的准确工程量。</w:t>
      </w:r>
    </w:p>
    <w:p>
      <w:pPr>
        <w:pStyle w:val="65"/>
        <w:tabs>
          <w:tab w:val="left" w:pos="8280"/>
        </w:tabs>
        <w:spacing w:line="360" w:lineRule="auto"/>
        <w:ind w:firstLine="360" w:firstLineChars="150"/>
        <w:rPr>
          <w:rStyle w:val="21"/>
          <w:rFonts w:hint="eastAsia" w:asciiTheme="minorEastAsia" w:hAnsiTheme="minorEastAsia" w:eastAsiaTheme="minorEastAsia" w:cstheme="minorEastAsia"/>
          <w:color w:val="auto"/>
          <w:kern w:val="2"/>
          <w:sz w:val="24"/>
          <w:szCs w:val="24"/>
          <w:highlight w:val="none"/>
          <w:lang w:val="en-US" w:eastAsia="zh-CN" w:bidi="ar-SA"/>
        </w:rPr>
      </w:pPr>
      <w:r>
        <w:rPr>
          <w:rStyle w:val="21"/>
          <w:rFonts w:hint="eastAsia" w:asciiTheme="minorEastAsia" w:hAnsiTheme="minorEastAsia" w:eastAsiaTheme="minorEastAsia" w:cstheme="minorEastAsia"/>
          <w:color w:val="auto"/>
          <w:kern w:val="2"/>
          <w:sz w:val="24"/>
          <w:szCs w:val="24"/>
          <w:highlight w:val="none"/>
          <w:lang w:val="en-US" w:eastAsia="zh-CN" w:bidi="ar-SA"/>
        </w:rPr>
        <w:t xml:space="preserve">(6)监理人应在收到承包人提交的工程量报表后的7天内进行复核，监理人未在约定时间内复核的，承包人提交的工程量报表中的工程量视为承包人实际完成的工程量，据此计算工程价款。    </w:t>
      </w:r>
    </w:p>
    <w:p>
      <w:pPr>
        <w:pStyle w:val="65"/>
        <w:tabs>
          <w:tab w:val="left" w:pos="8280"/>
        </w:tabs>
        <w:spacing w:line="360" w:lineRule="auto"/>
        <w:ind w:firstLine="360" w:firstLineChars="150"/>
        <w:rPr>
          <w:rStyle w:val="21"/>
          <w:rFonts w:hint="eastAsia" w:asciiTheme="minorEastAsia" w:hAnsiTheme="minorEastAsia" w:eastAsiaTheme="minorEastAsia" w:cstheme="minorEastAsia"/>
          <w:color w:val="auto"/>
          <w:kern w:val="2"/>
          <w:sz w:val="24"/>
          <w:szCs w:val="24"/>
          <w:highlight w:val="none"/>
          <w:lang w:val="en-US" w:eastAsia="zh-CN" w:bidi="ar-SA"/>
        </w:rPr>
      </w:pPr>
      <w:r>
        <w:rPr>
          <w:rStyle w:val="21"/>
          <w:rFonts w:hint="eastAsia" w:asciiTheme="minorEastAsia" w:hAnsiTheme="minorEastAsia" w:eastAsiaTheme="minorEastAsia" w:cstheme="minorEastAsia"/>
          <w:color w:val="auto"/>
          <w:kern w:val="2"/>
          <w:sz w:val="24"/>
          <w:szCs w:val="24"/>
          <w:highlight w:val="none"/>
          <w:lang w:val="en-US" w:eastAsia="zh-CN" w:bidi="ar-SA"/>
        </w:rPr>
        <w:t xml:space="preserve">17.1.5总价子目的计量总价子目的分解和计量按照下述约定进行。    </w:t>
      </w:r>
    </w:p>
    <w:p>
      <w:pPr>
        <w:pStyle w:val="65"/>
        <w:tabs>
          <w:tab w:val="left" w:pos="8280"/>
        </w:tabs>
        <w:spacing w:line="360" w:lineRule="auto"/>
        <w:ind w:firstLine="360" w:firstLineChars="150"/>
        <w:rPr>
          <w:rStyle w:val="21"/>
          <w:rFonts w:hint="eastAsia" w:asciiTheme="minorEastAsia" w:hAnsiTheme="minorEastAsia" w:eastAsiaTheme="minorEastAsia" w:cstheme="minorEastAsia"/>
          <w:color w:val="auto"/>
          <w:kern w:val="2"/>
          <w:sz w:val="24"/>
          <w:szCs w:val="24"/>
          <w:highlight w:val="none"/>
          <w:lang w:val="en-US" w:eastAsia="zh-CN" w:bidi="ar-SA"/>
        </w:rPr>
      </w:pPr>
      <w:r>
        <w:rPr>
          <w:rStyle w:val="21"/>
          <w:rFonts w:hint="eastAsia" w:asciiTheme="minorEastAsia" w:hAnsiTheme="minorEastAsia" w:eastAsiaTheme="minorEastAsia" w:cstheme="minorEastAsia"/>
          <w:color w:val="auto"/>
          <w:kern w:val="2"/>
          <w:sz w:val="24"/>
          <w:szCs w:val="24"/>
          <w:highlight w:val="none"/>
          <w:lang w:val="en-US" w:eastAsia="zh-CN" w:bidi="ar-SA"/>
        </w:rPr>
        <w:t xml:space="preserve">(1)总价子目的计量和支付应以总价为基础，不因第16.1款中的因素而进行调整。承包人实际完成的工程量，是进行工程目标管理和控制进度支付的依据。  </w:t>
      </w:r>
    </w:p>
    <w:p>
      <w:pPr>
        <w:pStyle w:val="65"/>
        <w:tabs>
          <w:tab w:val="left" w:pos="8280"/>
        </w:tabs>
        <w:spacing w:line="360" w:lineRule="auto"/>
        <w:ind w:firstLine="360" w:firstLineChars="150"/>
        <w:rPr>
          <w:rStyle w:val="21"/>
          <w:rFonts w:hint="eastAsia" w:asciiTheme="minorEastAsia" w:hAnsiTheme="minorEastAsia" w:eastAsiaTheme="minorEastAsia" w:cstheme="minorEastAsia"/>
          <w:color w:val="auto"/>
          <w:kern w:val="2"/>
          <w:sz w:val="24"/>
          <w:szCs w:val="24"/>
          <w:highlight w:val="none"/>
          <w:lang w:val="en-US" w:eastAsia="zh-CN" w:bidi="ar-SA"/>
        </w:rPr>
      </w:pPr>
      <w:r>
        <w:rPr>
          <w:rStyle w:val="21"/>
          <w:rFonts w:hint="eastAsia" w:asciiTheme="minorEastAsia" w:hAnsiTheme="minorEastAsia" w:eastAsiaTheme="minorEastAsia" w:cstheme="minorEastAsia"/>
          <w:color w:val="auto"/>
          <w:kern w:val="2"/>
          <w:sz w:val="24"/>
          <w:szCs w:val="24"/>
          <w:highlight w:val="none"/>
          <w:lang w:val="en-US" w:eastAsia="zh-CN" w:bidi="ar-SA"/>
        </w:rPr>
        <w:t xml:space="preserve">(2)承包人应按工程量清单的要求对总价子目进行分解，并在签订协议书后的28天内将各子目的总价支付分解表提交监理人审批。分解表应标明其所属子目和分阶段需支付的金额。承包人应按批准的各总价子目支付周期，对已完成的总价子目进行计量，确定分项的应付金额列入进度付款申请单中。    </w:t>
      </w:r>
    </w:p>
    <w:p>
      <w:pPr>
        <w:pStyle w:val="65"/>
        <w:tabs>
          <w:tab w:val="left" w:pos="8280"/>
        </w:tabs>
        <w:spacing w:line="360" w:lineRule="auto"/>
        <w:ind w:firstLine="360" w:firstLineChars="150"/>
        <w:rPr>
          <w:rStyle w:val="21"/>
          <w:rFonts w:hint="eastAsia" w:asciiTheme="minorEastAsia" w:hAnsiTheme="minorEastAsia" w:eastAsiaTheme="minorEastAsia" w:cstheme="minorEastAsia"/>
          <w:color w:val="auto"/>
          <w:kern w:val="2"/>
          <w:sz w:val="24"/>
          <w:szCs w:val="24"/>
          <w:highlight w:val="none"/>
          <w:lang w:val="en-US" w:eastAsia="zh-CN" w:bidi="ar-SA"/>
        </w:rPr>
      </w:pPr>
      <w:r>
        <w:rPr>
          <w:rStyle w:val="21"/>
          <w:rFonts w:hint="eastAsia" w:asciiTheme="minorEastAsia" w:hAnsiTheme="minorEastAsia" w:eastAsiaTheme="minorEastAsia" w:cstheme="minorEastAsia"/>
          <w:color w:val="auto"/>
          <w:kern w:val="2"/>
          <w:sz w:val="24"/>
          <w:szCs w:val="24"/>
          <w:highlight w:val="none"/>
          <w:lang w:val="en-US" w:eastAsia="zh-CN" w:bidi="ar-SA"/>
        </w:rPr>
        <w:t>(3)监理人对承包人提交的上述资料进行复核，以确定分阶段实际完成的工程量和工程形象目标。对其有异议的，可要求承包人按第8.2款约定进行共同复核和抽样复测。</w:t>
      </w:r>
    </w:p>
    <w:p>
      <w:pPr>
        <w:pStyle w:val="65"/>
        <w:tabs>
          <w:tab w:val="left" w:pos="8280"/>
        </w:tabs>
        <w:spacing w:line="360" w:lineRule="auto"/>
        <w:ind w:firstLine="360" w:firstLineChars="150"/>
        <w:rPr>
          <w:rStyle w:val="21"/>
          <w:rFonts w:hint="eastAsia" w:asciiTheme="minorEastAsia" w:hAnsiTheme="minorEastAsia" w:eastAsiaTheme="minorEastAsia" w:cstheme="minorEastAsia"/>
          <w:color w:val="auto"/>
          <w:kern w:val="2"/>
          <w:sz w:val="24"/>
          <w:szCs w:val="24"/>
          <w:highlight w:val="none"/>
          <w:lang w:val="en-US" w:eastAsia="zh-CN" w:bidi="ar-SA"/>
        </w:rPr>
      </w:pPr>
      <w:r>
        <w:rPr>
          <w:rStyle w:val="21"/>
          <w:rFonts w:hint="eastAsia" w:asciiTheme="minorEastAsia" w:hAnsiTheme="minorEastAsia" w:eastAsiaTheme="minorEastAsia" w:cstheme="minorEastAsia"/>
          <w:color w:val="auto"/>
          <w:kern w:val="2"/>
          <w:sz w:val="24"/>
          <w:szCs w:val="24"/>
          <w:highlight w:val="none"/>
          <w:lang w:val="en-US" w:eastAsia="zh-CN" w:bidi="ar-SA"/>
        </w:rPr>
        <w:t>(4)除按照第15条约定的变更外，总价子目的工程量是承包人用于结算的最终工程量。</w:t>
      </w:r>
    </w:p>
    <w:p>
      <w:pPr>
        <w:pStyle w:val="65"/>
        <w:tabs>
          <w:tab w:val="left" w:pos="8280"/>
        </w:tabs>
        <w:spacing w:line="360" w:lineRule="auto"/>
        <w:rPr>
          <w:rStyle w:val="21"/>
          <w:rFonts w:hint="eastAsia" w:asciiTheme="minorEastAsia" w:hAnsiTheme="minorEastAsia" w:eastAsiaTheme="minorEastAsia" w:cstheme="minorEastAsia"/>
          <w:b/>
          <w:color w:val="auto"/>
          <w:kern w:val="2"/>
          <w:sz w:val="24"/>
          <w:szCs w:val="24"/>
          <w:highlight w:val="none"/>
          <w:lang w:val="en-US" w:eastAsia="zh-CN" w:bidi="ar-SA"/>
        </w:rPr>
      </w:pPr>
      <w:r>
        <w:rPr>
          <w:rStyle w:val="21"/>
          <w:rFonts w:hint="eastAsia" w:asciiTheme="minorEastAsia" w:hAnsiTheme="minorEastAsia" w:eastAsiaTheme="minorEastAsia" w:cstheme="minorEastAsia"/>
          <w:b/>
          <w:color w:val="auto"/>
          <w:kern w:val="2"/>
          <w:sz w:val="24"/>
          <w:szCs w:val="24"/>
          <w:highlight w:val="none"/>
          <w:lang w:val="en-US" w:eastAsia="zh-CN" w:bidi="ar-SA"/>
        </w:rPr>
        <w:t>17.2预付款</w:t>
      </w:r>
    </w:p>
    <w:p>
      <w:pPr>
        <w:pStyle w:val="65"/>
        <w:tabs>
          <w:tab w:val="left" w:pos="8280"/>
        </w:tabs>
        <w:spacing w:line="360" w:lineRule="auto"/>
        <w:ind w:firstLine="360" w:firstLineChars="150"/>
        <w:rPr>
          <w:rStyle w:val="21"/>
          <w:rFonts w:hint="eastAsia" w:asciiTheme="minorEastAsia" w:hAnsiTheme="minorEastAsia" w:eastAsiaTheme="minorEastAsia" w:cstheme="minorEastAsia"/>
          <w:color w:val="auto"/>
          <w:kern w:val="2"/>
          <w:sz w:val="24"/>
          <w:szCs w:val="24"/>
          <w:highlight w:val="none"/>
          <w:lang w:val="en-US" w:eastAsia="zh-CN" w:bidi="ar-SA"/>
        </w:rPr>
      </w:pPr>
      <w:r>
        <w:rPr>
          <w:rStyle w:val="21"/>
          <w:rFonts w:hint="eastAsia" w:asciiTheme="minorEastAsia" w:hAnsiTheme="minorEastAsia" w:eastAsiaTheme="minorEastAsia" w:cstheme="minorEastAsia"/>
          <w:color w:val="auto"/>
          <w:kern w:val="2"/>
          <w:sz w:val="24"/>
          <w:szCs w:val="24"/>
          <w:highlight w:val="none"/>
          <w:lang w:val="en-US" w:eastAsia="zh-CN" w:bidi="ar-SA"/>
        </w:rPr>
        <w:t>17.2.1预付款</w:t>
      </w:r>
    </w:p>
    <w:p>
      <w:pPr>
        <w:pStyle w:val="65"/>
        <w:tabs>
          <w:tab w:val="left" w:pos="8280"/>
        </w:tabs>
        <w:spacing w:line="360" w:lineRule="auto"/>
        <w:ind w:firstLine="360" w:firstLineChars="150"/>
        <w:rPr>
          <w:rStyle w:val="21"/>
          <w:rFonts w:hint="eastAsia" w:asciiTheme="minorEastAsia" w:hAnsiTheme="minorEastAsia" w:eastAsiaTheme="minorEastAsia" w:cstheme="minorEastAsia"/>
          <w:color w:val="auto"/>
          <w:kern w:val="2"/>
          <w:sz w:val="24"/>
          <w:szCs w:val="24"/>
          <w:highlight w:val="none"/>
          <w:lang w:val="en-US" w:eastAsia="zh-CN" w:bidi="ar-SA"/>
        </w:rPr>
      </w:pPr>
      <w:r>
        <w:rPr>
          <w:rStyle w:val="21"/>
          <w:rFonts w:hint="eastAsia" w:asciiTheme="minorEastAsia" w:hAnsiTheme="minorEastAsia" w:eastAsiaTheme="minorEastAsia" w:cstheme="minorEastAsia"/>
          <w:color w:val="auto"/>
          <w:kern w:val="2"/>
          <w:sz w:val="24"/>
          <w:szCs w:val="24"/>
          <w:highlight w:val="none"/>
          <w:lang w:val="en-US" w:eastAsia="zh-CN" w:bidi="ar-SA"/>
        </w:rPr>
        <w:t xml:space="preserve">预付款用于承包人为合同工程施工购置材料、工程设备、施工设备、修建临时设施以及组织施工队伍进场等，分为工程预付款和工程材料预付款。预付款必须专用于合同工程。预付款的额度和预付办法在专用合同条款中约定。    </w:t>
      </w:r>
    </w:p>
    <w:p>
      <w:pPr>
        <w:pStyle w:val="65"/>
        <w:tabs>
          <w:tab w:val="left" w:pos="8280"/>
        </w:tabs>
        <w:spacing w:line="360" w:lineRule="auto"/>
        <w:ind w:firstLine="360" w:firstLineChars="150"/>
        <w:rPr>
          <w:rStyle w:val="21"/>
          <w:rFonts w:hint="eastAsia" w:asciiTheme="minorEastAsia" w:hAnsiTheme="minorEastAsia" w:eastAsiaTheme="minorEastAsia" w:cstheme="minorEastAsia"/>
          <w:color w:val="auto"/>
          <w:kern w:val="2"/>
          <w:sz w:val="24"/>
          <w:szCs w:val="24"/>
          <w:highlight w:val="none"/>
          <w:lang w:val="en-US" w:eastAsia="zh-CN" w:bidi="ar-SA"/>
        </w:rPr>
      </w:pPr>
      <w:r>
        <w:rPr>
          <w:rStyle w:val="21"/>
          <w:rFonts w:hint="eastAsia" w:asciiTheme="minorEastAsia" w:hAnsiTheme="minorEastAsia" w:eastAsiaTheme="minorEastAsia" w:cstheme="minorEastAsia"/>
          <w:color w:val="auto"/>
          <w:kern w:val="2"/>
          <w:sz w:val="24"/>
          <w:szCs w:val="24"/>
          <w:highlight w:val="none"/>
          <w:lang w:val="en-US" w:eastAsia="zh-CN" w:bidi="ar-SA"/>
        </w:rPr>
        <w:t>17.2.2预付款保函(担保)</w:t>
      </w:r>
    </w:p>
    <w:p>
      <w:pPr>
        <w:pStyle w:val="65"/>
        <w:tabs>
          <w:tab w:val="left" w:pos="8280"/>
        </w:tabs>
        <w:spacing w:line="360" w:lineRule="auto"/>
        <w:ind w:firstLine="360" w:firstLineChars="150"/>
        <w:rPr>
          <w:rStyle w:val="21"/>
          <w:rFonts w:hint="eastAsia" w:asciiTheme="minorEastAsia" w:hAnsiTheme="minorEastAsia" w:eastAsiaTheme="minorEastAsia" w:cstheme="minorEastAsia"/>
          <w:color w:val="auto"/>
          <w:kern w:val="2"/>
          <w:sz w:val="24"/>
          <w:szCs w:val="24"/>
          <w:highlight w:val="none"/>
          <w:lang w:val="en-US" w:eastAsia="zh-CN" w:bidi="ar-SA"/>
        </w:rPr>
      </w:pPr>
      <w:r>
        <w:rPr>
          <w:rStyle w:val="21"/>
          <w:rFonts w:hint="eastAsia" w:asciiTheme="minorEastAsia" w:hAnsiTheme="minorEastAsia" w:eastAsiaTheme="minorEastAsia" w:cstheme="minorEastAsia"/>
          <w:color w:val="auto"/>
          <w:kern w:val="2"/>
          <w:sz w:val="24"/>
          <w:szCs w:val="24"/>
          <w:highlight w:val="none"/>
          <w:lang w:val="en-US" w:eastAsia="zh-CN" w:bidi="ar-SA"/>
        </w:rPr>
        <w:t xml:space="preserve">(1)承包人应在收到第一次工程预付款的同时向发包人提交工程预付款担保，担保金额应与第一次工程预付款金额相同，工程预付款担保在第一次工程预付款被发包人扣回前一直有效。    </w:t>
      </w:r>
    </w:p>
    <w:p>
      <w:pPr>
        <w:pStyle w:val="65"/>
        <w:tabs>
          <w:tab w:val="left" w:pos="8280"/>
        </w:tabs>
        <w:spacing w:line="360" w:lineRule="auto"/>
        <w:ind w:firstLine="360" w:firstLineChars="150"/>
        <w:rPr>
          <w:rStyle w:val="21"/>
          <w:rFonts w:hint="eastAsia" w:asciiTheme="minorEastAsia" w:hAnsiTheme="minorEastAsia" w:eastAsiaTheme="minorEastAsia" w:cstheme="minorEastAsia"/>
          <w:color w:val="auto"/>
          <w:kern w:val="2"/>
          <w:sz w:val="24"/>
          <w:szCs w:val="24"/>
          <w:highlight w:val="none"/>
          <w:lang w:val="en-US" w:eastAsia="zh-CN" w:bidi="ar-SA"/>
        </w:rPr>
      </w:pPr>
      <w:r>
        <w:rPr>
          <w:rStyle w:val="21"/>
          <w:rFonts w:hint="eastAsia" w:asciiTheme="minorEastAsia" w:hAnsiTheme="minorEastAsia" w:eastAsiaTheme="minorEastAsia" w:cstheme="minorEastAsia"/>
          <w:color w:val="auto"/>
          <w:kern w:val="2"/>
          <w:sz w:val="24"/>
          <w:szCs w:val="24"/>
          <w:highlight w:val="none"/>
          <w:lang w:val="en-US" w:eastAsia="zh-CN" w:bidi="ar-SA"/>
        </w:rPr>
        <w:t>(2)工程材料预付款的担保在专用合同条款中约定。</w:t>
      </w:r>
    </w:p>
    <w:p>
      <w:pPr>
        <w:pStyle w:val="65"/>
        <w:tabs>
          <w:tab w:val="left" w:pos="8280"/>
        </w:tabs>
        <w:spacing w:line="360" w:lineRule="auto"/>
        <w:ind w:firstLine="360" w:firstLineChars="150"/>
        <w:rPr>
          <w:rStyle w:val="21"/>
          <w:rFonts w:hint="eastAsia" w:asciiTheme="minorEastAsia" w:hAnsiTheme="minorEastAsia" w:eastAsiaTheme="minorEastAsia" w:cstheme="minorEastAsia"/>
          <w:color w:val="auto"/>
          <w:kern w:val="2"/>
          <w:sz w:val="24"/>
          <w:szCs w:val="24"/>
          <w:highlight w:val="none"/>
          <w:lang w:val="en-US" w:eastAsia="zh-CN" w:bidi="ar-SA"/>
        </w:rPr>
      </w:pPr>
      <w:r>
        <w:rPr>
          <w:rStyle w:val="21"/>
          <w:rFonts w:hint="eastAsia" w:asciiTheme="minorEastAsia" w:hAnsiTheme="minorEastAsia" w:eastAsiaTheme="minorEastAsia" w:cstheme="minorEastAsia"/>
          <w:color w:val="auto"/>
          <w:kern w:val="2"/>
          <w:sz w:val="24"/>
          <w:szCs w:val="24"/>
          <w:highlight w:val="none"/>
          <w:lang w:val="en-US" w:eastAsia="zh-CN" w:bidi="ar-SA"/>
        </w:rPr>
        <w:t>(3)预付款担保的担保金额可根据预付款扣回的金额相应递减。</w:t>
      </w:r>
    </w:p>
    <w:p>
      <w:pPr>
        <w:pStyle w:val="65"/>
        <w:tabs>
          <w:tab w:val="left" w:pos="8280"/>
        </w:tabs>
        <w:spacing w:line="360" w:lineRule="auto"/>
        <w:ind w:firstLine="360" w:firstLineChars="150"/>
        <w:rPr>
          <w:rStyle w:val="21"/>
          <w:rFonts w:hint="eastAsia" w:asciiTheme="minorEastAsia" w:hAnsiTheme="minorEastAsia" w:eastAsiaTheme="minorEastAsia" w:cstheme="minorEastAsia"/>
          <w:color w:val="auto"/>
          <w:kern w:val="2"/>
          <w:sz w:val="24"/>
          <w:szCs w:val="24"/>
          <w:highlight w:val="none"/>
          <w:lang w:val="en-US" w:eastAsia="zh-CN" w:bidi="ar-SA"/>
        </w:rPr>
      </w:pPr>
      <w:r>
        <w:rPr>
          <w:rStyle w:val="21"/>
          <w:rFonts w:hint="eastAsia" w:asciiTheme="minorEastAsia" w:hAnsiTheme="minorEastAsia" w:eastAsiaTheme="minorEastAsia" w:cstheme="minorEastAsia"/>
          <w:color w:val="auto"/>
          <w:kern w:val="2"/>
          <w:sz w:val="24"/>
          <w:szCs w:val="24"/>
          <w:highlight w:val="none"/>
          <w:lang w:val="en-US" w:eastAsia="zh-CN" w:bidi="ar-SA"/>
        </w:rPr>
        <w:t xml:space="preserve">17.2.3预付款的扣回与还清预付款在进度付款中扣回，扣回与还清办法在专用合同条款中约定，由于不可抗力或其它原因解除合同时，预付款尚未扣清的，金额应作为承包人的到期应付款。 </w:t>
      </w:r>
    </w:p>
    <w:p>
      <w:pPr>
        <w:pStyle w:val="65"/>
        <w:tabs>
          <w:tab w:val="left" w:pos="8280"/>
        </w:tabs>
        <w:spacing w:line="360" w:lineRule="auto"/>
        <w:rPr>
          <w:rStyle w:val="21"/>
          <w:rFonts w:hint="eastAsia" w:asciiTheme="minorEastAsia" w:hAnsiTheme="minorEastAsia" w:eastAsiaTheme="minorEastAsia" w:cstheme="minorEastAsia"/>
          <w:b/>
          <w:color w:val="auto"/>
          <w:kern w:val="2"/>
          <w:sz w:val="24"/>
          <w:szCs w:val="24"/>
          <w:highlight w:val="none"/>
          <w:lang w:val="en-US" w:eastAsia="zh-CN" w:bidi="ar-SA"/>
        </w:rPr>
      </w:pPr>
      <w:r>
        <w:rPr>
          <w:rStyle w:val="21"/>
          <w:rFonts w:hint="eastAsia" w:asciiTheme="minorEastAsia" w:hAnsiTheme="minorEastAsia" w:eastAsiaTheme="minorEastAsia" w:cstheme="minorEastAsia"/>
          <w:b/>
          <w:color w:val="auto"/>
          <w:kern w:val="2"/>
          <w:sz w:val="24"/>
          <w:szCs w:val="24"/>
          <w:highlight w:val="none"/>
          <w:lang w:val="en-US" w:eastAsia="zh-CN" w:bidi="ar-SA"/>
        </w:rPr>
        <w:t>17.3工程进度付款</w:t>
      </w:r>
    </w:p>
    <w:p>
      <w:pPr>
        <w:pStyle w:val="65"/>
        <w:tabs>
          <w:tab w:val="left" w:pos="8280"/>
        </w:tabs>
        <w:spacing w:line="360" w:lineRule="auto"/>
        <w:ind w:firstLine="360" w:firstLineChars="150"/>
        <w:rPr>
          <w:rStyle w:val="21"/>
          <w:rFonts w:hint="eastAsia" w:asciiTheme="minorEastAsia" w:hAnsiTheme="minorEastAsia" w:eastAsiaTheme="minorEastAsia" w:cstheme="minorEastAsia"/>
          <w:color w:val="auto"/>
          <w:kern w:val="2"/>
          <w:sz w:val="24"/>
          <w:szCs w:val="24"/>
          <w:highlight w:val="none"/>
          <w:lang w:val="en-US" w:eastAsia="zh-CN" w:bidi="ar-SA"/>
        </w:rPr>
      </w:pPr>
      <w:r>
        <w:rPr>
          <w:rStyle w:val="21"/>
          <w:rFonts w:hint="eastAsia" w:asciiTheme="minorEastAsia" w:hAnsiTheme="minorEastAsia" w:eastAsiaTheme="minorEastAsia" w:cstheme="minorEastAsia"/>
          <w:color w:val="auto"/>
          <w:kern w:val="2"/>
          <w:sz w:val="24"/>
          <w:szCs w:val="24"/>
          <w:highlight w:val="none"/>
          <w:lang w:val="en-US" w:eastAsia="zh-CN" w:bidi="ar-SA"/>
        </w:rPr>
        <w:t xml:space="preserve">16.3.1付款周期   </w:t>
      </w:r>
    </w:p>
    <w:p>
      <w:pPr>
        <w:pStyle w:val="65"/>
        <w:tabs>
          <w:tab w:val="left" w:pos="8280"/>
        </w:tabs>
        <w:spacing w:line="360" w:lineRule="auto"/>
        <w:ind w:firstLine="360" w:firstLineChars="150"/>
        <w:rPr>
          <w:rStyle w:val="21"/>
          <w:rFonts w:hint="eastAsia" w:asciiTheme="minorEastAsia" w:hAnsiTheme="minorEastAsia" w:eastAsiaTheme="minorEastAsia" w:cstheme="minorEastAsia"/>
          <w:color w:val="auto"/>
          <w:kern w:val="2"/>
          <w:sz w:val="24"/>
          <w:szCs w:val="24"/>
          <w:highlight w:val="none"/>
          <w:lang w:val="en-US" w:eastAsia="zh-CN" w:bidi="ar-SA"/>
        </w:rPr>
      </w:pPr>
      <w:r>
        <w:rPr>
          <w:rStyle w:val="21"/>
          <w:rFonts w:hint="eastAsia" w:asciiTheme="minorEastAsia" w:hAnsiTheme="minorEastAsia" w:eastAsiaTheme="minorEastAsia" w:cstheme="minorEastAsia"/>
          <w:color w:val="auto"/>
          <w:kern w:val="2"/>
          <w:sz w:val="24"/>
          <w:szCs w:val="24"/>
          <w:highlight w:val="none"/>
          <w:lang w:val="en-US" w:eastAsia="zh-CN" w:bidi="ar-SA"/>
        </w:rPr>
        <w:t>付款周期同计量周期。</w:t>
      </w:r>
    </w:p>
    <w:p>
      <w:pPr>
        <w:pStyle w:val="65"/>
        <w:tabs>
          <w:tab w:val="left" w:pos="8280"/>
        </w:tabs>
        <w:spacing w:line="360" w:lineRule="auto"/>
        <w:ind w:firstLine="360" w:firstLineChars="150"/>
        <w:rPr>
          <w:rStyle w:val="21"/>
          <w:rFonts w:hint="eastAsia" w:asciiTheme="minorEastAsia" w:hAnsiTheme="minorEastAsia" w:eastAsiaTheme="minorEastAsia" w:cstheme="minorEastAsia"/>
          <w:color w:val="auto"/>
          <w:kern w:val="2"/>
          <w:sz w:val="24"/>
          <w:szCs w:val="24"/>
          <w:highlight w:val="none"/>
          <w:lang w:val="en-US" w:eastAsia="zh-CN" w:bidi="ar-SA"/>
        </w:rPr>
      </w:pPr>
      <w:r>
        <w:rPr>
          <w:rStyle w:val="21"/>
          <w:rFonts w:hint="eastAsia" w:asciiTheme="minorEastAsia" w:hAnsiTheme="minorEastAsia" w:eastAsiaTheme="minorEastAsia" w:cstheme="minorEastAsia"/>
          <w:color w:val="auto"/>
          <w:kern w:val="2"/>
          <w:sz w:val="24"/>
          <w:szCs w:val="24"/>
          <w:highlight w:val="none"/>
          <w:lang w:val="en-US" w:eastAsia="zh-CN" w:bidi="ar-SA"/>
        </w:rPr>
        <w:t>16.3.2进度付款申请单</w:t>
      </w:r>
    </w:p>
    <w:p>
      <w:pPr>
        <w:pStyle w:val="65"/>
        <w:tabs>
          <w:tab w:val="left" w:pos="8280"/>
        </w:tabs>
        <w:spacing w:line="360" w:lineRule="auto"/>
        <w:ind w:firstLine="360" w:firstLineChars="150"/>
        <w:rPr>
          <w:rStyle w:val="21"/>
          <w:rFonts w:hint="eastAsia" w:asciiTheme="minorEastAsia" w:hAnsiTheme="minorEastAsia" w:eastAsiaTheme="minorEastAsia" w:cstheme="minorEastAsia"/>
          <w:color w:val="auto"/>
          <w:kern w:val="2"/>
          <w:sz w:val="24"/>
          <w:szCs w:val="24"/>
          <w:highlight w:val="none"/>
          <w:lang w:val="en-US" w:eastAsia="zh-CN" w:bidi="ar-SA"/>
        </w:rPr>
      </w:pPr>
      <w:r>
        <w:rPr>
          <w:rStyle w:val="21"/>
          <w:rFonts w:hint="eastAsia" w:asciiTheme="minorEastAsia" w:hAnsiTheme="minorEastAsia" w:eastAsiaTheme="minorEastAsia" w:cstheme="minorEastAsia"/>
          <w:color w:val="auto"/>
          <w:kern w:val="2"/>
          <w:sz w:val="24"/>
          <w:szCs w:val="24"/>
          <w:highlight w:val="none"/>
          <w:lang w:val="en-US" w:eastAsia="zh-CN" w:bidi="ar-SA"/>
        </w:rPr>
        <w:t>承包人应在每个付款周期末，按监理人批准的格式和专用合同条款约定的份数，向监理人提交进度付款申请单，并附相应的支持性证明文件。除专用合同条款另有约定外，进度付款申请单应包括下列内容：</w:t>
      </w:r>
    </w:p>
    <w:p>
      <w:pPr>
        <w:pStyle w:val="65"/>
        <w:tabs>
          <w:tab w:val="left" w:pos="8280"/>
        </w:tabs>
        <w:spacing w:line="360" w:lineRule="auto"/>
        <w:ind w:firstLine="360" w:firstLineChars="150"/>
        <w:rPr>
          <w:rStyle w:val="21"/>
          <w:rFonts w:hint="eastAsia" w:asciiTheme="minorEastAsia" w:hAnsiTheme="minorEastAsia" w:eastAsiaTheme="minorEastAsia" w:cstheme="minorEastAsia"/>
          <w:color w:val="auto"/>
          <w:kern w:val="2"/>
          <w:sz w:val="24"/>
          <w:szCs w:val="24"/>
          <w:highlight w:val="none"/>
          <w:lang w:val="en-US" w:eastAsia="zh-CN" w:bidi="ar-SA"/>
        </w:rPr>
      </w:pPr>
      <w:r>
        <w:rPr>
          <w:rStyle w:val="21"/>
          <w:rFonts w:hint="eastAsia" w:asciiTheme="minorEastAsia" w:hAnsiTheme="minorEastAsia" w:eastAsiaTheme="minorEastAsia" w:cstheme="minorEastAsia"/>
          <w:color w:val="auto"/>
          <w:kern w:val="2"/>
          <w:sz w:val="24"/>
          <w:szCs w:val="24"/>
          <w:highlight w:val="none"/>
          <w:lang w:val="en-US" w:eastAsia="zh-CN" w:bidi="ar-SA"/>
        </w:rPr>
        <w:t>(1)截至本次付款周期末已实施工程的价款；</w:t>
      </w:r>
    </w:p>
    <w:p>
      <w:pPr>
        <w:pStyle w:val="65"/>
        <w:tabs>
          <w:tab w:val="left" w:pos="8280"/>
        </w:tabs>
        <w:spacing w:line="360" w:lineRule="auto"/>
        <w:ind w:firstLine="360" w:firstLineChars="150"/>
        <w:rPr>
          <w:rStyle w:val="21"/>
          <w:rFonts w:hint="eastAsia" w:asciiTheme="minorEastAsia" w:hAnsiTheme="minorEastAsia" w:eastAsiaTheme="minorEastAsia" w:cstheme="minorEastAsia"/>
          <w:color w:val="auto"/>
          <w:kern w:val="2"/>
          <w:sz w:val="24"/>
          <w:szCs w:val="24"/>
          <w:highlight w:val="none"/>
          <w:lang w:val="en-US" w:eastAsia="zh-CN" w:bidi="ar-SA"/>
        </w:rPr>
      </w:pPr>
      <w:r>
        <w:rPr>
          <w:rStyle w:val="21"/>
          <w:rFonts w:hint="eastAsia" w:asciiTheme="minorEastAsia" w:hAnsiTheme="minorEastAsia" w:eastAsiaTheme="minorEastAsia" w:cstheme="minorEastAsia"/>
          <w:color w:val="auto"/>
          <w:kern w:val="2"/>
          <w:sz w:val="24"/>
          <w:szCs w:val="24"/>
          <w:highlight w:val="none"/>
          <w:lang w:val="en-US" w:eastAsia="zh-CN" w:bidi="ar-SA"/>
        </w:rPr>
        <w:t xml:space="preserve">(2)根据第巧条应增加和扣减的变更金额；    </w:t>
      </w:r>
    </w:p>
    <w:p>
      <w:pPr>
        <w:pStyle w:val="65"/>
        <w:tabs>
          <w:tab w:val="left" w:pos="8280"/>
        </w:tabs>
        <w:spacing w:line="360" w:lineRule="auto"/>
        <w:ind w:firstLine="360" w:firstLineChars="150"/>
        <w:rPr>
          <w:rStyle w:val="21"/>
          <w:rFonts w:hint="eastAsia" w:asciiTheme="minorEastAsia" w:hAnsiTheme="minorEastAsia" w:eastAsiaTheme="minorEastAsia" w:cstheme="minorEastAsia"/>
          <w:color w:val="auto"/>
          <w:kern w:val="2"/>
          <w:sz w:val="24"/>
          <w:szCs w:val="24"/>
          <w:highlight w:val="none"/>
          <w:lang w:val="en-US" w:eastAsia="zh-CN" w:bidi="ar-SA"/>
        </w:rPr>
      </w:pPr>
      <w:r>
        <w:rPr>
          <w:rStyle w:val="21"/>
          <w:rFonts w:hint="eastAsia" w:asciiTheme="minorEastAsia" w:hAnsiTheme="minorEastAsia" w:eastAsiaTheme="minorEastAsia" w:cstheme="minorEastAsia"/>
          <w:color w:val="auto"/>
          <w:kern w:val="2"/>
          <w:sz w:val="24"/>
          <w:szCs w:val="24"/>
          <w:highlight w:val="none"/>
          <w:lang w:val="en-US" w:eastAsia="zh-CN" w:bidi="ar-SA"/>
        </w:rPr>
        <w:t xml:space="preserve">(3)根据第21条应增加和扣减的索赔金额；    </w:t>
      </w:r>
    </w:p>
    <w:p>
      <w:pPr>
        <w:pStyle w:val="65"/>
        <w:tabs>
          <w:tab w:val="left" w:pos="8280"/>
        </w:tabs>
        <w:spacing w:line="360" w:lineRule="auto"/>
        <w:ind w:firstLine="360" w:firstLineChars="150"/>
        <w:rPr>
          <w:rStyle w:val="21"/>
          <w:rFonts w:hint="eastAsia" w:asciiTheme="minorEastAsia" w:hAnsiTheme="minorEastAsia" w:eastAsiaTheme="minorEastAsia" w:cstheme="minorEastAsia"/>
          <w:color w:val="auto"/>
          <w:kern w:val="2"/>
          <w:sz w:val="24"/>
          <w:szCs w:val="24"/>
          <w:highlight w:val="none"/>
          <w:lang w:val="en-US" w:eastAsia="zh-CN" w:bidi="ar-SA"/>
        </w:rPr>
      </w:pPr>
      <w:r>
        <w:rPr>
          <w:rStyle w:val="21"/>
          <w:rFonts w:hint="eastAsia" w:asciiTheme="minorEastAsia" w:hAnsiTheme="minorEastAsia" w:eastAsiaTheme="minorEastAsia" w:cstheme="minorEastAsia"/>
          <w:color w:val="auto"/>
          <w:kern w:val="2"/>
          <w:sz w:val="24"/>
          <w:szCs w:val="24"/>
          <w:highlight w:val="none"/>
          <w:lang w:val="en-US" w:eastAsia="zh-CN" w:bidi="ar-SA"/>
        </w:rPr>
        <w:t>(4)根据第17.2款约定应支付的预付款和扣减的返还预付款；</w:t>
      </w:r>
    </w:p>
    <w:p>
      <w:pPr>
        <w:pStyle w:val="65"/>
        <w:tabs>
          <w:tab w:val="left" w:pos="8280"/>
        </w:tabs>
        <w:spacing w:line="360" w:lineRule="auto"/>
        <w:ind w:firstLine="360" w:firstLineChars="150"/>
        <w:rPr>
          <w:rStyle w:val="21"/>
          <w:rFonts w:hint="eastAsia" w:asciiTheme="minorEastAsia" w:hAnsiTheme="minorEastAsia" w:eastAsiaTheme="minorEastAsia" w:cstheme="minorEastAsia"/>
          <w:color w:val="auto"/>
          <w:kern w:val="2"/>
          <w:sz w:val="24"/>
          <w:szCs w:val="24"/>
          <w:highlight w:val="none"/>
          <w:lang w:val="en-US" w:eastAsia="zh-CN" w:bidi="ar-SA"/>
        </w:rPr>
      </w:pPr>
      <w:r>
        <w:rPr>
          <w:rStyle w:val="21"/>
          <w:rFonts w:hint="eastAsia" w:asciiTheme="minorEastAsia" w:hAnsiTheme="minorEastAsia" w:eastAsiaTheme="minorEastAsia" w:cstheme="minorEastAsia"/>
          <w:color w:val="auto"/>
          <w:kern w:val="2"/>
          <w:sz w:val="24"/>
          <w:szCs w:val="24"/>
          <w:highlight w:val="none"/>
          <w:lang w:val="en-US" w:eastAsia="zh-CN" w:bidi="ar-SA"/>
        </w:rPr>
        <w:t>(5)根据第17.4.1项约定应扣减的质量保证金；</w:t>
      </w:r>
    </w:p>
    <w:p>
      <w:pPr>
        <w:pStyle w:val="65"/>
        <w:tabs>
          <w:tab w:val="left" w:pos="8280"/>
        </w:tabs>
        <w:spacing w:line="360" w:lineRule="auto"/>
        <w:ind w:firstLine="360" w:firstLineChars="150"/>
        <w:rPr>
          <w:rStyle w:val="21"/>
          <w:rFonts w:hint="eastAsia" w:asciiTheme="minorEastAsia" w:hAnsiTheme="minorEastAsia" w:eastAsiaTheme="minorEastAsia" w:cstheme="minorEastAsia"/>
          <w:color w:val="auto"/>
          <w:kern w:val="2"/>
          <w:sz w:val="24"/>
          <w:szCs w:val="24"/>
          <w:highlight w:val="none"/>
          <w:lang w:val="en-US" w:eastAsia="zh-CN" w:bidi="ar-SA"/>
        </w:rPr>
      </w:pPr>
      <w:r>
        <w:rPr>
          <w:rStyle w:val="21"/>
          <w:rFonts w:hint="eastAsia" w:asciiTheme="minorEastAsia" w:hAnsiTheme="minorEastAsia" w:eastAsiaTheme="minorEastAsia" w:cstheme="minorEastAsia"/>
          <w:color w:val="auto"/>
          <w:kern w:val="2"/>
          <w:sz w:val="24"/>
          <w:szCs w:val="24"/>
          <w:highlight w:val="none"/>
          <w:lang w:val="en-US" w:eastAsia="zh-CN" w:bidi="ar-SA"/>
        </w:rPr>
        <w:t xml:space="preserve">(6)根据合同应增加和扣减的其他金额。    </w:t>
      </w:r>
    </w:p>
    <w:p>
      <w:pPr>
        <w:pStyle w:val="65"/>
        <w:tabs>
          <w:tab w:val="left" w:pos="8280"/>
        </w:tabs>
        <w:spacing w:line="360" w:lineRule="auto"/>
        <w:ind w:firstLine="360" w:firstLineChars="150"/>
        <w:rPr>
          <w:rStyle w:val="21"/>
          <w:rFonts w:hint="eastAsia" w:asciiTheme="minorEastAsia" w:hAnsiTheme="minorEastAsia" w:eastAsiaTheme="minorEastAsia" w:cstheme="minorEastAsia"/>
          <w:color w:val="auto"/>
          <w:kern w:val="2"/>
          <w:sz w:val="24"/>
          <w:szCs w:val="24"/>
          <w:highlight w:val="none"/>
          <w:lang w:val="en-US" w:eastAsia="zh-CN" w:bidi="ar-SA"/>
        </w:rPr>
      </w:pPr>
      <w:r>
        <w:rPr>
          <w:rStyle w:val="21"/>
          <w:rFonts w:hint="eastAsia" w:asciiTheme="minorEastAsia" w:hAnsiTheme="minorEastAsia" w:eastAsiaTheme="minorEastAsia" w:cstheme="minorEastAsia"/>
          <w:color w:val="auto"/>
          <w:kern w:val="2"/>
          <w:sz w:val="24"/>
          <w:szCs w:val="24"/>
          <w:highlight w:val="none"/>
          <w:lang w:val="en-US" w:eastAsia="zh-CN" w:bidi="ar-SA"/>
        </w:rPr>
        <w:t>17.3.3进度付款证书和支付时间</w:t>
      </w:r>
    </w:p>
    <w:p>
      <w:pPr>
        <w:pStyle w:val="65"/>
        <w:tabs>
          <w:tab w:val="left" w:pos="8280"/>
        </w:tabs>
        <w:spacing w:line="360" w:lineRule="auto"/>
        <w:ind w:firstLine="360" w:firstLineChars="150"/>
        <w:rPr>
          <w:rStyle w:val="21"/>
          <w:rFonts w:hint="eastAsia" w:asciiTheme="minorEastAsia" w:hAnsiTheme="minorEastAsia" w:eastAsiaTheme="minorEastAsia" w:cstheme="minorEastAsia"/>
          <w:color w:val="auto"/>
          <w:kern w:val="2"/>
          <w:sz w:val="24"/>
          <w:szCs w:val="24"/>
          <w:highlight w:val="none"/>
          <w:lang w:val="en-US" w:eastAsia="zh-CN" w:bidi="ar-SA"/>
        </w:rPr>
      </w:pPr>
      <w:r>
        <w:rPr>
          <w:rStyle w:val="21"/>
          <w:rFonts w:hint="eastAsia" w:asciiTheme="minorEastAsia" w:hAnsiTheme="minorEastAsia" w:eastAsiaTheme="minorEastAsia" w:cstheme="minorEastAsia"/>
          <w:color w:val="auto"/>
          <w:kern w:val="2"/>
          <w:sz w:val="24"/>
          <w:szCs w:val="24"/>
          <w:highlight w:val="none"/>
          <w:lang w:val="en-US" w:eastAsia="zh-CN" w:bidi="ar-SA"/>
        </w:rPr>
        <w:t>(1)监理人在收到承包人进度付款申请单以及相应的支持性证明文件后的14天内完成核查，提出发包人到期应支付给承包人的金额以及相应的支持性材料，经发包人审查同意后，由监理人向承包人出具经发包人签认的进度付款证书。监理人有权扣发承包人未能按照合同要求履行任何工作或义务的相应金额。</w:t>
      </w:r>
    </w:p>
    <w:p>
      <w:pPr>
        <w:pStyle w:val="65"/>
        <w:tabs>
          <w:tab w:val="left" w:pos="8280"/>
        </w:tabs>
        <w:spacing w:line="360" w:lineRule="auto"/>
        <w:ind w:firstLine="360" w:firstLineChars="150"/>
        <w:rPr>
          <w:rStyle w:val="21"/>
          <w:rFonts w:hint="eastAsia" w:asciiTheme="minorEastAsia" w:hAnsiTheme="minorEastAsia" w:eastAsiaTheme="minorEastAsia" w:cstheme="minorEastAsia"/>
          <w:color w:val="auto"/>
          <w:kern w:val="2"/>
          <w:sz w:val="24"/>
          <w:szCs w:val="24"/>
          <w:highlight w:val="none"/>
          <w:lang w:val="en-US" w:eastAsia="zh-CN" w:bidi="ar-SA"/>
        </w:rPr>
      </w:pPr>
      <w:r>
        <w:rPr>
          <w:rStyle w:val="21"/>
          <w:rFonts w:hint="eastAsia" w:asciiTheme="minorEastAsia" w:hAnsiTheme="minorEastAsia" w:eastAsiaTheme="minorEastAsia" w:cstheme="minorEastAsia"/>
          <w:color w:val="auto"/>
          <w:kern w:val="2"/>
          <w:sz w:val="24"/>
          <w:szCs w:val="24"/>
          <w:highlight w:val="none"/>
          <w:lang w:val="en-US" w:eastAsia="zh-CN" w:bidi="ar-SA"/>
        </w:rPr>
        <w:t>(2)发包人应在监理人收到进度付款申请单后的28天内，将进度应付款支付给承包人。发包人不按期支付的，按专用合同条款的约定支付逾期付款违约金。</w:t>
      </w:r>
    </w:p>
    <w:p>
      <w:pPr>
        <w:pStyle w:val="65"/>
        <w:tabs>
          <w:tab w:val="left" w:pos="8280"/>
        </w:tabs>
        <w:spacing w:line="360" w:lineRule="auto"/>
        <w:ind w:firstLine="360" w:firstLineChars="150"/>
        <w:rPr>
          <w:rStyle w:val="21"/>
          <w:rFonts w:hint="eastAsia" w:asciiTheme="minorEastAsia" w:hAnsiTheme="minorEastAsia" w:eastAsiaTheme="minorEastAsia" w:cstheme="minorEastAsia"/>
          <w:color w:val="auto"/>
          <w:kern w:val="2"/>
          <w:sz w:val="24"/>
          <w:szCs w:val="24"/>
          <w:highlight w:val="none"/>
          <w:lang w:val="en-US" w:eastAsia="zh-CN" w:bidi="ar-SA"/>
        </w:rPr>
      </w:pPr>
      <w:r>
        <w:rPr>
          <w:rStyle w:val="21"/>
          <w:rFonts w:hint="eastAsia" w:asciiTheme="minorEastAsia" w:hAnsiTheme="minorEastAsia" w:eastAsiaTheme="minorEastAsia" w:cstheme="minorEastAsia"/>
          <w:color w:val="auto"/>
          <w:kern w:val="2"/>
          <w:sz w:val="24"/>
          <w:szCs w:val="24"/>
          <w:highlight w:val="none"/>
          <w:lang w:val="en-US" w:eastAsia="zh-CN" w:bidi="ar-SA"/>
        </w:rPr>
        <w:t xml:space="preserve">(3)监理人出具进度付款证书，不应视为监理人已同意、批准或接受了承包人完成的该部分工作。    </w:t>
      </w:r>
    </w:p>
    <w:p>
      <w:pPr>
        <w:pStyle w:val="65"/>
        <w:tabs>
          <w:tab w:val="left" w:pos="8280"/>
        </w:tabs>
        <w:spacing w:line="360" w:lineRule="auto"/>
        <w:ind w:firstLine="360" w:firstLineChars="150"/>
        <w:rPr>
          <w:rStyle w:val="21"/>
          <w:rFonts w:hint="eastAsia" w:asciiTheme="minorEastAsia" w:hAnsiTheme="minorEastAsia" w:eastAsiaTheme="minorEastAsia" w:cstheme="minorEastAsia"/>
          <w:color w:val="auto"/>
          <w:kern w:val="2"/>
          <w:sz w:val="24"/>
          <w:szCs w:val="24"/>
          <w:highlight w:val="none"/>
          <w:lang w:val="en-US" w:eastAsia="zh-CN" w:bidi="ar-SA"/>
        </w:rPr>
      </w:pPr>
      <w:r>
        <w:rPr>
          <w:rStyle w:val="21"/>
          <w:rFonts w:hint="eastAsia" w:asciiTheme="minorEastAsia" w:hAnsiTheme="minorEastAsia" w:eastAsiaTheme="minorEastAsia" w:cstheme="minorEastAsia"/>
          <w:color w:val="auto"/>
          <w:kern w:val="2"/>
          <w:sz w:val="24"/>
          <w:szCs w:val="24"/>
          <w:highlight w:val="none"/>
          <w:lang w:val="en-US" w:eastAsia="zh-CN" w:bidi="ar-SA"/>
        </w:rPr>
        <w:t>(4)进度付款涉及政府投资资金的，按照国库集中支付等国家相关规定和专用合同条款的约定办理。</w:t>
      </w:r>
    </w:p>
    <w:p>
      <w:pPr>
        <w:pStyle w:val="65"/>
        <w:tabs>
          <w:tab w:val="left" w:pos="8280"/>
        </w:tabs>
        <w:spacing w:line="360" w:lineRule="auto"/>
        <w:ind w:firstLine="360" w:firstLineChars="150"/>
        <w:rPr>
          <w:rStyle w:val="21"/>
          <w:rFonts w:hint="eastAsia" w:asciiTheme="minorEastAsia" w:hAnsiTheme="minorEastAsia" w:eastAsiaTheme="minorEastAsia" w:cstheme="minorEastAsia"/>
          <w:color w:val="auto"/>
          <w:kern w:val="2"/>
          <w:sz w:val="24"/>
          <w:szCs w:val="24"/>
          <w:highlight w:val="none"/>
          <w:lang w:val="en-US" w:eastAsia="zh-CN" w:bidi="ar-SA"/>
        </w:rPr>
      </w:pPr>
      <w:r>
        <w:rPr>
          <w:rStyle w:val="21"/>
          <w:rFonts w:hint="eastAsia" w:asciiTheme="minorEastAsia" w:hAnsiTheme="minorEastAsia" w:eastAsiaTheme="minorEastAsia" w:cstheme="minorEastAsia"/>
          <w:color w:val="auto"/>
          <w:kern w:val="2"/>
          <w:sz w:val="24"/>
          <w:szCs w:val="24"/>
          <w:highlight w:val="none"/>
          <w:lang w:val="en-US" w:eastAsia="zh-CN" w:bidi="ar-SA"/>
        </w:rPr>
        <w:t>17.3.4工程进度付款的修正</w:t>
      </w:r>
    </w:p>
    <w:p>
      <w:pPr>
        <w:pStyle w:val="65"/>
        <w:tabs>
          <w:tab w:val="left" w:pos="8280"/>
        </w:tabs>
        <w:spacing w:line="360" w:lineRule="auto"/>
        <w:ind w:firstLine="360" w:firstLineChars="150"/>
        <w:rPr>
          <w:rStyle w:val="21"/>
          <w:rFonts w:hint="eastAsia" w:asciiTheme="minorEastAsia" w:hAnsiTheme="minorEastAsia" w:eastAsiaTheme="minorEastAsia" w:cstheme="minorEastAsia"/>
          <w:color w:val="auto"/>
          <w:kern w:val="2"/>
          <w:sz w:val="24"/>
          <w:szCs w:val="24"/>
          <w:highlight w:val="none"/>
          <w:lang w:val="en-US" w:eastAsia="zh-CN" w:bidi="ar-SA"/>
        </w:rPr>
      </w:pPr>
      <w:r>
        <w:rPr>
          <w:rStyle w:val="21"/>
          <w:rFonts w:hint="eastAsia" w:asciiTheme="minorEastAsia" w:hAnsiTheme="minorEastAsia" w:eastAsiaTheme="minorEastAsia" w:cstheme="minorEastAsia"/>
          <w:color w:val="auto"/>
          <w:kern w:val="2"/>
          <w:sz w:val="24"/>
          <w:szCs w:val="24"/>
          <w:highlight w:val="none"/>
          <w:lang w:val="en-US" w:eastAsia="zh-CN" w:bidi="ar-SA"/>
        </w:rPr>
        <w:t>在对以往历次已签发的进度付款证书进行汇总和复核中发现错、漏或重复的，监理人有权予以修正，承包人也有权提出修正申请。经双方复核同意的修正，应在本次进度付款中支付或扣除。</w:t>
      </w:r>
    </w:p>
    <w:p>
      <w:pPr>
        <w:pStyle w:val="65"/>
        <w:tabs>
          <w:tab w:val="left" w:pos="8280"/>
        </w:tabs>
        <w:spacing w:line="360" w:lineRule="auto"/>
        <w:rPr>
          <w:rStyle w:val="21"/>
          <w:rFonts w:hint="eastAsia" w:asciiTheme="minorEastAsia" w:hAnsiTheme="minorEastAsia" w:eastAsiaTheme="minorEastAsia" w:cstheme="minorEastAsia"/>
          <w:color w:val="auto"/>
          <w:kern w:val="2"/>
          <w:sz w:val="24"/>
          <w:szCs w:val="24"/>
          <w:highlight w:val="none"/>
          <w:lang w:val="en-US" w:eastAsia="zh-CN" w:bidi="ar-SA"/>
        </w:rPr>
      </w:pPr>
      <w:r>
        <w:rPr>
          <w:rStyle w:val="21"/>
          <w:rFonts w:hint="eastAsia" w:asciiTheme="minorEastAsia" w:hAnsiTheme="minorEastAsia" w:eastAsiaTheme="minorEastAsia" w:cstheme="minorEastAsia"/>
          <w:b/>
          <w:color w:val="auto"/>
          <w:kern w:val="2"/>
          <w:sz w:val="24"/>
          <w:szCs w:val="24"/>
          <w:highlight w:val="none"/>
          <w:lang w:val="en-US" w:eastAsia="zh-CN" w:bidi="ar-SA"/>
        </w:rPr>
        <w:t xml:space="preserve">17.4质量保证金   </w:t>
      </w:r>
      <w:r>
        <w:rPr>
          <w:rStyle w:val="21"/>
          <w:rFonts w:hint="eastAsia" w:asciiTheme="minorEastAsia" w:hAnsiTheme="minorEastAsia" w:eastAsiaTheme="minorEastAsia" w:cstheme="minorEastAsia"/>
          <w:color w:val="auto"/>
          <w:kern w:val="2"/>
          <w:sz w:val="24"/>
          <w:szCs w:val="24"/>
          <w:highlight w:val="none"/>
          <w:lang w:val="en-US" w:eastAsia="zh-CN" w:bidi="ar-SA"/>
        </w:rPr>
        <w:t xml:space="preserve"> </w:t>
      </w:r>
    </w:p>
    <w:p>
      <w:pPr>
        <w:pStyle w:val="65"/>
        <w:tabs>
          <w:tab w:val="left" w:pos="8280"/>
        </w:tabs>
        <w:spacing w:line="360" w:lineRule="auto"/>
        <w:ind w:firstLine="360" w:firstLineChars="150"/>
        <w:rPr>
          <w:rStyle w:val="21"/>
          <w:rFonts w:hint="eastAsia" w:asciiTheme="minorEastAsia" w:hAnsiTheme="minorEastAsia" w:eastAsiaTheme="minorEastAsia" w:cstheme="minorEastAsia"/>
          <w:color w:val="auto"/>
          <w:kern w:val="2"/>
          <w:sz w:val="24"/>
          <w:szCs w:val="24"/>
          <w:highlight w:val="none"/>
          <w:lang w:val="en-US" w:eastAsia="zh-CN" w:bidi="ar-SA"/>
        </w:rPr>
      </w:pPr>
      <w:r>
        <w:rPr>
          <w:rStyle w:val="21"/>
          <w:rFonts w:hint="eastAsia" w:asciiTheme="minorEastAsia" w:hAnsiTheme="minorEastAsia" w:eastAsiaTheme="minorEastAsia" w:cstheme="minorEastAsia"/>
          <w:color w:val="auto"/>
          <w:kern w:val="2"/>
          <w:sz w:val="24"/>
          <w:szCs w:val="24"/>
          <w:highlight w:val="none"/>
          <w:lang w:val="en-US" w:eastAsia="zh-CN" w:bidi="ar-SA"/>
        </w:rPr>
        <w:t xml:space="preserve">17.4.1监理人应从第一个工程进度付款周期开始，在发包人的进度付款中，按专用合同条款的约定扣留质量保证金，直至扣留的质量保证金总额达到专用合同条款约定的金额或比例为止。质量保证金的计算额度不包括预付款的支付与扣回金额。    </w:t>
      </w:r>
    </w:p>
    <w:p>
      <w:pPr>
        <w:pStyle w:val="65"/>
        <w:tabs>
          <w:tab w:val="left" w:pos="8280"/>
        </w:tabs>
        <w:spacing w:line="360" w:lineRule="auto"/>
        <w:ind w:firstLine="360" w:firstLineChars="150"/>
        <w:rPr>
          <w:rStyle w:val="21"/>
          <w:rFonts w:hint="eastAsia" w:asciiTheme="minorEastAsia" w:hAnsiTheme="minorEastAsia" w:eastAsiaTheme="minorEastAsia" w:cstheme="minorEastAsia"/>
          <w:color w:val="auto"/>
          <w:kern w:val="2"/>
          <w:sz w:val="24"/>
          <w:szCs w:val="24"/>
          <w:highlight w:val="none"/>
          <w:lang w:val="en-US" w:eastAsia="zh-CN" w:bidi="ar-SA"/>
        </w:rPr>
      </w:pPr>
      <w:r>
        <w:rPr>
          <w:rStyle w:val="21"/>
          <w:rFonts w:hint="eastAsia" w:asciiTheme="minorEastAsia" w:hAnsiTheme="minorEastAsia" w:eastAsiaTheme="minorEastAsia" w:cstheme="minorEastAsia"/>
          <w:color w:val="auto"/>
          <w:kern w:val="2"/>
          <w:sz w:val="24"/>
          <w:szCs w:val="24"/>
          <w:highlight w:val="none"/>
          <w:lang w:val="en-US" w:eastAsia="zh-CN" w:bidi="ar-SA"/>
        </w:rPr>
        <w:t>17.4.2合同工程完工证书颁发后14天内，发包人将质量保证金总额的一半支付给承包人。在第1.1.4.5目约定的缺陷责任期(工程质量保修期)满时，发包人将在30个工作日内会同承包人按照合同约定的内容核实承包人是否完成保修责任。如无异议，发包人应当在核实后将剩余的质量保证金支付给承包人。</w:t>
      </w:r>
    </w:p>
    <w:p>
      <w:pPr>
        <w:pStyle w:val="65"/>
        <w:tabs>
          <w:tab w:val="left" w:pos="8280"/>
        </w:tabs>
        <w:spacing w:line="360" w:lineRule="auto"/>
        <w:ind w:firstLine="360" w:firstLineChars="150"/>
        <w:rPr>
          <w:rStyle w:val="21"/>
          <w:rFonts w:hint="eastAsia" w:asciiTheme="minorEastAsia" w:hAnsiTheme="minorEastAsia" w:eastAsiaTheme="minorEastAsia" w:cstheme="minorEastAsia"/>
          <w:color w:val="auto"/>
          <w:kern w:val="2"/>
          <w:sz w:val="24"/>
          <w:szCs w:val="24"/>
          <w:highlight w:val="none"/>
          <w:lang w:val="en-US" w:eastAsia="zh-CN" w:bidi="ar-SA"/>
        </w:rPr>
      </w:pPr>
      <w:r>
        <w:rPr>
          <w:rStyle w:val="21"/>
          <w:rFonts w:hint="eastAsia" w:asciiTheme="minorEastAsia" w:hAnsiTheme="minorEastAsia" w:eastAsiaTheme="minorEastAsia" w:cstheme="minorEastAsia"/>
          <w:color w:val="auto"/>
          <w:kern w:val="2"/>
          <w:sz w:val="24"/>
          <w:szCs w:val="24"/>
          <w:highlight w:val="none"/>
          <w:lang w:val="en-US" w:eastAsia="zh-CN" w:bidi="ar-SA"/>
        </w:rPr>
        <w:t>17.4.3在第1.1.4.5目约定的缺陷责任期满时，承包人没有完成缺陷责任的，发包人有权扣留与未履行责任剩余工作所需金额相应的质量保证金余额，并有权根据第19.3款约定要求延长缺陷责任期，直至完成剩余工作为止。</w:t>
      </w:r>
    </w:p>
    <w:p>
      <w:pPr>
        <w:pStyle w:val="65"/>
        <w:tabs>
          <w:tab w:val="left" w:pos="8280"/>
        </w:tabs>
        <w:spacing w:line="360" w:lineRule="auto"/>
        <w:rPr>
          <w:rStyle w:val="21"/>
          <w:rFonts w:hint="eastAsia" w:asciiTheme="minorEastAsia" w:hAnsiTheme="minorEastAsia" w:eastAsiaTheme="minorEastAsia" w:cstheme="minorEastAsia"/>
          <w:b/>
          <w:color w:val="auto"/>
          <w:kern w:val="2"/>
          <w:sz w:val="24"/>
          <w:szCs w:val="24"/>
          <w:highlight w:val="none"/>
          <w:lang w:val="en-US" w:eastAsia="zh-CN" w:bidi="ar-SA"/>
        </w:rPr>
      </w:pPr>
      <w:r>
        <w:rPr>
          <w:rStyle w:val="21"/>
          <w:rFonts w:hint="eastAsia" w:asciiTheme="minorEastAsia" w:hAnsiTheme="minorEastAsia" w:eastAsiaTheme="minorEastAsia" w:cstheme="minorEastAsia"/>
          <w:b/>
          <w:color w:val="auto"/>
          <w:kern w:val="2"/>
          <w:sz w:val="24"/>
          <w:szCs w:val="24"/>
          <w:highlight w:val="none"/>
          <w:lang w:val="en-US" w:eastAsia="zh-CN" w:bidi="ar-SA"/>
        </w:rPr>
        <w:t>17.5竣工结算</w:t>
      </w:r>
    </w:p>
    <w:p>
      <w:pPr>
        <w:pStyle w:val="65"/>
        <w:tabs>
          <w:tab w:val="left" w:pos="8280"/>
        </w:tabs>
        <w:spacing w:line="360" w:lineRule="auto"/>
        <w:ind w:firstLine="360" w:firstLineChars="150"/>
        <w:rPr>
          <w:rStyle w:val="21"/>
          <w:rFonts w:hint="eastAsia" w:asciiTheme="minorEastAsia" w:hAnsiTheme="minorEastAsia" w:eastAsiaTheme="minorEastAsia" w:cstheme="minorEastAsia"/>
          <w:color w:val="auto"/>
          <w:kern w:val="2"/>
          <w:sz w:val="24"/>
          <w:szCs w:val="24"/>
          <w:highlight w:val="none"/>
          <w:lang w:val="en-US" w:eastAsia="zh-CN" w:bidi="ar-SA"/>
        </w:rPr>
      </w:pPr>
      <w:r>
        <w:rPr>
          <w:rStyle w:val="21"/>
          <w:rFonts w:hint="eastAsia" w:asciiTheme="minorEastAsia" w:hAnsiTheme="minorEastAsia" w:eastAsiaTheme="minorEastAsia" w:cstheme="minorEastAsia"/>
          <w:color w:val="auto"/>
          <w:kern w:val="2"/>
          <w:sz w:val="24"/>
          <w:szCs w:val="24"/>
          <w:highlight w:val="none"/>
          <w:lang w:val="en-US" w:eastAsia="zh-CN" w:bidi="ar-SA"/>
        </w:rPr>
        <w:t>17.5.1竣工付款申请单</w:t>
      </w:r>
    </w:p>
    <w:p>
      <w:pPr>
        <w:pStyle w:val="65"/>
        <w:tabs>
          <w:tab w:val="left" w:pos="8280"/>
        </w:tabs>
        <w:spacing w:line="360" w:lineRule="auto"/>
        <w:ind w:firstLine="360" w:firstLineChars="150"/>
        <w:rPr>
          <w:rStyle w:val="21"/>
          <w:rFonts w:hint="eastAsia" w:asciiTheme="minorEastAsia" w:hAnsiTheme="minorEastAsia" w:eastAsiaTheme="minorEastAsia" w:cstheme="minorEastAsia"/>
          <w:color w:val="auto"/>
          <w:kern w:val="2"/>
          <w:sz w:val="24"/>
          <w:szCs w:val="24"/>
          <w:highlight w:val="none"/>
          <w:lang w:val="en-US" w:eastAsia="zh-CN" w:bidi="ar-SA"/>
        </w:rPr>
      </w:pPr>
      <w:r>
        <w:rPr>
          <w:rStyle w:val="21"/>
          <w:rFonts w:hint="eastAsia" w:asciiTheme="minorEastAsia" w:hAnsiTheme="minorEastAsia" w:eastAsiaTheme="minorEastAsia" w:cstheme="minorEastAsia"/>
          <w:color w:val="auto"/>
          <w:kern w:val="2"/>
          <w:sz w:val="24"/>
          <w:szCs w:val="24"/>
          <w:highlight w:val="none"/>
          <w:lang w:val="en-US" w:eastAsia="zh-CN" w:bidi="ar-SA"/>
        </w:rPr>
        <w:t>(1)承包人应在合同工程完工证书颁发后28天内，按专用合同条款约定的份数向监理人提交完工付款申请单，并提供相关证明材料。完工付款申请单应包括下列内容：完工结算合同总价、发包人已支付承包人的工程价款、应扣留的质量保证金、应支付的完工付款金额。</w:t>
      </w:r>
    </w:p>
    <w:p>
      <w:pPr>
        <w:pStyle w:val="65"/>
        <w:tabs>
          <w:tab w:val="left" w:pos="8280"/>
        </w:tabs>
        <w:spacing w:line="360" w:lineRule="auto"/>
        <w:ind w:firstLine="360" w:firstLineChars="150"/>
        <w:rPr>
          <w:rStyle w:val="21"/>
          <w:rFonts w:hint="eastAsia" w:asciiTheme="minorEastAsia" w:hAnsiTheme="minorEastAsia" w:eastAsiaTheme="minorEastAsia" w:cstheme="minorEastAsia"/>
          <w:color w:val="auto"/>
          <w:kern w:val="2"/>
          <w:sz w:val="24"/>
          <w:szCs w:val="24"/>
          <w:highlight w:val="none"/>
          <w:lang w:val="en-US" w:eastAsia="zh-CN" w:bidi="ar-SA"/>
        </w:rPr>
      </w:pPr>
      <w:r>
        <w:rPr>
          <w:rStyle w:val="21"/>
          <w:rFonts w:hint="eastAsia" w:asciiTheme="minorEastAsia" w:hAnsiTheme="minorEastAsia" w:eastAsiaTheme="minorEastAsia" w:cstheme="minorEastAsia"/>
          <w:color w:val="auto"/>
          <w:kern w:val="2"/>
          <w:sz w:val="24"/>
          <w:szCs w:val="24"/>
          <w:highlight w:val="none"/>
          <w:lang w:val="en-US" w:eastAsia="zh-CN" w:bidi="ar-SA"/>
        </w:rPr>
        <w:t>(2)监理人对完工付款申请单有异议的，有权要求承包人进行修正和提供补充资料。经监理人和承包人协商后，由承包人向监理人提交修正后的完工付款申请单。</w:t>
      </w:r>
    </w:p>
    <w:p>
      <w:pPr>
        <w:pStyle w:val="65"/>
        <w:tabs>
          <w:tab w:val="left" w:pos="8280"/>
        </w:tabs>
        <w:spacing w:line="360" w:lineRule="auto"/>
        <w:ind w:firstLine="360" w:firstLineChars="150"/>
        <w:rPr>
          <w:rStyle w:val="21"/>
          <w:rFonts w:hint="eastAsia" w:asciiTheme="minorEastAsia" w:hAnsiTheme="minorEastAsia" w:eastAsiaTheme="minorEastAsia" w:cstheme="minorEastAsia"/>
          <w:color w:val="auto"/>
          <w:kern w:val="2"/>
          <w:sz w:val="24"/>
          <w:szCs w:val="24"/>
          <w:highlight w:val="none"/>
          <w:lang w:val="en-US" w:eastAsia="zh-CN" w:bidi="ar-SA"/>
        </w:rPr>
      </w:pPr>
      <w:r>
        <w:rPr>
          <w:rStyle w:val="21"/>
          <w:rFonts w:hint="eastAsia" w:asciiTheme="minorEastAsia" w:hAnsiTheme="minorEastAsia" w:eastAsiaTheme="minorEastAsia" w:cstheme="minorEastAsia"/>
          <w:color w:val="auto"/>
          <w:kern w:val="2"/>
          <w:sz w:val="24"/>
          <w:szCs w:val="24"/>
          <w:highlight w:val="none"/>
          <w:lang w:val="en-US" w:eastAsia="zh-CN" w:bidi="ar-SA"/>
        </w:rPr>
        <w:t>17.5.2竣工(完工)付款证书及支付时间</w:t>
      </w:r>
    </w:p>
    <w:p>
      <w:pPr>
        <w:pStyle w:val="65"/>
        <w:tabs>
          <w:tab w:val="left" w:pos="8280"/>
        </w:tabs>
        <w:spacing w:line="360" w:lineRule="auto"/>
        <w:ind w:firstLine="360" w:firstLineChars="150"/>
        <w:rPr>
          <w:rStyle w:val="21"/>
          <w:rFonts w:hint="eastAsia" w:asciiTheme="minorEastAsia" w:hAnsiTheme="minorEastAsia" w:eastAsiaTheme="minorEastAsia" w:cstheme="minorEastAsia"/>
          <w:color w:val="auto"/>
          <w:kern w:val="2"/>
          <w:sz w:val="24"/>
          <w:szCs w:val="24"/>
          <w:highlight w:val="none"/>
          <w:lang w:val="en-US" w:eastAsia="zh-CN" w:bidi="ar-SA"/>
        </w:rPr>
      </w:pPr>
      <w:r>
        <w:rPr>
          <w:rStyle w:val="21"/>
          <w:rFonts w:hint="eastAsia" w:asciiTheme="minorEastAsia" w:hAnsiTheme="minorEastAsia" w:eastAsiaTheme="minorEastAsia" w:cstheme="minorEastAsia"/>
          <w:color w:val="auto"/>
          <w:kern w:val="2"/>
          <w:sz w:val="24"/>
          <w:szCs w:val="24"/>
          <w:highlight w:val="none"/>
          <w:lang w:val="en-US" w:eastAsia="zh-CN" w:bidi="ar-SA"/>
        </w:rPr>
        <w:t xml:space="preserve">(1)监理人在收到承包人提交的完工付款申请单后的14天内完成核查，提出发包人到期应支付给承包人的价款送发包人审核并抄送承包人。发包人应在收到后14天内审核完毕，由监理人向承包人出具经发包人签认的完工付款证书。监理人未在约定时间内核查，又未提出具体意见的，视为承包人提交的完工付款申请单已经监理人核查同意。发包人未在约定时间内审核又未提出具体意见的，监理人提出发包人到期应支付给承包人的价款视为已经发包人同意。    </w:t>
      </w:r>
    </w:p>
    <w:p>
      <w:pPr>
        <w:pStyle w:val="65"/>
        <w:tabs>
          <w:tab w:val="left" w:pos="8280"/>
        </w:tabs>
        <w:spacing w:line="360" w:lineRule="auto"/>
        <w:ind w:firstLine="360" w:firstLineChars="150"/>
        <w:rPr>
          <w:rStyle w:val="21"/>
          <w:rFonts w:hint="eastAsia" w:asciiTheme="minorEastAsia" w:hAnsiTheme="minorEastAsia" w:eastAsiaTheme="minorEastAsia" w:cstheme="minorEastAsia"/>
          <w:color w:val="auto"/>
          <w:kern w:val="2"/>
          <w:sz w:val="24"/>
          <w:szCs w:val="24"/>
          <w:highlight w:val="none"/>
          <w:lang w:val="en-US" w:eastAsia="zh-CN" w:bidi="ar-SA"/>
        </w:rPr>
      </w:pPr>
      <w:r>
        <w:rPr>
          <w:rStyle w:val="21"/>
          <w:rFonts w:hint="eastAsia" w:asciiTheme="minorEastAsia" w:hAnsiTheme="minorEastAsia" w:eastAsiaTheme="minorEastAsia" w:cstheme="minorEastAsia"/>
          <w:color w:val="auto"/>
          <w:kern w:val="2"/>
          <w:sz w:val="24"/>
          <w:szCs w:val="24"/>
          <w:highlight w:val="none"/>
          <w:lang w:val="en-US" w:eastAsia="zh-CN" w:bidi="ar-SA"/>
        </w:rPr>
        <w:t>(2)发包人应在监理人出具完工付款证书后的14天内，将应支付款支付给承包人。发包人不按期支付的，按第16.3.3 (2)目的约定，将逾期付款违约金支付给承包人。</w:t>
      </w:r>
    </w:p>
    <w:p>
      <w:pPr>
        <w:pStyle w:val="65"/>
        <w:tabs>
          <w:tab w:val="left" w:pos="8280"/>
        </w:tabs>
        <w:spacing w:line="360" w:lineRule="auto"/>
        <w:ind w:firstLine="360" w:firstLineChars="150"/>
        <w:rPr>
          <w:rStyle w:val="21"/>
          <w:rFonts w:hint="eastAsia" w:asciiTheme="minorEastAsia" w:hAnsiTheme="minorEastAsia" w:eastAsiaTheme="minorEastAsia" w:cstheme="minorEastAsia"/>
          <w:color w:val="auto"/>
          <w:kern w:val="2"/>
          <w:sz w:val="24"/>
          <w:szCs w:val="24"/>
          <w:highlight w:val="none"/>
          <w:lang w:val="en-US" w:eastAsia="zh-CN" w:bidi="ar-SA"/>
        </w:rPr>
      </w:pPr>
      <w:r>
        <w:rPr>
          <w:rStyle w:val="21"/>
          <w:rFonts w:hint="eastAsia" w:asciiTheme="minorEastAsia" w:hAnsiTheme="minorEastAsia" w:eastAsiaTheme="minorEastAsia" w:cstheme="minorEastAsia"/>
          <w:color w:val="auto"/>
          <w:kern w:val="2"/>
          <w:sz w:val="24"/>
          <w:szCs w:val="24"/>
          <w:highlight w:val="none"/>
          <w:lang w:val="en-US" w:eastAsia="zh-CN" w:bidi="ar-SA"/>
        </w:rPr>
        <w:t>(3)承包人对发包人签认的完工付款证书有异议的，发包人可出具完工付款申请单中承包人已同意部分的临时付款证书。存在争议的部分，按第22条的约定办理。</w:t>
      </w:r>
    </w:p>
    <w:p>
      <w:pPr>
        <w:pStyle w:val="65"/>
        <w:tabs>
          <w:tab w:val="left" w:pos="8280"/>
        </w:tabs>
        <w:spacing w:line="360" w:lineRule="auto"/>
        <w:ind w:firstLine="360" w:firstLineChars="150"/>
        <w:rPr>
          <w:rStyle w:val="21"/>
          <w:rFonts w:hint="eastAsia" w:asciiTheme="minorEastAsia" w:hAnsiTheme="minorEastAsia" w:eastAsiaTheme="minorEastAsia" w:cstheme="minorEastAsia"/>
          <w:color w:val="auto"/>
          <w:kern w:val="2"/>
          <w:sz w:val="24"/>
          <w:szCs w:val="24"/>
          <w:highlight w:val="none"/>
          <w:lang w:val="en-US" w:eastAsia="zh-CN" w:bidi="ar-SA"/>
        </w:rPr>
      </w:pPr>
      <w:r>
        <w:rPr>
          <w:rStyle w:val="21"/>
          <w:rFonts w:hint="eastAsia" w:asciiTheme="minorEastAsia" w:hAnsiTheme="minorEastAsia" w:eastAsiaTheme="minorEastAsia" w:cstheme="minorEastAsia"/>
          <w:color w:val="auto"/>
          <w:kern w:val="2"/>
          <w:sz w:val="24"/>
          <w:szCs w:val="24"/>
          <w:highlight w:val="none"/>
          <w:lang w:val="en-US" w:eastAsia="zh-CN" w:bidi="ar-SA"/>
        </w:rPr>
        <w:t>(4)完工付款涉及政府投资资金的，按第16.3.3(4)目的约定办理。</w:t>
      </w:r>
    </w:p>
    <w:p>
      <w:pPr>
        <w:pStyle w:val="65"/>
        <w:tabs>
          <w:tab w:val="left" w:pos="8280"/>
        </w:tabs>
        <w:spacing w:line="360" w:lineRule="auto"/>
        <w:rPr>
          <w:rStyle w:val="21"/>
          <w:rFonts w:hint="eastAsia" w:asciiTheme="minorEastAsia" w:hAnsiTheme="minorEastAsia" w:eastAsiaTheme="minorEastAsia" w:cstheme="minorEastAsia"/>
          <w:b/>
          <w:color w:val="auto"/>
          <w:kern w:val="2"/>
          <w:sz w:val="24"/>
          <w:szCs w:val="24"/>
          <w:highlight w:val="none"/>
          <w:lang w:val="en-US" w:eastAsia="zh-CN" w:bidi="ar-SA"/>
        </w:rPr>
      </w:pPr>
      <w:r>
        <w:rPr>
          <w:rStyle w:val="21"/>
          <w:rFonts w:hint="eastAsia" w:asciiTheme="minorEastAsia" w:hAnsiTheme="minorEastAsia" w:eastAsiaTheme="minorEastAsia" w:cstheme="minorEastAsia"/>
          <w:b/>
          <w:color w:val="auto"/>
          <w:kern w:val="2"/>
          <w:sz w:val="24"/>
          <w:szCs w:val="24"/>
          <w:highlight w:val="none"/>
          <w:lang w:val="en-US" w:eastAsia="zh-CN" w:bidi="ar-SA"/>
        </w:rPr>
        <w:t>17.6最终结清</w:t>
      </w:r>
    </w:p>
    <w:p>
      <w:pPr>
        <w:pStyle w:val="65"/>
        <w:tabs>
          <w:tab w:val="left" w:pos="8280"/>
        </w:tabs>
        <w:spacing w:line="360" w:lineRule="auto"/>
        <w:ind w:firstLine="360" w:firstLineChars="150"/>
        <w:rPr>
          <w:rStyle w:val="21"/>
          <w:rFonts w:hint="eastAsia" w:asciiTheme="minorEastAsia" w:hAnsiTheme="minorEastAsia" w:eastAsiaTheme="minorEastAsia" w:cstheme="minorEastAsia"/>
          <w:color w:val="auto"/>
          <w:kern w:val="2"/>
          <w:sz w:val="24"/>
          <w:szCs w:val="24"/>
          <w:highlight w:val="none"/>
          <w:lang w:val="en-US" w:eastAsia="zh-CN" w:bidi="ar-SA"/>
        </w:rPr>
      </w:pPr>
      <w:r>
        <w:rPr>
          <w:rStyle w:val="21"/>
          <w:rFonts w:hint="eastAsia" w:asciiTheme="minorEastAsia" w:hAnsiTheme="minorEastAsia" w:eastAsiaTheme="minorEastAsia" w:cstheme="minorEastAsia"/>
          <w:color w:val="auto"/>
          <w:kern w:val="2"/>
          <w:sz w:val="24"/>
          <w:szCs w:val="24"/>
          <w:highlight w:val="none"/>
          <w:lang w:val="en-US" w:eastAsia="zh-CN" w:bidi="ar-SA"/>
        </w:rPr>
        <w:t>17.6.1最终结清申请单</w:t>
      </w:r>
    </w:p>
    <w:p>
      <w:pPr>
        <w:pStyle w:val="65"/>
        <w:tabs>
          <w:tab w:val="left" w:pos="8280"/>
        </w:tabs>
        <w:spacing w:line="360" w:lineRule="auto"/>
        <w:ind w:firstLine="360" w:firstLineChars="150"/>
        <w:rPr>
          <w:rStyle w:val="21"/>
          <w:rFonts w:hint="eastAsia" w:asciiTheme="minorEastAsia" w:hAnsiTheme="minorEastAsia" w:eastAsiaTheme="minorEastAsia" w:cstheme="minorEastAsia"/>
          <w:color w:val="auto"/>
          <w:kern w:val="2"/>
          <w:sz w:val="24"/>
          <w:szCs w:val="24"/>
          <w:highlight w:val="none"/>
          <w:lang w:val="en-US" w:eastAsia="zh-CN" w:bidi="ar-SA"/>
        </w:rPr>
      </w:pPr>
      <w:r>
        <w:rPr>
          <w:rStyle w:val="21"/>
          <w:rFonts w:hint="eastAsia" w:asciiTheme="minorEastAsia" w:hAnsiTheme="minorEastAsia" w:eastAsiaTheme="minorEastAsia" w:cstheme="minorEastAsia"/>
          <w:color w:val="auto"/>
          <w:kern w:val="2"/>
          <w:sz w:val="24"/>
          <w:szCs w:val="24"/>
          <w:highlight w:val="none"/>
          <w:lang w:val="en-US" w:eastAsia="zh-CN" w:bidi="ar-SA"/>
        </w:rPr>
        <w:t>(1)工程质量保修责任终止证书签发后，承包人应按监理人批准的格式提交最终结清申请单。提交最终结清申请单的份数在专用合同条款中约定。</w:t>
      </w:r>
    </w:p>
    <w:p>
      <w:pPr>
        <w:pStyle w:val="65"/>
        <w:tabs>
          <w:tab w:val="left" w:pos="8280"/>
        </w:tabs>
        <w:spacing w:line="360" w:lineRule="auto"/>
        <w:ind w:firstLine="360" w:firstLineChars="150"/>
        <w:rPr>
          <w:rStyle w:val="21"/>
          <w:rFonts w:hint="eastAsia" w:asciiTheme="minorEastAsia" w:hAnsiTheme="minorEastAsia" w:eastAsiaTheme="minorEastAsia" w:cstheme="minorEastAsia"/>
          <w:color w:val="auto"/>
          <w:kern w:val="2"/>
          <w:sz w:val="24"/>
          <w:szCs w:val="24"/>
          <w:highlight w:val="none"/>
          <w:lang w:val="en-US" w:eastAsia="zh-CN" w:bidi="ar-SA"/>
        </w:rPr>
      </w:pPr>
      <w:r>
        <w:rPr>
          <w:rStyle w:val="21"/>
          <w:rFonts w:hint="eastAsia" w:asciiTheme="minorEastAsia" w:hAnsiTheme="minorEastAsia" w:eastAsiaTheme="minorEastAsia" w:cstheme="minorEastAsia"/>
          <w:color w:val="auto"/>
          <w:kern w:val="2"/>
          <w:sz w:val="24"/>
          <w:szCs w:val="24"/>
          <w:highlight w:val="none"/>
          <w:lang w:val="en-US" w:eastAsia="zh-CN" w:bidi="ar-SA"/>
        </w:rPr>
        <w:t>(2)发包人对最终结清申请单内容有异议的，有权要求承包人进行修正和提供补充资料，由承包人向监理人提交修正后的最终结清申请单。</w:t>
      </w:r>
    </w:p>
    <w:p>
      <w:pPr>
        <w:pStyle w:val="65"/>
        <w:tabs>
          <w:tab w:val="left" w:pos="8280"/>
        </w:tabs>
        <w:spacing w:line="360" w:lineRule="auto"/>
        <w:ind w:firstLine="360" w:firstLineChars="150"/>
        <w:rPr>
          <w:rStyle w:val="21"/>
          <w:rFonts w:hint="eastAsia" w:asciiTheme="minorEastAsia" w:hAnsiTheme="minorEastAsia" w:eastAsiaTheme="minorEastAsia" w:cstheme="minorEastAsia"/>
          <w:color w:val="auto"/>
          <w:kern w:val="2"/>
          <w:sz w:val="24"/>
          <w:szCs w:val="24"/>
          <w:highlight w:val="none"/>
          <w:lang w:val="en-US" w:eastAsia="zh-CN" w:bidi="ar-SA"/>
        </w:rPr>
      </w:pPr>
      <w:r>
        <w:rPr>
          <w:rStyle w:val="21"/>
          <w:rFonts w:hint="eastAsia" w:asciiTheme="minorEastAsia" w:hAnsiTheme="minorEastAsia" w:eastAsiaTheme="minorEastAsia" w:cstheme="minorEastAsia"/>
          <w:color w:val="auto"/>
          <w:kern w:val="2"/>
          <w:sz w:val="24"/>
          <w:szCs w:val="24"/>
          <w:highlight w:val="none"/>
          <w:lang w:val="en-US" w:eastAsia="zh-CN" w:bidi="ar-SA"/>
        </w:rPr>
        <w:t>17.6.2最终结清证书和支付时间</w:t>
      </w:r>
    </w:p>
    <w:p>
      <w:pPr>
        <w:pStyle w:val="65"/>
        <w:tabs>
          <w:tab w:val="left" w:pos="8280"/>
        </w:tabs>
        <w:spacing w:line="360" w:lineRule="auto"/>
        <w:ind w:firstLine="360" w:firstLineChars="150"/>
        <w:rPr>
          <w:rStyle w:val="21"/>
          <w:rFonts w:hint="eastAsia" w:asciiTheme="minorEastAsia" w:hAnsiTheme="minorEastAsia" w:eastAsiaTheme="minorEastAsia" w:cstheme="minorEastAsia"/>
          <w:color w:val="auto"/>
          <w:kern w:val="2"/>
          <w:sz w:val="24"/>
          <w:szCs w:val="24"/>
          <w:highlight w:val="none"/>
          <w:lang w:val="en-US" w:eastAsia="zh-CN" w:bidi="ar-SA"/>
        </w:rPr>
      </w:pPr>
      <w:r>
        <w:rPr>
          <w:rStyle w:val="21"/>
          <w:rFonts w:hint="eastAsia" w:asciiTheme="minorEastAsia" w:hAnsiTheme="minorEastAsia" w:eastAsiaTheme="minorEastAsia" w:cstheme="minorEastAsia"/>
          <w:color w:val="auto"/>
          <w:kern w:val="2"/>
          <w:sz w:val="24"/>
          <w:szCs w:val="24"/>
          <w:highlight w:val="none"/>
          <w:lang w:val="en-US" w:eastAsia="zh-CN" w:bidi="ar-SA"/>
        </w:rPr>
        <w:t>(1)监理人收到承包人提交的最终结清申请单后的14天内，提出发包人应支付给承包人的价款送发包人审核并抄送承包人。发包人应在收到后14天内审核完毕，由监理人向承包人出具经发包人签认的最终结清证书。监理人未在约定时间内核查，又未提出具体意见的，视为承包人提交的最终结清申请己经监理人核查同意；发包人未在约定时间内审核又未提出具体意见的，监理人提出应支付给承包人的价款视为已经发包人同意。</w:t>
      </w:r>
    </w:p>
    <w:p>
      <w:pPr>
        <w:pStyle w:val="65"/>
        <w:tabs>
          <w:tab w:val="left" w:pos="8280"/>
        </w:tabs>
        <w:spacing w:line="360" w:lineRule="auto"/>
        <w:ind w:firstLine="360" w:firstLineChars="150"/>
        <w:rPr>
          <w:rStyle w:val="21"/>
          <w:rFonts w:hint="eastAsia" w:asciiTheme="minorEastAsia" w:hAnsiTheme="minorEastAsia" w:eastAsiaTheme="minorEastAsia" w:cstheme="minorEastAsia"/>
          <w:color w:val="auto"/>
          <w:kern w:val="2"/>
          <w:sz w:val="24"/>
          <w:szCs w:val="24"/>
          <w:highlight w:val="none"/>
          <w:lang w:val="en-US" w:eastAsia="zh-CN" w:bidi="ar-SA"/>
        </w:rPr>
      </w:pPr>
      <w:r>
        <w:rPr>
          <w:rStyle w:val="21"/>
          <w:rFonts w:hint="eastAsia" w:asciiTheme="minorEastAsia" w:hAnsiTheme="minorEastAsia" w:eastAsiaTheme="minorEastAsia" w:cstheme="minorEastAsia"/>
          <w:color w:val="auto"/>
          <w:kern w:val="2"/>
          <w:sz w:val="24"/>
          <w:szCs w:val="24"/>
          <w:highlight w:val="none"/>
          <w:lang w:val="en-US" w:eastAsia="zh-CN" w:bidi="ar-SA"/>
        </w:rPr>
        <w:t>(2)发包人应在监理人出具最终结清证书后的14天内，将应支付款支付给承包人。发包人不按期支付的，按第16.3.3(2)目的约定，将逾期付款违约金支付给承包人。</w:t>
      </w:r>
    </w:p>
    <w:p>
      <w:pPr>
        <w:pStyle w:val="65"/>
        <w:tabs>
          <w:tab w:val="left" w:pos="8280"/>
        </w:tabs>
        <w:spacing w:line="360" w:lineRule="auto"/>
        <w:ind w:firstLine="360" w:firstLineChars="150"/>
        <w:rPr>
          <w:rStyle w:val="21"/>
          <w:rFonts w:hint="eastAsia" w:asciiTheme="minorEastAsia" w:hAnsiTheme="minorEastAsia" w:eastAsiaTheme="minorEastAsia" w:cstheme="minorEastAsia"/>
          <w:color w:val="auto"/>
          <w:kern w:val="2"/>
          <w:sz w:val="24"/>
          <w:szCs w:val="24"/>
          <w:highlight w:val="none"/>
          <w:lang w:val="en-US" w:eastAsia="zh-CN" w:bidi="ar-SA"/>
        </w:rPr>
      </w:pPr>
      <w:r>
        <w:rPr>
          <w:rStyle w:val="21"/>
          <w:rFonts w:hint="eastAsia" w:asciiTheme="minorEastAsia" w:hAnsiTheme="minorEastAsia" w:eastAsiaTheme="minorEastAsia" w:cstheme="minorEastAsia"/>
          <w:color w:val="auto"/>
          <w:kern w:val="2"/>
          <w:sz w:val="24"/>
          <w:szCs w:val="24"/>
          <w:highlight w:val="none"/>
          <w:lang w:val="en-US" w:eastAsia="zh-CN" w:bidi="ar-SA"/>
        </w:rPr>
        <w:t>(3)承包人对发包人签认的最终结清证书有异议的，按第22条的约定办理。</w:t>
      </w:r>
    </w:p>
    <w:p>
      <w:pPr>
        <w:pStyle w:val="65"/>
        <w:tabs>
          <w:tab w:val="left" w:pos="8280"/>
        </w:tabs>
        <w:spacing w:line="360" w:lineRule="auto"/>
        <w:ind w:firstLine="360" w:firstLineChars="150"/>
        <w:rPr>
          <w:rStyle w:val="21"/>
          <w:rFonts w:hint="eastAsia" w:asciiTheme="minorEastAsia" w:hAnsiTheme="minorEastAsia" w:eastAsiaTheme="minorEastAsia" w:cstheme="minorEastAsia"/>
          <w:color w:val="auto"/>
          <w:kern w:val="2"/>
          <w:sz w:val="24"/>
          <w:szCs w:val="24"/>
          <w:highlight w:val="none"/>
          <w:lang w:val="en-US" w:eastAsia="zh-CN" w:bidi="ar-SA"/>
        </w:rPr>
      </w:pPr>
      <w:r>
        <w:rPr>
          <w:rStyle w:val="21"/>
          <w:rFonts w:hint="eastAsia" w:asciiTheme="minorEastAsia" w:hAnsiTheme="minorEastAsia" w:eastAsiaTheme="minorEastAsia" w:cstheme="minorEastAsia"/>
          <w:color w:val="auto"/>
          <w:kern w:val="2"/>
          <w:sz w:val="24"/>
          <w:szCs w:val="24"/>
          <w:highlight w:val="none"/>
          <w:lang w:val="en-US" w:eastAsia="zh-CN" w:bidi="ar-SA"/>
        </w:rPr>
        <w:t>(4)最终结清付款涉及政府投资资金的，按第16.3.3(4)目的约定办理。</w:t>
      </w:r>
    </w:p>
    <w:p>
      <w:pPr>
        <w:pStyle w:val="65"/>
        <w:tabs>
          <w:tab w:val="left" w:pos="8280"/>
        </w:tabs>
        <w:spacing w:line="360" w:lineRule="auto"/>
        <w:rPr>
          <w:rStyle w:val="21"/>
          <w:rFonts w:hint="eastAsia" w:asciiTheme="minorEastAsia" w:hAnsiTheme="minorEastAsia" w:eastAsiaTheme="minorEastAsia" w:cstheme="minorEastAsia"/>
          <w:b/>
          <w:color w:val="auto"/>
          <w:kern w:val="2"/>
          <w:sz w:val="24"/>
          <w:szCs w:val="24"/>
          <w:highlight w:val="none"/>
          <w:lang w:val="en-US" w:eastAsia="zh-CN" w:bidi="ar-SA"/>
        </w:rPr>
      </w:pPr>
      <w:r>
        <w:rPr>
          <w:rStyle w:val="21"/>
          <w:rFonts w:hint="eastAsia" w:asciiTheme="minorEastAsia" w:hAnsiTheme="minorEastAsia" w:eastAsiaTheme="minorEastAsia" w:cstheme="minorEastAsia"/>
          <w:b/>
          <w:color w:val="auto"/>
          <w:kern w:val="2"/>
          <w:sz w:val="24"/>
          <w:szCs w:val="24"/>
          <w:highlight w:val="none"/>
          <w:lang w:val="en-US" w:eastAsia="zh-CN" w:bidi="ar-SA"/>
        </w:rPr>
        <w:t>17.7竣工财务决算</w:t>
      </w:r>
    </w:p>
    <w:p>
      <w:pPr>
        <w:pStyle w:val="65"/>
        <w:tabs>
          <w:tab w:val="left" w:pos="8280"/>
        </w:tabs>
        <w:spacing w:line="360" w:lineRule="auto"/>
        <w:ind w:firstLine="360" w:firstLineChars="150"/>
        <w:rPr>
          <w:rStyle w:val="21"/>
          <w:rFonts w:hint="eastAsia" w:asciiTheme="minorEastAsia" w:hAnsiTheme="minorEastAsia" w:eastAsiaTheme="minorEastAsia" w:cstheme="minorEastAsia"/>
          <w:color w:val="auto"/>
          <w:kern w:val="2"/>
          <w:sz w:val="24"/>
          <w:szCs w:val="24"/>
          <w:highlight w:val="none"/>
          <w:lang w:val="en-US" w:eastAsia="zh-CN" w:bidi="ar-SA"/>
        </w:rPr>
      </w:pPr>
      <w:r>
        <w:rPr>
          <w:rStyle w:val="21"/>
          <w:rFonts w:hint="eastAsia" w:asciiTheme="minorEastAsia" w:hAnsiTheme="minorEastAsia" w:eastAsiaTheme="minorEastAsia" w:cstheme="minorEastAsia"/>
          <w:color w:val="auto"/>
          <w:kern w:val="2"/>
          <w:sz w:val="24"/>
          <w:szCs w:val="24"/>
          <w:highlight w:val="none"/>
          <w:lang w:val="en-US" w:eastAsia="zh-CN" w:bidi="ar-SA"/>
        </w:rPr>
        <w:t>发包人负责编制本工程项目竣工财务决算，承包人应按专用合同条款的约定提供竣工财务决算编制所需的相关材料。</w:t>
      </w:r>
    </w:p>
    <w:p>
      <w:pPr>
        <w:pStyle w:val="65"/>
        <w:tabs>
          <w:tab w:val="left" w:pos="8280"/>
        </w:tabs>
        <w:spacing w:line="360" w:lineRule="auto"/>
        <w:rPr>
          <w:rStyle w:val="21"/>
          <w:rFonts w:hint="eastAsia" w:asciiTheme="minorEastAsia" w:hAnsiTheme="minorEastAsia" w:eastAsiaTheme="minorEastAsia" w:cstheme="minorEastAsia"/>
          <w:b/>
          <w:color w:val="auto"/>
          <w:kern w:val="2"/>
          <w:sz w:val="24"/>
          <w:szCs w:val="24"/>
          <w:highlight w:val="none"/>
          <w:lang w:val="en-US" w:eastAsia="zh-CN" w:bidi="ar-SA"/>
        </w:rPr>
      </w:pPr>
      <w:r>
        <w:rPr>
          <w:rStyle w:val="21"/>
          <w:rFonts w:hint="eastAsia" w:asciiTheme="minorEastAsia" w:hAnsiTheme="minorEastAsia" w:eastAsiaTheme="minorEastAsia" w:cstheme="minorEastAsia"/>
          <w:b/>
          <w:color w:val="auto"/>
          <w:kern w:val="2"/>
          <w:sz w:val="24"/>
          <w:szCs w:val="24"/>
          <w:highlight w:val="none"/>
          <w:lang w:val="en-US" w:eastAsia="zh-CN" w:bidi="ar-SA"/>
        </w:rPr>
        <w:t>17.8竣工审计</w:t>
      </w:r>
    </w:p>
    <w:p>
      <w:pPr>
        <w:pStyle w:val="65"/>
        <w:tabs>
          <w:tab w:val="left" w:pos="8280"/>
        </w:tabs>
        <w:spacing w:line="360" w:lineRule="auto"/>
        <w:ind w:firstLine="360" w:firstLineChars="150"/>
        <w:rPr>
          <w:rStyle w:val="21"/>
          <w:rFonts w:hint="eastAsia" w:asciiTheme="minorEastAsia" w:hAnsiTheme="minorEastAsia" w:eastAsiaTheme="minorEastAsia" w:cstheme="minorEastAsia"/>
          <w:color w:val="auto"/>
          <w:kern w:val="2"/>
          <w:sz w:val="24"/>
          <w:szCs w:val="24"/>
          <w:highlight w:val="none"/>
          <w:lang w:val="en-US" w:eastAsia="zh-CN" w:bidi="ar-SA"/>
        </w:rPr>
      </w:pPr>
      <w:r>
        <w:rPr>
          <w:rStyle w:val="21"/>
          <w:rFonts w:hint="eastAsia" w:asciiTheme="minorEastAsia" w:hAnsiTheme="minorEastAsia" w:eastAsiaTheme="minorEastAsia" w:cstheme="minorEastAsia"/>
          <w:color w:val="auto"/>
          <w:kern w:val="2"/>
          <w:sz w:val="24"/>
          <w:szCs w:val="24"/>
          <w:highlight w:val="none"/>
          <w:lang w:val="en-US" w:eastAsia="zh-CN" w:bidi="ar-SA"/>
        </w:rPr>
        <w:t>发包人负责完成本工程竣工审计手续，承包人应完成相关配合工作。</w:t>
      </w:r>
    </w:p>
    <w:p>
      <w:pPr>
        <w:pStyle w:val="65"/>
        <w:tabs>
          <w:tab w:val="left" w:pos="8280"/>
        </w:tabs>
        <w:spacing w:line="360" w:lineRule="auto"/>
        <w:ind w:firstLine="480" w:firstLineChars="200"/>
        <w:rPr>
          <w:rStyle w:val="21"/>
          <w:rFonts w:hint="eastAsia" w:asciiTheme="minorEastAsia" w:hAnsiTheme="minorEastAsia" w:eastAsiaTheme="minorEastAsia" w:cstheme="minorEastAsia"/>
          <w:color w:val="auto"/>
          <w:kern w:val="2"/>
          <w:sz w:val="24"/>
          <w:szCs w:val="24"/>
          <w:highlight w:val="none"/>
          <w:lang w:val="en-US" w:eastAsia="zh-CN" w:bidi="ar-SA"/>
        </w:rPr>
      </w:pPr>
    </w:p>
    <w:p>
      <w:pPr>
        <w:pStyle w:val="66"/>
        <w:rPr>
          <w:rStyle w:val="21"/>
          <w:rFonts w:hint="eastAsia" w:asciiTheme="minorEastAsia" w:hAnsiTheme="minorEastAsia" w:eastAsiaTheme="minorEastAsia" w:cstheme="minorEastAsia"/>
          <w:color w:val="auto"/>
          <w:kern w:val="2"/>
          <w:sz w:val="24"/>
          <w:szCs w:val="24"/>
          <w:highlight w:val="none"/>
          <w:lang w:val="en-US" w:eastAsia="zh-CN" w:bidi="ar-SA"/>
        </w:rPr>
      </w:pPr>
      <w:bookmarkStart w:id="286" w:name="_Toc16962"/>
      <w:r>
        <w:rPr>
          <w:rStyle w:val="21"/>
          <w:rFonts w:hint="eastAsia" w:asciiTheme="minorEastAsia" w:hAnsiTheme="minorEastAsia" w:eastAsiaTheme="minorEastAsia" w:cstheme="minorEastAsia"/>
          <w:color w:val="auto"/>
          <w:kern w:val="2"/>
          <w:sz w:val="24"/>
          <w:szCs w:val="24"/>
          <w:highlight w:val="none"/>
          <w:lang w:val="en-US" w:eastAsia="zh-CN" w:bidi="ar-SA"/>
        </w:rPr>
        <w:t>18．竣工验收</w:t>
      </w:r>
      <w:bookmarkEnd w:id="286"/>
    </w:p>
    <w:p>
      <w:pPr>
        <w:pStyle w:val="65"/>
        <w:tabs>
          <w:tab w:val="left" w:pos="8280"/>
        </w:tabs>
        <w:spacing w:line="360" w:lineRule="auto"/>
        <w:ind w:firstLine="360" w:firstLineChars="150"/>
        <w:rPr>
          <w:rStyle w:val="21"/>
          <w:rFonts w:hint="eastAsia" w:asciiTheme="minorEastAsia" w:hAnsiTheme="minorEastAsia" w:eastAsiaTheme="minorEastAsia" w:cstheme="minorEastAsia"/>
          <w:color w:val="auto"/>
          <w:kern w:val="2"/>
          <w:sz w:val="24"/>
          <w:szCs w:val="24"/>
          <w:highlight w:val="none"/>
          <w:lang w:val="en-US" w:eastAsia="zh-CN" w:bidi="ar-SA"/>
        </w:rPr>
      </w:pPr>
      <w:r>
        <w:rPr>
          <w:rStyle w:val="21"/>
          <w:rFonts w:hint="eastAsia" w:asciiTheme="minorEastAsia" w:hAnsiTheme="minorEastAsia" w:eastAsiaTheme="minorEastAsia" w:cstheme="minorEastAsia"/>
          <w:color w:val="auto"/>
          <w:kern w:val="2"/>
          <w:sz w:val="24"/>
          <w:szCs w:val="24"/>
          <w:highlight w:val="none"/>
          <w:lang w:val="en-US" w:eastAsia="zh-CN" w:bidi="ar-SA"/>
        </w:rPr>
        <w:t>竣工验收(验收)竣工验收按照《水利水电建设工程验收规程》(SL 223—2008)执行。</w:t>
      </w:r>
    </w:p>
    <w:p>
      <w:pPr>
        <w:pStyle w:val="66"/>
        <w:rPr>
          <w:rStyle w:val="21"/>
          <w:rFonts w:hint="eastAsia" w:asciiTheme="minorEastAsia" w:hAnsiTheme="minorEastAsia" w:eastAsiaTheme="minorEastAsia" w:cstheme="minorEastAsia"/>
          <w:color w:val="auto"/>
          <w:kern w:val="2"/>
          <w:sz w:val="24"/>
          <w:szCs w:val="24"/>
          <w:highlight w:val="none"/>
          <w:lang w:val="en-US" w:eastAsia="zh-CN" w:bidi="ar-SA"/>
        </w:rPr>
      </w:pPr>
      <w:bookmarkStart w:id="287" w:name="_Toc11306"/>
      <w:r>
        <w:rPr>
          <w:rStyle w:val="21"/>
          <w:rFonts w:hint="eastAsia" w:asciiTheme="minorEastAsia" w:hAnsiTheme="minorEastAsia" w:eastAsiaTheme="minorEastAsia" w:cstheme="minorEastAsia"/>
          <w:color w:val="auto"/>
          <w:kern w:val="2"/>
          <w:sz w:val="24"/>
          <w:szCs w:val="24"/>
          <w:highlight w:val="none"/>
          <w:lang w:val="en-US" w:eastAsia="zh-CN" w:bidi="ar-SA"/>
        </w:rPr>
        <w:t>19 缺陷责任与保修责任</w:t>
      </w:r>
      <w:bookmarkEnd w:id="287"/>
    </w:p>
    <w:p>
      <w:pPr>
        <w:pStyle w:val="65"/>
        <w:tabs>
          <w:tab w:val="left" w:pos="8280"/>
        </w:tabs>
        <w:spacing w:line="360" w:lineRule="auto"/>
        <w:rPr>
          <w:rStyle w:val="21"/>
          <w:rFonts w:hint="eastAsia" w:asciiTheme="minorEastAsia" w:hAnsiTheme="minorEastAsia" w:eastAsiaTheme="minorEastAsia" w:cstheme="minorEastAsia"/>
          <w:color w:val="auto"/>
          <w:kern w:val="2"/>
          <w:sz w:val="24"/>
          <w:szCs w:val="24"/>
          <w:highlight w:val="none"/>
          <w:lang w:val="en-US" w:eastAsia="zh-CN" w:bidi="ar-SA"/>
        </w:rPr>
      </w:pPr>
      <w:r>
        <w:rPr>
          <w:rStyle w:val="21"/>
          <w:rFonts w:hint="eastAsia" w:asciiTheme="minorEastAsia" w:hAnsiTheme="minorEastAsia" w:eastAsiaTheme="minorEastAsia" w:cstheme="minorEastAsia"/>
          <w:b/>
          <w:color w:val="auto"/>
          <w:kern w:val="2"/>
          <w:sz w:val="24"/>
          <w:szCs w:val="24"/>
          <w:highlight w:val="none"/>
          <w:lang w:val="en-US" w:eastAsia="zh-CN" w:bidi="ar-SA"/>
        </w:rPr>
        <w:t xml:space="preserve">19.1缺陷责任期的起算时间  </w:t>
      </w:r>
      <w:r>
        <w:rPr>
          <w:rStyle w:val="21"/>
          <w:rFonts w:hint="eastAsia" w:asciiTheme="minorEastAsia" w:hAnsiTheme="minorEastAsia" w:eastAsiaTheme="minorEastAsia" w:cstheme="minorEastAsia"/>
          <w:color w:val="auto"/>
          <w:kern w:val="2"/>
          <w:sz w:val="24"/>
          <w:szCs w:val="24"/>
          <w:highlight w:val="none"/>
          <w:lang w:val="en-US" w:eastAsia="zh-CN" w:bidi="ar-SA"/>
        </w:rPr>
        <w:t xml:space="preserve">  </w:t>
      </w:r>
    </w:p>
    <w:p>
      <w:pPr>
        <w:pStyle w:val="65"/>
        <w:tabs>
          <w:tab w:val="left" w:pos="8280"/>
        </w:tabs>
        <w:spacing w:line="360" w:lineRule="auto"/>
        <w:ind w:firstLine="360" w:firstLineChars="150"/>
        <w:rPr>
          <w:rStyle w:val="21"/>
          <w:rFonts w:hint="eastAsia" w:asciiTheme="minorEastAsia" w:hAnsiTheme="minorEastAsia" w:eastAsiaTheme="minorEastAsia" w:cstheme="minorEastAsia"/>
          <w:color w:val="auto"/>
          <w:kern w:val="2"/>
          <w:sz w:val="24"/>
          <w:szCs w:val="24"/>
          <w:highlight w:val="none"/>
          <w:lang w:val="en-US" w:eastAsia="zh-CN" w:bidi="ar-SA"/>
        </w:rPr>
      </w:pPr>
      <w:r>
        <w:rPr>
          <w:rStyle w:val="21"/>
          <w:rFonts w:hint="eastAsia" w:asciiTheme="minorEastAsia" w:hAnsiTheme="minorEastAsia" w:eastAsiaTheme="minorEastAsia" w:cstheme="minorEastAsia"/>
          <w:color w:val="auto"/>
          <w:kern w:val="2"/>
          <w:sz w:val="24"/>
          <w:szCs w:val="24"/>
          <w:highlight w:val="none"/>
          <w:lang w:val="en-US" w:eastAsia="zh-CN" w:bidi="ar-SA"/>
        </w:rPr>
        <w:t>除专用合同条款另有约定外，缺陷责任期(工程质量保修期)从工程通过合同工程完工验收后开始计算。在合同工程完工验收前，已经发包人提前验收的单位工程或部分工程，若未投入使用，其缺陷责任期(工程质量保修期)亦从工程通过合同工程完工验收后开始计算；若已投入使用，其缺陷责任期(工程质量保修期)从通过单位工程或部分工程投入使用验收后开始计算。缺陷责任期(工程质量保修期)的期限在专用合同条款中约定。</w:t>
      </w:r>
    </w:p>
    <w:p>
      <w:pPr>
        <w:pStyle w:val="65"/>
        <w:tabs>
          <w:tab w:val="left" w:pos="8280"/>
        </w:tabs>
        <w:spacing w:line="360" w:lineRule="auto"/>
        <w:rPr>
          <w:rStyle w:val="21"/>
          <w:rFonts w:hint="eastAsia" w:asciiTheme="minorEastAsia" w:hAnsiTheme="minorEastAsia" w:eastAsiaTheme="minorEastAsia" w:cstheme="minorEastAsia"/>
          <w:b/>
          <w:color w:val="auto"/>
          <w:kern w:val="2"/>
          <w:sz w:val="24"/>
          <w:szCs w:val="24"/>
          <w:highlight w:val="none"/>
          <w:lang w:val="en-US" w:eastAsia="zh-CN" w:bidi="ar-SA"/>
        </w:rPr>
      </w:pPr>
      <w:r>
        <w:rPr>
          <w:rStyle w:val="21"/>
          <w:rFonts w:hint="eastAsia" w:asciiTheme="minorEastAsia" w:hAnsiTheme="minorEastAsia" w:eastAsiaTheme="minorEastAsia" w:cstheme="minorEastAsia"/>
          <w:b/>
          <w:color w:val="auto"/>
          <w:kern w:val="2"/>
          <w:sz w:val="24"/>
          <w:szCs w:val="24"/>
          <w:highlight w:val="none"/>
          <w:lang w:val="en-US" w:eastAsia="zh-CN" w:bidi="ar-SA"/>
        </w:rPr>
        <w:t>19.2缺陷责任</w:t>
      </w:r>
    </w:p>
    <w:p>
      <w:pPr>
        <w:pStyle w:val="65"/>
        <w:tabs>
          <w:tab w:val="left" w:pos="8280"/>
        </w:tabs>
        <w:spacing w:line="360" w:lineRule="auto"/>
        <w:ind w:firstLine="360" w:firstLineChars="150"/>
        <w:rPr>
          <w:rStyle w:val="21"/>
          <w:rFonts w:hint="eastAsia" w:asciiTheme="minorEastAsia" w:hAnsiTheme="minorEastAsia" w:eastAsiaTheme="minorEastAsia" w:cstheme="minorEastAsia"/>
          <w:color w:val="auto"/>
          <w:kern w:val="2"/>
          <w:sz w:val="24"/>
          <w:szCs w:val="24"/>
          <w:highlight w:val="none"/>
          <w:lang w:val="en-US" w:eastAsia="zh-CN" w:bidi="ar-SA"/>
        </w:rPr>
      </w:pPr>
      <w:r>
        <w:rPr>
          <w:rStyle w:val="21"/>
          <w:rFonts w:hint="eastAsia" w:asciiTheme="minorEastAsia" w:hAnsiTheme="minorEastAsia" w:eastAsiaTheme="minorEastAsia" w:cstheme="minorEastAsia"/>
          <w:color w:val="auto"/>
          <w:kern w:val="2"/>
          <w:sz w:val="24"/>
          <w:szCs w:val="24"/>
          <w:highlight w:val="none"/>
          <w:lang w:val="en-US" w:eastAsia="zh-CN" w:bidi="ar-SA"/>
        </w:rPr>
        <w:t>17.2.1承包人应在缺陷责任期内对己交付使用的工程承担缺陷责任。</w:t>
      </w:r>
    </w:p>
    <w:p>
      <w:pPr>
        <w:pStyle w:val="65"/>
        <w:tabs>
          <w:tab w:val="left" w:pos="8280"/>
        </w:tabs>
        <w:spacing w:line="360" w:lineRule="auto"/>
        <w:ind w:firstLine="360" w:firstLineChars="150"/>
        <w:rPr>
          <w:rStyle w:val="21"/>
          <w:rFonts w:hint="eastAsia" w:asciiTheme="minorEastAsia" w:hAnsiTheme="minorEastAsia" w:eastAsiaTheme="minorEastAsia" w:cstheme="minorEastAsia"/>
          <w:color w:val="auto"/>
          <w:kern w:val="2"/>
          <w:sz w:val="24"/>
          <w:szCs w:val="24"/>
          <w:highlight w:val="none"/>
          <w:lang w:val="en-US" w:eastAsia="zh-CN" w:bidi="ar-SA"/>
        </w:rPr>
      </w:pPr>
      <w:r>
        <w:rPr>
          <w:rStyle w:val="21"/>
          <w:rFonts w:hint="eastAsia" w:asciiTheme="minorEastAsia" w:hAnsiTheme="minorEastAsia" w:eastAsiaTheme="minorEastAsia" w:cstheme="minorEastAsia"/>
          <w:color w:val="auto"/>
          <w:kern w:val="2"/>
          <w:sz w:val="24"/>
          <w:szCs w:val="24"/>
          <w:highlight w:val="none"/>
          <w:lang w:val="en-US" w:eastAsia="zh-CN" w:bidi="ar-SA"/>
        </w:rPr>
        <w:t>17.2.2缺陷责任期内，发包人对己接收使用的工程负责日常维护工作。发包人在使用过程中，发现已接收的工程存在新的缺陷或已修复的缺陷部位或部件又遭损坏的，承包人应负责修复，直至检验合格为止。</w:t>
      </w:r>
    </w:p>
    <w:p>
      <w:pPr>
        <w:pStyle w:val="65"/>
        <w:tabs>
          <w:tab w:val="left" w:pos="8280"/>
        </w:tabs>
        <w:spacing w:line="360" w:lineRule="auto"/>
        <w:ind w:firstLine="360" w:firstLineChars="150"/>
        <w:rPr>
          <w:rStyle w:val="21"/>
          <w:rFonts w:hint="eastAsia" w:asciiTheme="minorEastAsia" w:hAnsiTheme="minorEastAsia" w:eastAsiaTheme="minorEastAsia" w:cstheme="minorEastAsia"/>
          <w:color w:val="auto"/>
          <w:kern w:val="2"/>
          <w:sz w:val="24"/>
          <w:szCs w:val="24"/>
          <w:highlight w:val="none"/>
          <w:lang w:val="en-US" w:eastAsia="zh-CN" w:bidi="ar-SA"/>
        </w:rPr>
      </w:pPr>
      <w:r>
        <w:rPr>
          <w:rStyle w:val="21"/>
          <w:rFonts w:hint="eastAsia" w:asciiTheme="minorEastAsia" w:hAnsiTheme="minorEastAsia" w:eastAsiaTheme="minorEastAsia" w:cstheme="minorEastAsia"/>
          <w:color w:val="auto"/>
          <w:kern w:val="2"/>
          <w:sz w:val="24"/>
          <w:szCs w:val="24"/>
          <w:highlight w:val="none"/>
          <w:lang w:val="en-US" w:eastAsia="zh-CN" w:bidi="ar-SA"/>
        </w:rPr>
        <w:t>19.2.3监理人和承包人应共同查清缺陷和(或)损坏的原因。经查明属承包人原因造成的，应由承包人承担修复和查验的费用。经查验属发包人原因造成的，发包人应承担修复和查验的费用，并支付承包人合理利润。</w:t>
      </w:r>
    </w:p>
    <w:p>
      <w:pPr>
        <w:pStyle w:val="65"/>
        <w:tabs>
          <w:tab w:val="left" w:pos="8280"/>
        </w:tabs>
        <w:spacing w:line="360" w:lineRule="auto"/>
        <w:ind w:firstLine="360" w:firstLineChars="150"/>
        <w:rPr>
          <w:rStyle w:val="21"/>
          <w:rFonts w:hint="eastAsia" w:asciiTheme="minorEastAsia" w:hAnsiTheme="minorEastAsia" w:eastAsiaTheme="minorEastAsia" w:cstheme="minorEastAsia"/>
          <w:color w:val="auto"/>
          <w:kern w:val="2"/>
          <w:sz w:val="24"/>
          <w:szCs w:val="24"/>
          <w:highlight w:val="none"/>
          <w:lang w:val="en-US" w:eastAsia="zh-CN" w:bidi="ar-SA"/>
        </w:rPr>
      </w:pPr>
      <w:r>
        <w:rPr>
          <w:rStyle w:val="21"/>
          <w:rFonts w:hint="eastAsia" w:asciiTheme="minorEastAsia" w:hAnsiTheme="minorEastAsia" w:eastAsiaTheme="minorEastAsia" w:cstheme="minorEastAsia"/>
          <w:color w:val="auto"/>
          <w:kern w:val="2"/>
          <w:sz w:val="24"/>
          <w:szCs w:val="24"/>
          <w:highlight w:val="none"/>
          <w:lang w:val="en-US" w:eastAsia="zh-CN" w:bidi="ar-SA"/>
        </w:rPr>
        <w:t>19.2.4承包人不能在合理时间内修复缺陷的，发包人可自行修复或委托其他人修复，所需费用和利润的承担，按第17.2.3项约定办理。</w:t>
      </w:r>
    </w:p>
    <w:p>
      <w:pPr>
        <w:pStyle w:val="65"/>
        <w:tabs>
          <w:tab w:val="left" w:pos="8280"/>
        </w:tabs>
        <w:spacing w:line="360" w:lineRule="auto"/>
        <w:rPr>
          <w:rStyle w:val="21"/>
          <w:rFonts w:hint="eastAsia" w:asciiTheme="minorEastAsia" w:hAnsiTheme="minorEastAsia" w:eastAsiaTheme="minorEastAsia" w:cstheme="minorEastAsia"/>
          <w:b/>
          <w:color w:val="auto"/>
          <w:kern w:val="2"/>
          <w:sz w:val="24"/>
          <w:szCs w:val="24"/>
          <w:highlight w:val="none"/>
          <w:lang w:val="en-US" w:eastAsia="zh-CN" w:bidi="ar-SA"/>
        </w:rPr>
      </w:pPr>
      <w:r>
        <w:rPr>
          <w:rStyle w:val="21"/>
          <w:rFonts w:hint="eastAsia" w:asciiTheme="minorEastAsia" w:hAnsiTheme="minorEastAsia" w:eastAsiaTheme="minorEastAsia" w:cstheme="minorEastAsia"/>
          <w:b/>
          <w:color w:val="auto"/>
          <w:kern w:val="2"/>
          <w:sz w:val="24"/>
          <w:szCs w:val="24"/>
          <w:highlight w:val="none"/>
          <w:lang w:val="en-US" w:eastAsia="zh-CN" w:bidi="ar-SA"/>
        </w:rPr>
        <w:t>19.3缺陷责任期的延长</w:t>
      </w:r>
    </w:p>
    <w:p>
      <w:pPr>
        <w:pStyle w:val="65"/>
        <w:tabs>
          <w:tab w:val="left" w:pos="8280"/>
        </w:tabs>
        <w:spacing w:line="360" w:lineRule="auto"/>
        <w:ind w:firstLine="360" w:firstLineChars="150"/>
        <w:rPr>
          <w:rStyle w:val="21"/>
          <w:rFonts w:hint="eastAsia" w:asciiTheme="minorEastAsia" w:hAnsiTheme="minorEastAsia" w:eastAsiaTheme="minorEastAsia" w:cstheme="minorEastAsia"/>
          <w:color w:val="auto"/>
          <w:kern w:val="2"/>
          <w:sz w:val="24"/>
          <w:szCs w:val="24"/>
          <w:highlight w:val="none"/>
          <w:lang w:val="en-US" w:eastAsia="zh-CN" w:bidi="ar-SA"/>
        </w:rPr>
      </w:pPr>
      <w:r>
        <w:rPr>
          <w:rStyle w:val="21"/>
          <w:rFonts w:hint="eastAsia" w:asciiTheme="minorEastAsia" w:hAnsiTheme="minorEastAsia" w:eastAsiaTheme="minorEastAsia" w:cstheme="minorEastAsia"/>
          <w:color w:val="auto"/>
          <w:kern w:val="2"/>
          <w:sz w:val="24"/>
          <w:szCs w:val="24"/>
          <w:highlight w:val="none"/>
          <w:lang w:val="en-US" w:eastAsia="zh-CN" w:bidi="ar-SA"/>
        </w:rPr>
        <w:t>由于承包人原因造成某项缺陷或损坏使某项工程或工程设备不能按原定目标使用而需要再次检查、检验和修复的，发包人有权要求承包人相应延长缺陷责任期，但缺陷责任期最长不超过2年。</w:t>
      </w:r>
    </w:p>
    <w:p>
      <w:pPr>
        <w:pStyle w:val="65"/>
        <w:tabs>
          <w:tab w:val="left" w:pos="8280"/>
        </w:tabs>
        <w:spacing w:line="360" w:lineRule="auto"/>
        <w:rPr>
          <w:rStyle w:val="21"/>
          <w:rFonts w:hint="eastAsia" w:asciiTheme="minorEastAsia" w:hAnsiTheme="minorEastAsia" w:eastAsiaTheme="minorEastAsia" w:cstheme="minorEastAsia"/>
          <w:color w:val="auto"/>
          <w:kern w:val="2"/>
          <w:sz w:val="24"/>
          <w:szCs w:val="24"/>
          <w:highlight w:val="none"/>
          <w:lang w:val="en-US" w:eastAsia="zh-CN" w:bidi="ar-SA"/>
        </w:rPr>
      </w:pPr>
      <w:r>
        <w:rPr>
          <w:rStyle w:val="21"/>
          <w:rFonts w:hint="eastAsia" w:asciiTheme="minorEastAsia" w:hAnsiTheme="minorEastAsia" w:eastAsiaTheme="minorEastAsia" w:cstheme="minorEastAsia"/>
          <w:b/>
          <w:color w:val="auto"/>
          <w:kern w:val="2"/>
          <w:sz w:val="24"/>
          <w:szCs w:val="24"/>
          <w:highlight w:val="none"/>
          <w:lang w:val="en-US" w:eastAsia="zh-CN" w:bidi="ar-SA"/>
        </w:rPr>
        <w:t>19.4进一步试验和试运行</w:t>
      </w:r>
      <w:r>
        <w:rPr>
          <w:rStyle w:val="21"/>
          <w:rFonts w:hint="eastAsia" w:asciiTheme="minorEastAsia" w:hAnsiTheme="minorEastAsia" w:eastAsiaTheme="minorEastAsia" w:cstheme="minorEastAsia"/>
          <w:color w:val="auto"/>
          <w:kern w:val="2"/>
          <w:sz w:val="24"/>
          <w:szCs w:val="24"/>
          <w:highlight w:val="none"/>
          <w:lang w:val="en-US" w:eastAsia="zh-CN" w:bidi="ar-SA"/>
        </w:rPr>
        <w:t xml:space="preserve">    </w:t>
      </w:r>
    </w:p>
    <w:p>
      <w:pPr>
        <w:pStyle w:val="65"/>
        <w:tabs>
          <w:tab w:val="left" w:pos="8280"/>
        </w:tabs>
        <w:spacing w:line="360" w:lineRule="auto"/>
        <w:ind w:firstLine="360" w:firstLineChars="150"/>
        <w:rPr>
          <w:rStyle w:val="21"/>
          <w:rFonts w:hint="eastAsia" w:asciiTheme="minorEastAsia" w:hAnsiTheme="minorEastAsia" w:eastAsiaTheme="minorEastAsia" w:cstheme="minorEastAsia"/>
          <w:color w:val="auto"/>
          <w:kern w:val="2"/>
          <w:sz w:val="24"/>
          <w:szCs w:val="24"/>
          <w:highlight w:val="none"/>
          <w:lang w:val="en-US" w:eastAsia="zh-CN" w:bidi="ar-SA"/>
        </w:rPr>
      </w:pPr>
      <w:r>
        <w:rPr>
          <w:rStyle w:val="21"/>
          <w:rFonts w:hint="eastAsia" w:asciiTheme="minorEastAsia" w:hAnsiTheme="minorEastAsia" w:eastAsiaTheme="minorEastAsia" w:cstheme="minorEastAsia"/>
          <w:color w:val="auto"/>
          <w:kern w:val="2"/>
          <w:sz w:val="24"/>
          <w:szCs w:val="24"/>
          <w:highlight w:val="none"/>
          <w:lang w:val="en-US" w:eastAsia="zh-CN" w:bidi="ar-SA"/>
        </w:rPr>
        <w:t>任何一项缺陷或损坏修复后，经检查证明其影响了工程或工程设备的使用性能，承包人应重新进行合同约定的试验和试运行，试验和试运行的全部费用应由责任方承担。</w:t>
      </w:r>
    </w:p>
    <w:p>
      <w:pPr>
        <w:pStyle w:val="65"/>
        <w:tabs>
          <w:tab w:val="left" w:pos="8280"/>
        </w:tabs>
        <w:spacing w:line="360" w:lineRule="auto"/>
        <w:rPr>
          <w:rStyle w:val="21"/>
          <w:rFonts w:hint="eastAsia" w:asciiTheme="minorEastAsia" w:hAnsiTheme="minorEastAsia" w:eastAsiaTheme="minorEastAsia" w:cstheme="minorEastAsia"/>
          <w:b/>
          <w:color w:val="auto"/>
          <w:kern w:val="2"/>
          <w:sz w:val="24"/>
          <w:szCs w:val="24"/>
          <w:highlight w:val="none"/>
          <w:lang w:val="en-US" w:eastAsia="zh-CN" w:bidi="ar-SA"/>
        </w:rPr>
      </w:pPr>
      <w:r>
        <w:rPr>
          <w:rStyle w:val="21"/>
          <w:rFonts w:hint="eastAsia" w:asciiTheme="minorEastAsia" w:hAnsiTheme="minorEastAsia" w:eastAsiaTheme="minorEastAsia" w:cstheme="minorEastAsia"/>
          <w:b/>
          <w:color w:val="auto"/>
          <w:kern w:val="2"/>
          <w:sz w:val="24"/>
          <w:szCs w:val="24"/>
          <w:highlight w:val="none"/>
          <w:lang w:val="en-US" w:eastAsia="zh-CN" w:bidi="ar-SA"/>
        </w:rPr>
        <w:t>19.5承包人的进入权</w:t>
      </w:r>
    </w:p>
    <w:p>
      <w:pPr>
        <w:pStyle w:val="65"/>
        <w:tabs>
          <w:tab w:val="left" w:pos="8280"/>
        </w:tabs>
        <w:spacing w:line="360" w:lineRule="auto"/>
        <w:ind w:firstLine="360" w:firstLineChars="150"/>
        <w:rPr>
          <w:rStyle w:val="21"/>
          <w:rFonts w:hint="eastAsia" w:asciiTheme="minorEastAsia" w:hAnsiTheme="minorEastAsia" w:eastAsiaTheme="minorEastAsia" w:cstheme="minorEastAsia"/>
          <w:color w:val="auto"/>
          <w:kern w:val="2"/>
          <w:sz w:val="24"/>
          <w:szCs w:val="24"/>
          <w:highlight w:val="none"/>
          <w:lang w:val="en-US" w:eastAsia="zh-CN" w:bidi="ar-SA"/>
        </w:rPr>
      </w:pPr>
      <w:r>
        <w:rPr>
          <w:rStyle w:val="21"/>
          <w:rFonts w:hint="eastAsia" w:asciiTheme="minorEastAsia" w:hAnsiTheme="minorEastAsia" w:eastAsiaTheme="minorEastAsia" w:cstheme="minorEastAsia"/>
          <w:color w:val="auto"/>
          <w:kern w:val="2"/>
          <w:sz w:val="24"/>
          <w:szCs w:val="24"/>
          <w:highlight w:val="none"/>
          <w:lang w:val="en-US" w:eastAsia="zh-CN" w:bidi="ar-SA"/>
        </w:rPr>
        <w:t>缺陷责任期内承包人为缺陷修复工作需要，有权进入工程现场，但应遵守发包人的保安和保密规定。</w:t>
      </w:r>
    </w:p>
    <w:p>
      <w:pPr>
        <w:pStyle w:val="65"/>
        <w:tabs>
          <w:tab w:val="left" w:pos="8280"/>
        </w:tabs>
        <w:spacing w:line="360" w:lineRule="auto"/>
        <w:rPr>
          <w:rStyle w:val="21"/>
          <w:rFonts w:hint="eastAsia" w:asciiTheme="minorEastAsia" w:hAnsiTheme="minorEastAsia" w:eastAsiaTheme="minorEastAsia" w:cstheme="minorEastAsia"/>
          <w:b/>
          <w:color w:val="auto"/>
          <w:kern w:val="2"/>
          <w:sz w:val="24"/>
          <w:szCs w:val="24"/>
          <w:highlight w:val="none"/>
          <w:lang w:val="en-US" w:eastAsia="zh-CN" w:bidi="ar-SA"/>
        </w:rPr>
      </w:pPr>
      <w:r>
        <w:rPr>
          <w:rStyle w:val="21"/>
          <w:rFonts w:hint="eastAsia" w:asciiTheme="minorEastAsia" w:hAnsiTheme="minorEastAsia" w:eastAsiaTheme="minorEastAsia" w:cstheme="minorEastAsia"/>
          <w:b/>
          <w:color w:val="auto"/>
          <w:kern w:val="2"/>
          <w:sz w:val="24"/>
          <w:szCs w:val="24"/>
          <w:highlight w:val="none"/>
          <w:lang w:val="en-US" w:eastAsia="zh-CN" w:bidi="ar-SA"/>
        </w:rPr>
        <w:t>19.6缺陷责任期终止证书(工程质量保修责任终止证书)</w:t>
      </w:r>
    </w:p>
    <w:p>
      <w:pPr>
        <w:pStyle w:val="65"/>
        <w:tabs>
          <w:tab w:val="left" w:pos="8280"/>
        </w:tabs>
        <w:spacing w:line="360" w:lineRule="auto"/>
        <w:ind w:firstLine="360" w:firstLineChars="150"/>
        <w:rPr>
          <w:rStyle w:val="21"/>
          <w:rFonts w:hint="eastAsia" w:asciiTheme="minorEastAsia" w:hAnsiTheme="minorEastAsia" w:eastAsiaTheme="minorEastAsia" w:cstheme="minorEastAsia"/>
          <w:color w:val="auto"/>
          <w:kern w:val="2"/>
          <w:sz w:val="24"/>
          <w:szCs w:val="24"/>
          <w:highlight w:val="none"/>
          <w:lang w:val="en-US" w:eastAsia="zh-CN" w:bidi="ar-SA"/>
        </w:rPr>
      </w:pPr>
      <w:r>
        <w:rPr>
          <w:rStyle w:val="21"/>
          <w:rFonts w:hint="eastAsia" w:asciiTheme="minorEastAsia" w:hAnsiTheme="minorEastAsia" w:eastAsiaTheme="minorEastAsia" w:cstheme="minorEastAsia"/>
          <w:color w:val="auto"/>
          <w:kern w:val="2"/>
          <w:sz w:val="24"/>
          <w:szCs w:val="24"/>
          <w:highlight w:val="none"/>
          <w:lang w:val="en-US" w:eastAsia="zh-CN" w:bidi="ar-SA"/>
        </w:rPr>
        <w:t>合同工程完工验收或投入使用验收后，发包人与承包人应办理工程交接手续，承包人应向发包人递交工程质量保修书。缺陷责任期(工程质量保修期)满后30个工作日内，发包人应向承包人颁发工程质量保修责任终止证书，并退还剩余的质量保证金，但保修责任范围内的质量缺陷未处理完成的应除外。</w:t>
      </w:r>
    </w:p>
    <w:p>
      <w:pPr>
        <w:pStyle w:val="65"/>
        <w:tabs>
          <w:tab w:val="left" w:pos="8280"/>
        </w:tabs>
        <w:spacing w:line="360" w:lineRule="auto"/>
        <w:rPr>
          <w:rStyle w:val="21"/>
          <w:rFonts w:hint="eastAsia" w:asciiTheme="minorEastAsia" w:hAnsiTheme="minorEastAsia" w:eastAsiaTheme="minorEastAsia" w:cstheme="minorEastAsia"/>
          <w:b/>
          <w:color w:val="auto"/>
          <w:kern w:val="2"/>
          <w:sz w:val="24"/>
          <w:szCs w:val="24"/>
          <w:highlight w:val="none"/>
          <w:lang w:val="en-US" w:eastAsia="zh-CN" w:bidi="ar-SA"/>
        </w:rPr>
      </w:pPr>
      <w:r>
        <w:rPr>
          <w:rStyle w:val="21"/>
          <w:rFonts w:hint="eastAsia" w:asciiTheme="minorEastAsia" w:hAnsiTheme="minorEastAsia" w:eastAsiaTheme="minorEastAsia" w:cstheme="minorEastAsia"/>
          <w:b/>
          <w:color w:val="auto"/>
          <w:kern w:val="2"/>
          <w:sz w:val="24"/>
          <w:szCs w:val="24"/>
          <w:highlight w:val="none"/>
          <w:lang w:val="en-US" w:eastAsia="zh-CN" w:bidi="ar-SA"/>
        </w:rPr>
        <w:t xml:space="preserve">19.7保修责任    </w:t>
      </w:r>
    </w:p>
    <w:p>
      <w:pPr>
        <w:pStyle w:val="65"/>
        <w:tabs>
          <w:tab w:val="left" w:pos="8280"/>
        </w:tabs>
        <w:spacing w:line="360" w:lineRule="auto"/>
        <w:ind w:firstLine="360" w:firstLineChars="150"/>
        <w:rPr>
          <w:rStyle w:val="21"/>
          <w:rFonts w:hint="eastAsia" w:asciiTheme="minorEastAsia" w:hAnsiTheme="minorEastAsia" w:eastAsiaTheme="minorEastAsia" w:cstheme="minorEastAsia"/>
          <w:color w:val="auto"/>
          <w:kern w:val="2"/>
          <w:sz w:val="24"/>
          <w:szCs w:val="24"/>
          <w:highlight w:val="none"/>
          <w:lang w:val="en-US" w:eastAsia="zh-CN" w:bidi="ar-SA"/>
        </w:rPr>
      </w:pPr>
      <w:r>
        <w:rPr>
          <w:rStyle w:val="21"/>
          <w:rFonts w:hint="eastAsia" w:asciiTheme="minorEastAsia" w:hAnsiTheme="minorEastAsia" w:eastAsiaTheme="minorEastAsia" w:cstheme="minorEastAsia"/>
          <w:color w:val="auto"/>
          <w:kern w:val="2"/>
          <w:sz w:val="24"/>
          <w:szCs w:val="24"/>
          <w:highlight w:val="none"/>
          <w:lang w:val="en-US" w:eastAsia="zh-CN" w:bidi="ar-SA"/>
        </w:rPr>
        <w:t>合同当事人根据有关法律规定，在专用合同条款中约定工程质量保修范围、期限和责任。保修期自实际竣工日期起计算。在全部工程竣工验收前，已经发包人提前验收的单位工程，其保修期的起算日期相应提前。</w:t>
      </w:r>
    </w:p>
    <w:p>
      <w:pPr>
        <w:pStyle w:val="66"/>
        <w:rPr>
          <w:rStyle w:val="21"/>
          <w:rFonts w:hint="eastAsia" w:asciiTheme="minorEastAsia" w:hAnsiTheme="minorEastAsia" w:eastAsiaTheme="minorEastAsia" w:cstheme="minorEastAsia"/>
          <w:color w:val="auto"/>
          <w:kern w:val="2"/>
          <w:sz w:val="24"/>
          <w:szCs w:val="24"/>
          <w:highlight w:val="none"/>
          <w:lang w:val="en-US" w:eastAsia="zh-CN" w:bidi="ar-SA"/>
        </w:rPr>
      </w:pPr>
      <w:bookmarkStart w:id="288" w:name="_Toc31769"/>
      <w:r>
        <w:rPr>
          <w:rStyle w:val="21"/>
          <w:rFonts w:hint="eastAsia" w:asciiTheme="minorEastAsia" w:hAnsiTheme="minorEastAsia" w:eastAsiaTheme="minorEastAsia" w:cstheme="minorEastAsia"/>
          <w:color w:val="auto"/>
          <w:kern w:val="2"/>
          <w:sz w:val="24"/>
          <w:szCs w:val="24"/>
          <w:highlight w:val="none"/>
          <w:lang w:val="en-US" w:eastAsia="zh-CN" w:bidi="ar-SA"/>
        </w:rPr>
        <w:t>20 保险</w:t>
      </w:r>
      <w:bookmarkEnd w:id="288"/>
    </w:p>
    <w:p>
      <w:pPr>
        <w:pStyle w:val="65"/>
        <w:tabs>
          <w:tab w:val="left" w:pos="8280"/>
        </w:tabs>
        <w:spacing w:line="360" w:lineRule="auto"/>
        <w:rPr>
          <w:rStyle w:val="21"/>
          <w:rFonts w:hint="eastAsia" w:asciiTheme="minorEastAsia" w:hAnsiTheme="minorEastAsia" w:eastAsiaTheme="minorEastAsia" w:cstheme="minorEastAsia"/>
          <w:b/>
          <w:color w:val="auto"/>
          <w:kern w:val="2"/>
          <w:sz w:val="24"/>
          <w:szCs w:val="24"/>
          <w:highlight w:val="none"/>
          <w:lang w:val="en-US" w:eastAsia="zh-CN" w:bidi="ar-SA"/>
        </w:rPr>
      </w:pPr>
      <w:r>
        <w:rPr>
          <w:rStyle w:val="21"/>
          <w:rFonts w:hint="eastAsia" w:asciiTheme="minorEastAsia" w:hAnsiTheme="minorEastAsia" w:eastAsiaTheme="minorEastAsia" w:cstheme="minorEastAsia"/>
          <w:b/>
          <w:color w:val="auto"/>
          <w:kern w:val="2"/>
          <w:sz w:val="24"/>
          <w:szCs w:val="24"/>
          <w:highlight w:val="none"/>
          <w:lang w:val="en-US" w:eastAsia="zh-CN" w:bidi="ar-SA"/>
        </w:rPr>
        <w:t>20.1工程保险</w:t>
      </w:r>
    </w:p>
    <w:p>
      <w:pPr>
        <w:pStyle w:val="65"/>
        <w:tabs>
          <w:tab w:val="left" w:pos="8280"/>
        </w:tabs>
        <w:spacing w:line="360" w:lineRule="auto"/>
        <w:ind w:firstLine="360" w:firstLineChars="150"/>
        <w:rPr>
          <w:rStyle w:val="21"/>
          <w:rFonts w:hint="eastAsia" w:asciiTheme="minorEastAsia" w:hAnsiTheme="minorEastAsia" w:eastAsiaTheme="minorEastAsia" w:cstheme="minorEastAsia"/>
          <w:color w:val="auto"/>
          <w:kern w:val="2"/>
          <w:sz w:val="24"/>
          <w:szCs w:val="24"/>
          <w:highlight w:val="none"/>
          <w:lang w:val="en-US" w:eastAsia="zh-CN" w:bidi="ar-SA"/>
        </w:rPr>
      </w:pPr>
      <w:r>
        <w:rPr>
          <w:rStyle w:val="21"/>
          <w:rFonts w:hint="eastAsia" w:asciiTheme="minorEastAsia" w:hAnsiTheme="minorEastAsia" w:eastAsiaTheme="minorEastAsia" w:cstheme="minorEastAsia"/>
          <w:color w:val="auto"/>
          <w:kern w:val="2"/>
          <w:sz w:val="24"/>
          <w:szCs w:val="24"/>
          <w:highlight w:val="none"/>
          <w:lang w:val="en-US" w:eastAsia="zh-CN" w:bidi="ar-SA"/>
        </w:rPr>
        <w:t>除专用合同条款另有约定外，承包人应以发包人和承包人的共同名义向双方同意的保险人投保建筑工程一切险、安装工程一切险。其具体的投保内容、保险金额、保险费率、保险期限等有关内容在专用合同条款中约定。</w:t>
      </w:r>
    </w:p>
    <w:p>
      <w:pPr>
        <w:pStyle w:val="65"/>
        <w:tabs>
          <w:tab w:val="left" w:pos="8280"/>
        </w:tabs>
        <w:spacing w:line="360" w:lineRule="auto"/>
        <w:rPr>
          <w:rStyle w:val="21"/>
          <w:rFonts w:hint="eastAsia" w:asciiTheme="minorEastAsia" w:hAnsiTheme="minorEastAsia" w:eastAsiaTheme="minorEastAsia" w:cstheme="minorEastAsia"/>
          <w:color w:val="auto"/>
          <w:kern w:val="2"/>
          <w:sz w:val="24"/>
          <w:szCs w:val="24"/>
          <w:highlight w:val="none"/>
          <w:lang w:val="en-US" w:eastAsia="zh-CN" w:bidi="ar-SA"/>
        </w:rPr>
      </w:pPr>
      <w:r>
        <w:rPr>
          <w:rStyle w:val="21"/>
          <w:rFonts w:hint="eastAsia" w:asciiTheme="minorEastAsia" w:hAnsiTheme="minorEastAsia" w:eastAsiaTheme="minorEastAsia" w:cstheme="minorEastAsia"/>
          <w:b/>
          <w:color w:val="auto"/>
          <w:kern w:val="2"/>
          <w:sz w:val="24"/>
          <w:szCs w:val="24"/>
          <w:highlight w:val="none"/>
          <w:lang w:val="en-US" w:eastAsia="zh-CN" w:bidi="ar-SA"/>
        </w:rPr>
        <w:t xml:space="preserve">20.2人员工伤事故的保险  </w:t>
      </w:r>
      <w:r>
        <w:rPr>
          <w:rStyle w:val="21"/>
          <w:rFonts w:hint="eastAsia" w:asciiTheme="minorEastAsia" w:hAnsiTheme="minorEastAsia" w:eastAsiaTheme="minorEastAsia" w:cstheme="minorEastAsia"/>
          <w:color w:val="auto"/>
          <w:kern w:val="2"/>
          <w:sz w:val="24"/>
          <w:szCs w:val="24"/>
          <w:highlight w:val="none"/>
          <w:lang w:val="en-US" w:eastAsia="zh-CN" w:bidi="ar-SA"/>
        </w:rPr>
        <w:t xml:space="preserve">  </w:t>
      </w:r>
    </w:p>
    <w:p>
      <w:pPr>
        <w:pStyle w:val="65"/>
        <w:tabs>
          <w:tab w:val="left" w:pos="8280"/>
        </w:tabs>
        <w:spacing w:line="360" w:lineRule="auto"/>
        <w:ind w:firstLine="360" w:firstLineChars="150"/>
        <w:rPr>
          <w:rStyle w:val="21"/>
          <w:rFonts w:hint="eastAsia" w:asciiTheme="minorEastAsia" w:hAnsiTheme="minorEastAsia" w:eastAsiaTheme="minorEastAsia" w:cstheme="minorEastAsia"/>
          <w:color w:val="auto"/>
          <w:kern w:val="2"/>
          <w:sz w:val="24"/>
          <w:szCs w:val="24"/>
          <w:highlight w:val="none"/>
          <w:lang w:val="en-US" w:eastAsia="zh-CN" w:bidi="ar-SA"/>
        </w:rPr>
      </w:pPr>
      <w:r>
        <w:rPr>
          <w:rStyle w:val="21"/>
          <w:rFonts w:hint="eastAsia" w:asciiTheme="minorEastAsia" w:hAnsiTheme="minorEastAsia" w:eastAsiaTheme="minorEastAsia" w:cstheme="minorEastAsia"/>
          <w:color w:val="auto"/>
          <w:kern w:val="2"/>
          <w:sz w:val="24"/>
          <w:szCs w:val="24"/>
          <w:highlight w:val="none"/>
          <w:lang w:val="en-US" w:eastAsia="zh-CN" w:bidi="ar-SA"/>
        </w:rPr>
        <w:t xml:space="preserve">20.2.1承包人员工伤事故的保险    </w:t>
      </w:r>
    </w:p>
    <w:p>
      <w:pPr>
        <w:pStyle w:val="65"/>
        <w:tabs>
          <w:tab w:val="left" w:pos="8280"/>
        </w:tabs>
        <w:spacing w:line="360" w:lineRule="auto"/>
        <w:ind w:firstLine="360" w:firstLineChars="150"/>
        <w:rPr>
          <w:rStyle w:val="21"/>
          <w:rFonts w:hint="eastAsia" w:asciiTheme="minorEastAsia" w:hAnsiTheme="minorEastAsia" w:eastAsiaTheme="minorEastAsia" w:cstheme="minorEastAsia"/>
          <w:color w:val="auto"/>
          <w:kern w:val="2"/>
          <w:sz w:val="24"/>
          <w:szCs w:val="24"/>
          <w:highlight w:val="none"/>
          <w:lang w:val="en-US" w:eastAsia="zh-CN" w:bidi="ar-SA"/>
        </w:rPr>
      </w:pPr>
      <w:r>
        <w:rPr>
          <w:rStyle w:val="21"/>
          <w:rFonts w:hint="eastAsia" w:asciiTheme="minorEastAsia" w:hAnsiTheme="minorEastAsia" w:eastAsiaTheme="minorEastAsia" w:cstheme="minorEastAsia"/>
          <w:color w:val="auto"/>
          <w:kern w:val="2"/>
          <w:sz w:val="24"/>
          <w:szCs w:val="24"/>
          <w:highlight w:val="none"/>
          <w:lang w:val="en-US" w:eastAsia="zh-CN" w:bidi="ar-SA"/>
        </w:rPr>
        <w:t>承包人应依照有关法律规定参加工伤保险，为其履行合同所雇佣的全部人员，缴纳工伤保险费，并要求其分包人也进行此项保险。</w:t>
      </w:r>
    </w:p>
    <w:p>
      <w:pPr>
        <w:pStyle w:val="65"/>
        <w:tabs>
          <w:tab w:val="left" w:pos="8280"/>
        </w:tabs>
        <w:spacing w:line="360" w:lineRule="auto"/>
        <w:ind w:firstLine="360" w:firstLineChars="150"/>
        <w:rPr>
          <w:rStyle w:val="21"/>
          <w:rFonts w:hint="eastAsia" w:asciiTheme="minorEastAsia" w:hAnsiTheme="minorEastAsia" w:eastAsiaTheme="minorEastAsia" w:cstheme="minorEastAsia"/>
          <w:color w:val="auto"/>
          <w:kern w:val="2"/>
          <w:sz w:val="24"/>
          <w:szCs w:val="24"/>
          <w:highlight w:val="none"/>
          <w:lang w:val="en-US" w:eastAsia="zh-CN" w:bidi="ar-SA"/>
        </w:rPr>
      </w:pPr>
      <w:r>
        <w:rPr>
          <w:rStyle w:val="21"/>
          <w:rFonts w:hint="eastAsia" w:asciiTheme="minorEastAsia" w:hAnsiTheme="minorEastAsia" w:eastAsiaTheme="minorEastAsia" w:cstheme="minorEastAsia"/>
          <w:color w:val="auto"/>
          <w:kern w:val="2"/>
          <w:sz w:val="24"/>
          <w:szCs w:val="24"/>
          <w:highlight w:val="none"/>
          <w:lang w:val="en-US" w:eastAsia="zh-CN" w:bidi="ar-SA"/>
        </w:rPr>
        <w:t>20.2.2发包人员工伤事故的保险</w:t>
      </w:r>
    </w:p>
    <w:p>
      <w:pPr>
        <w:pStyle w:val="65"/>
        <w:tabs>
          <w:tab w:val="left" w:pos="8280"/>
        </w:tabs>
        <w:spacing w:line="360" w:lineRule="auto"/>
        <w:ind w:firstLine="360" w:firstLineChars="150"/>
        <w:rPr>
          <w:rStyle w:val="21"/>
          <w:rFonts w:hint="eastAsia" w:asciiTheme="minorEastAsia" w:hAnsiTheme="minorEastAsia" w:eastAsiaTheme="minorEastAsia" w:cstheme="minorEastAsia"/>
          <w:color w:val="auto"/>
          <w:kern w:val="2"/>
          <w:sz w:val="24"/>
          <w:szCs w:val="24"/>
          <w:highlight w:val="none"/>
          <w:lang w:val="en-US" w:eastAsia="zh-CN" w:bidi="ar-SA"/>
        </w:rPr>
      </w:pPr>
      <w:r>
        <w:rPr>
          <w:rStyle w:val="21"/>
          <w:rFonts w:hint="eastAsia" w:asciiTheme="minorEastAsia" w:hAnsiTheme="minorEastAsia" w:eastAsiaTheme="minorEastAsia" w:cstheme="minorEastAsia"/>
          <w:color w:val="auto"/>
          <w:kern w:val="2"/>
          <w:sz w:val="24"/>
          <w:szCs w:val="24"/>
          <w:highlight w:val="none"/>
          <w:lang w:val="en-US" w:eastAsia="zh-CN" w:bidi="ar-SA"/>
        </w:rPr>
        <w:t>发包人应依照有关法律规定参加工伤保险，为其现场机构雇佣的全部人员，缴纳工伤保险费，并要求其监理人也进行此项保险。</w:t>
      </w:r>
    </w:p>
    <w:p>
      <w:pPr>
        <w:pStyle w:val="65"/>
        <w:tabs>
          <w:tab w:val="left" w:pos="8280"/>
        </w:tabs>
        <w:spacing w:line="360" w:lineRule="auto"/>
        <w:rPr>
          <w:rStyle w:val="21"/>
          <w:rFonts w:hint="eastAsia" w:asciiTheme="minorEastAsia" w:hAnsiTheme="minorEastAsia" w:eastAsiaTheme="minorEastAsia" w:cstheme="minorEastAsia"/>
          <w:b/>
          <w:color w:val="auto"/>
          <w:kern w:val="2"/>
          <w:sz w:val="24"/>
          <w:szCs w:val="24"/>
          <w:highlight w:val="none"/>
          <w:lang w:val="en-US" w:eastAsia="zh-CN" w:bidi="ar-SA"/>
        </w:rPr>
      </w:pPr>
      <w:r>
        <w:rPr>
          <w:rStyle w:val="21"/>
          <w:rFonts w:hint="eastAsia" w:asciiTheme="minorEastAsia" w:hAnsiTheme="minorEastAsia" w:eastAsiaTheme="minorEastAsia" w:cstheme="minorEastAsia"/>
          <w:b/>
          <w:color w:val="auto"/>
          <w:kern w:val="2"/>
          <w:sz w:val="24"/>
          <w:szCs w:val="24"/>
          <w:highlight w:val="none"/>
          <w:lang w:val="en-US" w:eastAsia="zh-CN" w:bidi="ar-SA"/>
        </w:rPr>
        <w:t>20.3人身意外伤害险</w:t>
      </w:r>
    </w:p>
    <w:p>
      <w:pPr>
        <w:pStyle w:val="65"/>
        <w:tabs>
          <w:tab w:val="left" w:pos="8280"/>
        </w:tabs>
        <w:spacing w:line="360" w:lineRule="auto"/>
        <w:ind w:firstLine="360" w:firstLineChars="150"/>
        <w:rPr>
          <w:rStyle w:val="21"/>
          <w:rFonts w:hint="eastAsia" w:asciiTheme="minorEastAsia" w:hAnsiTheme="minorEastAsia" w:eastAsiaTheme="minorEastAsia" w:cstheme="minorEastAsia"/>
          <w:color w:val="auto"/>
          <w:kern w:val="2"/>
          <w:sz w:val="24"/>
          <w:szCs w:val="24"/>
          <w:highlight w:val="none"/>
          <w:lang w:val="en-US" w:eastAsia="zh-CN" w:bidi="ar-SA"/>
        </w:rPr>
      </w:pPr>
      <w:r>
        <w:rPr>
          <w:rStyle w:val="21"/>
          <w:rFonts w:hint="eastAsia" w:asciiTheme="minorEastAsia" w:hAnsiTheme="minorEastAsia" w:eastAsiaTheme="minorEastAsia" w:cstheme="minorEastAsia"/>
          <w:color w:val="auto"/>
          <w:kern w:val="2"/>
          <w:sz w:val="24"/>
          <w:szCs w:val="24"/>
          <w:highlight w:val="none"/>
          <w:lang w:val="en-US" w:eastAsia="zh-CN" w:bidi="ar-SA"/>
        </w:rPr>
        <w:t>203.1发包人应在整个施工期间为其现场机构雇用的全部人员，投保人身意外伤害险，缴纳保险费，并要求其监理人也进行此项保险。</w:t>
      </w:r>
    </w:p>
    <w:p>
      <w:pPr>
        <w:pStyle w:val="65"/>
        <w:tabs>
          <w:tab w:val="left" w:pos="8280"/>
        </w:tabs>
        <w:spacing w:line="360" w:lineRule="auto"/>
        <w:ind w:firstLine="360" w:firstLineChars="150"/>
        <w:rPr>
          <w:rStyle w:val="21"/>
          <w:rFonts w:hint="eastAsia" w:asciiTheme="minorEastAsia" w:hAnsiTheme="minorEastAsia" w:eastAsiaTheme="minorEastAsia" w:cstheme="minorEastAsia"/>
          <w:color w:val="auto"/>
          <w:kern w:val="2"/>
          <w:sz w:val="24"/>
          <w:szCs w:val="24"/>
          <w:highlight w:val="none"/>
          <w:lang w:val="en-US" w:eastAsia="zh-CN" w:bidi="ar-SA"/>
        </w:rPr>
      </w:pPr>
      <w:r>
        <w:rPr>
          <w:rStyle w:val="21"/>
          <w:rFonts w:hint="eastAsia" w:asciiTheme="minorEastAsia" w:hAnsiTheme="minorEastAsia" w:eastAsiaTheme="minorEastAsia" w:cstheme="minorEastAsia"/>
          <w:color w:val="auto"/>
          <w:kern w:val="2"/>
          <w:sz w:val="24"/>
          <w:szCs w:val="24"/>
          <w:highlight w:val="none"/>
          <w:lang w:val="en-US" w:eastAsia="zh-CN" w:bidi="ar-SA"/>
        </w:rPr>
        <w:t>20.3.2承包人应在整个施工期间为其现场机构雇用的全部人员，投保人身意外伤害险，缴纳保险费，并要求其分包人也进行此项保险。</w:t>
      </w:r>
    </w:p>
    <w:p>
      <w:pPr>
        <w:pStyle w:val="65"/>
        <w:tabs>
          <w:tab w:val="left" w:pos="8280"/>
        </w:tabs>
        <w:spacing w:line="360" w:lineRule="auto"/>
        <w:rPr>
          <w:rStyle w:val="21"/>
          <w:rFonts w:hint="eastAsia" w:asciiTheme="minorEastAsia" w:hAnsiTheme="minorEastAsia" w:eastAsiaTheme="minorEastAsia" w:cstheme="minorEastAsia"/>
          <w:b/>
          <w:color w:val="auto"/>
          <w:kern w:val="2"/>
          <w:sz w:val="24"/>
          <w:szCs w:val="24"/>
          <w:highlight w:val="none"/>
          <w:lang w:val="en-US" w:eastAsia="zh-CN" w:bidi="ar-SA"/>
        </w:rPr>
      </w:pPr>
      <w:r>
        <w:rPr>
          <w:rStyle w:val="21"/>
          <w:rFonts w:hint="eastAsia" w:asciiTheme="minorEastAsia" w:hAnsiTheme="minorEastAsia" w:eastAsiaTheme="minorEastAsia" w:cstheme="minorEastAsia"/>
          <w:b/>
          <w:color w:val="auto"/>
          <w:kern w:val="2"/>
          <w:sz w:val="24"/>
          <w:szCs w:val="24"/>
          <w:highlight w:val="none"/>
          <w:lang w:val="en-US" w:eastAsia="zh-CN" w:bidi="ar-SA"/>
        </w:rPr>
        <w:t xml:space="preserve">20.4第三者责任险 </w:t>
      </w:r>
    </w:p>
    <w:p>
      <w:pPr>
        <w:pStyle w:val="65"/>
        <w:tabs>
          <w:tab w:val="left" w:pos="8280"/>
        </w:tabs>
        <w:spacing w:line="360" w:lineRule="auto"/>
        <w:ind w:firstLine="360" w:firstLineChars="150"/>
        <w:rPr>
          <w:rStyle w:val="21"/>
          <w:rFonts w:hint="eastAsia" w:asciiTheme="minorEastAsia" w:hAnsiTheme="minorEastAsia" w:eastAsiaTheme="minorEastAsia" w:cstheme="minorEastAsia"/>
          <w:color w:val="auto"/>
          <w:kern w:val="2"/>
          <w:sz w:val="24"/>
          <w:szCs w:val="24"/>
          <w:highlight w:val="none"/>
          <w:lang w:val="en-US" w:eastAsia="zh-CN" w:bidi="ar-SA"/>
        </w:rPr>
      </w:pPr>
      <w:r>
        <w:rPr>
          <w:rStyle w:val="21"/>
          <w:rFonts w:hint="eastAsia" w:asciiTheme="minorEastAsia" w:hAnsiTheme="minorEastAsia" w:eastAsiaTheme="minorEastAsia" w:cstheme="minorEastAsia"/>
          <w:color w:val="auto"/>
          <w:kern w:val="2"/>
          <w:sz w:val="24"/>
          <w:szCs w:val="24"/>
          <w:highlight w:val="none"/>
          <w:lang w:val="en-US" w:eastAsia="zh-CN" w:bidi="ar-SA"/>
        </w:rPr>
        <w:t>20.4.1第三者责任系指在保险期内，对因工程意外事故造成的、依法应由被保险人负责的工地上及毗邻地区的第三者人身伤亡、疾病或财产损失(本工程除外)，以及被保险人因此而支付的诉讼费用和事先经保险人书面同意支付的其他费用等赔偿责任。</w:t>
      </w:r>
    </w:p>
    <w:p>
      <w:pPr>
        <w:pStyle w:val="65"/>
        <w:tabs>
          <w:tab w:val="left" w:pos="8280"/>
        </w:tabs>
        <w:spacing w:line="360" w:lineRule="auto"/>
        <w:ind w:firstLine="360" w:firstLineChars="150"/>
        <w:rPr>
          <w:rStyle w:val="21"/>
          <w:rFonts w:hint="eastAsia" w:asciiTheme="minorEastAsia" w:hAnsiTheme="minorEastAsia" w:eastAsiaTheme="minorEastAsia" w:cstheme="minorEastAsia"/>
          <w:color w:val="auto"/>
          <w:kern w:val="2"/>
          <w:sz w:val="24"/>
          <w:szCs w:val="24"/>
          <w:highlight w:val="none"/>
          <w:lang w:val="en-US" w:eastAsia="zh-CN" w:bidi="ar-SA"/>
        </w:rPr>
      </w:pPr>
      <w:r>
        <w:rPr>
          <w:rStyle w:val="21"/>
          <w:rFonts w:hint="eastAsia" w:asciiTheme="minorEastAsia" w:hAnsiTheme="minorEastAsia" w:eastAsiaTheme="minorEastAsia" w:cstheme="minorEastAsia"/>
          <w:color w:val="auto"/>
          <w:kern w:val="2"/>
          <w:sz w:val="24"/>
          <w:szCs w:val="24"/>
          <w:highlight w:val="none"/>
          <w:lang w:val="en-US" w:eastAsia="zh-CN" w:bidi="ar-SA"/>
        </w:rPr>
        <w:t>20.4.2在缺陷责任期终止证书颁发前，承包人应以承包人和发包人的共同名义，投保第20.4.1项约定的第三者责任险，其保险费率、保险金额等有关内容在专用合同条款中约定。</w:t>
      </w:r>
    </w:p>
    <w:p>
      <w:pPr>
        <w:pStyle w:val="65"/>
        <w:tabs>
          <w:tab w:val="left" w:pos="8280"/>
        </w:tabs>
        <w:spacing w:line="360" w:lineRule="auto"/>
        <w:rPr>
          <w:rStyle w:val="21"/>
          <w:rFonts w:hint="eastAsia" w:asciiTheme="minorEastAsia" w:hAnsiTheme="minorEastAsia" w:eastAsiaTheme="minorEastAsia" w:cstheme="minorEastAsia"/>
          <w:b/>
          <w:color w:val="auto"/>
          <w:kern w:val="2"/>
          <w:sz w:val="24"/>
          <w:szCs w:val="24"/>
          <w:highlight w:val="none"/>
          <w:lang w:val="en-US" w:eastAsia="zh-CN" w:bidi="ar-SA"/>
        </w:rPr>
      </w:pPr>
      <w:r>
        <w:rPr>
          <w:rStyle w:val="21"/>
          <w:rFonts w:hint="eastAsia" w:asciiTheme="minorEastAsia" w:hAnsiTheme="minorEastAsia" w:eastAsiaTheme="minorEastAsia" w:cstheme="minorEastAsia"/>
          <w:b/>
          <w:color w:val="auto"/>
          <w:kern w:val="2"/>
          <w:sz w:val="24"/>
          <w:szCs w:val="24"/>
          <w:highlight w:val="none"/>
          <w:lang w:val="en-US" w:eastAsia="zh-CN" w:bidi="ar-SA"/>
        </w:rPr>
        <w:t>20.5其他保险</w:t>
      </w:r>
    </w:p>
    <w:p>
      <w:pPr>
        <w:pStyle w:val="65"/>
        <w:tabs>
          <w:tab w:val="left" w:pos="8280"/>
        </w:tabs>
        <w:spacing w:line="360" w:lineRule="auto"/>
        <w:ind w:firstLine="360" w:firstLineChars="150"/>
        <w:rPr>
          <w:rStyle w:val="21"/>
          <w:rFonts w:hint="eastAsia" w:asciiTheme="minorEastAsia" w:hAnsiTheme="minorEastAsia" w:eastAsiaTheme="minorEastAsia" w:cstheme="minorEastAsia"/>
          <w:color w:val="auto"/>
          <w:kern w:val="2"/>
          <w:sz w:val="24"/>
          <w:szCs w:val="24"/>
          <w:highlight w:val="none"/>
          <w:lang w:val="en-US" w:eastAsia="zh-CN" w:bidi="ar-SA"/>
        </w:rPr>
      </w:pPr>
      <w:r>
        <w:rPr>
          <w:rStyle w:val="21"/>
          <w:rFonts w:hint="eastAsia" w:asciiTheme="minorEastAsia" w:hAnsiTheme="minorEastAsia" w:eastAsiaTheme="minorEastAsia" w:cstheme="minorEastAsia"/>
          <w:color w:val="auto"/>
          <w:kern w:val="2"/>
          <w:sz w:val="24"/>
          <w:szCs w:val="24"/>
          <w:highlight w:val="none"/>
          <w:lang w:val="en-US" w:eastAsia="zh-CN" w:bidi="ar-SA"/>
        </w:rPr>
        <w:t>除专用合同条款另有约定外，承包人应为其施工设备、进场的材料和工程设备等办理保险。</w:t>
      </w:r>
    </w:p>
    <w:p>
      <w:pPr>
        <w:pStyle w:val="65"/>
        <w:tabs>
          <w:tab w:val="left" w:pos="8280"/>
        </w:tabs>
        <w:spacing w:line="360" w:lineRule="auto"/>
        <w:rPr>
          <w:rStyle w:val="21"/>
          <w:rFonts w:hint="eastAsia" w:asciiTheme="minorEastAsia" w:hAnsiTheme="minorEastAsia" w:eastAsiaTheme="minorEastAsia" w:cstheme="minorEastAsia"/>
          <w:color w:val="auto"/>
          <w:kern w:val="2"/>
          <w:sz w:val="24"/>
          <w:szCs w:val="24"/>
          <w:highlight w:val="none"/>
          <w:lang w:val="en-US" w:eastAsia="zh-CN" w:bidi="ar-SA"/>
        </w:rPr>
      </w:pPr>
      <w:r>
        <w:rPr>
          <w:rStyle w:val="21"/>
          <w:rFonts w:hint="eastAsia" w:asciiTheme="minorEastAsia" w:hAnsiTheme="minorEastAsia" w:eastAsiaTheme="minorEastAsia" w:cstheme="minorEastAsia"/>
          <w:b/>
          <w:color w:val="auto"/>
          <w:kern w:val="2"/>
          <w:sz w:val="24"/>
          <w:szCs w:val="24"/>
          <w:highlight w:val="none"/>
          <w:lang w:val="en-US" w:eastAsia="zh-CN" w:bidi="ar-SA"/>
        </w:rPr>
        <w:t xml:space="preserve">20.6对各项保险的一般要求   </w:t>
      </w:r>
    </w:p>
    <w:p>
      <w:pPr>
        <w:pStyle w:val="65"/>
        <w:tabs>
          <w:tab w:val="left" w:pos="8280"/>
        </w:tabs>
        <w:spacing w:line="360" w:lineRule="auto"/>
        <w:ind w:firstLine="360" w:firstLineChars="150"/>
        <w:rPr>
          <w:rStyle w:val="21"/>
          <w:rFonts w:hint="eastAsia" w:asciiTheme="minorEastAsia" w:hAnsiTheme="minorEastAsia" w:eastAsiaTheme="minorEastAsia" w:cstheme="minorEastAsia"/>
          <w:color w:val="auto"/>
          <w:kern w:val="2"/>
          <w:sz w:val="24"/>
          <w:szCs w:val="24"/>
          <w:highlight w:val="none"/>
          <w:lang w:val="en-US" w:eastAsia="zh-CN" w:bidi="ar-SA"/>
        </w:rPr>
      </w:pPr>
      <w:r>
        <w:rPr>
          <w:rStyle w:val="21"/>
          <w:rFonts w:hint="eastAsia" w:asciiTheme="minorEastAsia" w:hAnsiTheme="minorEastAsia" w:eastAsiaTheme="minorEastAsia" w:cstheme="minorEastAsia"/>
          <w:color w:val="auto"/>
          <w:kern w:val="2"/>
          <w:sz w:val="24"/>
          <w:szCs w:val="24"/>
          <w:highlight w:val="none"/>
          <w:lang w:val="en-US" w:eastAsia="zh-CN" w:bidi="ar-SA"/>
        </w:rPr>
        <w:t>20.6.1保险凭证</w:t>
      </w:r>
    </w:p>
    <w:p>
      <w:pPr>
        <w:pStyle w:val="65"/>
        <w:tabs>
          <w:tab w:val="left" w:pos="8280"/>
        </w:tabs>
        <w:spacing w:line="360" w:lineRule="auto"/>
        <w:ind w:firstLine="360" w:firstLineChars="150"/>
        <w:rPr>
          <w:rStyle w:val="21"/>
          <w:rFonts w:hint="eastAsia" w:asciiTheme="minorEastAsia" w:hAnsiTheme="minorEastAsia" w:eastAsiaTheme="minorEastAsia" w:cstheme="minorEastAsia"/>
          <w:color w:val="auto"/>
          <w:kern w:val="2"/>
          <w:sz w:val="24"/>
          <w:szCs w:val="24"/>
          <w:highlight w:val="none"/>
          <w:lang w:val="en-US" w:eastAsia="zh-CN" w:bidi="ar-SA"/>
        </w:rPr>
      </w:pPr>
      <w:r>
        <w:rPr>
          <w:rStyle w:val="21"/>
          <w:rFonts w:hint="eastAsia" w:asciiTheme="minorEastAsia" w:hAnsiTheme="minorEastAsia" w:eastAsiaTheme="minorEastAsia" w:cstheme="minorEastAsia"/>
          <w:color w:val="auto"/>
          <w:kern w:val="2"/>
          <w:sz w:val="24"/>
          <w:szCs w:val="24"/>
          <w:highlight w:val="none"/>
          <w:lang w:val="en-US" w:eastAsia="zh-CN" w:bidi="ar-SA"/>
        </w:rPr>
        <w:t>承包人应在专用合同条款约定的期限内向发包人提交各项保险生效的证据和保险单副本，保险单必须与专用合同条款约定的条件保持一致。</w:t>
      </w:r>
    </w:p>
    <w:p>
      <w:pPr>
        <w:pStyle w:val="65"/>
        <w:tabs>
          <w:tab w:val="left" w:pos="8280"/>
        </w:tabs>
        <w:spacing w:line="360" w:lineRule="auto"/>
        <w:ind w:firstLine="360" w:firstLineChars="150"/>
        <w:rPr>
          <w:rStyle w:val="21"/>
          <w:rFonts w:hint="eastAsia" w:asciiTheme="minorEastAsia" w:hAnsiTheme="minorEastAsia" w:eastAsiaTheme="minorEastAsia" w:cstheme="minorEastAsia"/>
          <w:color w:val="auto"/>
          <w:kern w:val="2"/>
          <w:sz w:val="24"/>
          <w:szCs w:val="24"/>
          <w:highlight w:val="none"/>
          <w:lang w:val="en-US" w:eastAsia="zh-CN" w:bidi="ar-SA"/>
        </w:rPr>
      </w:pPr>
      <w:r>
        <w:rPr>
          <w:rStyle w:val="21"/>
          <w:rFonts w:hint="eastAsia" w:asciiTheme="minorEastAsia" w:hAnsiTheme="minorEastAsia" w:eastAsiaTheme="minorEastAsia" w:cstheme="minorEastAsia"/>
          <w:color w:val="auto"/>
          <w:kern w:val="2"/>
          <w:sz w:val="24"/>
          <w:szCs w:val="24"/>
          <w:highlight w:val="none"/>
          <w:lang w:val="en-US" w:eastAsia="zh-CN" w:bidi="ar-SA"/>
        </w:rPr>
        <w:t>20.6.2保险合同条款的变动</w:t>
      </w:r>
    </w:p>
    <w:p>
      <w:pPr>
        <w:pStyle w:val="65"/>
        <w:tabs>
          <w:tab w:val="left" w:pos="8280"/>
        </w:tabs>
        <w:spacing w:line="360" w:lineRule="auto"/>
        <w:ind w:firstLine="360" w:firstLineChars="150"/>
        <w:rPr>
          <w:rStyle w:val="21"/>
          <w:rFonts w:hint="eastAsia" w:asciiTheme="minorEastAsia" w:hAnsiTheme="minorEastAsia" w:eastAsiaTheme="minorEastAsia" w:cstheme="minorEastAsia"/>
          <w:color w:val="auto"/>
          <w:kern w:val="2"/>
          <w:sz w:val="24"/>
          <w:szCs w:val="24"/>
          <w:highlight w:val="none"/>
          <w:lang w:val="en-US" w:eastAsia="zh-CN" w:bidi="ar-SA"/>
        </w:rPr>
      </w:pPr>
      <w:r>
        <w:rPr>
          <w:rStyle w:val="21"/>
          <w:rFonts w:hint="eastAsia" w:asciiTheme="minorEastAsia" w:hAnsiTheme="minorEastAsia" w:eastAsiaTheme="minorEastAsia" w:cstheme="minorEastAsia"/>
          <w:color w:val="auto"/>
          <w:kern w:val="2"/>
          <w:sz w:val="24"/>
          <w:szCs w:val="24"/>
          <w:highlight w:val="none"/>
          <w:lang w:val="en-US" w:eastAsia="zh-CN" w:bidi="ar-SA"/>
        </w:rPr>
        <w:t>承包人需要变动保险合同条款时，应事先征得发包人同意，并通知监理人。保险人作出变动的，承包人应在收到保险人通知后立即通知发包人和监理人。</w:t>
      </w:r>
    </w:p>
    <w:p>
      <w:pPr>
        <w:pStyle w:val="65"/>
        <w:tabs>
          <w:tab w:val="left" w:pos="8280"/>
        </w:tabs>
        <w:spacing w:line="360" w:lineRule="auto"/>
        <w:ind w:firstLine="360" w:firstLineChars="150"/>
        <w:rPr>
          <w:rStyle w:val="21"/>
          <w:rFonts w:hint="eastAsia" w:asciiTheme="minorEastAsia" w:hAnsiTheme="minorEastAsia" w:eastAsiaTheme="minorEastAsia" w:cstheme="minorEastAsia"/>
          <w:color w:val="auto"/>
          <w:kern w:val="2"/>
          <w:sz w:val="24"/>
          <w:szCs w:val="24"/>
          <w:highlight w:val="none"/>
          <w:lang w:val="en-US" w:eastAsia="zh-CN" w:bidi="ar-SA"/>
        </w:rPr>
      </w:pPr>
      <w:r>
        <w:rPr>
          <w:rStyle w:val="21"/>
          <w:rFonts w:hint="eastAsia" w:asciiTheme="minorEastAsia" w:hAnsiTheme="minorEastAsia" w:eastAsiaTheme="minorEastAsia" w:cstheme="minorEastAsia"/>
          <w:color w:val="auto"/>
          <w:kern w:val="2"/>
          <w:sz w:val="24"/>
          <w:szCs w:val="24"/>
          <w:highlight w:val="none"/>
          <w:lang w:val="en-US" w:eastAsia="zh-CN" w:bidi="ar-SA"/>
        </w:rPr>
        <w:t>20.6.3持续保险</w:t>
      </w:r>
    </w:p>
    <w:p>
      <w:pPr>
        <w:pStyle w:val="65"/>
        <w:tabs>
          <w:tab w:val="left" w:pos="8280"/>
        </w:tabs>
        <w:spacing w:line="360" w:lineRule="auto"/>
        <w:ind w:firstLine="360" w:firstLineChars="150"/>
        <w:rPr>
          <w:rStyle w:val="21"/>
          <w:rFonts w:hint="eastAsia" w:asciiTheme="minorEastAsia" w:hAnsiTheme="minorEastAsia" w:eastAsiaTheme="minorEastAsia" w:cstheme="minorEastAsia"/>
          <w:color w:val="auto"/>
          <w:kern w:val="2"/>
          <w:sz w:val="24"/>
          <w:szCs w:val="24"/>
          <w:highlight w:val="none"/>
          <w:lang w:val="en-US" w:eastAsia="zh-CN" w:bidi="ar-SA"/>
        </w:rPr>
      </w:pPr>
      <w:r>
        <w:rPr>
          <w:rStyle w:val="21"/>
          <w:rFonts w:hint="eastAsia" w:asciiTheme="minorEastAsia" w:hAnsiTheme="minorEastAsia" w:eastAsiaTheme="minorEastAsia" w:cstheme="minorEastAsia"/>
          <w:color w:val="auto"/>
          <w:kern w:val="2"/>
          <w:sz w:val="24"/>
          <w:szCs w:val="24"/>
          <w:highlight w:val="none"/>
          <w:lang w:val="en-US" w:eastAsia="zh-CN" w:bidi="ar-SA"/>
        </w:rPr>
        <w:t>承包人应与保险人保持联系，使保险人能够随时了解工程实施中的变动，并确保按保险合同条款要求持续保险。</w:t>
      </w:r>
    </w:p>
    <w:p>
      <w:pPr>
        <w:pStyle w:val="65"/>
        <w:tabs>
          <w:tab w:val="left" w:pos="8280"/>
        </w:tabs>
        <w:spacing w:line="360" w:lineRule="auto"/>
        <w:ind w:firstLine="360" w:firstLineChars="150"/>
        <w:rPr>
          <w:rStyle w:val="21"/>
          <w:rFonts w:hint="eastAsia" w:asciiTheme="minorEastAsia" w:hAnsiTheme="minorEastAsia" w:eastAsiaTheme="minorEastAsia" w:cstheme="minorEastAsia"/>
          <w:color w:val="auto"/>
          <w:kern w:val="2"/>
          <w:sz w:val="24"/>
          <w:szCs w:val="24"/>
          <w:highlight w:val="none"/>
          <w:lang w:val="en-US" w:eastAsia="zh-CN" w:bidi="ar-SA"/>
        </w:rPr>
      </w:pPr>
      <w:r>
        <w:rPr>
          <w:rStyle w:val="21"/>
          <w:rFonts w:hint="eastAsia" w:asciiTheme="minorEastAsia" w:hAnsiTheme="minorEastAsia" w:eastAsiaTheme="minorEastAsia" w:cstheme="minorEastAsia"/>
          <w:color w:val="auto"/>
          <w:kern w:val="2"/>
          <w:sz w:val="24"/>
          <w:szCs w:val="24"/>
          <w:highlight w:val="none"/>
          <w:lang w:val="en-US" w:eastAsia="zh-CN" w:bidi="ar-SA"/>
        </w:rPr>
        <w:t>20.6.4保险金不足的补偿</w:t>
      </w:r>
    </w:p>
    <w:p>
      <w:pPr>
        <w:pStyle w:val="65"/>
        <w:tabs>
          <w:tab w:val="left" w:pos="8280"/>
        </w:tabs>
        <w:spacing w:line="360" w:lineRule="auto"/>
        <w:ind w:firstLine="360" w:firstLineChars="150"/>
        <w:rPr>
          <w:rStyle w:val="21"/>
          <w:rFonts w:hint="eastAsia" w:asciiTheme="minorEastAsia" w:hAnsiTheme="minorEastAsia" w:eastAsiaTheme="minorEastAsia" w:cstheme="minorEastAsia"/>
          <w:color w:val="auto"/>
          <w:kern w:val="2"/>
          <w:sz w:val="24"/>
          <w:szCs w:val="24"/>
          <w:highlight w:val="none"/>
          <w:lang w:val="en-US" w:eastAsia="zh-CN" w:bidi="ar-SA"/>
        </w:rPr>
      </w:pPr>
      <w:r>
        <w:rPr>
          <w:rStyle w:val="21"/>
          <w:rFonts w:hint="eastAsia" w:asciiTheme="minorEastAsia" w:hAnsiTheme="minorEastAsia" w:eastAsiaTheme="minorEastAsia" w:cstheme="minorEastAsia"/>
          <w:color w:val="auto"/>
          <w:kern w:val="2"/>
          <w:sz w:val="24"/>
          <w:szCs w:val="24"/>
          <w:highlight w:val="none"/>
          <w:lang w:val="en-US" w:eastAsia="zh-CN" w:bidi="ar-SA"/>
        </w:rPr>
        <w:t xml:space="preserve">保险金不足以补偿损失时，应由承包人和发包人各自负责补偿的范围和金额在专用合同条款中约定。   </w:t>
      </w:r>
    </w:p>
    <w:p>
      <w:pPr>
        <w:pStyle w:val="65"/>
        <w:tabs>
          <w:tab w:val="left" w:pos="8280"/>
        </w:tabs>
        <w:spacing w:line="360" w:lineRule="auto"/>
        <w:ind w:firstLine="360" w:firstLineChars="150"/>
        <w:rPr>
          <w:rStyle w:val="21"/>
          <w:rFonts w:hint="eastAsia" w:asciiTheme="minorEastAsia" w:hAnsiTheme="minorEastAsia" w:eastAsiaTheme="minorEastAsia" w:cstheme="minorEastAsia"/>
          <w:color w:val="auto"/>
          <w:kern w:val="2"/>
          <w:sz w:val="24"/>
          <w:szCs w:val="24"/>
          <w:highlight w:val="none"/>
          <w:lang w:val="en-US" w:eastAsia="zh-CN" w:bidi="ar-SA"/>
        </w:rPr>
      </w:pPr>
      <w:r>
        <w:rPr>
          <w:rStyle w:val="21"/>
          <w:rFonts w:hint="eastAsia" w:asciiTheme="minorEastAsia" w:hAnsiTheme="minorEastAsia" w:eastAsiaTheme="minorEastAsia" w:cstheme="minorEastAsia"/>
          <w:color w:val="auto"/>
          <w:kern w:val="2"/>
          <w:sz w:val="24"/>
          <w:szCs w:val="24"/>
          <w:highlight w:val="none"/>
          <w:lang w:val="en-US" w:eastAsia="zh-CN" w:bidi="ar-SA"/>
        </w:rPr>
        <w:t>20.6.5未按约定投保的补救</w:t>
      </w:r>
    </w:p>
    <w:p>
      <w:pPr>
        <w:pStyle w:val="65"/>
        <w:tabs>
          <w:tab w:val="left" w:pos="8280"/>
        </w:tabs>
        <w:spacing w:line="360" w:lineRule="auto"/>
        <w:ind w:firstLine="360" w:firstLineChars="150"/>
        <w:rPr>
          <w:rStyle w:val="21"/>
          <w:rFonts w:hint="eastAsia" w:asciiTheme="minorEastAsia" w:hAnsiTheme="minorEastAsia" w:eastAsiaTheme="minorEastAsia" w:cstheme="minorEastAsia"/>
          <w:color w:val="auto"/>
          <w:kern w:val="2"/>
          <w:sz w:val="24"/>
          <w:szCs w:val="24"/>
          <w:highlight w:val="none"/>
          <w:lang w:val="en-US" w:eastAsia="zh-CN" w:bidi="ar-SA"/>
        </w:rPr>
      </w:pPr>
      <w:r>
        <w:rPr>
          <w:rStyle w:val="21"/>
          <w:rFonts w:hint="eastAsia" w:asciiTheme="minorEastAsia" w:hAnsiTheme="minorEastAsia" w:eastAsiaTheme="minorEastAsia" w:cstheme="minorEastAsia"/>
          <w:color w:val="auto"/>
          <w:kern w:val="2"/>
          <w:sz w:val="24"/>
          <w:szCs w:val="24"/>
          <w:highlight w:val="none"/>
          <w:lang w:val="en-US" w:eastAsia="zh-CN" w:bidi="ar-SA"/>
        </w:rPr>
        <w:t>(1)由于负有投保义务的一方当事人未按合同约定办理保险，或未能使保险持续有效的，另一方当事人可代为办理，所需费用由对方当事人承担。</w:t>
      </w:r>
    </w:p>
    <w:p>
      <w:pPr>
        <w:pStyle w:val="65"/>
        <w:tabs>
          <w:tab w:val="left" w:pos="8280"/>
        </w:tabs>
        <w:spacing w:line="360" w:lineRule="auto"/>
        <w:ind w:firstLine="360" w:firstLineChars="150"/>
        <w:rPr>
          <w:rStyle w:val="21"/>
          <w:rFonts w:hint="eastAsia" w:asciiTheme="minorEastAsia" w:hAnsiTheme="minorEastAsia" w:eastAsiaTheme="minorEastAsia" w:cstheme="minorEastAsia"/>
          <w:color w:val="auto"/>
          <w:kern w:val="2"/>
          <w:sz w:val="24"/>
          <w:szCs w:val="24"/>
          <w:highlight w:val="none"/>
          <w:lang w:val="en-US" w:eastAsia="zh-CN" w:bidi="ar-SA"/>
        </w:rPr>
      </w:pPr>
      <w:r>
        <w:rPr>
          <w:rStyle w:val="21"/>
          <w:rFonts w:hint="eastAsia" w:asciiTheme="minorEastAsia" w:hAnsiTheme="minorEastAsia" w:eastAsiaTheme="minorEastAsia" w:cstheme="minorEastAsia"/>
          <w:color w:val="auto"/>
          <w:kern w:val="2"/>
          <w:sz w:val="24"/>
          <w:szCs w:val="24"/>
          <w:highlight w:val="none"/>
          <w:lang w:val="en-US" w:eastAsia="zh-CN" w:bidi="ar-SA"/>
        </w:rPr>
        <w:t>(2)由于负有投保义务的一方当事人未按合同约定办理某项保险，导致受益人未能得到保险人的赔偿，原应从该项保险得到的保险金应由负有投保义务的一方当事人支付。</w:t>
      </w:r>
    </w:p>
    <w:p>
      <w:pPr>
        <w:pStyle w:val="65"/>
        <w:tabs>
          <w:tab w:val="left" w:pos="8280"/>
        </w:tabs>
        <w:spacing w:line="360" w:lineRule="auto"/>
        <w:ind w:firstLine="360" w:firstLineChars="150"/>
        <w:rPr>
          <w:rStyle w:val="21"/>
          <w:rFonts w:hint="eastAsia" w:asciiTheme="minorEastAsia" w:hAnsiTheme="minorEastAsia" w:eastAsiaTheme="minorEastAsia" w:cstheme="minorEastAsia"/>
          <w:color w:val="auto"/>
          <w:kern w:val="2"/>
          <w:sz w:val="24"/>
          <w:szCs w:val="24"/>
          <w:highlight w:val="none"/>
          <w:lang w:val="en-US" w:eastAsia="zh-CN" w:bidi="ar-SA"/>
        </w:rPr>
      </w:pPr>
      <w:r>
        <w:rPr>
          <w:rStyle w:val="21"/>
          <w:rFonts w:hint="eastAsia" w:asciiTheme="minorEastAsia" w:hAnsiTheme="minorEastAsia" w:eastAsiaTheme="minorEastAsia" w:cstheme="minorEastAsia"/>
          <w:color w:val="auto"/>
          <w:kern w:val="2"/>
          <w:sz w:val="24"/>
          <w:szCs w:val="24"/>
          <w:highlight w:val="none"/>
          <w:lang w:val="en-US" w:eastAsia="zh-CN" w:bidi="ar-SA"/>
        </w:rPr>
        <w:t>20.6.6报告义务</w:t>
      </w:r>
    </w:p>
    <w:p>
      <w:pPr>
        <w:pStyle w:val="65"/>
        <w:tabs>
          <w:tab w:val="left" w:pos="8280"/>
        </w:tabs>
        <w:spacing w:line="360" w:lineRule="auto"/>
        <w:ind w:firstLine="360" w:firstLineChars="150"/>
        <w:rPr>
          <w:rStyle w:val="21"/>
          <w:rFonts w:hint="eastAsia" w:asciiTheme="minorEastAsia" w:hAnsiTheme="minorEastAsia" w:eastAsiaTheme="minorEastAsia" w:cstheme="minorEastAsia"/>
          <w:color w:val="auto"/>
          <w:kern w:val="2"/>
          <w:sz w:val="24"/>
          <w:szCs w:val="24"/>
          <w:highlight w:val="none"/>
          <w:lang w:val="en-US" w:eastAsia="zh-CN" w:bidi="ar-SA"/>
        </w:rPr>
      </w:pPr>
      <w:r>
        <w:rPr>
          <w:rStyle w:val="21"/>
          <w:rFonts w:hint="eastAsia" w:asciiTheme="minorEastAsia" w:hAnsiTheme="minorEastAsia" w:eastAsiaTheme="minorEastAsia" w:cstheme="minorEastAsia"/>
          <w:color w:val="auto"/>
          <w:kern w:val="2"/>
          <w:sz w:val="24"/>
          <w:szCs w:val="24"/>
          <w:highlight w:val="none"/>
          <w:lang w:val="en-US" w:eastAsia="zh-CN" w:bidi="ar-SA"/>
        </w:rPr>
        <w:t>当保险事故发生时，投保人应按照保险单规定的条件和期限及时向保险人报告。</w:t>
      </w:r>
    </w:p>
    <w:p>
      <w:pPr>
        <w:pStyle w:val="65"/>
        <w:tabs>
          <w:tab w:val="left" w:pos="8280"/>
        </w:tabs>
        <w:spacing w:line="360" w:lineRule="auto"/>
        <w:rPr>
          <w:rStyle w:val="21"/>
          <w:rFonts w:hint="eastAsia" w:asciiTheme="minorEastAsia" w:hAnsiTheme="minorEastAsia" w:eastAsiaTheme="minorEastAsia" w:cstheme="minorEastAsia"/>
          <w:b/>
          <w:color w:val="auto"/>
          <w:kern w:val="2"/>
          <w:sz w:val="24"/>
          <w:szCs w:val="24"/>
          <w:highlight w:val="none"/>
          <w:lang w:val="en-US" w:eastAsia="zh-CN" w:bidi="ar-SA"/>
        </w:rPr>
      </w:pPr>
      <w:r>
        <w:rPr>
          <w:rStyle w:val="21"/>
          <w:rFonts w:hint="eastAsia" w:asciiTheme="minorEastAsia" w:hAnsiTheme="minorEastAsia" w:eastAsiaTheme="minorEastAsia" w:cstheme="minorEastAsia"/>
          <w:b/>
          <w:color w:val="auto"/>
          <w:kern w:val="2"/>
          <w:sz w:val="24"/>
          <w:szCs w:val="24"/>
          <w:highlight w:val="none"/>
          <w:lang w:val="en-US" w:eastAsia="zh-CN" w:bidi="ar-SA"/>
        </w:rPr>
        <w:t xml:space="preserve">20.7风险责任的转移    </w:t>
      </w:r>
    </w:p>
    <w:p>
      <w:pPr>
        <w:pStyle w:val="65"/>
        <w:tabs>
          <w:tab w:val="left" w:pos="8280"/>
        </w:tabs>
        <w:spacing w:line="360" w:lineRule="auto"/>
        <w:ind w:firstLine="360" w:firstLineChars="150"/>
        <w:rPr>
          <w:rStyle w:val="21"/>
          <w:rFonts w:hint="eastAsia" w:asciiTheme="minorEastAsia" w:hAnsiTheme="minorEastAsia" w:eastAsiaTheme="minorEastAsia" w:cstheme="minorEastAsia"/>
          <w:color w:val="auto"/>
          <w:kern w:val="2"/>
          <w:sz w:val="24"/>
          <w:szCs w:val="24"/>
          <w:highlight w:val="none"/>
          <w:lang w:val="en-US" w:eastAsia="zh-CN" w:bidi="ar-SA"/>
        </w:rPr>
      </w:pPr>
      <w:r>
        <w:rPr>
          <w:rStyle w:val="21"/>
          <w:rFonts w:hint="eastAsia" w:asciiTheme="minorEastAsia" w:hAnsiTheme="minorEastAsia" w:eastAsiaTheme="minorEastAsia" w:cstheme="minorEastAsia"/>
          <w:color w:val="auto"/>
          <w:kern w:val="2"/>
          <w:sz w:val="24"/>
          <w:szCs w:val="24"/>
          <w:highlight w:val="none"/>
          <w:lang w:val="en-US" w:eastAsia="zh-CN" w:bidi="ar-SA"/>
        </w:rPr>
        <w:t>工程通过合同工程完工验收并移交给发包人后，原由承包人应承担的风险责任，以及保险的责任、权利和义务同时转移给发包人，但承包人在缺陷责任期(工程质量保修期)前造成损失和损坏情形除外。</w:t>
      </w:r>
    </w:p>
    <w:p>
      <w:pPr>
        <w:pStyle w:val="66"/>
        <w:rPr>
          <w:rStyle w:val="21"/>
          <w:rFonts w:hint="eastAsia" w:asciiTheme="minorEastAsia" w:hAnsiTheme="minorEastAsia" w:eastAsiaTheme="minorEastAsia" w:cstheme="minorEastAsia"/>
          <w:color w:val="auto"/>
          <w:kern w:val="2"/>
          <w:sz w:val="24"/>
          <w:szCs w:val="24"/>
          <w:highlight w:val="none"/>
          <w:lang w:val="en-US" w:eastAsia="zh-CN" w:bidi="ar-SA"/>
        </w:rPr>
      </w:pPr>
      <w:bookmarkStart w:id="289" w:name="_Toc25604"/>
      <w:r>
        <w:rPr>
          <w:rStyle w:val="21"/>
          <w:rFonts w:hint="eastAsia" w:asciiTheme="minorEastAsia" w:hAnsiTheme="minorEastAsia" w:eastAsiaTheme="minorEastAsia" w:cstheme="minorEastAsia"/>
          <w:color w:val="auto"/>
          <w:kern w:val="2"/>
          <w:sz w:val="24"/>
          <w:szCs w:val="24"/>
          <w:highlight w:val="none"/>
          <w:lang w:val="en-US" w:eastAsia="zh-CN" w:bidi="ar-SA"/>
        </w:rPr>
        <w:t>21 不可抗力</w:t>
      </w:r>
      <w:bookmarkEnd w:id="289"/>
    </w:p>
    <w:p>
      <w:pPr>
        <w:pStyle w:val="65"/>
        <w:tabs>
          <w:tab w:val="left" w:pos="8280"/>
        </w:tabs>
        <w:spacing w:line="360" w:lineRule="auto"/>
        <w:rPr>
          <w:rStyle w:val="21"/>
          <w:rFonts w:hint="eastAsia" w:asciiTheme="minorEastAsia" w:hAnsiTheme="minorEastAsia" w:eastAsiaTheme="minorEastAsia" w:cstheme="minorEastAsia"/>
          <w:b/>
          <w:color w:val="auto"/>
          <w:kern w:val="2"/>
          <w:sz w:val="24"/>
          <w:szCs w:val="24"/>
          <w:highlight w:val="none"/>
          <w:lang w:val="en-US" w:eastAsia="zh-CN" w:bidi="ar-SA"/>
        </w:rPr>
      </w:pPr>
      <w:r>
        <w:rPr>
          <w:rStyle w:val="21"/>
          <w:rFonts w:hint="eastAsia" w:asciiTheme="minorEastAsia" w:hAnsiTheme="minorEastAsia" w:eastAsiaTheme="minorEastAsia" w:cstheme="minorEastAsia"/>
          <w:b/>
          <w:color w:val="auto"/>
          <w:kern w:val="2"/>
          <w:sz w:val="24"/>
          <w:szCs w:val="24"/>
          <w:highlight w:val="none"/>
          <w:lang w:val="en-US" w:eastAsia="zh-CN" w:bidi="ar-SA"/>
        </w:rPr>
        <w:t>21.1不可抗力的确认</w:t>
      </w:r>
    </w:p>
    <w:p>
      <w:pPr>
        <w:pStyle w:val="65"/>
        <w:tabs>
          <w:tab w:val="left" w:pos="8280"/>
        </w:tabs>
        <w:spacing w:line="360" w:lineRule="auto"/>
        <w:ind w:firstLine="360" w:firstLineChars="150"/>
        <w:rPr>
          <w:rStyle w:val="21"/>
          <w:rFonts w:hint="eastAsia" w:asciiTheme="minorEastAsia" w:hAnsiTheme="minorEastAsia" w:eastAsiaTheme="minorEastAsia" w:cstheme="minorEastAsia"/>
          <w:color w:val="auto"/>
          <w:kern w:val="2"/>
          <w:sz w:val="24"/>
          <w:szCs w:val="24"/>
          <w:highlight w:val="none"/>
          <w:lang w:val="en-US" w:eastAsia="zh-CN" w:bidi="ar-SA"/>
        </w:rPr>
      </w:pPr>
      <w:r>
        <w:rPr>
          <w:rStyle w:val="21"/>
          <w:rFonts w:hint="eastAsia" w:asciiTheme="minorEastAsia" w:hAnsiTheme="minorEastAsia" w:eastAsiaTheme="minorEastAsia" w:cstheme="minorEastAsia"/>
          <w:color w:val="auto"/>
          <w:kern w:val="2"/>
          <w:sz w:val="24"/>
          <w:szCs w:val="24"/>
          <w:highlight w:val="none"/>
          <w:lang w:val="en-US" w:eastAsia="zh-CN" w:bidi="ar-SA"/>
        </w:rPr>
        <w:t>21.1.1不可抗力是指承包人和发包人在订立合同时不可预见，在工程施工过程中不可避免发生并不能克服的自然灾害和社会性突发事件，如地震、海啸、瘟疫、水灾、骚乱、暴动、战争和专用合同条款约定的其他情形。</w:t>
      </w:r>
    </w:p>
    <w:p>
      <w:pPr>
        <w:pStyle w:val="65"/>
        <w:tabs>
          <w:tab w:val="left" w:pos="8280"/>
        </w:tabs>
        <w:spacing w:line="360" w:lineRule="auto"/>
        <w:ind w:firstLine="360" w:firstLineChars="150"/>
        <w:rPr>
          <w:rStyle w:val="21"/>
          <w:rFonts w:hint="eastAsia" w:asciiTheme="minorEastAsia" w:hAnsiTheme="minorEastAsia" w:eastAsiaTheme="minorEastAsia" w:cstheme="minorEastAsia"/>
          <w:color w:val="auto"/>
          <w:kern w:val="2"/>
          <w:sz w:val="24"/>
          <w:szCs w:val="24"/>
          <w:highlight w:val="none"/>
          <w:lang w:val="en-US" w:eastAsia="zh-CN" w:bidi="ar-SA"/>
        </w:rPr>
      </w:pPr>
      <w:r>
        <w:rPr>
          <w:rStyle w:val="21"/>
          <w:rFonts w:hint="eastAsia" w:asciiTheme="minorEastAsia" w:hAnsiTheme="minorEastAsia" w:eastAsiaTheme="minorEastAsia" w:cstheme="minorEastAsia"/>
          <w:color w:val="auto"/>
          <w:kern w:val="2"/>
          <w:sz w:val="24"/>
          <w:szCs w:val="24"/>
          <w:highlight w:val="none"/>
          <w:lang w:val="en-US" w:eastAsia="zh-CN" w:bidi="ar-SA"/>
        </w:rPr>
        <w:t xml:space="preserve">21.1.2不可抗力发生后，发包人和承包人应及时认真统计所造成的损失，收集不可抗力造成损失的证据。合同双方对是否属于不可抗力或其损失的意见不一致的，由监理人按第3.5款商定或确定。发生争议时，按第22条的约定办理。    </w:t>
      </w:r>
    </w:p>
    <w:p>
      <w:pPr>
        <w:pStyle w:val="65"/>
        <w:tabs>
          <w:tab w:val="left" w:pos="8280"/>
        </w:tabs>
        <w:spacing w:line="360" w:lineRule="auto"/>
        <w:rPr>
          <w:rStyle w:val="21"/>
          <w:rFonts w:hint="eastAsia" w:asciiTheme="minorEastAsia" w:hAnsiTheme="minorEastAsia" w:eastAsiaTheme="minorEastAsia" w:cstheme="minorEastAsia"/>
          <w:color w:val="auto"/>
          <w:kern w:val="2"/>
          <w:sz w:val="24"/>
          <w:szCs w:val="24"/>
          <w:highlight w:val="none"/>
          <w:lang w:val="en-US" w:eastAsia="zh-CN" w:bidi="ar-SA"/>
        </w:rPr>
      </w:pPr>
      <w:r>
        <w:rPr>
          <w:rStyle w:val="21"/>
          <w:rFonts w:hint="eastAsia" w:asciiTheme="minorEastAsia" w:hAnsiTheme="minorEastAsia" w:eastAsiaTheme="minorEastAsia" w:cstheme="minorEastAsia"/>
          <w:b/>
          <w:color w:val="auto"/>
          <w:kern w:val="2"/>
          <w:sz w:val="24"/>
          <w:szCs w:val="24"/>
          <w:highlight w:val="none"/>
          <w:lang w:val="en-US" w:eastAsia="zh-CN" w:bidi="ar-SA"/>
        </w:rPr>
        <w:t>21.2不可抗力的通知</w:t>
      </w:r>
    </w:p>
    <w:p>
      <w:pPr>
        <w:pStyle w:val="65"/>
        <w:tabs>
          <w:tab w:val="left" w:pos="8280"/>
        </w:tabs>
        <w:spacing w:line="360" w:lineRule="auto"/>
        <w:ind w:firstLine="360" w:firstLineChars="150"/>
        <w:rPr>
          <w:rStyle w:val="21"/>
          <w:rFonts w:hint="eastAsia" w:asciiTheme="minorEastAsia" w:hAnsiTheme="minorEastAsia" w:eastAsiaTheme="minorEastAsia" w:cstheme="minorEastAsia"/>
          <w:color w:val="auto"/>
          <w:kern w:val="2"/>
          <w:sz w:val="24"/>
          <w:szCs w:val="24"/>
          <w:highlight w:val="none"/>
          <w:lang w:val="en-US" w:eastAsia="zh-CN" w:bidi="ar-SA"/>
        </w:rPr>
      </w:pPr>
      <w:r>
        <w:rPr>
          <w:rStyle w:val="21"/>
          <w:rFonts w:hint="eastAsia" w:asciiTheme="minorEastAsia" w:hAnsiTheme="minorEastAsia" w:eastAsiaTheme="minorEastAsia" w:cstheme="minorEastAsia"/>
          <w:color w:val="auto"/>
          <w:kern w:val="2"/>
          <w:sz w:val="24"/>
          <w:szCs w:val="24"/>
          <w:highlight w:val="none"/>
          <w:lang w:val="en-US" w:eastAsia="zh-CN" w:bidi="ar-SA"/>
        </w:rPr>
        <w:t>21.2.1合同一方当事人遇到不可抗力事件，使其履行合同义务受到阻碍时，应立即通知合同另一方当事人和监理人，书面说明不可抗力和受阻碍的详细情况，并提供必要的证明。</w:t>
      </w:r>
    </w:p>
    <w:p>
      <w:pPr>
        <w:pStyle w:val="65"/>
        <w:tabs>
          <w:tab w:val="left" w:pos="8280"/>
        </w:tabs>
        <w:spacing w:line="360" w:lineRule="auto"/>
        <w:ind w:firstLine="360" w:firstLineChars="150"/>
        <w:rPr>
          <w:rStyle w:val="21"/>
          <w:rFonts w:hint="eastAsia" w:asciiTheme="minorEastAsia" w:hAnsiTheme="minorEastAsia" w:eastAsiaTheme="minorEastAsia" w:cstheme="minorEastAsia"/>
          <w:color w:val="auto"/>
          <w:kern w:val="2"/>
          <w:sz w:val="24"/>
          <w:szCs w:val="24"/>
          <w:highlight w:val="none"/>
          <w:lang w:val="en-US" w:eastAsia="zh-CN" w:bidi="ar-SA"/>
        </w:rPr>
      </w:pPr>
      <w:r>
        <w:rPr>
          <w:rStyle w:val="21"/>
          <w:rFonts w:hint="eastAsia" w:asciiTheme="minorEastAsia" w:hAnsiTheme="minorEastAsia" w:eastAsiaTheme="minorEastAsia" w:cstheme="minorEastAsia"/>
          <w:color w:val="auto"/>
          <w:kern w:val="2"/>
          <w:sz w:val="24"/>
          <w:szCs w:val="24"/>
          <w:highlight w:val="none"/>
          <w:lang w:val="en-US" w:eastAsia="zh-CN" w:bidi="ar-SA"/>
        </w:rPr>
        <w:t>21.2.2如不可抗力持续发生，合同一方当事人应及时向合同另一方当事人和监理人提交中间报告，说明不可抗力和履行合同受阻的情况，并于不可抗力事件结束后28天内。提交最终报告及有关资料。</w:t>
      </w:r>
    </w:p>
    <w:p>
      <w:pPr>
        <w:pStyle w:val="65"/>
        <w:tabs>
          <w:tab w:val="left" w:pos="8280"/>
        </w:tabs>
        <w:spacing w:line="360" w:lineRule="auto"/>
        <w:rPr>
          <w:rStyle w:val="21"/>
          <w:rFonts w:hint="eastAsia" w:asciiTheme="minorEastAsia" w:hAnsiTheme="minorEastAsia" w:eastAsiaTheme="minorEastAsia" w:cstheme="minorEastAsia"/>
          <w:b/>
          <w:color w:val="auto"/>
          <w:kern w:val="2"/>
          <w:sz w:val="24"/>
          <w:szCs w:val="24"/>
          <w:highlight w:val="none"/>
          <w:lang w:val="en-US" w:eastAsia="zh-CN" w:bidi="ar-SA"/>
        </w:rPr>
      </w:pPr>
      <w:r>
        <w:rPr>
          <w:rStyle w:val="21"/>
          <w:rFonts w:hint="eastAsia" w:asciiTheme="minorEastAsia" w:hAnsiTheme="minorEastAsia" w:eastAsiaTheme="minorEastAsia" w:cstheme="minorEastAsia"/>
          <w:b/>
          <w:color w:val="auto"/>
          <w:kern w:val="2"/>
          <w:sz w:val="24"/>
          <w:szCs w:val="24"/>
          <w:highlight w:val="none"/>
          <w:lang w:val="en-US" w:eastAsia="zh-CN" w:bidi="ar-SA"/>
        </w:rPr>
        <w:t>21.3不可抗力后果及其处理</w:t>
      </w:r>
    </w:p>
    <w:p>
      <w:pPr>
        <w:pStyle w:val="65"/>
        <w:tabs>
          <w:tab w:val="left" w:pos="8280"/>
        </w:tabs>
        <w:spacing w:line="360" w:lineRule="auto"/>
        <w:ind w:firstLine="360" w:firstLineChars="150"/>
        <w:rPr>
          <w:rStyle w:val="21"/>
          <w:rFonts w:hint="eastAsia" w:asciiTheme="minorEastAsia" w:hAnsiTheme="minorEastAsia" w:eastAsiaTheme="minorEastAsia" w:cstheme="minorEastAsia"/>
          <w:color w:val="auto"/>
          <w:kern w:val="2"/>
          <w:sz w:val="24"/>
          <w:szCs w:val="24"/>
          <w:highlight w:val="none"/>
          <w:lang w:val="en-US" w:eastAsia="zh-CN" w:bidi="ar-SA"/>
        </w:rPr>
      </w:pPr>
      <w:r>
        <w:rPr>
          <w:rStyle w:val="21"/>
          <w:rFonts w:hint="eastAsia" w:asciiTheme="minorEastAsia" w:hAnsiTheme="minorEastAsia" w:eastAsiaTheme="minorEastAsia" w:cstheme="minorEastAsia"/>
          <w:color w:val="auto"/>
          <w:kern w:val="2"/>
          <w:sz w:val="24"/>
          <w:szCs w:val="24"/>
          <w:highlight w:val="none"/>
          <w:lang w:val="en-US" w:eastAsia="zh-CN" w:bidi="ar-SA"/>
        </w:rPr>
        <w:t>21.3.1不可抗力造成损害的责任</w:t>
      </w:r>
    </w:p>
    <w:p>
      <w:pPr>
        <w:pStyle w:val="65"/>
        <w:tabs>
          <w:tab w:val="left" w:pos="8280"/>
        </w:tabs>
        <w:spacing w:line="360" w:lineRule="auto"/>
        <w:ind w:firstLine="360" w:firstLineChars="150"/>
        <w:rPr>
          <w:rStyle w:val="21"/>
          <w:rFonts w:hint="eastAsia" w:asciiTheme="minorEastAsia" w:hAnsiTheme="minorEastAsia" w:eastAsiaTheme="minorEastAsia" w:cstheme="minorEastAsia"/>
          <w:color w:val="auto"/>
          <w:kern w:val="2"/>
          <w:sz w:val="24"/>
          <w:szCs w:val="24"/>
          <w:highlight w:val="none"/>
          <w:lang w:val="en-US" w:eastAsia="zh-CN" w:bidi="ar-SA"/>
        </w:rPr>
      </w:pPr>
      <w:r>
        <w:rPr>
          <w:rStyle w:val="21"/>
          <w:rFonts w:hint="eastAsia" w:asciiTheme="minorEastAsia" w:hAnsiTheme="minorEastAsia" w:eastAsiaTheme="minorEastAsia" w:cstheme="minorEastAsia"/>
          <w:color w:val="auto"/>
          <w:kern w:val="2"/>
          <w:sz w:val="24"/>
          <w:szCs w:val="24"/>
          <w:highlight w:val="none"/>
          <w:lang w:val="en-US" w:eastAsia="zh-CN" w:bidi="ar-SA"/>
        </w:rPr>
        <w:t>除专用合同条款另有约定外，不可抗力导致的人员伤亡、财产损失、费用增加和(或)工期延误等后果，由合同双方按以下原则承担：</w:t>
      </w:r>
    </w:p>
    <w:p>
      <w:pPr>
        <w:pStyle w:val="65"/>
        <w:tabs>
          <w:tab w:val="left" w:pos="8280"/>
        </w:tabs>
        <w:spacing w:line="360" w:lineRule="auto"/>
        <w:ind w:firstLine="360" w:firstLineChars="150"/>
        <w:rPr>
          <w:rStyle w:val="21"/>
          <w:rFonts w:hint="eastAsia" w:asciiTheme="minorEastAsia" w:hAnsiTheme="minorEastAsia" w:eastAsiaTheme="minorEastAsia" w:cstheme="minorEastAsia"/>
          <w:color w:val="auto"/>
          <w:kern w:val="2"/>
          <w:sz w:val="24"/>
          <w:szCs w:val="24"/>
          <w:highlight w:val="none"/>
          <w:lang w:val="en-US" w:eastAsia="zh-CN" w:bidi="ar-SA"/>
        </w:rPr>
      </w:pPr>
      <w:r>
        <w:rPr>
          <w:rStyle w:val="21"/>
          <w:rFonts w:hint="eastAsia" w:asciiTheme="minorEastAsia" w:hAnsiTheme="minorEastAsia" w:eastAsiaTheme="minorEastAsia" w:cstheme="minorEastAsia"/>
          <w:color w:val="auto"/>
          <w:kern w:val="2"/>
          <w:sz w:val="24"/>
          <w:szCs w:val="24"/>
          <w:highlight w:val="none"/>
          <w:lang w:val="en-US" w:eastAsia="zh-CN" w:bidi="ar-SA"/>
        </w:rPr>
        <w:t>(1)永久工程，包括己运至施工场地的材料和工程设备的损害，以及因工程损害造成的第三者人员伤亡和财产损失由发包人承担；</w:t>
      </w:r>
    </w:p>
    <w:p>
      <w:pPr>
        <w:pStyle w:val="65"/>
        <w:tabs>
          <w:tab w:val="left" w:pos="8280"/>
        </w:tabs>
        <w:spacing w:line="360" w:lineRule="auto"/>
        <w:ind w:firstLine="360" w:firstLineChars="150"/>
        <w:rPr>
          <w:rStyle w:val="21"/>
          <w:rFonts w:hint="eastAsia" w:asciiTheme="minorEastAsia" w:hAnsiTheme="minorEastAsia" w:eastAsiaTheme="minorEastAsia" w:cstheme="minorEastAsia"/>
          <w:color w:val="auto"/>
          <w:kern w:val="2"/>
          <w:sz w:val="24"/>
          <w:szCs w:val="24"/>
          <w:highlight w:val="none"/>
          <w:lang w:val="en-US" w:eastAsia="zh-CN" w:bidi="ar-SA"/>
        </w:rPr>
      </w:pPr>
      <w:r>
        <w:rPr>
          <w:rStyle w:val="21"/>
          <w:rFonts w:hint="eastAsia" w:asciiTheme="minorEastAsia" w:hAnsiTheme="minorEastAsia" w:eastAsiaTheme="minorEastAsia" w:cstheme="minorEastAsia"/>
          <w:color w:val="auto"/>
          <w:kern w:val="2"/>
          <w:sz w:val="24"/>
          <w:szCs w:val="24"/>
          <w:highlight w:val="none"/>
          <w:lang w:val="en-US" w:eastAsia="zh-CN" w:bidi="ar-SA"/>
        </w:rPr>
        <w:t>(2)承包人设备的损坏由承包人承担；</w:t>
      </w:r>
    </w:p>
    <w:p>
      <w:pPr>
        <w:pStyle w:val="65"/>
        <w:tabs>
          <w:tab w:val="left" w:pos="8280"/>
        </w:tabs>
        <w:spacing w:line="360" w:lineRule="auto"/>
        <w:ind w:firstLine="360" w:firstLineChars="150"/>
        <w:rPr>
          <w:rStyle w:val="21"/>
          <w:rFonts w:hint="eastAsia" w:asciiTheme="minorEastAsia" w:hAnsiTheme="minorEastAsia" w:eastAsiaTheme="minorEastAsia" w:cstheme="minorEastAsia"/>
          <w:color w:val="auto"/>
          <w:kern w:val="2"/>
          <w:sz w:val="24"/>
          <w:szCs w:val="24"/>
          <w:highlight w:val="none"/>
          <w:lang w:val="en-US" w:eastAsia="zh-CN" w:bidi="ar-SA"/>
        </w:rPr>
      </w:pPr>
      <w:r>
        <w:rPr>
          <w:rStyle w:val="21"/>
          <w:rFonts w:hint="eastAsia" w:asciiTheme="minorEastAsia" w:hAnsiTheme="minorEastAsia" w:eastAsiaTheme="minorEastAsia" w:cstheme="minorEastAsia"/>
          <w:color w:val="auto"/>
          <w:kern w:val="2"/>
          <w:sz w:val="24"/>
          <w:szCs w:val="24"/>
          <w:highlight w:val="none"/>
          <w:lang w:val="en-US" w:eastAsia="zh-CN" w:bidi="ar-SA"/>
        </w:rPr>
        <w:t>(3)发包人和承包人各自承担其人员伤亡和其他财产损失及其相关费用；</w:t>
      </w:r>
    </w:p>
    <w:p>
      <w:pPr>
        <w:pStyle w:val="65"/>
        <w:tabs>
          <w:tab w:val="left" w:pos="8280"/>
        </w:tabs>
        <w:spacing w:line="360" w:lineRule="auto"/>
        <w:ind w:firstLine="360" w:firstLineChars="150"/>
        <w:rPr>
          <w:rStyle w:val="21"/>
          <w:rFonts w:hint="eastAsia" w:asciiTheme="minorEastAsia" w:hAnsiTheme="minorEastAsia" w:eastAsiaTheme="minorEastAsia" w:cstheme="minorEastAsia"/>
          <w:color w:val="auto"/>
          <w:kern w:val="2"/>
          <w:sz w:val="24"/>
          <w:szCs w:val="24"/>
          <w:highlight w:val="none"/>
          <w:lang w:val="en-US" w:eastAsia="zh-CN" w:bidi="ar-SA"/>
        </w:rPr>
      </w:pPr>
      <w:r>
        <w:rPr>
          <w:rStyle w:val="21"/>
          <w:rFonts w:hint="eastAsia" w:asciiTheme="minorEastAsia" w:hAnsiTheme="minorEastAsia" w:eastAsiaTheme="minorEastAsia" w:cstheme="minorEastAsia"/>
          <w:color w:val="auto"/>
          <w:kern w:val="2"/>
          <w:sz w:val="24"/>
          <w:szCs w:val="24"/>
          <w:highlight w:val="none"/>
          <w:lang w:val="en-US" w:eastAsia="zh-CN" w:bidi="ar-SA"/>
        </w:rPr>
        <w:t>(4)承包人的停工损失由承包人承担，但停工期间应监理人要求照管工程和清理、修复工程的金额由发包人承担；</w:t>
      </w:r>
    </w:p>
    <w:p>
      <w:pPr>
        <w:pStyle w:val="65"/>
        <w:tabs>
          <w:tab w:val="left" w:pos="8280"/>
        </w:tabs>
        <w:spacing w:line="360" w:lineRule="auto"/>
        <w:ind w:firstLine="360" w:firstLineChars="150"/>
        <w:rPr>
          <w:rStyle w:val="21"/>
          <w:rFonts w:hint="eastAsia" w:asciiTheme="minorEastAsia" w:hAnsiTheme="minorEastAsia" w:eastAsiaTheme="minorEastAsia" w:cstheme="minorEastAsia"/>
          <w:color w:val="auto"/>
          <w:kern w:val="2"/>
          <w:sz w:val="24"/>
          <w:szCs w:val="24"/>
          <w:highlight w:val="none"/>
          <w:lang w:val="en-US" w:eastAsia="zh-CN" w:bidi="ar-SA"/>
        </w:rPr>
      </w:pPr>
      <w:r>
        <w:rPr>
          <w:rStyle w:val="21"/>
          <w:rFonts w:hint="eastAsia" w:asciiTheme="minorEastAsia" w:hAnsiTheme="minorEastAsia" w:eastAsiaTheme="minorEastAsia" w:cstheme="minorEastAsia"/>
          <w:color w:val="auto"/>
          <w:kern w:val="2"/>
          <w:sz w:val="24"/>
          <w:szCs w:val="24"/>
          <w:highlight w:val="none"/>
          <w:lang w:val="en-US" w:eastAsia="zh-CN" w:bidi="ar-SA"/>
        </w:rPr>
        <w:t xml:space="preserve">(5)不能按期竣工的，应合理延长工期，承包人不需支付逾期竣工违约金。发包人要求赶工的，承包人应采取赶工措施，赶工费用由发包人承担。   </w:t>
      </w:r>
    </w:p>
    <w:p>
      <w:pPr>
        <w:pStyle w:val="65"/>
        <w:tabs>
          <w:tab w:val="left" w:pos="8280"/>
        </w:tabs>
        <w:spacing w:line="360" w:lineRule="auto"/>
        <w:ind w:firstLine="360" w:firstLineChars="150"/>
        <w:rPr>
          <w:rStyle w:val="21"/>
          <w:rFonts w:hint="eastAsia" w:asciiTheme="minorEastAsia" w:hAnsiTheme="minorEastAsia" w:eastAsiaTheme="minorEastAsia" w:cstheme="minorEastAsia"/>
          <w:color w:val="auto"/>
          <w:kern w:val="2"/>
          <w:sz w:val="24"/>
          <w:szCs w:val="24"/>
          <w:highlight w:val="none"/>
          <w:lang w:val="en-US" w:eastAsia="zh-CN" w:bidi="ar-SA"/>
        </w:rPr>
      </w:pPr>
      <w:r>
        <w:rPr>
          <w:rStyle w:val="21"/>
          <w:rFonts w:hint="eastAsia" w:asciiTheme="minorEastAsia" w:hAnsiTheme="minorEastAsia" w:eastAsiaTheme="minorEastAsia" w:cstheme="minorEastAsia"/>
          <w:color w:val="auto"/>
          <w:kern w:val="2"/>
          <w:sz w:val="24"/>
          <w:szCs w:val="24"/>
          <w:highlight w:val="none"/>
          <w:lang w:val="en-US" w:eastAsia="zh-CN" w:bidi="ar-SA"/>
        </w:rPr>
        <w:t xml:space="preserve">21.3.2延迟履行期间发生的不可抗力    </w:t>
      </w:r>
    </w:p>
    <w:p>
      <w:pPr>
        <w:pStyle w:val="65"/>
        <w:tabs>
          <w:tab w:val="left" w:pos="8280"/>
        </w:tabs>
        <w:spacing w:line="360" w:lineRule="auto"/>
        <w:ind w:firstLine="360" w:firstLineChars="150"/>
        <w:rPr>
          <w:rStyle w:val="21"/>
          <w:rFonts w:hint="eastAsia" w:asciiTheme="minorEastAsia" w:hAnsiTheme="minorEastAsia" w:eastAsiaTheme="minorEastAsia" w:cstheme="minorEastAsia"/>
          <w:color w:val="auto"/>
          <w:kern w:val="2"/>
          <w:sz w:val="24"/>
          <w:szCs w:val="24"/>
          <w:highlight w:val="none"/>
          <w:lang w:val="en-US" w:eastAsia="zh-CN" w:bidi="ar-SA"/>
        </w:rPr>
      </w:pPr>
      <w:r>
        <w:rPr>
          <w:rStyle w:val="21"/>
          <w:rFonts w:hint="eastAsia" w:asciiTheme="minorEastAsia" w:hAnsiTheme="minorEastAsia" w:eastAsiaTheme="minorEastAsia" w:cstheme="minorEastAsia"/>
          <w:color w:val="auto"/>
          <w:kern w:val="2"/>
          <w:sz w:val="24"/>
          <w:szCs w:val="24"/>
          <w:highlight w:val="none"/>
          <w:lang w:val="en-US" w:eastAsia="zh-CN" w:bidi="ar-SA"/>
        </w:rPr>
        <w:t>合同一方当事人延迟履行，在延迟履行期间发生不可抗力的，不免除其责任。</w:t>
      </w:r>
    </w:p>
    <w:p>
      <w:pPr>
        <w:pStyle w:val="65"/>
        <w:tabs>
          <w:tab w:val="left" w:pos="8280"/>
        </w:tabs>
        <w:spacing w:line="360" w:lineRule="auto"/>
        <w:ind w:firstLine="360" w:firstLineChars="150"/>
        <w:rPr>
          <w:rStyle w:val="21"/>
          <w:rFonts w:hint="eastAsia" w:asciiTheme="minorEastAsia" w:hAnsiTheme="minorEastAsia" w:eastAsiaTheme="minorEastAsia" w:cstheme="minorEastAsia"/>
          <w:color w:val="auto"/>
          <w:kern w:val="2"/>
          <w:sz w:val="24"/>
          <w:szCs w:val="24"/>
          <w:highlight w:val="none"/>
          <w:lang w:val="en-US" w:eastAsia="zh-CN" w:bidi="ar-SA"/>
        </w:rPr>
      </w:pPr>
      <w:r>
        <w:rPr>
          <w:rStyle w:val="21"/>
          <w:rFonts w:hint="eastAsia" w:asciiTheme="minorEastAsia" w:hAnsiTheme="minorEastAsia" w:eastAsiaTheme="minorEastAsia" w:cstheme="minorEastAsia"/>
          <w:color w:val="auto"/>
          <w:kern w:val="2"/>
          <w:sz w:val="24"/>
          <w:szCs w:val="24"/>
          <w:highlight w:val="none"/>
          <w:lang w:val="en-US" w:eastAsia="zh-CN" w:bidi="ar-SA"/>
        </w:rPr>
        <w:t>21.3.3避免和减少不可抗力损失</w:t>
      </w:r>
    </w:p>
    <w:p>
      <w:pPr>
        <w:pStyle w:val="65"/>
        <w:tabs>
          <w:tab w:val="left" w:pos="8280"/>
        </w:tabs>
        <w:spacing w:line="360" w:lineRule="auto"/>
        <w:ind w:firstLine="360" w:firstLineChars="150"/>
        <w:rPr>
          <w:rStyle w:val="21"/>
          <w:rFonts w:hint="eastAsia" w:asciiTheme="minorEastAsia" w:hAnsiTheme="minorEastAsia" w:eastAsiaTheme="minorEastAsia" w:cstheme="minorEastAsia"/>
          <w:color w:val="auto"/>
          <w:kern w:val="2"/>
          <w:sz w:val="24"/>
          <w:szCs w:val="24"/>
          <w:highlight w:val="none"/>
          <w:lang w:val="en-US" w:eastAsia="zh-CN" w:bidi="ar-SA"/>
        </w:rPr>
      </w:pPr>
      <w:r>
        <w:rPr>
          <w:rStyle w:val="21"/>
          <w:rFonts w:hint="eastAsia" w:asciiTheme="minorEastAsia" w:hAnsiTheme="minorEastAsia" w:eastAsiaTheme="minorEastAsia" w:cstheme="minorEastAsia"/>
          <w:color w:val="auto"/>
          <w:kern w:val="2"/>
          <w:sz w:val="24"/>
          <w:szCs w:val="24"/>
          <w:highlight w:val="none"/>
          <w:lang w:val="en-US" w:eastAsia="zh-CN" w:bidi="ar-SA"/>
        </w:rPr>
        <w:t>不可抗力发生后，发包人和承包人均应采取措施尽量避免和减少损失的扩大，任何一方没有采取有效措施导致损失扩大的，应对扩大的损失承担责任。</w:t>
      </w:r>
    </w:p>
    <w:p>
      <w:pPr>
        <w:pStyle w:val="65"/>
        <w:tabs>
          <w:tab w:val="left" w:pos="8280"/>
        </w:tabs>
        <w:spacing w:line="360" w:lineRule="auto"/>
        <w:ind w:firstLine="360" w:firstLineChars="150"/>
        <w:rPr>
          <w:rStyle w:val="21"/>
          <w:rFonts w:hint="eastAsia" w:asciiTheme="minorEastAsia" w:hAnsiTheme="minorEastAsia" w:eastAsiaTheme="minorEastAsia" w:cstheme="minorEastAsia"/>
          <w:color w:val="auto"/>
          <w:kern w:val="2"/>
          <w:sz w:val="24"/>
          <w:szCs w:val="24"/>
          <w:highlight w:val="none"/>
          <w:lang w:val="en-US" w:eastAsia="zh-CN" w:bidi="ar-SA"/>
        </w:rPr>
      </w:pPr>
      <w:r>
        <w:rPr>
          <w:rStyle w:val="21"/>
          <w:rFonts w:hint="eastAsia" w:asciiTheme="minorEastAsia" w:hAnsiTheme="minorEastAsia" w:eastAsiaTheme="minorEastAsia" w:cstheme="minorEastAsia"/>
          <w:color w:val="auto"/>
          <w:kern w:val="2"/>
          <w:sz w:val="24"/>
          <w:szCs w:val="24"/>
          <w:highlight w:val="none"/>
          <w:lang w:val="en-US" w:eastAsia="zh-CN" w:bidi="ar-SA"/>
        </w:rPr>
        <w:t>21.3.4因不可抗力解除合同</w:t>
      </w:r>
    </w:p>
    <w:p>
      <w:pPr>
        <w:pStyle w:val="65"/>
        <w:tabs>
          <w:tab w:val="left" w:pos="8280"/>
        </w:tabs>
        <w:spacing w:line="360" w:lineRule="auto"/>
        <w:ind w:firstLine="360" w:firstLineChars="150"/>
        <w:rPr>
          <w:rStyle w:val="21"/>
          <w:rFonts w:hint="eastAsia" w:asciiTheme="minorEastAsia" w:hAnsiTheme="minorEastAsia" w:eastAsiaTheme="minorEastAsia" w:cstheme="minorEastAsia"/>
          <w:color w:val="auto"/>
          <w:kern w:val="2"/>
          <w:sz w:val="24"/>
          <w:szCs w:val="24"/>
          <w:highlight w:val="none"/>
          <w:lang w:val="en-US" w:eastAsia="zh-CN" w:bidi="ar-SA"/>
        </w:rPr>
      </w:pPr>
      <w:r>
        <w:rPr>
          <w:rStyle w:val="21"/>
          <w:rFonts w:hint="eastAsia" w:asciiTheme="minorEastAsia" w:hAnsiTheme="minorEastAsia" w:eastAsiaTheme="minorEastAsia" w:cstheme="minorEastAsia"/>
          <w:color w:val="auto"/>
          <w:kern w:val="2"/>
          <w:sz w:val="24"/>
          <w:szCs w:val="24"/>
          <w:highlight w:val="none"/>
          <w:lang w:val="en-US" w:eastAsia="zh-CN" w:bidi="ar-SA"/>
        </w:rPr>
        <w:t>合同一方当事人因不可抗力不能履行合同的，应当及时通知对方解除合同。合同解除后，承包人应按照第20.2.5项约定撤离施工场地。已经订货的材料、设备由订货方负责退货或解除订货合同，不能退还的货款和因退货、解除订货合同发生的费用，由发包人承担，因未及时退货造成的损失由责任方承担。合同解除后的付款，参照第20.2.4项约定，由监理人按第3.5款商定或确定。</w:t>
      </w:r>
    </w:p>
    <w:p>
      <w:pPr>
        <w:pStyle w:val="66"/>
        <w:rPr>
          <w:rStyle w:val="21"/>
          <w:rFonts w:hint="eastAsia" w:asciiTheme="minorEastAsia" w:hAnsiTheme="minorEastAsia" w:eastAsiaTheme="minorEastAsia" w:cstheme="minorEastAsia"/>
          <w:color w:val="auto"/>
          <w:kern w:val="2"/>
          <w:sz w:val="24"/>
          <w:szCs w:val="24"/>
          <w:highlight w:val="none"/>
          <w:lang w:val="en-US" w:eastAsia="zh-CN" w:bidi="ar-SA"/>
        </w:rPr>
      </w:pPr>
      <w:bookmarkStart w:id="290" w:name="_Toc25359"/>
      <w:r>
        <w:rPr>
          <w:rStyle w:val="21"/>
          <w:rFonts w:hint="eastAsia" w:asciiTheme="minorEastAsia" w:hAnsiTheme="minorEastAsia" w:eastAsiaTheme="minorEastAsia" w:cstheme="minorEastAsia"/>
          <w:color w:val="auto"/>
          <w:kern w:val="2"/>
          <w:sz w:val="24"/>
          <w:szCs w:val="24"/>
          <w:highlight w:val="none"/>
          <w:lang w:val="en-US" w:eastAsia="zh-CN" w:bidi="ar-SA"/>
        </w:rPr>
        <w:t>22 违约</w:t>
      </w:r>
      <w:bookmarkEnd w:id="290"/>
    </w:p>
    <w:p>
      <w:pPr>
        <w:pStyle w:val="65"/>
        <w:tabs>
          <w:tab w:val="left" w:pos="8280"/>
        </w:tabs>
        <w:spacing w:line="360" w:lineRule="auto"/>
        <w:rPr>
          <w:rStyle w:val="21"/>
          <w:rFonts w:hint="eastAsia" w:asciiTheme="minorEastAsia" w:hAnsiTheme="minorEastAsia" w:eastAsiaTheme="minorEastAsia" w:cstheme="minorEastAsia"/>
          <w:b/>
          <w:color w:val="auto"/>
          <w:kern w:val="2"/>
          <w:sz w:val="24"/>
          <w:szCs w:val="24"/>
          <w:highlight w:val="none"/>
          <w:lang w:val="en-US" w:eastAsia="zh-CN" w:bidi="ar-SA"/>
        </w:rPr>
      </w:pPr>
      <w:r>
        <w:rPr>
          <w:rStyle w:val="21"/>
          <w:rFonts w:hint="eastAsia" w:asciiTheme="minorEastAsia" w:hAnsiTheme="minorEastAsia" w:eastAsiaTheme="minorEastAsia" w:cstheme="minorEastAsia"/>
          <w:b/>
          <w:color w:val="auto"/>
          <w:kern w:val="2"/>
          <w:sz w:val="24"/>
          <w:szCs w:val="24"/>
          <w:highlight w:val="none"/>
          <w:lang w:val="en-US" w:eastAsia="zh-CN" w:bidi="ar-SA"/>
        </w:rPr>
        <w:t xml:space="preserve">22.1承包人违约   </w:t>
      </w:r>
    </w:p>
    <w:p>
      <w:pPr>
        <w:pStyle w:val="65"/>
        <w:tabs>
          <w:tab w:val="left" w:pos="8280"/>
        </w:tabs>
        <w:spacing w:line="360" w:lineRule="auto"/>
        <w:ind w:firstLine="360" w:firstLineChars="150"/>
        <w:rPr>
          <w:rStyle w:val="21"/>
          <w:rFonts w:hint="eastAsia" w:asciiTheme="minorEastAsia" w:hAnsiTheme="minorEastAsia" w:eastAsiaTheme="minorEastAsia" w:cstheme="minorEastAsia"/>
          <w:color w:val="auto"/>
          <w:kern w:val="2"/>
          <w:sz w:val="24"/>
          <w:szCs w:val="24"/>
          <w:highlight w:val="none"/>
          <w:lang w:val="en-US" w:eastAsia="zh-CN" w:bidi="ar-SA"/>
        </w:rPr>
      </w:pPr>
      <w:r>
        <w:rPr>
          <w:rStyle w:val="21"/>
          <w:rFonts w:hint="eastAsia" w:asciiTheme="minorEastAsia" w:hAnsiTheme="minorEastAsia" w:eastAsiaTheme="minorEastAsia" w:cstheme="minorEastAsia"/>
          <w:color w:val="auto"/>
          <w:kern w:val="2"/>
          <w:sz w:val="24"/>
          <w:szCs w:val="24"/>
          <w:highlight w:val="none"/>
          <w:lang w:val="en-US" w:eastAsia="zh-CN" w:bidi="ar-SA"/>
        </w:rPr>
        <w:t>22.1.1承包人违约的情形</w:t>
      </w:r>
    </w:p>
    <w:p>
      <w:pPr>
        <w:pStyle w:val="65"/>
        <w:tabs>
          <w:tab w:val="left" w:pos="8280"/>
        </w:tabs>
        <w:spacing w:line="360" w:lineRule="auto"/>
        <w:ind w:firstLine="360" w:firstLineChars="150"/>
        <w:rPr>
          <w:rStyle w:val="21"/>
          <w:rFonts w:hint="eastAsia" w:asciiTheme="minorEastAsia" w:hAnsiTheme="minorEastAsia" w:eastAsiaTheme="minorEastAsia" w:cstheme="minorEastAsia"/>
          <w:color w:val="auto"/>
          <w:kern w:val="2"/>
          <w:sz w:val="24"/>
          <w:szCs w:val="24"/>
          <w:highlight w:val="none"/>
          <w:lang w:val="en-US" w:eastAsia="zh-CN" w:bidi="ar-SA"/>
        </w:rPr>
      </w:pPr>
      <w:r>
        <w:rPr>
          <w:rStyle w:val="21"/>
          <w:rFonts w:hint="eastAsia" w:asciiTheme="minorEastAsia" w:hAnsiTheme="minorEastAsia" w:eastAsiaTheme="minorEastAsia" w:cstheme="minorEastAsia"/>
          <w:color w:val="auto"/>
          <w:kern w:val="2"/>
          <w:sz w:val="24"/>
          <w:szCs w:val="24"/>
          <w:highlight w:val="none"/>
          <w:lang w:val="en-US" w:eastAsia="zh-CN" w:bidi="ar-SA"/>
        </w:rPr>
        <w:t>在履行合同过程中发生的下列情况属承包人违约：</w:t>
      </w:r>
    </w:p>
    <w:p>
      <w:pPr>
        <w:pStyle w:val="65"/>
        <w:tabs>
          <w:tab w:val="left" w:pos="8280"/>
        </w:tabs>
        <w:spacing w:line="360" w:lineRule="auto"/>
        <w:ind w:firstLine="360" w:firstLineChars="150"/>
        <w:rPr>
          <w:rStyle w:val="21"/>
          <w:rFonts w:hint="eastAsia" w:asciiTheme="minorEastAsia" w:hAnsiTheme="minorEastAsia" w:eastAsiaTheme="minorEastAsia" w:cstheme="minorEastAsia"/>
          <w:color w:val="auto"/>
          <w:kern w:val="2"/>
          <w:sz w:val="24"/>
          <w:szCs w:val="24"/>
          <w:highlight w:val="none"/>
          <w:lang w:val="en-US" w:eastAsia="zh-CN" w:bidi="ar-SA"/>
        </w:rPr>
      </w:pPr>
      <w:r>
        <w:rPr>
          <w:rStyle w:val="21"/>
          <w:rFonts w:hint="eastAsia" w:asciiTheme="minorEastAsia" w:hAnsiTheme="minorEastAsia" w:eastAsiaTheme="minorEastAsia" w:cstheme="minorEastAsia"/>
          <w:color w:val="auto"/>
          <w:kern w:val="2"/>
          <w:sz w:val="24"/>
          <w:szCs w:val="24"/>
          <w:highlight w:val="none"/>
          <w:lang w:val="en-US" w:eastAsia="zh-CN" w:bidi="ar-SA"/>
        </w:rPr>
        <w:t>(1)承包人违反第1.8款或第4.3款的约定，私自将合同的全部或部分权利转让给其他人，或私自将合同的全部或部分义务转移给其他人；</w:t>
      </w:r>
    </w:p>
    <w:p>
      <w:pPr>
        <w:pStyle w:val="65"/>
        <w:tabs>
          <w:tab w:val="left" w:pos="8280"/>
        </w:tabs>
        <w:spacing w:line="360" w:lineRule="auto"/>
        <w:ind w:firstLine="360" w:firstLineChars="150"/>
        <w:rPr>
          <w:rStyle w:val="21"/>
          <w:rFonts w:hint="eastAsia" w:asciiTheme="minorEastAsia" w:hAnsiTheme="minorEastAsia" w:eastAsiaTheme="minorEastAsia" w:cstheme="minorEastAsia"/>
          <w:color w:val="auto"/>
          <w:kern w:val="2"/>
          <w:sz w:val="24"/>
          <w:szCs w:val="24"/>
          <w:highlight w:val="none"/>
          <w:lang w:val="en-US" w:eastAsia="zh-CN" w:bidi="ar-SA"/>
        </w:rPr>
      </w:pPr>
      <w:r>
        <w:rPr>
          <w:rStyle w:val="21"/>
          <w:rFonts w:hint="eastAsia" w:asciiTheme="minorEastAsia" w:hAnsiTheme="minorEastAsia" w:eastAsiaTheme="minorEastAsia" w:cstheme="minorEastAsia"/>
          <w:color w:val="auto"/>
          <w:kern w:val="2"/>
          <w:sz w:val="24"/>
          <w:szCs w:val="24"/>
          <w:highlight w:val="none"/>
          <w:lang w:val="en-US" w:eastAsia="zh-CN" w:bidi="ar-SA"/>
        </w:rPr>
        <w:t>(2)承包人违反第5.3款或第6.4款的约定，未经监理人批准，私自将已按合同约定进入施工场地的施工设备、临时设施或材料撤离施工场地；</w:t>
      </w:r>
    </w:p>
    <w:p>
      <w:pPr>
        <w:pStyle w:val="65"/>
        <w:tabs>
          <w:tab w:val="left" w:pos="8280"/>
        </w:tabs>
        <w:spacing w:line="360" w:lineRule="auto"/>
        <w:ind w:firstLine="360" w:firstLineChars="150"/>
        <w:rPr>
          <w:rStyle w:val="21"/>
          <w:rFonts w:hint="eastAsia" w:asciiTheme="minorEastAsia" w:hAnsiTheme="minorEastAsia" w:eastAsiaTheme="minorEastAsia" w:cstheme="minorEastAsia"/>
          <w:color w:val="auto"/>
          <w:kern w:val="2"/>
          <w:sz w:val="24"/>
          <w:szCs w:val="24"/>
          <w:highlight w:val="none"/>
          <w:lang w:val="en-US" w:eastAsia="zh-CN" w:bidi="ar-SA"/>
        </w:rPr>
      </w:pPr>
      <w:r>
        <w:rPr>
          <w:rStyle w:val="21"/>
          <w:rFonts w:hint="eastAsia" w:asciiTheme="minorEastAsia" w:hAnsiTheme="minorEastAsia" w:eastAsiaTheme="minorEastAsia" w:cstheme="minorEastAsia"/>
          <w:color w:val="auto"/>
          <w:kern w:val="2"/>
          <w:sz w:val="24"/>
          <w:szCs w:val="24"/>
          <w:highlight w:val="none"/>
          <w:lang w:val="en-US" w:eastAsia="zh-CN" w:bidi="ar-SA"/>
        </w:rPr>
        <w:t xml:space="preserve">(3)承包人违反第5.4款的约定使用了不合格材料或工程设备，工程质量达不到标准要求，又拒绝清除不合格工程；    </w:t>
      </w:r>
    </w:p>
    <w:p>
      <w:pPr>
        <w:pStyle w:val="65"/>
        <w:tabs>
          <w:tab w:val="left" w:pos="8280"/>
        </w:tabs>
        <w:spacing w:line="360" w:lineRule="auto"/>
        <w:ind w:firstLine="360" w:firstLineChars="150"/>
        <w:rPr>
          <w:rStyle w:val="21"/>
          <w:rFonts w:hint="eastAsia" w:asciiTheme="minorEastAsia" w:hAnsiTheme="minorEastAsia" w:eastAsiaTheme="minorEastAsia" w:cstheme="minorEastAsia"/>
          <w:color w:val="auto"/>
          <w:kern w:val="2"/>
          <w:sz w:val="24"/>
          <w:szCs w:val="24"/>
          <w:highlight w:val="none"/>
          <w:lang w:val="en-US" w:eastAsia="zh-CN" w:bidi="ar-SA"/>
        </w:rPr>
      </w:pPr>
      <w:r>
        <w:rPr>
          <w:rStyle w:val="21"/>
          <w:rFonts w:hint="eastAsia" w:asciiTheme="minorEastAsia" w:hAnsiTheme="minorEastAsia" w:eastAsiaTheme="minorEastAsia" w:cstheme="minorEastAsia"/>
          <w:color w:val="auto"/>
          <w:kern w:val="2"/>
          <w:sz w:val="24"/>
          <w:szCs w:val="24"/>
          <w:highlight w:val="none"/>
          <w:lang w:val="en-US" w:eastAsia="zh-CN" w:bidi="ar-SA"/>
        </w:rPr>
        <w:t xml:space="preserve">(4)承包人未能按合同进度计划及时完成合同约定的工作，已造成或预期造成工期延误； </w:t>
      </w:r>
    </w:p>
    <w:p>
      <w:pPr>
        <w:pStyle w:val="65"/>
        <w:tabs>
          <w:tab w:val="left" w:pos="8280"/>
        </w:tabs>
        <w:spacing w:line="360" w:lineRule="auto"/>
        <w:ind w:firstLine="360" w:firstLineChars="150"/>
        <w:rPr>
          <w:rStyle w:val="21"/>
          <w:rFonts w:hint="eastAsia" w:asciiTheme="minorEastAsia" w:hAnsiTheme="minorEastAsia" w:eastAsiaTheme="minorEastAsia" w:cstheme="minorEastAsia"/>
          <w:color w:val="auto"/>
          <w:kern w:val="2"/>
          <w:sz w:val="24"/>
          <w:szCs w:val="24"/>
          <w:highlight w:val="none"/>
          <w:lang w:val="en-US" w:eastAsia="zh-CN" w:bidi="ar-SA"/>
        </w:rPr>
      </w:pPr>
      <w:r>
        <w:rPr>
          <w:rStyle w:val="21"/>
          <w:rFonts w:hint="eastAsia" w:asciiTheme="minorEastAsia" w:hAnsiTheme="minorEastAsia" w:eastAsiaTheme="minorEastAsia" w:cstheme="minorEastAsia"/>
          <w:color w:val="auto"/>
          <w:kern w:val="2"/>
          <w:sz w:val="24"/>
          <w:szCs w:val="24"/>
          <w:highlight w:val="none"/>
          <w:lang w:val="en-US" w:eastAsia="zh-CN" w:bidi="ar-SA"/>
        </w:rPr>
        <w:t>(5)承包人在缺陷责任期(工程质量保修期)内，未能对合同工程完工验收鉴定书所列的缺陷清单的内容或缺陷责任期(工程质量保修期)内发生的缺陷进行修复，而又拒绝按监理人指示再进行修补；</w:t>
      </w:r>
    </w:p>
    <w:p>
      <w:pPr>
        <w:pStyle w:val="65"/>
        <w:tabs>
          <w:tab w:val="left" w:pos="8280"/>
        </w:tabs>
        <w:spacing w:line="360" w:lineRule="auto"/>
        <w:ind w:firstLine="360" w:firstLineChars="150"/>
        <w:rPr>
          <w:rStyle w:val="21"/>
          <w:rFonts w:hint="eastAsia" w:asciiTheme="minorEastAsia" w:hAnsiTheme="minorEastAsia" w:eastAsiaTheme="minorEastAsia" w:cstheme="minorEastAsia"/>
          <w:color w:val="auto"/>
          <w:kern w:val="2"/>
          <w:sz w:val="24"/>
          <w:szCs w:val="24"/>
          <w:highlight w:val="none"/>
          <w:lang w:val="en-US" w:eastAsia="zh-CN" w:bidi="ar-SA"/>
        </w:rPr>
      </w:pPr>
      <w:r>
        <w:rPr>
          <w:rStyle w:val="21"/>
          <w:rFonts w:hint="eastAsia" w:asciiTheme="minorEastAsia" w:hAnsiTheme="minorEastAsia" w:eastAsiaTheme="minorEastAsia" w:cstheme="minorEastAsia"/>
          <w:color w:val="auto"/>
          <w:kern w:val="2"/>
          <w:sz w:val="24"/>
          <w:szCs w:val="24"/>
          <w:highlight w:val="none"/>
          <w:lang w:val="en-US" w:eastAsia="zh-CN" w:bidi="ar-SA"/>
        </w:rPr>
        <w:t>(6)承包人无法继续履行或明确表示不履行或实质上已停止履行合同；</w:t>
      </w:r>
    </w:p>
    <w:p>
      <w:pPr>
        <w:pStyle w:val="65"/>
        <w:tabs>
          <w:tab w:val="left" w:pos="8280"/>
        </w:tabs>
        <w:spacing w:line="360" w:lineRule="auto"/>
        <w:ind w:firstLine="360" w:firstLineChars="150"/>
        <w:rPr>
          <w:rStyle w:val="21"/>
          <w:rFonts w:hint="eastAsia" w:asciiTheme="minorEastAsia" w:hAnsiTheme="minorEastAsia" w:eastAsiaTheme="minorEastAsia" w:cstheme="minorEastAsia"/>
          <w:color w:val="auto"/>
          <w:kern w:val="2"/>
          <w:sz w:val="24"/>
          <w:szCs w:val="24"/>
          <w:highlight w:val="none"/>
          <w:lang w:val="en-US" w:eastAsia="zh-CN" w:bidi="ar-SA"/>
        </w:rPr>
      </w:pPr>
      <w:r>
        <w:rPr>
          <w:rStyle w:val="21"/>
          <w:rFonts w:hint="eastAsia" w:asciiTheme="minorEastAsia" w:hAnsiTheme="minorEastAsia" w:eastAsiaTheme="minorEastAsia" w:cstheme="minorEastAsia"/>
          <w:color w:val="auto"/>
          <w:kern w:val="2"/>
          <w:sz w:val="24"/>
          <w:szCs w:val="24"/>
          <w:highlight w:val="none"/>
          <w:lang w:val="en-US" w:eastAsia="zh-CN" w:bidi="ar-SA"/>
        </w:rPr>
        <w:t>(7)承包人不按合同约定履行义务的其它情况。</w:t>
      </w:r>
    </w:p>
    <w:p>
      <w:pPr>
        <w:pStyle w:val="65"/>
        <w:tabs>
          <w:tab w:val="left" w:pos="8280"/>
        </w:tabs>
        <w:spacing w:line="360" w:lineRule="auto"/>
        <w:ind w:firstLine="360" w:firstLineChars="150"/>
        <w:rPr>
          <w:rStyle w:val="21"/>
          <w:rFonts w:hint="eastAsia" w:asciiTheme="minorEastAsia" w:hAnsiTheme="minorEastAsia" w:eastAsiaTheme="minorEastAsia" w:cstheme="minorEastAsia"/>
          <w:color w:val="auto"/>
          <w:kern w:val="2"/>
          <w:sz w:val="24"/>
          <w:szCs w:val="24"/>
          <w:highlight w:val="none"/>
          <w:lang w:val="en-US" w:eastAsia="zh-CN" w:bidi="ar-SA"/>
        </w:rPr>
      </w:pPr>
      <w:r>
        <w:rPr>
          <w:rStyle w:val="21"/>
          <w:rFonts w:hint="eastAsia" w:asciiTheme="minorEastAsia" w:hAnsiTheme="minorEastAsia" w:eastAsiaTheme="minorEastAsia" w:cstheme="minorEastAsia"/>
          <w:color w:val="auto"/>
          <w:kern w:val="2"/>
          <w:sz w:val="24"/>
          <w:szCs w:val="24"/>
          <w:highlight w:val="none"/>
          <w:lang w:val="en-US" w:eastAsia="zh-CN" w:bidi="ar-SA"/>
        </w:rPr>
        <w:t>22.1.2对承包人违约的处理</w:t>
      </w:r>
    </w:p>
    <w:p>
      <w:pPr>
        <w:pStyle w:val="65"/>
        <w:tabs>
          <w:tab w:val="left" w:pos="8280"/>
        </w:tabs>
        <w:spacing w:line="360" w:lineRule="auto"/>
        <w:ind w:firstLine="360" w:firstLineChars="150"/>
        <w:rPr>
          <w:rStyle w:val="21"/>
          <w:rFonts w:hint="eastAsia" w:asciiTheme="minorEastAsia" w:hAnsiTheme="minorEastAsia" w:eastAsiaTheme="minorEastAsia" w:cstheme="minorEastAsia"/>
          <w:color w:val="auto"/>
          <w:kern w:val="2"/>
          <w:sz w:val="24"/>
          <w:szCs w:val="24"/>
          <w:highlight w:val="none"/>
          <w:lang w:val="en-US" w:eastAsia="zh-CN" w:bidi="ar-SA"/>
        </w:rPr>
      </w:pPr>
      <w:r>
        <w:rPr>
          <w:rStyle w:val="21"/>
          <w:rFonts w:hint="eastAsia" w:asciiTheme="minorEastAsia" w:hAnsiTheme="minorEastAsia" w:eastAsiaTheme="minorEastAsia" w:cstheme="minorEastAsia"/>
          <w:color w:val="auto"/>
          <w:kern w:val="2"/>
          <w:sz w:val="24"/>
          <w:szCs w:val="24"/>
          <w:highlight w:val="none"/>
          <w:lang w:val="en-US" w:eastAsia="zh-CN" w:bidi="ar-SA"/>
        </w:rPr>
        <w:t>(1)承包人发生第20.1.1(6)目约定的违约情况时，发包人可通知承包人立即解除合同，并按有关法律处理。</w:t>
      </w:r>
    </w:p>
    <w:p>
      <w:pPr>
        <w:pStyle w:val="65"/>
        <w:tabs>
          <w:tab w:val="left" w:pos="8280"/>
        </w:tabs>
        <w:spacing w:line="360" w:lineRule="auto"/>
        <w:ind w:firstLine="360" w:firstLineChars="150"/>
        <w:rPr>
          <w:rStyle w:val="21"/>
          <w:rFonts w:hint="eastAsia" w:asciiTheme="minorEastAsia" w:hAnsiTheme="minorEastAsia" w:eastAsiaTheme="minorEastAsia" w:cstheme="minorEastAsia"/>
          <w:color w:val="auto"/>
          <w:kern w:val="2"/>
          <w:sz w:val="24"/>
          <w:szCs w:val="24"/>
          <w:highlight w:val="none"/>
          <w:lang w:val="en-US" w:eastAsia="zh-CN" w:bidi="ar-SA"/>
        </w:rPr>
      </w:pPr>
      <w:r>
        <w:rPr>
          <w:rStyle w:val="21"/>
          <w:rFonts w:hint="eastAsia" w:asciiTheme="minorEastAsia" w:hAnsiTheme="minorEastAsia" w:eastAsiaTheme="minorEastAsia" w:cstheme="minorEastAsia"/>
          <w:color w:val="auto"/>
          <w:kern w:val="2"/>
          <w:sz w:val="24"/>
          <w:szCs w:val="24"/>
          <w:highlight w:val="none"/>
          <w:lang w:val="en-US" w:eastAsia="zh-CN" w:bidi="ar-SA"/>
        </w:rPr>
        <w:t>(2)承包人发生除第20.1.1(6)目约定以外的其他违约情况时，监理人可向承包人发出整改通知，要求其在指定的期限内改正。承包人应承担其违约所引起的费用增加和(或)工期延误。</w:t>
      </w:r>
    </w:p>
    <w:p>
      <w:pPr>
        <w:pStyle w:val="65"/>
        <w:tabs>
          <w:tab w:val="left" w:pos="8280"/>
        </w:tabs>
        <w:spacing w:line="360" w:lineRule="auto"/>
        <w:ind w:firstLine="360" w:firstLineChars="150"/>
        <w:rPr>
          <w:rStyle w:val="21"/>
          <w:rFonts w:hint="eastAsia" w:asciiTheme="minorEastAsia" w:hAnsiTheme="minorEastAsia" w:eastAsiaTheme="minorEastAsia" w:cstheme="minorEastAsia"/>
          <w:color w:val="auto"/>
          <w:kern w:val="2"/>
          <w:sz w:val="24"/>
          <w:szCs w:val="24"/>
          <w:highlight w:val="none"/>
          <w:lang w:val="en-US" w:eastAsia="zh-CN" w:bidi="ar-SA"/>
        </w:rPr>
      </w:pPr>
      <w:r>
        <w:rPr>
          <w:rStyle w:val="21"/>
          <w:rFonts w:hint="eastAsia" w:asciiTheme="minorEastAsia" w:hAnsiTheme="minorEastAsia" w:eastAsiaTheme="minorEastAsia" w:cstheme="minorEastAsia"/>
          <w:color w:val="auto"/>
          <w:kern w:val="2"/>
          <w:sz w:val="24"/>
          <w:szCs w:val="24"/>
          <w:highlight w:val="none"/>
          <w:lang w:val="en-US" w:eastAsia="zh-CN" w:bidi="ar-SA"/>
        </w:rPr>
        <w:t xml:space="preserve">(3)经检查证明承包人已采取了有效措施纠正违约行为，具备复工条件的，可由监理人签发复工通知复工。    </w:t>
      </w:r>
    </w:p>
    <w:p>
      <w:pPr>
        <w:pStyle w:val="65"/>
        <w:tabs>
          <w:tab w:val="left" w:pos="8280"/>
        </w:tabs>
        <w:spacing w:line="360" w:lineRule="auto"/>
        <w:ind w:firstLine="360" w:firstLineChars="150"/>
        <w:rPr>
          <w:rStyle w:val="21"/>
          <w:rFonts w:hint="eastAsia" w:asciiTheme="minorEastAsia" w:hAnsiTheme="minorEastAsia" w:eastAsiaTheme="minorEastAsia" w:cstheme="minorEastAsia"/>
          <w:color w:val="auto"/>
          <w:kern w:val="2"/>
          <w:sz w:val="24"/>
          <w:szCs w:val="24"/>
          <w:highlight w:val="none"/>
          <w:lang w:val="en-US" w:eastAsia="zh-CN" w:bidi="ar-SA"/>
        </w:rPr>
      </w:pPr>
      <w:r>
        <w:rPr>
          <w:rStyle w:val="21"/>
          <w:rFonts w:hint="eastAsia" w:asciiTheme="minorEastAsia" w:hAnsiTheme="minorEastAsia" w:eastAsiaTheme="minorEastAsia" w:cstheme="minorEastAsia"/>
          <w:color w:val="auto"/>
          <w:kern w:val="2"/>
          <w:sz w:val="24"/>
          <w:szCs w:val="24"/>
          <w:highlight w:val="none"/>
          <w:lang w:val="en-US" w:eastAsia="zh-CN" w:bidi="ar-SA"/>
        </w:rPr>
        <w:t xml:space="preserve">22.1.3承包人违约解除合同    </w:t>
      </w:r>
    </w:p>
    <w:p>
      <w:pPr>
        <w:pStyle w:val="65"/>
        <w:tabs>
          <w:tab w:val="left" w:pos="8280"/>
        </w:tabs>
        <w:spacing w:line="360" w:lineRule="auto"/>
        <w:ind w:firstLine="360" w:firstLineChars="150"/>
        <w:rPr>
          <w:rStyle w:val="21"/>
          <w:rFonts w:hint="eastAsia" w:asciiTheme="minorEastAsia" w:hAnsiTheme="minorEastAsia" w:eastAsiaTheme="minorEastAsia" w:cstheme="minorEastAsia"/>
          <w:color w:val="auto"/>
          <w:kern w:val="2"/>
          <w:sz w:val="24"/>
          <w:szCs w:val="24"/>
          <w:highlight w:val="none"/>
          <w:lang w:val="en-US" w:eastAsia="zh-CN" w:bidi="ar-SA"/>
        </w:rPr>
      </w:pPr>
      <w:r>
        <w:rPr>
          <w:rStyle w:val="21"/>
          <w:rFonts w:hint="eastAsia" w:asciiTheme="minorEastAsia" w:hAnsiTheme="minorEastAsia" w:eastAsiaTheme="minorEastAsia" w:cstheme="minorEastAsia"/>
          <w:color w:val="auto"/>
          <w:kern w:val="2"/>
          <w:sz w:val="24"/>
          <w:szCs w:val="24"/>
          <w:highlight w:val="none"/>
          <w:lang w:val="en-US" w:eastAsia="zh-CN" w:bidi="ar-SA"/>
        </w:rPr>
        <w:t>监理人发出整改通知28天后，承包人仍不纠正违约行为的，发包人可向承包人发出解除合同通知。合同解除后，发包人可派员进驻施工场地，另行组织人员或委托其他承包人施工。发包人因继续完成该工程的需要，有权扣留使用承包人在现场的材料、设备和临时设施。但发包人的这一行动不免除承包人应承担的违约责任，也不影响发包人根据合同约定享有的索赔权利。</w:t>
      </w:r>
    </w:p>
    <w:p>
      <w:pPr>
        <w:pStyle w:val="65"/>
        <w:tabs>
          <w:tab w:val="left" w:pos="8280"/>
        </w:tabs>
        <w:spacing w:line="360" w:lineRule="auto"/>
        <w:ind w:firstLine="360" w:firstLineChars="150"/>
        <w:rPr>
          <w:rStyle w:val="21"/>
          <w:rFonts w:hint="eastAsia" w:asciiTheme="minorEastAsia" w:hAnsiTheme="minorEastAsia" w:eastAsiaTheme="minorEastAsia" w:cstheme="minorEastAsia"/>
          <w:color w:val="auto"/>
          <w:kern w:val="2"/>
          <w:sz w:val="24"/>
          <w:szCs w:val="24"/>
          <w:highlight w:val="none"/>
          <w:lang w:val="en-US" w:eastAsia="zh-CN" w:bidi="ar-SA"/>
        </w:rPr>
      </w:pPr>
      <w:r>
        <w:rPr>
          <w:rStyle w:val="21"/>
          <w:rFonts w:hint="eastAsia" w:asciiTheme="minorEastAsia" w:hAnsiTheme="minorEastAsia" w:eastAsiaTheme="minorEastAsia" w:cstheme="minorEastAsia"/>
          <w:color w:val="auto"/>
          <w:kern w:val="2"/>
          <w:sz w:val="24"/>
          <w:szCs w:val="24"/>
          <w:highlight w:val="none"/>
          <w:lang w:val="en-US" w:eastAsia="zh-CN" w:bidi="ar-SA"/>
        </w:rPr>
        <w:t>22.1.4合同解除后的估价、付款和结清</w:t>
      </w:r>
    </w:p>
    <w:p>
      <w:pPr>
        <w:pStyle w:val="65"/>
        <w:tabs>
          <w:tab w:val="left" w:pos="8280"/>
        </w:tabs>
        <w:spacing w:line="360" w:lineRule="auto"/>
        <w:ind w:firstLine="360" w:firstLineChars="150"/>
        <w:rPr>
          <w:rStyle w:val="21"/>
          <w:rFonts w:hint="eastAsia" w:asciiTheme="minorEastAsia" w:hAnsiTheme="minorEastAsia" w:eastAsiaTheme="minorEastAsia" w:cstheme="minorEastAsia"/>
          <w:color w:val="auto"/>
          <w:kern w:val="2"/>
          <w:sz w:val="24"/>
          <w:szCs w:val="24"/>
          <w:highlight w:val="none"/>
          <w:lang w:val="en-US" w:eastAsia="zh-CN" w:bidi="ar-SA"/>
        </w:rPr>
      </w:pPr>
      <w:r>
        <w:rPr>
          <w:rStyle w:val="21"/>
          <w:rFonts w:hint="eastAsia" w:asciiTheme="minorEastAsia" w:hAnsiTheme="minorEastAsia" w:eastAsiaTheme="minorEastAsia" w:cstheme="minorEastAsia"/>
          <w:color w:val="auto"/>
          <w:kern w:val="2"/>
          <w:sz w:val="24"/>
          <w:szCs w:val="24"/>
          <w:highlight w:val="none"/>
          <w:lang w:val="en-US" w:eastAsia="zh-CN" w:bidi="ar-SA"/>
        </w:rPr>
        <w:t xml:space="preserve">(1)合同解除后，监理人按第3.5款商定或确定承包人实际完成工作的价值，以及承包人己提供的材料、施工设备、工程设备和临时工程等的价值。  </w:t>
      </w:r>
    </w:p>
    <w:p>
      <w:pPr>
        <w:pStyle w:val="65"/>
        <w:tabs>
          <w:tab w:val="left" w:pos="8280"/>
        </w:tabs>
        <w:spacing w:line="360" w:lineRule="auto"/>
        <w:ind w:firstLine="360" w:firstLineChars="150"/>
        <w:rPr>
          <w:rStyle w:val="21"/>
          <w:rFonts w:hint="eastAsia" w:asciiTheme="minorEastAsia" w:hAnsiTheme="minorEastAsia" w:eastAsiaTheme="minorEastAsia" w:cstheme="minorEastAsia"/>
          <w:color w:val="auto"/>
          <w:kern w:val="2"/>
          <w:sz w:val="24"/>
          <w:szCs w:val="24"/>
          <w:highlight w:val="none"/>
          <w:lang w:val="en-US" w:eastAsia="zh-CN" w:bidi="ar-SA"/>
        </w:rPr>
      </w:pPr>
      <w:r>
        <w:rPr>
          <w:rStyle w:val="21"/>
          <w:rFonts w:hint="eastAsia" w:asciiTheme="minorEastAsia" w:hAnsiTheme="minorEastAsia" w:eastAsiaTheme="minorEastAsia" w:cstheme="minorEastAsia"/>
          <w:color w:val="auto"/>
          <w:kern w:val="2"/>
          <w:sz w:val="24"/>
          <w:szCs w:val="24"/>
          <w:highlight w:val="none"/>
          <w:lang w:val="en-US" w:eastAsia="zh-CN" w:bidi="ar-SA"/>
        </w:rPr>
        <w:t xml:space="preserve">(2)合同解除后，发包人应暂停对承包人的一切付款，查清各项付款和已扣款金额，包括承包人应支付的违约金。    </w:t>
      </w:r>
    </w:p>
    <w:p>
      <w:pPr>
        <w:pStyle w:val="65"/>
        <w:tabs>
          <w:tab w:val="left" w:pos="8280"/>
        </w:tabs>
        <w:spacing w:line="360" w:lineRule="auto"/>
        <w:ind w:firstLine="360" w:firstLineChars="150"/>
        <w:rPr>
          <w:rStyle w:val="21"/>
          <w:rFonts w:hint="eastAsia" w:asciiTheme="minorEastAsia" w:hAnsiTheme="minorEastAsia" w:eastAsiaTheme="minorEastAsia" w:cstheme="minorEastAsia"/>
          <w:color w:val="auto"/>
          <w:kern w:val="2"/>
          <w:sz w:val="24"/>
          <w:szCs w:val="24"/>
          <w:highlight w:val="none"/>
          <w:lang w:val="en-US" w:eastAsia="zh-CN" w:bidi="ar-SA"/>
        </w:rPr>
      </w:pPr>
      <w:r>
        <w:rPr>
          <w:rStyle w:val="21"/>
          <w:rFonts w:hint="eastAsia" w:asciiTheme="minorEastAsia" w:hAnsiTheme="minorEastAsia" w:eastAsiaTheme="minorEastAsia" w:cstheme="minorEastAsia"/>
          <w:color w:val="auto"/>
          <w:kern w:val="2"/>
          <w:sz w:val="24"/>
          <w:szCs w:val="24"/>
          <w:highlight w:val="none"/>
          <w:lang w:val="en-US" w:eastAsia="zh-CN" w:bidi="ar-SA"/>
        </w:rPr>
        <w:t>(3)合同解除后，发包人应按第21.4款的约定向承包人索赔由于解除合同给发包人造成的损失。</w:t>
      </w:r>
    </w:p>
    <w:p>
      <w:pPr>
        <w:pStyle w:val="65"/>
        <w:tabs>
          <w:tab w:val="left" w:pos="8280"/>
        </w:tabs>
        <w:spacing w:line="360" w:lineRule="auto"/>
        <w:ind w:firstLine="360" w:firstLineChars="150"/>
        <w:rPr>
          <w:rStyle w:val="21"/>
          <w:rFonts w:hint="eastAsia" w:asciiTheme="minorEastAsia" w:hAnsiTheme="minorEastAsia" w:eastAsiaTheme="minorEastAsia" w:cstheme="minorEastAsia"/>
          <w:color w:val="auto"/>
          <w:kern w:val="2"/>
          <w:sz w:val="24"/>
          <w:szCs w:val="24"/>
          <w:highlight w:val="none"/>
          <w:lang w:val="en-US" w:eastAsia="zh-CN" w:bidi="ar-SA"/>
        </w:rPr>
      </w:pPr>
      <w:r>
        <w:rPr>
          <w:rStyle w:val="21"/>
          <w:rFonts w:hint="eastAsia" w:asciiTheme="minorEastAsia" w:hAnsiTheme="minorEastAsia" w:eastAsiaTheme="minorEastAsia" w:cstheme="minorEastAsia"/>
          <w:color w:val="auto"/>
          <w:kern w:val="2"/>
          <w:sz w:val="24"/>
          <w:szCs w:val="24"/>
          <w:highlight w:val="none"/>
          <w:lang w:val="en-US" w:eastAsia="zh-CN" w:bidi="ar-SA"/>
        </w:rPr>
        <w:t>(4)合同双方确认上述往来款项后，出具最终结清付款证书，结清全部合同款项。</w:t>
      </w:r>
    </w:p>
    <w:p>
      <w:pPr>
        <w:pStyle w:val="65"/>
        <w:tabs>
          <w:tab w:val="left" w:pos="8280"/>
        </w:tabs>
        <w:spacing w:line="360" w:lineRule="auto"/>
        <w:ind w:firstLine="360" w:firstLineChars="150"/>
        <w:rPr>
          <w:rStyle w:val="21"/>
          <w:rFonts w:hint="eastAsia" w:asciiTheme="minorEastAsia" w:hAnsiTheme="minorEastAsia" w:eastAsiaTheme="minorEastAsia" w:cstheme="minorEastAsia"/>
          <w:color w:val="auto"/>
          <w:kern w:val="2"/>
          <w:sz w:val="24"/>
          <w:szCs w:val="24"/>
          <w:highlight w:val="none"/>
          <w:lang w:val="en-US" w:eastAsia="zh-CN" w:bidi="ar-SA"/>
        </w:rPr>
      </w:pPr>
      <w:r>
        <w:rPr>
          <w:rStyle w:val="21"/>
          <w:rFonts w:hint="eastAsia" w:asciiTheme="minorEastAsia" w:hAnsiTheme="minorEastAsia" w:eastAsiaTheme="minorEastAsia" w:cstheme="minorEastAsia"/>
          <w:color w:val="auto"/>
          <w:kern w:val="2"/>
          <w:sz w:val="24"/>
          <w:szCs w:val="24"/>
          <w:highlight w:val="none"/>
          <w:lang w:val="en-US" w:eastAsia="zh-CN" w:bidi="ar-SA"/>
        </w:rPr>
        <w:t>(5)发包人和承包人未能就解除合同后的结清达成一致而形成争议的，按第22条的约定办理。</w:t>
      </w:r>
    </w:p>
    <w:p>
      <w:pPr>
        <w:pStyle w:val="65"/>
        <w:tabs>
          <w:tab w:val="left" w:pos="8280"/>
        </w:tabs>
        <w:spacing w:line="360" w:lineRule="auto"/>
        <w:ind w:firstLine="360" w:firstLineChars="150"/>
        <w:rPr>
          <w:rStyle w:val="21"/>
          <w:rFonts w:hint="eastAsia" w:asciiTheme="minorEastAsia" w:hAnsiTheme="minorEastAsia" w:eastAsiaTheme="minorEastAsia" w:cstheme="minorEastAsia"/>
          <w:color w:val="auto"/>
          <w:kern w:val="2"/>
          <w:sz w:val="24"/>
          <w:szCs w:val="24"/>
          <w:highlight w:val="none"/>
          <w:lang w:val="en-US" w:eastAsia="zh-CN" w:bidi="ar-SA"/>
        </w:rPr>
      </w:pPr>
      <w:r>
        <w:rPr>
          <w:rStyle w:val="21"/>
          <w:rFonts w:hint="eastAsia" w:asciiTheme="minorEastAsia" w:hAnsiTheme="minorEastAsia" w:eastAsiaTheme="minorEastAsia" w:cstheme="minorEastAsia"/>
          <w:color w:val="auto"/>
          <w:kern w:val="2"/>
          <w:sz w:val="24"/>
          <w:szCs w:val="24"/>
          <w:highlight w:val="none"/>
          <w:lang w:val="en-US" w:eastAsia="zh-CN" w:bidi="ar-SA"/>
        </w:rPr>
        <w:t>22.1.5协议利益的转让</w:t>
      </w:r>
    </w:p>
    <w:p>
      <w:pPr>
        <w:pStyle w:val="65"/>
        <w:tabs>
          <w:tab w:val="left" w:pos="8280"/>
        </w:tabs>
        <w:spacing w:line="360" w:lineRule="auto"/>
        <w:ind w:firstLine="360" w:firstLineChars="150"/>
        <w:rPr>
          <w:rStyle w:val="21"/>
          <w:rFonts w:hint="eastAsia" w:asciiTheme="minorEastAsia" w:hAnsiTheme="minorEastAsia" w:eastAsiaTheme="minorEastAsia" w:cstheme="minorEastAsia"/>
          <w:color w:val="auto"/>
          <w:kern w:val="2"/>
          <w:sz w:val="24"/>
          <w:szCs w:val="24"/>
          <w:highlight w:val="none"/>
          <w:lang w:val="en-US" w:eastAsia="zh-CN" w:bidi="ar-SA"/>
        </w:rPr>
      </w:pPr>
      <w:r>
        <w:rPr>
          <w:rStyle w:val="21"/>
          <w:rFonts w:hint="eastAsia" w:asciiTheme="minorEastAsia" w:hAnsiTheme="minorEastAsia" w:eastAsiaTheme="minorEastAsia" w:cstheme="minorEastAsia"/>
          <w:color w:val="auto"/>
          <w:kern w:val="2"/>
          <w:sz w:val="24"/>
          <w:szCs w:val="24"/>
          <w:highlight w:val="none"/>
          <w:lang w:val="en-US" w:eastAsia="zh-CN" w:bidi="ar-SA"/>
        </w:rPr>
        <w:t>因承包人违约解除合同的，发包人有权要求承包人将其为实施合同而签订的材料和设备的订货访议或任何服务协议利益转让给发包人，并在解除合同后的14天内，依法办理转让手续。</w:t>
      </w:r>
    </w:p>
    <w:p>
      <w:pPr>
        <w:pStyle w:val="65"/>
        <w:tabs>
          <w:tab w:val="left" w:pos="8280"/>
        </w:tabs>
        <w:spacing w:line="360" w:lineRule="auto"/>
        <w:ind w:firstLine="360" w:firstLineChars="150"/>
        <w:rPr>
          <w:rStyle w:val="21"/>
          <w:rFonts w:hint="eastAsia" w:asciiTheme="minorEastAsia" w:hAnsiTheme="minorEastAsia" w:eastAsiaTheme="minorEastAsia" w:cstheme="minorEastAsia"/>
          <w:color w:val="auto"/>
          <w:kern w:val="2"/>
          <w:sz w:val="24"/>
          <w:szCs w:val="24"/>
          <w:highlight w:val="none"/>
          <w:lang w:val="en-US" w:eastAsia="zh-CN" w:bidi="ar-SA"/>
        </w:rPr>
      </w:pPr>
      <w:r>
        <w:rPr>
          <w:rStyle w:val="21"/>
          <w:rFonts w:hint="eastAsia" w:asciiTheme="minorEastAsia" w:hAnsiTheme="minorEastAsia" w:eastAsiaTheme="minorEastAsia" w:cstheme="minorEastAsia"/>
          <w:color w:val="auto"/>
          <w:kern w:val="2"/>
          <w:sz w:val="24"/>
          <w:szCs w:val="24"/>
          <w:highlight w:val="none"/>
          <w:lang w:val="en-US" w:eastAsia="zh-CN" w:bidi="ar-SA"/>
        </w:rPr>
        <w:t xml:space="preserve">22.1.6紧急情况下无能力或不愿进行抢救    </w:t>
      </w:r>
    </w:p>
    <w:p>
      <w:pPr>
        <w:pStyle w:val="65"/>
        <w:tabs>
          <w:tab w:val="left" w:pos="8280"/>
        </w:tabs>
        <w:spacing w:line="360" w:lineRule="auto"/>
        <w:ind w:firstLine="360" w:firstLineChars="150"/>
        <w:rPr>
          <w:rStyle w:val="21"/>
          <w:rFonts w:hint="eastAsia" w:asciiTheme="minorEastAsia" w:hAnsiTheme="minorEastAsia" w:eastAsiaTheme="minorEastAsia" w:cstheme="minorEastAsia"/>
          <w:color w:val="auto"/>
          <w:kern w:val="2"/>
          <w:sz w:val="24"/>
          <w:szCs w:val="24"/>
          <w:highlight w:val="none"/>
          <w:lang w:val="en-US" w:eastAsia="zh-CN" w:bidi="ar-SA"/>
        </w:rPr>
      </w:pPr>
      <w:r>
        <w:rPr>
          <w:rStyle w:val="21"/>
          <w:rFonts w:hint="eastAsia" w:asciiTheme="minorEastAsia" w:hAnsiTheme="minorEastAsia" w:eastAsiaTheme="minorEastAsia" w:cstheme="minorEastAsia"/>
          <w:color w:val="auto"/>
          <w:kern w:val="2"/>
          <w:sz w:val="24"/>
          <w:szCs w:val="24"/>
          <w:highlight w:val="none"/>
          <w:lang w:val="en-US" w:eastAsia="zh-CN" w:bidi="ar-SA"/>
        </w:rPr>
        <w:t>在工程实施期间或缺陷责任期内发生危及工程安全的事件，监理人通知承包人进行抢救，承包人声明无能力或不愿立即执行的，发包人有权雇佣其他人员进行抢救。此类抢救按合同约定属于承包人义务的，由此发生的金额和(或)工期延误由承包人承担。</w:t>
      </w:r>
    </w:p>
    <w:p>
      <w:pPr>
        <w:pStyle w:val="65"/>
        <w:tabs>
          <w:tab w:val="left" w:pos="8280"/>
        </w:tabs>
        <w:spacing w:line="360" w:lineRule="auto"/>
        <w:rPr>
          <w:rStyle w:val="21"/>
          <w:rFonts w:hint="eastAsia" w:asciiTheme="minorEastAsia" w:hAnsiTheme="minorEastAsia" w:eastAsiaTheme="minorEastAsia" w:cstheme="minorEastAsia"/>
          <w:b/>
          <w:color w:val="auto"/>
          <w:kern w:val="2"/>
          <w:sz w:val="24"/>
          <w:szCs w:val="24"/>
          <w:highlight w:val="none"/>
          <w:lang w:val="en-US" w:eastAsia="zh-CN" w:bidi="ar-SA"/>
        </w:rPr>
      </w:pPr>
      <w:r>
        <w:rPr>
          <w:rStyle w:val="21"/>
          <w:rFonts w:hint="eastAsia" w:asciiTheme="minorEastAsia" w:hAnsiTheme="minorEastAsia" w:eastAsiaTheme="minorEastAsia" w:cstheme="minorEastAsia"/>
          <w:b/>
          <w:color w:val="auto"/>
          <w:kern w:val="2"/>
          <w:sz w:val="24"/>
          <w:szCs w:val="24"/>
          <w:highlight w:val="none"/>
          <w:lang w:val="en-US" w:eastAsia="zh-CN" w:bidi="ar-SA"/>
        </w:rPr>
        <w:t xml:space="preserve">22.2发包人违约 </w:t>
      </w:r>
    </w:p>
    <w:p>
      <w:pPr>
        <w:pStyle w:val="65"/>
        <w:tabs>
          <w:tab w:val="left" w:pos="8280"/>
        </w:tabs>
        <w:spacing w:line="360" w:lineRule="auto"/>
        <w:ind w:firstLine="360" w:firstLineChars="150"/>
        <w:rPr>
          <w:rStyle w:val="21"/>
          <w:rFonts w:hint="eastAsia" w:asciiTheme="minorEastAsia" w:hAnsiTheme="minorEastAsia" w:eastAsiaTheme="minorEastAsia" w:cstheme="minorEastAsia"/>
          <w:color w:val="auto"/>
          <w:kern w:val="2"/>
          <w:sz w:val="24"/>
          <w:szCs w:val="24"/>
          <w:highlight w:val="none"/>
          <w:lang w:val="en-US" w:eastAsia="zh-CN" w:bidi="ar-SA"/>
        </w:rPr>
      </w:pPr>
      <w:r>
        <w:rPr>
          <w:rStyle w:val="21"/>
          <w:rFonts w:hint="eastAsia" w:asciiTheme="minorEastAsia" w:hAnsiTheme="minorEastAsia" w:eastAsiaTheme="minorEastAsia" w:cstheme="minorEastAsia"/>
          <w:color w:val="auto"/>
          <w:kern w:val="2"/>
          <w:sz w:val="24"/>
          <w:szCs w:val="24"/>
          <w:highlight w:val="none"/>
          <w:lang w:val="en-US" w:eastAsia="zh-CN" w:bidi="ar-SA"/>
        </w:rPr>
        <w:t>22.2.1发包人违约的情形</w:t>
      </w:r>
    </w:p>
    <w:p>
      <w:pPr>
        <w:pStyle w:val="65"/>
        <w:tabs>
          <w:tab w:val="left" w:pos="8280"/>
        </w:tabs>
        <w:spacing w:line="360" w:lineRule="auto"/>
        <w:ind w:firstLine="360" w:firstLineChars="150"/>
        <w:rPr>
          <w:rStyle w:val="21"/>
          <w:rFonts w:hint="eastAsia" w:asciiTheme="minorEastAsia" w:hAnsiTheme="minorEastAsia" w:eastAsiaTheme="minorEastAsia" w:cstheme="minorEastAsia"/>
          <w:color w:val="auto"/>
          <w:kern w:val="2"/>
          <w:sz w:val="24"/>
          <w:szCs w:val="24"/>
          <w:highlight w:val="none"/>
          <w:lang w:val="en-US" w:eastAsia="zh-CN" w:bidi="ar-SA"/>
        </w:rPr>
      </w:pPr>
      <w:r>
        <w:rPr>
          <w:rStyle w:val="21"/>
          <w:rFonts w:hint="eastAsia" w:asciiTheme="minorEastAsia" w:hAnsiTheme="minorEastAsia" w:eastAsiaTheme="minorEastAsia" w:cstheme="minorEastAsia"/>
          <w:color w:val="auto"/>
          <w:kern w:val="2"/>
          <w:sz w:val="24"/>
          <w:szCs w:val="24"/>
          <w:highlight w:val="none"/>
          <w:lang w:val="en-US" w:eastAsia="zh-CN" w:bidi="ar-SA"/>
        </w:rPr>
        <w:t>在履行合同过程中发生的下列情形，属发包人违约：</w:t>
      </w:r>
    </w:p>
    <w:p>
      <w:pPr>
        <w:pStyle w:val="65"/>
        <w:tabs>
          <w:tab w:val="left" w:pos="8280"/>
        </w:tabs>
        <w:spacing w:line="360" w:lineRule="auto"/>
        <w:ind w:firstLine="360" w:firstLineChars="150"/>
        <w:rPr>
          <w:rStyle w:val="21"/>
          <w:rFonts w:hint="eastAsia" w:asciiTheme="minorEastAsia" w:hAnsiTheme="minorEastAsia" w:eastAsiaTheme="minorEastAsia" w:cstheme="minorEastAsia"/>
          <w:color w:val="auto"/>
          <w:kern w:val="2"/>
          <w:sz w:val="24"/>
          <w:szCs w:val="24"/>
          <w:highlight w:val="none"/>
          <w:lang w:val="en-US" w:eastAsia="zh-CN" w:bidi="ar-SA"/>
        </w:rPr>
      </w:pPr>
      <w:r>
        <w:rPr>
          <w:rStyle w:val="21"/>
          <w:rFonts w:hint="eastAsia" w:asciiTheme="minorEastAsia" w:hAnsiTheme="minorEastAsia" w:eastAsiaTheme="minorEastAsia" w:cstheme="minorEastAsia"/>
          <w:color w:val="auto"/>
          <w:kern w:val="2"/>
          <w:sz w:val="24"/>
          <w:szCs w:val="24"/>
          <w:highlight w:val="none"/>
          <w:lang w:val="en-US" w:eastAsia="zh-CN" w:bidi="ar-SA"/>
        </w:rPr>
        <w:t>(1)发包人未能按合同约定支付预付款或合同价款，或拖延、拒绝批准付款申请和支付凭证，导致付款延误的；</w:t>
      </w:r>
    </w:p>
    <w:p>
      <w:pPr>
        <w:pStyle w:val="65"/>
        <w:tabs>
          <w:tab w:val="left" w:pos="8280"/>
        </w:tabs>
        <w:spacing w:line="360" w:lineRule="auto"/>
        <w:ind w:firstLine="360" w:firstLineChars="150"/>
        <w:rPr>
          <w:rStyle w:val="21"/>
          <w:rFonts w:hint="eastAsia" w:asciiTheme="minorEastAsia" w:hAnsiTheme="minorEastAsia" w:eastAsiaTheme="minorEastAsia" w:cstheme="minorEastAsia"/>
          <w:color w:val="auto"/>
          <w:kern w:val="2"/>
          <w:sz w:val="24"/>
          <w:szCs w:val="24"/>
          <w:highlight w:val="none"/>
          <w:lang w:val="en-US" w:eastAsia="zh-CN" w:bidi="ar-SA"/>
        </w:rPr>
      </w:pPr>
      <w:r>
        <w:rPr>
          <w:rStyle w:val="21"/>
          <w:rFonts w:hint="eastAsia" w:asciiTheme="minorEastAsia" w:hAnsiTheme="minorEastAsia" w:eastAsiaTheme="minorEastAsia" w:cstheme="minorEastAsia"/>
          <w:color w:val="auto"/>
          <w:kern w:val="2"/>
          <w:sz w:val="24"/>
          <w:szCs w:val="24"/>
          <w:highlight w:val="none"/>
          <w:lang w:val="en-US" w:eastAsia="zh-CN" w:bidi="ar-SA"/>
        </w:rPr>
        <w:t xml:space="preserve">(2)发包人原因造成停工的；   </w:t>
      </w:r>
    </w:p>
    <w:p>
      <w:pPr>
        <w:pStyle w:val="65"/>
        <w:tabs>
          <w:tab w:val="left" w:pos="8280"/>
        </w:tabs>
        <w:spacing w:line="360" w:lineRule="auto"/>
        <w:ind w:firstLine="360" w:firstLineChars="150"/>
        <w:rPr>
          <w:rStyle w:val="21"/>
          <w:rFonts w:hint="eastAsia" w:asciiTheme="minorEastAsia" w:hAnsiTheme="minorEastAsia" w:eastAsiaTheme="minorEastAsia" w:cstheme="minorEastAsia"/>
          <w:color w:val="auto"/>
          <w:kern w:val="2"/>
          <w:sz w:val="24"/>
          <w:szCs w:val="24"/>
          <w:highlight w:val="none"/>
          <w:lang w:val="en-US" w:eastAsia="zh-CN" w:bidi="ar-SA"/>
        </w:rPr>
      </w:pPr>
      <w:r>
        <w:rPr>
          <w:rStyle w:val="21"/>
          <w:rFonts w:hint="eastAsia" w:asciiTheme="minorEastAsia" w:hAnsiTheme="minorEastAsia" w:eastAsiaTheme="minorEastAsia" w:cstheme="minorEastAsia"/>
          <w:color w:val="auto"/>
          <w:kern w:val="2"/>
          <w:sz w:val="24"/>
          <w:szCs w:val="24"/>
          <w:highlight w:val="none"/>
          <w:lang w:val="en-US" w:eastAsia="zh-CN" w:bidi="ar-SA"/>
        </w:rPr>
        <w:t>(3)监理人无正当理由没有在约定期限内发出复工指示，导致承包人无法复工的；</w:t>
      </w:r>
    </w:p>
    <w:p>
      <w:pPr>
        <w:pStyle w:val="65"/>
        <w:tabs>
          <w:tab w:val="left" w:pos="8280"/>
        </w:tabs>
        <w:spacing w:line="360" w:lineRule="auto"/>
        <w:ind w:firstLine="360" w:firstLineChars="150"/>
        <w:rPr>
          <w:rStyle w:val="21"/>
          <w:rFonts w:hint="eastAsia" w:asciiTheme="minorEastAsia" w:hAnsiTheme="minorEastAsia" w:eastAsiaTheme="minorEastAsia" w:cstheme="minorEastAsia"/>
          <w:color w:val="auto"/>
          <w:kern w:val="2"/>
          <w:sz w:val="24"/>
          <w:szCs w:val="24"/>
          <w:highlight w:val="none"/>
          <w:lang w:val="en-US" w:eastAsia="zh-CN" w:bidi="ar-SA"/>
        </w:rPr>
      </w:pPr>
      <w:r>
        <w:rPr>
          <w:rStyle w:val="21"/>
          <w:rFonts w:hint="eastAsia" w:asciiTheme="minorEastAsia" w:hAnsiTheme="minorEastAsia" w:eastAsiaTheme="minorEastAsia" w:cstheme="minorEastAsia"/>
          <w:color w:val="auto"/>
          <w:kern w:val="2"/>
          <w:sz w:val="24"/>
          <w:szCs w:val="24"/>
          <w:highlight w:val="none"/>
          <w:lang w:val="en-US" w:eastAsia="zh-CN" w:bidi="ar-SA"/>
        </w:rPr>
        <w:t>(4)发包人无法继续履行或明确表示不履行或实质上已停止履行合同的；</w:t>
      </w:r>
    </w:p>
    <w:p>
      <w:pPr>
        <w:pStyle w:val="65"/>
        <w:tabs>
          <w:tab w:val="left" w:pos="8280"/>
        </w:tabs>
        <w:spacing w:line="360" w:lineRule="auto"/>
        <w:ind w:firstLine="360" w:firstLineChars="150"/>
        <w:rPr>
          <w:rStyle w:val="21"/>
          <w:rFonts w:hint="eastAsia" w:asciiTheme="minorEastAsia" w:hAnsiTheme="minorEastAsia" w:eastAsiaTheme="minorEastAsia" w:cstheme="minorEastAsia"/>
          <w:color w:val="auto"/>
          <w:kern w:val="2"/>
          <w:sz w:val="24"/>
          <w:szCs w:val="24"/>
          <w:highlight w:val="none"/>
          <w:lang w:val="en-US" w:eastAsia="zh-CN" w:bidi="ar-SA"/>
        </w:rPr>
      </w:pPr>
      <w:r>
        <w:rPr>
          <w:rStyle w:val="21"/>
          <w:rFonts w:hint="eastAsia" w:asciiTheme="minorEastAsia" w:hAnsiTheme="minorEastAsia" w:eastAsiaTheme="minorEastAsia" w:cstheme="minorEastAsia"/>
          <w:color w:val="auto"/>
          <w:kern w:val="2"/>
          <w:sz w:val="24"/>
          <w:szCs w:val="24"/>
          <w:highlight w:val="none"/>
          <w:lang w:val="en-US" w:eastAsia="zh-CN" w:bidi="ar-SA"/>
        </w:rPr>
        <w:t>(5)发包人不履行合同约定其他义务的。</w:t>
      </w:r>
    </w:p>
    <w:p>
      <w:pPr>
        <w:pStyle w:val="65"/>
        <w:tabs>
          <w:tab w:val="left" w:pos="8280"/>
        </w:tabs>
        <w:spacing w:line="360" w:lineRule="auto"/>
        <w:ind w:firstLine="360" w:firstLineChars="150"/>
        <w:rPr>
          <w:rStyle w:val="21"/>
          <w:rFonts w:hint="eastAsia" w:asciiTheme="minorEastAsia" w:hAnsiTheme="minorEastAsia" w:eastAsiaTheme="minorEastAsia" w:cstheme="minorEastAsia"/>
          <w:color w:val="auto"/>
          <w:kern w:val="2"/>
          <w:sz w:val="24"/>
          <w:szCs w:val="24"/>
          <w:highlight w:val="none"/>
          <w:lang w:val="en-US" w:eastAsia="zh-CN" w:bidi="ar-SA"/>
        </w:rPr>
      </w:pPr>
      <w:r>
        <w:rPr>
          <w:rStyle w:val="21"/>
          <w:rFonts w:hint="eastAsia" w:asciiTheme="minorEastAsia" w:hAnsiTheme="minorEastAsia" w:eastAsiaTheme="minorEastAsia" w:cstheme="minorEastAsia"/>
          <w:color w:val="auto"/>
          <w:kern w:val="2"/>
          <w:sz w:val="24"/>
          <w:szCs w:val="24"/>
          <w:highlight w:val="none"/>
          <w:lang w:val="en-US" w:eastAsia="zh-CN" w:bidi="ar-SA"/>
        </w:rPr>
        <w:t>22.2.2承包人有权暂停施工</w:t>
      </w:r>
    </w:p>
    <w:p>
      <w:pPr>
        <w:pStyle w:val="65"/>
        <w:tabs>
          <w:tab w:val="left" w:pos="8280"/>
        </w:tabs>
        <w:spacing w:line="360" w:lineRule="auto"/>
        <w:ind w:firstLine="360" w:firstLineChars="150"/>
        <w:rPr>
          <w:rStyle w:val="21"/>
          <w:rFonts w:hint="eastAsia" w:asciiTheme="minorEastAsia" w:hAnsiTheme="minorEastAsia" w:eastAsiaTheme="minorEastAsia" w:cstheme="minorEastAsia"/>
          <w:color w:val="auto"/>
          <w:kern w:val="2"/>
          <w:sz w:val="24"/>
          <w:szCs w:val="24"/>
          <w:highlight w:val="none"/>
          <w:lang w:val="en-US" w:eastAsia="zh-CN" w:bidi="ar-SA"/>
        </w:rPr>
      </w:pPr>
      <w:r>
        <w:rPr>
          <w:rStyle w:val="21"/>
          <w:rFonts w:hint="eastAsia" w:asciiTheme="minorEastAsia" w:hAnsiTheme="minorEastAsia" w:eastAsiaTheme="minorEastAsia" w:cstheme="minorEastAsia"/>
          <w:color w:val="auto"/>
          <w:kern w:val="2"/>
          <w:sz w:val="24"/>
          <w:szCs w:val="24"/>
          <w:highlight w:val="none"/>
          <w:lang w:val="en-US" w:eastAsia="zh-CN" w:bidi="ar-SA"/>
        </w:rPr>
        <w:t>发包人发生除第22.2.1(4)目以外的违约情况时，承包人可向发包人发出通知，要求发包人采取有效措施纠正违约行为。发包人收到承包人通知后的28天内仍不履行合同义务，承包人有权暂停施工，并通知监理人，发包人应承担由此增加的费用和(或)工期延误，并支付承包人合理利润。</w:t>
      </w:r>
    </w:p>
    <w:p>
      <w:pPr>
        <w:pStyle w:val="65"/>
        <w:tabs>
          <w:tab w:val="left" w:pos="8280"/>
        </w:tabs>
        <w:spacing w:line="360" w:lineRule="auto"/>
        <w:ind w:firstLine="360" w:firstLineChars="150"/>
        <w:rPr>
          <w:rStyle w:val="21"/>
          <w:rFonts w:hint="eastAsia" w:asciiTheme="minorEastAsia" w:hAnsiTheme="minorEastAsia" w:eastAsiaTheme="minorEastAsia" w:cstheme="minorEastAsia"/>
          <w:color w:val="auto"/>
          <w:kern w:val="2"/>
          <w:sz w:val="24"/>
          <w:szCs w:val="24"/>
          <w:highlight w:val="none"/>
          <w:lang w:val="en-US" w:eastAsia="zh-CN" w:bidi="ar-SA"/>
        </w:rPr>
      </w:pPr>
      <w:r>
        <w:rPr>
          <w:rStyle w:val="21"/>
          <w:rFonts w:hint="eastAsia" w:asciiTheme="minorEastAsia" w:hAnsiTheme="minorEastAsia" w:eastAsiaTheme="minorEastAsia" w:cstheme="minorEastAsia"/>
          <w:color w:val="auto"/>
          <w:kern w:val="2"/>
          <w:sz w:val="24"/>
          <w:szCs w:val="24"/>
          <w:highlight w:val="none"/>
          <w:lang w:val="en-US" w:eastAsia="zh-CN" w:bidi="ar-SA"/>
        </w:rPr>
        <w:t>22.2.3发包人违约解除合同</w:t>
      </w:r>
    </w:p>
    <w:p>
      <w:pPr>
        <w:pStyle w:val="65"/>
        <w:tabs>
          <w:tab w:val="left" w:pos="8280"/>
        </w:tabs>
        <w:spacing w:line="360" w:lineRule="auto"/>
        <w:ind w:firstLine="360" w:firstLineChars="150"/>
        <w:rPr>
          <w:rStyle w:val="21"/>
          <w:rFonts w:hint="eastAsia" w:asciiTheme="minorEastAsia" w:hAnsiTheme="minorEastAsia" w:eastAsiaTheme="minorEastAsia" w:cstheme="minorEastAsia"/>
          <w:color w:val="auto"/>
          <w:kern w:val="2"/>
          <w:sz w:val="24"/>
          <w:szCs w:val="24"/>
          <w:highlight w:val="none"/>
          <w:lang w:val="en-US" w:eastAsia="zh-CN" w:bidi="ar-SA"/>
        </w:rPr>
      </w:pPr>
      <w:r>
        <w:rPr>
          <w:rStyle w:val="21"/>
          <w:rFonts w:hint="eastAsia" w:asciiTheme="minorEastAsia" w:hAnsiTheme="minorEastAsia" w:eastAsiaTheme="minorEastAsia" w:cstheme="minorEastAsia"/>
          <w:color w:val="auto"/>
          <w:kern w:val="2"/>
          <w:sz w:val="24"/>
          <w:szCs w:val="24"/>
          <w:highlight w:val="none"/>
          <w:lang w:val="en-US" w:eastAsia="zh-CN" w:bidi="ar-SA"/>
        </w:rPr>
        <w:t>(1)发生第22.2.1(4)目的违约情况时，承包人可书面通知发包人解除合同。</w:t>
      </w:r>
    </w:p>
    <w:p>
      <w:pPr>
        <w:pStyle w:val="65"/>
        <w:tabs>
          <w:tab w:val="left" w:pos="8280"/>
        </w:tabs>
        <w:spacing w:line="360" w:lineRule="auto"/>
        <w:ind w:firstLine="360" w:firstLineChars="150"/>
        <w:rPr>
          <w:rStyle w:val="21"/>
          <w:rFonts w:hint="eastAsia" w:asciiTheme="minorEastAsia" w:hAnsiTheme="minorEastAsia" w:eastAsiaTheme="minorEastAsia" w:cstheme="minorEastAsia"/>
          <w:color w:val="auto"/>
          <w:kern w:val="2"/>
          <w:sz w:val="24"/>
          <w:szCs w:val="24"/>
          <w:highlight w:val="none"/>
          <w:lang w:val="en-US" w:eastAsia="zh-CN" w:bidi="ar-SA"/>
        </w:rPr>
      </w:pPr>
      <w:r>
        <w:rPr>
          <w:rStyle w:val="21"/>
          <w:rFonts w:hint="eastAsia" w:asciiTheme="minorEastAsia" w:hAnsiTheme="minorEastAsia" w:eastAsiaTheme="minorEastAsia" w:cstheme="minorEastAsia"/>
          <w:color w:val="auto"/>
          <w:kern w:val="2"/>
          <w:sz w:val="24"/>
          <w:szCs w:val="24"/>
          <w:highlight w:val="none"/>
          <w:lang w:val="en-US" w:eastAsia="zh-CN" w:bidi="ar-SA"/>
        </w:rPr>
        <w:t xml:space="preserve"> (2)承包人按22.2.2项暂停施工28天后，发包人仍不纠正违约行为的，承包人可向发包人发出解除合同通知。但承包人的这一行动不免除发包人承担的违约责任，也不影响承包人根据合同约定享有的索赔权利。</w:t>
      </w:r>
    </w:p>
    <w:p>
      <w:pPr>
        <w:pStyle w:val="65"/>
        <w:tabs>
          <w:tab w:val="left" w:pos="8280"/>
        </w:tabs>
        <w:spacing w:line="360" w:lineRule="auto"/>
        <w:ind w:firstLine="360" w:firstLineChars="150"/>
        <w:rPr>
          <w:rStyle w:val="21"/>
          <w:rFonts w:hint="eastAsia" w:asciiTheme="minorEastAsia" w:hAnsiTheme="minorEastAsia" w:eastAsiaTheme="minorEastAsia" w:cstheme="minorEastAsia"/>
          <w:color w:val="auto"/>
          <w:kern w:val="2"/>
          <w:sz w:val="24"/>
          <w:szCs w:val="24"/>
          <w:highlight w:val="none"/>
          <w:lang w:val="en-US" w:eastAsia="zh-CN" w:bidi="ar-SA"/>
        </w:rPr>
      </w:pPr>
      <w:r>
        <w:rPr>
          <w:rStyle w:val="21"/>
          <w:rFonts w:hint="eastAsia" w:asciiTheme="minorEastAsia" w:hAnsiTheme="minorEastAsia" w:eastAsiaTheme="minorEastAsia" w:cstheme="minorEastAsia"/>
          <w:color w:val="auto"/>
          <w:kern w:val="2"/>
          <w:sz w:val="24"/>
          <w:szCs w:val="24"/>
          <w:highlight w:val="none"/>
          <w:lang w:val="en-US" w:eastAsia="zh-CN" w:bidi="ar-SA"/>
        </w:rPr>
        <w:t>22.2.4解除合同后的付款</w:t>
      </w:r>
    </w:p>
    <w:p>
      <w:pPr>
        <w:pStyle w:val="65"/>
        <w:tabs>
          <w:tab w:val="left" w:pos="8280"/>
        </w:tabs>
        <w:spacing w:line="360" w:lineRule="auto"/>
        <w:ind w:firstLine="360" w:firstLineChars="150"/>
        <w:rPr>
          <w:rStyle w:val="21"/>
          <w:rFonts w:hint="eastAsia" w:asciiTheme="minorEastAsia" w:hAnsiTheme="minorEastAsia" w:eastAsiaTheme="minorEastAsia" w:cstheme="minorEastAsia"/>
          <w:color w:val="auto"/>
          <w:kern w:val="2"/>
          <w:sz w:val="24"/>
          <w:szCs w:val="24"/>
          <w:highlight w:val="none"/>
          <w:lang w:val="en-US" w:eastAsia="zh-CN" w:bidi="ar-SA"/>
        </w:rPr>
      </w:pPr>
      <w:r>
        <w:rPr>
          <w:rStyle w:val="21"/>
          <w:rFonts w:hint="eastAsia" w:asciiTheme="minorEastAsia" w:hAnsiTheme="minorEastAsia" w:eastAsiaTheme="minorEastAsia" w:cstheme="minorEastAsia"/>
          <w:color w:val="auto"/>
          <w:kern w:val="2"/>
          <w:sz w:val="24"/>
          <w:szCs w:val="24"/>
          <w:highlight w:val="none"/>
          <w:lang w:val="en-US" w:eastAsia="zh-CN" w:bidi="ar-SA"/>
        </w:rPr>
        <w:t>因发包人违约解除合同的，发包人应在解除合同后28天内向承包人支付下列金额，承包人应在此期限内及时向发包人提交要求支付下列金额的有关资料和凭证：</w:t>
      </w:r>
    </w:p>
    <w:p>
      <w:pPr>
        <w:pStyle w:val="65"/>
        <w:tabs>
          <w:tab w:val="left" w:pos="8280"/>
        </w:tabs>
        <w:spacing w:line="360" w:lineRule="auto"/>
        <w:ind w:firstLine="360" w:firstLineChars="150"/>
        <w:rPr>
          <w:rStyle w:val="21"/>
          <w:rFonts w:hint="eastAsia" w:asciiTheme="minorEastAsia" w:hAnsiTheme="minorEastAsia" w:eastAsiaTheme="minorEastAsia" w:cstheme="minorEastAsia"/>
          <w:color w:val="auto"/>
          <w:kern w:val="2"/>
          <w:sz w:val="24"/>
          <w:szCs w:val="24"/>
          <w:highlight w:val="none"/>
          <w:lang w:val="en-US" w:eastAsia="zh-CN" w:bidi="ar-SA"/>
        </w:rPr>
      </w:pPr>
      <w:r>
        <w:rPr>
          <w:rStyle w:val="21"/>
          <w:rFonts w:hint="eastAsia" w:asciiTheme="minorEastAsia" w:hAnsiTheme="minorEastAsia" w:eastAsiaTheme="minorEastAsia" w:cstheme="minorEastAsia"/>
          <w:color w:val="auto"/>
          <w:kern w:val="2"/>
          <w:sz w:val="24"/>
          <w:szCs w:val="24"/>
          <w:highlight w:val="none"/>
          <w:lang w:val="en-US" w:eastAsia="zh-CN" w:bidi="ar-SA"/>
        </w:rPr>
        <w:t>(1)合同解除日以前所完成工作的价款；</w:t>
      </w:r>
    </w:p>
    <w:p>
      <w:pPr>
        <w:pStyle w:val="65"/>
        <w:tabs>
          <w:tab w:val="left" w:pos="8280"/>
        </w:tabs>
        <w:spacing w:line="360" w:lineRule="auto"/>
        <w:ind w:firstLine="360" w:firstLineChars="150"/>
        <w:rPr>
          <w:rStyle w:val="21"/>
          <w:rFonts w:hint="eastAsia" w:asciiTheme="minorEastAsia" w:hAnsiTheme="minorEastAsia" w:eastAsiaTheme="minorEastAsia" w:cstheme="minorEastAsia"/>
          <w:color w:val="auto"/>
          <w:kern w:val="2"/>
          <w:sz w:val="24"/>
          <w:szCs w:val="24"/>
          <w:highlight w:val="none"/>
          <w:lang w:val="en-US" w:eastAsia="zh-CN" w:bidi="ar-SA"/>
        </w:rPr>
      </w:pPr>
      <w:r>
        <w:rPr>
          <w:rStyle w:val="21"/>
          <w:rFonts w:hint="eastAsia" w:asciiTheme="minorEastAsia" w:hAnsiTheme="minorEastAsia" w:eastAsiaTheme="minorEastAsia" w:cstheme="minorEastAsia"/>
          <w:color w:val="auto"/>
          <w:kern w:val="2"/>
          <w:sz w:val="24"/>
          <w:szCs w:val="24"/>
          <w:highlight w:val="none"/>
          <w:lang w:val="en-US" w:eastAsia="zh-CN" w:bidi="ar-SA"/>
        </w:rPr>
        <w:t>(2)承包人为该工程施工订购并己付款的材料、工程设备和其他物品的金额。发包人付还后，该材料、工程设备和其他物品归发包人所有；</w:t>
      </w:r>
    </w:p>
    <w:p>
      <w:pPr>
        <w:pStyle w:val="65"/>
        <w:tabs>
          <w:tab w:val="left" w:pos="8280"/>
        </w:tabs>
        <w:spacing w:line="360" w:lineRule="auto"/>
        <w:ind w:firstLine="360" w:firstLineChars="150"/>
        <w:rPr>
          <w:rStyle w:val="21"/>
          <w:rFonts w:hint="eastAsia" w:asciiTheme="minorEastAsia" w:hAnsiTheme="minorEastAsia" w:eastAsiaTheme="minorEastAsia" w:cstheme="minorEastAsia"/>
          <w:color w:val="auto"/>
          <w:kern w:val="2"/>
          <w:sz w:val="24"/>
          <w:szCs w:val="24"/>
          <w:highlight w:val="none"/>
          <w:lang w:val="en-US" w:eastAsia="zh-CN" w:bidi="ar-SA"/>
        </w:rPr>
      </w:pPr>
      <w:r>
        <w:rPr>
          <w:rStyle w:val="21"/>
          <w:rFonts w:hint="eastAsia" w:asciiTheme="minorEastAsia" w:hAnsiTheme="minorEastAsia" w:eastAsiaTheme="minorEastAsia" w:cstheme="minorEastAsia"/>
          <w:color w:val="auto"/>
          <w:kern w:val="2"/>
          <w:sz w:val="24"/>
          <w:szCs w:val="24"/>
          <w:highlight w:val="none"/>
          <w:lang w:val="en-US" w:eastAsia="zh-CN" w:bidi="ar-SA"/>
        </w:rPr>
        <w:t>(3)承包人为完成工程所发生的，而发包人未支付的金额；</w:t>
      </w:r>
    </w:p>
    <w:p>
      <w:pPr>
        <w:pStyle w:val="65"/>
        <w:tabs>
          <w:tab w:val="left" w:pos="8280"/>
        </w:tabs>
        <w:spacing w:line="360" w:lineRule="auto"/>
        <w:ind w:firstLine="360" w:firstLineChars="150"/>
        <w:rPr>
          <w:rStyle w:val="21"/>
          <w:rFonts w:hint="eastAsia" w:asciiTheme="minorEastAsia" w:hAnsiTheme="minorEastAsia" w:eastAsiaTheme="minorEastAsia" w:cstheme="minorEastAsia"/>
          <w:color w:val="auto"/>
          <w:kern w:val="2"/>
          <w:sz w:val="24"/>
          <w:szCs w:val="24"/>
          <w:highlight w:val="none"/>
          <w:lang w:val="en-US" w:eastAsia="zh-CN" w:bidi="ar-SA"/>
        </w:rPr>
      </w:pPr>
      <w:r>
        <w:rPr>
          <w:rStyle w:val="21"/>
          <w:rFonts w:hint="eastAsia" w:asciiTheme="minorEastAsia" w:hAnsiTheme="minorEastAsia" w:eastAsiaTheme="minorEastAsia" w:cstheme="minorEastAsia"/>
          <w:color w:val="auto"/>
          <w:kern w:val="2"/>
          <w:sz w:val="24"/>
          <w:szCs w:val="24"/>
          <w:highlight w:val="none"/>
          <w:lang w:val="en-US" w:eastAsia="zh-CN" w:bidi="ar-SA"/>
        </w:rPr>
        <w:t>(4)承包人撤离施工场地以及遣散承包人人员的金额；</w:t>
      </w:r>
    </w:p>
    <w:p>
      <w:pPr>
        <w:pStyle w:val="65"/>
        <w:tabs>
          <w:tab w:val="left" w:pos="8280"/>
        </w:tabs>
        <w:spacing w:line="360" w:lineRule="auto"/>
        <w:ind w:firstLine="360" w:firstLineChars="150"/>
        <w:rPr>
          <w:rStyle w:val="21"/>
          <w:rFonts w:hint="eastAsia" w:asciiTheme="minorEastAsia" w:hAnsiTheme="minorEastAsia" w:eastAsiaTheme="minorEastAsia" w:cstheme="minorEastAsia"/>
          <w:color w:val="auto"/>
          <w:kern w:val="2"/>
          <w:sz w:val="24"/>
          <w:szCs w:val="24"/>
          <w:highlight w:val="none"/>
          <w:lang w:val="en-US" w:eastAsia="zh-CN" w:bidi="ar-SA"/>
        </w:rPr>
      </w:pPr>
      <w:r>
        <w:rPr>
          <w:rStyle w:val="21"/>
          <w:rFonts w:hint="eastAsia" w:asciiTheme="minorEastAsia" w:hAnsiTheme="minorEastAsia" w:eastAsiaTheme="minorEastAsia" w:cstheme="minorEastAsia"/>
          <w:color w:val="auto"/>
          <w:kern w:val="2"/>
          <w:sz w:val="24"/>
          <w:szCs w:val="24"/>
          <w:highlight w:val="none"/>
          <w:lang w:val="en-US" w:eastAsia="zh-CN" w:bidi="ar-SA"/>
        </w:rPr>
        <w:t>(5)由于解除合同应赔偿的承包人损失；</w:t>
      </w:r>
    </w:p>
    <w:p>
      <w:pPr>
        <w:pStyle w:val="65"/>
        <w:tabs>
          <w:tab w:val="left" w:pos="8280"/>
        </w:tabs>
        <w:spacing w:line="360" w:lineRule="auto"/>
        <w:ind w:firstLine="360" w:firstLineChars="150"/>
        <w:rPr>
          <w:rStyle w:val="21"/>
          <w:rFonts w:hint="eastAsia" w:asciiTheme="minorEastAsia" w:hAnsiTheme="minorEastAsia" w:eastAsiaTheme="minorEastAsia" w:cstheme="minorEastAsia"/>
          <w:color w:val="auto"/>
          <w:kern w:val="2"/>
          <w:sz w:val="24"/>
          <w:szCs w:val="24"/>
          <w:highlight w:val="none"/>
          <w:lang w:val="en-US" w:eastAsia="zh-CN" w:bidi="ar-SA"/>
        </w:rPr>
      </w:pPr>
      <w:r>
        <w:rPr>
          <w:rStyle w:val="21"/>
          <w:rFonts w:hint="eastAsia" w:asciiTheme="minorEastAsia" w:hAnsiTheme="minorEastAsia" w:eastAsiaTheme="minorEastAsia" w:cstheme="minorEastAsia"/>
          <w:color w:val="auto"/>
          <w:kern w:val="2"/>
          <w:sz w:val="24"/>
          <w:szCs w:val="24"/>
          <w:highlight w:val="none"/>
          <w:lang w:val="en-US" w:eastAsia="zh-CN" w:bidi="ar-SA"/>
        </w:rPr>
        <w:t>(6)按合同约定在合同解除日前应支付给承包人的其他金额。</w:t>
      </w:r>
    </w:p>
    <w:p>
      <w:pPr>
        <w:pStyle w:val="65"/>
        <w:tabs>
          <w:tab w:val="left" w:pos="8280"/>
        </w:tabs>
        <w:spacing w:line="360" w:lineRule="auto"/>
        <w:ind w:firstLine="360" w:firstLineChars="150"/>
        <w:rPr>
          <w:rStyle w:val="21"/>
          <w:rFonts w:hint="eastAsia" w:asciiTheme="minorEastAsia" w:hAnsiTheme="minorEastAsia" w:eastAsiaTheme="minorEastAsia" w:cstheme="minorEastAsia"/>
          <w:color w:val="auto"/>
          <w:kern w:val="2"/>
          <w:sz w:val="24"/>
          <w:szCs w:val="24"/>
          <w:highlight w:val="none"/>
          <w:lang w:val="en-US" w:eastAsia="zh-CN" w:bidi="ar-SA"/>
        </w:rPr>
      </w:pPr>
      <w:r>
        <w:rPr>
          <w:rStyle w:val="21"/>
          <w:rFonts w:hint="eastAsia" w:asciiTheme="minorEastAsia" w:hAnsiTheme="minorEastAsia" w:eastAsiaTheme="minorEastAsia" w:cstheme="minorEastAsia"/>
          <w:color w:val="auto"/>
          <w:kern w:val="2"/>
          <w:sz w:val="24"/>
          <w:szCs w:val="24"/>
          <w:highlight w:val="none"/>
          <w:lang w:val="en-US" w:eastAsia="zh-CN" w:bidi="ar-SA"/>
        </w:rPr>
        <w:t>发包人应按本项约定支付上述金额并退还质量保证金和履约担保，但有权要求承包人支付应偿还给发包人的各项金额。</w:t>
      </w:r>
    </w:p>
    <w:p>
      <w:pPr>
        <w:pStyle w:val="65"/>
        <w:tabs>
          <w:tab w:val="left" w:pos="8280"/>
        </w:tabs>
        <w:spacing w:line="360" w:lineRule="auto"/>
        <w:ind w:firstLine="360" w:firstLineChars="150"/>
        <w:rPr>
          <w:rStyle w:val="21"/>
          <w:rFonts w:hint="eastAsia" w:asciiTheme="minorEastAsia" w:hAnsiTheme="minorEastAsia" w:eastAsiaTheme="minorEastAsia" w:cstheme="minorEastAsia"/>
          <w:color w:val="auto"/>
          <w:kern w:val="2"/>
          <w:sz w:val="24"/>
          <w:szCs w:val="24"/>
          <w:highlight w:val="none"/>
          <w:lang w:val="en-US" w:eastAsia="zh-CN" w:bidi="ar-SA"/>
        </w:rPr>
      </w:pPr>
      <w:r>
        <w:rPr>
          <w:rStyle w:val="21"/>
          <w:rFonts w:hint="eastAsia" w:asciiTheme="minorEastAsia" w:hAnsiTheme="minorEastAsia" w:eastAsiaTheme="minorEastAsia" w:cstheme="minorEastAsia"/>
          <w:color w:val="auto"/>
          <w:kern w:val="2"/>
          <w:sz w:val="24"/>
          <w:szCs w:val="24"/>
          <w:highlight w:val="none"/>
          <w:lang w:val="en-US" w:eastAsia="zh-CN" w:bidi="ar-SA"/>
        </w:rPr>
        <w:t>22.2.5解除合同后的承包人撤离</w:t>
      </w:r>
    </w:p>
    <w:p>
      <w:pPr>
        <w:pStyle w:val="65"/>
        <w:tabs>
          <w:tab w:val="left" w:pos="8280"/>
        </w:tabs>
        <w:spacing w:line="360" w:lineRule="auto"/>
        <w:ind w:firstLine="360" w:firstLineChars="150"/>
        <w:rPr>
          <w:rStyle w:val="21"/>
          <w:rFonts w:hint="eastAsia" w:asciiTheme="minorEastAsia" w:hAnsiTheme="minorEastAsia" w:eastAsiaTheme="minorEastAsia" w:cstheme="minorEastAsia"/>
          <w:color w:val="auto"/>
          <w:kern w:val="2"/>
          <w:sz w:val="24"/>
          <w:szCs w:val="24"/>
          <w:highlight w:val="none"/>
          <w:lang w:val="en-US" w:eastAsia="zh-CN" w:bidi="ar-SA"/>
        </w:rPr>
      </w:pPr>
      <w:r>
        <w:rPr>
          <w:rStyle w:val="21"/>
          <w:rFonts w:hint="eastAsia" w:asciiTheme="minorEastAsia" w:hAnsiTheme="minorEastAsia" w:eastAsiaTheme="minorEastAsia" w:cstheme="minorEastAsia"/>
          <w:color w:val="auto"/>
          <w:kern w:val="2"/>
          <w:sz w:val="24"/>
          <w:szCs w:val="24"/>
          <w:highlight w:val="none"/>
          <w:lang w:val="en-US" w:eastAsia="zh-CN" w:bidi="ar-SA"/>
        </w:rPr>
        <w:t xml:space="preserve">因发包人违约而解除合同后，承包人应妥善做好已竣工工程和己购材料、设备的保护和移交工作，按发包人要求将承包人设备和人员撤出施工场地。承包人撤出施工场地应遵守第18.7.1项的约定，发包人应为承包人撤出提供必要条件。    </w:t>
      </w:r>
    </w:p>
    <w:p>
      <w:pPr>
        <w:pStyle w:val="65"/>
        <w:tabs>
          <w:tab w:val="left" w:pos="8280"/>
        </w:tabs>
        <w:spacing w:line="360" w:lineRule="auto"/>
        <w:rPr>
          <w:rStyle w:val="21"/>
          <w:rFonts w:hint="eastAsia" w:asciiTheme="minorEastAsia" w:hAnsiTheme="minorEastAsia" w:eastAsiaTheme="minorEastAsia" w:cstheme="minorEastAsia"/>
          <w:b/>
          <w:color w:val="auto"/>
          <w:kern w:val="2"/>
          <w:sz w:val="24"/>
          <w:szCs w:val="24"/>
          <w:highlight w:val="none"/>
          <w:lang w:val="en-US" w:eastAsia="zh-CN" w:bidi="ar-SA"/>
        </w:rPr>
      </w:pPr>
      <w:r>
        <w:rPr>
          <w:rStyle w:val="21"/>
          <w:rFonts w:hint="eastAsia" w:asciiTheme="minorEastAsia" w:hAnsiTheme="minorEastAsia" w:eastAsiaTheme="minorEastAsia" w:cstheme="minorEastAsia"/>
          <w:b/>
          <w:color w:val="auto"/>
          <w:kern w:val="2"/>
          <w:sz w:val="24"/>
          <w:szCs w:val="24"/>
          <w:highlight w:val="none"/>
          <w:lang w:val="en-US" w:eastAsia="zh-CN" w:bidi="ar-SA"/>
        </w:rPr>
        <w:t>22.3第三人造成的违约</w:t>
      </w:r>
    </w:p>
    <w:p>
      <w:pPr>
        <w:pStyle w:val="65"/>
        <w:tabs>
          <w:tab w:val="left" w:pos="8280"/>
        </w:tabs>
        <w:spacing w:line="360" w:lineRule="auto"/>
        <w:ind w:firstLine="360" w:firstLineChars="150"/>
        <w:rPr>
          <w:rStyle w:val="21"/>
          <w:rFonts w:hint="eastAsia" w:asciiTheme="minorEastAsia" w:hAnsiTheme="minorEastAsia" w:eastAsiaTheme="minorEastAsia" w:cstheme="minorEastAsia"/>
          <w:color w:val="auto"/>
          <w:kern w:val="2"/>
          <w:sz w:val="24"/>
          <w:szCs w:val="24"/>
          <w:highlight w:val="none"/>
          <w:lang w:val="en-US" w:eastAsia="zh-CN" w:bidi="ar-SA"/>
        </w:rPr>
      </w:pPr>
      <w:r>
        <w:rPr>
          <w:rStyle w:val="21"/>
          <w:rFonts w:hint="eastAsia" w:asciiTheme="minorEastAsia" w:hAnsiTheme="minorEastAsia" w:eastAsiaTheme="minorEastAsia" w:cstheme="minorEastAsia"/>
          <w:color w:val="auto"/>
          <w:kern w:val="2"/>
          <w:sz w:val="24"/>
          <w:szCs w:val="24"/>
          <w:highlight w:val="none"/>
          <w:lang w:val="en-US" w:eastAsia="zh-CN" w:bidi="ar-SA"/>
        </w:rPr>
        <w:t xml:space="preserve">在履行合同过程中，一方当事人因第三人的原因造成违约的，应当向对方当事人承担违约责任。一方当事人和第三人之间的纠纷，依照法律规定或者按照约定解决。    </w:t>
      </w:r>
    </w:p>
    <w:p>
      <w:pPr>
        <w:pStyle w:val="66"/>
        <w:rPr>
          <w:rStyle w:val="21"/>
          <w:rFonts w:hint="eastAsia" w:asciiTheme="minorEastAsia" w:hAnsiTheme="minorEastAsia" w:eastAsiaTheme="minorEastAsia" w:cstheme="minorEastAsia"/>
          <w:color w:val="auto"/>
          <w:kern w:val="2"/>
          <w:sz w:val="24"/>
          <w:szCs w:val="24"/>
          <w:highlight w:val="none"/>
          <w:lang w:val="en-US" w:eastAsia="zh-CN" w:bidi="ar-SA"/>
        </w:rPr>
      </w:pPr>
      <w:bookmarkStart w:id="291" w:name="_Toc18362"/>
      <w:r>
        <w:rPr>
          <w:rStyle w:val="21"/>
          <w:rFonts w:hint="eastAsia" w:asciiTheme="minorEastAsia" w:hAnsiTheme="minorEastAsia" w:eastAsiaTheme="minorEastAsia" w:cstheme="minorEastAsia"/>
          <w:color w:val="auto"/>
          <w:kern w:val="2"/>
          <w:sz w:val="24"/>
          <w:szCs w:val="24"/>
          <w:highlight w:val="none"/>
          <w:lang w:val="en-US" w:eastAsia="zh-CN" w:bidi="ar-SA"/>
        </w:rPr>
        <w:t>23 索赔</w:t>
      </w:r>
      <w:bookmarkEnd w:id="291"/>
    </w:p>
    <w:p>
      <w:pPr>
        <w:pStyle w:val="65"/>
        <w:tabs>
          <w:tab w:val="left" w:pos="8280"/>
        </w:tabs>
        <w:spacing w:line="360" w:lineRule="auto"/>
        <w:rPr>
          <w:rStyle w:val="21"/>
          <w:rFonts w:hint="eastAsia" w:asciiTheme="minorEastAsia" w:hAnsiTheme="minorEastAsia" w:eastAsiaTheme="minorEastAsia" w:cstheme="minorEastAsia"/>
          <w:b/>
          <w:color w:val="auto"/>
          <w:kern w:val="2"/>
          <w:sz w:val="24"/>
          <w:szCs w:val="24"/>
          <w:highlight w:val="none"/>
          <w:lang w:val="en-US" w:eastAsia="zh-CN" w:bidi="ar-SA"/>
        </w:rPr>
      </w:pPr>
      <w:r>
        <w:rPr>
          <w:rStyle w:val="21"/>
          <w:rFonts w:hint="eastAsia" w:asciiTheme="minorEastAsia" w:hAnsiTheme="minorEastAsia" w:eastAsiaTheme="minorEastAsia" w:cstheme="minorEastAsia"/>
          <w:b/>
          <w:color w:val="auto"/>
          <w:kern w:val="2"/>
          <w:sz w:val="24"/>
          <w:szCs w:val="24"/>
          <w:highlight w:val="none"/>
          <w:lang w:val="en-US" w:eastAsia="zh-CN" w:bidi="ar-SA"/>
        </w:rPr>
        <w:t>23．1承包人索赔的提出</w:t>
      </w:r>
    </w:p>
    <w:p>
      <w:pPr>
        <w:pStyle w:val="65"/>
        <w:tabs>
          <w:tab w:val="left" w:pos="8280"/>
        </w:tabs>
        <w:spacing w:line="360" w:lineRule="auto"/>
        <w:ind w:firstLine="360" w:firstLineChars="150"/>
        <w:rPr>
          <w:rStyle w:val="21"/>
          <w:rFonts w:hint="eastAsia" w:asciiTheme="minorEastAsia" w:hAnsiTheme="minorEastAsia" w:eastAsiaTheme="minorEastAsia" w:cstheme="minorEastAsia"/>
          <w:color w:val="auto"/>
          <w:kern w:val="2"/>
          <w:sz w:val="24"/>
          <w:szCs w:val="24"/>
          <w:highlight w:val="none"/>
          <w:lang w:val="en-US" w:eastAsia="zh-CN" w:bidi="ar-SA"/>
        </w:rPr>
      </w:pPr>
      <w:r>
        <w:rPr>
          <w:rStyle w:val="21"/>
          <w:rFonts w:hint="eastAsia" w:asciiTheme="minorEastAsia" w:hAnsiTheme="minorEastAsia" w:eastAsiaTheme="minorEastAsia" w:cstheme="minorEastAsia"/>
          <w:color w:val="auto"/>
          <w:kern w:val="2"/>
          <w:sz w:val="24"/>
          <w:szCs w:val="24"/>
          <w:highlight w:val="none"/>
          <w:lang w:val="en-US" w:eastAsia="zh-CN" w:bidi="ar-SA"/>
        </w:rPr>
        <w:t>根据合同约定，承包人认为有权得到追加付款和(或)延长工期的，应按以下程序向发包人提出索赔：</w:t>
      </w:r>
    </w:p>
    <w:p>
      <w:pPr>
        <w:pStyle w:val="65"/>
        <w:tabs>
          <w:tab w:val="left" w:pos="8280"/>
        </w:tabs>
        <w:spacing w:line="360" w:lineRule="auto"/>
        <w:ind w:firstLine="360" w:firstLineChars="150"/>
        <w:rPr>
          <w:rStyle w:val="21"/>
          <w:rFonts w:hint="eastAsia" w:asciiTheme="minorEastAsia" w:hAnsiTheme="minorEastAsia" w:eastAsiaTheme="minorEastAsia" w:cstheme="minorEastAsia"/>
          <w:color w:val="auto"/>
          <w:kern w:val="2"/>
          <w:sz w:val="24"/>
          <w:szCs w:val="24"/>
          <w:highlight w:val="none"/>
          <w:lang w:val="en-US" w:eastAsia="zh-CN" w:bidi="ar-SA"/>
        </w:rPr>
      </w:pPr>
      <w:r>
        <w:rPr>
          <w:rStyle w:val="21"/>
          <w:rFonts w:hint="eastAsia" w:asciiTheme="minorEastAsia" w:hAnsiTheme="minorEastAsia" w:eastAsiaTheme="minorEastAsia" w:cstheme="minorEastAsia"/>
          <w:color w:val="auto"/>
          <w:kern w:val="2"/>
          <w:sz w:val="24"/>
          <w:szCs w:val="24"/>
          <w:highlight w:val="none"/>
          <w:lang w:val="en-US" w:eastAsia="zh-CN" w:bidi="ar-SA"/>
        </w:rPr>
        <w:t>(1)承包人应在知道或应当知道索赔事件发生后28天内，向监理人递交索赔意向通知书，并说明发生索赔事件的事由。承包人未在前述28天内发出索赔意向通知书的，丧失要求追加付款和(或)延长工期的权利：</w:t>
      </w:r>
    </w:p>
    <w:p>
      <w:pPr>
        <w:pStyle w:val="65"/>
        <w:tabs>
          <w:tab w:val="left" w:pos="8280"/>
        </w:tabs>
        <w:spacing w:line="360" w:lineRule="auto"/>
        <w:ind w:firstLine="360" w:firstLineChars="150"/>
        <w:rPr>
          <w:rStyle w:val="21"/>
          <w:rFonts w:hint="eastAsia" w:asciiTheme="minorEastAsia" w:hAnsiTheme="minorEastAsia" w:eastAsiaTheme="minorEastAsia" w:cstheme="minorEastAsia"/>
          <w:color w:val="auto"/>
          <w:kern w:val="2"/>
          <w:sz w:val="24"/>
          <w:szCs w:val="24"/>
          <w:highlight w:val="none"/>
          <w:lang w:val="en-US" w:eastAsia="zh-CN" w:bidi="ar-SA"/>
        </w:rPr>
      </w:pPr>
      <w:r>
        <w:rPr>
          <w:rStyle w:val="21"/>
          <w:rFonts w:hint="eastAsia" w:asciiTheme="minorEastAsia" w:hAnsiTheme="minorEastAsia" w:eastAsiaTheme="minorEastAsia" w:cstheme="minorEastAsia"/>
          <w:color w:val="auto"/>
          <w:kern w:val="2"/>
          <w:sz w:val="24"/>
          <w:szCs w:val="24"/>
          <w:highlight w:val="none"/>
          <w:lang w:val="en-US" w:eastAsia="zh-CN" w:bidi="ar-SA"/>
        </w:rPr>
        <w:t>(2)承包人应在发出索赔意向通知书后28天内，向监理人正式递交索赔通知书。索赔通知书应详细说明索赔理由以及要求追加的付款金额和(或)延长的工期，并附必要的记录和证明材料；</w:t>
      </w:r>
    </w:p>
    <w:p>
      <w:pPr>
        <w:pStyle w:val="65"/>
        <w:tabs>
          <w:tab w:val="left" w:pos="8280"/>
        </w:tabs>
        <w:spacing w:line="360" w:lineRule="auto"/>
        <w:ind w:firstLine="360" w:firstLineChars="150"/>
        <w:rPr>
          <w:rStyle w:val="21"/>
          <w:rFonts w:hint="eastAsia" w:asciiTheme="minorEastAsia" w:hAnsiTheme="minorEastAsia" w:eastAsiaTheme="minorEastAsia" w:cstheme="minorEastAsia"/>
          <w:color w:val="auto"/>
          <w:kern w:val="2"/>
          <w:sz w:val="24"/>
          <w:szCs w:val="24"/>
          <w:highlight w:val="none"/>
          <w:lang w:val="en-US" w:eastAsia="zh-CN" w:bidi="ar-SA"/>
        </w:rPr>
      </w:pPr>
      <w:r>
        <w:rPr>
          <w:rStyle w:val="21"/>
          <w:rFonts w:hint="eastAsia" w:asciiTheme="minorEastAsia" w:hAnsiTheme="minorEastAsia" w:eastAsiaTheme="minorEastAsia" w:cstheme="minorEastAsia"/>
          <w:color w:val="auto"/>
          <w:kern w:val="2"/>
          <w:sz w:val="24"/>
          <w:szCs w:val="24"/>
          <w:highlight w:val="none"/>
          <w:lang w:val="en-US" w:eastAsia="zh-CN" w:bidi="ar-SA"/>
        </w:rPr>
        <w:t>(3)索赔事件具有连续影响的，承包人应按合理时间间隔继续递交延续索赔通知，说明连续影响的实际情况和记录，列出累计的追加付款金额和(或)工期延长天数；</w:t>
      </w:r>
    </w:p>
    <w:p>
      <w:pPr>
        <w:pStyle w:val="65"/>
        <w:tabs>
          <w:tab w:val="left" w:pos="8280"/>
        </w:tabs>
        <w:spacing w:line="360" w:lineRule="auto"/>
        <w:ind w:firstLine="360" w:firstLineChars="150"/>
        <w:rPr>
          <w:rStyle w:val="21"/>
          <w:rFonts w:hint="eastAsia" w:asciiTheme="minorEastAsia" w:hAnsiTheme="minorEastAsia" w:eastAsiaTheme="minorEastAsia" w:cstheme="minorEastAsia"/>
          <w:color w:val="auto"/>
          <w:kern w:val="2"/>
          <w:sz w:val="24"/>
          <w:szCs w:val="24"/>
          <w:highlight w:val="none"/>
          <w:lang w:val="en-US" w:eastAsia="zh-CN" w:bidi="ar-SA"/>
        </w:rPr>
      </w:pPr>
      <w:r>
        <w:rPr>
          <w:rStyle w:val="21"/>
          <w:rFonts w:hint="eastAsia" w:asciiTheme="minorEastAsia" w:hAnsiTheme="minorEastAsia" w:eastAsiaTheme="minorEastAsia" w:cstheme="minorEastAsia"/>
          <w:color w:val="auto"/>
          <w:kern w:val="2"/>
          <w:sz w:val="24"/>
          <w:szCs w:val="24"/>
          <w:highlight w:val="none"/>
          <w:lang w:val="en-US" w:eastAsia="zh-CN" w:bidi="ar-SA"/>
        </w:rPr>
        <w:t>(4)在索赔事件影响结束后的28天内，承包人应向监理人递交最终索赔通知书，说明最终要求索赔的追加付款金额和延长的工期，并附必要的记录和证明材料。</w:t>
      </w:r>
    </w:p>
    <w:p>
      <w:pPr>
        <w:pStyle w:val="65"/>
        <w:tabs>
          <w:tab w:val="left" w:pos="8280"/>
        </w:tabs>
        <w:spacing w:line="360" w:lineRule="auto"/>
        <w:rPr>
          <w:rStyle w:val="21"/>
          <w:rFonts w:hint="eastAsia" w:asciiTheme="minorEastAsia" w:hAnsiTheme="minorEastAsia" w:eastAsiaTheme="minorEastAsia" w:cstheme="minorEastAsia"/>
          <w:b/>
          <w:color w:val="auto"/>
          <w:kern w:val="2"/>
          <w:sz w:val="24"/>
          <w:szCs w:val="24"/>
          <w:highlight w:val="none"/>
          <w:lang w:val="en-US" w:eastAsia="zh-CN" w:bidi="ar-SA"/>
        </w:rPr>
      </w:pPr>
      <w:r>
        <w:rPr>
          <w:rStyle w:val="21"/>
          <w:rFonts w:hint="eastAsia" w:asciiTheme="minorEastAsia" w:hAnsiTheme="minorEastAsia" w:eastAsiaTheme="minorEastAsia" w:cstheme="minorEastAsia"/>
          <w:b/>
          <w:color w:val="auto"/>
          <w:kern w:val="2"/>
          <w:sz w:val="24"/>
          <w:szCs w:val="24"/>
          <w:highlight w:val="none"/>
          <w:lang w:val="en-US" w:eastAsia="zh-CN" w:bidi="ar-SA"/>
        </w:rPr>
        <w:t>23.2承包人索赔处理程序</w:t>
      </w:r>
    </w:p>
    <w:p>
      <w:pPr>
        <w:pStyle w:val="65"/>
        <w:tabs>
          <w:tab w:val="left" w:pos="8280"/>
        </w:tabs>
        <w:spacing w:line="360" w:lineRule="auto"/>
        <w:ind w:firstLine="360" w:firstLineChars="150"/>
        <w:rPr>
          <w:rStyle w:val="21"/>
          <w:rFonts w:hint="eastAsia" w:asciiTheme="minorEastAsia" w:hAnsiTheme="minorEastAsia" w:eastAsiaTheme="minorEastAsia" w:cstheme="minorEastAsia"/>
          <w:color w:val="auto"/>
          <w:kern w:val="2"/>
          <w:sz w:val="24"/>
          <w:szCs w:val="24"/>
          <w:highlight w:val="none"/>
          <w:lang w:val="en-US" w:eastAsia="zh-CN" w:bidi="ar-SA"/>
        </w:rPr>
      </w:pPr>
      <w:r>
        <w:rPr>
          <w:rStyle w:val="21"/>
          <w:rFonts w:hint="eastAsia" w:asciiTheme="minorEastAsia" w:hAnsiTheme="minorEastAsia" w:eastAsiaTheme="minorEastAsia" w:cstheme="minorEastAsia"/>
          <w:color w:val="auto"/>
          <w:kern w:val="2"/>
          <w:sz w:val="24"/>
          <w:szCs w:val="24"/>
          <w:highlight w:val="none"/>
          <w:lang w:val="en-US" w:eastAsia="zh-CN" w:bidi="ar-SA"/>
        </w:rPr>
        <w:t>(1)监理人收到承包人提交的索赔通知书后，应及时审查索赔通知书的内容、杳验承包人的记录和证明材料，必要时监理人可要求承包人提交全部原始记录副本。</w:t>
      </w:r>
    </w:p>
    <w:p>
      <w:pPr>
        <w:pStyle w:val="65"/>
        <w:tabs>
          <w:tab w:val="left" w:pos="8280"/>
        </w:tabs>
        <w:spacing w:line="360" w:lineRule="auto"/>
        <w:ind w:firstLine="360" w:firstLineChars="150"/>
        <w:rPr>
          <w:rStyle w:val="21"/>
          <w:rFonts w:hint="eastAsia" w:asciiTheme="minorEastAsia" w:hAnsiTheme="minorEastAsia" w:eastAsiaTheme="minorEastAsia" w:cstheme="minorEastAsia"/>
          <w:color w:val="auto"/>
          <w:kern w:val="2"/>
          <w:sz w:val="24"/>
          <w:szCs w:val="24"/>
          <w:highlight w:val="none"/>
          <w:lang w:val="en-US" w:eastAsia="zh-CN" w:bidi="ar-SA"/>
        </w:rPr>
      </w:pPr>
      <w:r>
        <w:rPr>
          <w:rStyle w:val="21"/>
          <w:rFonts w:hint="eastAsia" w:asciiTheme="minorEastAsia" w:hAnsiTheme="minorEastAsia" w:eastAsiaTheme="minorEastAsia" w:cstheme="minorEastAsia"/>
          <w:color w:val="auto"/>
          <w:kern w:val="2"/>
          <w:sz w:val="24"/>
          <w:szCs w:val="24"/>
          <w:highlight w:val="none"/>
          <w:lang w:val="en-US" w:eastAsia="zh-CN" w:bidi="ar-SA"/>
        </w:rPr>
        <w:t>(2)监理人应按第3.5款商定或确定追加的付款和(或)延长的工期，并在收到上述索赔通知书或有关索赔的进一步证明材料后的42天内，将索赔处理结果答复承包人。</w:t>
      </w:r>
    </w:p>
    <w:p>
      <w:pPr>
        <w:pStyle w:val="65"/>
        <w:tabs>
          <w:tab w:val="left" w:pos="8280"/>
        </w:tabs>
        <w:spacing w:line="360" w:lineRule="auto"/>
        <w:ind w:firstLine="360" w:firstLineChars="150"/>
        <w:rPr>
          <w:rStyle w:val="21"/>
          <w:rFonts w:hint="eastAsia" w:asciiTheme="minorEastAsia" w:hAnsiTheme="minorEastAsia" w:eastAsiaTheme="minorEastAsia" w:cstheme="minorEastAsia"/>
          <w:color w:val="auto"/>
          <w:kern w:val="2"/>
          <w:sz w:val="24"/>
          <w:szCs w:val="24"/>
          <w:highlight w:val="none"/>
          <w:lang w:val="en-US" w:eastAsia="zh-CN" w:bidi="ar-SA"/>
        </w:rPr>
      </w:pPr>
      <w:r>
        <w:rPr>
          <w:rStyle w:val="21"/>
          <w:rFonts w:hint="eastAsia" w:asciiTheme="minorEastAsia" w:hAnsiTheme="minorEastAsia" w:eastAsiaTheme="minorEastAsia" w:cstheme="minorEastAsia"/>
          <w:color w:val="auto"/>
          <w:kern w:val="2"/>
          <w:sz w:val="24"/>
          <w:szCs w:val="24"/>
          <w:highlight w:val="none"/>
          <w:lang w:val="en-US" w:eastAsia="zh-CN" w:bidi="ar-SA"/>
        </w:rPr>
        <w:t>(3)承包人接受索赔处理结果的，发包人应在作出索赔处理结果答复后28天内完成赔付。承包人不接受索赔处理结果的，按第22条的约定办理。</w:t>
      </w:r>
    </w:p>
    <w:p>
      <w:pPr>
        <w:pStyle w:val="65"/>
        <w:tabs>
          <w:tab w:val="left" w:pos="8280"/>
        </w:tabs>
        <w:spacing w:line="360" w:lineRule="auto"/>
        <w:rPr>
          <w:rStyle w:val="21"/>
          <w:rFonts w:hint="eastAsia" w:asciiTheme="minorEastAsia" w:hAnsiTheme="minorEastAsia" w:eastAsiaTheme="minorEastAsia" w:cstheme="minorEastAsia"/>
          <w:b/>
          <w:color w:val="auto"/>
          <w:kern w:val="2"/>
          <w:sz w:val="24"/>
          <w:szCs w:val="24"/>
          <w:highlight w:val="none"/>
          <w:lang w:val="en-US" w:eastAsia="zh-CN" w:bidi="ar-SA"/>
        </w:rPr>
      </w:pPr>
      <w:r>
        <w:rPr>
          <w:rStyle w:val="21"/>
          <w:rFonts w:hint="eastAsia" w:asciiTheme="minorEastAsia" w:hAnsiTheme="minorEastAsia" w:eastAsiaTheme="minorEastAsia" w:cstheme="minorEastAsia"/>
          <w:b/>
          <w:color w:val="auto"/>
          <w:kern w:val="2"/>
          <w:sz w:val="24"/>
          <w:szCs w:val="24"/>
          <w:highlight w:val="none"/>
          <w:lang w:val="en-US" w:eastAsia="zh-CN" w:bidi="ar-SA"/>
        </w:rPr>
        <w:t>23.3承包人提出索赔的期限</w:t>
      </w:r>
    </w:p>
    <w:p>
      <w:pPr>
        <w:pStyle w:val="65"/>
        <w:tabs>
          <w:tab w:val="left" w:pos="8280"/>
        </w:tabs>
        <w:spacing w:line="360" w:lineRule="auto"/>
        <w:ind w:firstLine="360" w:firstLineChars="150"/>
        <w:rPr>
          <w:rStyle w:val="21"/>
          <w:rFonts w:hint="eastAsia" w:asciiTheme="minorEastAsia" w:hAnsiTheme="minorEastAsia" w:eastAsiaTheme="minorEastAsia" w:cstheme="minorEastAsia"/>
          <w:color w:val="auto"/>
          <w:kern w:val="2"/>
          <w:sz w:val="24"/>
          <w:szCs w:val="24"/>
          <w:highlight w:val="none"/>
          <w:lang w:val="en-US" w:eastAsia="zh-CN" w:bidi="ar-SA"/>
        </w:rPr>
      </w:pPr>
      <w:r>
        <w:rPr>
          <w:rStyle w:val="21"/>
          <w:rFonts w:hint="eastAsia" w:asciiTheme="minorEastAsia" w:hAnsiTheme="minorEastAsia" w:eastAsiaTheme="minorEastAsia" w:cstheme="minorEastAsia"/>
          <w:color w:val="auto"/>
          <w:kern w:val="2"/>
          <w:sz w:val="24"/>
          <w:szCs w:val="24"/>
          <w:highlight w:val="none"/>
          <w:lang w:val="en-US" w:eastAsia="zh-CN" w:bidi="ar-SA"/>
        </w:rPr>
        <w:t>21.3.1承包人按第16.5款的约定接受了完工付款证书后，应被认为已无权再提出在合同工程完工证书颁发前所发生的任何索赔。</w:t>
      </w:r>
    </w:p>
    <w:p>
      <w:pPr>
        <w:pStyle w:val="65"/>
        <w:tabs>
          <w:tab w:val="left" w:pos="8280"/>
        </w:tabs>
        <w:spacing w:line="360" w:lineRule="auto"/>
        <w:ind w:firstLine="360" w:firstLineChars="150"/>
        <w:rPr>
          <w:rStyle w:val="21"/>
          <w:rFonts w:hint="eastAsia" w:asciiTheme="minorEastAsia" w:hAnsiTheme="minorEastAsia" w:eastAsiaTheme="minorEastAsia" w:cstheme="minorEastAsia"/>
          <w:color w:val="auto"/>
          <w:kern w:val="2"/>
          <w:sz w:val="24"/>
          <w:szCs w:val="24"/>
          <w:highlight w:val="none"/>
          <w:lang w:val="en-US" w:eastAsia="zh-CN" w:bidi="ar-SA"/>
        </w:rPr>
      </w:pPr>
      <w:r>
        <w:rPr>
          <w:rStyle w:val="21"/>
          <w:rFonts w:hint="eastAsia" w:asciiTheme="minorEastAsia" w:hAnsiTheme="minorEastAsia" w:eastAsiaTheme="minorEastAsia" w:cstheme="minorEastAsia"/>
          <w:color w:val="auto"/>
          <w:kern w:val="2"/>
          <w:sz w:val="24"/>
          <w:szCs w:val="24"/>
          <w:highlight w:val="none"/>
          <w:lang w:val="en-US" w:eastAsia="zh-CN" w:bidi="ar-SA"/>
        </w:rPr>
        <w:t>21.3.2承包人按第16.6款的约定提交的最终结清申请单中，只限于提出合同工程完工证书颁发后发生的索赔。提出索赔的期限自接受最终结清证书时终止。</w:t>
      </w:r>
    </w:p>
    <w:p>
      <w:pPr>
        <w:pStyle w:val="65"/>
        <w:tabs>
          <w:tab w:val="left" w:pos="8280"/>
        </w:tabs>
        <w:spacing w:line="360" w:lineRule="auto"/>
        <w:rPr>
          <w:rStyle w:val="21"/>
          <w:rFonts w:hint="eastAsia" w:asciiTheme="minorEastAsia" w:hAnsiTheme="minorEastAsia" w:eastAsiaTheme="minorEastAsia" w:cstheme="minorEastAsia"/>
          <w:b/>
          <w:color w:val="auto"/>
          <w:kern w:val="2"/>
          <w:sz w:val="24"/>
          <w:szCs w:val="24"/>
          <w:highlight w:val="none"/>
          <w:lang w:val="en-US" w:eastAsia="zh-CN" w:bidi="ar-SA"/>
        </w:rPr>
      </w:pPr>
      <w:r>
        <w:rPr>
          <w:rStyle w:val="21"/>
          <w:rFonts w:hint="eastAsia" w:asciiTheme="minorEastAsia" w:hAnsiTheme="minorEastAsia" w:eastAsiaTheme="minorEastAsia" w:cstheme="minorEastAsia"/>
          <w:b/>
          <w:color w:val="auto"/>
          <w:kern w:val="2"/>
          <w:sz w:val="24"/>
          <w:szCs w:val="24"/>
          <w:highlight w:val="none"/>
          <w:lang w:val="en-US" w:eastAsia="zh-CN" w:bidi="ar-SA"/>
        </w:rPr>
        <w:t>23.4发包人的索赔</w:t>
      </w:r>
    </w:p>
    <w:p>
      <w:pPr>
        <w:pStyle w:val="65"/>
        <w:tabs>
          <w:tab w:val="left" w:pos="8280"/>
        </w:tabs>
        <w:spacing w:line="360" w:lineRule="auto"/>
        <w:ind w:firstLine="360" w:firstLineChars="150"/>
        <w:rPr>
          <w:rStyle w:val="21"/>
          <w:rFonts w:hint="eastAsia" w:asciiTheme="minorEastAsia" w:hAnsiTheme="minorEastAsia" w:eastAsiaTheme="minorEastAsia" w:cstheme="minorEastAsia"/>
          <w:color w:val="auto"/>
          <w:kern w:val="2"/>
          <w:sz w:val="24"/>
          <w:szCs w:val="24"/>
          <w:highlight w:val="none"/>
          <w:lang w:val="en-US" w:eastAsia="zh-CN" w:bidi="ar-SA"/>
        </w:rPr>
      </w:pPr>
      <w:r>
        <w:rPr>
          <w:rStyle w:val="21"/>
          <w:rFonts w:hint="eastAsia" w:asciiTheme="minorEastAsia" w:hAnsiTheme="minorEastAsia" w:eastAsiaTheme="minorEastAsia" w:cstheme="minorEastAsia"/>
          <w:color w:val="auto"/>
          <w:kern w:val="2"/>
          <w:sz w:val="24"/>
          <w:szCs w:val="24"/>
          <w:highlight w:val="none"/>
          <w:lang w:val="en-US" w:eastAsia="zh-CN" w:bidi="ar-SA"/>
        </w:rPr>
        <w:t>23.4.1发生索赔事件后，监理人应及时书面通知承包人，详细说明发包人有权得到的索赔金额和(或)延长缺陷责任期的细节和依据。发包人提出索赔的期限和要求与第23.3款的约定相同，延长缺陷责任期的通知应在缺陷责任期届满前发出。</w:t>
      </w:r>
    </w:p>
    <w:p>
      <w:pPr>
        <w:pStyle w:val="65"/>
        <w:tabs>
          <w:tab w:val="left" w:pos="8280"/>
        </w:tabs>
        <w:spacing w:line="360" w:lineRule="auto"/>
        <w:ind w:firstLine="360" w:firstLineChars="150"/>
        <w:rPr>
          <w:rStyle w:val="21"/>
          <w:rFonts w:hint="eastAsia" w:asciiTheme="minorEastAsia" w:hAnsiTheme="minorEastAsia" w:eastAsiaTheme="minorEastAsia" w:cstheme="minorEastAsia"/>
          <w:color w:val="auto"/>
          <w:kern w:val="2"/>
          <w:sz w:val="24"/>
          <w:szCs w:val="24"/>
          <w:highlight w:val="none"/>
          <w:lang w:val="en-US" w:eastAsia="zh-CN" w:bidi="ar-SA"/>
        </w:rPr>
      </w:pPr>
      <w:r>
        <w:rPr>
          <w:rStyle w:val="21"/>
          <w:rFonts w:hint="eastAsia" w:asciiTheme="minorEastAsia" w:hAnsiTheme="minorEastAsia" w:eastAsiaTheme="minorEastAsia" w:cstheme="minorEastAsia"/>
          <w:color w:val="auto"/>
          <w:kern w:val="2"/>
          <w:sz w:val="24"/>
          <w:szCs w:val="24"/>
          <w:highlight w:val="none"/>
          <w:lang w:val="en-US" w:eastAsia="zh-CN" w:bidi="ar-SA"/>
        </w:rPr>
        <w:t>23.4.2监理人按第3.5款商定或确定发包人从承包人处得到赔付的金额和(或)缺陷责任期的延长期。承包人应付给发包人的金额可从拟支付给承包人的合同价款中扣除，或由承包人以其他方式支付给发包人。</w:t>
      </w:r>
    </w:p>
    <w:p>
      <w:pPr>
        <w:pStyle w:val="65"/>
        <w:tabs>
          <w:tab w:val="left" w:pos="8280"/>
        </w:tabs>
        <w:spacing w:line="360" w:lineRule="auto"/>
        <w:ind w:firstLine="360" w:firstLineChars="150"/>
        <w:rPr>
          <w:rStyle w:val="21"/>
          <w:rFonts w:hint="eastAsia" w:asciiTheme="minorEastAsia" w:hAnsiTheme="minorEastAsia" w:eastAsiaTheme="minorEastAsia" w:cstheme="minorEastAsia"/>
          <w:color w:val="auto"/>
          <w:kern w:val="2"/>
          <w:sz w:val="24"/>
          <w:szCs w:val="24"/>
          <w:highlight w:val="none"/>
          <w:lang w:val="en-US" w:eastAsia="zh-CN" w:bidi="ar-SA"/>
        </w:rPr>
      </w:pPr>
      <w:r>
        <w:rPr>
          <w:rStyle w:val="21"/>
          <w:rFonts w:hint="eastAsia" w:asciiTheme="minorEastAsia" w:hAnsiTheme="minorEastAsia" w:eastAsiaTheme="minorEastAsia" w:cstheme="minorEastAsia"/>
          <w:color w:val="auto"/>
          <w:kern w:val="2"/>
          <w:sz w:val="24"/>
          <w:szCs w:val="24"/>
          <w:highlight w:val="none"/>
          <w:lang w:val="en-US" w:eastAsia="zh-CN" w:bidi="ar-SA"/>
        </w:rPr>
        <w:t>23.4.3承包人对监理人按第21.4.1项发出的索赔书面通知内容持异议时，应在收到书面通知后的14天内，将持有异议的书面报告及其证明材料提交监理人。监理人应在收到承包人书面报告后的14天内，将异议的处理意见通知承包人，并按第21.4.2项的约定执行赔付。若承包人不接受监理人的索赔处理意见，可按本合同第22条的规定办理。</w:t>
      </w:r>
    </w:p>
    <w:p>
      <w:pPr>
        <w:pStyle w:val="66"/>
        <w:rPr>
          <w:rStyle w:val="21"/>
          <w:rFonts w:hint="eastAsia" w:asciiTheme="minorEastAsia" w:hAnsiTheme="minorEastAsia" w:eastAsiaTheme="minorEastAsia" w:cstheme="minorEastAsia"/>
          <w:color w:val="auto"/>
          <w:kern w:val="2"/>
          <w:sz w:val="24"/>
          <w:szCs w:val="24"/>
          <w:highlight w:val="none"/>
          <w:lang w:val="en-US" w:eastAsia="zh-CN" w:bidi="ar-SA"/>
        </w:rPr>
      </w:pPr>
      <w:bookmarkStart w:id="292" w:name="_Toc8645"/>
      <w:r>
        <w:rPr>
          <w:rStyle w:val="21"/>
          <w:rFonts w:hint="eastAsia" w:asciiTheme="minorEastAsia" w:hAnsiTheme="minorEastAsia" w:eastAsiaTheme="minorEastAsia" w:cstheme="minorEastAsia"/>
          <w:color w:val="auto"/>
          <w:kern w:val="2"/>
          <w:sz w:val="24"/>
          <w:szCs w:val="24"/>
          <w:highlight w:val="none"/>
          <w:lang w:val="en-US" w:eastAsia="zh-CN" w:bidi="ar-SA"/>
        </w:rPr>
        <w:t>24 争议的解决</w:t>
      </w:r>
      <w:bookmarkEnd w:id="292"/>
    </w:p>
    <w:p>
      <w:pPr>
        <w:pStyle w:val="65"/>
        <w:tabs>
          <w:tab w:val="left" w:pos="8280"/>
        </w:tabs>
        <w:spacing w:line="360" w:lineRule="auto"/>
        <w:rPr>
          <w:rStyle w:val="21"/>
          <w:rFonts w:hint="eastAsia" w:asciiTheme="minorEastAsia" w:hAnsiTheme="minorEastAsia" w:eastAsiaTheme="minorEastAsia" w:cstheme="minorEastAsia"/>
          <w:b/>
          <w:color w:val="auto"/>
          <w:kern w:val="2"/>
          <w:sz w:val="24"/>
          <w:szCs w:val="24"/>
          <w:highlight w:val="none"/>
          <w:lang w:val="en-US" w:eastAsia="zh-CN" w:bidi="ar-SA"/>
        </w:rPr>
      </w:pPr>
      <w:r>
        <w:rPr>
          <w:rStyle w:val="21"/>
          <w:rFonts w:hint="eastAsia" w:asciiTheme="minorEastAsia" w:hAnsiTheme="minorEastAsia" w:eastAsiaTheme="minorEastAsia" w:cstheme="minorEastAsia"/>
          <w:b/>
          <w:color w:val="auto"/>
          <w:kern w:val="2"/>
          <w:sz w:val="24"/>
          <w:szCs w:val="24"/>
          <w:highlight w:val="none"/>
          <w:lang w:val="en-US" w:eastAsia="zh-CN" w:bidi="ar-SA"/>
        </w:rPr>
        <w:t>24.1争议的解决方式</w:t>
      </w:r>
    </w:p>
    <w:p>
      <w:pPr>
        <w:pStyle w:val="65"/>
        <w:tabs>
          <w:tab w:val="left" w:pos="8280"/>
        </w:tabs>
        <w:spacing w:line="360" w:lineRule="auto"/>
        <w:ind w:firstLine="360" w:firstLineChars="150"/>
        <w:rPr>
          <w:rStyle w:val="21"/>
          <w:rFonts w:hint="eastAsia" w:asciiTheme="minorEastAsia" w:hAnsiTheme="minorEastAsia" w:eastAsiaTheme="minorEastAsia" w:cstheme="minorEastAsia"/>
          <w:color w:val="auto"/>
          <w:kern w:val="2"/>
          <w:sz w:val="24"/>
          <w:szCs w:val="24"/>
          <w:highlight w:val="none"/>
          <w:lang w:val="en-US" w:eastAsia="zh-CN" w:bidi="ar-SA"/>
        </w:rPr>
      </w:pPr>
      <w:r>
        <w:rPr>
          <w:rStyle w:val="21"/>
          <w:rFonts w:hint="eastAsia" w:asciiTheme="minorEastAsia" w:hAnsiTheme="minorEastAsia" w:eastAsiaTheme="minorEastAsia" w:cstheme="minorEastAsia"/>
          <w:color w:val="auto"/>
          <w:kern w:val="2"/>
          <w:sz w:val="24"/>
          <w:szCs w:val="24"/>
          <w:highlight w:val="none"/>
          <w:lang w:val="en-US" w:eastAsia="zh-CN" w:bidi="ar-SA"/>
        </w:rPr>
        <w:t>发包人和承包人在履行合同中发生争议的，可以友好协商解决或者提请争议评审组评审。合同当事人友好协商解决不成、不愿提请争议评审或者不接受争议评审组意见的，可在专用合同条款中约定下列一种方式解决。</w:t>
      </w:r>
    </w:p>
    <w:p>
      <w:pPr>
        <w:pStyle w:val="65"/>
        <w:tabs>
          <w:tab w:val="left" w:pos="8280"/>
        </w:tabs>
        <w:spacing w:line="360" w:lineRule="auto"/>
        <w:ind w:firstLine="360" w:firstLineChars="150"/>
        <w:rPr>
          <w:rStyle w:val="21"/>
          <w:rFonts w:hint="eastAsia" w:asciiTheme="minorEastAsia" w:hAnsiTheme="minorEastAsia" w:eastAsiaTheme="minorEastAsia" w:cstheme="minorEastAsia"/>
          <w:color w:val="auto"/>
          <w:kern w:val="2"/>
          <w:sz w:val="24"/>
          <w:szCs w:val="24"/>
          <w:highlight w:val="none"/>
          <w:lang w:val="en-US" w:eastAsia="zh-CN" w:bidi="ar-SA"/>
        </w:rPr>
      </w:pPr>
      <w:r>
        <w:rPr>
          <w:rStyle w:val="21"/>
          <w:rFonts w:hint="eastAsia" w:asciiTheme="minorEastAsia" w:hAnsiTheme="minorEastAsia" w:eastAsiaTheme="minorEastAsia" w:cstheme="minorEastAsia"/>
          <w:color w:val="auto"/>
          <w:kern w:val="2"/>
          <w:sz w:val="24"/>
          <w:szCs w:val="24"/>
          <w:highlight w:val="none"/>
          <w:lang w:val="en-US" w:eastAsia="zh-CN" w:bidi="ar-SA"/>
        </w:rPr>
        <w:t>(1)向约定的仲裁委员会申请仲裁；</w:t>
      </w:r>
    </w:p>
    <w:p>
      <w:pPr>
        <w:pStyle w:val="65"/>
        <w:tabs>
          <w:tab w:val="left" w:pos="8280"/>
        </w:tabs>
        <w:spacing w:line="360" w:lineRule="auto"/>
        <w:ind w:firstLine="360" w:firstLineChars="150"/>
        <w:rPr>
          <w:rStyle w:val="21"/>
          <w:rFonts w:hint="eastAsia" w:asciiTheme="minorEastAsia" w:hAnsiTheme="minorEastAsia" w:eastAsiaTheme="minorEastAsia" w:cstheme="minorEastAsia"/>
          <w:color w:val="auto"/>
          <w:kern w:val="2"/>
          <w:sz w:val="24"/>
          <w:szCs w:val="24"/>
          <w:highlight w:val="none"/>
          <w:lang w:val="en-US" w:eastAsia="zh-CN" w:bidi="ar-SA"/>
        </w:rPr>
      </w:pPr>
      <w:r>
        <w:rPr>
          <w:rStyle w:val="21"/>
          <w:rFonts w:hint="eastAsia" w:asciiTheme="minorEastAsia" w:hAnsiTheme="minorEastAsia" w:eastAsiaTheme="minorEastAsia" w:cstheme="minorEastAsia"/>
          <w:color w:val="auto"/>
          <w:kern w:val="2"/>
          <w:sz w:val="24"/>
          <w:szCs w:val="24"/>
          <w:highlight w:val="none"/>
          <w:lang w:val="en-US" w:eastAsia="zh-CN" w:bidi="ar-SA"/>
        </w:rPr>
        <w:t>(2)向有管辖权的人民法院提起诉讼。</w:t>
      </w:r>
    </w:p>
    <w:p>
      <w:pPr>
        <w:pStyle w:val="65"/>
        <w:tabs>
          <w:tab w:val="left" w:pos="8280"/>
        </w:tabs>
        <w:spacing w:line="360" w:lineRule="auto"/>
        <w:rPr>
          <w:rStyle w:val="21"/>
          <w:rFonts w:hint="eastAsia" w:asciiTheme="minorEastAsia" w:hAnsiTheme="minorEastAsia" w:eastAsiaTheme="minorEastAsia" w:cstheme="minorEastAsia"/>
          <w:b/>
          <w:color w:val="auto"/>
          <w:kern w:val="2"/>
          <w:sz w:val="24"/>
          <w:szCs w:val="24"/>
          <w:highlight w:val="none"/>
          <w:lang w:val="en-US" w:eastAsia="zh-CN" w:bidi="ar-SA"/>
        </w:rPr>
      </w:pPr>
      <w:r>
        <w:rPr>
          <w:rStyle w:val="21"/>
          <w:rFonts w:hint="eastAsia" w:asciiTheme="minorEastAsia" w:hAnsiTheme="minorEastAsia" w:eastAsiaTheme="minorEastAsia" w:cstheme="minorEastAsia"/>
          <w:b/>
          <w:color w:val="auto"/>
          <w:kern w:val="2"/>
          <w:sz w:val="24"/>
          <w:szCs w:val="24"/>
          <w:highlight w:val="none"/>
          <w:lang w:val="en-US" w:eastAsia="zh-CN" w:bidi="ar-SA"/>
        </w:rPr>
        <w:t>24.2友好解决</w:t>
      </w:r>
    </w:p>
    <w:p>
      <w:pPr>
        <w:pStyle w:val="65"/>
        <w:tabs>
          <w:tab w:val="left" w:pos="8280"/>
        </w:tabs>
        <w:spacing w:line="360" w:lineRule="auto"/>
        <w:ind w:firstLine="360" w:firstLineChars="150"/>
        <w:rPr>
          <w:rStyle w:val="21"/>
          <w:rFonts w:hint="eastAsia" w:asciiTheme="minorEastAsia" w:hAnsiTheme="minorEastAsia" w:eastAsiaTheme="minorEastAsia" w:cstheme="minorEastAsia"/>
          <w:color w:val="auto"/>
          <w:kern w:val="2"/>
          <w:sz w:val="24"/>
          <w:szCs w:val="24"/>
          <w:highlight w:val="none"/>
          <w:lang w:val="en-US" w:eastAsia="zh-CN" w:bidi="ar-SA"/>
        </w:rPr>
      </w:pPr>
      <w:r>
        <w:rPr>
          <w:rStyle w:val="21"/>
          <w:rFonts w:hint="eastAsia" w:asciiTheme="minorEastAsia" w:hAnsiTheme="minorEastAsia" w:eastAsiaTheme="minorEastAsia" w:cstheme="minorEastAsia"/>
          <w:color w:val="auto"/>
          <w:kern w:val="2"/>
          <w:sz w:val="24"/>
          <w:szCs w:val="24"/>
          <w:highlight w:val="none"/>
          <w:lang w:val="en-US" w:eastAsia="zh-CN" w:bidi="ar-SA"/>
        </w:rPr>
        <w:t>在提请争议评审、仲裁或者诉讼前，以及在争议评审、仲裁或诉讼过程中，发包人和承包人均可共同努力友好协商解决争议。</w:t>
      </w:r>
    </w:p>
    <w:p>
      <w:pPr>
        <w:pStyle w:val="65"/>
        <w:tabs>
          <w:tab w:val="left" w:pos="8280"/>
        </w:tabs>
        <w:spacing w:line="360" w:lineRule="auto"/>
        <w:rPr>
          <w:rStyle w:val="21"/>
          <w:rFonts w:hint="eastAsia" w:asciiTheme="minorEastAsia" w:hAnsiTheme="minorEastAsia" w:eastAsiaTheme="minorEastAsia" w:cstheme="minorEastAsia"/>
          <w:b/>
          <w:color w:val="auto"/>
          <w:kern w:val="2"/>
          <w:sz w:val="24"/>
          <w:szCs w:val="24"/>
          <w:highlight w:val="none"/>
          <w:lang w:val="en-US" w:eastAsia="zh-CN" w:bidi="ar-SA"/>
        </w:rPr>
      </w:pPr>
      <w:r>
        <w:rPr>
          <w:rStyle w:val="21"/>
          <w:rFonts w:hint="eastAsia" w:asciiTheme="minorEastAsia" w:hAnsiTheme="minorEastAsia" w:eastAsiaTheme="minorEastAsia" w:cstheme="minorEastAsia"/>
          <w:b/>
          <w:color w:val="auto"/>
          <w:kern w:val="2"/>
          <w:sz w:val="24"/>
          <w:szCs w:val="24"/>
          <w:highlight w:val="none"/>
          <w:lang w:val="en-US" w:eastAsia="zh-CN" w:bidi="ar-SA"/>
        </w:rPr>
        <w:t>24.3 争议评审</w:t>
      </w:r>
    </w:p>
    <w:p>
      <w:pPr>
        <w:pStyle w:val="65"/>
        <w:tabs>
          <w:tab w:val="left" w:pos="8280"/>
        </w:tabs>
        <w:spacing w:line="360" w:lineRule="auto"/>
        <w:ind w:firstLine="360" w:firstLineChars="150"/>
        <w:rPr>
          <w:rStyle w:val="21"/>
          <w:rFonts w:hint="eastAsia" w:asciiTheme="minorEastAsia" w:hAnsiTheme="minorEastAsia" w:eastAsiaTheme="minorEastAsia" w:cstheme="minorEastAsia"/>
          <w:color w:val="auto"/>
          <w:kern w:val="2"/>
          <w:sz w:val="24"/>
          <w:szCs w:val="24"/>
          <w:highlight w:val="none"/>
          <w:lang w:val="en-US" w:eastAsia="zh-CN" w:bidi="ar-SA"/>
        </w:rPr>
      </w:pPr>
      <w:r>
        <w:rPr>
          <w:rStyle w:val="21"/>
          <w:rFonts w:hint="eastAsia" w:asciiTheme="minorEastAsia" w:hAnsiTheme="minorEastAsia" w:eastAsiaTheme="minorEastAsia" w:cstheme="minorEastAsia"/>
          <w:color w:val="auto"/>
          <w:kern w:val="2"/>
          <w:sz w:val="24"/>
          <w:szCs w:val="24"/>
          <w:highlight w:val="none"/>
          <w:lang w:val="en-US" w:eastAsia="zh-CN" w:bidi="ar-SA"/>
        </w:rPr>
        <w:t>24.3.1 采用争议评审的，发包人和承包人应在开工日后的28天内或在争议发生后，协商成立争议评审组。争议评审组由有合同管理和工程实践经验的专家组成。</w:t>
      </w:r>
    </w:p>
    <w:p>
      <w:pPr>
        <w:pStyle w:val="65"/>
        <w:tabs>
          <w:tab w:val="left" w:pos="8280"/>
        </w:tabs>
        <w:spacing w:line="360" w:lineRule="auto"/>
        <w:ind w:firstLine="360" w:firstLineChars="150"/>
        <w:rPr>
          <w:rStyle w:val="21"/>
          <w:rFonts w:hint="eastAsia" w:asciiTheme="minorEastAsia" w:hAnsiTheme="minorEastAsia" w:eastAsiaTheme="minorEastAsia" w:cstheme="minorEastAsia"/>
          <w:color w:val="auto"/>
          <w:kern w:val="2"/>
          <w:sz w:val="24"/>
          <w:szCs w:val="24"/>
          <w:highlight w:val="none"/>
          <w:lang w:val="en-US" w:eastAsia="zh-CN" w:bidi="ar-SA"/>
        </w:rPr>
      </w:pPr>
      <w:r>
        <w:rPr>
          <w:rStyle w:val="21"/>
          <w:rFonts w:hint="eastAsia" w:asciiTheme="minorEastAsia" w:hAnsiTheme="minorEastAsia" w:eastAsiaTheme="minorEastAsia" w:cstheme="minorEastAsia"/>
          <w:color w:val="auto"/>
          <w:kern w:val="2"/>
          <w:sz w:val="24"/>
          <w:szCs w:val="24"/>
          <w:highlight w:val="none"/>
          <w:lang w:val="en-US" w:eastAsia="zh-CN" w:bidi="ar-SA"/>
        </w:rPr>
        <w:t>24.3.2 合同双方的争议，应首先由申请人向争议评审组提交一份详细的评审申请报告，并附必要的文件、图纸和证明材料，申请人还应将上述报告的副本同时提交给被申请人和监理人。</w:t>
      </w:r>
    </w:p>
    <w:p>
      <w:pPr>
        <w:pStyle w:val="65"/>
        <w:tabs>
          <w:tab w:val="left" w:pos="8280"/>
        </w:tabs>
        <w:spacing w:line="360" w:lineRule="auto"/>
        <w:ind w:firstLine="360" w:firstLineChars="150"/>
        <w:rPr>
          <w:rStyle w:val="21"/>
          <w:rFonts w:hint="eastAsia" w:asciiTheme="minorEastAsia" w:hAnsiTheme="minorEastAsia" w:eastAsiaTheme="minorEastAsia" w:cstheme="minorEastAsia"/>
          <w:color w:val="auto"/>
          <w:kern w:val="2"/>
          <w:sz w:val="24"/>
          <w:szCs w:val="24"/>
          <w:highlight w:val="none"/>
          <w:lang w:val="en-US" w:eastAsia="zh-CN" w:bidi="ar-SA"/>
        </w:rPr>
      </w:pPr>
      <w:r>
        <w:rPr>
          <w:rStyle w:val="21"/>
          <w:rFonts w:hint="eastAsia" w:asciiTheme="minorEastAsia" w:hAnsiTheme="minorEastAsia" w:eastAsiaTheme="minorEastAsia" w:cstheme="minorEastAsia"/>
          <w:color w:val="auto"/>
          <w:kern w:val="2"/>
          <w:sz w:val="24"/>
          <w:szCs w:val="24"/>
          <w:highlight w:val="none"/>
          <w:lang w:val="en-US" w:eastAsia="zh-CN" w:bidi="ar-SA"/>
        </w:rPr>
        <w:t>24.3.3 被申请人在收到申请人评审申请报告副本后的28 天内，向争议评审组提交一份答辩报告，并附证明材料。被申请人应将答辩报告的副本同时提交给申请人和监理人。</w:t>
      </w:r>
    </w:p>
    <w:p>
      <w:pPr>
        <w:pStyle w:val="65"/>
        <w:tabs>
          <w:tab w:val="left" w:pos="8280"/>
        </w:tabs>
        <w:spacing w:line="360" w:lineRule="auto"/>
        <w:ind w:firstLine="360" w:firstLineChars="150"/>
        <w:rPr>
          <w:rStyle w:val="21"/>
          <w:rFonts w:hint="eastAsia" w:asciiTheme="minorEastAsia" w:hAnsiTheme="minorEastAsia" w:eastAsiaTheme="minorEastAsia" w:cstheme="minorEastAsia"/>
          <w:color w:val="auto"/>
          <w:kern w:val="2"/>
          <w:sz w:val="24"/>
          <w:szCs w:val="24"/>
          <w:highlight w:val="none"/>
          <w:lang w:val="en-US" w:eastAsia="zh-CN" w:bidi="ar-SA"/>
        </w:rPr>
      </w:pPr>
      <w:r>
        <w:rPr>
          <w:rStyle w:val="21"/>
          <w:rFonts w:hint="eastAsia" w:asciiTheme="minorEastAsia" w:hAnsiTheme="minorEastAsia" w:eastAsiaTheme="minorEastAsia" w:cstheme="minorEastAsia"/>
          <w:color w:val="auto"/>
          <w:kern w:val="2"/>
          <w:sz w:val="24"/>
          <w:szCs w:val="24"/>
          <w:highlight w:val="none"/>
          <w:lang w:val="en-US" w:eastAsia="zh-CN" w:bidi="ar-SA"/>
        </w:rPr>
        <w:t>24.3.4 除专用合同条款另有约定外，争议评审组在收到合同双方报告后的14天内，邀请双方代表和有关人员举行调查会，向双方调查争议细节；必要时争议评审组可要求双方进一步提供补充材料。</w:t>
      </w:r>
    </w:p>
    <w:p>
      <w:pPr>
        <w:pStyle w:val="65"/>
        <w:tabs>
          <w:tab w:val="left" w:pos="8280"/>
        </w:tabs>
        <w:spacing w:line="360" w:lineRule="auto"/>
        <w:ind w:firstLine="360" w:firstLineChars="150"/>
        <w:rPr>
          <w:rStyle w:val="21"/>
          <w:rFonts w:hint="eastAsia" w:asciiTheme="minorEastAsia" w:hAnsiTheme="minorEastAsia" w:eastAsiaTheme="minorEastAsia" w:cstheme="minorEastAsia"/>
          <w:color w:val="auto"/>
          <w:kern w:val="2"/>
          <w:sz w:val="24"/>
          <w:szCs w:val="24"/>
          <w:highlight w:val="none"/>
          <w:lang w:val="en-US" w:eastAsia="zh-CN" w:bidi="ar-SA"/>
        </w:rPr>
      </w:pPr>
      <w:r>
        <w:rPr>
          <w:rStyle w:val="21"/>
          <w:rFonts w:hint="eastAsia" w:asciiTheme="minorEastAsia" w:hAnsiTheme="minorEastAsia" w:eastAsiaTheme="minorEastAsia" w:cstheme="minorEastAsia"/>
          <w:color w:val="auto"/>
          <w:kern w:val="2"/>
          <w:sz w:val="24"/>
          <w:szCs w:val="24"/>
          <w:highlight w:val="none"/>
          <w:lang w:val="en-US" w:eastAsia="zh-CN" w:bidi="ar-SA"/>
        </w:rPr>
        <w:t>24.3.5 除专用合同条款另有约定外，在调查会结束后的14天内，争议评审组应在不受任何干扰的情况下进行独立、公正的评审，作出书面评审意见，并说明理由。在争议评审期间，争议双方暂按总监理工程师的确定执行。</w:t>
      </w:r>
    </w:p>
    <w:p>
      <w:pPr>
        <w:pStyle w:val="65"/>
        <w:tabs>
          <w:tab w:val="left" w:pos="8280"/>
        </w:tabs>
        <w:spacing w:line="360" w:lineRule="auto"/>
        <w:ind w:firstLine="360" w:firstLineChars="150"/>
        <w:rPr>
          <w:rStyle w:val="21"/>
          <w:rFonts w:hint="eastAsia" w:asciiTheme="minorEastAsia" w:hAnsiTheme="minorEastAsia" w:eastAsiaTheme="minorEastAsia" w:cstheme="minorEastAsia"/>
          <w:color w:val="auto"/>
          <w:kern w:val="2"/>
          <w:sz w:val="24"/>
          <w:szCs w:val="24"/>
          <w:highlight w:val="none"/>
          <w:lang w:val="en-US" w:eastAsia="zh-CN" w:bidi="ar-SA"/>
        </w:rPr>
      </w:pPr>
      <w:r>
        <w:rPr>
          <w:rStyle w:val="21"/>
          <w:rFonts w:hint="eastAsia" w:asciiTheme="minorEastAsia" w:hAnsiTheme="minorEastAsia" w:eastAsiaTheme="minorEastAsia" w:cstheme="minorEastAsia"/>
          <w:color w:val="auto"/>
          <w:kern w:val="2"/>
          <w:sz w:val="24"/>
          <w:szCs w:val="24"/>
          <w:highlight w:val="none"/>
          <w:lang w:val="en-US" w:eastAsia="zh-CN" w:bidi="ar-SA"/>
        </w:rPr>
        <w:t>24.3.6 发包人和承包人接受评审意见的，由监理人根据评审意见拟定执行协议，经争议双方签字后作为合同的补充文件，并遵照执行。</w:t>
      </w:r>
    </w:p>
    <w:p>
      <w:pPr>
        <w:pStyle w:val="65"/>
        <w:tabs>
          <w:tab w:val="left" w:pos="8280"/>
        </w:tabs>
        <w:spacing w:line="360" w:lineRule="auto"/>
        <w:ind w:firstLine="360" w:firstLineChars="150"/>
        <w:rPr>
          <w:rStyle w:val="21"/>
          <w:rFonts w:hint="eastAsia" w:asciiTheme="minorEastAsia" w:hAnsiTheme="minorEastAsia" w:eastAsiaTheme="minorEastAsia" w:cstheme="minorEastAsia"/>
          <w:color w:val="auto"/>
          <w:kern w:val="2"/>
          <w:sz w:val="24"/>
          <w:szCs w:val="24"/>
          <w:highlight w:val="none"/>
          <w:lang w:val="en-US" w:eastAsia="zh-CN" w:bidi="ar-SA"/>
        </w:rPr>
      </w:pPr>
      <w:r>
        <w:rPr>
          <w:rStyle w:val="21"/>
          <w:rFonts w:hint="eastAsia" w:asciiTheme="minorEastAsia" w:hAnsiTheme="minorEastAsia" w:eastAsiaTheme="minorEastAsia" w:cstheme="minorEastAsia"/>
          <w:color w:val="auto"/>
          <w:kern w:val="2"/>
          <w:sz w:val="24"/>
          <w:szCs w:val="24"/>
          <w:highlight w:val="none"/>
          <w:lang w:val="en-US" w:eastAsia="zh-CN" w:bidi="ar-SA"/>
        </w:rPr>
        <w:t>24.3.7 发包人或承包人不接受评审意见，并要求提交仲裁或提起诉讼的，应在收到评审意见后的14 天内将仲裁或起诉意向书面通知另一方，并抄送监理人，但在仲裁或诉讼结束前应暂按总监理工程师的确定执行。</w:t>
      </w:r>
    </w:p>
    <w:p>
      <w:pPr>
        <w:pStyle w:val="65"/>
        <w:tabs>
          <w:tab w:val="left" w:pos="8280"/>
        </w:tabs>
        <w:spacing w:line="360" w:lineRule="auto"/>
        <w:rPr>
          <w:rStyle w:val="21"/>
          <w:rFonts w:hint="eastAsia" w:asciiTheme="minorEastAsia" w:hAnsiTheme="minorEastAsia" w:eastAsiaTheme="minorEastAsia" w:cstheme="minorEastAsia"/>
          <w:b/>
          <w:color w:val="auto"/>
          <w:kern w:val="2"/>
          <w:sz w:val="24"/>
          <w:szCs w:val="24"/>
          <w:highlight w:val="none"/>
          <w:lang w:val="en-US" w:eastAsia="zh-CN" w:bidi="ar-SA"/>
        </w:rPr>
      </w:pPr>
    </w:p>
    <w:p>
      <w:pPr>
        <w:pStyle w:val="65"/>
        <w:tabs>
          <w:tab w:val="left" w:pos="8280"/>
        </w:tabs>
        <w:spacing w:line="360" w:lineRule="auto"/>
        <w:rPr>
          <w:rStyle w:val="21"/>
          <w:rFonts w:hint="eastAsia" w:asciiTheme="minorEastAsia" w:hAnsiTheme="minorEastAsia" w:eastAsiaTheme="minorEastAsia" w:cstheme="minorEastAsia"/>
          <w:b/>
          <w:color w:val="auto"/>
          <w:kern w:val="2"/>
          <w:sz w:val="24"/>
          <w:szCs w:val="24"/>
          <w:highlight w:val="none"/>
          <w:lang w:val="en-US" w:eastAsia="zh-CN" w:bidi="ar-SA"/>
        </w:rPr>
      </w:pPr>
      <w:r>
        <w:rPr>
          <w:rStyle w:val="21"/>
          <w:rFonts w:hint="eastAsia" w:asciiTheme="minorEastAsia" w:hAnsiTheme="minorEastAsia" w:eastAsiaTheme="minorEastAsia" w:cstheme="minorEastAsia"/>
          <w:b/>
          <w:color w:val="auto"/>
          <w:kern w:val="2"/>
          <w:sz w:val="24"/>
          <w:szCs w:val="24"/>
          <w:highlight w:val="none"/>
          <w:lang w:val="en-US" w:eastAsia="zh-CN" w:bidi="ar-SA"/>
        </w:rPr>
        <w:t xml:space="preserve">24.4 仲裁   </w:t>
      </w:r>
    </w:p>
    <w:p>
      <w:pPr>
        <w:pStyle w:val="65"/>
        <w:tabs>
          <w:tab w:val="left" w:pos="8280"/>
        </w:tabs>
        <w:spacing w:line="360" w:lineRule="auto"/>
        <w:ind w:firstLine="360" w:firstLineChars="150"/>
        <w:rPr>
          <w:rStyle w:val="21"/>
          <w:rFonts w:hint="eastAsia" w:asciiTheme="minorEastAsia" w:hAnsiTheme="minorEastAsia" w:eastAsiaTheme="minorEastAsia" w:cstheme="minorEastAsia"/>
          <w:color w:val="auto"/>
          <w:kern w:val="2"/>
          <w:sz w:val="24"/>
          <w:szCs w:val="24"/>
          <w:highlight w:val="none"/>
          <w:lang w:val="en-US" w:eastAsia="zh-CN" w:bidi="ar-SA"/>
        </w:rPr>
      </w:pPr>
      <w:r>
        <w:rPr>
          <w:rStyle w:val="21"/>
          <w:rFonts w:hint="eastAsia" w:asciiTheme="minorEastAsia" w:hAnsiTheme="minorEastAsia" w:eastAsiaTheme="minorEastAsia" w:cstheme="minorEastAsia"/>
          <w:color w:val="auto"/>
          <w:kern w:val="2"/>
          <w:sz w:val="24"/>
          <w:szCs w:val="24"/>
          <w:highlight w:val="none"/>
          <w:lang w:val="en-US" w:eastAsia="zh-CN" w:bidi="ar-SA"/>
        </w:rPr>
        <w:t>22.4.1若合同双方商定直接向仲裁机构申请仲裁，应签订仲裁协议并约定仲裁机构。</w:t>
      </w:r>
    </w:p>
    <w:p>
      <w:pPr>
        <w:rPr>
          <w:rStyle w:val="21"/>
          <w:rFonts w:hint="eastAsia" w:ascii="宋体" w:hAnsi="宋体" w:eastAsia="宋体" w:cs="宋体"/>
          <w:color w:val="auto"/>
          <w:highlight w:val="none"/>
        </w:rPr>
      </w:pPr>
      <w:r>
        <w:rPr>
          <w:rStyle w:val="21"/>
          <w:rFonts w:hint="eastAsia" w:asciiTheme="minorEastAsia" w:hAnsiTheme="minorEastAsia" w:eastAsiaTheme="minorEastAsia" w:cstheme="minorEastAsia"/>
          <w:color w:val="auto"/>
          <w:kern w:val="2"/>
          <w:sz w:val="24"/>
          <w:szCs w:val="24"/>
          <w:highlight w:val="none"/>
          <w:lang w:val="en-US" w:eastAsia="zh-CN" w:bidi="ar-SA"/>
        </w:rPr>
        <w:t>22.4.2若合同双方未能达成仲裁协议，则本合同的仲裁条款无效，任一方均有权向人民法院提起诉</w:t>
      </w:r>
      <w:r>
        <w:rPr>
          <w:rStyle w:val="21"/>
          <w:rFonts w:hint="eastAsia" w:ascii="宋体" w:hAnsi="宋体" w:eastAsia="宋体" w:cs="Times New Roman"/>
          <w:color w:val="auto"/>
          <w:kern w:val="2"/>
          <w:sz w:val="21"/>
          <w:szCs w:val="21"/>
          <w:highlight w:val="none"/>
          <w:lang w:val="en-US" w:eastAsia="zh-CN" w:bidi="ar-SA"/>
        </w:rPr>
        <w:t>讼。</w:t>
      </w:r>
      <w:r>
        <w:rPr>
          <w:rStyle w:val="21"/>
          <w:rFonts w:hint="eastAsia" w:ascii="宋体" w:hAnsi="宋体" w:eastAsia="宋体" w:cs="宋体"/>
          <w:color w:val="auto"/>
          <w:highlight w:val="none"/>
        </w:rPr>
        <w:br w:type="page"/>
      </w:r>
    </w:p>
    <w:p>
      <w:pPr>
        <w:pStyle w:val="64"/>
        <w:jc w:val="center"/>
        <w:rPr>
          <w:rStyle w:val="21"/>
          <w:color w:val="auto"/>
          <w:kern w:val="2"/>
          <w:highlight w:val="none"/>
          <w:lang w:val="en-US" w:eastAsia="zh-CN" w:bidi="ar-SA"/>
        </w:rPr>
      </w:pPr>
      <w:bookmarkStart w:id="293" w:name="_Toc24473"/>
      <w:bookmarkStart w:id="294" w:name="_Toc256000023"/>
      <w:bookmarkStart w:id="295" w:name="_Toc13108"/>
      <w:r>
        <w:rPr>
          <w:rStyle w:val="21"/>
          <w:color w:val="auto"/>
          <w:kern w:val="2"/>
          <w:highlight w:val="none"/>
          <w:lang w:val="en-US" w:eastAsia="zh-CN" w:bidi="ar-SA"/>
        </w:rPr>
        <w:t>第</w:t>
      </w:r>
      <w:r>
        <w:rPr>
          <w:rStyle w:val="21"/>
          <w:rFonts w:hint="eastAsia"/>
          <w:color w:val="auto"/>
          <w:kern w:val="2"/>
          <w:highlight w:val="none"/>
          <w:lang w:val="en-US" w:eastAsia="zh-CN" w:bidi="ar-SA"/>
        </w:rPr>
        <w:t>二</w:t>
      </w:r>
      <w:r>
        <w:rPr>
          <w:rStyle w:val="21"/>
          <w:color w:val="auto"/>
          <w:kern w:val="2"/>
          <w:highlight w:val="none"/>
          <w:lang w:val="en-US" w:eastAsia="zh-CN" w:bidi="ar-SA"/>
        </w:rPr>
        <w:t>节专用合同条款</w:t>
      </w:r>
      <w:bookmarkEnd w:id="293"/>
      <w:bookmarkEnd w:id="294"/>
      <w:bookmarkEnd w:id="295"/>
    </w:p>
    <w:p>
      <w:pPr>
        <w:pStyle w:val="66"/>
        <w:rPr>
          <w:rStyle w:val="21"/>
          <w:color w:val="auto"/>
          <w:kern w:val="2"/>
          <w:sz w:val="24"/>
          <w:szCs w:val="24"/>
          <w:highlight w:val="none"/>
          <w:lang w:val="en-US" w:eastAsia="zh-CN" w:bidi="ar-SA"/>
        </w:rPr>
      </w:pPr>
      <w:bookmarkStart w:id="296" w:name="_Toc14626"/>
      <w:r>
        <w:rPr>
          <w:rStyle w:val="21"/>
          <w:rFonts w:hint="eastAsia"/>
          <w:color w:val="auto"/>
          <w:kern w:val="2"/>
          <w:sz w:val="24"/>
          <w:szCs w:val="24"/>
          <w:highlight w:val="none"/>
          <w:lang w:val="en-US" w:eastAsia="zh-CN" w:bidi="ar-SA"/>
        </w:rPr>
        <w:t>1一般约定</w:t>
      </w:r>
      <w:bookmarkEnd w:id="296"/>
    </w:p>
    <w:p>
      <w:pPr>
        <w:pStyle w:val="65"/>
        <w:tabs>
          <w:tab w:val="left" w:pos="8280"/>
        </w:tabs>
        <w:spacing w:line="360" w:lineRule="auto"/>
        <w:ind w:firstLine="360" w:firstLineChars="150"/>
        <w:rPr>
          <w:rStyle w:val="21"/>
          <w:rFonts w:ascii="宋体" w:hAnsi="宋体" w:eastAsia="宋体" w:cs="Times New Roman"/>
          <w:color w:val="auto"/>
          <w:kern w:val="2"/>
          <w:sz w:val="24"/>
          <w:szCs w:val="24"/>
          <w:highlight w:val="none"/>
          <w:lang w:val="en-US" w:eastAsia="zh-CN" w:bidi="ar-SA"/>
        </w:rPr>
      </w:pPr>
      <w:r>
        <w:rPr>
          <w:rStyle w:val="21"/>
          <w:rFonts w:hint="eastAsia" w:ascii="宋体" w:hAnsi="宋体" w:eastAsia="宋体" w:cs="Times New Roman"/>
          <w:color w:val="auto"/>
          <w:kern w:val="2"/>
          <w:sz w:val="24"/>
          <w:szCs w:val="24"/>
          <w:highlight w:val="none"/>
          <w:lang w:val="en-US" w:eastAsia="zh-CN" w:bidi="ar-SA"/>
        </w:rPr>
        <w:t>1.1词语定义</w:t>
      </w:r>
    </w:p>
    <w:p>
      <w:pPr>
        <w:pStyle w:val="65"/>
        <w:tabs>
          <w:tab w:val="left" w:pos="8280"/>
        </w:tabs>
        <w:spacing w:line="360" w:lineRule="auto"/>
        <w:ind w:firstLine="360" w:firstLineChars="150"/>
        <w:rPr>
          <w:rStyle w:val="21"/>
          <w:rFonts w:ascii="宋体" w:hAnsi="宋体" w:eastAsia="宋体" w:cs="Times New Roman"/>
          <w:color w:val="auto"/>
          <w:kern w:val="2"/>
          <w:sz w:val="24"/>
          <w:szCs w:val="24"/>
          <w:highlight w:val="none"/>
          <w:lang w:val="en-US" w:eastAsia="zh-CN" w:bidi="ar-SA"/>
        </w:rPr>
      </w:pPr>
      <w:r>
        <w:rPr>
          <w:rStyle w:val="21"/>
          <w:rFonts w:hint="eastAsia" w:ascii="宋体" w:hAnsi="宋体" w:eastAsia="宋体" w:cs="Times New Roman"/>
          <w:color w:val="auto"/>
          <w:kern w:val="2"/>
          <w:sz w:val="24"/>
          <w:szCs w:val="24"/>
          <w:highlight w:val="none"/>
          <w:lang w:val="en-US" w:eastAsia="zh-CN" w:bidi="ar-SA"/>
        </w:rPr>
        <w:t>1.1.2合同当事人和人员</w:t>
      </w:r>
    </w:p>
    <w:p>
      <w:pPr>
        <w:pStyle w:val="65"/>
        <w:tabs>
          <w:tab w:val="left" w:pos="8280"/>
        </w:tabs>
        <w:spacing w:line="360" w:lineRule="auto"/>
        <w:ind w:firstLine="360" w:firstLineChars="150"/>
        <w:rPr>
          <w:rStyle w:val="21"/>
          <w:rFonts w:ascii="宋体" w:hAnsi="宋体" w:eastAsia="宋体" w:cs="Times New Roman"/>
          <w:color w:val="auto"/>
          <w:kern w:val="2"/>
          <w:sz w:val="24"/>
          <w:szCs w:val="24"/>
          <w:highlight w:val="none"/>
          <w:lang w:val="en-US" w:eastAsia="zh-CN" w:bidi="ar-SA"/>
        </w:rPr>
      </w:pPr>
      <w:r>
        <w:rPr>
          <w:rStyle w:val="21"/>
          <w:rFonts w:hint="eastAsia" w:ascii="宋体" w:hAnsi="宋体" w:eastAsia="宋体" w:cs="Times New Roman"/>
          <w:color w:val="auto"/>
          <w:kern w:val="2"/>
          <w:sz w:val="24"/>
          <w:szCs w:val="24"/>
          <w:highlight w:val="none"/>
          <w:lang w:val="en-US" w:eastAsia="zh-CN" w:bidi="ar-SA"/>
        </w:rPr>
        <w:t>1.1.2.2发包人：(填入发包人的名称)。</w:t>
      </w:r>
    </w:p>
    <w:p>
      <w:pPr>
        <w:pStyle w:val="65"/>
        <w:tabs>
          <w:tab w:val="left" w:pos="8280"/>
        </w:tabs>
        <w:spacing w:line="360" w:lineRule="auto"/>
        <w:ind w:firstLine="360" w:firstLineChars="150"/>
        <w:rPr>
          <w:rStyle w:val="21"/>
          <w:rFonts w:ascii="宋体" w:hAnsi="宋体" w:eastAsia="宋体" w:cs="Times New Roman"/>
          <w:color w:val="auto"/>
          <w:kern w:val="2"/>
          <w:sz w:val="24"/>
          <w:szCs w:val="24"/>
          <w:highlight w:val="none"/>
          <w:lang w:val="en-US" w:eastAsia="zh-CN" w:bidi="ar-SA"/>
        </w:rPr>
      </w:pPr>
      <w:r>
        <w:rPr>
          <w:rStyle w:val="21"/>
          <w:rFonts w:hint="eastAsia" w:ascii="宋体" w:hAnsi="宋体" w:eastAsia="宋体" w:cs="Times New Roman"/>
          <w:color w:val="auto"/>
          <w:kern w:val="2"/>
          <w:sz w:val="24"/>
          <w:szCs w:val="24"/>
          <w:highlight w:val="none"/>
          <w:lang w:val="en-US" w:eastAsia="zh-CN" w:bidi="ar-SA"/>
        </w:rPr>
        <w:t>1.1.2.3承包人：(签约后填入承包人的名称)。</w:t>
      </w:r>
    </w:p>
    <w:p>
      <w:pPr>
        <w:pStyle w:val="65"/>
        <w:tabs>
          <w:tab w:val="left" w:pos="8280"/>
        </w:tabs>
        <w:spacing w:line="360" w:lineRule="auto"/>
        <w:ind w:firstLine="360" w:firstLineChars="150"/>
        <w:rPr>
          <w:rStyle w:val="21"/>
          <w:rFonts w:ascii="宋体" w:hAnsi="宋体" w:eastAsia="宋体" w:cs="Times New Roman"/>
          <w:color w:val="auto"/>
          <w:kern w:val="2"/>
          <w:sz w:val="24"/>
          <w:szCs w:val="24"/>
          <w:highlight w:val="none"/>
          <w:lang w:val="en-US" w:eastAsia="zh-CN" w:bidi="ar-SA"/>
        </w:rPr>
      </w:pPr>
      <w:r>
        <w:rPr>
          <w:rStyle w:val="21"/>
          <w:rFonts w:hint="eastAsia" w:ascii="宋体" w:hAnsi="宋体" w:eastAsia="宋体" w:cs="Times New Roman"/>
          <w:color w:val="auto"/>
          <w:kern w:val="2"/>
          <w:sz w:val="24"/>
          <w:szCs w:val="24"/>
          <w:highlight w:val="none"/>
          <w:lang w:val="en-US" w:eastAsia="zh-CN" w:bidi="ar-SA"/>
        </w:rPr>
        <w:t>1.1.2.5分包人：(签约后填入分包人的名称)。</w:t>
      </w:r>
    </w:p>
    <w:p>
      <w:pPr>
        <w:pStyle w:val="65"/>
        <w:spacing w:line="360" w:lineRule="auto"/>
        <w:rPr>
          <w:rStyle w:val="21"/>
          <w:rFonts w:ascii="宋体" w:hAnsi="宋体" w:eastAsia="宋体" w:cs="Times New Roman"/>
          <w:color w:val="auto"/>
          <w:kern w:val="2"/>
          <w:sz w:val="24"/>
          <w:szCs w:val="24"/>
          <w:highlight w:val="none"/>
          <w:lang w:val="en-US" w:eastAsia="zh-CN" w:bidi="ar-SA"/>
        </w:rPr>
      </w:pPr>
      <w:r>
        <w:rPr>
          <w:rStyle w:val="21"/>
          <w:rFonts w:hint="eastAsia" w:ascii="宋体" w:hAnsi="宋体" w:eastAsia="宋体" w:cs="Times New Roman"/>
          <w:color w:val="auto"/>
          <w:kern w:val="2"/>
          <w:sz w:val="24"/>
          <w:szCs w:val="24"/>
          <w:highlight w:val="none"/>
          <w:lang w:val="en-US" w:eastAsia="zh-CN" w:bidi="ar-SA"/>
        </w:rPr>
        <w:t>1.1.2.6监理人：(填入监理人名称)。</w:t>
      </w:r>
    </w:p>
    <w:p>
      <w:pPr>
        <w:pStyle w:val="65"/>
        <w:spacing w:line="360" w:lineRule="auto"/>
        <w:rPr>
          <w:rStyle w:val="21"/>
          <w:rFonts w:ascii="宋体" w:hAnsi="宋体" w:eastAsia="宋体" w:cs="Times New Roman"/>
          <w:color w:val="auto"/>
          <w:kern w:val="2"/>
          <w:sz w:val="24"/>
          <w:szCs w:val="24"/>
          <w:highlight w:val="none"/>
          <w:lang w:val="en-US" w:eastAsia="zh-CN" w:bidi="ar-SA"/>
        </w:rPr>
      </w:pPr>
      <w:r>
        <w:rPr>
          <w:rStyle w:val="21"/>
          <w:rFonts w:hint="eastAsia" w:ascii="宋体" w:hAnsi="宋体" w:eastAsia="宋体" w:cs="Times New Roman"/>
          <w:color w:val="auto"/>
          <w:kern w:val="2"/>
          <w:sz w:val="24"/>
          <w:szCs w:val="24"/>
          <w:highlight w:val="none"/>
          <w:lang w:val="en-US" w:eastAsia="zh-CN" w:bidi="ar-SA"/>
        </w:rPr>
        <w:t>1.1.4日期</w:t>
      </w:r>
    </w:p>
    <w:p>
      <w:pPr>
        <w:pStyle w:val="65"/>
        <w:spacing w:line="360" w:lineRule="auto"/>
        <w:rPr>
          <w:rStyle w:val="21"/>
          <w:rFonts w:ascii="宋体" w:hAnsi="宋体" w:eastAsia="宋体" w:cs="Times New Roman"/>
          <w:color w:val="auto"/>
          <w:kern w:val="2"/>
          <w:sz w:val="24"/>
          <w:szCs w:val="24"/>
          <w:highlight w:val="none"/>
          <w:lang w:val="en-US" w:eastAsia="zh-CN" w:bidi="ar-SA"/>
        </w:rPr>
      </w:pPr>
      <w:r>
        <w:rPr>
          <w:rStyle w:val="21"/>
          <w:rFonts w:hint="eastAsia" w:ascii="宋体" w:hAnsi="宋体" w:eastAsia="宋体" w:cs="Times New Roman"/>
          <w:color w:val="auto"/>
          <w:kern w:val="2"/>
          <w:sz w:val="24"/>
          <w:szCs w:val="24"/>
          <w:highlight w:val="none"/>
          <w:lang w:val="en-US" w:eastAsia="zh-CN" w:bidi="ar-SA"/>
        </w:rPr>
        <w:t>1.1.4.5缺陷责任期(工程质量保修期)：。</w:t>
      </w:r>
    </w:p>
    <w:p>
      <w:pPr>
        <w:pStyle w:val="65"/>
        <w:spacing w:line="360" w:lineRule="auto"/>
        <w:rPr>
          <w:rStyle w:val="21"/>
          <w:rFonts w:ascii="宋体" w:hAnsi="宋体" w:eastAsia="宋体" w:cs="Times New Roman"/>
          <w:color w:val="auto"/>
          <w:kern w:val="2"/>
          <w:sz w:val="24"/>
          <w:szCs w:val="24"/>
          <w:highlight w:val="none"/>
          <w:lang w:val="en-US" w:eastAsia="zh-CN" w:bidi="ar-SA"/>
        </w:rPr>
      </w:pPr>
      <w:r>
        <w:rPr>
          <w:rStyle w:val="21"/>
          <w:rFonts w:hint="eastAsia" w:ascii="宋体" w:hAnsi="宋体" w:eastAsia="宋体" w:cs="Times New Roman"/>
          <w:color w:val="auto"/>
          <w:kern w:val="2"/>
          <w:sz w:val="24"/>
          <w:szCs w:val="24"/>
          <w:highlight w:val="none"/>
          <w:lang w:val="en-US" w:eastAsia="zh-CN" w:bidi="ar-SA"/>
        </w:rPr>
        <w:t>1.4合同文件的优先顺序</w:t>
      </w:r>
    </w:p>
    <w:p>
      <w:pPr>
        <w:pStyle w:val="65"/>
        <w:spacing w:line="360" w:lineRule="auto"/>
        <w:rPr>
          <w:rStyle w:val="21"/>
          <w:rFonts w:ascii="宋体" w:hAnsi="宋体" w:eastAsia="宋体" w:cs="Times New Roman"/>
          <w:color w:val="auto"/>
          <w:kern w:val="2"/>
          <w:sz w:val="24"/>
          <w:szCs w:val="24"/>
          <w:highlight w:val="none"/>
          <w:lang w:val="en-US" w:eastAsia="zh-CN" w:bidi="ar-SA"/>
        </w:rPr>
      </w:pPr>
      <w:r>
        <w:rPr>
          <w:rStyle w:val="21"/>
          <w:rFonts w:hint="eastAsia" w:ascii="宋体" w:hAnsi="宋体" w:eastAsia="宋体" w:cs="Times New Roman"/>
          <w:color w:val="auto"/>
          <w:kern w:val="2"/>
          <w:sz w:val="24"/>
          <w:szCs w:val="24"/>
          <w:highlight w:val="none"/>
          <w:lang w:val="en-US" w:eastAsia="zh-CN" w:bidi="ar-SA"/>
        </w:rPr>
        <w:t>进入合同文件的各项文件及其优先顺序是。</w:t>
      </w:r>
    </w:p>
    <w:p>
      <w:pPr>
        <w:pStyle w:val="65"/>
        <w:spacing w:line="360" w:lineRule="auto"/>
        <w:rPr>
          <w:rStyle w:val="21"/>
          <w:rFonts w:ascii="宋体" w:hAnsi="宋体" w:eastAsia="宋体" w:cs="Times New Roman"/>
          <w:color w:val="auto"/>
          <w:kern w:val="2"/>
          <w:sz w:val="24"/>
          <w:szCs w:val="24"/>
          <w:highlight w:val="none"/>
          <w:lang w:val="en-US" w:eastAsia="zh-CN" w:bidi="ar-SA"/>
        </w:rPr>
      </w:pPr>
      <w:r>
        <w:rPr>
          <w:rStyle w:val="21"/>
          <w:rFonts w:hint="eastAsia" w:ascii="宋体" w:hAnsi="宋体" w:eastAsia="宋体" w:cs="Times New Roman"/>
          <w:color w:val="auto"/>
          <w:kern w:val="2"/>
          <w:sz w:val="24"/>
          <w:szCs w:val="24"/>
          <w:highlight w:val="none"/>
          <w:lang w:val="en-US" w:eastAsia="zh-CN" w:bidi="ar-SA"/>
        </w:rPr>
        <w:t>1.7联络</w:t>
      </w:r>
    </w:p>
    <w:p>
      <w:pPr>
        <w:pStyle w:val="65"/>
        <w:spacing w:line="360" w:lineRule="auto"/>
        <w:rPr>
          <w:rStyle w:val="21"/>
          <w:rFonts w:ascii="宋体" w:hAnsi="宋体" w:eastAsia="宋体" w:cs="Times New Roman"/>
          <w:color w:val="auto"/>
          <w:kern w:val="2"/>
          <w:sz w:val="24"/>
          <w:szCs w:val="24"/>
          <w:highlight w:val="none"/>
          <w:lang w:val="en-US" w:eastAsia="zh-CN" w:bidi="ar-SA"/>
        </w:rPr>
      </w:pPr>
      <w:r>
        <w:rPr>
          <w:rStyle w:val="21"/>
          <w:rFonts w:hint="eastAsia" w:ascii="宋体" w:hAnsi="宋体" w:eastAsia="宋体" w:cs="Times New Roman"/>
          <w:color w:val="auto"/>
          <w:kern w:val="2"/>
          <w:sz w:val="24"/>
          <w:szCs w:val="24"/>
          <w:highlight w:val="none"/>
          <w:lang w:val="en-US" w:eastAsia="zh-CN" w:bidi="ar-SA"/>
        </w:rPr>
        <w:t>1.7.2来往函件均应按技术标准和要求(合同技术条款)约定的期限送达(填写文件送达地点)。</w:t>
      </w:r>
    </w:p>
    <w:p>
      <w:pPr>
        <w:pStyle w:val="66"/>
        <w:rPr>
          <w:rStyle w:val="21"/>
          <w:color w:val="auto"/>
          <w:kern w:val="2"/>
          <w:sz w:val="24"/>
          <w:szCs w:val="24"/>
          <w:highlight w:val="none"/>
          <w:lang w:val="en-US" w:eastAsia="zh-CN" w:bidi="ar-SA"/>
        </w:rPr>
      </w:pPr>
      <w:bookmarkStart w:id="297" w:name="_Toc28119"/>
      <w:r>
        <w:rPr>
          <w:rStyle w:val="21"/>
          <w:rFonts w:hint="eastAsia"/>
          <w:color w:val="auto"/>
          <w:kern w:val="2"/>
          <w:sz w:val="24"/>
          <w:szCs w:val="24"/>
          <w:highlight w:val="none"/>
          <w:lang w:val="en-US" w:eastAsia="zh-CN" w:bidi="ar-SA"/>
        </w:rPr>
        <w:t>2发包人义务</w:t>
      </w:r>
      <w:bookmarkEnd w:id="297"/>
    </w:p>
    <w:p>
      <w:pPr>
        <w:pStyle w:val="65"/>
        <w:spacing w:line="360" w:lineRule="auto"/>
        <w:rPr>
          <w:rStyle w:val="21"/>
          <w:rFonts w:ascii="宋体" w:hAnsi="宋体" w:eastAsia="宋体" w:cs="Times New Roman"/>
          <w:color w:val="auto"/>
          <w:kern w:val="2"/>
          <w:sz w:val="24"/>
          <w:szCs w:val="24"/>
          <w:highlight w:val="none"/>
          <w:lang w:val="en-US" w:eastAsia="zh-CN" w:bidi="ar-SA"/>
        </w:rPr>
      </w:pPr>
      <w:r>
        <w:rPr>
          <w:rStyle w:val="21"/>
          <w:rFonts w:hint="eastAsia" w:ascii="宋体" w:hAnsi="宋体" w:eastAsia="宋体" w:cs="Times New Roman"/>
          <w:color w:val="auto"/>
          <w:kern w:val="2"/>
          <w:sz w:val="24"/>
          <w:szCs w:val="24"/>
          <w:highlight w:val="none"/>
          <w:lang w:val="en-US" w:eastAsia="zh-CN" w:bidi="ar-SA"/>
        </w:rPr>
        <w:t>2.3提供施工场地</w:t>
      </w:r>
    </w:p>
    <w:p>
      <w:pPr>
        <w:pStyle w:val="65"/>
        <w:spacing w:line="360" w:lineRule="auto"/>
        <w:rPr>
          <w:rStyle w:val="21"/>
          <w:rFonts w:ascii="宋体" w:hAnsi="宋体" w:eastAsia="宋体" w:cs="Times New Roman"/>
          <w:color w:val="auto"/>
          <w:kern w:val="2"/>
          <w:sz w:val="24"/>
          <w:szCs w:val="24"/>
          <w:highlight w:val="none"/>
          <w:lang w:val="en-US" w:eastAsia="zh-CN" w:bidi="ar-SA"/>
        </w:rPr>
      </w:pPr>
      <w:r>
        <w:rPr>
          <w:rStyle w:val="21"/>
          <w:rFonts w:hint="eastAsia" w:ascii="宋体" w:hAnsi="宋体" w:eastAsia="宋体" w:cs="Times New Roman"/>
          <w:color w:val="auto"/>
          <w:kern w:val="2"/>
          <w:sz w:val="24"/>
          <w:szCs w:val="24"/>
          <w:highlight w:val="none"/>
          <w:lang w:val="en-US" w:eastAsia="zh-CN" w:bidi="ar-SA"/>
        </w:rPr>
        <w:t>2.3.2发包人提供的施工场地范围为：。</w:t>
      </w:r>
    </w:p>
    <w:p>
      <w:pPr>
        <w:pStyle w:val="65"/>
        <w:spacing w:line="360" w:lineRule="auto"/>
        <w:rPr>
          <w:rStyle w:val="21"/>
          <w:rFonts w:ascii="宋体" w:hAnsi="宋体" w:eastAsia="宋体" w:cs="Times New Roman"/>
          <w:color w:val="auto"/>
          <w:kern w:val="2"/>
          <w:sz w:val="24"/>
          <w:szCs w:val="24"/>
          <w:highlight w:val="none"/>
          <w:lang w:val="en-US" w:eastAsia="zh-CN" w:bidi="ar-SA"/>
        </w:rPr>
      </w:pPr>
      <w:r>
        <w:rPr>
          <w:rStyle w:val="21"/>
          <w:rFonts w:hint="eastAsia" w:ascii="宋体" w:hAnsi="宋体" w:eastAsia="宋体" w:cs="Times New Roman"/>
          <w:color w:val="auto"/>
          <w:kern w:val="2"/>
          <w:sz w:val="24"/>
          <w:szCs w:val="24"/>
          <w:highlight w:val="none"/>
          <w:lang w:val="en-US" w:eastAsia="zh-CN" w:bidi="ar-SA"/>
        </w:rPr>
        <w:t>2.3.3承包人自行勘察的施工场地范围为：。</w:t>
      </w:r>
    </w:p>
    <w:p>
      <w:pPr>
        <w:pStyle w:val="65"/>
        <w:spacing w:line="360" w:lineRule="auto"/>
        <w:rPr>
          <w:rStyle w:val="21"/>
          <w:rFonts w:ascii="宋体" w:hAnsi="宋体" w:eastAsia="宋体" w:cs="Times New Roman"/>
          <w:color w:val="auto"/>
          <w:kern w:val="2"/>
          <w:sz w:val="24"/>
          <w:szCs w:val="24"/>
          <w:highlight w:val="none"/>
          <w:lang w:val="en-US" w:eastAsia="zh-CN" w:bidi="ar-SA"/>
        </w:rPr>
      </w:pPr>
      <w:r>
        <w:rPr>
          <w:rStyle w:val="21"/>
          <w:rFonts w:hint="eastAsia" w:ascii="宋体" w:hAnsi="宋体" w:eastAsia="宋体" w:cs="Times New Roman"/>
          <w:color w:val="auto"/>
          <w:kern w:val="2"/>
          <w:sz w:val="24"/>
          <w:szCs w:val="24"/>
          <w:highlight w:val="none"/>
          <w:lang w:val="en-US" w:eastAsia="zh-CN" w:bidi="ar-SA"/>
        </w:rPr>
        <w:t>2.8其它义务</w:t>
      </w:r>
    </w:p>
    <w:p>
      <w:pPr>
        <w:pStyle w:val="65"/>
        <w:spacing w:line="360" w:lineRule="auto"/>
        <w:rPr>
          <w:rStyle w:val="21"/>
          <w:rFonts w:ascii="宋体" w:hAnsi="宋体" w:eastAsia="宋体" w:cs="Times New Roman"/>
          <w:color w:val="auto"/>
          <w:kern w:val="2"/>
          <w:sz w:val="24"/>
          <w:szCs w:val="24"/>
          <w:highlight w:val="none"/>
          <w:lang w:val="en-US" w:eastAsia="zh-CN" w:bidi="ar-SA"/>
        </w:rPr>
      </w:pPr>
      <w:r>
        <w:rPr>
          <w:rStyle w:val="21"/>
          <w:rFonts w:hint="eastAsia" w:ascii="宋体" w:hAnsi="宋体" w:eastAsia="宋体" w:cs="Times New Roman"/>
          <w:color w:val="auto"/>
          <w:kern w:val="2"/>
          <w:sz w:val="24"/>
          <w:szCs w:val="24"/>
          <w:highlight w:val="none"/>
          <w:lang w:val="en-US" w:eastAsia="zh-CN" w:bidi="ar-SA"/>
        </w:rPr>
        <w:t>(根据发包人的合同管理要求补充)</w:t>
      </w:r>
    </w:p>
    <w:p>
      <w:pPr>
        <w:pStyle w:val="65"/>
        <w:spacing w:line="360" w:lineRule="auto"/>
        <w:rPr>
          <w:rStyle w:val="21"/>
          <w:rFonts w:ascii="宋体" w:hAnsi="宋体" w:eastAsia="宋体" w:cs="Times New Roman"/>
          <w:color w:val="auto"/>
          <w:kern w:val="2"/>
          <w:sz w:val="24"/>
          <w:szCs w:val="24"/>
          <w:highlight w:val="none"/>
          <w:lang w:val="en-US" w:eastAsia="zh-CN" w:bidi="ar-SA"/>
        </w:rPr>
      </w:pPr>
      <w:r>
        <w:rPr>
          <w:rStyle w:val="21"/>
          <w:rFonts w:hint="eastAsia" w:ascii="宋体" w:hAnsi="宋体" w:eastAsia="宋体" w:cs="Times New Roman"/>
          <w:color w:val="auto"/>
          <w:kern w:val="2"/>
          <w:sz w:val="24"/>
          <w:szCs w:val="24"/>
          <w:highlight w:val="none"/>
          <w:lang w:val="en-US" w:eastAsia="zh-CN" w:bidi="ar-SA"/>
        </w:rPr>
        <w:t>(1)……</w:t>
      </w:r>
    </w:p>
    <w:p>
      <w:pPr>
        <w:pStyle w:val="65"/>
        <w:spacing w:line="360" w:lineRule="auto"/>
        <w:rPr>
          <w:rStyle w:val="21"/>
          <w:rFonts w:ascii="宋体" w:hAnsi="宋体" w:eastAsia="宋体" w:cs="Times New Roman"/>
          <w:color w:val="auto"/>
          <w:kern w:val="2"/>
          <w:sz w:val="24"/>
          <w:szCs w:val="24"/>
          <w:highlight w:val="none"/>
          <w:lang w:val="en-US" w:eastAsia="zh-CN" w:bidi="ar-SA"/>
        </w:rPr>
      </w:pPr>
      <w:r>
        <w:rPr>
          <w:rStyle w:val="21"/>
          <w:rFonts w:hint="eastAsia" w:ascii="宋体" w:hAnsi="宋体" w:eastAsia="宋体" w:cs="Times New Roman"/>
          <w:color w:val="auto"/>
          <w:kern w:val="2"/>
          <w:sz w:val="24"/>
          <w:szCs w:val="24"/>
          <w:highlight w:val="none"/>
          <w:lang w:val="en-US" w:eastAsia="zh-CN" w:bidi="ar-SA"/>
        </w:rPr>
        <w:t>(2)……</w:t>
      </w:r>
    </w:p>
    <w:p>
      <w:pPr>
        <w:pStyle w:val="66"/>
        <w:rPr>
          <w:rStyle w:val="21"/>
          <w:color w:val="auto"/>
          <w:kern w:val="2"/>
          <w:sz w:val="24"/>
          <w:szCs w:val="24"/>
          <w:highlight w:val="none"/>
          <w:lang w:val="en-US" w:eastAsia="zh-CN" w:bidi="ar-SA"/>
        </w:rPr>
      </w:pPr>
      <w:bookmarkStart w:id="298" w:name="_Toc23727"/>
      <w:r>
        <w:rPr>
          <w:rStyle w:val="21"/>
          <w:rFonts w:hint="eastAsia"/>
          <w:color w:val="auto"/>
          <w:kern w:val="2"/>
          <w:sz w:val="24"/>
          <w:szCs w:val="24"/>
          <w:highlight w:val="none"/>
          <w:lang w:val="en-US" w:eastAsia="zh-CN" w:bidi="ar-SA"/>
        </w:rPr>
        <w:t>3监理人</w:t>
      </w:r>
      <w:bookmarkEnd w:id="298"/>
    </w:p>
    <w:p>
      <w:pPr>
        <w:pStyle w:val="65"/>
        <w:spacing w:line="360" w:lineRule="auto"/>
        <w:rPr>
          <w:rStyle w:val="21"/>
          <w:rFonts w:ascii="宋体" w:hAnsi="宋体" w:eastAsia="宋体" w:cs="Times New Roman"/>
          <w:color w:val="auto"/>
          <w:kern w:val="2"/>
          <w:sz w:val="24"/>
          <w:szCs w:val="24"/>
          <w:highlight w:val="none"/>
          <w:lang w:val="en-US" w:eastAsia="zh-CN" w:bidi="ar-SA"/>
        </w:rPr>
      </w:pPr>
      <w:r>
        <w:rPr>
          <w:rStyle w:val="21"/>
          <w:rFonts w:hint="eastAsia" w:ascii="宋体" w:hAnsi="宋体" w:eastAsia="宋体" w:cs="Times New Roman"/>
          <w:color w:val="auto"/>
          <w:kern w:val="2"/>
          <w:sz w:val="24"/>
          <w:szCs w:val="24"/>
          <w:highlight w:val="none"/>
          <w:lang w:val="en-US" w:eastAsia="zh-CN" w:bidi="ar-SA"/>
        </w:rPr>
        <w:t>3.1监理人的职责和权力</w:t>
      </w:r>
    </w:p>
    <w:p>
      <w:pPr>
        <w:pStyle w:val="65"/>
        <w:spacing w:line="360" w:lineRule="auto"/>
        <w:rPr>
          <w:rStyle w:val="21"/>
          <w:rFonts w:ascii="宋体" w:hAnsi="宋体" w:eastAsia="宋体" w:cs="Times New Roman"/>
          <w:color w:val="auto"/>
          <w:kern w:val="2"/>
          <w:sz w:val="24"/>
          <w:szCs w:val="24"/>
          <w:highlight w:val="none"/>
          <w:lang w:val="en-US" w:eastAsia="zh-CN" w:bidi="ar-SA"/>
        </w:rPr>
      </w:pPr>
      <w:r>
        <w:rPr>
          <w:rStyle w:val="21"/>
          <w:rFonts w:hint="eastAsia" w:ascii="宋体" w:hAnsi="宋体" w:eastAsia="宋体" w:cs="Times New Roman"/>
          <w:color w:val="auto"/>
          <w:kern w:val="2"/>
          <w:sz w:val="24"/>
          <w:szCs w:val="24"/>
          <w:highlight w:val="none"/>
          <w:lang w:val="en-US" w:eastAsia="zh-CN" w:bidi="ar-SA"/>
        </w:rPr>
        <w:t>3.1.1监理人须根据发包人事先批准的权力范围行使权力，发包人批准的权力范围：(填写监理人须经发包人批准才能行使的权力，以下示例供参考)</w:t>
      </w:r>
    </w:p>
    <w:p>
      <w:pPr>
        <w:pStyle w:val="65"/>
        <w:spacing w:line="360" w:lineRule="auto"/>
        <w:rPr>
          <w:rStyle w:val="21"/>
          <w:rFonts w:ascii="宋体" w:hAnsi="宋体" w:eastAsia="宋体" w:cs="Times New Roman"/>
          <w:color w:val="auto"/>
          <w:kern w:val="2"/>
          <w:sz w:val="24"/>
          <w:szCs w:val="24"/>
          <w:highlight w:val="none"/>
          <w:lang w:val="en-US" w:eastAsia="zh-CN" w:bidi="ar-SA"/>
        </w:rPr>
      </w:pPr>
      <w:r>
        <w:rPr>
          <w:rStyle w:val="21"/>
          <w:rFonts w:hint="eastAsia" w:ascii="宋体" w:hAnsi="宋体" w:eastAsia="宋体" w:cs="Times New Roman"/>
          <w:color w:val="auto"/>
          <w:kern w:val="2"/>
          <w:sz w:val="24"/>
          <w:szCs w:val="24"/>
          <w:highlight w:val="none"/>
          <w:lang w:val="en-US" w:eastAsia="zh-CN" w:bidi="ar-SA"/>
        </w:rPr>
        <w:t>(1)按第4.3款约定，批准工程的分包；</w:t>
      </w:r>
    </w:p>
    <w:p>
      <w:pPr>
        <w:pStyle w:val="65"/>
        <w:spacing w:line="360" w:lineRule="auto"/>
        <w:rPr>
          <w:rStyle w:val="21"/>
          <w:rFonts w:ascii="宋体" w:hAnsi="宋体" w:eastAsia="宋体" w:cs="Times New Roman"/>
          <w:color w:val="auto"/>
          <w:kern w:val="2"/>
          <w:sz w:val="24"/>
          <w:szCs w:val="24"/>
          <w:highlight w:val="none"/>
          <w:lang w:val="en-US" w:eastAsia="zh-CN" w:bidi="ar-SA"/>
        </w:rPr>
      </w:pPr>
      <w:r>
        <w:rPr>
          <w:rStyle w:val="21"/>
          <w:rFonts w:hint="eastAsia" w:ascii="宋体" w:hAnsi="宋体" w:eastAsia="宋体" w:cs="Times New Roman"/>
          <w:color w:val="auto"/>
          <w:kern w:val="2"/>
          <w:sz w:val="24"/>
          <w:szCs w:val="24"/>
          <w:highlight w:val="none"/>
          <w:lang w:val="en-US" w:eastAsia="zh-CN" w:bidi="ar-SA"/>
        </w:rPr>
        <w:t>(2)按第11.3款约定，确定延长完工期限；</w:t>
      </w:r>
    </w:p>
    <w:p>
      <w:pPr>
        <w:pStyle w:val="65"/>
        <w:spacing w:line="360" w:lineRule="auto"/>
        <w:rPr>
          <w:rStyle w:val="21"/>
          <w:rFonts w:ascii="宋体" w:hAnsi="宋体" w:eastAsia="宋体" w:cs="Times New Roman"/>
          <w:color w:val="auto"/>
          <w:kern w:val="2"/>
          <w:sz w:val="24"/>
          <w:szCs w:val="24"/>
          <w:highlight w:val="none"/>
          <w:lang w:val="en-US" w:eastAsia="zh-CN" w:bidi="ar-SA"/>
        </w:rPr>
      </w:pPr>
      <w:r>
        <w:rPr>
          <w:rStyle w:val="21"/>
          <w:rFonts w:hint="eastAsia" w:ascii="宋体" w:hAnsi="宋体" w:eastAsia="宋体" w:cs="Times New Roman"/>
          <w:color w:val="auto"/>
          <w:kern w:val="2"/>
          <w:sz w:val="24"/>
          <w:szCs w:val="24"/>
          <w:highlight w:val="none"/>
          <w:lang w:val="en-US" w:eastAsia="zh-CN" w:bidi="ar-SA"/>
        </w:rPr>
        <w:t>(3)按第15.6款约定，批准暂列金额的使用；</w:t>
      </w:r>
    </w:p>
    <w:p>
      <w:pPr>
        <w:pStyle w:val="65"/>
        <w:spacing w:line="360" w:lineRule="auto"/>
        <w:rPr>
          <w:rStyle w:val="21"/>
          <w:rFonts w:ascii="宋体" w:hAnsi="宋体" w:eastAsia="宋体" w:cs="Times New Roman"/>
          <w:color w:val="auto"/>
          <w:kern w:val="2"/>
          <w:sz w:val="24"/>
          <w:szCs w:val="24"/>
          <w:highlight w:val="none"/>
          <w:lang w:val="en-US" w:eastAsia="zh-CN" w:bidi="ar-SA"/>
        </w:rPr>
      </w:pPr>
      <w:r>
        <w:rPr>
          <w:rStyle w:val="21"/>
          <w:rFonts w:hint="eastAsia" w:ascii="宋体" w:hAnsi="宋体" w:eastAsia="宋体" w:cs="Times New Roman"/>
          <w:color w:val="auto"/>
          <w:kern w:val="2"/>
          <w:sz w:val="24"/>
          <w:szCs w:val="24"/>
          <w:highlight w:val="none"/>
          <w:lang w:val="en-US" w:eastAsia="zh-CN" w:bidi="ar-SA"/>
        </w:rPr>
        <w:t>(4)……</w:t>
      </w:r>
    </w:p>
    <w:p>
      <w:pPr>
        <w:pStyle w:val="66"/>
        <w:rPr>
          <w:rStyle w:val="21"/>
          <w:color w:val="auto"/>
          <w:kern w:val="2"/>
          <w:sz w:val="24"/>
          <w:szCs w:val="24"/>
          <w:highlight w:val="none"/>
          <w:lang w:val="en-US" w:eastAsia="zh-CN" w:bidi="ar-SA"/>
        </w:rPr>
      </w:pPr>
      <w:bookmarkStart w:id="299" w:name="_Toc2030"/>
      <w:r>
        <w:rPr>
          <w:rStyle w:val="21"/>
          <w:rFonts w:hint="eastAsia"/>
          <w:color w:val="auto"/>
          <w:kern w:val="2"/>
          <w:sz w:val="24"/>
          <w:szCs w:val="24"/>
          <w:highlight w:val="none"/>
          <w:lang w:val="en-US" w:eastAsia="zh-CN" w:bidi="ar-SA"/>
        </w:rPr>
        <w:t>4承包人</w:t>
      </w:r>
      <w:bookmarkEnd w:id="299"/>
    </w:p>
    <w:p>
      <w:pPr>
        <w:pStyle w:val="65"/>
        <w:spacing w:line="360" w:lineRule="auto"/>
        <w:rPr>
          <w:rStyle w:val="21"/>
          <w:rFonts w:ascii="宋体" w:hAnsi="宋体" w:eastAsia="宋体" w:cs="Times New Roman"/>
          <w:color w:val="auto"/>
          <w:kern w:val="2"/>
          <w:sz w:val="24"/>
          <w:szCs w:val="24"/>
          <w:highlight w:val="none"/>
          <w:lang w:val="en-US" w:eastAsia="zh-CN" w:bidi="ar-SA"/>
        </w:rPr>
      </w:pPr>
      <w:r>
        <w:rPr>
          <w:rStyle w:val="21"/>
          <w:rFonts w:hint="eastAsia" w:ascii="宋体" w:hAnsi="宋体" w:eastAsia="宋体" w:cs="Times New Roman"/>
          <w:color w:val="auto"/>
          <w:kern w:val="2"/>
          <w:sz w:val="24"/>
          <w:szCs w:val="24"/>
          <w:highlight w:val="none"/>
          <w:lang w:val="en-US" w:eastAsia="zh-CN" w:bidi="ar-SA"/>
        </w:rPr>
        <w:t>4.1承包人的一般义务</w:t>
      </w:r>
    </w:p>
    <w:p>
      <w:pPr>
        <w:pStyle w:val="65"/>
        <w:spacing w:line="360" w:lineRule="auto"/>
        <w:rPr>
          <w:rStyle w:val="21"/>
          <w:rFonts w:ascii="宋体" w:hAnsi="宋体" w:eastAsia="宋体" w:cs="Times New Roman"/>
          <w:color w:val="auto"/>
          <w:kern w:val="2"/>
          <w:sz w:val="24"/>
          <w:szCs w:val="24"/>
          <w:highlight w:val="none"/>
          <w:lang w:val="en-US" w:eastAsia="zh-CN" w:bidi="ar-SA"/>
        </w:rPr>
      </w:pPr>
      <w:r>
        <w:rPr>
          <w:rStyle w:val="21"/>
          <w:rFonts w:hint="eastAsia" w:ascii="宋体" w:hAnsi="宋体" w:eastAsia="宋体" w:cs="Times New Roman"/>
          <w:color w:val="auto"/>
          <w:kern w:val="2"/>
          <w:sz w:val="24"/>
          <w:szCs w:val="24"/>
          <w:highlight w:val="none"/>
          <w:lang w:val="en-US" w:eastAsia="zh-CN" w:bidi="ar-SA"/>
        </w:rPr>
        <w:t>4.1.10其它义务</w:t>
      </w:r>
    </w:p>
    <w:p>
      <w:pPr>
        <w:pStyle w:val="65"/>
        <w:spacing w:line="360" w:lineRule="auto"/>
        <w:rPr>
          <w:rStyle w:val="21"/>
          <w:rFonts w:ascii="宋体" w:hAnsi="宋体" w:eastAsia="宋体" w:cs="Times New Roman"/>
          <w:color w:val="auto"/>
          <w:kern w:val="2"/>
          <w:sz w:val="24"/>
          <w:szCs w:val="24"/>
          <w:highlight w:val="none"/>
          <w:lang w:val="en-US" w:eastAsia="zh-CN" w:bidi="ar-SA"/>
        </w:rPr>
      </w:pPr>
      <w:r>
        <w:rPr>
          <w:rStyle w:val="21"/>
          <w:rFonts w:hint="eastAsia" w:ascii="宋体" w:hAnsi="宋体" w:eastAsia="宋体" w:cs="Times New Roman"/>
          <w:color w:val="auto"/>
          <w:kern w:val="2"/>
          <w:sz w:val="24"/>
          <w:szCs w:val="24"/>
          <w:highlight w:val="none"/>
          <w:lang w:val="en-US" w:eastAsia="zh-CN" w:bidi="ar-SA"/>
        </w:rPr>
        <w:t>(1)……</w:t>
      </w:r>
    </w:p>
    <w:p>
      <w:pPr>
        <w:pStyle w:val="65"/>
        <w:spacing w:line="360" w:lineRule="auto"/>
        <w:rPr>
          <w:rStyle w:val="21"/>
          <w:rFonts w:ascii="宋体" w:hAnsi="宋体" w:eastAsia="宋体" w:cs="Times New Roman"/>
          <w:color w:val="auto"/>
          <w:kern w:val="2"/>
          <w:sz w:val="24"/>
          <w:szCs w:val="24"/>
          <w:highlight w:val="none"/>
          <w:lang w:val="en-US" w:eastAsia="zh-CN" w:bidi="ar-SA"/>
        </w:rPr>
      </w:pPr>
      <w:r>
        <w:rPr>
          <w:rStyle w:val="21"/>
          <w:rFonts w:hint="eastAsia" w:ascii="宋体" w:hAnsi="宋体" w:eastAsia="宋体" w:cs="Times New Roman"/>
          <w:color w:val="auto"/>
          <w:kern w:val="2"/>
          <w:sz w:val="24"/>
          <w:szCs w:val="24"/>
          <w:highlight w:val="none"/>
          <w:lang w:val="en-US" w:eastAsia="zh-CN" w:bidi="ar-SA"/>
        </w:rPr>
        <w:t>(2)……</w:t>
      </w:r>
    </w:p>
    <w:p>
      <w:pPr>
        <w:pStyle w:val="65"/>
        <w:spacing w:line="360" w:lineRule="auto"/>
        <w:rPr>
          <w:rStyle w:val="21"/>
          <w:rFonts w:ascii="宋体" w:hAnsi="宋体" w:eastAsia="宋体" w:cs="Times New Roman"/>
          <w:color w:val="auto"/>
          <w:kern w:val="2"/>
          <w:sz w:val="24"/>
          <w:szCs w:val="24"/>
          <w:highlight w:val="none"/>
          <w:lang w:val="en-US" w:eastAsia="zh-CN" w:bidi="ar-SA"/>
        </w:rPr>
      </w:pPr>
      <w:r>
        <w:rPr>
          <w:rStyle w:val="21"/>
          <w:rFonts w:hint="eastAsia" w:ascii="宋体" w:hAnsi="宋体" w:eastAsia="宋体" w:cs="Times New Roman"/>
          <w:color w:val="auto"/>
          <w:kern w:val="2"/>
          <w:sz w:val="24"/>
          <w:szCs w:val="24"/>
          <w:highlight w:val="none"/>
          <w:lang w:val="en-US" w:eastAsia="zh-CN" w:bidi="ar-SA"/>
        </w:rPr>
        <w:t>4.3分包</w:t>
      </w:r>
    </w:p>
    <w:p>
      <w:pPr>
        <w:pStyle w:val="65"/>
        <w:spacing w:line="360" w:lineRule="auto"/>
        <w:rPr>
          <w:rStyle w:val="21"/>
          <w:rFonts w:ascii="宋体" w:hAnsi="宋体" w:eastAsia="宋体" w:cs="Times New Roman"/>
          <w:color w:val="auto"/>
          <w:kern w:val="2"/>
          <w:sz w:val="24"/>
          <w:szCs w:val="24"/>
          <w:highlight w:val="none"/>
          <w:lang w:val="en-US" w:eastAsia="zh-CN" w:bidi="ar-SA"/>
        </w:rPr>
      </w:pPr>
      <w:r>
        <w:rPr>
          <w:rStyle w:val="21"/>
          <w:rFonts w:hint="eastAsia" w:ascii="宋体" w:hAnsi="宋体" w:eastAsia="宋体" w:cs="Times New Roman"/>
          <w:color w:val="auto"/>
          <w:kern w:val="2"/>
          <w:sz w:val="24"/>
          <w:szCs w:val="24"/>
          <w:highlight w:val="none"/>
          <w:lang w:val="en-US" w:eastAsia="zh-CN" w:bidi="ar-SA"/>
        </w:rPr>
        <w:t>4.3.2允许承包人分包的工程项目、工作内容与分包金额限额为：</w:t>
      </w:r>
    </w:p>
    <w:p>
      <w:pPr>
        <w:pStyle w:val="65"/>
        <w:spacing w:line="360" w:lineRule="auto"/>
        <w:rPr>
          <w:rStyle w:val="21"/>
          <w:rFonts w:ascii="宋体" w:hAnsi="宋体" w:eastAsia="宋体" w:cs="Times New Roman"/>
          <w:color w:val="auto"/>
          <w:kern w:val="2"/>
          <w:sz w:val="24"/>
          <w:szCs w:val="24"/>
          <w:highlight w:val="none"/>
          <w:lang w:val="en-US" w:eastAsia="zh-CN" w:bidi="ar-SA"/>
        </w:rPr>
      </w:pPr>
      <w:r>
        <w:rPr>
          <w:rStyle w:val="21"/>
          <w:rFonts w:hint="eastAsia" w:ascii="宋体" w:hAnsi="宋体" w:eastAsia="宋体" w:cs="Times New Roman"/>
          <w:color w:val="auto"/>
          <w:kern w:val="2"/>
          <w:sz w:val="24"/>
          <w:szCs w:val="24"/>
          <w:highlight w:val="none"/>
          <w:lang w:val="en-US" w:eastAsia="zh-CN" w:bidi="ar-SA"/>
        </w:rPr>
        <w:t>(1)工程项目：。</w:t>
      </w:r>
    </w:p>
    <w:p>
      <w:pPr>
        <w:pStyle w:val="65"/>
        <w:spacing w:line="360" w:lineRule="auto"/>
        <w:rPr>
          <w:rStyle w:val="21"/>
          <w:rFonts w:ascii="宋体" w:hAnsi="宋体" w:eastAsia="宋体" w:cs="Times New Roman"/>
          <w:color w:val="auto"/>
          <w:kern w:val="2"/>
          <w:sz w:val="24"/>
          <w:szCs w:val="24"/>
          <w:highlight w:val="none"/>
          <w:lang w:val="en-US" w:eastAsia="zh-CN" w:bidi="ar-SA"/>
        </w:rPr>
      </w:pPr>
      <w:r>
        <w:rPr>
          <w:rStyle w:val="21"/>
          <w:rFonts w:hint="eastAsia" w:ascii="宋体" w:hAnsi="宋体" w:eastAsia="宋体" w:cs="Times New Roman"/>
          <w:color w:val="auto"/>
          <w:kern w:val="2"/>
          <w:sz w:val="24"/>
          <w:szCs w:val="24"/>
          <w:highlight w:val="none"/>
          <w:lang w:val="en-US" w:eastAsia="zh-CN" w:bidi="ar-SA"/>
        </w:rPr>
        <w:t>(2)工作内容：。</w:t>
      </w:r>
    </w:p>
    <w:p>
      <w:pPr>
        <w:pStyle w:val="65"/>
        <w:spacing w:line="360" w:lineRule="auto"/>
        <w:rPr>
          <w:rStyle w:val="21"/>
          <w:rFonts w:ascii="宋体" w:hAnsi="宋体" w:eastAsia="宋体" w:cs="Times New Roman"/>
          <w:color w:val="auto"/>
          <w:kern w:val="2"/>
          <w:sz w:val="24"/>
          <w:szCs w:val="24"/>
          <w:highlight w:val="none"/>
          <w:lang w:val="en-US" w:eastAsia="zh-CN" w:bidi="ar-SA"/>
        </w:rPr>
      </w:pPr>
      <w:r>
        <w:rPr>
          <w:rStyle w:val="21"/>
          <w:rFonts w:hint="eastAsia" w:ascii="宋体" w:hAnsi="宋体" w:eastAsia="宋体" w:cs="Times New Roman"/>
          <w:color w:val="auto"/>
          <w:kern w:val="2"/>
          <w:sz w:val="24"/>
          <w:szCs w:val="24"/>
          <w:highlight w:val="none"/>
          <w:lang w:val="en-US" w:eastAsia="zh-CN" w:bidi="ar-SA"/>
        </w:rPr>
        <w:t>(3)分包金额限额：。</w:t>
      </w:r>
    </w:p>
    <w:p>
      <w:pPr>
        <w:pStyle w:val="65"/>
        <w:spacing w:line="360" w:lineRule="auto"/>
        <w:rPr>
          <w:rStyle w:val="21"/>
          <w:rFonts w:ascii="宋体" w:hAnsi="宋体" w:eastAsia="宋体" w:cs="Times New Roman"/>
          <w:color w:val="auto"/>
          <w:kern w:val="2"/>
          <w:sz w:val="24"/>
          <w:szCs w:val="24"/>
          <w:highlight w:val="none"/>
          <w:lang w:val="en-US" w:eastAsia="zh-CN" w:bidi="ar-SA"/>
        </w:rPr>
      </w:pPr>
      <w:r>
        <w:rPr>
          <w:rStyle w:val="21"/>
          <w:rFonts w:hint="eastAsia" w:ascii="宋体" w:hAnsi="宋体" w:eastAsia="宋体" w:cs="Times New Roman"/>
          <w:color w:val="auto"/>
          <w:kern w:val="2"/>
          <w:sz w:val="24"/>
          <w:szCs w:val="24"/>
          <w:highlight w:val="none"/>
          <w:lang w:val="en-US" w:eastAsia="zh-CN" w:bidi="ar-SA"/>
        </w:rPr>
        <w:t>4.3.10分包人项目管理机构的设立：。</w:t>
      </w:r>
    </w:p>
    <w:p>
      <w:pPr>
        <w:pStyle w:val="65"/>
        <w:spacing w:line="360" w:lineRule="auto"/>
        <w:rPr>
          <w:rStyle w:val="21"/>
          <w:rFonts w:ascii="宋体" w:hAnsi="宋体" w:eastAsia="宋体" w:cs="Times New Roman"/>
          <w:color w:val="auto"/>
          <w:kern w:val="2"/>
          <w:sz w:val="24"/>
          <w:szCs w:val="24"/>
          <w:highlight w:val="none"/>
          <w:lang w:val="en-US" w:eastAsia="zh-CN" w:bidi="ar-SA"/>
        </w:rPr>
      </w:pPr>
      <w:r>
        <w:rPr>
          <w:rStyle w:val="21"/>
          <w:rFonts w:hint="eastAsia" w:ascii="宋体" w:hAnsi="宋体" w:eastAsia="宋体" w:cs="Times New Roman"/>
          <w:color w:val="auto"/>
          <w:kern w:val="2"/>
          <w:sz w:val="24"/>
          <w:szCs w:val="24"/>
          <w:highlight w:val="none"/>
          <w:lang w:val="en-US" w:eastAsia="zh-CN" w:bidi="ar-SA"/>
        </w:rPr>
        <w:t>4.11不利物质条件</w:t>
      </w:r>
    </w:p>
    <w:p>
      <w:pPr>
        <w:pStyle w:val="65"/>
        <w:spacing w:line="360" w:lineRule="auto"/>
        <w:rPr>
          <w:rStyle w:val="21"/>
          <w:rFonts w:ascii="宋体" w:hAnsi="宋体" w:eastAsia="宋体" w:cs="Times New Roman"/>
          <w:color w:val="auto"/>
          <w:kern w:val="2"/>
          <w:sz w:val="24"/>
          <w:szCs w:val="24"/>
          <w:highlight w:val="none"/>
          <w:lang w:val="en-US" w:eastAsia="zh-CN" w:bidi="ar-SA"/>
        </w:rPr>
      </w:pPr>
      <w:r>
        <w:rPr>
          <w:rStyle w:val="21"/>
          <w:rFonts w:hint="eastAsia" w:ascii="宋体" w:hAnsi="宋体" w:eastAsia="宋体" w:cs="Times New Roman"/>
          <w:color w:val="auto"/>
          <w:kern w:val="2"/>
          <w:sz w:val="24"/>
          <w:szCs w:val="24"/>
          <w:highlight w:val="none"/>
          <w:lang w:val="en-US" w:eastAsia="zh-CN" w:bidi="ar-SA"/>
        </w:rPr>
        <w:t>4.11.1不利物质条件的范围：。</w:t>
      </w:r>
    </w:p>
    <w:p>
      <w:pPr>
        <w:pStyle w:val="66"/>
        <w:rPr>
          <w:rStyle w:val="21"/>
          <w:color w:val="auto"/>
          <w:kern w:val="2"/>
          <w:sz w:val="24"/>
          <w:szCs w:val="24"/>
          <w:highlight w:val="none"/>
          <w:lang w:val="en-US" w:eastAsia="zh-CN" w:bidi="ar-SA"/>
        </w:rPr>
      </w:pPr>
      <w:bookmarkStart w:id="300" w:name="_Toc713"/>
      <w:r>
        <w:rPr>
          <w:rStyle w:val="21"/>
          <w:rFonts w:hint="eastAsia"/>
          <w:color w:val="auto"/>
          <w:kern w:val="2"/>
          <w:sz w:val="24"/>
          <w:szCs w:val="24"/>
          <w:highlight w:val="none"/>
          <w:lang w:val="en-US" w:eastAsia="zh-CN" w:bidi="ar-SA"/>
        </w:rPr>
        <w:t>5材料和工程设备</w:t>
      </w:r>
      <w:bookmarkEnd w:id="300"/>
    </w:p>
    <w:p>
      <w:pPr>
        <w:pStyle w:val="65"/>
        <w:spacing w:line="360" w:lineRule="auto"/>
        <w:rPr>
          <w:rStyle w:val="21"/>
          <w:rFonts w:ascii="宋体" w:hAnsi="宋体" w:eastAsia="宋体" w:cs="Times New Roman"/>
          <w:color w:val="auto"/>
          <w:kern w:val="2"/>
          <w:sz w:val="24"/>
          <w:szCs w:val="24"/>
          <w:highlight w:val="none"/>
          <w:lang w:val="en-US" w:eastAsia="zh-CN" w:bidi="ar-SA"/>
        </w:rPr>
      </w:pPr>
      <w:r>
        <w:rPr>
          <w:rStyle w:val="21"/>
          <w:rFonts w:hint="eastAsia" w:ascii="宋体" w:hAnsi="宋体" w:eastAsia="宋体" w:cs="Times New Roman"/>
          <w:color w:val="auto"/>
          <w:kern w:val="2"/>
          <w:sz w:val="24"/>
          <w:szCs w:val="24"/>
          <w:highlight w:val="none"/>
          <w:lang w:val="en-US" w:eastAsia="zh-CN" w:bidi="ar-SA"/>
        </w:rPr>
        <w:t>5.2发包人提供的材料和工程设备</w:t>
      </w:r>
    </w:p>
    <w:p>
      <w:pPr>
        <w:pStyle w:val="65"/>
        <w:spacing w:line="360" w:lineRule="auto"/>
        <w:rPr>
          <w:rStyle w:val="21"/>
          <w:rFonts w:ascii="宋体" w:hAnsi="宋体" w:eastAsia="宋体" w:cs="Times New Roman"/>
          <w:color w:val="auto"/>
          <w:kern w:val="2"/>
          <w:sz w:val="24"/>
          <w:szCs w:val="24"/>
          <w:highlight w:val="none"/>
          <w:lang w:val="en-US" w:eastAsia="zh-CN" w:bidi="ar-SA"/>
        </w:rPr>
      </w:pPr>
      <w:r>
        <w:rPr>
          <w:rStyle w:val="21"/>
          <w:rFonts w:hint="eastAsia" w:ascii="宋体" w:hAnsi="宋体" w:eastAsia="宋体" w:cs="Times New Roman"/>
          <w:color w:val="auto"/>
          <w:kern w:val="2"/>
          <w:sz w:val="24"/>
          <w:szCs w:val="24"/>
          <w:highlight w:val="none"/>
          <w:lang w:val="en-US" w:eastAsia="zh-CN" w:bidi="ar-SA"/>
        </w:rPr>
        <w:t>5.2.1发包人提供的材料和工程设备见下表：</w:t>
      </w:r>
    </w:p>
    <w:p>
      <w:pPr>
        <w:pStyle w:val="65"/>
        <w:spacing w:line="360" w:lineRule="auto"/>
        <w:jc w:val="center"/>
        <w:rPr>
          <w:rStyle w:val="21"/>
          <w:rFonts w:ascii="宋体" w:hAnsi="宋体" w:eastAsia="宋体" w:cs="Times New Roman"/>
          <w:b/>
          <w:color w:val="auto"/>
          <w:kern w:val="2"/>
          <w:sz w:val="24"/>
          <w:szCs w:val="24"/>
          <w:highlight w:val="none"/>
          <w:lang w:val="en-US" w:eastAsia="zh-CN" w:bidi="ar-SA"/>
        </w:rPr>
      </w:pPr>
      <w:r>
        <w:rPr>
          <w:rStyle w:val="21"/>
          <w:rFonts w:hint="eastAsia" w:ascii="宋体" w:hAnsi="宋体" w:eastAsia="宋体" w:cs="Times New Roman"/>
          <w:b/>
          <w:color w:val="auto"/>
          <w:kern w:val="2"/>
          <w:sz w:val="24"/>
          <w:szCs w:val="24"/>
          <w:highlight w:val="none"/>
          <w:lang w:val="en-US" w:eastAsia="zh-CN" w:bidi="ar-SA"/>
        </w:rPr>
        <w:t>发包人提供的材料表(参考格式)</w:t>
      </w:r>
    </w:p>
    <w:tbl>
      <w:tblPr>
        <w:tblStyle w:val="19"/>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09"/>
        <w:gridCol w:w="1418"/>
        <w:gridCol w:w="1417"/>
        <w:gridCol w:w="709"/>
        <w:gridCol w:w="1417"/>
        <w:gridCol w:w="1134"/>
        <w:gridCol w:w="1560"/>
        <w:gridCol w:w="708"/>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709" w:type="dxa"/>
            <w:noWrap w:val="0"/>
            <w:vAlign w:val="center"/>
          </w:tcPr>
          <w:p>
            <w:pPr>
              <w:pStyle w:val="65"/>
              <w:spacing w:line="360" w:lineRule="auto"/>
              <w:jc w:val="center"/>
              <w:rPr>
                <w:rStyle w:val="21"/>
                <w:rFonts w:hint="eastAsia" w:ascii="宋体" w:hAnsi="宋体" w:eastAsia="宋体" w:cs="Times New Roman"/>
                <w:color w:val="auto"/>
                <w:kern w:val="2"/>
                <w:sz w:val="24"/>
                <w:szCs w:val="24"/>
                <w:highlight w:val="none"/>
                <w:lang w:val="en-US" w:eastAsia="zh-CN" w:bidi="ar-SA"/>
              </w:rPr>
            </w:pPr>
            <w:r>
              <w:rPr>
                <w:rStyle w:val="21"/>
                <w:rFonts w:hint="eastAsia" w:ascii="宋体" w:hAnsi="宋体" w:eastAsia="宋体" w:cs="Times New Roman"/>
                <w:color w:val="auto"/>
                <w:kern w:val="2"/>
                <w:sz w:val="24"/>
                <w:szCs w:val="24"/>
                <w:highlight w:val="none"/>
                <w:lang w:val="en-US" w:eastAsia="zh-CN" w:bidi="ar-SA"/>
              </w:rPr>
              <w:t>序号</w:t>
            </w:r>
          </w:p>
        </w:tc>
        <w:tc>
          <w:tcPr>
            <w:tcW w:w="1418" w:type="dxa"/>
            <w:noWrap w:val="0"/>
            <w:vAlign w:val="center"/>
          </w:tcPr>
          <w:p>
            <w:pPr>
              <w:pStyle w:val="65"/>
              <w:spacing w:line="360" w:lineRule="auto"/>
              <w:jc w:val="center"/>
              <w:rPr>
                <w:rStyle w:val="21"/>
                <w:rFonts w:hint="eastAsia" w:ascii="宋体" w:hAnsi="宋体" w:eastAsia="宋体" w:cs="Times New Roman"/>
                <w:color w:val="auto"/>
                <w:kern w:val="2"/>
                <w:sz w:val="24"/>
                <w:szCs w:val="24"/>
                <w:highlight w:val="none"/>
                <w:lang w:val="en-US" w:eastAsia="zh-CN" w:bidi="ar-SA"/>
              </w:rPr>
            </w:pPr>
            <w:r>
              <w:rPr>
                <w:rStyle w:val="21"/>
                <w:rFonts w:hint="eastAsia" w:ascii="宋体" w:hAnsi="宋体" w:eastAsia="宋体" w:cs="Times New Roman"/>
                <w:color w:val="auto"/>
                <w:kern w:val="2"/>
                <w:sz w:val="24"/>
                <w:szCs w:val="24"/>
                <w:highlight w:val="none"/>
                <w:lang w:val="en-US" w:eastAsia="zh-CN" w:bidi="ar-SA"/>
              </w:rPr>
              <w:t>材料名称</w:t>
            </w:r>
          </w:p>
        </w:tc>
        <w:tc>
          <w:tcPr>
            <w:tcW w:w="1417" w:type="dxa"/>
            <w:noWrap w:val="0"/>
            <w:vAlign w:val="center"/>
          </w:tcPr>
          <w:p>
            <w:pPr>
              <w:pStyle w:val="65"/>
              <w:spacing w:line="360" w:lineRule="auto"/>
              <w:jc w:val="center"/>
              <w:rPr>
                <w:rStyle w:val="21"/>
                <w:rFonts w:hint="eastAsia" w:ascii="宋体" w:hAnsi="宋体" w:eastAsia="宋体" w:cs="Times New Roman"/>
                <w:color w:val="auto"/>
                <w:kern w:val="2"/>
                <w:sz w:val="24"/>
                <w:szCs w:val="24"/>
                <w:highlight w:val="none"/>
                <w:lang w:val="en-US" w:eastAsia="zh-CN" w:bidi="ar-SA"/>
              </w:rPr>
            </w:pPr>
            <w:r>
              <w:rPr>
                <w:rStyle w:val="21"/>
                <w:rFonts w:hint="eastAsia" w:ascii="宋体" w:hAnsi="宋体" w:eastAsia="宋体" w:cs="Times New Roman"/>
                <w:color w:val="auto"/>
                <w:kern w:val="2"/>
                <w:sz w:val="24"/>
                <w:szCs w:val="24"/>
                <w:highlight w:val="none"/>
                <w:lang w:val="en-US" w:eastAsia="zh-CN" w:bidi="ar-SA"/>
              </w:rPr>
              <w:t>材料规格</w:t>
            </w:r>
          </w:p>
        </w:tc>
        <w:tc>
          <w:tcPr>
            <w:tcW w:w="709" w:type="dxa"/>
            <w:noWrap w:val="0"/>
            <w:vAlign w:val="center"/>
          </w:tcPr>
          <w:p>
            <w:pPr>
              <w:pStyle w:val="65"/>
              <w:spacing w:line="360" w:lineRule="auto"/>
              <w:jc w:val="center"/>
              <w:rPr>
                <w:rStyle w:val="21"/>
                <w:rFonts w:hint="eastAsia" w:ascii="宋体" w:hAnsi="宋体" w:eastAsia="宋体" w:cs="Times New Roman"/>
                <w:color w:val="auto"/>
                <w:kern w:val="2"/>
                <w:sz w:val="24"/>
                <w:szCs w:val="24"/>
                <w:highlight w:val="none"/>
                <w:lang w:val="en-US" w:eastAsia="zh-CN" w:bidi="ar-SA"/>
              </w:rPr>
            </w:pPr>
            <w:r>
              <w:rPr>
                <w:rStyle w:val="21"/>
                <w:rFonts w:hint="eastAsia" w:ascii="宋体" w:hAnsi="宋体" w:eastAsia="宋体" w:cs="Times New Roman"/>
                <w:color w:val="auto"/>
                <w:kern w:val="2"/>
                <w:sz w:val="24"/>
                <w:szCs w:val="24"/>
                <w:highlight w:val="none"/>
                <w:lang w:val="en-US" w:eastAsia="zh-CN" w:bidi="ar-SA"/>
              </w:rPr>
              <w:t>数量</w:t>
            </w:r>
          </w:p>
        </w:tc>
        <w:tc>
          <w:tcPr>
            <w:tcW w:w="1417" w:type="dxa"/>
            <w:noWrap w:val="0"/>
            <w:vAlign w:val="center"/>
          </w:tcPr>
          <w:p>
            <w:pPr>
              <w:pStyle w:val="65"/>
              <w:spacing w:line="360" w:lineRule="auto"/>
              <w:jc w:val="center"/>
              <w:rPr>
                <w:rStyle w:val="21"/>
                <w:rFonts w:hint="eastAsia" w:ascii="宋体" w:hAnsi="宋体" w:eastAsia="宋体" w:cs="Times New Roman"/>
                <w:color w:val="auto"/>
                <w:kern w:val="2"/>
                <w:sz w:val="24"/>
                <w:szCs w:val="24"/>
                <w:highlight w:val="none"/>
                <w:lang w:val="en-US" w:eastAsia="zh-CN" w:bidi="ar-SA"/>
              </w:rPr>
            </w:pPr>
            <w:r>
              <w:rPr>
                <w:rStyle w:val="21"/>
                <w:rFonts w:hint="eastAsia" w:ascii="宋体" w:hAnsi="宋体" w:eastAsia="宋体" w:cs="Times New Roman"/>
                <w:color w:val="auto"/>
                <w:kern w:val="2"/>
                <w:sz w:val="24"/>
                <w:szCs w:val="24"/>
                <w:highlight w:val="none"/>
                <w:lang w:val="en-US" w:eastAsia="zh-CN" w:bidi="ar-SA"/>
              </w:rPr>
              <w:t>交货地点</w:t>
            </w:r>
          </w:p>
        </w:tc>
        <w:tc>
          <w:tcPr>
            <w:tcW w:w="1134" w:type="dxa"/>
            <w:noWrap w:val="0"/>
            <w:vAlign w:val="center"/>
          </w:tcPr>
          <w:p>
            <w:pPr>
              <w:pStyle w:val="65"/>
              <w:spacing w:line="360" w:lineRule="auto"/>
              <w:jc w:val="center"/>
              <w:rPr>
                <w:rStyle w:val="21"/>
                <w:rFonts w:hint="eastAsia" w:ascii="宋体" w:hAnsi="宋体" w:eastAsia="宋体" w:cs="Times New Roman"/>
                <w:color w:val="auto"/>
                <w:kern w:val="2"/>
                <w:sz w:val="24"/>
                <w:szCs w:val="24"/>
                <w:highlight w:val="none"/>
                <w:lang w:val="en-US" w:eastAsia="zh-CN" w:bidi="ar-SA"/>
              </w:rPr>
            </w:pPr>
            <w:r>
              <w:rPr>
                <w:rStyle w:val="21"/>
                <w:rFonts w:hint="eastAsia" w:ascii="宋体" w:hAnsi="宋体" w:eastAsia="宋体" w:cs="Times New Roman"/>
                <w:color w:val="auto"/>
                <w:kern w:val="2"/>
                <w:sz w:val="24"/>
                <w:szCs w:val="24"/>
                <w:highlight w:val="none"/>
                <w:lang w:val="en-US" w:eastAsia="zh-CN" w:bidi="ar-SA"/>
              </w:rPr>
              <w:t>交货方式</w:t>
            </w:r>
          </w:p>
        </w:tc>
        <w:tc>
          <w:tcPr>
            <w:tcW w:w="1560" w:type="dxa"/>
            <w:noWrap w:val="0"/>
            <w:vAlign w:val="center"/>
          </w:tcPr>
          <w:p>
            <w:pPr>
              <w:pStyle w:val="65"/>
              <w:spacing w:line="360" w:lineRule="auto"/>
              <w:jc w:val="center"/>
              <w:rPr>
                <w:rStyle w:val="21"/>
                <w:rFonts w:hint="eastAsia" w:ascii="宋体" w:hAnsi="宋体" w:eastAsia="宋体" w:cs="Times New Roman"/>
                <w:color w:val="auto"/>
                <w:kern w:val="2"/>
                <w:sz w:val="24"/>
                <w:szCs w:val="24"/>
                <w:highlight w:val="none"/>
                <w:lang w:val="en-US" w:eastAsia="zh-CN" w:bidi="ar-SA"/>
              </w:rPr>
            </w:pPr>
            <w:r>
              <w:rPr>
                <w:rStyle w:val="21"/>
                <w:rFonts w:hint="eastAsia" w:ascii="宋体" w:hAnsi="宋体" w:eastAsia="宋体" w:cs="Times New Roman"/>
                <w:color w:val="auto"/>
                <w:kern w:val="2"/>
                <w:sz w:val="24"/>
                <w:szCs w:val="24"/>
                <w:highlight w:val="none"/>
                <w:lang w:val="en-US" w:eastAsia="zh-CN" w:bidi="ar-SA"/>
              </w:rPr>
              <w:t>计划交货日期</w:t>
            </w:r>
          </w:p>
        </w:tc>
        <w:tc>
          <w:tcPr>
            <w:tcW w:w="708" w:type="dxa"/>
            <w:noWrap w:val="0"/>
            <w:vAlign w:val="center"/>
          </w:tcPr>
          <w:p>
            <w:pPr>
              <w:pStyle w:val="65"/>
              <w:spacing w:line="360" w:lineRule="auto"/>
              <w:jc w:val="center"/>
              <w:rPr>
                <w:rStyle w:val="21"/>
                <w:rFonts w:ascii="宋体" w:hAnsi="宋体" w:eastAsia="宋体" w:cs="Times New Roman"/>
                <w:color w:val="auto"/>
                <w:kern w:val="2"/>
                <w:sz w:val="24"/>
                <w:szCs w:val="24"/>
                <w:highlight w:val="none"/>
                <w:lang w:val="en-US" w:eastAsia="zh-CN" w:bidi="ar-SA"/>
              </w:rPr>
            </w:pPr>
            <w:r>
              <w:rPr>
                <w:rStyle w:val="21"/>
                <w:rFonts w:hint="eastAsia" w:ascii="宋体" w:hAnsi="宋体" w:eastAsia="宋体" w:cs="Times New Roman"/>
                <w:color w:val="auto"/>
                <w:kern w:val="2"/>
                <w:sz w:val="24"/>
                <w:szCs w:val="24"/>
                <w:highlight w:val="none"/>
                <w:lang w:val="en-US" w:eastAsia="zh-CN" w:bidi="ar-SA"/>
              </w:rPr>
              <w:t>备注</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709" w:type="dxa"/>
            <w:noWrap w:val="0"/>
            <w:vAlign w:val="center"/>
          </w:tcPr>
          <w:p>
            <w:pPr>
              <w:pStyle w:val="65"/>
              <w:spacing w:line="360" w:lineRule="auto"/>
              <w:jc w:val="center"/>
              <w:rPr>
                <w:rStyle w:val="21"/>
                <w:rFonts w:hint="eastAsia" w:ascii="宋体" w:hAnsi="宋体" w:eastAsia="宋体" w:cs="Times New Roman"/>
                <w:color w:val="auto"/>
                <w:kern w:val="2"/>
                <w:sz w:val="24"/>
                <w:szCs w:val="24"/>
                <w:highlight w:val="none"/>
                <w:lang w:val="en-US" w:eastAsia="zh-CN" w:bidi="ar-SA"/>
              </w:rPr>
            </w:pPr>
          </w:p>
        </w:tc>
        <w:tc>
          <w:tcPr>
            <w:tcW w:w="1418" w:type="dxa"/>
            <w:noWrap w:val="0"/>
            <w:vAlign w:val="center"/>
          </w:tcPr>
          <w:p>
            <w:pPr>
              <w:pStyle w:val="65"/>
              <w:spacing w:line="360" w:lineRule="auto"/>
              <w:jc w:val="center"/>
              <w:rPr>
                <w:rStyle w:val="21"/>
                <w:rFonts w:hint="eastAsia" w:ascii="宋体" w:hAnsi="宋体" w:eastAsia="宋体" w:cs="Times New Roman"/>
                <w:color w:val="auto"/>
                <w:kern w:val="2"/>
                <w:sz w:val="24"/>
                <w:szCs w:val="24"/>
                <w:highlight w:val="none"/>
                <w:lang w:val="en-US" w:eastAsia="zh-CN" w:bidi="ar-SA"/>
              </w:rPr>
            </w:pPr>
          </w:p>
        </w:tc>
        <w:tc>
          <w:tcPr>
            <w:tcW w:w="1417" w:type="dxa"/>
            <w:noWrap w:val="0"/>
            <w:vAlign w:val="center"/>
          </w:tcPr>
          <w:p>
            <w:pPr>
              <w:pStyle w:val="65"/>
              <w:spacing w:line="360" w:lineRule="auto"/>
              <w:jc w:val="center"/>
              <w:rPr>
                <w:rStyle w:val="21"/>
                <w:rFonts w:hint="eastAsia" w:ascii="宋体" w:hAnsi="宋体" w:eastAsia="宋体" w:cs="Times New Roman"/>
                <w:color w:val="auto"/>
                <w:kern w:val="2"/>
                <w:sz w:val="24"/>
                <w:szCs w:val="24"/>
                <w:highlight w:val="none"/>
                <w:lang w:val="en-US" w:eastAsia="zh-CN" w:bidi="ar-SA"/>
              </w:rPr>
            </w:pPr>
          </w:p>
        </w:tc>
        <w:tc>
          <w:tcPr>
            <w:tcW w:w="709" w:type="dxa"/>
            <w:noWrap w:val="0"/>
            <w:vAlign w:val="center"/>
          </w:tcPr>
          <w:p>
            <w:pPr>
              <w:pStyle w:val="65"/>
              <w:spacing w:line="360" w:lineRule="auto"/>
              <w:jc w:val="center"/>
              <w:rPr>
                <w:rStyle w:val="21"/>
                <w:rFonts w:hint="eastAsia" w:ascii="宋体" w:hAnsi="宋体" w:eastAsia="宋体" w:cs="Times New Roman"/>
                <w:color w:val="auto"/>
                <w:kern w:val="2"/>
                <w:sz w:val="24"/>
                <w:szCs w:val="24"/>
                <w:highlight w:val="none"/>
                <w:lang w:val="en-US" w:eastAsia="zh-CN" w:bidi="ar-SA"/>
              </w:rPr>
            </w:pPr>
          </w:p>
        </w:tc>
        <w:tc>
          <w:tcPr>
            <w:tcW w:w="1417" w:type="dxa"/>
            <w:noWrap w:val="0"/>
            <w:vAlign w:val="center"/>
          </w:tcPr>
          <w:p>
            <w:pPr>
              <w:pStyle w:val="65"/>
              <w:spacing w:line="360" w:lineRule="auto"/>
              <w:jc w:val="center"/>
              <w:rPr>
                <w:rStyle w:val="21"/>
                <w:rFonts w:hint="eastAsia" w:ascii="宋体" w:hAnsi="宋体" w:eastAsia="宋体" w:cs="Times New Roman"/>
                <w:color w:val="auto"/>
                <w:kern w:val="2"/>
                <w:sz w:val="24"/>
                <w:szCs w:val="24"/>
                <w:highlight w:val="none"/>
                <w:lang w:val="en-US" w:eastAsia="zh-CN" w:bidi="ar-SA"/>
              </w:rPr>
            </w:pPr>
          </w:p>
        </w:tc>
        <w:tc>
          <w:tcPr>
            <w:tcW w:w="1134" w:type="dxa"/>
            <w:noWrap w:val="0"/>
            <w:vAlign w:val="center"/>
          </w:tcPr>
          <w:p>
            <w:pPr>
              <w:pStyle w:val="65"/>
              <w:spacing w:line="360" w:lineRule="auto"/>
              <w:jc w:val="center"/>
              <w:rPr>
                <w:rStyle w:val="21"/>
                <w:rFonts w:hint="eastAsia" w:ascii="宋体" w:hAnsi="宋体" w:eastAsia="宋体" w:cs="Times New Roman"/>
                <w:color w:val="auto"/>
                <w:kern w:val="2"/>
                <w:sz w:val="24"/>
                <w:szCs w:val="24"/>
                <w:highlight w:val="none"/>
                <w:lang w:val="en-US" w:eastAsia="zh-CN" w:bidi="ar-SA"/>
              </w:rPr>
            </w:pPr>
          </w:p>
        </w:tc>
        <w:tc>
          <w:tcPr>
            <w:tcW w:w="1560" w:type="dxa"/>
            <w:noWrap w:val="0"/>
            <w:vAlign w:val="center"/>
          </w:tcPr>
          <w:p>
            <w:pPr>
              <w:pStyle w:val="65"/>
              <w:spacing w:line="360" w:lineRule="auto"/>
              <w:jc w:val="center"/>
              <w:rPr>
                <w:rStyle w:val="21"/>
                <w:rFonts w:hint="eastAsia" w:ascii="宋体" w:hAnsi="宋体" w:eastAsia="宋体" w:cs="Times New Roman"/>
                <w:color w:val="auto"/>
                <w:kern w:val="2"/>
                <w:sz w:val="24"/>
                <w:szCs w:val="24"/>
                <w:highlight w:val="none"/>
                <w:lang w:val="en-US" w:eastAsia="zh-CN" w:bidi="ar-SA"/>
              </w:rPr>
            </w:pPr>
          </w:p>
        </w:tc>
        <w:tc>
          <w:tcPr>
            <w:tcW w:w="708" w:type="dxa"/>
            <w:noWrap w:val="0"/>
            <w:vAlign w:val="center"/>
          </w:tcPr>
          <w:p>
            <w:pPr>
              <w:pStyle w:val="65"/>
              <w:spacing w:line="360" w:lineRule="auto"/>
              <w:jc w:val="center"/>
              <w:rPr>
                <w:rStyle w:val="21"/>
                <w:rFonts w:hint="eastAsia" w:ascii="宋体" w:hAnsi="宋体" w:eastAsia="宋体" w:cs="Times New Roman"/>
                <w:color w:val="auto"/>
                <w:kern w:val="2"/>
                <w:sz w:val="24"/>
                <w:szCs w:val="24"/>
                <w:highlight w:val="none"/>
                <w:lang w:val="en-US" w:eastAsia="zh-CN" w:bidi="ar-SA"/>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709" w:type="dxa"/>
            <w:noWrap w:val="0"/>
            <w:vAlign w:val="center"/>
          </w:tcPr>
          <w:p>
            <w:pPr>
              <w:pStyle w:val="65"/>
              <w:spacing w:line="360" w:lineRule="auto"/>
              <w:jc w:val="center"/>
              <w:rPr>
                <w:rStyle w:val="21"/>
                <w:rFonts w:hint="eastAsia" w:ascii="宋体" w:hAnsi="宋体" w:eastAsia="宋体" w:cs="Times New Roman"/>
                <w:color w:val="auto"/>
                <w:kern w:val="2"/>
                <w:sz w:val="24"/>
                <w:szCs w:val="24"/>
                <w:highlight w:val="none"/>
                <w:lang w:val="en-US" w:eastAsia="zh-CN" w:bidi="ar-SA"/>
              </w:rPr>
            </w:pPr>
          </w:p>
        </w:tc>
        <w:tc>
          <w:tcPr>
            <w:tcW w:w="1418" w:type="dxa"/>
            <w:noWrap w:val="0"/>
            <w:vAlign w:val="center"/>
          </w:tcPr>
          <w:p>
            <w:pPr>
              <w:pStyle w:val="65"/>
              <w:spacing w:line="360" w:lineRule="auto"/>
              <w:jc w:val="center"/>
              <w:rPr>
                <w:rStyle w:val="21"/>
                <w:rFonts w:hint="eastAsia" w:ascii="宋体" w:hAnsi="宋体" w:eastAsia="宋体" w:cs="Times New Roman"/>
                <w:color w:val="auto"/>
                <w:kern w:val="2"/>
                <w:sz w:val="24"/>
                <w:szCs w:val="24"/>
                <w:highlight w:val="none"/>
                <w:lang w:val="en-US" w:eastAsia="zh-CN" w:bidi="ar-SA"/>
              </w:rPr>
            </w:pPr>
          </w:p>
        </w:tc>
        <w:tc>
          <w:tcPr>
            <w:tcW w:w="1417" w:type="dxa"/>
            <w:noWrap w:val="0"/>
            <w:vAlign w:val="center"/>
          </w:tcPr>
          <w:p>
            <w:pPr>
              <w:pStyle w:val="65"/>
              <w:spacing w:line="360" w:lineRule="auto"/>
              <w:jc w:val="center"/>
              <w:rPr>
                <w:rStyle w:val="21"/>
                <w:rFonts w:hint="eastAsia" w:ascii="宋体" w:hAnsi="宋体" w:eastAsia="宋体" w:cs="Times New Roman"/>
                <w:color w:val="auto"/>
                <w:kern w:val="2"/>
                <w:sz w:val="24"/>
                <w:szCs w:val="24"/>
                <w:highlight w:val="none"/>
                <w:lang w:val="en-US" w:eastAsia="zh-CN" w:bidi="ar-SA"/>
              </w:rPr>
            </w:pPr>
          </w:p>
        </w:tc>
        <w:tc>
          <w:tcPr>
            <w:tcW w:w="709" w:type="dxa"/>
            <w:noWrap w:val="0"/>
            <w:vAlign w:val="center"/>
          </w:tcPr>
          <w:p>
            <w:pPr>
              <w:pStyle w:val="65"/>
              <w:spacing w:line="360" w:lineRule="auto"/>
              <w:jc w:val="center"/>
              <w:rPr>
                <w:rStyle w:val="21"/>
                <w:rFonts w:hint="eastAsia" w:ascii="宋体" w:hAnsi="宋体" w:eastAsia="宋体" w:cs="Times New Roman"/>
                <w:color w:val="auto"/>
                <w:kern w:val="2"/>
                <w:sz w:val="24"/>
                <w:szCs w:val="24"/>
                <w:highlight w:val="none"/>
                <w:lang w:val="en-US" w:eastAsia="zh-CN" w:bidi="ar-SA"/>
              </w:rPr>
            </w:pPr>
          </w:p>
        </w:tc>
        <w:tc>
          <w:tcPr>
            <w:tcW w:w="1417" w:type="dxa"/>
            <w:noWrap w:val="0"/>
            <w:vAlign w:val="center"/>
          </w:tcPr>
          <w:p>
            <w:pPr>
              <w:pStyle w:val="65"/>
              <w:spacing w:line="360" w:lineRule="auto"/>
              <w:jc w:val="center"/>
              <w:rPr>
                <w:rStyle w:val="21"/>
                <w:rFonts w:hint="eastAsia" w:ascii="宋体" w:hAnsi="宋体" w:eastAsia="宋体" w:cs="Times New Roman"/>
                <w:color w:val="auto"/>
                <w:kern w:val="2"/>
                <w:sz w:val="24"/>
                <w:szCs w:val="24"/>
                <w:highlight w:val="none"/>
                <w:lang w:val="en-US" w:eastAsia="zh-CN" w:bidi="ar-SA"/>
              </w:rPr>
            </w:pPr>
          </w:p>
        </w:tc>
        <w:tc>
          <w:tcPr>
            <w:tcW w:w="1134" w:type="dxa"/>
            <w:noWrap w:val="0"/>
            <w:vAlign w:val="center"/>
          </w:tcPr>
          <w:p>
            <w:pPr>
              <w:pStyle w:val="65"/>
              <w:spacing w:line="360" w:lineRule="auto"/>
              <w:jc w:val="center"/>
              <w:rPr>
                <w:rStyle w:val="21"/>
                <w:rFonts w:hint="eastAsia" w:ascii="宋体" w:hAnsi="宋体" w:eastAsia="宋体" w:cs="Times New Roman"/>
                <w:color w:val="auto"/>
                <w:kern w:val="2"/>
                <w:sz w:val="24"/>
                <w:szCs w:val="24"/>
                <w:highlight w:val="none"/>
                <w:lang w:val="en-US" w:eastAsia="zh-CN" w:bidi="ar-SA"/>
              </w:rPr>
            </w:pPr>
          </w:p>
        </w:tc>
        <w:tc>
          <w:tcPr>
            <w:tcW w:w="1560" w:type="dxa"/>
            <w:noWrap w:val="0"/>
            <w:vAlign w:val="center"/>
          </w:tcPr>
          <w:p>
            <w:pPr>
              <w:pStyle w:val="65"/>
              <w:spacing w:line="360" w:lineRule="auto"/>
              <w:jc w:val="center"/>
              <w:rPr>
                <w:rStyle w:val="21"/>
                <w:rFonts w:hint="eastAsia" w:ascii="宋体" w:hAnsi="宋体" w:eastAsia="宋体" w:cs="Times New Roman"/>
                <w:color w:val="auto"/>
                <w:kern w:val="2"/>
                <w:sz w:val="24"/>
                <w:szCs w:val="24"/>
                <w:highlight w:val="none"/>
                <w:lang w:val="en-US" w:eastAsia="zh-CN" w:bidi="ar-SA"/>
              </w:rPr>
            </w:pPr>
          </w:p>
        </w:tc>
        <w:tc>
          <w:tcPr>
            <w:tcW w:w="708" w:type="dxa"/>
            <w:noWrap w:val="0"/>
            <w:vAlign w:val="center"/>
          </w:tcPr>
          <w:p>
            <w:pPr>
              <w:pStyle w:val="65"/>
              <w:spacing w:line="360" w:lineRule="auto"/>
              <w:jc w:val="center"/>
              <w:rPr>
                <w:rStyle w:val="21"/>
                <w:rFonts w:hint="eastAsia" w:ascii="宋体" w:hAnsi="宋体" w:eastAsia="宋体" w:cs="Times New Roman"/>
                <w:color w:val="auto"/>
                <w:kern w:val="2"/>
                <w:sz w:val="24"/>
                <w:szCs w:val="24"/>
                <w:highlight w:val="none"/>
                <w:lang w:val="en-US" w:eastAsia="zh-CN" w:bidi="ar-SA"/>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709" w:type="dxa"/>
            <w:noWrap w:val="0"/>
            <w:vAlign w:val="center"/>
          </w:tcPr>
          <w:p>
            <w:pPr>
              <w:pStyle w:val="65"/>
              <w:spacing w:line="360" w:lineRule="auto"/>
              <w:jc w:val="center"/>
              <w:rPr>
                <w:rStyle w:val="21"/>
                <w:rFonts w:hint="eastAsia" w:ascii="宋体" w:hAnsi="宋体" w:eastAsia="宋体" w:cs="Times New Roman"/>
                <w:color w:val="auto"/>
                <w:kern w:val="2"/>
                <w:sz w:val="24"/>
                <w:szCs w:val="24"/>
                <w:highlight w:val="none"/>
                <w:lang w:val="en-US" w:eastAsia="zh-CN" w:bidi="ar-SA"/>
              </w:rPr>
            </w:pPr>
          </w:p>
        </w:tc>
        <w:tc>
          <w:tcPr>
            <w:tcW w:w="1418" w:type="dxa"/>
            <w:noWrap w:val="0"/>
            <w:vAlign w:val="center"/>
          </w:tcPr>
          <w:p>
            <w:pPr>
              <w:pStyle w:val="65"/>
              <w:spacing w:line="360" w:lineRule="auto"/>
              <w:jc w:val="center"/>
              <w:rPr>
                <w:rStyle w:val="21"/>
                <w:rFonts w:hint="eastAsia" w:ascii="宋体" w:hAnsi="宋体" w:eastAsia="宋体" w:cs="Times New Roman"/>
                <w:color w:val="auto"/>
                <w:kern w:val="2"/>
                <w:sz w:val="24"/>
                <w:szCs w:val="24"/>
                <w:highlight w:val="none"/>
                <w:lang w:val="en-US" w:eastAsia="zh-CN" w:bidi="ar-SA"/>
              </w:rPr>
            </w:pPr>
          </w:p>
        </w:tc>
        <w:tc>
          <w:tcPr>
            <w:tcW w:w="1417" w:type="dxa"/>
            <w:noWrap w:val="0"/>
            <w:vAlign w:val="center"/>
          </w:tcPr>
          <w:p>
            <w:pPr>
              <w:pStyle w:val="65"/>
              <w:spacing w:line="360" w:lineRule="auto"/>
              <w:jc w:val="center"/>
              <w:rPr>
                <w:rStyle w:val="21"/>
                <w:rFonts w:hint="eastAsia" w:ascii="宋体" w:hAnsi="宋体" w:eastAsia="宋体" w:cs="Times New Roman"/>
                <w:color w:val="auto"/>
                <w:kern w:val="2"/>
                <w:sz w:val="24"/>
                <w:szCs w:val="24"/>
                <w:highlight w:val="none"/>
                <w:lang w:val="en-US" w:eastAsia="zh-CN" w:bidi="ar-SA"/>
              </w:rPr>
            </w:pPr>
          </w:p>
        </w:tc>
        <w:tc>
          <w:tcPr>
            <w:tcW w:w="709" w:type="dxa"/>
            <w:noWrap w:val="0"/>
            <w:vAlign w:val="center"/>
          </w:tcPr>
          <w:p>
            <w:pPr>
              <w:pStyle w:val="65"/>
              <w:spacing w:line="360" w:lineRule="auto"/>
              <w:jc w:val="center"/>
              <w:rPr>
                <w:rStyle w:val="21"/>
                <w:rFonts w:hint="eastAsia" w:ascii="宋体" w:hAnsi="宋体" w:eastAsia="宋体" w:cs="Times New Roman"/>
                <w:color w:val="auto"/>
                <w:kern w:val="2"/>
                <w:sz w:val="24"/>
                <w:szCs w:val="24"/>
                <w:highlight w:val="none"/>
                <w:lang w:val="en-US" w:eastAsia="zh-CN" w:bidi="ar-SA"/>
              </w:rPr>
            </w:pPr>
          </w:p>
        </w:tc>
        <w:tc>
          <w:tcPr>
            <w:tcW w:w="1417" w:type="dxa"/>
            <w:noWrap w:val="0"/>
            <w:vAlign w:val="center"/>
          </w:tcPr>
          <w:p>
            <w:pPr>
              <w:pStyle w:val="65"/>
              <w:spacing w:line="360" w:lineRule="auto"/>
              <w:jc w:val="center"/>
              <w:rPr>
                <w:rStyle w:val="21"/>
                <w:rFonts w:hint="eastAsia" w:ascii="宋体" w:hAnsi="宋体" w:eastAsia="宋体" w:cs="Times New Roman"/>
                <w:color w:val="auto"/>
                <w:kern w:val="2"/>
                <w:sz w:val="24"/>
                <w:szCs w:val="24"/>
                <w:highlight w:val="none"/>
                <w:lang w:val="en-US" w:eastAsia="zh-CN" w:bidi="ar-SA"/>
              </w:rPr>
            </w:pPr>
          </w:p>
        </w:tc>
        <w:tc>
          <w:tcPr>
            <w:tcW w:w="1134" w:type="dxa"/>
            <w:noWrap w:val="0"/>
            <w:vAlign w:val="center"/>
          </w:tcPr>
          <w:p>
            <w:pPr>
              <w:pStyle w:val="65"/>
              <w:spacing w:line="360" w:lineRule="auto"/>
              <w:jc w:val="center"/>
              <w:rPr>
                <w:rStyle w:val="21"/>
                <w:rFonts w:hint="eastAsia" w:ascii="宋体" w:hAnsi="宋体" w:eastAsia="宋体" w:cs="Times New Roman"/>
                <w:color w:val="auto"/>
                <w:kern w:val="2"/>
                <w:sz w:val="24"/>
                <w:szCs w:val="24"/>
                <w:highlight w:val="none"/>
                <w:lang w:val="en-US" w:eastAsia="zh-CN" w:bidi="ar-SA"/>
              </w:rPr>
            </w:pPr>
          </w:p>
        </w:tc>
        <w:tc>
          <w:tcPr>
            <w:tcW w:w="1560" w:type="dxa"/>
            <w:noWrap w:val="0"/>
            <w:vAlign w:val="center"/>
          </w:tcPr>
          <w:p>
            <w:pPr>
              <w:pStyle w:val="65"/>
              <w:spacing w:line="360" w:lineRule="auto"/>
              <w:jc w:val="center"/>
              <w:rPr>
                <w:rStyle w:val="21"/>
                <w:rFonts w:hint="eastAsia" w:ascii="宋体" w:hAnsi="宋体" w:eastAsia="宋体" w:cs="Times New Roman"/>
                <w:color w:val="auto"/>
                <w:kern w:val="2"/>
                <w:sz w:val="24"/>
                <w:szCs w:val="24"/>
                <w:highlight w:val="none"/>
                <w:lang w:val="en-US" w:eastAsia="zh-CN" w:bidi="ar-SA"/>
              </w:rPr>
            </w:pPr>
          </w:p>
        </w:tc>
        <w:tc>
          <w:tcPr>
            <w:tcW w:w="708" w:type="dxa"/>
            <w:noWrap w:val="0"/>
            <w:vAlign w:val="center"/>
          </w:tcPr>
          <w:p>
            <w:pPr>
              <w:pStyle w:val="65"/>
              <w:spacing w:line="360" w:lineRule="auto"/>
              <w:jc w:val="center"/>
              <w:rPr>
                <w:rStyle w:val="21"/>
                <w:rFonts w:hint="eastAsia" w:ascii="宋体" w:hAnsi="宋体" w:eastAsia="宋体" w:cs="Times New Roman"/>
                <w:color w:val="auto"/>
                <w:kern w:val="2"/>
                <w:sz w:val="24"/>
                <w:szCs w:val="24"/>
                <w:highlight w:val="none"/>
                <w:lang w:val="en-US" w:eastAsia="zh-CN" w:bidi="ar-SA"/>
              </w:rPr>
            </w:pPr>
          </w:p>
        </w:tc>
      </w:tr>
    </w:tbl>
    <w:p>
      <w:pPr>
        <w:pStyle w:val="65"/>
        <w:spacing w:line="360" w:lineRule="auto"/>
        <w:rPr>
          <w:rStyle w:val="21"/>
          <w:rFonts w:hint="eastAsia" w:ascii="宋体" w:hAnsi="宋体" w:eastAsia="宋体" w:cs="Times New Roman"/>
          <w:color w:val="auto"/>
          <w:kern w:val="2"/>
          <w:sz w:val="24"/>
          <w:szCs w:val="24"/>
          <w:highlight w:val="none"/>
          <w:lang w:val="en-US" w:eastAsia="zh-CN" w:bidi="ar-SA"/>
        </w:rPr>
      </w:pPr>
    </w:p>
    <w:p>
      <w:pPr>
        <w:pStyle w:val="65"/>
        <w:spacing w:line="360" w:lineRule="auto"/>
        <w:jc w:val="center"/>
        <w:rPr>
          <w:rStyle w:val="21"/>
          <w:rFonts w:hint="eastAsia" w:ascii="宋体" w:hAnsi="宋体" w:eastAsia="宋体" w:cs="Times New Roman"/>
          <w:b/>
          <w:color w:val="auto"/>
          <w:kern w:val="2"/>
          <w:sz w:val="24"/>
          <w:szCs w:val="24"/>
          <w:highlight w:val="none"/>
          <w:lang w:val="en-US" w:eastAsia="zh-CN" w:bidi="ar-SA"/>
        </w:rPr>
      </w:pPr>
    </w:p>
    <w:p>
      <w:pPr>
        <w:pStyle w:val="65"/>
        <w:spacing w:line="360" w:lineRule="auto"/>
        <w:jc w:val="center"/>
        <w:rPr>
          <w:rStyle w:val="21"/>
          <w:rFonts w:hint="eastAsia" w:ascii="宋体" w:hAnsi="宋体" w:eastAsia="宋体" w:cs="Times New Roman"/>
          <w:b/>
          <w:color w:val="auto"/>
          <w:kern w:val="2"/>
          <w:sz w:val="24"/>
          <w:szCs w:val="24"/>
          <w:highlight w:val="none"/>
          <w:lang w:val="en-US" w:eastAsia="zh-CN" w:bidi="ar-SA"/>
        </w:rPr>
      </w:pPr>
    </w:p>
    <w:p>
      <w:pPr>
        <w:pStyle w:val="65"/>
        <w:spacing w:line="360" w:lineRule="auto"/>
        <w:jc w:val="center"/>
        <w:rPr>
          <w:rStyle w:val="21"/>
          <w:rFonts w:hint="eastAsia" w:ascii="宋体" w:hAnsi="宋体" w:eastAsia="宋体" w:cs="Times New Roman"/>
          <w:b/>
          <w:color w:val="auto"/>
          <w:kern w:val="2"/>
          <w:sz w:val="24"/>
          <w:szCs w:val="24"/>
          <w:highlight w:val="none"/>
          <w:lang w:val="en-US" w:eastAsia="zh-CN" w:bidi="ar-SA"/>
        </w:rPr>
      </w:pPr>
    </w:p>
    <w:p>
      <w:pPr>
        <w:pStyle w:val="65"/>
        <w:spacing w:line="360" w:lineRule="auto"/>
        <w:jc w:val="center"/>
        <w:rPr>
          <w:rStyle w:val="21"/>
          <w:rFonts w:hint="eastAsia" w:ascii="宋体" w:hAnsi="宋体" w:eastAsia="宋体" w:cs="Times New Roman"/>
          <w:b/>
          <w:color w:val="auto"/>
          <w:kern w:val="2"/>
          <w:sz w:val="24"/>
          <w:szCs w:val="24"/>
          <w:highlight w:val="none"/>
          <w:lang w:val="en-US" w:eastAsia="zh-CN" w:bidi="ar-SA"/>
        </w:rPr>
      </w:pPr>
    </w:p>
    <w:p>
      <w:pPr>
        <w:pStyle w:val="65"/>
        <w:spacing w:line="360" w:lineRule="auto"/>
        <w:jc w:val="center"/>
        <w:rPr>
          <w:rStyle w:val="21"/>
          <w:rFonts w:ascii="宋体" w:hAnsi="宋体" w:eastAsia="宋体" w:cs="Times New Roman"/>
          <w:b/>
          <w:color w:val="auto"/>
          <w:kern w:val="2"/>
          <w:sz w:val="24"/>
          <w:szCs w:val="24"/>
          <w:highlight w:val="none"/>
          <w:lang w:val="en-US" w:eastAsia="zh-CN" w:bidi="ar-SA"/>
        </w:rPr>
      </w:pPr>
      <w:r>
        <w:rPr>
          <w:rStyle w:val="21"/>
          <w:rFonts w:hint="eastAsia" w:ascii="宋体" w:hAnsi="宋体" w:eastAsia="宋体" w:cs="Times New Roman"/>
          <w:b/>
          <w:color w:val="auto"/>
          <w:kern w:val="2"/>
          <w:sz w:val="24"/>
          <w:szCs w:val="24"/>
          <w:highlight w:val="none"/>
          <w:lang w:val="en-US" w:eastAsia="zh-CN" w:bidi="ar-SA"/>
        </w:rPr>
        <w:t>发包人提供的工程设备表(参考格式)</w:t>
      </w:r>
    </w:p>
    <w:tbl>
      <w:tblPr>
        <w:tblStyle w:val="19"/>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09"/>
        <w:gridCol w:w="1701"/>
        <w:gridCol w:w="1276"/>
        <w:gridCol w:w="877"/>
        <w:gridCol w:w="1168"/>
        <w:gridCol w:w="1168"/>
        <w:gridCol w:w="1606"/>
        <w:gridCol w:w="730"/>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709" w:type="dxa"/>
            <w:noWrap w:val="0"/>
            <w:vAlign w:val="center"/>
          </w:tcPr>
          <w:p>
            <w:pPr>
              <w:pStyle w:val="65"/>
              <w:spacing w:line="360" w:lineRule="auto"/>
              <w:jc w:val="center"/>
              <w:rPr>
                <w:rStyle w:val="21"/>
                <w:rFonts w:hint="eastAsia" w:ascii="宋体" w:hAnsi="宋体" w:eastAsia="宋体" w:cs="Times New Roman"/>
                <w:color w:val="auto"/>
                <w:kern w:val="2"/>
                <w:sz w:val="24"/>
                <w:szCs w:val="24"/>
                <w:highlight w:val="none"/>
                <w:lang w:val="en-US" w:eastAsia="zh-CN" w:bidi="ar-SA"/>
              </w:rPr>
            </w:pPr>
            <w:r>
              <w:rPr>
                <w:rStyle w:val="21"/>
                <w:rFonts w:hint="eastAsia" w:ascii="宋体" w:hAnsi="宋体" w:eastAsia="宋体" w:cs="Times New Roman"/>
                <w:color w:val="auto"/>
                <w:kern w:val="2"/>
                <w:sz w:val="24"/>
                <w:szCs w:val="24"/>
                <w:highlight w:val="none"/>
                <w:lang w:val="en-US" w:eastAsia="zh-CN" w:bidi="ar-SA"/>
              </w:rPr>
              <w:t>序号</w:t>
            </w:r>
          </w:p>
        </w:tc>
        <w:tc>
          <w:tcPr>
            <w:tcW w:w="1701" w:type="dxa"/>
            <w:noWrap w:val="0"/>
            <w:vAlign w:val="center"/>
          </w:tcPr>
          <w:p>
            <w:pPr>
              <w:pStyle w:val="65"/>
              <w:spacing w:line="360" w:lineRule="auto"/>
              <w:jc w:val="center"/>
              <w:rPr>
                <w:rStyle w:val="21"/>
                <w:rFonts w:hint="eastAsia" w:ascii="宋体" w:hAnsi="宋体" w:eastAsia="宋体" w:cs="Times New Roman"/>
                <w:color w:val="auto"/>
                <w:kern w:val="2"/>
                <w:sz w:val="24"/>
                <w:szCs w:val="24"/>
                <w:highlight w:val="none"/>
                <w:lang w:val="en-US" w:eastAsia="zh-CN" w:bidi="ar-SA"/>
              </w:rPr>
            </w:pPr>
            <w:r>
              <w:rPr>
                <w:rStyle w:val="21"/>
                <w:rFonts w:hint="eastAsia" w:ascii="宋体" w:hAnsi="宋体" w:eastAsia="宋体" w:cs="Times New Roman"/>
                <w:color w:val="auto"/>
                <w:kern w:val="2"/>
                <w:sz w:val="24"/>
                <w:szCs w:val="24"/>
                <w:highlight w:val="none"/>
                <w:lang w:val="en-US" w:eastAsia="zh-CN" w:bidi="ar-SA"/>
              </w:rPr>
              <w:t>工程设备名称</w:t>
            </w:r>
          </w:p>
        </w:tc>
        <w:tc>
          <w:tcPr>
            <w:tcW w:w="1276" w:type="dxa"/>
            <w:noWrap w:val="0"/>
            <w:vAlign w:val="center"/>
          </w:tcPr>
          <w:p>
            <w:pPr>
              <w:pStyle w:val="65"/>
              <w:spacing w:line="360" w:lineRule="auto"/>
              <w:jc w:val="center"/>
              <w:rPr>
                <w:rStyle w:val="21"/>
                <w:rFonts w:hint="eastAsia" w:ascii="宋体" w:hAnsi="宋体" w:eastAsia="宋体" w:cs="Times New Roman"/>
                <w:color w:val="auto"/>
                <w:kern w:val="2"/>
                <w:sz w:val="24"/>
                <w:szCs w:val="24"/>
                <w:highlight w:val="none"/>
                <w:lang w:val="en-US" w:eastAsia="zh-CN" w:bidi="ar-SA"/>
              </w:rPr>
            </w:pPr>
            <w:r>
              <w:rPr>
                <w:rStyle w:val="21"/>
                <w:rFonts w:hint="eastAsia" w:ascii="宋体" w:hAnsi="宋体" w:eastAsia="宋体" w:cs="Times New Roman"/>
                <w:color w:val="auto"/>
                <w:kern w:val="2"/>
                <w:sz w:val="24"/>
                <w:szCs w:val="24"/>
                <w:highlight w:val="none"/>
                <w:lang w:val="en-US" w:eastAsia="zh-CN" w:bidi="ar-SA"/>
              </w:rPr>
              <w:t>型号及规格</w:t>
            </w:r>
          </w:p>
        </w:tc>
        <w:tc>
          <w:tcPr>
            <w:tcW w:w="877" w:type="dxa"/>
            <w:noWrap w:val="0"/>
            <w:vAlign w:val="center"/>
          </w:tcPr>
          <w:p>
            <w:pPr>
              <w:pStyle w:val="65"/>
              <w:spacing w:line="360" w:lineRule="auto"/>
              <w:jc w:val="center"/>
              <w:rPr>
                <w:rStyle w:val="21"/>
                <w:rFonts w:hint="eastAsia" w:ascii="宋体" w:hAnsi="宋体" w:eastAsia="宋体" w:cs="Times New Roman"/>
                <w:color w:val="auto"/>
                <w:kern w:val="2"/>
                <w:sz w:val="24"/>
                <w:szCs w:val="24"/>
                <w:highlight w:val="none"/>
                <w:lang w:val="en-US" w:eastAsia="zh-CN" w:bidi="ar-SA"/>
              </w:rPr>
            </w:pPr>
            <w:r>
              <w:rPr>
                <w:rStyle w:val="21"/>
                <w:rFonts w:hint="eastAsia" w:ascii="宋体" w:hAnsi="宋体" w:eastAsia="宋体" w:cs="Times New Roman"/>
                <w:color w:val="auto"/>
                <w:kern w:val="2"/>
                <w:sz w:val="24"/>
                <w:szCs w:val="24"/>
                <w:highlight w:val="none"/>
                <w:lang w:val="en-US" w:eastAsia="zh-CN" w:bidi="ar-SA"/>
              </w:rPr>
              <w:t>数量</w:t>
            </w:r>
          </w:p>
        </w:tc>
        <w:tc>
          <w:tcPr>
            <w:tcW w:w="1168" w:type="dxa"/>
            <w:noWrap w:val="0"/>
            <w:vAlign w:val="center"/>
          </w:tcPr>
          <w:p>
            <w:pPr>
              <w:pStyle w:val="65"/>
              <w:spacing w:line="360" w:lineRule="auto"/>
              <w:jc w:val="center"/>
              <w:rPr>
                <w:rStyle w:val="21"/>
                <w:rFonts w:hint="eastAsia" w:ascii="宋体" w:hAnsi="宋体" w:eastAsia="宋体" w:cs="Times New Roman"/>
                <w:color w:val="auto"/>
                <w:kern w:val="2"/>
                <w:sz w:val="24"/>
                <w:szCs w:val="24"/>
                <w:highlight w:val="none"/>
                <w:lang w:val="en-US" w:eastAsia="zh-CN" w:bidi="ar-SA"/>
              </w:rPr>
            </w:pPr>
            <w:r>
              <w:rPr>
                <w:rStyle w:val="21"/>
                <w:rFonts w:hint="eastAsia" w:ascii="宋体" w:hAnsi="宋体" w:eastAsia="宋体" w:cs="Times New Roman"/>
                <w:color w:val="auto"/>
                <w:kern w:val="2"/>
                <w:sz w:val="24"/>
                <w:szCs w:val="24"/>
                <w:highlight w:val="none"/>
                <w:lang w:val="en-US" w:eastAsia="zh-CN" w:bidi="ar-SA"/>
              </w:rPr>
              <w:t>交货地点</w:t>
            </w:r>
          </w:p>
        </w:tc>
        <w:tc>
          <w:tcPr>
            <w:tcW w:w="1168" w:type="dxa"/>
            <w:noWrap w:val="0"/>
            <w:vAlign w:val="center"/>
          </w:tcPr>
          <w:p>
            <w:pPr>
              <w:pStyle w:val="65"/>
              <w:spacing w:line="360" w:lineRule="auto"/>
              <w:jc w:val="center"/>
              <w:rPr>
                <w:rStyle w:val="21"/>
                <w:rFonts w:hint="eastAsia" w:ascii="宋体" w:hAnsi="宋体" w:eastAsia="宋体" w:cs="Times New Roman"/>
                <w:color w:val="auto"/>
                <w:kern w:val="2"/>
                <w:sz w:val="24"/>
                <w:szCs w:val="24"/>
                <w:highlight w:val="none"/>
                <w:lang w:val="en-US" w:eastAsia="zh-CN" w:bidi="ar-SA"/>
              </w:rPr>
            </w:pPr>
            <w:r>
              <w:rPr>
                <w:rStyle w:val="21"/>
                <w:rFonts w:hint="eastAsia" w:ascii="宋体" w:hAnsi="宋体" w:eastAsia="宋体" w:cs="Times New Roman"/>
                <w:color w:val="auto"/>
                <w:kern w:val="2"/>
                <w:sz w:val="24"/>
                <w:szCs w:val="24"/>
                <w:highlight w:val="none"/>
                <w:lang w:val="en-US" w:eastAsia="zh-CN" w:bidi="ar-SA"/>
              </w:rPr>
              <w:t>交货方式</w:t>
            </w:r>
          </w:p>
        </w:tc>
        <w:tc>
          <w:tcPr>
            <w:tcW w:w="1606" w:type="dxa"/>
            <w:noWrap w:val="0"/>
            <w:vAlign w:val="center"/>
          </w:tcPr>
          <w:p>
            <w:pPr>
              <w:pStyle w:val="65"/>
              <w:spacing w:line="360" w:lineRule="auto"/>
              <w:jc w:val="center"/>
              <w:rPr>
                <w:rStyle w:val="21"/>
                <w:rFonts w:hint="eastAsia" w:ascii="宋体" w:hAnsi="宋体" w:eastAsia="宋体" w:cs="Times New Roman"/>
                <w:color w:val="auto"/>
                <w:kern w:val="2"/>
                <w:sz w:val="24"/>
                <w:szCs w:val="24"/>
                <w:highlight w:val="none"/>
                <w:lang w:val="en-US" w:eastAsia="zh-CN" w:bidi="ar-SA"/>
              </w:rPr>
            </w:pPr>
            <w:r>
              <w:rPr>
                <w:rStyle w:val="21"/>
                <w:rFonts w:hint="eastAsia" w:ascii="宋体" w:hAnsi="宋体" w:eastAsia="宋体" w:cs="Times New Roman"/>
                <w:color w:val="auto"/>
                <w:kern w:val="2"/>
                <w:sz w:val="24"/>
                <w:szCs w:val="24"/>
                <w:highlight w:val="none"/>
                <w:lang w:val="en-US" w:eastAsia="zh-CN" w:bidi="ar-SA"/>
              </w:rPr>
              <w:t>计划交货日期</w:t>
            </w:r>
          </w:p>
        </w:tc>
        <w:tc>
          <w:tcPr>
            <w:tcW w:w="730" w:type="dxa"/>
            <w:noWrap w:val="0"/>
            <w:vAlign w:val="center"/>
          </w:tcPr>
          <w:p>
            <w:pPr>
              <w:pStyle w:val="65"/>
              <w:spacing w:line="360" w:lineRule="auto"/>
              <w:jc w:val="center"/>
              <w:rPr>
                <w:rStyle w:val="21"/>
                <w:rFonts w:ascii="宋体" w:hAnsi="宋体" w:eastAsia="宋体" w:cs="Times New Roman"/>
                <w:color w:val="auto"/>
                <w:kern w:val="2"/>
                <w:sz w:val="24"/>
                <w:szCs w:val="24"/>
                <w:highlight w:val="none"/>
                <w:lang w:val="en-US" w:eastAsia="zh-CN" w:bidi="ar-SA"/>
              </w:rPr>
            </w:pPr>
            <w:r>
              <w:rPr>
                <w:rStyle w:val="21"/>
                <w:rFonts w:hint="eastAsia" w:ascii="宋体" w:hAnsi="宋体" w:eastAsia="宋体" w:cs="Times New Roman"/>
                <w:color w:val="auto"/>
                <w:kern w:val="2"/>
                <w:sz w:val="24"/>
                <w:szCs w:val="24"/>
                <w:highlight w:val="none"/>
                <w:lang w:val="en-US" w:eastAsia="zh-CN" w:bidi="ar-SA"/>
              </w:rPr>
              <w:t>备注</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709" w:type="dxa"/>
            <w:noWrap w:val="0"/>
            <w:vAlign w:val="center"/>
          </w:tcPr>
          <w:p>
            <w:pPr>
              <w:pStyle w:val="65"/>
              <w:spacing w:line="360" w:lineRule="auto"/>
              <w:jc w:val="center"/>
              <w:rPr>
                <w:rStyle w:val="21"/>
                <w:rFonts w:hint="eastAsia" w:ascii="宋体" w:hAnsi="宋体" w:eastAsia="宋体" w:cs="Times New Roman"/>
                <w:color w:val="auto"/>
                <w:kern w:val="2"/>
                <w:sz w:val="24"/>
                <w:szCs w:val="24"/>
                <w:highlight w:val="none"/>
                <w:lang w:val="en-US" w:eastAsia="zh-CN" w:bidi="ar-SA"/>
              </w:rPr>
            </w:pPr>
          </w:p>
        </w:tc>
        <w:tc>
          <w:tcPr>
            <w:tcW w:w="1701" w:type="dxa"/>
            <w:noWrap w:val="0"/>
            <w:vAlign w:val="center"/>
          </w:tcPr>
          <w:p>
            <w:pPr>
              <w:pStyle w:val="65"/>
              <w:spacing w:line="360" w:lineRule="auto"/>
              <w:jc w:val="center"/>
              <w:rPr>
                <w:rStyle w:val="21"/>
                <w:rFonts w:hint="eastAsia" w:ascii="宋体" w:hAnsi="宋体" w:eastAsia="宋体" w:cs="Times New Roman"/>
                <w:color w:val="auto"/>
                <w:kern w:val="2"/>
                <w:sz w:val="24"/>
                <w:szCs w:val="24"/>
                <w:highlight w:val="none"/>
                <w:lang w:val="en-US" w:eastAsia="zh-CN" w:bidi="ar-SA"/>
              </w:rPr>
            </w:pPr>
          </w:p>
        </w:tc>
        <w:tc>
          <w:tcPr>
            <w:tcW w:w="1276" w:type="dxa"/>
            <w:noWrap w:val="0"/>
            <w:vAlign w:val="center"/>
          </w:tcPr>
          <w:p>
            <w:pPr>
              <w:pStyle w:val="65"/>
              <w:spacing w:line="360" w:lineRule="auto"/>
              <w:jc w:val="center"/>
              <w:rPr>
                <w:rStyle w:val="21"/>
                <w:rFonts w:hint="eastAsia" w:ascii="宋体" w:hAnsi="宋体" w:eastAsia="宋体" w:cs="Times New Roman"/>
                <w:color w:val="auto"/>
                <w:kern w:val="2"/>
                <w:sz w:val="24"/>
                <w:szCs w:val="24"/>
                <w:highlight w:val="none"/>
                <w:lang w:val="en-US" w:eastAsia="zh-CN" w:bidi="ar-SA"/>
              </w:rPr>
            </w:pPr>
          </w:p>
        </w:tc>
        <w:tc>
          <w:tcPr>
            <w:tcW w:w="877" w:type="dxa"/>
            <w:noWrap w:val="0"/>
            <w:vAlign w:val="center"/>
          </w:tcPr>
          <w:p>
            <w:pPr>
              <w:pStyle w:val="65"/>
              <w:spacing w:line="360" w:lineRule="auto"/>
              <w:jc w:val="center"/>
              <w:rPr>
                <w:rStyle w:val="21"/>
                <w:rFonts w:hint="eastAsia" w:ascii="宋体" w:hAnsi="宋体" w:eastAsia="宋体" w:cs="Times New Roman"/>
                <w:color w:val="auto"/>
                <w:kern w:val="2"/>
                <w:sz w:val="24"/>
                <w:szCs w:val="24"/>
                <w:highlight w:val="none"/>
                <w:lang w:val="en-US" w:eastAsia="zh-CN" w:bidi="ar-SA"/>
              </w:rPr>
            </w:pPr>
          </w:p>
        </w:tc>
        <w:tc>
          <w:tcPr>
            <w:tcW w:w="1168" w:type="dxa"/>
            <w:noWrap w:val="0"/>
            <w:vAlign w:val="center"/>
          </w:tcPr>
          <w:p>
            <w:pPr>
              <w:pStyle w:val="65"/>
              <w:spacing w:line="360" w:lineRule="auto"/>
              <w:jc w:val="center"/>
              <w:rPr>
                <w:rStyle w:val="21"/>
                <w:rFonts w:hint="eastAsia" w:ascii="宋体" w:hAnsi="宋体" w:eastAsia="宋体" w:cs="Times New Roman"/>
                <w:color w:val="auto"/>
                <w:kern w:val="2"/>
                <w:sz w:val="24"/>
                <w:szCs w:val="24"/>
                <w:highlight w:val="none"/>
                <w:lang w:val="en-US" w:eastAsia="zh-CN" w:bidi="ar-SA"/>
              </w:rPr>
            </w:pPr>
          </w:p>
        </w:tc>
        <w:tc>
          <w:tcPr>
            <w:tcW w:w="1168" w:type="dxa"/>
            <w:noWrap w:val="0"/>
            <w:vAlign w:val="center"/>
          </w:tcPr>
          <w:p>
            <w:pPr>
              <w:pStyle w:val="65"/>
              <w:spacing w:line="360" w:lineRule="auto"/>
              <w:jc w:val="center"/>
              <w:rPr>
                <w:rStyle w:val="21"/>
                <w:rFonts w:hint="eastAsia" w:ascii="宋体" w:hAnsi="宋体" w:eastAsia="宋体" w:cs="Times New Roman"/>
                <w:color w:val="auto"/>
                <w:kern w:val="2"/>
                <w:sz w:val="24"/>
                <w:szCs w:val="24"/>
                <w:highlight w:val="none"/>
                <w:lang w:val="en-US" w:eastAsia="zh-CN" w:bidi="ar-SA"/>
              </w:rPr>
            </w:pPr>
          </w:p>
        </w:tc>
        <w:tc>
          <w:tcPr>
            <w:tcW w:w="1606" w:type="dxa"/>
            <w:noWrap w:val="0"/>
            <w:vAlign w:val="center"/>
          </w:tcPr>
          <w:p>
            <w:pPr>
              <w:pStyle w:val="65"/>
              <w:spacing w:line="360" w:lineRule="auto"/>
              <w:jc w:val="center"/>
              <w:rPr>
                <w:rStyle w:val="21"/>
                <w:rFonts w:hint="eastAsia" w:ascii="宋体" w:hAnsi="宋体" w:eastAsia="宋体" w:cs="Times New Roman"/>
                <w:color w:val="auto"/>
                <w:kern w:val="2"/>
                <w:sz w:val="24"/>
                <w:szCs w:val="24"/>
                <w:highlight w:val="none"/>
                <w:lang w:val="en-US" w:eastAsia="zh-CN" w:bidi="ar-SA"/>
              </w:rPr>
            </w:pPr>
          </w:p>
        </w:tc>
        <w:tc>
          <w:tcPr>
            <w:tcW w:w="730" w:type="dxa"/>
            <w:noWrap w:val="0"/>
            <w:vAlign w:val="center"/>
          </w:tcPr>
          <w:p>
            <w:pPr>
              <w:pStyle w:val="65"/>
              <w:spacing w:line="360" w:lineRule="auto"/>
              <w:jc w:val="center"/>
              <w:rPr>
                <w:rStyle w:val="21"/>
                <w:rFonts w:hint="eastAsia" w:ascii="宋体" w:hAnsi="宋体" w:eastAsia="宋体" w:cs="Times New Roman"/>
                <w:color w:val="auto"/>
                <w:kern w:val="2"/>
                <w:sz w:val="24"/>
                <w:szCs w:val="24"/>
                <w:highlight w:val="none"/>
                <w:lang w:val="en-US" w:eastAsia="zh-CN" w:bidi="ar-SA"/>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709" w:type="dxa"/>
            <w:noWrap w:val="0"/>
            <w:vAlign w:val="center"/>
          </w:tcPr>
          <w:p>
            <w:pPr>
              <w:pStyle w:val="65"/>
              <w:spacing w:line="360" w:lineRule="auto"/>
              <w:jc w:val="center"/>
              <w:rPr>
                <w:rStyle w:val="21"/>
                <w:rFonts w:hint="eastAsia" w:ascii="宋体" w:hAnsi="宋体" w:eastAsia="宋体" w:cs="Times New Roman"/>
                <w:color w:val="auto"/>
                <w:kern w:val="2"/>
                <w:sz w:val="24"/>
                <w:szCs w:val="24"/>
                <w:highlight w:val="none"/>
                <w:lang w:val="en-US" w:eastAsia="zh-CN" w:bidi="ar-SA"/>
              </w:rPr>
            </w:pPr>
          </w:p>
        </w:tc>
        <w:tc>
          <w:tcPr>
            <w:tcW w:w="1701" w:type="dxa"/>
            <w:noWrap w:val="0"/>
            <w:vAlign w:val="center"/>
          </w:tcPr>
          <w:p>
            <w:pPr>
              <w:pStyle w:val="65"/>
              <w:spacing w:line="360" w:lineRule="auto"/>
              <w:jc w:val="center"/>
              <w:rPr>
                <w:rStyle w:val="21"/>
                <w:rFonts w:hint="eastAsia" w:ascii="宋体" w:hAnsi="宋体" w:eastAsia="宋体" w:cs="Times New Roman"/>
                <w:color w:val="auto"/>
                <w:kern w:val="2"/>
                <w:sz w:val="24"/>
                <w:szCs w:val="24"/>
                <w:highlight w:val="none"/>
                <w:lang w:val="en-US" w:eastAsia="zh-CN" w:bidi="ar-SA"/>
              </w:rPr>
            </w:pPr>
          </w:p>
        </w:tc>
        <w:tc>
          <w:tcPr>
            <w:tcW w:w="1276" w:type="dxa"/>
            <w:noWrap w:val="0"/>
            <w:vAlign w:val="center"/>
          </w:tcPr>
          <w:p>
            <w:pPr>
              <w:pStyle w:val="65"/>
              <w:spacing w:line="360" w:lineRule="auto"/>
              <w:jc w:val="center"/>
              <w:rPr>
                <w:rStyle w:val="21"/>
                <w:rFonts w:hint="eastAsia" w:ascii="宋体" w:hAnsi="宋体" w:eastAsia="宋体" w:cs="Times New Roman"/>
                <w:color w:val="auto"/>
                <w:kern w:val="2"/>
                <w:sz w:val="24"/>
                <w:szCs w:val="24"/>
                <w:highlight w:val="none"/>
                <w:lang w:val="en-US" w:eastAsia="zh-CN" w:bidi="ar-SA"/>
              </w:rPr>
            </w:pPr>
          </w:p>
        </w:tc>
        <w:tc>
          <w:tcPr>
            <w:tcW w:w="877" w:type="dxa"/>
            <w:noWrap w:val="0"/>
            <w:vAlign w:val="center"/>
          </w:tcPr>
          <w:p>
            <w:pPr>
              <w:pStyle w:val="65"/>
              <w:spacing w:line="360" w:lineRule="auto"/>
              <w:jc w:val="center"/>
              <w:rPr>
                <w:rStyle w:val="21"/>
                <w:rFonts w:hint="eastAsia" w:ascii="宋体" w:hAnsi="宋体" w:eastAsia="宋体" w:cs="Times New Roman"/>
                <w:color w:val="auto"/>
                <w:kern w:val="2"/>
                <w:sz w:val="24"/>
                <w:szCs w:val="24"/>
                <w:highlight w:val="none"/>
                <w:lang w:val="en-US" w:eastAsia="zh-CN" w:bidi="ar-SA"/>
              </w:rPr>
            </w:pPr>
          </w:p>
        </w:tc>
        <w:tc>
          <w:tcPr>
            <w:tcW w:w="1168" w:type="dxa"/>
            <w:noWrap w:val="0"/>
            <w:vAlign w:val="center"/>
          </w:tcPr>
          <w:p>
            <w:pPr>
              <w:pStyle w:val="65"/>
              <w:spacing w:line="360" w:lineRule="auto"/>
              <w:jc w:val="center"/>
              <w:rPr>
                <w:rStyle w:val="21"/>
                <w:rFonts w:hint="eastAsia" w:ascii="宋体" w:hAnsi="宋体" w:eastAsia="宋体" w:cs="Times New Roman"/>
                <w:color w:val="auto"/>
                <w:kern w:val="2"/>
                <w:sz w:val="24"/>
                <w:szCs w:val="24"/>
                <w:highlight w:val="none"/>
                <w:lang w:val="en-US" w:eastAsia="zh-CN" w:bidi="ar-SA"/>
              </w:rPr>
            </w:pPr>
          </w:p>
        </w:tc>
        <w:tc>
          <w:tcPr>
            <w:tcW w:w="1168" w:type="dxa"/>
            <w:noWrap w:val="0"/>
            <w:vAlign w:val="center"/>
          </w:tcPr>
          <w:p>
            <w:pPr>
              <w:pStyle w:val="65"/>
              <w:spacing w:line="360" w:lineRule="auto"/>
              <w:jc w:val="center"/>
              <w:rPr>
                <w:rStyle w:val="21"/>
                <w:rFonts w:hint="eastAsia" w:ascii="宋体" w:hAnsi="宋体" w:eastAsia="宋体" w:cs="Times New Roman"/>
                <w:color w:val="auto"/>
                <w:kern w:val="2"/>
                <w:sz w:val="24"/>
                <w:szCs w:val="24"/>
                <w:highlight w:val="none"/>
                <w:lang w:val="en-US" w:eastAsia="zh-CN" w:bidi="ar-SA"/>
              </w:rPr>
            </w:pPr>
          </w:p>
        </w:tc>
        <w:tc>
          <w:tcPr>
            <w:tcW w:w="1606" w:type="dxa"/>
            <w:noWrap w:val="0"/>
            <w:vAlign w:val="center"/>
          </w:tcPr>
          <w:p>
            <w:pPr>
              <w:pStyle w:val="65"/>
              <w:spacing w:line="360" w:lineRule="auto"/>
              <w:jc w:val="center"/>
              <w:rPr>
                <w:rStyle w:val="21"/>
                <w:rFonts w:hint="eastAsia" w:ascii="宋体" w:hAnsi="宋体" w:eastAsia="宋体" w:cs="Times New Roman"/>
                <w:color w:val="auto"/>
                <w:kern w:val="2"/>
                <w:sz w:val="24"/>
                <w:szCs w:val="24"/>
                <w:highlight w:val="none"/>
                <w:lang w:val="en-US" w:eastAsia="zh-CN" w:bidi="ar-SA"/>
              </w:rPr>
            </w:pPr>
          </w:p>
        </w:tc>
        <w:tc>
          <w:tcPr>
            <w:tcW w:w="730" w:type="dxa"/>
            <w:noWrap w:val="0"/>
            <w:vAlign w:val="center"/>
          </w:tcPr>
          <w:p>
            <w:pPr>
              <w:pStyle w:val="65"/>
              <w:spacing w:line="360" w:lineRule="auto"/>
              <w:jc w:val="center"/>
              <w:rPr>
                <w:rStyle w:val="21"/>
                <w:rFonts w:hint="eastAsia" w:ascii="宋体" w:hAnsi="宋体" w:eastAsia="宋体" w:cs="Times New Roman"/>
                <w:color w:val="auto"/>
                <w:kern w:val="2"/>
                <w:sz w:val="24"/>
                <w:szCs w:val="24"/>
                <w:highlight w:val="none"/>
                <w:lang w:val="en-US" w:eastAsia="zh-CN" w:bidi="ar-SA"/>
              </w:rPr>
            </w:pPr>
          </w:p>
        </w:tc>
      </w:tr>
    </w:tbl>
    <w:p>
      <w:pPr>
        <w:pStyle w:val="66"/>
        <w:rPr>
          <w:rStyle w:val="21"/>
          <w:color w:val="auto"/>
          <w:kern w:val="2"/>
          <w:sz w:val="24"/>
          <w:szCs w:val="24"/>
          <w:highlight w:val="none"/>
          <w:lang w:val="en-US" w:eastAsia="zh-CN" w:bidi="ar-SA"/>
        </w:rPr>
      </w:pPr>
      <w:bookmarkStart w:id="301" w:name="_Toc12450"/>
      <w:r>
        <w:rPr>
          <w:rStyle w:val="21"/>
          <w:rFonts w:hint="eastAsia"/>
          <w:color w:val="auto"/>
          <w:kern w:val="2"/>
          <w:sz w:val="24"/>
          <w:szCs w:val="24"/>
          <w:highlight w:val="none"/>
          <w:lang w:val="en-US" w:eastAsia="zh-CN" w:bidi="ar-SA"/>
        </w:rPr>
        <w:t>6施工设备和临时设施</w:t>
      </w:r>
      <w:bookmarkEnd w:id="301"/>
    </w:p>
    <w:p>
      <w:pPr>
        <w:pStyle w:val="65"/>
        <w:spacing w:line="360" w:lineRule="auto"/>
        <w:rPr>
          <w:rStyle w:val="21"/>
          <w:rFonts w:ascii="宋体" w:hAnsi="宋体" w:eastAsia="宋体" w:cs="Times New Roman"/>
          <w:color w:val="auto"/>
          <w:kern w:val="2"/>
          <w:sz w:val="24"/>
          <w:szCs w:val="24"/>
          <w:highlight w:val="none"/>
          <w:lang w:val="en-US" w:eastAsia="zh-CN" w:bidi="ar-SA"/>
        </w:rPr>
      </w:pPr>
      <w:r>
        <w:rPr>
          <w:rStyle w:val="21"/>
          <w:rFonts w:hint="eastAsia" w:ascii="宋体" w:hAnsi="宋体" w:eastAsia="宋体" w:cs="Times New Roman"/>
          <w:color w:val="auto"/>
          <w:kern w:val="2"/>
          <w:sz w:val="24"/>
          <w:szCs w:val="24"/>
          <w:highlight w:val="none"/>
          <w:lang w:val="en-US" w:eastAsia="zh-CN" w:bidi="ar-SA"/>
        </w:rPr>
        <w:t>6.2发包人提供的施工设备和临时设施</w:t>
      </w:r>
    </w:p>
    <w:p>
      <w:pPr>
        <w:pStyle w:val="65"/>
        <w:spacing w:line="360" w:lineRule="auto"/>
        <w:rPr>
          <w:rStyle w:val="21"/>
          <w:rFonts w:ascii="宋体" w:hAnsi="宋体" w:eastAsia="宋体" w:cs="Times New Roman"/>
          <w:color w:val="auto"/>
          <w:kern w:val="2"/>
          <w:sz w:val="24"/>
          <w:szCs w:val="24"/>
          <w:highlight w:val="none"/>
          <w:lang w:val="en-US" w:eastAsia="zh-CN" w:bidi="ar-SA"/>
        </w:rPr>
      </w:pPr>
      <w:r>
        <w:rPr>
          <w:rStyle w:val="21"/>
          <w:rFonts w:hint="eastAsia" w:ascii="宋体" w:hAnsi="宋体" w:eastAsia="宋体" w:cs="Times New Roman"/>
          <w:color w:val="auto"/>
          <w:kern w:val="2"/>
          <w:sz w:val="24"/>
          <w:szCs w:val="24"/>
          <w:highlight w:val="none"/>
          <w:lang w:val="en-US" w:eastAsia="zh-CN" w:bidi="ar-SA"/>
        </w:rPr>
        <w:t>(1)发包人提供的施工设备见下表：</w:t>
      </w:r>
    </w:p>
    <w:p>
      <w:pPr>
        <w:pStyle w:val="65"/>
        <w:spacing w:line="360" w:lineRule="auto"/>
        <w:rPr>
          <w:rStyle w:val="21"/>
          <w:rFonts w:hint="eastAsia" w:ascii="宋体" w:hAnsi="宋体" w:eastAsia="宋体" w:cs="Times New Roman"/>
          <w:color w:val="auto"/>
          <w:kern w:val="2"/>
          <w:sz w:val="24"/>
          <w:szCs w:val="24"/>
          <w:highlight w:val="none"/>
          <w:lang w:val="en-US" w:eastAsia="zh-CN" w:bidi="ar-SA"/>
        </w:rPr>
      </w:pPr>
    </w:p>
    <w:p>
      <w:pPr>
        <w:pStyle w:val="65"/>
        <w:spacing w:line="360" w:lineRule="auto"/>
        <w:jc w:val="center"/>
        <w:rPr>
          <w:rStyle w:val="21"/>
          <w:rFonts w:hint="eastAsia" w:ascii="宋体" w:hAnsi="宋体" w:eastAsia="宋体" w:cs="Times New Roman"/>
          <w:b/>
          <w:color w:val="auto"/>
          <w:kern w:val="2"/>
          <w:sz w:val="24"/>
          <w:szCs w:val="24"/>
          <w:highlight w:val="none"/>
          <w:lang w:val="en-US" w:eastAsia="zh-CN" w:bidi="ar-SA"/>
        </w:rPr>
      </w:pPr>
      <w:r>
        <w:rPr>
          <w:rStyle w:val="21"/>
          <w:rFonts w:hint="eastAsia" w:ascii="宋体" w:hAnsi="宋体" w:eastAsia="宋体" w:cs="Times New Roman"/>
          <w:b/>
          <w:color w:val="auto"/>
          <w:kern w:val="2"/>
          <w:sz w:val="24"/>
          <w:szCs w:val="24"/>
          <w:highlight w:val="none"/>
          <w:lang w:val="en-US" w:eastAsia="zh-CN" w:bidi="ar-SA"/>
        </w:rPr>
        <w:t>发包人提供的施工设备表(参考格式)</w:t>
      </w:r>
    </w:p>
    <w:tbl>
      <w:tblPr>
        <w:tblStyle w:val="19"/>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09"/>
        <w:gridCol w:w="1518"/>
        <w:gridCol w:w="1317"/>
        <w:gridCol w:w="1418"/>
        <w:gridCol w:w="769"/>
        <w:gridCol w:w="1168"/>
        <w:gridCol w:w="1606"/>
        <w:gridCol w:w="730"/>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709" w:type="dxa"/>
            <w:noWrap w:val="0"/>
            <w:vAlign w:val="center"/>
          </w:tcPr>
          <w:p>
            <w:pPr>
              <w:pStyle w:val="65"/>
              <w:spacing w:line="360" w:lineRule="auto"/>
              <w:jc w:val="center"/>
              <w:rPr>
                <w:rStyle w:val="21"/>
                <w:rFonts w:hint="eastAsia" w:ascii="宋体" w:hAnsi="宋体" w:eastAsia="宋体" w:cs="Times New Roman"/>
                <w:color w:val="auto"/>
                <w:kern w:val="2"/>
                <w:sz w:val="24"/>
                <w:szCs w:val="24"/>
                <w:highlight w:val="none"/>
                <w:lang w:val="en-US" w:eastAsia="zh-CN" w:bidi="ar-SA"/>
              </w:rPr>
            </w:pPr>
            <w:r>
              <w:rPr>
                <w:rStyle w:val="21"/>
                <w:rFonts w:hint="eastAsia" w:ascii="宋体" w:hAnsi="宋体" w:eastAsia="宋体" w:cs="Times New Roman"/>
                <w:color w:val="auto"/>
                <w:kern w:val="2"/>
                <w:sz w:val="24"/>
                <w:szCs w:val="24"/>
                <w:highlight w:val="none"/>
                <w:lang w:val="en-US" w:eastAsia="zh-CN" w:bidi="ar-SA"/>
              </w:rPr>
              <w:t>序号</w:t>
            </w:r>
          </w:p>
        </w:tc>
        <w:tc>
          <w:tcPr>
            <w:tcW w:w="1518" w:type="dxa"/>
            <w:noWrap w:val="0"/>
            <w:vAlign w:val="center"/>
          </w:tcPr>
          <w:p>
            <w:pPr>
              <w:pStyle w:val="65"/>
              <w:spacing w:line="360" w:lineRule="auto"/>
              <w:jc w:val="center"/>
              <w:rPr>
                <w:rStyle w:val="21"/>
                <w:rFonts w:hint="eastAsia" w:ascii="宋体" w:hAnsi="宋体" w:eastAsia="宋体" w:cs="Times New Roman"/>
                <w:color w:val="auto"/>
                <w:kern w:val="2"/>
                <w:sz w:val="24"/>
                <w:szCs w:val="24"/>
                <w:highlight w:val="none"/>
                <w:lang w:val="en-US" w:eastAsia="zh-CN" w:bidi="ar-SA"/>
              </w:rPr>
            </w:pPr>
            <w:r>
              <w:rPr>
                <w:rStyle w:val="21"/>
                <w:rFonts w:hint="eastAsia" w:ascii="宋体" w:hAnsi="宋体" w:eastAsia="宋体" w:cs="Times New Roman"/>
                <w:color w:val="auto"/>
                <w:kern w:val="2"/>
                <w:sz w:val="24"/>
                <w:szCs w:val="24"/>
                <w:highlight w:val="none"/>
                <w:lang w:val="en-US" w:eastAsia="zh-CN" w:bidi="ar-SA"/>
              </w:rPr>
              <w:t>施工设备名称</w:t>
            </w:r>
          </w:p>
        </w:tc>
        <w:tc>
          <w:tcPr>
            <w:tcW w:w="1317" w:type="dxa"/>
            <w:noWrap w:val="0"/>
            <w:vAlign w:val="center"/>
          </w:tcPr>
          <w:p>
            <w:pPr>
              <w:pStyle w:val="65"/>
              <w:spacing w:line="360" w:lineRule="auto"/>
              <w:jc w:val="center"/>
              <w:rPr>
                <w:rStyle w:val="21"/>
                <w:rFonts w:hint="eastAsia" w:ascii="宋体" w:hAnsi="宋体" w:eastAsia="宋体" w:cs="Times New Roman"/>
                <w:color w:val="auto"/>
                <w:kern w:val="2"/>
                <w:sz w:val="24"/>
                <w:szCs w:val="24"/>
                <w:highlight w:val="none"/>
                <w:lang w:val="en-US" w:eastAsia="zh-CN" w:bidi="ar-SA"/>
              </w:rPr>
            </w:pPr>
            <w:r>
              <w:rPr>
                <w:rStyle w:val="21"/>
                <w:rFonts w:hint="eastAsia" w:ascii="宋体" w:hAnsi="宋体" w:eastAsia="宋体" w:cs="Times New Roman"/>
                <w:color w:val="auto"/>
                <w:kern w:val="2"/>
                <w:sz w:val="24"/>
                <w:szCs w:val="24"/>
                <w:highlight w:val="none"/>
                <w:lang w:val="en-US" w:eastAsia="zh-CN" w:bidi="ar-SA"/>
              </w:rPr>
              <w:t>型号及规格</w:t>
            </w:r>
          </w:p>
        </w:tc>
        <w:tc>
          <w:tcPr>
            <w:tcW w:w="1418" w:type="dxa"/>
            <w:noWrap w:val="0"/>
            <w:vAlign w:val="center"/>
          </w:tcPr>
          <w:p>
            <w:pPr>
              <w:pStyle w:val="65"/>
              <w:spacing w:line="360" w:lineRule="auto"/>
              <w:jc w:val="center"/>
              <w:rPr>
                <w:rStyle w:val="21"/>
                <w:rFonts w:hint="eastAsia" w:ascii="宋体" w:hAnsi="宋体" w:eastAsia="宋体" w:cs="Times New Roman"/>
                <w:color w:val="auto"/>
                <w:kern w:val="2"/>
                <w:sz w:val="24"/>
                <w:szCs w:val="24"/>
                <w:highlight w:val="none"/>
                <w:lang w:val="en-US" w:eastAsia="zh-CN" w:bidi="ar-SA"/>
              </w:rPr>
            </w:pPr>
            <w:r>
              <w:rPr>
                <w:rStyle w:val="21"/>
                <w:rFonts w:hint="eastAsia" w:ascii="宋体" w:hAnsi="宋体" w:eastAsia="宋体" w:cs="Times New Roman"/>
                <w:color w:val="auto"/>
                <w:kern w:val="2"/>
                <w:sz w:val="24"/>
                <w:szCs w:val="24"/>
                <w:highlight w:val="none"/>
                <w:lang w:val="en-US" w:eastAsia="zh-CN" w:bidi="ar-SA"/>
              </w:rPr>
              <w:t>设备状况</w:t>
            </w:r>
          </w:p>
        </w:tc>
        <w:tc>
          <w:tcPr>
            <w:tcW w:w="769" w:type="dxa"/>
            <w:noWrap w:val="0"/>
            <w:vAlign w:val="center"/>
          </w:tcPr>
          <w:p>
            <w:pPr>
              <w:pStyle w:val="65"/>
              <w:spacing w:line="360" w:lineRule="auto"/>
              <w:jc w:val="center"/>
              <w:rPr>
                <w:rStyle w:val="21"/>
                <w:rFonts w:hint="eastAsia" w:ascii="宋体" w:hAnsi="宋体" w:eastAsia="宋体" w:cs="Times New Roman"/>
                <w:color w:val="auto"/>
                <w:kern w:val="2"/>
                <w:sz w:val="24"/>
                <w:szCs w:val="24"/>
                <w:highlight w:val="none"/>
                <w:lang w:val="en-US" w:eastAsia="zh-CN" w:bidi="ar-SA"/>
              </w:rPr>
            </w:pPr>
            <w:r>
              <w:rPr>
                <w:rStyle w:val="21"/>
                <w:rFonts w:hint="eastAsia" w:ascii="宋体" w:hAnsi="宋体" w:eastAsia="宋体" w:cs="Times New Roman"/>
                <w:color w:val="auto"/>
                <w:kern w:val="2"/>
                <w:sz w:val="24"/>
                <w:szCs w:val="24"/>
                <w:highlight w:val="none"/>
                <w:lang w:val="en-US" w:eastAsia="zh-CN" w:bidi="ar-SA"/>
              </w:rPr>
              <w:t>数量</w:t>
            </w:r>
          </w:p>
        </w:tc>
        <w:tc>
          <w:tcPr>
            <w:tcW w:w="1168" w:type="dxa"/>
            <w:noWrap w:val="0"/>
            <w:vAlign w:val="center"/>
          </w:tcPr>
          <w:p>
            <w:pPr>
              <w:pStyle w:val="65"/>
              <w:spacing w:line="360" w:lineRule="auto"/>
              <w:jc w:val="center"/>
              <w:rPr>
                <w:rStyle w:val="21"/>
                <w:rFonts w:hint="eastAsia" w:ascii="宋体" w:hAnsi="宋体" w:eastAsia="宋体" w:cs="Times New Roman"/>
                <w:color w:val="auto"/>
                <w:kern w:val="2"/>
                <w:sz w:val="24"/>
                <w:szCs w:val="24"/>
                <w:highlight w:val="none"/>
                <w:lang w:val="en-US" w:eastAsia="zh-CN" w:bidi="ar-SA"/>
              </w:rPr>
            </w:pPr>
            <w:r>
              <w:rPr>
                <w:rStyle w:val="21"/>
                <w:rFonts w:hint="eastAsia" w:ascii="宋体" w:hAnsi="宋体" w:eastAsia="宋体" w:cs="Times New Roman"/>
                <w:color w:val="auto"/>
                <w:kern w:val="2"/>
                <w:sz w:val="24"/>
                <w:szCs w:val="24"/>
                <w:highlight w:val="none"/>
                <w:lang w:val="en-US" w:eastAsia="zh-CN" w:bidi="ar-SA"/>
              </w:rPr>
              <w:t>移交地点</w:t>
            </w:r>
          </w:p>
        </w:tc>
        <w:tc>
          <w:tcPr>
            <w:tcW w:w="1606" w:type="dxa"/>
            <w:noWrap w:val="0"/>
            <w:vAlign w:val="center"/>
          </w:tcPr>
          <w:p>
            <w:pPr>
              <w:pStyle w:val="65"/>
              <w:spacing w:line="360" w:lineRule="auto"/>
              <w:jc w:val="center"/>
              <w:rPr>
                <w:rStyle w:val="21"/>
                <w:rFonts w:hint="eastAsia" w:ascii="宋体" w:hAnsi="宋体" w:eastAsia="宋体" w:cs="Times New Roman"/>
                <w:color w:val="auto"/>
                <w:kern w:val="2"/>
                <w:sz w:val="24"/>
                <w:szCs w:val="24"/>
                <w:highlight w:val="none"/>
                <w:lang w:val="en-US" w:eastAsia="zh-CN" w:bidi="ar-SA"/>
              </w:rPr>
            </w:pPr>
            <w:r>
              <w:rPr>
                <w:rStyle w:val="21"/>
                <w:rFonts w:hint="eastAsia" w:ascii="宋体" w:hAnsi="宋体" w:eastAsia="宋体" w:cs="Times New Roman"/>
                <w:color w:val="auto"/>
                <w:kern w:val="2"/>
                <w:sz w:val="24"/>
                <w:szCs w:val="24"/>
                <w:highlight w:val="none"/>
                <w:lang w:val="en-US" w:eastAsia="zh-CN" w:bidi="ar-SA"/>
              </w:rPr>
              <w:t>计划移交日期</w:t>
            </w:r>
          </w:p>
        </w:tc>
        <w:tc>
          <w:tcPr>
            <w:tcW w:w="730" w:type="dxa"/>
            <w:noWrap w:val="0"/>
            <w:vAlign w:val="center"/>
          </w:tcPr>
          <w:p>
            <w:pPr>
              <w:pStyle w:val="65"/>
              <w:spacing w:line="360" w:lineRule="auto"/>
              <w:jc w:val="center"/>
              <w:rPr>
                <w:rStyle w:val="21"/>
                <w:rFonts w:ascii="宋体" w:hAnsi="宋体" w:eastAsia="宋体" w:cs="Times New Roman"/>
                <w:color w:val="auto"/>
                <w:kern w:val="2"/>
                <w:sz w:val="24"/>
                <w:szCs w:val="24"/>
                <w:highlight w:val="none"/>
                <w:lang w:val="en-US" w:eastAsia="zh-CN" w:bidi="ar-SA"/>
              </w:rPr>
            </w:pPr>
            <w:r>
              <w:rPr>
                <w:rStyle w:val="21"/>
                <w:rFonts w:hint="eastAsia" w:ascii="宋体" w:hAnsi="宋体" w:eastAsia="宋体" w:cs="Times New Roman"/>
                <w:color w:val="auto"/>
                <w:kern w:val="2"/>
                <w:sz w:val="24"/>
                <w:szCs w:val="24"/>
                <w:highlight w:val="none"/>
                <w:lang w:val="en-US" w:eastAsia="zh-CN" w:bidi="ar-SA"/>
              </w:rPr>
              <w:t>备注</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709" w:type="dxa"/>
            <w:noWrap w:val="0"/>
            <w:vAlign w:val="center"/>
          </w:tcPr>
          <w:p>
            <w:pPr>
              <w:pStyle w:val="65"/>
              <w:spacing w:line="360" w:lineRule="auto"/>
              <w:jc w:val="center"/>
              <w:rPr>
                <w:rStyle w:val="21"/>
                <w:rFonts w:hint="eastAsia" w:ascii="宋体" w:hAnsi="宋体" w:eastAsia="宋体" w:cs="Times New Roman"/>
                <w:color w:val="auto"/>
                <w:kern w:val="2"/>
                <w:sz w:val="24"/>
                <w:szCs w:val="24"/>
                <w:highlight w:val="none"/>
                <w:lang w:val="en-US" w:eastAsia="zh-CN" w:bidi="ar-SA"/>
              </w:rPr>
            </w:pPr>
          </w:p>
        </w:tc>
        <w:tc>
          <w:tcPr>
            <w:tcW w:w="1518" w:type="dxa"/>
            <w:noWrap w:val="0"/>
            <w:vAlign w:val="center"/>
          </w:tcPr>
          <w:p>
            <w:pPr>
              <w:pStyle w:val="65"/>
              <w:spacing w:line="360" w:lineRule="auto"/>
              <w:jc w:val="center"/>
              <w:rPr>
                <w:rStyle w:val="21"/>
                <w:rFonts w:hint="eastAsia" w:ascii="宋体" w:hAnsi="宋体" w:eastAsia="宋体" w:cs="Times New Roman"/>
                <w:color w:val="auto"/>
                <w:kern w:val="2"/>
                <w:sz w:val="24"/>
                <w:szCs w:val="24"/>
                <w:highlight w:val="none"/>
                <w:lang w:val="en-US" w:eastAsia="zh-CN" w:bidi="ar-SA"/>
              </w:rPr>
            </w:pPr>
          </w:p>
        </w:tc>
        <w:tc>
          <w:tcPr>
            <w:tcW w:w="1317" w:type="dxa"/>
            <w:noWrap w:val="0"/>
            <w:vAlign w:val="center"/>
          </w:tcPr>
          <w:p>
            <w:pPr>
              <w:pStyle w:val="65"/>
              <w:spacing w:line="360" w:lineRule="auto"/>
              <w:jc w:val="center"/>
              <w:rPr>
                <w:rStyle w:val="21"/>
                <w:rFonts w:hint="eastAsia" w:ascii="宋体" w:hAnsi="宋体" w:eastAsia="宋体" w:cs="Times New Roman"/>
                <w:color w:val="auto"/>
                <w:kern w:val="2"/>
                <w:sz w:val="24"/>
                <w:szCs w:val="24"/>
                <w:highlight w:val="none"/>
                <w:lang w:val="en-US" w:eastAsia="zh-CN" w:bidi="ar-SA"/>
              </w:rPr>
            </w:pPr>
          </w:p>
        </w:tc>
        <w:tc>
          <w:tcPr>
            <w:tcW w:w="1418" w:type="dxa"/>
            <w:noWrap w:val="0"/>
            <w:vAlign w:val="center"/>
          </w:tcPr>
          <w:p>
            <w:pPr>
              <w:pStyle w:val="65"/>
              <w:spacing w:line="360" w:lineRule="auto"/>
              <w:jc w:val="center"/>
              <w:rPr>
                <w:rStyle w:val="21"/>
                <w:rFonts w:hint="eastAsia" w:ascii="宋体" w:hAnsi="宋体" w:eastAsia="宋体" w:cs="Times New Roman"/>
                <w:color w:val="auto"/>
                <w:kern w:val="2"/>
                <w:sz w:val="24"/>
                <w:szCs w:val="24"/>
                <w:highlight w:val="none"/>
                <w:lang w:val="en-US" w:eastAsia="zh-CN" w:bidi="ar-SA"/>
              </w:rPr>
            </w:pPr>
          </w:p>
        </w:tc>
        <w:tc>
          <w:tcPr>
            <w:tcW w:w="769" w:type="dxa"/>
            <w:noWrap w:val="0"/>
            <w:vAlign w:val="center"/>
          </w:tcPr>
          <w:p>
            <w:pPr>
              <w:pStyle w:val="65"/>
              <w:spacing w:line="360" w:lineRule="auto"/>
              <w:jc w:val="center"/>
              <w:rPr>
                <w:rStyle w:val="21"/>
                <w:rFonts w:hint="eastAsia" w:ascii="宋体" w:hAnsi="宋体" w:eastAsia="宋体" w:cs="Times New Roman"/>
                <w:color w:val="auto"/>
                <w:kern w:val="2"/>
                <w:sz w:val="24"/>
                <w:szCs w:val="24"/>
                <w:highlight w:val="none"/>
                <w:lang w:val="en-US" w:eastAsia="zh-CN" w:bidi="ar-SA"/>
              </w:rPr>
            </w:pPr>
          </w:p>
        </w:tc>
        <w:tc>
          <w:tcPr>
            <w:tcW w:w="1168" w:type="dxa"/>
            <w:noWrap w:val="0"/>
            <w:vAlign w:val="center"/>
          </w:tcPr>
          <w:p>
            <w:pPr>
              <w:pStyle w:val="65"/>
              <w:spacing w:line="360" w:lineRule="auto"/>
              <w:jc w:val="center"/>
              <w:rPr>
                <w:rStyle w:val="21"/>
                <w:rFonts w:hint="eastAsia" w:ascii="宋体" w:hAnsi="宋体" w:eastAsia="宋体" w:cs="Times New Roman"/>
                <w:color w:val="auto"/>
                <w:kern w:val="2"/>
                <w:sz w:val="24"/>
                <w:szCs w:val="24"/>
                <w:highlight w:val="none"/>
                <w:lang w:val="en-US" w:eastAsia="zh-CN" w:bidi="ar-SA"/>
              </w:rPr>
            </w:pPr>
          </w:p>
        </w:tc>
        <w:tc>
          <w:tcPr>
            <w:tcW w:w="1606" w:type="dxa"/>
            <w:noWrap w:val="0"/>
            <w:vAlign w:val="center"/>
          </w:tcPr>
          <w:p>
            <w:pPr>
              <w:pStyle w:val="65"/>
              <w:spacing w:line="360" w:lineRule="auto"/>
              <w:jc w:val="center"/>
              <w:rPr>
                <w:rStyle w:val="21"/>
                <w:rFonts w:hint="eastAsia" w:ascii="宋体" w:hAnsi="宋体" w:eastAsia="宋体" w:cs="Times New Roman"/>
                <w:color w:val="auto"/>
                <w:kern w:val="2"/>
                <w:sz w:val="24"/>
                <w:szCs w:val="24"/>
                <w:highlight w:val="none"/>
                <w:lang w:val="en-US" w:eastAsia="zh-CN" w:bidi="ar-SA"/>
              </w:rPr>
            </w:pPr>
          </w:p>
        </w:tc>
        <w:tc>
          <w:tcPr>
            <w:tcW w:w="730" w:type="dxa"/>
            <w:noWrap w:val="0"/>
            <w:vAlign w:val="center"/>
          </w:tcPr>
          <w:p>
            <w:pPr>
              <w:pStyle w:val="65"/>
              <w:spacing w:line="360" w:lineRule="auto"/>
              <w:jc w:val="center"/>
              <w:rPr>
                <w:rStyle w:val="21"/>
                <w:rFonts w:hint="eastAsia" w:ascii="宋体" w:hAnsi="宋体" w:eastAsia="宋体" w:cs="Times New Roman"/>
                <w:color w:val="auto"/>
                <w:kern w:val="2"/>
                <w:sz w:val="24"/>
                <w:szCs w:val="24"/>
                <w:highlight w:val="none"/>
                <w:lang w:val="en-US" w:eastAsia="zh-CN" w:bidi="ar-SA"/>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709" w:type="dxa"/>
            <w:noWrap w:val="0"/>
            <w:vAlign w:val="center"/>
          </w:tcPr>
          <w:p>
            <w:pPr>
              <w:pStyle w:val="65"/>
              <w:spacing w:line="360" w:lineRule="auto"/>
              <w:jc w:val="center"/>
              <w:rPr>
                <w:rStyle w:val="21"/>
                <w:rFonts w:hint="eastAsia" w:ascii="宋体" w:hAnsi="宋体" w:eastAsia="宋体" w:cs="Times New Roman"/>
                <w:color w:val="auto"/>
                <w:kern w:val="2"/>
                <w:sz w:val="24"/>
                <w:szCs w:val="24"/>
                <w:highlight w:val="none"/>
                <w:lang w:val="en-US" w:eastAsia="zh-CN" w:bidi="ar-SA"/>
              </w:rPr>
            </w:pPr>
          </w:p>
        </w:tc>
        <w:tc>
          <w:tcPr>
            <w:tcW w:w="1518" w:type="dxa"/>
            <w:noWrap w:val="0"/>
            <w:vAlign w:val="center"/>
          </w:tcPr>
          <w:p>
            <w:pPr>
              <w:pStyle w:val="65"/>
              <w:spacing w:line="360" w:lineRule="auto"/>
              <w:jc w:val="center"/>
              <w:rPr>
                <w:rStyle w:val="21"/>
                <w:rFonts w:hint="eastAsia" w:ascii="宋体" w:hAnsi="宋体" w:eastAsia="宋体" w:cs="Times New Roman"/>
                <w:color w:val="auto"/>
                <w:kern w:val="2"/>
                <w:sz w:val="24"/>
                <w:szCs w:val="24"/>
                <w:highlight w:val="none"/>
                <w:lang w:val="en-US" w:eastAsia="zh-CN" w:bidi="ar-SA"/>
              </w:rPr>
            </w:pPr>
          </w:p>
        </w:tc>
        <w:tc>
          <w:tcPr>
            <w:tcW w:w="1317" w:type="dxa"/>
            <w:noWrap w:val="0"/>
            <w:vAlign w:val="center"/>
          </w:tcPr>
          <w:p>
            <w:pPr>
              <w:pStyle w:val="65"/>
              <w:spacing w:line="360" w:lineRule="auto"/>
              <w:jc w:val="center"/>
              <w:rPr>
                <w:rStyle w:val="21"/>
                <w:rFonts w:hint="eastAsia" w:ascii="宋体" w:hAnsi="宋体" w:eastAsia="宋体" w:cs="Times New Roman"/>
                <w:color w:val="auto"/>
                <w:kern w:val="2"/>
                <w:sz w:val="24"/>
                <w:szCs w:val="24"/>
                <w:highlight w:val="none"/>
                <w:lang w:val="en-US" w:eastAsia="zh-CN" w:bidi="ar-SA"/>
              </w:rPr>
            </w:pPr>
          </w:p>
        </w:tc>
        <w:tc>
          <w:tcPr>
            <w:tcW w:w="1418" w:type="dxa"/>
            <w:noWrap w:val="0"/>
            <w:vAlign w:val="center"/>
          </w:tcPr>
          <w:p>
            <w:pPr>
              <w:pStyle w:val="65"/>
              <w:spacing w:line="360" w:lineRule="auto"/>
              <w:jc w:val="center"/>
              <w:rPr>
                <w:rStyle w:val="21"/>
                <w:rFonts w:hint="eastAsia" w:ascii="宋体" w:hAnsi="宋体" w:eastAsia="宋体" w:cs="Times New Roman"/>
                <w:color w:val="auto"/>
                <w:kern w:val="2"/>
                <w:sz w:val="24"/>
                <w:szCs w:val="24"/>
                <w:highlight w:val="none"/>
                <w:lang w:val="en-US" w:eastAsia="zh-CN" w:bidi="ar-SA"/>
              </w:rPr>
            </w:pPr>
          </w:p>
        </w:tc>
        <w:tc>
          <w:tcPr>
            <w:tcW w:w="769" w:type="dxa"/>
            <w:noWrap w:val="0"/>
            <w:vAlign w:val="center"/>
          </w:tcPr>
          <w:p>
            <w:pPr>
              <w:pStyle w:val="65"/>
              <w:spacing w:line="360" w:lineRule="auto"/>
              <w:jc w:val="center"/>
              <w:rPr>
                <w:rStyle w:val="21"/>
                <w:rFonts w:hint="eastAsia" w:ascii="宋体" w:hAnsi="宋体" w:eastAsia="宋体" w:cs="Times New Roman"/>
                <w:color w:val="auto"/>
                <w:kern w:val="2"/>
                <w:sz w:val="24"/>
                <w:szCs w:val="24"/>
                <w:highlight w:val="none"/>
                <w:lang w:val="en-US" w:eastAsia="zh-CN" w:bidi="ar-SA"/>
              </w:rPr>
            </w:pPr>
          </w:p>
        </w:tc>
        <w:tc>
          <w:tcPr>
            <w:tcW w:w="1168" w:type="dxa"/>
            <w:noWrap w:val="0"/>
            <w:vAlign w:val="center"/>
          </w:tcPr>
          <w:p>
            <w:pPr>
              <w:pStyle w:val="65"/>
              <w:spacing w:line="360" w:lineRule="auto"/>
              <w:jc w:val="center"/>
              <w:rPr>
                <w:rStyle w:val="21"/>
                <w:rFonts w:hint="eastAsia" w:ascii="宋体" w:hAnsi="宋体" w:eastAsia="宋体" w:cs="Times New Roman"/>
                <w:color w:val="auto"/>
                <w:kern w:val="2"/>
                <w:sz w:val="24"/>
                <w:szCs w:val="24"/>
                <w:highlight w:val="none"/>
                <w:lang w:val="en-US" w:eastAsia="zh-CN" w:bidi="ar-SA"/>
              </w:rPr>
            </w:pPr>
          </w:p>
        </w:tc>
        <w:tc>
          <w:tcPr>
            <w:tcW w:w="1606" w:type="dxa"/>
            <w:noWrap w:val="0"/>
            <w:vAlign w:val="center"/>
          </w:tcPr>
          <w:p>
            <w:pPr>
              <w:pStyle w:val="65"/>
              <w:spacing w:line="360" w:lineRule="auto"/>
              <w:jc w:val="center"/>
              <w:rPr>
                <w:rStyle w:val="21"/>
                <w:rFonts w:hint="eastAsia" w:ascii="宋体" w:hAnsi="宋体" w:eastAsia="宋体" w:cs="Times New Roman"/>
                <w:color w:val="auto"/>
                <w:kern w:val="2"/>
                <w:sz w:val="24"/>
                <w:szCs w:val="24"/>
                <w:highlight w:val="none"/>
                <w:lang w:val="en-US" w:eastAsia="zh-CN" w:bidi="ar-SA"/>
              </w:rPr>
            </w:pPr>
          </w:p>
        </w:tc>
        <w:tc>
          <w:tcPr>
            <w:tcW w:w="730" w:type="dxa"/>
            <w:noWrap w:val="0"/>
            <w:vAlign w:val="center"/>
          </w:tcPr>
          <w:p>
            <w:pPr>
              <w:pStyle w:val="65"/>
              <w:spacing w:line="360" w:lineRule="auto"/>
              <w:jc w:val="center"/>
              <w:rPr>
                <w:rStyle w:val="21"/>
                <w:rFonts w:hint="eastAsia" w:ascii="宋体" w:hAnsi="宋体" w:eastAsia="宋体" w:cs="Times New Roman"/>
                <w:color w:val="auto"/>
                <w:kern w:val="2"/>
                <w:sz w:val="24"/>
                <w:szCs w:val="24"/>
                <w:highlight w:val="none"/>
                <w:lang w:val="en-US" w:eastAsia="zh-CN" w:bidi="ar-SA"/>
              </w:rPr>
            </w:pPr>
          </w:p>
        </w:tc>
      </w:tr>
    </w:tbl>
    <w:p>
      <w:pPr>
        <w:pStyle w:val="65"/>
        <w:spacing w:line="360" w:lineRule="auto"/>
        <w:rPr>
          <w:rStyle w:val="21"/>
          <w:rFonts w:ascii="宋体" w:hAnsi="宋体" w:eastAsia="宋体" w:cs="Times New Roman"/>
          <w:color w:val="auto"/>
          <w:kern w:val="2"/>
          <w:sz w:val="24"/>
          <w:szCs w:val="24"/>
          <w:highlight w:val="none"/>
          <w:lang w:val="en-US" w:eastAsia="zh-CN" w:bidi="ar-SA"/>
        </w:rPr>
      </w:pPr>
      <w:r>
        <w:rPr>
          <w:rStyle w:val="21"/>
          <w:rFonts w:hint="eastAsia" w:ascii="宋体" w:hAnsi="宋体" w:eastAsia="宋体" w:cs="Times New Roman"/>
          <w:color w:val="auto"/>
          <w:kern w:val="2"/>
          <w:sz w:val="24"/>
          <w:szCs w:val="24"/>
          <w:highlight w:val="none"/>
          <w:lang w:val="en-US" w:eastAsia="zh-CN" w:bidi="ar-SA"/>
        </w:rPr>
        <w:t>注设备状况栏内填写该设备的新旧程度、购进时间、已使用小时数和最近一次的大修时间。</w:t>
      </w:r>
    </w:p>
    <w:p>
      <w:pPr>
        <w:pStyle w:val="65"/>
        <w:spacing w:line="360" w:lineRule="auto"/>
        <w:rPr>
          <w:rStyle w:val="21"/>
          <w:rFonts w:ascii="宋体" w:hAnsi="宋体" w:eastAsia="宋体" w:cs="Times New Roman"/>
          <w:color w:val="auto"/>
          <w:kern w:val="2"/>
          <w:sz w:val="24"/>
          <w:szCs w:val="24"/>
          <w:highlight w:val="none"/>
          <w:lang w:val="en-US" w:eastAsia="zh-CN" w:bidi="ar-SA"/>
        </w:rPr>
      </w:pPr>
      <w:r>
        <w:rPr>
          <w:rStyle w:val="21"/>
          <w:rFonts w:hint="eastAsia" w:ascii="宋体" w:hAnsi="宋体" w:eastAsia="宋体" w:cs="Times New Roman"/>
          <w:color w:val="auto"/>
          <w:kern w:val="2"/>
          <w:sz w:val="24"/>
          <w:szCs w:val="24"/>
          <w:highlight w:val="none"/>
          <w:lang w:val="en-US" w:eastAsia="zh-CN" w:bidi="ar-SA"/>
        </w:rPr>
        <w:t>(2)发包人提供的临时设施：。</w:t>
      </w:r>
    </w:p>
    <w:p>
      <w:pPr>
        <w:pStyle w:val="66"/>
        <w:rPr>
          <w:rStyle w:val="21"/>
          <w:color w:val="auto"/>
          <w:kern w:val="2"/>
          <w:sz w:val="24"/>
          <w:szCs w:val="24"/>
          <w:highlight w:val="none"/>
          <w:lang w:val="en-US" w:eastAsia="zh-CN" w:bidi="ar-SA"/>
        </w:rPr>
      </w:pPr>
      <w:bookmarkStart w:id="302" w:name="_Toc20296"/>
      <w:r>
        <w:rPr>
          <w:rStyle w:val="21"/>
          <w:rFonts w:hint="eastAsia"/>
          <w:color w:val="auto"/>
          <w:kern w:val="2"/>
          <w:sz w:val="24"/>
          <w:szCs w:val="24"/>
          <w:highlight w:val="none"/>
          <w:lang w:val="en-US" w:eastAsia="zh-CN" w:bidi="ar-SA"/>
        </w:rPr>
        <w:t>7交通运输</w:t>
      </w:r>
      <w:bookmarkEnd w:id="302"/>
    </w:p>
    <w:p>
      <w:pPr>
        <w:pStyle w:val="65"/>
        <w:spacing w:line="360" w:lineRule="auto"/>
        <w:rPr>
          <w:rStyle w:val="21"/>
          <w:rFonts w:ascii="宋体" w:hAnsi="宋体" w:eastAsia="宋体" w:cs="Times New Roman"/>
          <w:color w:val="auto"/>
          <w:kern w:val="2"/>
          <w:sz w:val="24"/>
          <w:szCs w:val="24"/>
          <w:highlight w:val="none"/>
          <w:lang w:val="en-US" w:eastAsia="zh-CN" w:bidi="ar-SA"/>
        </w:rPr>
      </w:pPr>
      <w:r>
        <w:rPr>
          <w:rStyle w:val="21"/>
          <w:rFonts w:hint="eastAsia" w:ascii="宋体" w:hAnsi="宋体" w:eastAsia="宋体" w:cs="Times New Roman"/>
          <w:color w:val="auto"/>
          <w:kern w:val="2"/>
          <w:sz w:val="24"/>
          <w:szCs w:val="24"/>
          <w:highlight w:val="none"/>
          <w:lang w:val="en-US" w:eastAsia="zh-CN" w:bidi="ar-SA"/>
        </w:rPr>
        <w:t>7.1道路通行权和场外设施</w:t>
      </w:r>
    </w:p>
    <w:p>
      <w:pPr>
        <w:pStyle w:val="65"/>
        <w:spacing w:line="360" w:lineRule="auto"/>
        <w:rPr>
          <w:rStyle w:val="21"/>
          <w:rFonts w:ascii="宋体" w:hAnsi="宋体" w:eastAsia="宋体" w:cs="Times New Roman"/>
          <w:color w:val="auto"/>
          <w:kern w:val="2"/>
          <w:sz w:val="24"/>
          <w:szCs w:val="24"/>
          <w:highlight w:val="none"/>
          <w:lang w:val="en-US" w:eastAsia="zh-CN" w:bidi="ar-SA"/>
        </w:rPr>
      </w:pPr>
      <w:r>
        <w:rPr>
          <w:rStyle w:val="21"/>
          <w:rFonts w:hint="eastAsia" w:ascii="宋体" w:hAnsi="宋体" w:eastAsia="宋体" w:cs="Times New Roman"/>
          <w:color w:val="auto"/>
          <w:kern w:val="2"/>
          <w:sz w:val="24"/>
          <w:szCs w:val="24"/>
          <w:highlight w:val="none"/>
          <w:lang w:val="en-US" w:eastAsia="zh-CN" w:bidi="ar-SA"/>
        </w:rPr>
        <w:t>道路通行权和场外设施的约定：。</w:t>
      </w:r>
    </w:p>
    <w:p>
      <w:pPr>
        <w:pStyle w:val="66"/>
        <w:rPr>
          <w:rStyle w:val="21"/>
          <w:color w:val="auto"/>
          <w:kern w:val="2"/>
          <w:sz w:val="24"/>
          <w:szCs w:val="24"/>
          <w:highlight w:val="none"/>
          <w:lang w:val="en-US" w:eastAsia="zh-CN" w:bidi="ar-SA"/>
        </w:rPr>
      </w:pPr>
      <w:bookmarkStart w:id="303" w:name="_Toc12401"/>
      <w:r>
        <w:rPr>
          <w:rStyle w:val="21"/>
          <w:rFonts w:hint="eastAsia"/>
          <w:color w:val="auto"/>
          <w:kern w:val="2"/>
          <w:sz w:val="24"/>
          <w:szCs w:val="24"/>
          <w:highlight w:val="none"/>
          <w:lang w:val="en-US" w:eastAsia="zh-CN" w:bidi="ar-SA"/>
        </w:rPr>
        <w:t>8测量放线</w:t>
      </w:r>
      <w:bookmarkEnd w:id="303"/>
    </w:p>
    <w:p>
      <w:pPr>
        <w:pStyle w:val="65"/>
        <w:spacing w:line="360" w:lineRule="auto"/>
        <w:rPr>
          <w:rStyle w:val="21"/>
          <w:rFonts w:ascii="宋体" w:hAnsi="宋体" w:eastAsia="宋体" w:cs="Times New Roman"/>
          <w:color w:val="auto"/>
          <w:kern w:val="2"/>
          <w:sz w:val="24"/>
          <w:szCs w:val="24"/>
          <w:highlight w:val="none"/>
          <w:lang w:val="en-US" w:eastAsia="zh-CN" w:bidi="ar-SA"/>
        </w:rPr>
      </w:pPr>
      <w:r>
        <w:rPr>
          <w:rStyle w:val="21"/>
          <w:rFonts w:hint="eastAsia" w:ascii="宋体" w:hAnsi="宋体" w:eastAsia="宋体" w:cs="Times New Roman"/>
          <w:color w:val="auto"/>
          <w:kern w:val="2"/>
          <w:sz w:val="24"/>
          <w:szCs w:val="24"/>
          <w:highlight w:val="none"/>
          <w:lang w:val="en-US" w:eastAsia="zh-CN" w:bidi="ar-SA"/>
        </w:rPr>
        <w:t>8.1施工控制网</w:t>
      </w:r>
    </w:p>
    <w:p>
      <w:pPr>
        <w:pStyle w:val="65"/>
        <w:spacing w:line="360" w:lineRule="auto"/>
        <w:rPr>
          <w:rStyle w:val="21"/>
          <w:rFonts w:ascii="宋体" w:hAnsi="宋体" w:eastAsia="宋体" w:cs="Times New Roman"/>
          <w:color w:val="auto"/>
          <w:kern w:val="2"/>
          <w:sz w:val="24"/>
          <w:szCs w:val="24"/>
          <w:highlight w:val="none"/>
          <w:lang w:val="en-US" w:eastAsia="zh-CN" w:bidi="ar-SA"/>
        </w:rPr>
      </w:pPr>
      <w:r>
        <w:rPr>
          <w:rStyle w:val="21"/>
          <w:rFonts w:hint="eastAsia" w:ascii="宋体" w:hAnsi="宋体" w:eastAsia="宋体" w:cs="Times New Roman"/>
          <w:color w:val="auto"/>
          <w:kern w:val="2"/>
          <w:sz w:val="24"/>
          <w:szCs w:val="24"/>
          <w:highlight w:val="none"/>
          <w:lang w:val="en-US" w:eastAsia="zh-CN" w:bidi="ar-SA"/>
        </w:rPr>
        <w:t>8.1.1施工控制网的约定：。</w:t>
      </w:r>
    </w:p>
    <w:p>
      <w:pPr>
        <w:pStyle w:val="66"/>
        <w:rPr>
          <w:rStyle w:val="21"/>
          <w:color w:val="auto"/>
          <w:kern w:val="2"/>
          <w:sz w:val="24"/>
          <w:szCs w:val="24"/>
          <w:highlight w:val="none"/>
          <w:lang w:val="en-US" w:eastAsia="zh-CN" w:bidi="ar-SA"/>
        </w:rPr>
      </w:pPr>
      <w:bookmarkStart w:id="304" w:name="_Toc29847"/>
      <w:r>
        <w:rPr>
          <w:rStyle w:val="21"/>
          <w:rFonts w:hint="eastAsia"/>
          <w:color w:val="auto"/>
          <w:kern w:val="2"/>
          <w:sz w:val="24"/>
          <w:szCs w:val="24"/>
          <w:highlight w:val="none"/>
          <w:lang w:val="en-US" w:eastAsia="zh-CN" w:bidi="ar-SA"/>
        </w:rPr>
        <w:t>9施工安全、治安保卫和环境保护</w:t>
      </w:r>
      <w:bookmarkEnd w:id="304"/>
    </w:p>
    <w:p>
      <w:pPr>
        <w:pStyle w:val="65"/>
        <w:spacing w:line="360" w:lineRule="auto"/>
        <w:rPr>
          <w:rStyle w:val="21"/>
          <w:rFonts w:ascii="宋体" w:hAnsi="宋体" w:eastAsia="宋体" w:cs="Times New Roman"/>
          <w:color w:val="auto"/>
          <w:kern w:val="2"/>
          <w:sz w:val="24"/>
          <w:szCs w:val="24"/>
          <w:highlight w:val="none"/>
          <w:lang w:val="en-US" w:eastAsia="zh-CN" w:bidi="ar-SA"/>
        </w:rPr>
      </w:pPr>
      <w:r>
        <w:rPr>
          <w:rStyle w:val="21"/>
          <w:rFonts w:hint="eastAsia" w:ascii="宋体" w:hAnsi="宋体" w:eastAsia="宋体" w:cs="Times New Roman"/>
          <w:color w:val="auto"/>
          <w:kern w:val="2"/>
          <w:sz w:val="24"/>
          <w:szCs w:val="24"/>
          <w:highlight w:val="none"/>
          <w:lang w:val="en-US" w:eastAsia="zh-CN" w:bidi="ar-SA"/>
        </w:rPr>
        <w:t>9.1发包人的施工安全责任</w:t>
      </w:r>
    </w:p>
    <w:p>
      <w:pPr>
        <w:pStyle w:val="65"/>
        <w:spacing w:line="360" w:lineRule="auto"/>
        <w:rPr>
          <w:rStyle w:val="21"/>
          <w:rFonts w:ascii="宋体" w:hAnsi="宋体" w:eastAsia="宋体" w:cs="Times New Roman"/>
          <w:color w:val="auto"/>
          <w:kern w:val="2"/>
          <w:sz w:val="24"/>
          <w:szCs w:val="24"/>
          <w:highlight w:val="none"/>
          <w:lang w:val="en-US" w:eastAsia="zh-CN" w:bidi="ar-SA"/>
        </w:rPr>
      </w:pPr>
      <w:r>
        <w:rPr>
          <w:rStyle w:val="21"/>
          <w:rFonts w:hint="eastAsia" w:ascii="宋体" w:hAnsi="宋体" w:eastAsia="宋体" w:cs="Times New Roman"/>
          <w:color w:val="auto"/>
          <w:kern w:val="2"/>
          <w:sz w:val="24"/>
          <w:szCs w:val="24"/>
          <w:highlight w:val="none"/>
          <w:lang w:val="en-US" w:eastAsia="zh-CN" w:bidi="ar-SA"/>
        </w:rPr>
        <w:t>9.1.4发包人提供资料，其余资料由承包人负责收集。</w:t>
      </w:r>
    </w:p>
    <w:p>
      <w:pPr>
        <w:pStyle w:val="65"/>
        <w:spacing w:line="360" w:lineRule="auto"/>
        <w:rPr>
          <w:rStyle w:val="21"/>
          <w:rFonts w:ascii="宋体" w:hAnsi="宋体" w:eastAsia="宋体" w:cs="Times New Roman"/>
          <w:color w:val="auto"/>
          <w:kern w:val="2"/>
          <w:sz w:val="24"/>
          <w:szCs w:val="24"/>
          <w:highlight w:val="none"/>
          <w:lang w:val="en-US" w:eastAsia="zh-CN" w:bidi="ar-SA"/>
        </w:rPr>
      </w:pPr>
      <w:r>
        <w:rPr>
          <w:rStyle w:val="21"/>
          <w:rFonts w:hint="eastAsia" w:ascii="宋体" w:hAnsi="宋体" w:eastAsia="宋体" w:cs="Times New Roman"/>
          <w:color w:val="auto"/>
          <w:kern w:val="2"/>
          <w:sz w:val="24"/>
          <w:szCs w:val="24"/>
          <w:highlight w:val="none"/>
          <w:lang w:val="en-US" w:eastAsia="zh-CN" w:bidi="ar-SA"/>
        </w:rPr>
        <w:t>9.2承包人的施工安全责任</w:t>
      </w:r>
    </w:p>
    <w:p>
      <w:pPr>
        <w:pStyle w:val="65"/>
        <w:spacing w:line="360" w:lineRule="auto"/>
        <w:rPr>
          <w:rStyle w:val="21"/>
          <w:rFonts w:ascii="宋体" w:hAnsi="宋体" w:eastAsia="宋体" w:cs="Times New Roman"/>
          <w:color w:val="auto"/>
          <w:kern w:val="2"/>
          <w:sz w:val="24"/>
          <w:szCs w:val="24"/>
          <w:highlight w:val="none"/>
          <w:lang w:val="en-US" w:eastAsia="zh-CN" w:bidi="ar-SA"/>
        </w:rPr>
      </w:pPr>
      <w:r>
        <w:rPr>
          <w:rStyle w:val="21"/>
          <w:rFonts w:hint="eastAsia" w:ascii="宋体" w:hAnsi="宋体" w:eastAsia="宋体" w:cs="Times New Roman"/>
          <w:color w:val="auto"/>
          <w:kern w:val="2"/>
          <w:sz w:val="24"/>
          <w:szCs w:val="24"/>
          <w:highlight w:val="none"/>
          <w:lang w:val="en-US" w:eastAsia="zh-CN" w:bidi="ar-SA"/>
        </w:rPr>
        <w:t>9.2.12下列工程应编制专项施工方案：。其中应组织专家论证和审查。</w:t>
      </w:r>
    </w:p>
    <w:p>
      <w:pPr>
        <w:pStyle w:val="65"/>
        <w:spacing w:line="360" w:lineRule="auto"/>
        <w:rPr>
          <w:rStyle w:val="21"/>
          <w:rFonts w:ascii="宋体" w:hAnsi="宋体" w:eastAsia="宋体" w:cs="Times New Roman"/>
          <w:color w:val="auto"/>
          <w:kern w:val="2"/>
          <w:sz w:val="24"/>
          <w:szCs w:val="24"/>
          <w:highlight w:val="none"/>
          <w:lang w:val="en-US" w:eastAsia="zh-CN" w:bidi="ar-SA"/>
        </w:rPr>
      </w:pPr>
      <w:r>
        <w:rPr>
          <w:rStyle w:val="21"/>
          <w:rFonts w:hint="eastAsia" w:ascii="宋体" w:hAnsi="宋体" w:eastAsia="宋体" w:cs="Times New Roman"/>
          <w:color w:val="auto"/>
          <w:kern w:val="2"/>
          <w:sz w:val="24"/>
          <w:szCs w:val="24"/>
          <w:highlight w:val="none"/>
          <w:lang w:val="en-US" w:eastAsia="zh-CN" w:bidi="ar-SA"/>
        </w:rPr>
        <w:t>9.7文明工地</w:t>
      </w:r>
    </w:p>
    <w:p>
      <w:pPr>
        <w:pStyle w:val="65"/>
        <w:spacing w:line="360" w:lineRule="auto"/>
        <w:rPr>
          <w:rStyle w:val="21"/>
          <w:rFonts w:ascii="宋体" w:hAnsi="宋体" w:eastAsia="宋体" w:cs="Times New Roman"/>
          <w:color w:val="auto"/>
          <w:kern w:val="2"/>
          <w:sz w:val="24"/>
          <w:szCs w:val="24"/>
          <w:highlight w:val="none"/>
          <w:lang w:val="en-US" w:eastAsia="zh-CN" w:bidi="ar-SA"/>
        </w:rPr>
      </w:pPr>
      <w:r>
        <w:rPr>
          <w:rStyle w:val="21"/>
          <w:rFonts w:hint="eastAsia" w:ascii="宋体" w:hAnsi="宋体" w:eastAsia="宋体" w:cs="Times New Roman"/>
          <w:color w:val="auto"/>
          <w:kern w:val="2"/>
          <w:sz w:val="24"/>
          <w:szCs w:val="24"/>
          <w:highlight w:val="none"/>
          <w:lang w:val="en-US" w:eastAsia="zh-CN" w:bidi="ar-SA"/>
        </w:rPr>
        <w:t>9.7.1本合同文明工地的约定：。</w:t>
      </w:r>
    </w:p>
    <w:p>
      <w:pPr>
        <w:pStyle w:val="66"/>
        <w:rPr>
          <w:rStyle w:val="21"/>
          <w:color w:val="auto"/>
          <w:kern w:val="2"/>
          <w:sz w:val="24"/>
          <w:szCs w:val="24"/>
          <w:highlight w:val="none"/>
          <w:lang w:val="en-US" w:eastAsia="zh-CN" w:bidi="ar-SA"/>
        </w:rPr>
      </w:pPr>
      <w:bookmarkStart w:id="305" w:name="_Toc21624"/>
      <w:r>
        <w:rPr>
          <w:rStyle w:val="21"/>
          <w:rFonts w:hint="eastAsia"/>
          <w:color w:val="auto"/>
          <w:kern w:val="2"/>
          <w:sz w:val="24"/>
          <w:szCs w:val="24"/>
          <w:highlight w:val="none"/>
          <w:lang w:val="en-US" w:eastAsia="zh-CN" w:bidi="ar-SA"/>
        </w:rPr>
        <w:t>11开工和竣工(完工)</w:t>
      </w:r>
      <w:bookmarkEnd w:id="305"/>
    </w:p>
    <w:p>
      <w:pPr>
        <w:pStyle w:val="65"/>
        <w:spacing w:line="360" w:lineRule="auto"/>
        <w:rPr>
          <w:rStyle w:val="21"/>
          <w:rFonts w:ascii="宋体" w:hAnsi="宋体" w:eastAsia="宋体" w:cs="Times New Roman"/>
          <w:color w:val="auto"/>
          <w:kern w:val="2"/>
          <w:sz w:val="24"/>
          <w:szCs w:val="24"/>
          <w:highlight w:val="none"/>
          <w:lang w:val="en-US" w:eastAsia="zh-CN" w:bidi="ar-SA"/>
        </w:rPr>
      </w:pPr>
      <w:r>
        <w:rPr>
          <w:rStyle w:val="21"/>
          <w:rFonts w:hint="eastAsia" w:ascii="宋体" w:hAnsi="宋体" w:eastAsia="宋体" w:cs="Times New Roman"/>
          <w:color w:val="auto"/>
          <w:kern w:val="2"/>
          <w:sz w:val="24"/>
          <w:szCs w:val="24"/>
          <w:highlight w:val="none"/>
          <w:lang w:val="en-US" w:eastAsia="zh-CN" w:bidi="ar-SA"/>
        </w:rPr>
        <w:t>11.4异常恶劣的气候条件</w:t>
      </w:r>
    </w:p>
    <w:p>
      <w:pPr>
        <w:pStyle w:val="65"/>
        <w:spacing w:line="360" w:lineRule="auto"/>
        <w:rPr>
          <w:rStyle w:val="21"/>
          <w:rFonts w:ascii="宋体" w:hAnsi="宋体" w:eastAsia="宋体" w:cs="Times New Roman"/>
          <w:color w:val="auto"/>
          <w:kern w:val="2"/>
          <w:sz w:val="24"/>
          <w:szCs w:val="24"/>
          <w:highlight w:val="none"/>
          <w:lang w:val="en-US" w:eastAsia="zh-CN" w:bidi="ar-SA"/>
        </w:rPr>
      </w:pPr>
      <w:r>
        <w:rPr>
          <w:rStyle w:val="21"/>
          <w:rFonts w:hint="eastAsia" w:ascii="宋体" w:hAnsi="宋体" w:eastAsia="宋体" w:cs="Times New Roman"/>
          <w:color w:val="auto"/>
          <w:kern w:val="2"/>
          <w:sz w:val="24"/>
          <w:szCs w:val="24"/>
          <w:highlight w:val="none"/>
          <w:lang w:val="en-US" w:eastAsia="zh-CN" w:bidi="ar-SA"/>
        </w:rPr>
        <w:t>11.4.3本合同工程界定异常恶劣气候条件的范围为：</w:t>
      </w:r>
    </w:p>
    <w:p>
      <w:pPr>
        <w:pStyle w:val="65"/>
        <w:spacing w:line="360" w:lineRule="auto"/>
        <w:rPr>
          <w:rStyle w:val="21"/>
          <w:rFonts w:ascii="宋体" w:hAnsi="宋体" w:eastAsia="宋体" w:cs="Times New Roman"/>
          <w:color w:val="auto"/>
          <w:kern w:val="2"/>
          <w:sz w:val="24"/>
          <w:szCs w:val="24"/>
          <w:highlight w:val="none"/>
          <w:lang w:val="en-US" w:eastAsia="zh-CN" w:bidi="ar-SA"/>
        </w:rPr>
      </w:pPr>
      <w:r>
        <w:rPr>
          <w:rStyle w:val="21"/>
          <w:rFonts w:hint="eastAsia" w:ascii="宋体" w:hAnsi="宋体" w:eastAsia="宋体" w:cs="Times New Roman"/>
          <w:color w:val="auto"/>
          <w:kern w:val="2"/>
          <w:sz w:val="24"/>
          <w:szCs w:val="24"/>
          <w:highlight w:val="none"/>
          <w:lang w:val="en-US" w:eastAsia="zh-CN" w:bidi="ar-SA"/>
        </w:rPr>
        <w:t>(1)日降雨量大于mm的雨日超过天；</w:t>
      </w:r>
    </w:p>
    <w:p>
      <w:pPr>
        <w:pStyle w:val="65"/>
        <w:spacing w:line="360" w:lineRule="auto"/>
        <w:rPr>
          <w:rStyle w:val="21"/>
          <w:rFonts w:ascii="宋体" w:hAnsi="宋体" w:eastAsia="宋体" w:cs="Times New Roman"/>
          <w:color w:val="auto"/>
          <w:kern w:val="2"/>
          <w:sz w:val="24"/>
          <w:szCs w:val="24"/>
          <w:highlight w:val="none"/>
          <w:lang w:val="en-US" w:eastAsia="zh-CN" w:bidi="ar-SA"/>
        </w:rPr>
      </w:pPr>
      <w:r>
        <w:rPr>
          <w:rStyle w:val="21"/>
          <w:rFonts w:hint="eastAsia" w:ascii="宋体" w:hAnsi="宋体" w:eastAsia="宋体" w:cs="Times New Roman"/>
          <w:color w:val="auto"/>
          <w:kern w:val="2"/>
          <w:sz w:val="24"/>
          <w:szCs w:val="24"/>
          <w:highlight w:val="none"/>
          <w:lang w:val="en-US" w:eastAsia="zh-CN" w:bidi="ar-SA"/>
        </w:rPr>
        <w:t>(2)风速大于m/s的级以上台风灾害；</w:t>
      </w:r>
    </w:p>
    <w:p>
      <w:pPr>
        <w:pStyle w:val="65"/>
        <w:spacing w:line="360" w:lineRule="auto"/>
        <w:rPr>
          <w:rStyle w:val="21"/>
          <w:rFonts w:ascii="宋体" w:hAnsi="宋体" w:eastAsia="宋体" w:cs="Times New Roman"/>
          <w:color w:val="auto"/>
          <w:kern w:val="2"/>
          <w:sz w:val="24"/>
          <w:szCs w:val="24"/>
          <w:highlight w:val="none"/>
          <w:lang w:val="en-US" w:eastAsia="zh-CN" w:bidi="ar-SA"/>
        </w:rPr>
      </w:pPr>
      <w:r>
        <w:rPr>
          <w:rStyle w:val="21"/>
          <w:rFonts w:hint="eastAsia" w:ascii="宋体" w:hAnsi="宋体" w:eastAsia="宋体" w:cs="Times New Roman"/>
          <w:color w:val="auto"/>
          <w:kern w:val="2"/>
          <w:sz w:val="24"/>
          <w:szCs w:val="24"/>
          <w:highlight w:val="none"/>
          <w:lang w:val="en-US" w:eastAsia="zh-CN" w:bidi="ar-SA"/>
        </w:rPr>
        <w:t>(3)日气温超过℃的高温大于天；</w:t>
      </w:r>
    </w:p>
    <w:p>
      <w:pPr>
        <w:pStyle w:val="65"/>
        <w:spacing w:line="360" w:lineRule="auto"/>
        <w:rPr>
          <w:rStyle w:val="21"/>
          <w:rFonts w:ascii="宋体" w:hAnsi="宋体" w:eastAsia="宋体" w:cs="Times New Roman"/>
          <w:color w:val="auto"/>
          <w:kern w:val="2"/>
          <w:sz w:val="24"/>
          <w:szCs w:val="24"/>
          <w:highlight w:val="none"/>
          <w:lang w:val="en-US" w:eastAsia="zh-CN" w:bidi="ar-SA"/>
        </w:rPr>
      </w:pPr>
      <w:r>
        <w:rPr>
          <w:rStyle w:val="21"/>
          <w:rFonts w:hint="eastAsia" w:ascii="宋体" w:hAnsi="宋体" w:eastAsia="宋体" w:cs="Times New Roman"/>
          <w:color w:val="auto"/>
          <w:kern w:val="2"/>
          <w:sz w:val="24"/>
          <w:szCs w:val="24"/>
          <w:highlight w:val="none"/>
          <w:lang w:val="en-US" w:eastAsia="zh-CN" w:bidi="ar-SA"/>
        </w:rPr>
        <w:t>(4)日气温低于℃的严寒大于天；</w:t>
      </w:r>
    </w:p>
    <w:p>
      <w:pPr>
        <w:pStyle w:val="65"/>
        <w:spacing w:line="360" w:lineRule="auto"/>
        <w:rPr>
          <w:rStyle w:val="21"/>
          <w:rFonts w:ascii="宋体" w:hAnsi="宋体" w:eastAsia="宋体" w:cs="Times New Roman"/>
          <w:color w:val="auto"/>
          <w:kern w:val="2"/>
          <w:sz w:val="24"/>
          <w:szCs w:val="24"/>
          <w:highlight w:val="none"/>
          <w:lang w:val="en-US" w:eastAsia="zh-CN" w:bidi="ar-SA"/>
        </w:rPr>
      </w:pPr>
      <w:r>
        <w:rPr>
          <w:rStyle w:val="21"/>
          <w:rFonts w:hint="eastAsia" w:ascii="宋体" w:hAnsi="宋体" w:eastAsia="宋体" w:cs="Times New Roman"/>
          <w:color w:val="auto"/>
          <w:kern w:val="2"/>
          <w:sz w:val="24"/>
          <w:szCs w:val="24"/>
          <w:highlight w:val="none"/>
          <w:lang w:val="en-US" w:eastAsia="zh-CN" w:bidi="ar-SA"/>
        </w:rPr>
        <w:t>(5)造成工程损坏的冰雹和大雪灾害：；</w:t>
      </w:r>
    </w:p>
    <w:p>
      <w:pPr>
        <w:pStyle w:val="65"/>
        <w:spacing w:line="360" w:lineRule="auto"/>
        <w:rPr>
          <w:rStyle w:val="21"/>
          <w:rFonts w:ascii="宋体" w:hAnsi="宋体" w:eastAsia="宋体" w:cs="Times New Roman"/>
          <w:color w:val="auto"/>
          <w:kern w:val="2"/>
          <w:sz w:val="24"/>
          <w:szCs w:val="24"/>
          <w:highlight w:val="none"/>
          <w:lang w:val="en-US" w:eastAsia="zh-CN" w:bidi="ar-SA"/>
        </w:rPr>
      </w:pPr>
      <w:r>
        <w:rPr>
          <w:rStyle w:val="21"/>
          <w:rFonts w:hint="eastAsia" w:ascii="宋体" w:hAnsi="宋体" w:eastAsia="宋体" w:cs="Times New Roman"/>
          <w:color w:val="auto"/>
          <w:kern w:val="2"/>
          <w:sz w:val="24"/>
          <w:szCs w:val="24"/>
          <w:highlight w:val="none"/>
          <w:lang w:val="en-US" w:eastAsia="zh-CN" w:bidi="ar-SA"/>
        </w:rPr>
        <w:t>(6)其它异常恶劣气候灾害。</w:t>
      </w:r>
    </w:p>
    <w:p>
      <w:pPr>
        <w:pStyle w:val="65"/>
        <w:spacing w:line="360" w:lineRule="auto"/>
        <w:rPr>
          <w:rStyle w:val="21"/>
          <w:rFonts w:ascii="宋体" w:hAnsi="宋体" w:eastAsia="宋体" w:cs="Times New Roman"/>
          <w:color w:val="auto"/>
          <w:kern w:val="2"/>
          <w:sz w:val="24"/>
          <w:szCs w:val="24"/>
          <w:highlight w:val="none"/>
          <w:lang w:val="en-US" w:eastAsia="zh-CN" w:bidi="ar-SA"/>
        </w:rPr>
      </w:pPr>
      <w:r>
        <w:rPr>
          <w:rStyle w:val="21"/>
          <w:rFonts w:hint="eastAsia" w:ascii="宋体" w:hAnsi="宋体" w:eastAsia="宋体" w:cs="Times New Roman"/>
          <w:color w:val="auto"/>
          <w:kern w:val="2"/>
          <w:sz w:val="24"/>
          <w:szCs w:val="24"/>
          <w:highlight w:val="none"/>
          <w:lang w:val="en-US" w:eastAsia="zh-CN" w:bidi="ar-SA"/>
        </w:rPr>
        <w:t>11.5承包人工期延误</w:t>
      </w:r>
    </w:p>
    <w:p>
      <w:pPr>
        <w:pStyle w:val="65"/>
        <w:spacing w:line="360" w:lineRule="auto"/>
        <w:rPr>
          <w:rStyle w:val="21"/>
          <w:rFonts w:ascii="宋体" w:hAnsi="宋体" w:eastAsia="宋体" w:cs="Times New Roman"/>
          <w:color w:val="auto"/>
          <w:kern w:val="2"/>
          <w:sz w:val="24"/>
          <w:szCs w:val="24"/>
          <w:highlight w:val="none"/>
          <w:lang w:val="en-US" w:eastAsia="zh-CN" w:bidi="ar-SA"/>
        </w:rPr>
      </w:pPr>
      <w:r>
        <w:rPr>
          <w:rStyle w:val="21"/>
          <w:rFonts w:hint="eastAsia" w:ascii="宋体" w:hAnsi="宋体" w:eastAsia="宋体" w:cs="Times New Roman"/>
          <w:color w:val="auto"/>
          <w:kern w:val="2"/>
          <w:sz w:val="24"/>
          <w:szCs w:val="24"/>
          <w:highlight w:val="none"/>
          <w:lang w:val="en-US" w:eastAsia="zh-CN" w:bidi="ar-SA"/>
        </w:rPr>
        <w:t>(1)逾期完工违约金表(参考格式)。</w:t>
      </w:r>
    </w:p>
    <w:tbl>
      <w:tblPr>
        <w:tblStyle w:val="19"/>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93"/>
        <w:gridCol w:w="3570"/>
        <w:gridCol w:w="2336"/>
        <w:gridCol w:w="2173"/>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993" w:type="dxa"/>
            <w:noWrap w:val="0"/>
            <w:vAlign w:val="center"/>
          </w:tcPr>
          <w:p>
            <w:pPr>
              <w:pStyle w:val="65"/>
              <w:spacing w:line="360" w:lineRule="auto"/>
              <w:jc w:val="center"/>
              <w:rPr>
                <w:rStyle w:val="21"/>
                <w:rFonts w:hint="eastAsia" w:ascii="宋体" w:hAnsi="宋体" w:eastAsia="宋体" w:cs="Times New Roman"/>
                <w:color w:val="auto"/>
                <w:kern w:val="2"/>
                <w:sz w:val="24"/>
                <w:szCs w:val="24"/>
                <w:highlight w:val="none"/>
                <w:lang w:val="en-US" w:eastAsia="zh-CN" w:bidi="ar-SA"/>
              </w:rPr>
            </w:pPr>
            <w:r>
              <w:rPr>
                <w:rStyle w:val="21"/>
                <w:rFonts w:hint="eastAsia" w:ascii="宋体" w:hAnsi="宋体" w:eastAsia="宋体" w:cs="Times New Roman"/>
                <w:color w:val="auto"/>
                <w:kern w:val="2"/>
                <w:sz w:val="24"/>
                <w:szCs w:val="24"/>
                <w:highlight w:val="none"/>
                <w:lang w:val="en-US" w:eastAsia="zh-CN" w:bidi="ar-SA"/>
              </w:rPr>
              <w:t>序号</w:t>
            </w:r>
          </w:p>
        </w:tc>
        <w:tc>
          <w:tcPr>
            <w:tcW w:w="3570" w:type="dxa"/>
            <w:noWrap w:val="0"/>
            <w:vAlign w:val="center"/>
          </w:tcPr>
          <w:p>
            <w:pPr>
              <w:pStyle w:val="65"/>
              <w:spacing w:line="360" w:lineRule="auto"/>
              <w:jc w:val="center"/>
              <w:rPr>
                <w:rStyle w:val="21"/>
                <w:rFonts w:hint="eastAsia" w:ascii="宋体" w:hAnsi="宋体" w:eastAsia="宋体" w:cs="Times New Roman"/>
                <w:color w:val="auto"/>
                <w:kern w:val="2"/>
                <w:sz w:val="24"/>
                <w:szCs w:val="24"/>
                <w:highlight w:val="none"/>
                <w:lang w:val="en-US" w:eastAsia="zh-CN" w:bidi="ar-SA"/>
              </w:rPr>
            </w:pPr>
            <w:r>
              <w:rPr>
                <w:rStyle w:val="21"/>
                <w:rFonts w:hint="eastAsia" w:ascii="宋体" w:hAnsi="宋体" w:eastAsia="宋体" w:cs="Times New Roman"/>
                <w:color w:val="auto"/>
                <w:kern w:val="2"/>
                <w:sz w:val="24"/>
                <w:szCs w:val="24"/>
                <w:highlight w:val="none"/>
                <w:lang w:val="en-US" w:eastAsia="zh-CN" w:bidi="ar-SA"/>
              </w:rPr>
              <w:t>项目及其说明</w:t>
            </w:r>
          </w:p>
        </w:tc>
        <w:tc>
          <w:tcPr>
            <w:tcW w:w="2336" w:type="dxa"/>
            <w:noWrap w:val="0"/>
            <w:vAlign w:val="center"/>
          </w:tcPr>
          <w:p>
            <w:pPr>
              <w:pStyle w:val="65"/>
              <w:spacing w:line="360" w:lineRule="auto"/>
              <w:jc w:val="center"/>
              <w:rPr>
                <w:rStyle w:val="21"/>
                <w:rFonts w:hint="eastAsia" w:ascii="宋体" w:hAnsi="宋体" w:eastAsia="宋体" w:cs="Times New Roman"/>
                <w:color w:val="auto"/>
                <w:kern w:val="2"/>
                <w:sz w:val="24"/>
                <w:szCs w:val="24"/>
                <w:highlight w:val="none"/>
                <w:lang w:val="en-US" w:eastAsia="zh-CN" w:bidi="ar-SA"/>
              </w:rPr>
            </w:pPr>
            <w:r>
              <w:rPr>
                <w:rStyle w:val="21"/>
                <w:rFonts w:hint="eastAsia" w:ascii="宋体" w:hAnsi="宋体" w:eastAsia="宋体" w:cs="Times New Roman"/>
                <w:color w:val="auto"/>
                <w:kern w:val="2"/>
                <w:sz w:val="24"/>
                <w:szCs w:val="24"/>
                <w:highlight w:val="none"/>
                <w:lang w:val="en-US" w:eastAsia="zh-CN" w:bidi="ar-SA"/>
              </w:rPr>
              <w:t>要求完工日期</w:t>
            </w:r>
          </w:p>
        </w:tc>
        <w:tc>
          <w:tcPr>
            <w:tcW w:w="2173" w:type="dxa"/>
            <w:noWrap w:val="0"/>
            <w:vAlign w:val="center"/>
          </w:tcPr>
          <w:p>
            <w:pPr>
              <w:pStyle w:val="65"/>
              <w:spacing w:line="360" w:lineRule="auto"/>
              <w:jc w:val="center"/>
              <w:rPr>
                <w:rStyle w:val="21"/>
                <w:rFonts w:ascii="宋体" w:hAnsi="宋体" w:eastAsia="宋体" w:cs="Times New Roman"/>
                <w:color w:val="auto"/>
                <w:kern w:val="2"/>
                <w:sz w:val="24"/>
                <w:szCs w:val="24"/>
                <w:highlight w:val="none"/>
                <w:lang w:val="en-US" w:eastAsia="zh-CN" w:bidi="ar-SA"/>
              </w:rPr>
            </w:pPr>
            <w:r>
              <w:rPr>
                <w:rStyle w:val="21"/>
                <w:rFonts w:hint="eastAsia" w:ascii="宋体" w:hAnsi="宋体" w:eastAsia="宋体" w:cs="Times New Roman"/>
                <w:color w:val="auto"/>
                <w:kern w:val="2"/>
                <w:sz w:val="24"/>
                <w:szCs w:val="24"/>
                <w:highlight w:val="none"/>
                <w:lang w:val="en-US" w:eastAsia="zh-CN" w:bidi="ar-SA"/>
              </w:rPr>
              <w:t>违约金(元/天)</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993" w:type="dxa"/>
            <w:noWrap w:val="0"/>
            <w:vAlign w:val="center"/>
          </w:tcPr>
          <w:p>
            <w:pPr>
              <w:pStyle w:val="65"/>
              <w:spacing w:line="360" w:lineRule="auto"/>
              <w:jc w:val="center"/>
              <w:rPr>
                <w:rStyle w:val="21"/>
                <w:rFonts w:hint="eastAsia" w:ascii="宋体" w:hAnsi="宋体" w:eastAsia="宋体" w:cs="Times New Roman"/>
                <w:color w:val="auto"/>
                <w:kern w:val="2"/>
                <w:sz w:val="24"/>
                <w:szCs w:val="24"/>
                <w:highlight w:val="none"/>
                <w:lang w:val="en-US" w:eastAsia="zh-CN" w:bidi="ar-SA"/>
              </w:rPr>
            </w:pPr>
          </w:p>
        </w:tc>
        <w:tc>
          <w:tcPr>
            <w:tcW w:w="3570" w:type="dxa"/>
            <w:noWrap w:val="0"/>
            <w:vAlign w:val="center"/>
          </w:tcPr>
          <w:p>
            <w:pPr>
              <w:pStyle w:val="65"/>
              <w:spacing w:line="360" w:lineRule="auto"/>
              <w:jc w:val="center"/>
              <w:rPr>
                <w:rStyle w:val="21"/>
                <w:rFonts w:hint="eastAsia" w:ascii="宋体" w:hAnsi="宋体" w:eastAsia="宋体" w:cs="Times New Roman"/>
                <w:color w:val="auto"/>
                <w:kern w:val="2"/>
                <w:sz w:val="24"/>
                <w:szCs w:val="24"/>
                <w:highlight w:val="none"/>
                <w:lang w:val="en-US" w:eastAsia="zh-CN" w:bidi="ar-SA"/>
              </w:rPr>
            </w:pPr>
          </w:p>
        </w:tc>
        <w:tc>
          <w:tcPr>
            <w:tcW w:w="2336" w:type="dxa"/>
            <w:noWrap w:val="0"/>
            <w:vAlign w:val="center"/>
          </w:tcPr>
          <w:p>
            <w:pPr>
              <w:pStyle w:val="65"/>
              <w:spacing w:line="360" w:lineRule="auto"/>
              <w:jc w:val="center"/>
              <w:rPr>
                <w:rStyle w:val="21"/>
                <w:rFonts w:hint="eastAsia" w:ascii="宋体" w:hAnsi="宋体" w:eastAsia="宋体" w:cs="Times New Roman"/>
                <w:color w:val="auto"/>
                <w:kern w:val="2"/>
                <w:sz w:val="24"/>
                <w:szCs w:val="24"/>
                <w:highlight w:val="none"/>
                <w:lang w:val="en-US" w:eastAsia="zh-CN" w:bidi="ar-SA"/>
              </w:rPr>
            </w:pPr>
          </w:p>
        </w:tc>
        <w:tc>
          <w:tcPr>
            <w:tcW w:w="2173" w:type="dxa"/>
            <w:noWrap w:val="0"/>
            <w:vAlign w:val="center"/>
          </w:tcPr>
          <w:p>
            <w:pPr>
              <w:pStyle w:val="65"/>
              <w:spacing w:line="360" w:lineRule="auto"/>
              <w:jc w:val="center"/>
              <w:rPr>
                <w:rStyle w:val="21"/>
                <w:rFonts w:hint="eastAsia" w:ascii="宋体" w:hAnsi="宋体" w:eastAsia="宋体" w:cs="Times New Roman"/>
                <w:color w:val="auto"/>
                <w:kern w:val="2"/>
                <w:sz w:val="24"/>
                <w:szCs w:val="24"/>
                <w:highlight w:val="none"/>
                <w:lang w:val="en-US" w:eastAsia="zh-CN" w:bidi="ar-SA"/>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993" w:type="dxa"/>
            <w:noWrap w:val="0"/>
            <w:vAlign w:val="center"/>
          </w:tcPr>
          <w:p>
            <w:pPr>
              <w:pStyle w:val="65"/>
              <w:spacing w:line="360" w:lineRule="auto"/>
              <w:jc w:val="center"/>
              <w:rPr>
                <w:rStyle w:val="21"/>
                <w:rFonts w:hint="eastAsia" w:ascii="宋体" w:hAnsi="宋体" w:eastAsia="宋体" w:cs="Times New Roman"/>
                <w:color w:val="auto"/>
                <w:kern w:val="2"/>
                <w:sz w:val="24"/>
                <w:szCs w:val="24"/>
                <w:highlight w:val="none"/>
                <w:lang w:val="en-US" w:eastAsia="zh-CN" w:bidi="ar-SA"/>
              </w:rPr>
            </w:pPr>
          </w:p>
        </w:tc>
        <w:tc>
          <w:tcPr>
            <w:tcW w:w="3570" w:type="dxa"/>
            <w:noWrap w:val="0"/>
            <w:vAlign w:val="center"/>
          </w:tcPr>
          <w:p>
            <w:pPr>
              <w:pStyle w:val="65"/>
              <w:spacing w:line="360" w:lineRule="auto"/>
              <w:jc w:val="center"/>
              <w:rPr>
                <w:rStyle w:val="21"/>
                <w:rFonts w:hint="eastAsia" w:ascii="宋体" w:hAnsi="宋体" w:eastAsia="宋体" w:cs="Times New Roman"/>
                <w:color w:val="auto"/>
                <w:kern w:val="2"/>
                <w:sz w:val="24"/>
                <w:szCs w:val="24"/>
                <w:highlight w:val="none"/>
                <w:lang w:val="en-US" w:eastAsia="zh-CN" w:bidi="ar-SA"/>
              </w:rPr>
            </w:pPr>
          </w:p>
        </w:tc>
        <w:tc>
          <w:tcPr>
            <w:tcW w:w="2336" w:type="dxa"/>
            <w:noWrap w:val="0"/>
            <w:vAlign w:val="center"/>
          </w:tcPr>
          <w:p>
            <w:pPr>
              <w:pStyle w:val="65"/>
              <w:spacing w:line="360" w:lineRule="auto"/>
              <w:jc w:val="center"/>
              <w:rPr>
                <w:rStyle w:val="21"/>
                <w:rFonts w:hint="eastAsia" w:ascii="宋体" w:hAnsi="宋体" w:eastAsia="宋体" w:cs="Times New Roman"/>
                <w:color w:val="auto"/>
                <w:kern w:val="2"/>
                <w:sz w:val="24"/>
                <w:szCs w:val="24"/>
                <w:highlight w:val="none"/>
                <w:lang w:val="en-US" w:eastAsia="zh-CN" w:bidi="ar-SA"/>
              </w:rPr>
            </w:pPr>
          </w:p>
        </w:tc>
        <w:tc>
          <w:tcPr>
            <w:tcW w:w="2173" w:type="dxa"/>
            <w:noWrap w:val="0"/>
            <w:vAlign w:val="center"/>
          </w:tcPr>
          <w:p>
            <w:pPr>
              <w:pStyle w:val="65"/>
              <w:spacing w:line="360" w:lineRule="auto"/>
              <w:jc w:val="center"/>
              <w:rPr>
                <w:rStyle w:val="21"/>
                <w:rFonts w:hint="eastAsia" w:ascii="宋体" w:hAnsi="宋体" w:eastAsia="宋体" w:cs="Times New Roman"/>
                <w:color w:val="auto"/>
                <w:kern w:val="2"/>
                <w:sz w:val="24"/>
                <w:szCs w:val="24"/>
                <w:highlight w:val="none"/>
                <w:lang w:val="en-US" w:eastAsia="zh-CN" w:bidi="ar-SA"/>
              </w:rPr>
            </w:pPr>
          </w:p>
        </w:tc>
      </w:tr>
    </w:tbl>
    <w:p>
      <w:pPr>
        <w:pStyle w:val="65"/>
        <w:spacing w:line="360" w:lineRule="auto"/>
        <w:rPr>
          <w:rStyle w:val="21"/>
          <w:rFonts w:ascii="宋体" w:hAnsi="宋体" w:eastAsia="宋体" w:cs="Times New Roman"/>
          <w:color w:val="auto"/>
          <w:kern w:val="2"/>
          <w:sz w:val="24"/>
          <w:szCs w:val="24"/>
          <w:highlight w:val="none"/>
          <w:lang w:val="en-US" w:eastAsia="zh-CN" w:bidi="ar-SA"/>
        </w:rPr>
      </w:pPr>
      <w:r>
        <w:rPr>
          <w:rStyle w:val="21"/>
          <w:rFonts w:hint="eastAsia" w:ascii="宋体" w:hAnsi="宋体" w:eastAsia="宋体" w:cs="Times New Roman"/>
          <w:color w:val="auto"/>
          <w:kern w:val="2"/>
          <w:sz w:val="24"/>
          <w:szCs w:val="24"/>
          <w:highlight w:val="none"/>
          <w:lang w:val="en-US" w:eastAsia="zh-CN" w:bidi="ar-SA"/>
        </w:rPr>
        <w:t>(2)全部逾期完工违约金的总限额为(不超过签约合同价的%)。</w:t>
      </w:r>
    </w:p>
    <w:p>
      <w:pPr>
        <w:pStyle w:val="65"/>
        <w:spacing w:line="360" w:lineRule="auto"/>
        <w:rPr>
          <w:rStyle w:val="21"/>
          <w:rFonts w:ascii="宋体" w:hAnsi="宋体" w:eastAsia="宋体" w:cs="Times New Roman"/>
          <w:color w:val="auto"/>
          <w:kern w:val="2"/>
          <w:sz w:val="24"/>
          <w:szCs w:val="24"/>
          <w:highlight w:val="none"/>
          <w:lang w:val="en-US" w:eastAsia="zh-CN" w:bidi="ar-SA"/>
        </w:rPr>
      </w:pPr>
      <w:r>
        <w:rPr>
          <w:rStyle w:val="21"/>
          <w:rFonts w:hint="eastAsia" w:ascii="宋体" w:hAnsi="宋体" w:eastAsia="宋体" w:cs="Times New Roman"/>
          <w:color w:val="auto"/>
          <w:kern w:val="2"/>
          <w:sz w:val="24"/>
          <w:szCs w:val="24"/>
          <w:highlight w:val="none"/>
          <w:lang w:val="en-US" w:eastAsia="zh-CN" w:bidi="ar-SA"/>
        </w:rPr>
        <w:t>11.6工期提前</w:t>
      </w:r>
    </w:p>
    <w:p>
      <w:pPr>
        <w:pStyle w:val="65"/>
        <w:spacing w:line="360" w:lineRule="auto"/>
        <w:rPr>
          <w:rStyle w:val="21"/>
          <w:rFonts w:ascii="宋体" w:hAnsi="宋体" w:eastAsia="宋体" w:cs="Times New Roman"/>
          <w:color w:val="auto"/>
          <w:kern w:val="2"/>
          <w:sz w:val="24"/>
          <w:szCs w:val="24"/>
          <w:highlight w:val="none"/>
          <w:lang w:val="en-US" w:eastAsia="zh-CN" w:bidi="ar-SA"/>
        </w:rPr>
      </w:pPr>
      <w:r>
        <w:rPr>
          <w:rStyle w:val="21"/>
          <w:rFonts w:hint="eastAsia" w:ascii="宋体" w:hAnsi="宋体" w:eastAsia="宋体" w:cs="Times New Roman"/>
          <w:color w:val="auto"/>
          <w:kern w:val="2"/>
          <w:sz w:val="24"/>
          <w:szCs w:val="24"/>
          <w:highlight w:val="none"/>
          <w:lang w:val="en-US" w:eastAsia="zh-CN" w:bidi="ar-SA"/>
        </w:rPr>
        <w:t>工期提前的奖金约定：。</w:t>
      </w:r>
    </w:p>
    <w:p>
      <w:pPr>
        <w:pStyle w:val="66"/>
        <w:rPr>
          <w:rStyle w:val="21"/>
          <w:color w:val="auto"/>
          <w:kern w:val="2"/>
          <w:sz w:val="24"/>
          <w:szCs w:val="24"/>
          <w:highlight w:val="none"/>
          <w:lang w:val="en-US" w:eastAsia="zh-CN" w:bidi="ar-SA"/>
        </w:rPr>
      </w:pPr>
      <w:bookmarkStart w:id="306" w:name="_Toc17996"/>
      <w:r>
        <w:rPr>
          <w:rStyle w:val="21"/>
          <w:rFonts w:hint="eastAsia"/>
          <w:color w:val="auto"/>
          <w:kern w:val="2"/>
          <w:sz w:val="24"/>
          <w:szCs w:val="24"/>
          <w:highlight w:val="none"/>
          <w:lang w:val="en-US" w:eastAsia="zh-CN" w:bidi="ar-SA"/>
        </w:rPr>
        <w:t>12暂停施工</w:t>
      </w:r>
      <w:bookmarkEnd w:id="306"/>
    </w:p>
    <w:p>
      <w:pPr>
        <w:pStyle w:val="65"/>
        <w:spacing w:line="360" w:lineRule="auto"/>
        <w:rPr>
          <w:rStyle w:val="21"/>
          <w:rFonts w:ascii="宋体" w:hAnsi="宋体" w:eastAsia="宋体" w:cs="Times New Roman"/>
          <w:color w:val="auto"/>
          <w:kern w:val="2"/>
          <w:sz w:val="24"/>
          <w:szCs w:val="24"/>
          <w:highlight w:val="none"/>
          <w:lang w:val="en-US" w:eastAsia="zh-CN" w:bidi="ar-SA"/>
        </w:rPr>
      </w:pPr>
      <w:r>
        <w:rPr>
          <w:rStyle w:val="21"/>
          <w:rFonts w:hint="eastAsia" w:ascii="宋体" w:hAnsi="宋体" w:eastAsia="宋体" w:cs="Times New Roman"/>
          <w:color w:val="auto"/>
          <w:kern w:val="2"/>
          <w:sz w:val="24"/>
          <w:szCs w:val="24"/>
          <w:highlight w:val="none"/>
          <w:lang w:val="en-US" w:eastAsia="zh-CN" w:bidi="ar-SA"/>
        </w:rPr>
        <w:t>12.1承包人暂停施工的责任</w:t>
      </w:r>
    </w:p>
    <w:p>
      <w:pPr>
        <w:pStyle w:val="65"/>
        <w:spacing w:line="360" w:lineRule="auto"/>
        <w:rPr>
          <w:rStyle w:val="21"/>
          <w:rFonts w:ascii="宋体" w:hAnsi="宋体" w:eastAsia="宋体" w:cs="Times New Roman"/>
          <w:color w:val="auto"/>
          <w:kern w:val="2"/>
          <w:sz w:val="24"/>
          <w:szCs w:val="24"/>
          <w:highlight w:val="none"/>
          <w:lang w:val="en-US" w:eastAsia="zh-CN" w:bidi="ar-SA"/>
        </w:rPr>
      </w:pPr>
      <w:r>
        <w:rPr>
          <w:rStyle w:val="21"/>
          <w:rFonts w:hint="eastAsia" w:ascii="宋体" w:hAnsi="宋体" w:eastAsia="宋体" w:cs="Times New Roman"/>
          <w:color w:val="auto"/>
          <w:kern w:val="2"/>
          <w:sz w:val="24"/>
          <w:szCs w:val="24"/>
          <w:highlight w:val="none"/>
          <w:lang w:val="en-US" w:eastAsia="zh-CN" w:bidi="ar-SA"/>
        </w:rPr>
        <w:t>(5)承包人承担暂停施工责任的其它情形：。</w:t>
      </w:r>
    </w:p>
    <w:p>
      <w:pPr>
        <w:pStyle w:val="65"/>
        <w:spacing w:line="360" w:lineRule="auto"/>
        <w:rPr>
          <w:rStyle w:val="21"/>
          <w:rFonts w:ascii="宋体" w:hAnsi="宋体" w:eastAsia="宋体" w:cs="Times New Roman"/>
          <w:color w:val="auto"/>
          <w:kern w:val="2"/>
          <w:sz w:val="24"/>
          <w:szCs w:val="24"/>
          <w:highlight w:val="none"/>
          <w:lang w:val="en-US" w:eastAsia="zh-CN" w:bidi="ar-SA"/>
        </w:rPr>
      </w:pPr>
      <w:r>
        <w:rPr>
          <w:rStyle w:val="21"/>
          <w:rFonts w:hint="eastAsia" w:ascii="宋体" w:hAnsi="宋体" w:eastAsia="宋体" w:cs="Times New Roman"/>
          <w:color w:val="auto"/>
          <w:kern w:val="2"/>
          <w:sz w:val="24"/>
          <w:szCs w:val="24"/>
          <w:highlight w:val="none"/>
          <w:lang w:val="en-US" w:eastAsia="zh-CN" w:bidi="ar-SA"/>
        </w:rPr>
        <w:t>12.2发包人暂停施工的责任</w:t>
      </w:r>
    </w:p>
    <w:p>
      <w:pPr>
        <w:pStyle w:val="65"/>
        <w:spacing w:line="360" w:lineRule="auto"/>
        <w:rPr>
          <w:rStyle w:val="21"/>
          <w:rFonts w:ascii="宋体" w:hAnsi="宋体" w:eastAsia="宋体" w:cs="Times New Roman"/>
          <w:color w:val="auto"/>
          <w:kern w:val="2"/>
          <w:sz w:val="24"/>
          <w:szCs w:val="24"/>
          <w:highlight w:val="none"/>
          <w:lang w:val="en-US" w:eastAsia="zh-CN" w:bidi="ar-SA"/>
        </w:rPr>
      </w:pPr>
      <w:r>
        <w:rPr>
          <w:rStyle w:val="21"/>
          <w:rFonts w:hint="eastAsia" w:ascii="宋体" w:hAnsi="宋体" w:eastAsia="宋体" w:cs="Times New Roman"/>
          <w:color w:val="auto"/>
          <w:kern w:val="2"/>
          <w:sz w:val="24"/>
          <w:szCs w:val="24"/>
          <w:highlight w:val="none"/>
          <w:lang w:val="en-US" w:eastAsia="zh-CN" w:bidi="ar-SA"/>
        </w:rPr>
        <w:t>(3)发包人承担暂停施工责任的其它情形：。</w:t>
      </w:r>
    </w:p>
    <w:p>
      <w:pPr>
        <w:pStyle w:val="66"/>
        <w:rPr>
          <w:rStyle w:val="21"/>
          <w:color w:val="auto"/>
          <w:kern w:val="2"/>
          <w:sz w:val="24"/>
          <w:szCs w:val="24"/>
          <w:highlight w:val="none"/>
          <w:lang w:val="en-US" w:eastAsia="zh-CN" w:bidi="ar-SA"/>
        </w:rPr>
      </w:pPr>
      <w:bookmarkStart w:id="307" w:name="_Toc14618"/>
      <w:r>
        <w:rPr>
          <w:rStyle w:val="21"/>
          <w:rFonts w:hint="eastAsia"/>
          <w:color w:val="auto"/>
          <w:kern w:val="2"/>
          <w:sz w:val="24"/>
          <w:szCs w:val="24"/>
          <w:highlight w:val="none"/>
          <w:lang w:val="en-US" w:eastAsia="zh-CN" w:bidi="ar-SA"/>
        </w:rPr>
        <w:t>13工程质量</w:t>
      </w:r>
      <w:bookmarkEnd w:id="307"/>
    </w:p>
    <w:p>
      <w:pPr>
        <w:pStyle w:val="65"/>
        <w:spacing w:line="360" w:lineRule="auto"/>
        <w:rPr>
          <w:rStyle w:val="21"/>
          <w:rFonts w:ascii="宋体" w:hAnsi="宋体" w:eastAsia="宋体" w:cs="Times New Roman"/>
          <w:color w:val="auto"/>
          <w:kern w:val="2"/>
          <w:sz w:val="24"/>
          <w:szCs w:val="24"/>
          <w:highlight w:val="none"/>
          <w:lang w:val="en-US" w:eastAsia="zh-CN" w:bidi="ar-SA"/>
        </w:rPr>
      </w:pPr>
      <w:r>
        <w:rPr>
          <w:rStyle w:val="21"/>
          <w:rFonts w:hint="eastAsia" w:ascii="宋体" w:hAnsi="宋体" w:eastAsia="宋体" w:cs="Times New Roman"/>
          <w:color w:val="auto"/>
          <w:kern w:val="2"/>
          <w:sz w:val="24"/>
          <w:szCs w:val="24"/>
          <w:highlight w:val="none"/>
          <w:lang w:val="en-US" w:eastAsia="zh-CN" w:bidi="ar-SA"/>
        </w:rPr>
        <w:t>13.7质量评定</w:t>
      </w:r>
    </w:p>
    <w:p>
      <w:pPr>
        <w:pStyle w:val="65"/>
        <w:spacing w:line="360" w:lineRule="auto"/>
        <w:rPr>
          <w:rStyle w:val="21"/>
          <w:rFonts w:ascii="宋体" w:hAnsi="宋体" w:eastAsia="宋体" w:cs="Times New Roman"/>
          <w:color w:val="auto"/>
          <w:kern w:val="2"/>
          <w:sz w:val="24"/>
          <w:szCs w:val="24"/>
          <w:highlight w:val="none"/>
          <w:lang w:val="en-US" w:eastAsia="zh-CN" w:bidi="ar-SA"/>
        </w:rPr>
      </w:pPr>
      <w:r>
        <w:rPr>
          <w:rStyle w:val="21"/>
          <w:rFonts w:hint="eastAsia" w:ascii="宋体" w:hAnsi="宋体" w:eastAsia="宋体" w:cs="Times New Roman"/>
          <w:color w:val="auto"/>
          <w:kern w:val="2"/>
          <w:sz w:val="24"/>
          <w:szCs w:val="24"/>
          <w:highlight w:val="none"/>
          <w:lang w:val="en-US" w:eastAsia="zh-CN" w:bidi="ar-SA"/>
        </w:rPr>
        <w:t>13.7.4重要隐蔽单元工程和关键部位单元工程质量评定的约定：。</w:t>
      </w:r>
    </w:p>
    <w:p>
      <w:pPr>
        <w:pStyle w:val="65"/>
        <w:spacing w:line="360" w:lineRule="auto"/>
        <w:rPr>
          <w:rStyle w:val="21"/>
          <w:rFonts w:ascii="宋体" w:hAnsi="宋体" w:eastAsia="宋体" w:cs="Times New Roman"/>
          <w:color w:val="auto"/>
          <w:kern w:val="2"/>
          <w:sz w:val="24"/>
          <w:szCs w:val="24"/>
          <w:highlight w:val="none"/>
          <w:lang w:val="en-US" w:eastAsia="zh-CN" w:bidi="ar-SA"/>
        </w:rPr>
      </w:pPr>
      <w:r>
        <w:rPr>
          <w:rStyle w:val="21"/>
          <w:rFonts w:hint="eastAsia" w:ascii="宋体" w:hAnsi="宋体" w:eastAsia="宋体" w:cs="Times New Roman"/>
          <w:color w:val="auto"/>
          <w:kern w:val="2"/>
          <w:sz w:val="24"/>
          <w:szCs w:val="24"/>
          <w:highlight w:val="none"/>
          <w:lang w:val="en-US" w:eastAsia="zh-CN" w:bidi="ar-SA"/>
        </w:rPr>
        <w:t>13.7.7工程合格标准为：；优良标准为：。达到优良的奖金为：。</w:t>
      </w:r>
    </w:p>
    <w:p>
      <w:pPr>
        <w:pStyle w:val="65"/>
        <w:spacing w:line="360" w:lineRule="auto"/>
        <w:rPr>
          <w:rStyle w:val="21"/>
          <w:rFonts w:ascii="宋体" w:hAnsi="宋体" w:eastAsia="宋体" w:cs="Times New Roman"/>
          <w:color w:val="auto"/>
          <w:kern w:val="2"/>
          <w:sz w:val="24"/>
          <w:szCs w:val="24"/>
          <w:highlight w:val="none"/>
          <w:lang w:val="en-US" w:eastAsia="zh-CN" w:bidi="ar-SA"/>
        </w:rPr>
      </w:pPr>
      <w:r>
        <w:rPr>
          <w:rStyle w:val="21"/>
          <w:rFonts w:hint="eastAsia" w:ascii="宋体" w:hAnsi="宋体" w:eastAsia="宋体" w:cs="Times New Roman"/>
          <w:color w:val="auto"/>
          <w:kern w:val="2"/>
          <w:sz w:val="24"/>
          <w:szCs w:val="24"/>
          <w:highlight w:val="none"/>
          <w:lang w:val="en-US" w:eastAsia="zh-CN" w:bidi="ar-SA"/>
        </w:rPr>
        <w:t>13.8质量事故处理</w:t>
      </w:r>
    </w:p>
    <w:p>
      <w:pPr>
        <w:pStyle w:val="65"/>
        <w:spacing w:line="360" w:lineRule="auto"/>
        <w:rPr>
          <w:rStyle w:val="21"/>
          <w:rFonts w:ascii="宋体" w:hAnsi="宋体" w:eastAsia="宋体" w:cs="Times New Roman"/>
          <w:color w:val="auto"/>
          <w:kern w:val="2"/>
          <w:sz w:val="24"/>
          <w:szCs w:val="24"/>
          <w:highlight w:val="none"/>
          <w:lang w:val="en-US" w:eastAsia="zh-CN" w:bidi="ar-SA"/>
        </w:rPr>
      </w:pPr>
      <w:r>
        <w:rPr>
          <w:rStyle w:val="21"/>
          <w:rFonts w:hint="eastAsia" w:ascii="宋体" w:hAnsi="宋体" w:eastAsia="宋体" w:cs="Times New Roman"/>
          <w:color w:val="auto"/>
          <w:kern w:val="2"/>
          <w:sz w:val="24"/>
          <w:szCs w:val="24"/>
          <w:highlight w:val="none"/>
          <w:lang w:val="en-US" w:eastAsia="zh-CN" w:bidi="ar-SA"/>
        </w:rPr>
        <w:t>13.8.4工程竣工验收时，向竣工验收委员会汇报并提交历次质量缺陷处理的备案资料。</w:t>
      </w:r>
    </w:p>
    <w:p>
      <w:pPr>
        <w:pStyle w:val="66"/>
        <w:rPr>
          <w:rStyle w:val="21"/>
          <w:color w:val="auto"/>
          <w:kern w:val="2"/>
          <w:sz w:val="24"/>
          <w:szCs w:val="24"/>
          <w:highlight w:val="none"/>
          <w:lang w:val="en-US" w:eastAsia="zh-CN" w:bidi="ar-SA"/>
        </w:rPr>
      </w:pPr>
      <w:bookmarkStart w:id="308" w:name="_Toc20929"/>
      <w:r>
        <w:rPr>
          <w:rStyle w:val="21"/>
          <w:rFonts w:hint="eastAsia"/>
          <w:color w:val="auto"/>
          <w:kern w:val="2"/>
          <w:sz w:val="24"/>
          <w:szCs w:val="24"/>
          <w:highlight w:val="none"/>
          <w:lang w:val="en-US" w:eastAsia="zh-CN" w:bidi="ar-SA"/>
        </w:rPr>
        <w:t>14试验和检验</w:t>
      </w:r>
      <w:bookmarkEnd w:id="308"/>
    </w:p>
    <w:p>
      <w:pPr>
        <w:pStyle w:val="65"/>
        <w:spacing w:line="360" w:lineRule="auto"/>
        <w:rPr>
          <w:rStyle w:val="21"/>
          <w:rFonts w:ascii="宋体" w:hAnsi="宋体" w:eastAsia="宋体" w:cs="Times New Roman"/>
          <w:color w:val="auto"/>
          <w:kern w:val="2"/>
          <w:sz w:val="24"/>
          <w:szCs w:val="24"/>
          <w:highlight w:val="none"/>
          <w:lang w:val="en-US" w:eastAsia="zh-CN" w:bidi="ar-SA"/>
        </w:rPr>
      </w:pPr>
      <w:r>
        <w:rPr>
          <w:rStyle w:val="21"/>
          <w:rFonts w:hint="eastAsia" w:ascii="宋体" w:hAnsi="宋体" w:eastAsia="宋体" w:cs="Times New Roman"/>
          <w:color w:val="auto"/>
          <w:kern w:val="2"/>
          <w:sz w:val="24"/>
          <w:szCs w:val="24"/>
          <w:highlight w:val="none"/>
          <w:lang w:val="en-US" w:eastAsia="zh-CN" w:bidi="ar-SA"/>
        </w:rPr>
        <w:t>14.1材料、工程设备和工程的试验和检验</w:t>
      </w:r>
    </w:p>
    <w:p>
      <w:pPr>
        <w:pStyle w:val="65"/>
        <w:spacing w:line="360" w:lineRule="auto"/>
        <w:rPr>
          <w:rStyle w:val="21"/>
          <w:rFonts w:ascii="宋体" w:hAnsi="宋体" w:eastAsia="宋体" w:cs="Times New Roman"/>
          <w:color w:val="auto"/>
          <w:kern w:val="2"/>
          <w:sz w:val="24"/>
          <w:szCs w:val="24"/>
          <w:highlight w:val="none"/>
          <w:lang w:val="en-US" w:eastAsia="zh-CN" w:bidi="ar-SA"/>
        </w:rPr>
      </w:pPr>
      <w:r>
        <w:rPr>
          <w:rStyle w:val="21"/>
          <w:rFonts w:hint="eastAsia" w:ascii="宋体" w:hAnsi="宋体" w:eastAsia="宋体" w:cs="Times New Roman"/>
          <w:color w:val="auto"/>
          <w:kern w:val="2"/>
          <w:sz w:val="24"/>
          <w:szCs w:val="24"/>
          <w:highlight w:val="none"/>
          <w:lang w:val="en-US" w:eastAsia="zh-CN" w:bidi="ar-SA"/>
        </w:rPr>
        <w:t>14.1.5水工金属结构、启闭机及机电产品进场后的交货检查和验收中，承包人负责。</w:t>
      </w:r>
    </w:p>
    <w:p>
      <w:pPr>
        <w:pStyle w:val="65"/>
        <w:spacing w:line="360" w:lineRule="auto"/>
        <w:rPr>
          <w:rStyle w:val="21"/>
          <w:rFonts w:ascii="宋体" w:hAnsi="宋体" w:eastAsia="宋体" w:cs="Times New Roman"/>
          <w:color w:val="auto"/>
          <w:kern w:val="2"/>
          <w:sz w:val="24"/>
          <w:szCs w:val="24"/>
          <w:highlight w:val="none"/>
          <w:lang w:val="en-US" w:eastAsia="zh-CN" w:bidi="ar-SA"/>
        </w:rPr>
      </w:pPr>
      <w:r>
        <w:rPr>
          <w:rStyle w:val="21"/>
          <w:rFonts w:hint="eastAsia" w:ascii="宋体" w:hAnsi="宋体" w:eastAsia="宋体" w:cs="Times New Roman"/>
          <w:color w:val="auto"/>
          <w:kern w:val="2"/>
          <w:sz w:val="24"/>
          <w:szCs w:val="24"/>
          <w:highlight w:val="none"/>
          <w:lang w:val="en-US" w:eastAsia="zh-CN" w:bidi="ar-SA"/>
        </w:rPr>
        <w:t>14.1.6本工程实行见证取样的试块、试件及有关材料：。</w:t>
      </w:r>
    </w:p>
    <w:p>
      <w:pPr>
        <w:pStyle w:val="66"/>
        <w:rPr>
          <w:rStyle w:val="21"/>
          <w:color w:val="auto"/>
          <w:kern w:val="2"/>
          <w:sz w:val="24"/>
          <w:szCs w:val="24"/>
          <w:highlight w:val="none"/>
          <w:lang w:val="en-US" w:eastAsia="zh-CN" w:bidi="ar-SA"/>
        </w:rPr>
      </w:pPr>
      <w:bookmarkStart w:id="309" w:name="_Toc5828"/>
      <w:r>
        <w:rPr>
          <w:rStyle w:val="21"/>
          <w:rFonts w:hint="eastAsia"/>
          <w:color w:val="auto"/>
          <w:kern w:val="2"/>
          <w:sz w:val="24"/>
          <w:szCs w:val="24"/>
          <w:highlight w:val="none"/>
          <w:lang w:val="en-US" w:eastAsia="zh-CN" w:bidi="ar-SA"/>
        </w:rPr>
        <w:t>15变更</w:t>
      </w:r>
      <w:bookmarkEnd w:id="309"/>
    </w:p>
    <w:p>
      <w:pPr>
        <w:pStyle w:val="65"/>
        <w:spacing w:line="360" w:lineRule="auto"/>
        <w:rPr>
          <w:rStyle w:val="21"/>
          <w:rFonts w:ascii="宋体" w:hAnsi="宋体" w:eastAsia="宋体" w:cs="Times New Roman"/>
          <w:color w:val="auto"/>
          <w:kern w:val="2"/>
          <w:sz w:val="24"/>
          <w:szCs w:val="24"/>
          <w:highlight w:val="none"/>
          <w:lang w:val="en-US" w:eastAsia="zh-CN" w:bidi="ar-SA"/>
        </w:rPr>
      </w:pPr>
      <w:r>
        <w:rPr>
          <w:rStyle w:val="21"/>
          <w:rFonts w:hint="eastAsia" w:ascii="宋体" w:hAnsi="宋体" w:eastAsia="宋体" w:cs="Times New Roman"/>
          <w:color w:val="auto"/>
          <w:kern w:val="2"/>
          <w:sz w:val="24"/>
          <w:szCs w:val="24"/>
          <w:highlight w:val="none"/>
          <w:lang w:val="en-US" w:eastAsia="zh-CN" w:bidi="ar-SA"/>
        </w:rPr>
        <w:t>15.1变更的范围和内容</w:t>
      </w:r>
    </w:p>
    <w:p>
      <w:pPr>
        <w:pStyle w:val="65"/>
        <w:spacing w:line="360" w:lineRule="auto"/>
        <w:rPr>
          <w:rStyle w:val="21"/>
          <w:rFonts w:ascii="宋体" w:hAnsi="宋体" w:eastAsia="宋体" w:cs="Times New Roman"/>
          <w:color w:val="auto"/>
          <w:kern w:val="2"/>
          <w:sz w:val="24"/>
          <w:szCs w:val="24"/>
          <w:highlight w:val="none"/>
          <w:lang w:val="en-US" w:eastAsia="zh-CN" w:bidi="ar-SA"/>
        </w:rPr>
      </w:pPr>
      <w:r>
        <w:rPr>
          <w:rStyle w:val="21"/>
          <w:rFonts w:hint="eastAsia" w:ascii="宋体" w:hAnsi="宋体" w:eastAsia="宋体" w:cs="Times New Roman"/>
          <w:color w:val="auto"/>
          <w:kern w:val="2"/>
          <w:sz w:val="24"/>
          <w:szCs w:val="24"/>
          <w:highlight w:val="none"/>
          <w:lang w:val="en-US" w:eastAsia="zh-CN" w:bidi="ar-SA"/>
        </w:rPr>
        <w:t>(6)增加或减少合同中关键项目的工程量超过其工程总量的%，关键项目：，单价调整方式：。</w:t>
      </w:r>
    </w:p>
    <w:p>
      <w:pPr>
        <w:pStyle w:val="65"/>
        <w:spacing w:line="360" w:lineRule="auto"/>
        <w:rPr>
          <w:rStyle w:val="21"/>
          <w:rFonts w:ascii="宋体" w:hAnsi="宋体" w:eastAsia="宋体" w:cs="Times New Roman"/>
          <w:color w:val="auto"/>
          <w:kern w:val="2"/>
          <w:sz w:val="24"/>
          <w:szCs w:val="24"/>
          <w:highlight w:val="none"/>
          <w:lang w:val="en-US" w:eastAsia="zh-CN" w:bidi="ar-SA"/>
        </w:rPr>
      </w:pPr>
      <w:r>
        <w:rPr>
          <w:rStyle w:val="21"/>
          <w:rFonts w:hint="eastAsia" w:ascii="宋体" w:hAnsi="宋体" w:eastAsia="宋体" w:cs="Times New Roman"/>
          <w:color w:val="auto"/>
          <w:kern w:val="2"/>
          <w:sz w:val="24"/>
          <w:szCs w:val="24"/>
          <w:highlight w:val="none"/>
          <w:lang w:val="en-US" w:eastAsia="zh-CN" w:bidi="ar-SA"/>
        </w:rPr>
        <w:t>15.5承包人的合理化建议</w:t>
      </w:r>
    </w:p>
    <w:p>
      <w:pPr>
        <w:pStyle w:val="65"/>
        <w:spacing w:line="360" w:lineRule="auto"/>
        <w:rPr>
          <w:rStyle w:val="21"/>
          <w:rFonts w:ascii="宋体" w:hAnsi="宋体" w:eastAsia="宋体" w:cs="Times New Roman"/>
          <w:color w:val="auto"/>
          <w:kern w:val="2"/>
          <w:sz w:val="24"/>
          <w:szCs w:val="24"/>
          <w:highlight w:val="none"/>
          <w:lang w:val="en-US" w:eastAsia="zh-CN" w:bidi="ar-SA"/>
        </w:rPr>
      </w:pPr>
      <w:r>
        <w:rPr>
          <w:rStyle w:val="21"/>
          <w:rFonts w:hint="eastAsia" w:ascii="宋体" w:hAnsi="宋体" w:eastAsia="宋体" w:cs="Times New Roman"/>
          <w:color w:val="auto"/>
          <w:kern w:val="2"/>
          <w:sz w:val="24"/>
          <w:szCs w:val="24"/>
          <w:highlight w:val="none"/>
          <w:lang w:val="en-US" w:eastAsia="zh-CN" w:bidi="ar-SA"/>
        </w:rPr>
        <w:t>15.5.2承包人实现合理化建议的奖励金额为：。</w:t>
      </w:r>
    </w:p>
    <w:p>
      <w:pPr>
        <w:pStyle w:val="65"/>
        <w:spacing w:line="360" w:lineRule="auto"/>
        <w:rPr>
          <w:rStyle w:val="21"/>
          <w:rFonts w:ascii="宋体" w:hAnsi="宋体" w:eastAsia="宋体" w:cs="Times New Roman"/>
          <w:color w:val="auto"/>
          <w:kern w:val="2"/>
          <w:sz w:val="24"/>
          <w:szCs w:val="24"/>
          <w:highlight w:val="none"/>
          <w:lang w:val="en-US" w:eastAsia="zh-CN" w:bidi="ar-SA"/>
        </w:rPr>
      </w:pPr>
      <w:r>
        <w:rPr>
          <w:rStyle w:val="21"/>
          <w:rFonts w:hint="eastAsia" w:ascii="宋体" w:hAnsi="宋体" w:eastAsia="宋体" w:cs="Times New Roman"/>
          <w:color w:val="auto"/>
          <w:kern w:val="2"/>
          <w:sz w:val="24"/>
          <w:szCs w:val="24"/>
          <w:highlight w:val="none"/>
          <w:lang w:val="en-US" w:eastAsia="zh-CN" w:bidi="ar-SA"/>
        </w:rPr>
        <w:t>15.8暂估价</w:t>
      </w:r>
    </w:p>
    <w:p>
      <w:pPr>
        <w:pStyle w:val="65"/>
        <w:spacing w:line="360" w:lineRule="auto"/>
        <w:rPr>
          <w:rStyle w:val="21"/>
          <w:rFonts w:ascii="宋体" w:hAnsi="宋体" w:eastAsia="宋体" w:cs="Times New Roman"/>
          <w:color w:val="auto"/>
          <w:kern w:val="2"/>
          <w:sz w:val="24"/>
          <w:szCs w:val="24"/>
          <w:highlight w:val="none"/>
          <w:lang w:val="en-US" w:eastAsia="zh-CN" w:bidi="ar-SA"/>
        </w:rPr>
      </w:pPr>
      <w:r>
        <w:rPr>
          <w:rStyle w:val="21"/>
          <w:rFonts w:hint="eastAsia" w:ascii="宋体" w:hAnsi="宋体" w:eastAsia="宋体" w:cs="Times New Roman"/>
          <w:color w:val="auto"/>
          <w:kern w:val="2"/>
          <w:sz w:val="24"/>
          <w:szCs w:val="24"/>
          <w:highlight w:val="none"/>
          <w:lang w:val="en-US" w:eastAsia="zh-CN" w:bidi="ar-SA"/>
        </w:rPr>
        <w:t>15.8.1(1)发包人和承包人组织招标的暂估价项目：(签约后填入)；发包人组织招标的暂估价项目：(签约后填入)。</w:t>
      </w:r>
    </w:p>
    <w:p>
      <w:pPr>
        <w:pStyle w:val="65"/>
        <w:spacing w:line="360" w:lineRule="auto"/>
        <w:rPr>
          <w:rStyle w:val="21"/>
          <w:rFonts w:ascii="宋体" w:hAnsi="宋体" w:eastAsia="宋体" w:cs="Times New Roman"/>
          <w:color w:val="auto"/>
          <w:kern w:val="2"/>
          <w:sz w:val="24"/>
          <w:szCs w:val="24"/>
          <w:highlight w:val="none"/>
          <w:lang w:val="en-US" w:eastAsia="zh-CN" w:bidi="ar-SA"/>
        </w:rPr>
      </w:pPr>
      <w:r>
        <w:rPr>
          <w:rStyle w:val="21"/>
          <w:rFonts w:hint="eastAsia" w:ascii="宋体" w:hAnsi="宋体" w:eastAsia="宋体" w:cs="Times New Roman"/>
          <w:color w:val="auto"/>
          <w:kern w:val="2"/>
          <w:sz w:val="24"/>
          <w:szCs w:val="24"/>
          <w:highlight w:val="none"/>
          <w:lang w:val="en-US" w:eastAsia="zh-CN" w:bidi="ar-SA"/>
        </w:rPr>
        <w:t>(2)发包人和承包人以招标方式选择暂估价项目供应商或分包人时，双方的权利义务关系：。</w:t>
      </w:r>
    </w:p>
    <w:p>
      <w:pPr>
        <w:pStyle w:val="66"/>
        <w:rPr>
          <w:rStyle w:val="21"/>
          <w:color w:val="auto"/>
          <w:kern w:val="2"/>
          <w:sz w:val="24"/>
          <w:szCs w:val="24"/>
          <w:highlight w:val="none"/>
          <w:lang w:val="en-US" w:eastAsia="zh-CN" w:bidi="ar-SA"/>
        </w:rPr>
      </w:pPr>
      <w:bookmarkStart w:id="310" w:name="_Toc13380"/>
      <w:r>
        <w:rPr>
          <w:rStyle w:val="21"/>
          <w:rFonts w:hint="eastAsia"/>
          <w:color w:val="auto"/>
          <w:kern w:val="2"/>
          <w:sz w:val="24"/>
          <w:szCs w:val="24"/>
          <w:highlight w:val="none"/>
          <w:lang w:val="en-US" w:eastAsia="zh-CN" w:bidi="ar-SA"/>
        </w:rPr>
        <w:t>16价格调整</w:t>
      </w:r>
      <w:bookmarkEnd w:id="310"/>
    </w:p>
    <w:p>
      <w:pPr>
        <w:pStyle w:val="65"/>
        <w:spacing w:line="360" w:lineRule="auto"/>
        <w:rPr>
          <w:rStyle w:val="21"/>
          <w:rFonts w:ascii="宋体" w:hAnsi="宋体" w:eastAsia="宋体" w:cs="Times New Roman"/>
          <w:color w:val="auto"/>
          <w:kern w:val="2"/>
          <w:sz w:val="24"/>
          <w:szCs w:val="24"/>
          <w:highlight w:val="none"/>
          <w:lang w:val="en-US" w:eastAsia="zh-CN" w:bidi="ar-SA"/>
        </w:rPr>
      </w:pPr>
      <w:r>
        <w:rPr>
          <w:rStyle w:val="21"/>
          <w:rFonts w:hint="eastAsia" w:ascii="宋体" w:hAnsi="宋体" w:eastAsia="宋体" w:cs="Times New Roman"/>
          <w:color w:val="auto"/>
          <w:kern w:val="2"/>
          <w:sz w:val="24"/>
          <w:szCs w:val="24"/>
          <w:highlight w:val="none"/>
          <w:lang w:val="en-US" w:eastAsia="zh-CN" w:bidi="ar-SA"/>
        </w:rPr>
        <w:t>16.1物价波动引起的价格调整</w:t>
      </w:r>
    </w:p>
    <w:p>
      <w:pPr>
        <w:pStyle w:val="65"/>
        <w:spacing w:line="360" w:lineRule="auto"/>
        <w:rPr>
          <w:rStyle w:val="21"/>
          <w:rFonts w:ascii="宋体" w:hAnsi="宋体" w:eastAsia="宋体" w:cs="Times New Roman"/>
          <w:color w:val="auto"/>
          <w:kern w:val="2"/>
          <w:sz w:val="24"/>
          <w:szCs w:val="24"/>
          <w:highlight w:val="none"/>
          <w:lang w:val="en-US" w:eastAsia="zh-CN" w:bidi="ar-SA"/>
        </w:rPr>
      </w:pPr>
      <w:r>
        <w:rPr>
          <w:rStyle w:val="21"/>
          <w:rFonts w:hint="eastAsia" w:ascii="宋体" w:hAnsi="宋体" w:eastAsia="宋体" w:cs="Times New Roman"/>
          <w:color w:val="auto"/>
          <w:kern w:val="2"/>
          <w:sz w:val="24"/>
          <w:szCs w:val="24"/>
          <w:highlight w:val="none"/>
          <w:lang w:val="en-US" w:eastAsia="zh-CN" w:bidi="ar-SA"/>
        </w:rPr>
        <w:t>物价波动引起的价格调整方式：。</w:t>
      </w:r>
    </w:p>
    <w:p>
      <w:pPr>
        <w:pStyle w:val="65"/>
        <w:spacing w:line="360" w:lineRule="auto"/>
        <w:rPr>
          <w:rStyle w:val="21"/>
          <w:rFonts w:ascii="宋体" w:hAnsi="宋体" w:eastAsia="宋体" w:cs="Times New Roman"/>
          <w:color w:val="auto"/>
          <w:kern w:val="2"/>
          <w:sz w:val="24"/>
          <w:szCs w:val="24"/>
          <w:highlight w:val="none"/>
          <w:lang w:val="en-US" w:eastAsia="zh-CN" w:bidi="ar-SA"/>
        </w:rPr>
      </w:pPr>
      <w:r>
        <w:rPr>
          <w:rStyle w:val="21"/>
          <w:rFonts w:hint="eastAsia" w:ascii="宋体" w:hAnsi="宋体" w:eastAsia="宋体" w:cs="Times New Roman"/>
          <w:color w:val="auto"/>
          <w:kern w:val="2"/>
          <w:sz w:val="24"/>
          <w:szCs w:val="24"/>
          <w:highlight w:val="none"/>
          <w:lang w:val="en-US" w:eastAsia="zh-CN" w:bidi="ar-SA"/>
        </w:rPr>
        <w:t>16.1.2采用造价信息调整价格差额</w:t>
      </w:r>
    </w:p>
    <w:p>
      <w:pPr>
        <w:pStyle w:val="65"/>
        <w:spacing w:line="360" w:lineRule="auto"/>
        <w:rPr>
          <w:rStyle w:val="21"/>
          <w:rFonts w:ascii="宋体" w:hAnsi="宋体" w:eastAsia="宋体" w:cs="Times New Roman"/>
          <w:color w:val="auto"/>
          <w:kern w:val="2"/>
          <w:sz w:val="24"/>
          <w:szCs w:val="24"/>
          <w:highlight w:val="none"/>
          <w:lang w:val="en-US" w:eastAsia="zh-CN" w:bidi="ar-SA"/>
        </w:rPr>
      </w:pPr>
      <w:r>
        <w:rPr>
          <w:rStyle w:val="21"/>
          <w:rFonts w:hint="eastAsia" w:ascii="宋体" w:hAnsi="宋体" w:eastAsia="宋体" w:cs="Times New Roman"/>
          <w:color w:val="auto"/>
          <w:kern w:val="2"/>
          <w:sz w:val="24"/>
          <w:szCs w:val="24"/>
          <w:highlight w:val="none"/>
          <w:lang w:val="en-US" w:eastAsia="zh-CN" w:bidi="ar-SA"/>
        </w:rPr>
        <w:t>工程造价信息的来源：。</w:t>
      </w:r>
    </w:p>
    <w:p>
      <w:pPr>
        <w:pStyle w:val="65"/>
        <w:spacing w:line="360" w:lineRule="auto"/>
        <w:rPr>
          <w:rStyle w:val="21"/>
          <w:rFonts w:ascii="宋体" w:hAnsi="宋体" w:eastAsia="宋体" w:cs="Times New Roman"/>
          <w:color w:val="auto"/>
          <w:kern w:val="2"/>
          <w:sz w:val="24"/>
          <w:szCs w:val="24"/>
          <w:highlight w:val="none"/>
          <w:lang w:val="en-US" w:eastAsia="zh-CN" w:bidi="ar-SA"/>
        </w:rPr>
      </w:pPr>
      <w:r>
        <w:rPr>
          <w:rStyle w:val="21"/>
          <w:rFonts w:hint="eastAsia" w:ascii="宋体" w:hAnsi="宋体" w:eastAsia="宋体" w:cs="Times New Roman"/>
          <w:color w:val="auto"/>
          <w:kern w:val="2"/>
          <w:sz w:val="24"/>
          <w:szCs w:val="24"/>
          <w:highlight w:val="none"/>
          <w:lang w:val="en-US" w:eastAsia="zh-CN" w:bidi="ar-SA"/>
        </w:rPr>
        <w:t>价格调整的项目和系数：。</w:t>
      </w:r>
    </w:p>
    <w:p>
      <w:pPr>
        <w:pStyle w:val="66"/>
        <w:rPr>
          <w:rStyle w:val="21"/>
          <w:color w:val="auto"/>
          <w:kern w:val="2"/>
          <w:sz w:val="24"/>
          <w:szCs w:val="24"/>
          <w:highlight w:val="none"/>
          <w:lang w:val="en-US" w:eastAsia="zh-CN" w:bidi="ar-SA"/>
        </w:rPr>
      </w:pPr>
      <w:bookmarkStart w:id="311" w:name="_Toc2523"/>
      <w:r>
        <w:rPr>
          <w:rStyle w:val="21"/>
          <w:rFonts w:hint="eastAsia"/>
          <w:color w:val="auto"/>
          <w:kern w:val="2"/>
          <w:sz w:val="24"/>
          <w:szCs w:val="24"/>
          <w:highlight w:val="none"/>
          <w:lang w:val="en-US" w:eastAsia="zh-CN" w:bidi="ar-SA"/>
        </w:rPr>
        <w:t>17计量与支付</w:t>
      </w:r>
      <w:bookmarkEnd w:id="311"/>
    </w:p>
    <w:p>
      <w:pPr>
        <w:pStyle w:val="65"/>
        <w:spacing w:line="360" w:lineRule="auto"/>
        <w:rPr>
          <w:rStyle w:val="21"/>
          <w:rFonts w:ascii="宋体" w:hAnsi="宋体" w:eastAsia="宋体" w:cs="Times New Roman"/>
          <w:color w:val="auto"/>
          <w:kern w:val="2"/>
          <w:sz w:val="24"/>
          <w:szCs w:val="24"/>
          <w:highlight w:val="none"/>
          <w:lang w:val="en-US" w:eastAsia="zh-CN" w:bidi="ar-SA"/>
        </w:rPr>
      </w:pPr>
      <w:r>
        <w:rPr>
          <w:rStyle w:val="21"/>
          <w:rFonts w:hint="eastAsia" w:ascii="宋体" w:hAnsi="宋体" w:eastAsia="宋体" w:cs="Times New Roman"/>
          <w:color w:val="auto"/>
          <w:kern w:val="2"/>
          <w:sz w:val="24"/>
          <w:szCs w:val="24"/>
          <w:highlight w:val="none"/>
          <w:lang w:val="en-US" w:eastAsia="zh-CN" w:bidi="ar-SA"/>
        </w:rPr>
        <w:t>17.2预付款</w:t>
      </w:r>
    </w:p>
    <w:p>
      <w:pPr>
        <w:pStyle w:val="65"/>
        <w:spacing w:line="360" w:lineRule="auto"/>
        <w:rPr>
          <w:rStyle w:val="21"/>
          <w:rFonts w:ascii="宋体" w:hAnsi="宋体" w:eastAsia="宋体" w:cs="Times New Roman"/>
          <w:color w:val="auto"/>
          <w:kern w:val="2"/>
          <w:sz w:val="24"/>
          <w:szCs w:val="24"/>
          <w:highlight w:val="none"/>
          <w:lang w:val="en-US" w:eastAsia="zh-CN" w:bidi="ar-SA"/>
        </w:rPr>
      </w:pPr>
      <w:r>
        <w:rPr>
          <w:rStyle w:val="21"/>
          <w:rFonts w:hint="eastAsia" w:ascii="宋体" w:hAnsi="宋体" w:eastAsia="宋体" w:cs="Times New Roman"/>
          <w:color w:val="auto"/>
          <w:kern w:val="2"/>
          <w:sz w:val="24"/>
          <w:szCs w:val="24"/>
          <w:highlight w:val="none"/>
          <w:lang w:val="en-US" w:eastAsia="zh-CN" w:bidi="ar-SA"/>
        </w:rPr>
        <w:t>17.2.1预付款：</w:t>
      </w:r>
    </w:p>
    <w:p>
      <w:pPr>
        <w:pStyle w:val="65"/>
        <w:spacing w:line="360" w:lineRule="auto"/>
        <w:rPr>
          <w:rStyle w:val="21"/>
          <w:rFonts w:ascii="宋体" w:hAnsi="宋体" w:eastAsia="宋体" w:cs="Times New Roman"/>
          <w:color w:val="auto"/>
          <w:kern w:val="2"/>
          <w:sz w:val="24"/>
          <w:szCs w:val="24"/>
          <w:highlight w:val="none"/>
          <w:lang w:val="en-US" w:eastAsia="zh-CN" w:bidi="ar-SA"/>
        </w:rPr>
      </w:pPr>
      <w:r>
        <w:rPr>
          <w:rStyle w:val="21"/>
          <w:rFonts w:hint="eastAsia" w:ascii="宋体" w:hAnsi="宋体" w:eastAsia="宋体" w:cs="Times New Roman"/>
          <w:color w:val="auto"/>
          <w:kern w:val="2"/>
          <w:sz w:val="24"/>
          <w:szCs w:val="24"/>
          <w:highlight w:val="none"/>
          <w:lang w:val="en-US" w:eastAsia="zh-CN" w:bidi="ar-SA"/>
        </w:rPr>
        <w:t>(1)工程预付款的总金额为签约合同价的%，分次支付给承包人。</w:t>
      </w:r>
    </w:p>
    <w:p>
      <w:pPr>
        <w:pStyle w:val="65"/>
        <w:spacing w:line="360" w:lineRule="auto"/>
        <w:rPr>
          <w:rStyle w:val="21"/>
          <w:rFonts w:ascii="宋体" w:hAnsi="宋体" w:eastAsia="宋体" w:cs="Times New Roman"/>
          <w:color w:val="auto"/>
          <w:kern w:val="2"/>
          <w:sz w:val="24"/>
          <w:szCs w:val="24"/>
          <w:highlight w:val="none"/>
          <w:lang w:val="en-US" w:eastAsia="zh-CN" w:bidi="ar-SA"/>
        </w:rPr>
      </w:pPr>
      <w:r>
        <w:rPr>
          <w:rStyle w:val="21"/>
          <w:rFonts w:hint="eastAsia" w:ascii="宋体" w:hAnsi="宋体" w:eastAsia="宋体" w:cs="Times New Roman"/>
          <w:color w:val="auto"/>
          <w:kern w:val="2"/>
          <w:sz w:val="24"/>
          <w:szCs w:val="24"/>
          <w:highlight w:val="none"/>
          <w:lang w:val="en-US" w:eastAsia="zh-CN" w:bidi="ar-SA"/>
        </w:rPr>
        <w:t>各次预付款的支付额度和付款时间为：</w:t>
      </w:r>
    </w:p>
    <w:p>
      <w:pPr>
        <w:pStyle w:val="65"/>
        <w:spacing w:line="360" w:lineRule="auto"/>
        <w:rPr>
          <w:rStyle w:val="21"/>
          <w:rFonts w:ascii="宋体" w:hAnsi="宋体" w:eastAsia="宋体" w:cs="Times New Roman"/>
          <w:color w:val="auto"/>
          <w:kern w:val="2"/>
          <w:sz w:val="24"/>
          <w:szCs w:val="24"/>
          <w:highlight w:val="none"/>
          <w:lang w:val="en-US" w:eastAsia="zh-CN" w:bidi="ar-SA"/>
        </w:rPr>
      </w:pPr>
      <w:r>
        <w:rPr>
          <w:rStyle w:val="21"/>
          <w:rFonts w:hint="eastAsia" w:ascii="宋体" w:hAnsi="宋体" w:eastAsia="宋体" w:cs="Times New Roman"/>
          <w:color w:val="auto"/>
          <w:kern w:val="2"/>
          <w:sz w:val="24"/>
          <w:szCs w:val="24"/>
          <w:highlight w:val="none"/>
          <w:lang w:val="en-US" w:eastAsia="zh-CN" w:bidi="ar-SA"/>
        </w:rPr>
        <w:t>1)第一次预付款金额为工程预付款总金额的%，付款时间应在合同协议书签订后，由承包人向发包人提交了发包人认可的工程预付款担保，并经监理人出具付款证书报送发包人批准后14天内予以支付。</w:t>
      </w:r>
    </w:p>
    <w:p>
      <w:pPr>
        <w:pStyle w:val="65"/>
        <w:spacing w:line="360" w:lineRule="auto"/>
        <w:rPr>
          <w:rStyle w:val="21"/>
          <w:rFonts w:ascii="宋体" w:hAnsi="宋体" w:eastAsia="宋体" w:cs="Times New Roman"/>
          <w:color w:val="auto"/>
          <w:kern w:val="2"/>
          <w:sz w:val="24"/>
          <w:szCs w:val="24"/>
          <w:highlight w:val="none"/>
          <w:lang w:val="en-US" w:eastAsia="zh-CN" w:bidi="ar-SA"/>
        </w:rPr>
      </w:pPr>
      <w:r>
        <w:rPr>
          <w:rStyle w:val="21"/>
          <w:rFonts w:hint="eastAsia" w:ascii="宋体" w:hAnsi="宋体" w:eastAsia="宋体" w:cs="Times New Roman"/>
          <w:color w:val="auto"/>
          <w:kern w:val="2"/>
          <w:sz w:val="24"/>
          <w:szCs w:val="24"/>
          <w:highlight w:val="none"/>
          <w:lang w:val="en-US" w:eastAsia="zh-CN" w:bidi="ar-SA"/>
        </w:rPr>
        <w:t>2)第二次预付款金额为工程预付款总金额的%。付款时间需待承包人主要设备进入工地后，其估算价值已达到本次预付款金额时，由承包人提出书面申请，经监理人核实后出具付款证书报送发包人批准后14天内予以支付。</w:t>
      </w:r>
    </w:p>
    <w:p>
      <w:pPr>
        <w:pStyle w:val="65"/>
        <w:spacing w:line="360" w:lineRule="auto"/>
        <w:rPr>
          <w:rStyle w:val="21"/>
          <w:rFonts w:ascii="宋体" w:hAnsi="宋体" w:eastAsia="宋体" w:cs="Times New Roman"/>
          <w:color w:val="auto"/>
          <w:kern w:val="2"/>
          <w:sz w:val="24"/>
          <w:szCs w:val="24"/>
          <w:highlight w:val="none"/>
          <w:lang w:val="en-US" w:eastAsia="zh-CN" w:bidi="ar-SA"/>
        </w:rPr>
      </w:pPr>
      <w:r>
        <w:rPr>
          <w:rStyle w:val="21"/>
          <w:rFonts w:hint="eastAsia" w:ascii="宋体" w:hAnsi="宋体" w:eastAsia="宋体" w:cs="Times New Roman"/>
          <w:color w:val="auto"/>
          <w:kern w:val="2"/>
          <w:sz w:val="24"/>
          <w:szCs w:val="24"/>
          <w:highlight w:val="none"/>
          <w:lang w:val="en-US" w:eastAsia="zh-CN" w:bidi="ar-SA"/>
        </w:rPr>
        <w:t>3)第三次预付款……。</w:t>
      </w:r>
    </w:p>
    <w:p>
      <w:pPr>
        <w:pStyle w:val="65"/>
        <w:spacing w:line="360" w:lineRule="auto"/>
        <w:rPr>
          <w:rStyle w:val="21"/>
          <w:rFonts w:ascii="宋体" w:hAnsi="宋体" w:eastAsia="宋体" w:cs="Times New Roman"/>
          <w:color w:val="auto"/>
          <w:kern w:val="2"/>
          <w:sz w:val="24"/>
          <w:szCs w:val="24"/>
          <w:highlight w:val="none"/>
          <w:lang w:val="en-US" w:eastAsia="zh-CN" w:bidi="ar-SA"/>
        </w:rPr>
      </w:pPr>
      <w:r>
        <w:rPr>
          <w:rStyle w:val="21"/>
          <w:rFonts w:hint="eastAsia" w:ascii="宋体" w:hAnsi="宋体" w:eastAsia="宋体" w:cs="Times New Roman"/>
          <w:color w:val="auto"/>
          <w:kern w:val="2"/>
          <w:sz w:val="24"/>
          <w:szCs w:val="24"/>
          <w:highlight w:val="none"/>
          <w:lang w:val="en-US" w:eastAsia="zh-CN" w:bidi="ar-SA"/>
        </w:rPr>
        <w:t>……</w:t>
      </w:r>
    </w:p>
    <w:p>
      <w:pPr>
        <w:pStyle w:val="65"/>
        <w:spacing w:line="360" w:lineRule="auto"/>
        <w:rPr>
          <w:rStyle w:val="21"/>
          <w:rFonts w:ascii="宋体" w:hAnsi="宋体" w:eastAsia="宋体" w:cs="Times New Roman"/>
          <w:color w:val="auto"/>
          <w:kern w:val="2"/>
          <w:sz w:val="24"/>
          <w:szCs w:val="24"/>
          <w:highlight w:val="none"/>
          <w:lang w:val="en-US" w:eastAsia="zh-CN" w:bidi="ar-SA"/>
        </w:rPr>
      </w:pPr>
      <w:r>
        <w:rPr>
          <w:rStyle w:val="21"/>
          <w:rFonts w:hint="eastAsia" w:ascii="宋体" w:hAnsi="宋体" w:eastAsia="宋体" w:cs="Times New Roman"/>
          <w:color w:val="auto"/>
          <w:kern w:val="2"/>
          <w:sz w:val="24"/>
          <w:szCs w:val="24"/>
          <w:highlight w:val="none"/>
          <w:lang w:val="en-US" w:eastAsia="zh-CN" w:bidi="ar-SA"/>
        </w:rPr>
        <w:t>(2)工程材料预付款的额度和预付办法约定为：</w:t>
      </w:r>
      <w:r>
        <w:rPr>
          <w:rStyle w:val="21"/>
          <w:rFonts w:hint="eastAsia" w:ascii="宋体" w:hAnsi="宋体" w:eastAsia="宋体" w:cs="Times New Roman"/>
          <w:color w:val="auto"/>
          <w:kern w:val="2"/>
          <w:sz w:val="24"/>
          <w:szCs w:val="24"/>
          <w:highlight w:val="none"/>
          <w:u w:val="single"/>
          <w:lang w:val="en-US" w:eastAsia="zh-CN" w:bidi="ar-SA"/>
        </w:rPr>
        <w:t xml:space="preserve">                        </w:t>
      </w:r>
      <w:r>
        <w:rPr>
          <w:rStyle w:val="21"/>
          <w:rFonts w:hint="eastAsia" w:ascii="宋体" w:hAnsi="宋体" w:eastAsia="宋体" w:cs="Times New Roman"/>
          <w:color w:val="auto"/>
          <w:kern w:val="2"/>
          <w:sz w:val="24"/>
          <w:szCs w:val="24"/>
          <w:highlight w:val="none"/>
          <w:lang w:val="en-US" w:eastAsia="zh-CN" w:bidi="ar-SA"/>
        </w:rPr>
        <w:t>。</w:t>
      </w:r>
    </w:p>
    <w:p>
      <w:pPr>
        <w:pStyle w:val="65"/>
        <w:spacing w:line="360" w:lineRule="auto"/>
        <w:rPr>
          <w:rStyle w:val="21"/>
          <w:rFonts w:ascii="宋体" w:hAnsi="宋体" w:eastAsia="宋体" w:cs="Times New Roman"/>
          <w:color w:val="auto"/>
          <w:kern w:val="2"/>
          <w:sz w:val="24"/>
          <w:szCs w:val="24"/>
          <w:highlight w:val="none"/>
          <w:lang w:val="en-US" w:eastAsia="zh-CN" w:bidi="ar-SA"/>
        </w:rPr>
      </w:pPr>
      <w:r>
        <w:rPr>
          <w:rStyle w:val="21"/>
          <w:rFonts w:hint="eastAsia" w:ascii="宋体" w:hAnsi="宋体" w:eastAsia="宋体" w:cs="Times New Roman"/>
          <w:color w:val="auto"/>
          <w:kern w:val="2"/>
          <w:sz w:val="24"/>
          <w:szCs w:val="24"/>
          <w:highlight w:val="none"/>
          <w:lang w:val="en-US" w:eastAsia="zh-CN" w:bidi="ar-SA"/>
        </w:rPr>
        <w:t>17.2.2预付款保函(担保)</w:t>
      </w:r>
    </w:p>
    <w:p>
      <w:pPr>
        <w:pStyle w:val="65"/>
        <w:spacing w:line="360" w:lineRule="auto"/>
        <w:rPr>
          <w:rStyle w:val="21"/>
          <w:rFonts w:ascii="宋体" w:hAnsi="宋体" w:eastAsia="宋体" w:cs="Times New Roman"/>
          <w:color w:val="auto"/>
          <w:kern w:val="2"/>
          <w:sz w:val="24"/>
          <w:szCs w:val="24"/>
          <w:highlight w:val="none"/>
          <w:lang w:val="en-US" w:eastAsia="zh-CN" w:bidi="ar-SA"/>
        </w:rPr>
      </w:pPr>
      <w:r>
        <w:rPr>
          <w:rStyle w:val="21"/>
          <w:rFonts w:hint="eastAsia" w:ascii="宋体" w:hAnsi="宋体" w:eastAsia="宋体" w:cs="Times New Roman"/>
          <w:color w:val="auto"/>
          <w:kern w:val="2"/>
          <w:sz w:val="24"/>
          <w:szCs w:val="24"/>
          <w:highlight w:val="none"/>
          <w:lang w:val="en-US" w:eastAsia="zh-CN" w:bidi="ar-SA"/>
        </w:rPr>
        <w:t>(2)工程材料预付款的担保约定为：</w:t>
      </w:r>
      <w:r>
        <w:rPr>
          <w:rStyle w:val="21"/>
          <w:rFonts w:hint="eastAsia" w:ascii="宋体" w:hAnsi="宋体" w:eastAsia="宋体" w:cs="Times New Roman"/>
          <w:color w:val="auto"/>
          <w:kern w:val="2"/>
          <w:sz w:val="24"/>
          <w:szCs w:val="24"/>
          <w:highlight w:val="none"/>
          <w:u w:val="single"/>
          <w:lang w:val="en-US" w:eastAsia="zh-CN" w:bidi="ar-SA"/>
        </w:rPr>
        <w:t xml:space="preserve">                        </w:t>
      </w:r>
      <w:r>
        <w:rPr>
          <w:rStyle w:val="21"/>
          <w:rFonts w:hint="eastAsia" w:ascii="宋体" w:hAnsi="宋体" w:eastAsia="宋体" w:cs="Times New Roman"/>
          <w:color w:val="auto"/>
          <w:kern w:val="2"/>
          <w:sz w:val="24"/>
          <w:szCs w:val="24"/>
          <w:highlight w:val="none"/>
          <w:lang w:val="en-US" w:eastAsia="zh-CN" w:bidi="ar-SA"/>
        </w:rPr>
        <w:t>。</w:t>
      </w:r>
    </w:p>
    <w:p>
      <w:pPr>
        <w:pStyle w:val="65"/>
        <w:spacing w:line="360" w:lineRule="auto"/>
        <w:rPr>
          <w:rStyle w:val="21"/>
          <w:rFonts w:ascii="宋体" w:hAnsi="宋体" w:eastAsia="宋体" w:cs="Times New Roman"/>
          <w:color w:val="auto"/>
          <w:kern w:val="2"/>
          <w:sz w:val="24"/>
          <w:szCs w:val="24"/>
          <w:highlight w:val="none"/>
          <w:lang w:val="en-US" w:eastAsia="zh-CN" w:bidi="ar-SA"/>
        </w:rPr>
      </w:pPr>
      <w:r>
        <w:rPr>
          <w:rStyle w:val="21"/>
          <w:rFonts w:hint="eastAsia" w:ascii="宋体" w:hAnsi="宋体" w:eastAsia="宋体" w:cs="Times New Roman"/>
          <w:color w:val="auto"/>
          <w:kern w:val="2"/>
          <w:sz w:val="24"/>
          <w:szCs w:val="24"/>
          <w:highlight w:val="none"/>
          <w:lang w:val="en-US" w:eastAsia="zh-CN" w:bidi="ar-SA"/>
        </w:rPr>
        <w:t>17.2.3预付款的扣回与还清</w:t>
      </w:r>
    </w:p>
    <w:p>
      <w:pPr>
        <w:pStyle w:val="65"/>
        <w:spacing w:line="360" w:lineRule="auto"/>
        <w:rPr>
          <w:rStyle w:val="21"/>
          <w:rFonts w:ascii="宋体" w:hAnsi="宋体" w:eastAsia="宋体" w:cs="Times New Roman"/>
          <w:color w:val="auto"/>
          <w:kern w:val="2"/>
          <w:sz w:val="24"/>
          <w:szCs w:val="24"/>
          <w:highlight w:val="none"/>
          <w:lang w:val="en-US" w:eastAsia="zh-CN" w:bidi="ar-SA"/>
        </w:rPr>
      </w:pPr>
      <w:r>
        <w:rPr>
          <w:rStyle w:val="21"/>
          <w:rFonts w:hint="eastAsia" w:ascii="宋体" w:hAnsi="宋体" w:eastAsia="宋体" w:cs="Times New Roman"/>
          <w:color w:val="auto"/>
          <w:kern w:val="2"/>
          <w:sz w:val="24"/>
          <w:szCs w:val="24"/>
          <w:highlight w:val="none"/>
          <w:lang w:val="en-US" w:eastAsia="zh-CN" w:bidi="ar-SA"/>
        </w:rPr>
        <w:t>(1)工程预付款在合同累计完成金额达到签约合同价的%时开始扣款，直至合同累计完成金额达到签约合同价的%时全部扣清。</w:t>
      </w:r>
    </w:p>
    <w:p>
      <w:pPr>
        <w:pStyle w:val="65"/>
        <w:spacing w:line="360" w:lineRule="auto"/>
        <w:rPr>
          <w:rStyle w:val="21"/>
          <w:rFonts w:hint="eastAsia" w:ascii="宋体" w:hAnsi="宋体" w:eastAsia="宋体" w:cs="Times New Roman"/>
          <w:color w:val="auto"/>
          <w:kern w:val="2"/>
          <w:sz w:val="24"/>
          <w:szCs w:val="24"/>
          <w:highlight w:val="none"/>
          <w:lang w:val="en-US" w:eastAsia="zh-CN" w:bidi="ar-SA"/>
        </w:rPr>
      </w:pPr>
      <w:r>
        <w:rPr>
          <w:color w:val="auto"/>
          <w:sz w:val="24"/>
          <w:szCs w:val="24"/>
          <w:highlight w:val="none"/>
        </w:rPr>
        <w:drawing>
          <wp:inline distT="0" distB="0" distL="114300" distR="114300">
            <wp:extent cx="1145540" cy="387985"/>
            <wp:effectExtent l="0" t="0" r="16510" b="12065"/>
            <wp:docPr id="9"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6"/>
                    <pic:cNvPicPr>
                      <a:picLocks noChangeAspect="1"/>
                    </pic:cNvPicPr>
                  </pic:nvPicPr>
                  <pic:blipFill>
                    <a:blip r:embed="rId9"/>
                    <a:stretch>
                      <a:fillRect/>
                    </a:stretch>
                  </pic:blipFill>
                  <pic:spPr>
                    <a:xfrm>
                      <a:off x="0" y="0"/>
                      <a:ext cx="1145540" cy="387985"/>
                    </a:xfrm>
                    <a:prstGeom prst="rect">
                      <a:avLst/>
                    </a:prstGeom>
                    <a:noFill/>
                    <a:ln>
                      <a:noFill/>
                    </a:ln>
                  </pic:spPr>
                </pic:pic>
              </a:graphicData>
            </a:graphic>
          </wp:inline>
        </w:drawing>
      </w:r>
    </w:p>
    <w:p>
      <w:pPr>
        <w:pStyle w:val="65"/>
        <w:spacing w:line="360" w:lineRule="auto"/>
        <w:rPr>
          <w:rStyle w:val="21"/>
          <w:rFonts w:ascii="宋体" w:hAnsi="宋体" w:eastAsia="宋体" w:cs="Times New Roman"/>
          <w:color w:val="auto"/>
          <w:kern w:val="2"/>
          <w:sz w:val="24"/>
          <w:szCs w:val="24"/>
          <w:highlight w:val="none"/>
          <w:lang w:val="en-US" w:eastAsia="zh-CN" w:bidi="ar-SA"/>
        </w:rPr>
      </w:pPr>
      <w:r>
        <w:rPr>
          <w:rStyle w:val="21"/>
          <w:rFonts w:hint="eastAsia" w:ascii="宋体" w:hAnsi="宋体" w:eastAsia="宋体" w:cs="Times New Roman"/>
          <w:color w:val="auto"/>
          <w:kern w:val="2"/>
          <w:sz w:val="24"/>
          <w:szCs w:val="24"/>
          <w:highlight w:val="none"/>
          <w:lang w:val="en-US" w:eastAsia="zh-CN" w:bidi="ar-SA"/>
        </w:rPr>
        <w:t>式中R——每次进度付款中累计扣回的金额；</w:t>
      </w:r>
    </w:p>
    <w:p>
      <w:pPr>
        <w:pStyle w:val="65"/>
        <w:spacing w:line="360" w:lineRule="auto"/>
        <w:rPr>
          <w:rStyle w:val="21"/>
          <w:rFonts w:ascii="宋体" w:hAnsi="宋体" w:eastAsia="宋体" w:cs="Times New Roman"/>
          <w:color w:val="auto"/>
          <w:kern w:val="2"/>
          <w:sz w:val="24"/>
          <w:szCs w:val="24"/>
          <w:highlight w:val="none"/>
          <w:lang w:val="en-US" w:eastAsia="zh-CN" w:bidi="ar-SA"/>
        </w:rPr>
      </w:pPr>
      <w:r>
        <w:rPr>
          <w:rStyle w:val="21"/>
          <w:rFonts w:hint="eastAsia" w:ascii="宋体" w:hAnsi="宋体" w:eastAsia="宋体" w:cs="Times New Roman"/>
          <w:color w:val="auto"/>
          <w:kern w:val="2"/>
          <w:sz w:val="24"/>
          <w:szCs w:val="24"/>
          <w:highlight w:val="none"/>
          <w:lang w:val="en-US" w:eastAsia="zh-CN" w:bidi="ar-SA"/>
        </w:rPr>
        <w:t>A——工程预付款总金额；</w:t>
      </w:r>
    </w:p>
    <w:p>
      <w:pPr>
        <w:pStyle w:val="65"/>
        <w:spacing w:line="360" w:lineRule="auto"/>
        <w:rPr>
          <w:rStyle w:val="21"/>
          <w:rFonts w:ascii="宋体" w:hAnsi="宋体" w:eastAsia="宋体" w:cs="Times New Roman"/>
          <w:color w:val="auto"/>
          <w:kern w:val="2"/>
          <w:sz w:val="24"/>
          <w:szCs w:val="24"/>
          <w:highlight w:val="none"/>
          <w:lang w:val="en-US" w:eastAsia="zh-CN" w:bidi="ar-SA"/>
        </w:rPr>
      </w:pPr>
      <w:r>
        <w:rPr>
          <w:rStyle w:val="21"/>
          <w:rFonts w:hint="eastAsia" w:ascii="宋体" w:hAnsi="宋体" w:eastAsia="宋体" w:cs="Times New Roman"/>
          <w:color w:val="auto"/>
          <w:kern w:val="2"/>
          <w:sz w:val="24"/>
          <w:szCs w:val="24"/>
          <w:highlight w:val="none"/>
          <w:lang w:val="en-US" w:eastAsia="zh-CN" w:bidi="ar-SA"/>
        </w:rPr>
        <w:t>S——签约合同价；</w:t>
      </w:r>
    </w:p>
    <w:p>
      <w:pPr>
        <w:pStyle w:val="65"/>
        <w:spacing w:line="360" w:lineRule="auto"/>
        <w:rPr>
          <w:rStyle w:val="21"/>
          <w:rFonts w:ascii="宋体" w:hAnsi="宋体" w:eastAsia="宋体" w:cs="Times New Roman"/>
          <w:color w:val="auto"/>
          <w:kern w:val="2"/>
          <w:sz w:val="24"/>
          <w:szCs w:val="24"/>
          <w:highlight w:val="none"/>
          <w:lang w:val="en-US" w:eastAsia="zh-CN" w:bidi="ar-SA"/>
        </w:rPr>
      </w:pPr>
      <w:r>
        <w:rPr>
          <w:rStyle w:val="21"/>
          <w:rFonts w:hint="eastAsia" w:ascii="宋体" w:hAnsi="宋体" w:eastAsia="宋体" w:cs="Times New Roman"/>
          <w:color w:val="auto"/>
          <w:kern w:val="2"/>
          <w:sz w:val="24"/>
          <w:szCs w:val="24"/>
          <w:highlight w:val="none"/>
          <w:lang w:val="en-US" w:eastAsia="zh-CN" w:bidi="ar-SA"/>
        </w:rPr>
        <w:t>C——合同累计完成金额；</w:t>
      </w:r>
    </w:p>
    <w:p>
      <w:pPr>
        <w:pStyle w:val="65"/>
        <w:spacing w:line="360" w:lineRule="auto"/>
        <w:rPr>
          <w:rStyle w:val="21"/>
          <w:rFonts w:ascii="宋体" w:hAnsi="宋体" w:eastAsia="宋体" w:cs="Times New Roman"/>
          <w:color w:val="auto"/>
          <w:kern w:val="2"/>
          <w:sz w:val="24"/>
          <w:szCs w:val="24"/>
          <w:highlight w:val="none"/>
          <w:lang w:val="en-US" w:eastAsia="zh-CN" w:bidi="ar-SA"/>
        </w:rPr>
      </w:pPr>
      <w:r>
        <w:rPr>
          <w:rStyle w:val="21"/>
          <w:rFonts w:hint="eastAsia" w:ascii="宋体" w:hAnsi="宋体" w:eastAsia="宋体" w:cs="Times New Roman"/>
          <w:color w:val="auto"/>
          <w:kern w:val="2"/>
          <w:sz w:val="24"/>
          <w:szCs w:val="24"/>
          <w:highlight w:val="none"/>
          <w:lang w:val="en-US" w:eastAsia="zh-CN" w:bidi="ar-SA"/>
        </w:rPr>
        <w:t>F1——开始扣款时合同累计完成金额达到签约合同价的比例；</w:t>
      </w:r>
    </w:p>
    <w:p>
      <w:pPr>
        <w:pStyle w:val="65"/>
        <w:spacing w:line="360" w:lineRule="auto"/>
        <w:rPr>
          <w:rStyle w:val="21"/>
          <w:rFonts w:ascii="宋体" w:hAnsi="宋体" w:eastAsia="宋体" w:cs="Times New Roman"/>
          <w:color w:val="auto"/>
          <w:kern w:val="2"/>
          <w:sz w:val="24"/>
          <w:szCs w:val="24"/>
          <w:highlight w:val="none"/>
          <w:lang w:val="en-US" w:eastAsia="zh-CN" w:bidi="ar-SA"/>
        </w:rPr>
      </w:pPr>
      <w:r>
        <w:rPr>
          <w:rStyle w:val="21"/>
          <w:rFonts w:hint="eastAsia" w:ascii="宋体" w:hAnsi="宋体" w:eastAsia="宋体" w:cs="Times New Roman"/>
          <w:color w:val="auto"/>
          <w:kern w:val="2"/>
          <w:sz w:val="24"/>
          <w:szCs w:val="24"/>
          <w:highlight w:val="none"/>
          <w:lang w:val="en-US" w:eastAsia="zh-CN" w:bidi="ar-SA"/>
        </w:rPr>
        <w:t>F2——全部扣清时合同累计完成金额达到签约合同价的比例。</w:t>
      </w:r>
    </w:p>
    <w:p>
      <w:pPr>
        <w:pStyle w:val="65"/>
        <w:spacing w:line="360" w:lineRule="auto"/>
        <w:rPr>
          <w:rStyle w:val="21"/>
          <w:rFonts w:ascii="宋体" w:hAnsi="宋体" w:eastAsia="宋体" w:cs="Times New Roman"/>
          <w:color w:val="auto"/>
          <w:kern w:val="2"/>
          <w:sz w:val="24"/>
          <w:szCs w:val="24"/>
          <w:highlight w:val="none"/>
          <w:lang w:val="en-US" w:eastAsia="zh-CN" w:bidi="ar-SA"/>
        </w:rPr>
      </w:pPr>
      <w:r>
        <w:rPr>
          <w:rStyle w:val="21"/>
          <w:rFonts w:hint="eastAsia" w:ascii="宋体" w:hAnsi="宋体" w:eastAsia="宋体" w:cs="Times New Roman"/>
          <w:color w:val="auto"/>
          <w:kern w:val="2"/>
          <w:sz w:val="24"/>
          <w:szCs w:val="24"/>
          <w:highlight w:val="none"/>
          <w:lang w:val="en-US" w:eastAsia="zh-CN" w:bidi="ar-SA"/>
        </w:rPr>
        <w:t>上述合同累计完成金额均指价格调整前未扣质量保证金的金额。</w:t>
      </w:r>
    </w:p>
    <w:p>
      <w:pPr>
        <w:pStyle w:val="65"/>
        <w:spacing w:line="360" w:lineRule="auto"/>
        <w:rPr>
          <w:rStyle w:val="21"/>
          <w:rFonts w:ascii="宋体" w:hAnsi="宋体" w:eastAsia="宋体" w:cs="Times New Roman"/>
          <w:color w:val="auto"/>
          <w:kern w:val="2"/>
          <w:sz w:val="24"/>
          <w:szCs w:val="24"/>
          <w:highlight w:val="none"/>
          <w:lang w:val="en-US" w:eastAsia="zh-CN" w:bidi="ar-SA"/>
        </w:rPr>
      </w:pPr>
      <w:r>
        <w:rPr>
          <w:rStyle w:val="21"/>
          <w:rFonts w:hint="eastAsia" w:ascii="宋体" w:hAnsi="宋体" w:eastAsia="宋体" w:cs="Times New Roman"/>
          <w:color w:val="auto"/>
          <w:kern w:val="2"/>
          <w:sz w:val="24"/>
          <w:szCs w:val="24"/>
          <w:highlight w:val="none"/>
          <w:lang w:val="en-US" w:eastAsia="zh-CN" w:bidi="ar-SA"/>
        </w:rPr>
        <w:t>(2)工程材料预付款的扣回与还清约定为：。</w:t>
      </w:r>
    </w:p>
    <w:p>
      <w:pPr>
        <w:pStyle w:val="65"/>
        <w:spacing w:line="360" w:lineRule="auto"/>
        <w:rPr>
          <w:rStyle w:val="21"/>
          <w:rFonts w:ascii="宋体" w:hAnsi="宋体" w:eastAsia="宋体" w:cs="Times New Roman"/>
          <w:color w:val="auto"/>
          <w:kern w:val="2"/>
          <w:sz w:val="24"/>
          <w:szCs w:val="24"/>
          <w:highlight w:val="none"/>
          <w:lang w:val="en-US" w:eastAsia="zh-CN" w:bidi="ar-SA"/>
        </w:rPr>
      </w:pPr>
      <w:r>
        <w:rPr>
          <w:rStyle w:val="21"/>
          <w:rFonts w:hint="eastAsia" w:ascii="宋体" w:hAnsi="宋体" w:eastAsia="宋体" w:cs="Times New Roman"/>
          <w:color w:val="auto"/>
          <w:kern w:val="2"/>
          <w:sz w:val="24"/>
          <w:szCs w:val="24"/>
          <w:highlight w:val="none"/>
          <w:lang w:val="en-US" w:eastAsia="zh-CN" w:bidi="ar-SA"/>
        </w:rPr>
        <w:t>17.4质量保证金</w:t>
      </w:r>
    </w:p>
    <w:p>
      <w:pPr>
        <w:pStyle w:val="65"/>
        <w:spacing w:line="360" w:lineRule="auto"/>
        <w:rPr>
          <w:rStyle w:val="21"/>
          <w:rFonts w:ascii="宋体" w:hAnsi="宋体" w:eastAsia="宋体" w:cs="Times New Roman"/>
          <w:color w:val="auto"/>
          <w:kern w:val="2"/>
          <w:sz w:val="24"/>
          <w:szCs w:val="24"/>
          <w:highlight w:val="none"/>
          <w:lang w:val="en-US" w:eastAsia="zh-CN" w:bidi="ar-SA"/>
        </w:rPr>
      </w:pPr>
      <w:r>
        <w:rPr>
          <w:rStyle w:val="21"/>
          <w:rFonts w:hint="eastAsia" w:ascii="宋体" w:hAnsi="宋体" w:eastAsia="宋体" w:cs="Times New Roman"/>
          <w:color w:val="auto"/>
          <w:kern w:val="2"/>
          <w:sz w:val="24"/>
          <w:szCs w:val="24"/>
          <w:highlight w:val="none"/>
          <w:lang w:val="en-US" w:eastAsia="zh-CN" w:bidi="ar-SA"/>
        </w:rPr>
        <w:t>17.4.1每个付款周期扣留的质量保证金为工程进度付款的%，扣留的质量保证金总额为签约合同价的%。</w:t>
      </w:r>
    </w:p>
    <w:p>
      <w:pPr>
        <w:pStyle w:val="65"/>
        <w:spacing w:line="360" w:lineRule="auto"/>
        <w:rPr>
          <w:rStyle w:val="21"/>
          <w:rFonts w:ascii="宋体" w:hAnsi="宋体" w:eastAsia="宋体" w:cs="Times New Roman"/>
          <w:color w:val="auto"/>
          <w:kern w:val="2"/>
          <w:sz w:val="24"/>
          <w:szCs w:val="24"/>
          <w:highlight w:val="none"/>
          <w:lang w:val="en-US" w:eastAsia="zh-CN" w:bidi="ar-SA"/>
        </w:rPr>
      </w:pPr>
      <w:r>
        <w:rPr>
          <w:rStyle w:val="21"/>
          <w:rFonts w:hint="eastAsia" w:ascii="宋体" w:hAnsi="宋体" w:eastAsia="宋体" w:cs="Times New Roman"/>
          <w:color w:val="auto"/>
          <w:kern w:val="2"/>
          <w:sz w:val="24"/>
          <w:szCs w:val="24"/>
          <w:highlight w:val="none"/>
          <w:lang w:val="en-US" w:eastAsia="zh-CN" w:bidi="ar-SA"/>
        </w:rPr>
        <w:t>17.5竣工(完工)结算</w:t>
      </w:r>
    </w:p>
    <w:p>
      <w:pPr>
        <w:pStyle w:val="65"/>
        <w:spacing w:line="360" w:lineRule="auto"/>
        <w:rPr>
          <w:rStyle w:val="21"/>
          <w:rFonts w:ascii="宋体" w:hAnsi="宋体" w:eastAsia="宋体" w:cs="Times New Roman"/>
          <w:color w:val="auto"/>
          <w:kern w:val="2"/>
          <w:sz w:val="24"/>
          <w:szCs w:val="24"/>
          <w:highlight w:val="none"/>
          <w:lang w:val="en-US" w:eastAsia="zh-CN" w:bidi="ar-SA"/>
        </w:rPr>
      </w:pPr>
      <w:r>
        <w:rPr>
          <w:rStyle w:val="21"/>
          <w:rFonts w:hint="eastAsia" w:ascii="宋体" w:hAnsi="宋体" w:eastAsia="宋体" w:cs="Times New Roman"/>
          <w:color w:val="auto"/>
          <w:kern w:val="2"/>
          <w:sz w:val="24"/>
          <w:szCs w:val="24"/>
          <w:highlight w:val="none"/>
          <w:lang w:val="en-US" w:eastAsia="zh-CN" w:bidi="ar-SA"/>
        </w:rPr>
        <w:t>17.5.1竣工(完工)付款申请单</w:t>
      </w:r>
    </w:p>
    <w:p>
      <w:pPr>
        <w:pStyle w:val="65"/>
        <w:spacing w:line="360" w:lineRule="auto"/>
        <w:rPr>
          <w:rStyle w:val="21"/>
          <w:rFonts w:ascii="宋体" w:hAnsi="宋体" w:eastAsia="宋体" w:cs="Times New Roman"/>
          <w:color w:val="auto"/>
          <w:kern w:val="2"/>
          <w:sz w:val="24"/>
          <w:szCs w:val="24"/>
          <w:highlight w:val="none"/>
          <w:lang w:val="en-US" w:eastAsia="zh-CN" w:bidi="ar-SA"/>
        </w:rPr>
      </w:pPr>
      <w:r>
        <w:rPr>
          <w:rStyle w:val="21"/>
          <w:rFonts w:hint="eastAsia" w:ascii="宋体" w:hAnsi="宋体" w:eastAsia="宋体" w:cs="Times New Roman"/>
          <w:color w:val="auto"/>
          <w:kern w:val="2"/>
          <w:sz w:val="24"/>
          <w:szCs w:val="24"/>
          <w:highlight w:val="none"/>
          <w:lang w:val="en-US" w:eastAsia="zh-CN" w:bidi="ar-SA"/>
        </w:rPr>
        <w:t>(1)承包人应提交完工付款申请单一式份。</w:t>
      </w:r>
    </w:p>
    <w:p>
      <w:pPr>
        <w:pStyle w:val="65"/>
        <w:spacing w:line="360" w:lineRule="auto"/>
        <w:rPr>
          <w:rStyle w:val="21"/>
          <w:rFonts w:ascii="宋体" w:hAnsi="宋体" w:eastAsia="宋体" w:cs="Times New Roman"/>
          <w:color w:val="auto"/>
          <w:kern w:val="2"/>
          <w:sz w:val="24"/>
          <w:szCs w:val="24"/>
          <w:highlight w:val="none"/>
          <w:lang w:val="en-US" w:eastAsia="zh-CN" w:bidi="ar-SA"/>
        </w:rPr>
      </w:pPr>
      <w:r>
        <w:rPr>
          <w:rStyle w:val="21"/>
          <w:rFonts w:hint="eastAsia" w:ascii="宋体" w:hAnsi="宋体" w:eastAsia="宋体" w:cs="Times New Roman"/>
          <w:color w:val="auto"/>
          <w:kern w:val="2"/>
          <w:sz w:val="24"/>
          <w:szCs w:val="24"/>
          <w:highlight w:val="none"/>
          <w:lang w:val="en-US" w:eastAsia="zh-CN" w:bidi="ar-SA"/>
        </w:rPr>
        <w:t>17.6最终结清</w:t>
      </w:r>
    </w:p>
    <w:p>
      <w:pPr>
        <w:pStyle w:val="65"/>
        <w:spacing w:line="360" w:lineRule="auto"/>
        <w:rPr>
          <w:rStyle w:val="21"/>
          <w:rFonts w:ascii="宋体" w:hAnsi="宋体" w:eastAsia="宋体" w:cs="Times New Roman"/>
          <w:color w:val="auto"/>
          <w:kern w:val="2"/>
          <w:sz w:val="24"/>
          <w:szCs w:val="24"/>
          <w:highlight w:val="none"/>
          <w:lang w:val="en-US" w:eastAsia="zh-CN" w:bidi="ar-SA"/>
        </w:rPr>
      </w:pPr>
      <w:r>
        <w:rPr>
          <w:rStyle w:val="21"/>
          <w:rFonts w:hint="eastAsia" w:ascii="宋体" w:hAnsi="宋体" w:eastAsia="宋体" w:cs="Times New Roman"/>
          <w:color w:val="auto"/>
          <w:kern w:val="2"/>
          <w:sz w:val="24"/>
          <w:szCs w:val="24"/>
          <w:highlight w:val="none"/>
          <w:lang w:val="en-US" w:eastAsia="zh-CN" w:bidi="ar-SA"/>
        </w:rPr>
        <w:t>17.6.1最终结清申请单</w:t>
      </w:r>
    </w:p>
    <w:p>
      <w:pPr>
        <w:pStyle w:val="65"/>
        <w:spacing w:line="360" w:lineRule="auto"/>
        <w:rPr>
          <w:rStyle w:val="21"/>
          <w:rFonts w:ascii="宋体" w:hAnsi="宋体" w:eastAsia="宋体" w:cs="Times New Roman"/>
          <w:color w:val="auto"/>
          <w:kern w:val="2"/>
          <w:sz w:val="24"/>
          <w:szCs w:val="24"/>
          <w:highlight w:val="none"/>
          <w:lang w:val="en-US" w:eastAsia="zh-CN" w:bidi="ar-SA"/>
        </w:rPr>
      </w:pPr>
      <w:r>
        <w:rPr>
          <w:rStyle w:val="21"/>
          <w:rFonts w:hint="eastAsia" w:ascii="宋体" w:hAnsi="宋体" w:eastAsia="宋体" w:cs="Times New Roman"/>
          <w:color w:val="auto"/>
          <w:kern w:val="2"/>
          <w:sz w:val="24"/>
          <w:szCs w:val="24"/>
          <w:highlight w:val="none"/>
          <w:lang w:val="en-US" w:eastAsia="zh-CN" w:bidi="ar-SA"/>
        </w:rPr>
        <w:t>(1)承包人应提交最终结清申请单一式份。</w:t>
      </w:r>
    </w:p>
    <w:p>
      <w:pPr>
        <w:pStyle w:val="65"/>
        <w:spacing w:line="360" w:lineRule="auto"/>
        <w:rPr>
          <w:rStyle w:val="21"/>
          <w:rFonts w:ascii="宋体" w:hAnsi="宋体" w:eastAsia="宋体" w:cs="Times New Roman"/>
          <w:color w:val="auto"/>
          <w:kern w:val="2"/>
          <w:sz w:val="24"/>
          <w:szCs w:val="24"/>
          <w:highlight w:val="none"/>
          <w:lang w:val="en-US" w:eastAsia="zh-CN" w:bidi="ar-SA"/>
        </w:rPr>
      </w:pPr>
      <w:r>
        <w:rPr>
          <w:rStyle w:val="21"/>
          <w:rFonts w:hint="eastAsia" w:ascii="宋体" w:hAnsi="宋体" w:eastAsia="宋体" w:cs="Times New Roman"/>
          <w:color w:val="auto"/>
          <w:kern w:val="2"/>
          <w:sz w:val="24"/>
          <w:szCs w:val="24"/>
          <w:highlight w:val="none"/>
          <w:lang w:val="en-US" w:eastAsia="zh-CN" w:bidi="ar-SA"/>
        </w:rPr>
        <w:t>17.7竣工财务决算</w:t>
      </w:r>
    </w:p>
    <w:p>
      <w:pPr>
        <w:pStyle w:val="65"/>
        <w:spacing w:line="360" w:lineRule="auto"/>
        <w:rPr>
          <w:rStyle w:val="21"/>
          <w:rFonts w:ascii="宋体" w:hAnsi="宋体" w:eastAsia="宋体" w:cs="Times New Roman"/>
          <w:color w:val="auto"/>
          <w:kern w:val="2"/>
          <w:sz w:val="24"/>
          <w:szCs w:val="24"/>
          <w:highlight w:val="none"/>
          <w:lang w:val="en-US" w:eastAsia="zh-CN" w:bidi="ar-SA"/>
        </w:rPr>
      </w:pPr>
      <w:r>
        <w:rPr>
          <w:rStyle w:val="21"/>
          <w:rFonts w:hint="eastAsia" w:ascii="宋体" w:hAnsi="宋体" w:eastAsia="宋体" w:cs="Times New Roman"/>
          <w:color w:val="auto"/>
          <w:kern w:val="2"/>
          <w:sz w:val="24"/>
          <w:szCs w:val="24"/>
          <w:highlight w:val="none"/>
          <w:lang w:val="en-US" w:eastAsia="zh-CN" w:bidi="ar-SA"/>
        </w:rPr>
        <w:t>承包人应为竣工财务决算编制提供的资料：</w:t>
      </w:r>
      <w:r>
        <w:rPr>
          <w:rStyle w:val="21"/>
          <w:rFonts w:hint="eastAsia" w:ascii="宋体" w:hAnsi="宋体" w:eastAsia="宋体" w:cs="Times New Roman"/>
          <w:color w:val="auto"/>
          <w:kern w:val="2"/>
          <w:sz w:val="24"/>
          <w:szCs w:val="24"/>
          <w:highlight w:val="none"/>
          <w:u w:val="single"/>
          <w:lang w:val="en-US" w:eastAsia="zh-CN" w:bidi="ar-SA"/>
        </w:rPr>
        <w:t xml:space="preserve">                                   </w:t>
      </w:r>
      <w:r>
        <w:rPr>
          <w:rStyle w:val="21"/>
          <w:rFonts w:hint="eastAsia" w:ascii="宋体" w:hAnsi="宋体" w:eastAsia="宋体" w:cs="Times New Roman"/>
          <w:color w:val="auto"/>
          <w:kern w:val="2"/>
          <w:sz w:val="24"/>
          <w:szCs w:val="24"/>
          <w:highlight w:val="none"/>
          <w:lang w:val="en-US" w:eastAsia="zh-CN" w:bidi="ar-SA"/>
        </w:rPr>
        <w:t>。</w:t>
      </w:r>
    </w:p>
    <w:p>
      <w:pPr>
        <w:pStyle w:val="66"/>
        <w:rPr>
          <w:rStyle w:val="21"/>
          <w:color w:val="auto"/>
          <w:kern w:val="2"/>
          <w:sz w:val="24"/>
          <w:szCs w:val="24"/>
          <w:highlight w:val="none"/>
          <w:lang w:val="en-US" w:eastAsia="zh-CN" w:bidi="ar-SA"/>
        </w:rPr>
      </w:pPr>
      <w:bookmarkStart w:id="312" w:name="_Toc25544"/>
      <w:r>
        <w:rPr>
          <w:rStyle w:val="21"/>
          <w:rFonts w:hint="eastAsia"/>
          <w:color w:val="auto"/>
          <w:kern w:val="2"/>
          <w:sz w:val="24"/>
          <w:szCs w:val="24"/>
          <w:highlight w:val="none"/>
          <w:lang w:val="en-US" w:eastAsia="zh-CN" w:bidi="ar-SA"/>
        </w:rPr>
        <w:t>18竣工验收(验收)</w:t>
      </w:r>
      <w:bookmarkEnd w:id="312"/>
    </w:p>
    <w:p>
      <w:pPr>
        <w:pStyle w:val="65"/>
        <w:spacing w:line="360" w:lineRule="auto"/>
        <w:rPr>
          <w:rStyle w:val="21"/>
          <w:rFonts w:ascii="宋体" w:hAnsi="宋体" w:eastAsia="宋体" w:cs="Times New Roman"/>
          <w:color w:val="auto"/>
          <w:kern w:val="2"/>
          <w:sz w:val="24"/>
          <w:szCs w:val="24"/>
          <w:highlight w:val="none"/>
          <w:lang w:val="en-US" w:eastAsia="zh-CN" w:bidi="ar-SA"/>
        </w:rPr>
      </w:pPr>
      <w:r>
        <w:rPr>
          <w:rStyle w:val="21"/>
          <w:rFonts w:hint="eastAsia" w:ascii="宋体" w:hAnsi="宋体" w:eastAsia="宋体" w:cs="Times New Roman"/>
          <w:color w:val="auto"/>
          <w:kern w:val="2"/>
          <w:sz w:val="24"/>
          <w:szCs w:val="24"/>
          <w:highlight w:val="none"/>
          <w:lang w:val="en-US" w:eastAsia="zh-CN" w:bidi="ar-SA"/>
        </w:rPr>
        <w:t>18.1验收工作分类</w:t>
      </w:r>
    </w:p>
    <w:p>
      <w:pPr>
        <w:pStyle w:val="65"/>
        <w:spacing w:line="360" w:lineRule="auto"/>
        <w:rPr>
          <w:rStyle w:val="21"/>
          <w:rFonts w:ascii="宋体" w:hAnsi="宋体" w:eastAsia="宋体" w:cs="Times New Roman"/>
          <w:color w:val="auto"/>
          <w:kern w:val="2"/>
          <w:sz w:val="24"/>
          <w:szCs w:val="24"/>
          <w:highlight w:val="none"/>
          <w:lang w:val="en-US" w:eastAsia="zh-CN" w:bidi="ar-SA"/>
        </w:rPr>
      </w:pPr>
      <w:r>
        <w:rPr>
          <w:rStyle w:val="21"/>
          <w:rFonts w:hint="eastAsia" w:ascii="宋体" w:hAnsi="宋体" w:eastAsia="宋体" w:cs="Times New Roman"/>
          <w:color w:val="auto"/>
          <w:kern w:val="2"/>
          <w:sz w:val="24"/>
          <w:szCs w:val="24"/>
          <w:highlight w:val="none"/>
          <w:lang w:val="en-US" w:eastAsia="zh-CN" w:bidi="ar-SA"/>
        </w:rPr>
        <w:t>本工程法人验收包括：</w:t>
      </w:r>
      <w:r>
        <w:rPr>
          <w:rStyle w:val="21"/>
          <w:rFonts w:hint="eastAsia" w:ascii="宋体" w:hAnsi="宋体" w:eastAsia="宋体" w:cs="Times New Roman"/>
          <w:color w:val="auto"/>
          <w:kern w:val="2"/>
          <w:sz w:val="24"/>
          <w:szCs w:val="24"/>
          <w:highlight w:val="none"/>
          <w:u w:val="single"/>
          <w:lang w:val="en-US" w:eastAsia="zh-CN" w:bidi="ar-SA"/>
        </w:rPr>
        <w:t xml:space="preserve">                                      </w:t>
      </w:r>
      <w:r>
        <w:rPr>
          <w:rStyle w:val="21"/>
          <w:rFonts w:hint="eastAsia" w:ascii="宋体" w:hAnsi="宋体" w:eastAsia="宋体" w:cs="Times New Roman"/>
          <w:color w:val="auto"/>
          <w:kern w:val="2"/>
          <w:sz w:val="24"/>
          <w:szCs w:val="24"/>
          <w:highlight w:val="none"/>
          <w:lang w:val="en-US" w:eastAsia="zh-CN" w:bidi="ar-SA"/>
        </w:rPr>
        <w:t>；政府验收包括：</w:t>
      </w:r>
      <w:r>
        <w:rPr>
          <w:rStyle w:val="21"/>
          <w:rFonts w:hint="eastAsia" w:ascii="宋体" w:hAnsi="宋体" w:eastAsia="宋体" w:cs="Times New Roman"/>
          <w:color w:val="auto"/>
          <w:kern w:val="2"/>
          <w:sz w:val="24"/>
          <w:szCs w:val="24"/>
          <w:highlight w:val="none"/>
          <w:u w:val="single"/>
          <w:lang w:val="en-US" w:eastAsia="zh-CN" w:bidi="ar-SA"/>
        </w:rPr>
        <w:t xml:space="preserve">                                       </w:t>
      </w:r>
      <w:r>
        <w:rPr>
          <w:rStyle w:val="21"/>
          <w:rFonts w:hint="eastAsia" w:ascii="宋体" w:hAnsi="宋体" w:eastAsia="宋体" w:cs="Times New Roman"/>
          <w:color w:val="auto"/>
          <w:kern w:val="2"/>
          <w:sz w:val="24"/>
          <w:szCs w:val="24"/>
          <w:highlight w:val="none"/>
          <w:lang w:val="en-US" w:eastAsia="zh-CN" w:bidi="ar-SA"/>
        </w:rPr>
        <w:t>。验收条件为</w:t>
      </w:r>
      <w:r>
        <w:rPr>
          <w:rStyle w:val="21"/>
          <w:rFonts w:hint="eastAsia" w:ascii="宋体" w:hAnsi="宋体" w:eastAsia="宋体" w:cs="Times New Roman"/>
          <w:color w:val="auto"/>
          <w:kern w:val="2"/>
          <w:sz w:val="24"/>
          <w:szCs w:val="24"/>
          <w:highlight w:val="none"/>
          <w:u w:val="single"/>
          <w:lang w:val="en-US" w:eastAsia="zh-CN" w:bidi="ar-SA"/>
        </w:rPr>
        <w:t xml:space="preserve">                      </w:t>
      </w:r>
      <w:r>
        <w:rPr>
          <w:rStyle w:val="21"/>
          <w:rFonts w:hint="eastAsia" w:ascii="宋体" w:hAnsi="宋体" w:eastAsia="宋体" w:cs="Times New Roman"/>
          <w:color w:val="auto"/>
          <w:kern w:val="2"/>
          <w:sz w:val="24"/>
          <w:szCs w:val="24"/>
          <w:highlight w:val="none"/>
          <w:lang w:val="en-US" w:eastAsia="zh-CN" w:bidi="ar-SA"/>
        </w:rPr>
        <w:t>，验收程序为：</w:t>
      </w:r>
      <w:r>
        <w:rPr>
          <w:rStyle w:val="21"/>
          <w:rFonts w:hint="eastAsia" w:ascii="宋体" w:hAnsi="宋体" w:eastAsia="宋体" w:cs="Times New Roman"/>
          <w:color w:val="auto"/>
          <w:kern w:val="2"/>
          <w:sz w:val="24"/>
          <w:szCs w:val="24"/>
          <w:highlight w:val="none"/>
          <w:u w:val="single"/>
          <w:lang w:val="en-US" w:eastAsia="zh-CN" w:bidi="ar-SA"/>
        </w:rPr>
        <w:t xml:space="preserve">                                </w:t>
      </w:r>
      <w:r>
        <w:rPr>
          <w:rStyle w:val="21"/>
          <w:rFonts w:hint="eastAsia" w:ascii="宋体" w:hAnsi="宋体" w:eastAsia="宋体" w:cs="Times New Roman"/>
          <w:color w:val="auto"/>
          <w:kern w:val="2"/>
          <w:sz w:val="24"/>
          <w:szCs w:val="24"/>
          <w:highlight w:val="none"/>
          <w:lang w:val="en-US" w:eastAsia="zh-CN" w:bidi="ar-SA"/>
        </w:rPr>
        <w:t>。</w:t>
      </w:r>
    </w:p>
    <w:p>
      <w:pPr>
        <w:pStyle w:val="65"/>
        <w:spacing w:line="360" w:lineRule="auto"/>
        <w:rPr>
          <w:rStyle w:val="21"/>
          <w:rFonts w:ascii="宋体" w:hAnsi="宋体" w:eastAsia="宋体" w:cs="Times New Roman"/>
          <w:color w:val="auto"/>
          <w:kern w:val="2"/>
          <w:sz w:val="24"/>
          <w:szCs w:val="24"/>
          <w:highlight w:val="none"/>
          <w:lang w:val="en-US" w:eastAsia="zh-CN" w:bidi="ar-SA"/>
        </w:rPr>
      </w:pPr>
      <w:r>
        <w:rPr>
          <w:rStyle w:val="21"/>
          <w:rFonts w:hint="eastAsia" w:ascii="宋体" w:hAnsi="宋体" w:eastAsia="宋体" w:cs="Times New Roman"/>
          <w:color w:val="auto"/>
          <w:kern w:val="2"/>
          <w:sz w:val="24"/>
          <w:szCs w:val="24"/>
          <w:highlight w:val="none"/>
          <w:lang w:val="en-US" w:eastAsia="zh-CN" w:bidi="ar-SA"/>
        </w:rPr>
        <w:t>18.2分部工程验收</w:t>
      </w:r>
    </w:p>
    <w:p>
      <w:pPr>
        <w:pStyle w:val="65"/>
        <w:spacing w:line="360" w:lineRule="auto"/>
        <w:rPr>
          <w:rStyle w:val="21"/>
          <w:rFonts w:ascii="宋体" w:hAnsi="宋体" w:eastAsia="宋体" w:cs="Times New Roman"/>
          <w:color w:val="auto"/>
          <w:kern w:val="2"/>
          <w:sz w:val="24"/>
          <w:szCs w:val="24"/>
          <w:highlight w:val="none"/>
          <w:lang w:val="en-US" w:eastAsia="zh-CN" w:bidi="ar-SA"/>
        </w:rPr>
      </w:pPr>
      <w:r>
        <w:rPr>
          <w:rStyle w:val="21"/>
          <w:rFonts w:hint="eastAsia" w:ascii="宋体" w:hAnsi="宋体" w:eastAsia="宋体" w:cs="Times New Roman"/>
          <w:color w:val="auto"/>
          <w:kern w:val="2"/>
          <w:sz w:val="24"/>
          <w:szCs w:val="24"/>
          <w:highlight w:val="none"/>
          <w:lang w:val="en-US" w:eastAsia="zh-CN" w:bidi="ar-SA"/>
        </w:rPr>
        <w:t>18.2.2本工程由发包人主持的分部工程验收为</w:t>
      </w:r>
      <w:r>
        <w:rPr>
          <w:rStyle w:val="21"/>
          <w:rFonts w:hint="eastAsia" w:ascii="宋体" w:hAnsi="宋体" w:eastAsia="宋体" w:cs="Times New Roman"/>
          <w:color w:val="auto"/>
          <w:kern w:val="2"/>
          <w:sz w:val="24"/>
          <w:szCs w:val="24"/>
          <w:highlight w:val="none"/>
          <w:u w:val="single"/>
          <w:lang w:val="en-US" w:eastAsia="zh-CN" w:bidi="ar-SA"/>
        </w:rPr>
        <w:t xml:space="preserve">                   </w:t>
      </w:r>
      <w:r>
        <w:rPr>
          <w:rStyle w:val="21"/>
          <w:rFonts w:hint="eastAsia" w:ascii="宋体" w:hAnsi="宋体" w:eastAsia="宋体" w:cs="Times New Roman"/>
          <w:color w:val="auto"/>
          <w:kern w:val="2"/>
          <w:sz w:val="24"/>
          <w:szCs w:val="24"/>
          <w:highlight w:val="none"/>
          <w:lang w:val="en-US" w:eastAsia="zh-CN" w:bidi="ar-SA"/>
        </w:rPr>
        <w:t>，其余由监理人主持。</w:t>
      </w:r>
    </w:p>
    <w:p>
      <w:pPr>
        <w:pStyle w:val="65"/>
        <w:spacing w:line="360" w:lineRule="auto"/>
        <w:rPr>
          <w:rStyle w:val="21"/>
          <w:rFonts w:ascii="宋体" w:hAnsi="宋体" w:eastAsia="宋体" w:cs="Times New Roman"/>
          <w:color w:val="auto"/>
          <w:kern w:val="2"/>
          <w:sz w:val="24"/>
          <w:szCs w:val="24"/>
          <w:highlight w:val="none"/>
          <w:lang w:val="en-US" w:eastAsia="zh-CN" w:bidi="ar-SA"/>
        </w:rPr>
      </w:pPr>
      <w:r>
        <w:rPr>
          <w:rStyle w:val="21"/>
          <w:rFonts w:hint="eastAsia" w:ascii="宋体" w:hAnsi="宋体" w:eastAsia="宋体" w:cs="Times New Roman"/>
          <w:color w:val="auto"/>
          <w:kern w:val="2"/>
          <w:sz w:val="24"/>
          <w:szCs w:val="24"/>
          <w:highlight w:val="none"/>
          <w:lang w:val="en-US" w:eastAsia="zh-CN" w:bidi="ar-SA"/>
        </w:rPr>
        <w:t>18.3单位工程验收</w:t>
      </w:r>
    </w:p>
    <w:p>
      <w:pPr>
        <w:pStyle w:val="65"/>
        <w:spacing w:line="360" w:lineRule="auto"/>
        <w:rPr>
          <w:rStyle w:val="21"/>
          <w:rFonts w:ascii="宋体" w:hAnsi="宋体" w:eastAsia="宋体" w:cs="Times New Roman"/>
          <w:color w:val="auto"/>
          <w:kern w:val="2"/>
          <w:sz w:val="24"/>
          <w:szCs w:val="24"/>
          <w:highlight w:val="none"/>
          <w:lang w:val="en-US" w:eastAsia="zh-CN" w:bidi="ar-SA"/>
        </w:rPr>
      </w:pPr>
      <w:r>
        <w:rPr>
          <w:rStyle w:val="21"/>
          <w:rFonts w:hint="eastAsia" w:ascii="宋体" w:hAnsi="宋体" w:eastAsia="宋体" w:cs="Times New Roman"/>
          <w:color w:val="auto"/>
          <w:kern w:val="2"/>
          <w:sz w:val="24"/>
          <w:szCs w:val="24"/>
          <w:highlight w:val="none"/>
          <w:lang w:val="en-US" w:eastAsia="zh-CN" w:bidi="ar-SA"/>
        </w:rPr>
        <w:t>18.3.4提前投入使用的单位工程包括：、</w:t>
      </w:r>
      <w:r>
        <w:rPr>
          <w:rStyle w:val="21"/>
          <w:rFonts w:hint="eastAsia" w:ascii="宋体" w:hAnsi="宋体" w:eastAsia="宋体" w:cs="Times New Roman"/>
          <w:color w:val="auto"/>
          <w:kern w:val="2"/>
          <w:sz w:val="24"/>
          <w:szCs w:val="24"/>
          <w:highlight w:val="none"/>
          <w:u w:val="single"/>
          <w:lang w:val="en-US" w:eastAsia="zh-CN" w:bidi="ar-SA"/>
        </w:rPr>
        <w:t xml:space="preserve">       </w:t>
      </w:r>
      <w:r>
        <w:rPr>
          <w:rStyle w:val="21"/>
          <w:rFonts w:hint="eastAsia" w:ascii="宋体" w:hAnsi="宋体" w:eastAsia="宋体" w:cs="Times New Roman"/>
          <w:color w:val="auto"/>
          <w:kern w:val="2"/>
          <w:sz w:val="24"/>
          <w:szCs w:val="24"/>
          <w:highlight w:val="none"/>
          <w:lang w:val="en-US" w:eastAsia="zh-CN" w:bidi="ar-SA"/>
        </w:rPr>
        <w:t>、</w:t>
      </w:r>
      <w:r>
        <w:rPr>
          <w:rStyle w:val="21"/>
          <w:rFonts w:hint="eastAsia" w:ascii="宋体" w:hAnsi="宋体" w:eastAsia="宋体" w:cs="Times New Roman"/>
          <w:color w:val="auto"/>
          <w:kern w:val="2"/>
          <w:sz w:val="24"/>
          <w:szCs w:val="24"/>
          <w:highlight w:val="none"/>
          <w:u w:val="single"/>
          <w:lang w:val="en-US" w:eastAsia="zh-CN" w:bidi="ar-SA"/>
        </w:rPr>
        <w:t xml:space="preserve">            </w:t>
      </w:r>
      <w:r>
        <w:rPr>
          <w:rStyle w:val="21"/>
          <w:rFonts w:hint="eastAsia" w:ascii="宋体" w:hAnsi="宋体" w:eastAsia="宋体" w:cs="Times New Roman"/>
          <w:color w:val="auto"/>
          <w:kern w:val="2"/>
          <w:sz w:val="24"/>
          <w:szCs w:val="24"/>
          <w:highlight w:val="none"/>
          <w:lang w:val="en-US" w:eastAsia="zh-CN" w:bidi="ar-SA"/>
        </w:rPr>
        <w:t>。</w:t>
      </w:r>
    </w:p>
    <w:p>
      <w:pPr>
        <w:pStyle w:val="65"/>
        <w:spacing w:line="360" w:lineRule="auto"/>
        <w:rPr>
          <w:rStyle w:val="21"/>
          <w:rFonts w:ascii="宋体" w:hAnsi="宋体" w:eastAsia="宋体" w:cs="Times New Roman"/>
          <w:color w:val="auto"/>
          <w:kern w:val="2"/>
          <w:sz w:val="24"/>
          <w:szCs w:val="24"/>
          <w:highlight w:val="none"/>
          <w:lang w:val="en-US" w:eastAsia="zh-CN" w:bidi="ar-SA"/>
        </w:rPr>
      </w:pPr>
      <w:r>
        <w:rPr>
          <w:rStyle w:val="21"/>
          <w:rFonts w:hint="eastAsia" w:ascii="宋体" w:hAnsi="宋体" w:eastAsia="宋体" w:cs="Times New Roman"/>
          <w:color w:val="auto"/>
          <w:kern w:val="2"/>
          <w:sz w:val="24"/>
          <w:szCs w:val="24"/>
          <w:highlight w:val="none"/>
          <w:lang w:val="en-US" w:eastAsia="zh-CN" w:bidi="ar-SA"/>
        </w:rPr>
        <w:t>18.5阶段验收</w:t>
      </w:r>
    </w:p>
    <w:p>
      <w:pPr>
        <w:pStyle w:val="65"/>
        <w:spacing w:line="360" w:lineRule="auto"/>
        <w:rPr>
          <w:rStyle w:val="21"/>
          <w:rFonts w:ascii="宋体" w:hAnsi="宋体" w:eastAsia="宋体" w:cs="Times New Roman"/>
          <w:color w:val="auto"/>
          <w:kern w:val="2"/>
          <w:sz w:val="24"/>
          <w:szCs w:val="24"/>
          <w:highlight w:val="none"/>
          <w:lang w:val="en-US" w:eastAsia="zh-CN" w:bidi="ar-SA"/>
        </w:rPr>
      </w:pPr>
      <w:r>
        <w:rPr>
          <w:rStyle w:val="21"/>
          <w:rFonts w:hint="eastAsia" w:ascii="宋体" w:hAnsi="宋体" w:eastAsia="宋体" w:cs="Times New Roman"/>
          <w:color w:val="auto"/>
          <w:kern w:val="2"/>
          <w:sz w:val="24"/>
          <w:szCs w:val="24"/>
          <w:highlight w:val="none"/>
          <w:lang w:val="en-US" w:eastAsia="zh-CN" w:bidi="ar-SA"/>
        </w:rPr>
        <w:t>18.5.1本合同工程阶段验收类别包括：</w:t>
      </w:r>
      <w:r>
        <w:rPr>
          <w:rStyle w:val="21"/>
          <w:rFonts w:hint="eastAsia" w:ascii="宋体" w:hAnsi="宋体" w:eastAsia="宋体" w:cs="Times New Roman"/>
          <w:color w:val="auto"/>
          <w:kern w:val="2"/>
          <w:sz w:val="24"/>
          <w:szCs w:val="24"/>
          <w:highlight w:val="none"/>
          <w:u w:val="single"/>
          <w:lang w:val="en-US" w:eastAsia="zh-CN" w:bidi="ar-SA"/>
        </w:rPr>
        <w:t xml:space="preserve">         </w:t>
      </w:r>
      <w:r>
        <w:rPr>
          <w:rStyle w:val="21"/>
          <w:rFonts w:hint="eastAsia" w:ascii="宋体" w:hAnsi="宋体" w:eastAsia="宋体" w:cs="Times New Roman"/>
          <w:color w:val="auto"/>
          <w:kern w:val="2"/>
          <w:sz w:val="24"/>
          <w:szCs w:val="24"/>
          <w:highlight w:val="none"/>
          <w:lang w:val="en-US" w:eastAsia="zh-CN" w:bidi="ar-SA"/>
        </w:rPr>
        <w:t>、</w:t>
      </w:r>
      <w:r>
        <w:rPr>
          <w:rStyle w:val="21"/>
          <w:rFonts w:hint="eastAsia" w:ascii="宋体" w:hAnsi="宋体" w:eastAsia="宋体" w:cs="Times New Roman"/>
          <w:color w:val="auto"/>
          <w:kern w:val="2"/>
          <w:sz w:val="24"/>
          <w:szCs w:val="24"/>
          <w:highlight w:val="none"/>
          <w:u w:val="single"/>
          <w:lang w:val="en-US" w:eastAsia="zh-CN" w:bidi="ar-SA"/>
        </w:rPr>
        <w:t xml:space="preserve">            </w:t>
      </w:r>
      <w:r>
        <w:rPr>
          <w:rStyle w:val="21"/>
          <w:rFonts w:hint="eastAsia" w:ascii="宋体" w:hAnsi="宋体" w:eastAsia="宋体" w:cs="Times New Roman"/>
          <w:color w:val="auto"/>
          <w:kern w:val="2"/>
          <w:sz w:val="24"/>
          <w:szCs w:val="24"/>
          <w:highlight w:val="none"/>
          <w:lang w:val="en-US" w:eastAsia="zh-CN" w:bidi="ar-SA"/>
        </w:rPr>
        <w:t>、</w:t>
      </w:r>
      <w:r>
        <w:rPr>
          <w:rStyle w:val="21"/>
          <w:rFonts w:hint="eastAsia" w:ascii="宋体" w:hAnsi="宋体" w:eastAsia="宋体" w:cs="Times New Roman"/>
          <w:color w:val="auto"/>
          <w:kern w:val="2"/>
          <w:sz w:val="24"/>
          <w:szCs w:val="24"/>
          <w:highlight w:val="none"/>
          <w:u w:val="single"/>
          <w:lang w:val="en-US" w:eastAsia="zh-CN" w:bidi="ar-SA"/>
        </w:rPr>
        <w:t xml:space="preserve">                 </w:t>
      </w:r>
      <w:r>
        <w:rPr>
          <w:rStyle w:val="21"/>
          <w:rFonts w:hint="eastAsia" w:ascii="宋体" w:hAnsi="宋体" w:eastAsia="宋体" w:cs="Times New Roman"/>
          <w:color w:val="auto"/>
          <w:kern w:val="2"/>
          <w:sz w:val="24"/>
          <w:szCs w:val="24"/>
          <w:highlight w:val="none"/>
          <w:lang w:val="en-US" w:eastAsia="zh-CN" w:bidi="ar-SA"/>
        </w:rPr>
        <w:t>。</w:t>
      </w:r>
    </w:p>
    <w:p>
      <w:pPr>
        <w:pStyle w:val="65"/>
        <w:spacing w:line="360" w:lineRule="auto"/>
        <w:rPr>
          <w:rStyle w:val="21"/>
          <w:rFonts w:ascii="宋体" w:hAnsi="宋体" w:eastAsia="宋体" w:cs="Times New Roman"/>
          <w:color w:val="auto"/>
          <w:kern w:val="2"/>
          <w:sz w:val="24"/>
          <w:szCs w:val="24"/>
          <w:highlight w:val="none"/>
          <w:lang w:val="en-US" w:eastAsia="zh-CN" w:bidi="ar-SA"/>
        </w:rPr>
      </w:pPr>
      <w:r>
        <w:rPr>
          <w:rStyle w:val="21"/>
          <w:rFonts w:hint="eastAsia" w:ascii="宋体" w:hAnsi="宋体" w:eastAsia="宋体" w:cs="Times New Roman"/>
          <w:color w:val="auto"/>
          <w:kern w:val="2"/>
          <w:sz w:val="24"/>
          <w:szCs w:val="24"/>
          <w:highlight w:val="none"/>
          <w:lang w:val="en-US" w:eastAsia="zh-CN" w:bidi="ar-SA"/>
        </w:rPr>
        <w:t>18.6专项验收</w:t>
      </w:r>
    </w:p>
    <w:p>
      <w:pPr>
        <w:pStyle w:val="65"/>
        <w:spacing w:line="360" w:lineRule="auto"/>
        <w:rPr>
          <w:rStyle w:val="21"/>
          <w:rFonts w:ascii="宋体" w:hAnsi="宋体" w:eastAsia="宋体" w:cs="Times New Roman"/>
          <w:color w:val="auto"/>
          <w:kern w:val="2"/>
          <w:sz w:val="24"/>
          <w:szCs w:val="24"/>
          <w:highlight w:val="none"/>
          <w:lang w:val="en-US" w:eastAsia="zh-CN" w:bidi="ar-SA"/>
        </w:rPr>
      </w:pPr>
      <w:r>
        <w:rPr>
          <w:rStyle w:val="21"/>
          <w:rFonts w:hint="eastAsia" w:ascii="宋体" w:hAnsi="宋体" w:eastAsia="宋体" w:cs="Times New Roman"/>
          <w:color w:val="auto"/>
          <w:kern w:val="2"/>
          <w:sz w:val="24"/>
          <w:szCs w:val="24"/>
          <w:highlight w:val="none"/>
          <w:lang w:val="en-US" w:eastAsia="zh-CN" w:bidi="ar-SA"/>
        </w:rPr>
        <w:t>18.6.2本合同工程专项验收类别包括：</w:t>
      </w:r>
      <w:r>
        <w:rPr>
          <w:rStyle w:val="21"/>
          <w:rFonts w:hint="eastAsia" w:ascii="宋体" w:hAnsi="宋体" w:eastAsia="宋体" w:cs="Times New Roman"/>
          <w:color w:val="auto"/>
          <w:kern w:val="2"/>
          <w:sz w:val="24"/>
          <w:szCs w:val="24"/>
          <w:highlight w:val="none"/>
          <w:u w:val="single"/>
          <w:lang w:val="en-US" w:eastAsia="zh-CN" w:bidi="ar-SA"/>
        </w:rPr>
        <w:t xml:space="preserve">   、      、             。</w:t>
      </w:r>
    </w:p>
    <w:p>
      <w:pPr>
        <w:pStyle w:val="65"/>
        <w:spacing w:line="360" w:lineRule="auto"/>
        <w:rPr>
          <w:rStyle w:val="21"/>
          <w:rFonts w:ascii="宋体" w:hAnsi="宋体" w:eastAsia="宋体" w:cs="Times New Roman"/>
          <w:color w:val="auto"/>
          <w:kern w:val="2"/>
          <w:sz w:val="24"/>
          <w:szCs w:val="24"/>
          <w:highlight w:val="none"/>
          <w:lang w:val="en-US" w:eastAsia="zh-CN" w:bidi="ar-SA"/>
        </w:rPr>
      </w:pPr>
      <w:r>
        <w:rPr>
          <w:rStyle w:val="21"/>
          <w:rFonts w:hint="eastAsia" w:ascii="宋体" w:hAnsi="宋体" w:eastAsia="宋体" w:cs="Times New Roman"/>
          <w:color w:val="auto"/>
          <w:kern w:val="2"/>
          <w:sz w:val="24"/>
          <w:szCs w:val="24"/>
          <w:highlight w:val="none"/>
          <w:lang w:val="en-US" w:eastAsia="zh-CN" w:bidi="ar-SA"/>
        </w:rPr>
        <w:t>18.7竣工验收</w:t>
      </w:r>
    </w:p>
    <w:p>
      <w:pPr>
        <w:pStyle w:val="65"/>
        <w:spacing w:line="360" w:lineRule="auto"/>
        <w:rPr>
          <w:rStyle w:val="21"/>
          <w:rFonts w:ascii="宋体" w:hAnsi="宋体" w:eastAsia="宋体" w:cs="Times New Roman"/>
          <w:color w:val="auto"/>
          <w:kern w:val="2"/>
          <w:sz w:val="24"/>
          <w:szCs w:val="24"/>
          <w:highlight w:val="none"/>
          <w:lang w:val="en-US" w:eastAsia="zh-CN" w:bidi="ar-SA"/>
        </w:rPr>
      </w:pPr>
      <w:r>
        <w:rPr>
          <w:rStyle w:val="21"/>
          <w:rFonts w:hint="eastAsia" w:ascii="宋体" w:hAnsi="宋体" w:eastAsia="宋体" w:cs="Times New Roman"/>
          <w:color w:val="auto"/>
          <w:kern w:val="2"/>
          <w:sz w:val="24"/>
          <w:szCs w:val="24"/>
          <w:highlight w:val="none"/>
          <w:lang w:val="en-US" w:eastAsia="zh-CN" w:bidi="ar-SA"/>
        </w:rPr>
        <w:t>18.7.3本工程(需要／不需要)竣工验收技术鉴定(蓄水安全鉴定)。</w:t>
      </w:r>
    </w:p>
    <w:p>
      <w:pPr>
        <w:pStyle w:val="65"/>
        <w:spacing w:line="360" w:lineRule="auto"/>
        <w:rPr>
          <w:rStyle w:val="21"/>
          <w:rFonts w:ascii="宋体" w:hAnsi="宋体" w:eastAsia="宋体" w:cs="Times New Roman"/>
          <w:color w:val="auto"/>
          <w:kern w:val="2"/>
          <w:sz w:val="24"/>
          <w:szCs w:val="24"/>
          <w:highlight w:val="none"/>
          <w:lang w:val="en-US" w:eastAsia="zh-CN" w:bidi="ar-SA"/>
        </w:rPr>
      </w:pPr>
      <w:r>
        <w:rPr>
          <w:rStyle w:val="21"/>
          <w:rFonts w:hint="eastAsia" w:ascii="宋体" w:hAnsi="宋体" w:eastAsia="宋体" w:cs="Times New Roman"/>
          <w:color w:val="auto"/>
          <w:kern w:val="2"/>
          <w:sz w:val="24"/>
          <w:szCs w:val="24"/>
          <w:highlight w:val="none"/>
          <w:lang w:val="en-US" w:eastAsia="zh-CN" w:bidi="ar-SA"/>
        </w:rPr>
        <w:t>18.8施工期运行</w:t>
      </w:r>
    </w:p>
    <w:p>
      <w:pPr>
        <w:pStyle w:val="65"/>
        <w:spacing w:line="360" w:lineRule="auto"/>
        <w:rPr>
          <w:rStyle w:val="21"/>
          <w:rFonts w:ascii="宋体" w:hAnsi="宋体" w:eastAsia="宋体" w:cs="Times New Roman"/>
          <w:color w:val="auto"/>
          <w:kern w:val="2"/>
          <w:sz w:val="24"/>
          <w:szCs w:val="24"/>
          <w:highlight w:val="none"/>
          <w:lang w:val="en-US" w:eastAsia="zh-CN" w:bidi="ar-SA"/>
        </w:rPr>
      </w:pPr>
      <w:r>
        <w:rPr>
          <w:rStyle w:val="21"/>
          <w:rFonts w:hint="eastAsia" w:ascii="宋体" w:hAnsi="宋体" w:eastAsia="宋体" w:cs="Times New Roman"/>
          <w:color w:val="auto"/>
          <w:kern w:val="2"/>
          <w:sz w:val="24"/>
          <w:szCs w:val="24"/>
          <w:highlight w:val="none"/>
          <w:lang w:val="en-US" w:eastAsia="zh-CN" w:bidi="ar-SA"/>
        </w:rPr>
        <w:t>18.8.1需要在施工期运行的单位工程或工程设备为：</w:t>
      </w:r>
      <w:r>
        <w:rPr>
          <w:rStyle w:val="21"/>
          <w:rFonts w:hint="eastAsia" w:ascii="宋体" w:hAnsi="宋体" w:eastAsia="宋体" w:cs="Times New Roman"/>
          <w:color w:val="auto"/>
          <w:kern w:val="2"/>
          <w:sz w:val="24"/>
          <w:szCs w:val="24"/>
          <w:highlight w:val="none"/>
          <w:u w:val="single"/>
          <w:lang w:val="en-US" w:eastAsia="zh-CN" w:bidi="ar-SA"/>
        </w:rPr>
        <w:t xml:space="preserve">         </w:t>
      </w:r>
      <w:r>
        <w:rPr>
          <w:rStyle w:val="21"/>
          <w:rFonts w:hint="eastAsia" w:ascii="宋体" w:hAnsi="宋体" w:eastAsia="宋体" w:cs="Times New Roman"/>
          <w:color w:val="auto"/>
          <w:kern w:val="2"/>
          <w:sz w:val="24"/>
          <w:szCs w:val="24"/>
          <w:highlight w:val="none"/>
          <w:lang w:val="en-US" w:eastAsia="zh-CN" w:bidi="ar-SA"/>
        </w:rPr>
        <w:t>、</w:t>
      </w:r>
      <w:r>
        <w:rPr>
          <w:rStyle w:val="21"/>
          <w:rFonts w:hint="eastAsia" w:ascii="宋体" w:hAnsi="宋体" w:eastAsia="宋体" w:cs="Times New Roman"/>
          <w:color w:val="auto"/>
          <w:kern w:val="2"/>
          <w:sz w:val="24"/>
          <w:szCs w:val="24"/>
          <w:highlight w:val="none"/>
          <w:u w:val="single"/>
          <w:lang w:val="en-US" w:eastAsia="zh-CN" w:bidi="ar-SA"/>
        </w:rPr>
        <w:t xml:space="preserve">    </w:t>
      </w:r>
      <w:r>
        <w:rPr>
          <w:rStyle w:val="21"/>
          <w:rFonts w:hint="eastAsia" w:ascii="宋体" w:hAnsi="宋体" w:eastAsia="宋体" w:cs="Times New Roman"/>
          <w:color w:val="auto"/>
          <w:kern w:val="2"/>
          <w:sz w:val="24"/>
          <w:szCs w:val="24"/>
          <w:highlight w:val="none"/>
          <w:lang w:val="en-US" w:eastAsia="zh-CN" w:bidi="ar-SA"/>
        </w:rPr>
        <w:t>、</w:t>
      </w:r>
      <w:r>
        <w:rPr>
          <w:rStyle w:val="21"/>
          <w:rFonts w:hint="eastAsia" w:ascii="宋体" w:hAnsi="宋体" w:eastAsia="宋体" w:cs="Times New Roman"/>
          <w:color w:val="auto"/>
          <w:kern w:val="2"/>
          <w:sz w:val="24"/>
          <w:szCs w:val="24"/>
          <w:highlight w:val="none"/>
          <w:u w:val="single"/>
          <w:lang w:val="en-US" w:eastAsia="zh-CN" w:bidi="ar-SA"/>
        </w:rPr>
        <w:t xml:space="preserve">         </w:t>
      </w:r>
      <w:r>
        <w:rPr>
          <w:rStyle w:val="21"/>
          <w:rFonts w:hint="eastAsia" w:ascii="宋体" w:hAnsi="宋体" w:eastAsia="宋体" w:cs="Times New Roman"/>
          <w:color w:val="auto"/>
          <w:kern w:val="2"/>
          <w:sz w:val="24"/>
          <w:szCs w:val="24"/>
          <w:highlight w:val="none"/>
          <w:lang w:val="en-US" w:eastAsia="zh-CN" w:bidi="ar-SA"/>
        </w:rPr>
        <w:t>。</w:t>
      </w:r>
    </w:p>
    <w:p>
      <w:pPr>
        <w:pStyle w:val="65"/>
        <w:spacing w:line="360" w:lineRule="auto"/>
        <w:rPr>
          <w:rStyle w:val="21"/>
          <w:rFonts w:ascii="宋体" w:hAnsi="宋体" w:eastAsia="宋体" w:cs="Times New Roman"/>
          <w:color w:val="auto"/>
          <w:kern w:val="2"/>
          <w:sz w:val="24"/>
          <w:szCs w:val="24"/>
          <w:highlight w:val="none"/>
          <w:lang w:val="en-US" w:eastAsia="zh-CN" w:bidi="ar-SA"/>
        </w:rPr>
      </w:pPr>
      <w:r>
        <w:rPr>
          <w:rStyle w:val="21"/>
          <w:rFonts w:hint="eastAsia" w:ascii="宋体" w:hAnsi="宋体" w:eastAsia="宋体" w:cs="Times New Roman"/>
          <w:color w:val="auto"/>
          <w:kern w:val="2"/>
          <w:sz w:val="24"/>
          <w:szCs w:val="24"/>
          <w:highlight w:val="none"/>
          <w:lang w:val="en-US" w:eastAsia="zh-CN" w:bidi="ar-SA"/>
        </w:rPr>
        <w:t>18.9试运行</w:t>
      </w:r>
    </w:p>
    <w:p>
      <w:pPr>
        <w:pStyle w:val="65"/>
        <w:spacing w:line="360" w:lineRule="auto"/>
        <w:rPr>
          <w:rStyle w:val="21"/>
          <w:rFonts w:ascii="宋体" w:hAnsi="宋体" w:eastAsia="宋体" w:cs="Times New Roman"/>
          <w:color w:val="auto"/>
          <w:kern w:val="2"/>
          <w:sz w:val="24"/>
          <w:szCs w:val="24"/>
          <w:highlight w:val="none"/>
          <w:lang w:val="en-US" w:eastAsia="zh-CN" w:bidi="ar-SA"/>
        </w:rPr>
      </w:pPr>
      <w:r>
        <w:rPr>
          <w:rStyle w:val="21"/>
          <w:rFonts w:hint="eastAsia" w:ascii="宋体" w:hAnsi="宋体" w:eastAsia="宋体" w:cs="Times New Roman"/>
          <w:color w:val="auto"/>
          <w:kern w:val="2"/>
          <w:sz w:val="24"/>
          <w:szCs w:val="24"/>
          <w:highlight w:val="none"/>
          <w:lang w:val="en-US" w:eastAsia="zh-CN" w:bidi="ar-SA"/>
        </w:rPr>
        <w:t>18.9.1试运行的组织：</w:t>
      </w:r>
      <w:r>
        <w:rPr>
          <w:rStyle w:val="21"/>
          <w:rFonts w:hint="eastAsia" w:ascii="宋体" w:hAnsi="宋体" w:eastAsia="宋体" w:cs="Times New Roman"/>
          <w:color w:val="auto"/>
          <w:kern w:val="2"/>
          <w:sz w:val="24"/>
          <w:szCs w:val="24"/>
          <w:highlight w:val="none"/>
          <w:u w:val="single"/>
          <w:lang w:val="en-US" w:eastAsia="zh-CN" w:bidi="ar-SA"/>
        </w:rPr>
        <w:t xml:space="preserve">                   </w:t>
      </w:r>
      <w:r>
        <w:rPr>
          <w:rStyle w:val="21"/>
          <w:rFonts w:hint="eastAsia" w:ascii="宋体" w:hAnsi="宋体" w:eastAsia="宋体" w:cs="Times New Roman"/>
          <w:color w:val="auto"/>
          <w:kern w:val="2"/>
          <w:sz w:val="24"/>
          <w:szCs w:val="24"/>
          <w:highlight w:val="none"/>
          <w:lang w:val="en-US" w:eastAsia="zh-CN" w:bidi="ar-SA"/>
        </w:rPr>
        <w:t>；费用承担：</w:t>
      </w:r>
      <w:r>
        <w:rPr>
          <w:rStyle w:val="21"/>
          <w:rFonts w:hint="eastAsia" w:ascii="宋体" w:hAnsi="宋体" w:eastAsia="宋体" w:cs="Times New Roman"/>
          <w:color w:val="auto"/>
          <w:kern w:val="2"/>
          <w:sz w:val="24"/>
          <w:szCs w:val="24"/>
          <w:highlight w:val="none"/>
          <w:u w:val="single"/>
          <w:lang w:val="en-US" w:eastAsia="zh-CN" w:bidi="ar-SA"/>
        </w:rPr>
        <w:t xml:space="preserve">                </w:t>
      </w:r>
      <w:r>
        <w:rPr>
          <w:rStyle w:val="21"/>
          <w:rFonts w:hint="eastAsia" w:ascii="宋体" w:hAnsi="宋体" w:eastAsia="宋体" w:cs="Times New Roman"/>
          <w:color w:val="auto"/>
          <w:kern w:val="2"/>
          <w:sz w:val="24"/>
          <w:szCs w:val="24"/>
          <w:highlight w:val="none"/>
          <w:lang w:val="en-US" w:eastAsia="zh-CN" w:bidi="ar-SA"/>
        </w:rPr>
        <w:t>。</w:t>
      </w:r>
    </w:p>
    <w:p>
      <w:pPr>
        <w:pStyle w:val="66"/>
        <w:rPr>
          <w:rStyle w:val="21"/>
          <w:color w:val="auto"/>
          <w:kern w:val="2"/>
          <w:sz w:val="24"/>
          <w:szCs w:val="24"/>
          <w:highlight w:val="none"/>
          <w:lang w:val="en-US" w:eastAsia="zh-CN" w:bidi="ar-SA"/>
        </w:rPr>
      </w:pPr>
      <w:bookmarkStart w:id="313" w:name="_Toc22296"/>
      <w:r>
        <w:rPr>
          <w:rStyle w:val="21"/>
          <w:rFonts w:hint="eastAsia"/>
          <w:color w:val="auto"/>
          <w:kern w:val="2"/>
          <w:sz w:val="24"/>
          <w:szCs w:val="24"/>
          <w:highlight w:val="none"/>
          <w:lang w:val="en-US" w:eastAsia="zh-CN" w:bidi="ar-SA"/>
        </w:rPr>
        <w:t>19缺陷责任与保修责任</w:t>
      </w:r>
      <w:bookmarkEnd w:id="313"/>
    </w:p>
    <w:p>
      <w:pPr>
        <w:pStyle w:val="65"/>
        <w:spacing w:line="360" w:lineRule="auto"/>
        <w:rPr>
          <w:rStyle w:val="21"/>
          <w:rFonts w:ascii="宋体" w:hAnsi="宋体" w:eastAsia="宋体" w:cs="Times New Roman"/>
          <w:color w:val="auto"/>
          <w:kern w:val="2"/>
          <w:sz w:val="24"/>
          <w:szCs w:val="24"/>
          <w:highlight w:val="none"/>
          <w:lang w:val="en-US" w:eastAsia="zh-CN" w:bidi="ar-SA"/>
        </w:rPr>
      </w:pPr>
      <w:r>
        <w:rPr>
          <w:rStyle w:val="21"/>
          <w:rFonts w:hint="eastAsia" w:ascii="宋体" w:hAnsi="宋体" w:eastAsia="宋体" w:cs="Times New Roman"/>
          <w:color w:val="auto"/>
          <w:kern w:val="2"/>
          <w:sz w:val="24"/>
          <w:szCs w:val="24"/>
          <w:highlight w:val="none"/>
          <w:lang w:val="en-US" w:eastAsia="zh-CN" w:bidi="ar-SA"/>
        </w:rPr>
        <w:t>19.1缺陷责任期(工程质量保修期)的起算时间</w:t>
      </w:r>
    </w:p>
    <w:p>
      <w:pPr>
        <w:pStyle w:val="65"/>
        <w:spacing w:line="360" w:lineRule="auto"/>
        <w:rPr>
          <w:rStyle w:val="21"/>
          <w:rFonts w:ascii="宋体" w:hAnsi="宋体" w:eastAsia="宋体" w:cs="Times New Roman"/>
          <w:color w:val="auto"/>
          <w:kern w:val="2"/>
          <w:sz w:val="24"/>
          <w:szCs w:val="24"/>
          <w:highlight w:val="none"/>
          <w:lang w:val="en-US" w:eastAsia="zh-CN" w:bidi="ar-SA"/>
        </w:rPr>
      </w:pPr>
      <w:r>
        <w:rPr>
          <w:rStyle w:val="21"/>
          <w:rFonts w:hint="eastAsia" w:ascii="宋体" w:hAnsi="宋体" w:eastAsia="宋体" w:cs="Times New Roman"/>
          <w:color w:val="auto"/>
          <w:kern w:val="2"/>
          <w:sz w:val="24"/>
          <w:szCs w:val="24"/>
          <w:highlight w:val="none"/>
          <w:lang w:val="en-US" w:eastAsia="zh-CN" w:bidi="ar-SA"/>
        </w:rPr>
        <w:t>本工程缺陷责任期(工程质量保修期)计算如下：</w:t>
      </w:r>
      <w:r>
        <w:rPr>
          <w:rStyle w:val="21"/>
          <w:rFonts w:hint="eastAsia" w:ascii="宋体" w:hAnsi="宋体" w:eastAsia="宋体" w:cs="Times New Roman"/>
          <w:color w:val="auto"/>
          <w:kern w:val="2"/>
          <w:sz w:val="24"/>
          <w:szCs w:val="24"/>
          <w:highlight w:val="none"/>
          <w:u w:val="single"/>
          <w:lang w:val="en-US" w:eastAsia="zh-CN" w:bidi="ar-SA"/>
        </w:rPr>
        <w:t xml:space="preserve">                  </w:t>
      </w:r>
      <w:r>
        <w:rPr>
          <w:rStyle w:val="21"/>
          <w:rFonts w:hint="eastAsia" w:ascii="宋体" w:hAnsi="宋体" w:eastAsia="宋体" w:cs="Times New Roman"/>
          <w:color w:val="auto"/>
          <w:kern w:val="2"/>
          <w:sz w:val="24"/>
          <w:szCs w:val="24"/>
          <w:highlight w:val="none"/>
          <w:lang w:val="en-US" w:eastAsia="zh-CN" w:bidi="ar-SA"/>
        </w:rPr>
        <w:t>。</w:t>
      </w:r>
    </w:p>
    <w:p>
      <w:pPr>
        <w:pStyle w:val="66"/>
        <w:rPr>
          <w:rStyle w:val="21"/>
          <w:color w:val="auto"/>
          <w:kern w:val="2"/>
          <w:sz w:val="24"/>
          <w:szCs w:val="24"/>
          <w:highlight w:val="none"/>
          <w:lang w:val="en-US" w:eastAsia="zh-CN" w:bidi="ar-SA"/>
        </w:rPr>
      </w:pPr>
      <w:bookmarkStart w:id="314" w:name="_Toc1614"/>
      <w:r>
        <w:rPr>
          <w:rStyle w:val="21"/>
          <w:rFonts w:hint="eastAsia"/>
          <w:color w:val="auto"/>
          <w:kern w:val="2"/>
          <w:sz w:val="24"/>
          <w:szCs w:val="24"/>
          <w:highlight w:val="none"/>
          <w:lang w:val="en-US" w:eastAsia="zh-CN" w:bidi="ar-SA"/>
        </w:rPr>
        <w:t>20保险</w:t>
      </w:r>
      <w:bookmarkEnd w:id="314"/>
    </w:p>
    <w:p>
      <w:pPr>
        <w:pStyle w:val="65"/>
        <w:spacing w:line="360" w:lineRule="auto"/>
        <w:rPr>
          <w:rStyle w:val="21"/>
          <w:rFonts w:ascii="宋体" w:hAnsi="宋体" w:eastAsia="宋体" w:cs="Times New Roman"/>
          <w:color w:val="auto"/>
          <w:kern w:val="2"/>
          <w:sz w:val="24"/>
          <w:szCs w:val="24"/>
          <w:highlight w:val="none"/>
          <w:lang w:val="en-US" w:eastAsia="zh-CN" w:bidi="ar-SA"/>
        </w:rPr>
      </w:pPr>
      <w:r>
        <w:rPr>
          <w:rStyle w:val="21"/>
          <w:rFonts w:hint="eastAsia" w:ascii="宋体" w:hAnsi="宋体" w:eastAsia="宋体" w:cs="Times New Roman"/>
          <w:color w:val="auto"/>
          <w:kern w:val="2"/>
          <w:sz w:val="24"/>
          <w:szCs w:val="24"/>
          <w:highlight w:val="none"/>
          <w:lang w:val="en-US" w:eastAsia="zh-CN" w:bidi="ar-SA"/>
        </w:rPr>
        <w:t>20.1工程保险</w:t>
      </w:r>
    </w:p>
    <w:p>
      <w:pPr>
        <w:pStyle w:val="65"/>
        <w:spacing w:line="360" w:lineRule="auto"/>
        <w:rPr>
          <w:rStyle w:val="21"/>
          <w:rFonts w:ascii="宋体" w:hAnsi="宋体" w:eastAsia="宋体" w:cs="Times New Roman"/>
          <w:color w:val="auto"/>
          <w:kern w:val="2"/>
          <w:sz w:val="24"/>
          <w:szCs w:val="24"/>
          <w:highlight w:val="none"/>
          <w:lang w:val="en-US" w:eastAsia="zh-CN" w:bidi="ar-SA"/>
        </w:rPr>
      </w:pPr>
      <w:r>
        <w:rPr>
          <w:rStyle w:val="21"/>
          <w:rFonts w:hint="eastAsia" w:ascii="宋体" w:hAnsi="宋体" w:eastAsia="宋体" w:cs="Times New Roman"/>
          <w:color w:val="auto"/>
          <w:kern w:val="2"/>
          <w:sz w:val="24"/>
          <w:szCs w:val="24"/>
          <w:highlight w:val="none"/>
          <w:lang w:val="en-US" w:eastAsia="zh-CN" w:bidi="ar-SA"/>
        </w:rPr>
        <w:t>建筑工程一切险和(或)安装工程一切险投保人：</w:t>
      </w:r>
      <w:r>
        <w:rPr>
          <w:rStyle w:val="21"/>
          <w:rFonts w:hint="eastAsia" w:ascii="宋体" w:hAnsi="宋体" w:eastAsia="宋体" w:cs="Times New Roman"/>
          <w:color w:val="auto"/>
          <w:kern w:val="2"/>
          <w:sz w:val="24"/>
          <w:szCs w:val="24"/>
          <w:highlight w:val="none"/>
          <w:u w:val="single"/>
          <w:lang w:val="en-US" w:eastAsia="zh-CN" w:bidi="ar-SA"/>
        </w:rPr>
        <w:t xml:space="preserve">                               </w:t>
      </w:r>
      <w:r>
        <w:rPr>
          <w:rStyle w:val="21"/>
          <w:rFonts w:hint="eastAsia" w:ascii="宋体" w:hAnsi="宋体" w:eastAsia="宋体" w:cs="Times New Roman"/>
          <w:color w:val="auto"/>
          <w:kern w:val="2"/>
          <w:sz w:val="24"/>
          <w:szCs w:val="24"/>
          <w:highlight w:val="none"/>
          <w:lang w:val="en-US" w:eastAsia="zh-CN" w:bidi="ar-SA"/>
        </w:rPr>
        <w:t>；</w:t>
      </w:r>
    </w:p>
    <w:p>
      <w:pPr>
        <w:pStyle w:val="65"/>
        <w:spacing w:line="360" w:lineRule="auto"/>
        <w:rPr>
          <w:rStyle w:val="21"/>
          <w:rFonts w:ascii="宋体" w:hAnsi="宋体" w:eastAsia="宋体" w:cs="Times New Roman"/>
          <w:color w:val="auto"/>
          <w:kern w:val="2"/>
          <w:sz w:val="24"/>
          <w:szCs w:val="24"/>
          <w:highlight w:val="none"/>
          <w:lang w:val="en-US" w:eastAsia="zh-CN" w:bidi="ar-SA"/>
        </w:rPr>
      </w:pPr>
      <w:r>
        <w:rPr>
          <w:rStyle w:val="21"/>
          <w:rFonts w:hint="eastAsia" w:ascii="宋体" w:hAnsi="宋体" w:eastAsia="宋体" w:cs="Times New Roman"/>
          <w:color w:val="auto"/>
          <w:kern w:val="2"/>
          <w:sz w:val="24"/>
          <w:szCs w:val="24"/>
          <w:highlight w:val="none"/>
          <w:lang w:val="en-US" w:eastAsia="zh-CN" w:bidi="ar-SA"/>
        </w:rPr>
        <w:t>投保内容：</w:t>
      </w:r>
      <w:r>
        <w:rPr>
          <w:rStyle w:val="21"/>
          <w:rFonts w:hint="eastAsia" w:ascii="宋体" w:hAnsi="宋体" w:eastAsia="宋体" w:cs="Times New Roman"/>
          <w:color w:val="auto"/>
          <w:kern w:val="2"/>
          <w:sz w:val="24"/>
          <w:szCs w:val="24"/>
          <w:highlight w:val="none"/>
          <w:u w:val="single"/>
          <w:lang w:val="en-US" w:eastAsia="zh-CN" w:bidi="ar-SA"/>
        </w:rPr>
        <w:t xml:space="preserve">                                 </w:t>
      </w:r>
      <w:r>
        <w:rPr>
          <w:rStyle w:val="21"/>
          <w:rFonts w:hint="eastAsia" w:ascii="宋体" w:hAnsi="宋体" w:eastAsia="宋体" w:cs="Times New Roman"/>
          <w:color w:val="auto"/>
          <w:kern w:val="2"/>
          <w:sz w:val="24"/>
          <w:szCs w:val="24"/>
          <w:highlight w:val="none"/>
          <w:lang w:val="en-US" w:eastAsia="zh-CN" w:bidi="ar-SA"/>
        </w:rPr>
        <w:t>；</w:t>
      </w:r>
    </w:p>
    <w:p>
      <w:pPr>
        <w:pStyle w:val="65"/>
        <w:spacing w:line="360" w:lineRule="auto"/>
        <w:rPr>
          <w:rStyle w:val="21"/>
          <w:rFonts w:ascii="宋体" w:hAnsi="宋体" w:eastAsia="宋体" w:cs="Times New Roman"/>
          <w:color w:val="auto"/>
          <w:kern w:val="2"/>
          <w:sz w:val="24"/>
          <w:szCs w:val="24"/>
          <w:highlight w:val="none"/>
          <w:lang w:val="en-US" w:eastAsia="zh-CN" w:bidi="ar-SA"/>
        </w:rPr>
      </w:pPr>
      <w:r>
        <w:rPr>
          <w:rStyle w:val="21"/>
          <w:rFonts w:hint="eastAsia" w:ascii="宋体" w:hAnsi="宋体" w:eastAsia="宋体" w:cs="Times New Roman"/>
          <w:color w:val="auto"/>
          <w:kern w:val="2"/>
          <w:sz w:val="24"/>
          <w:szCs w:val="24"/>
          <w:highlight w:val="none"/>
          <w:lang w:val="en-US" w:eastAsia="zh-CN" w:bidi="ar-SA"/>
        </w:rPr>
        <w:t>保险金额、保险费率和保险期限：</w:t>
      </w:r>
      <w:r>
        <w:rPr>
          <w:rStyle w:val="21"/>
          <w:rFonts w:hint="eastAsia" w:ascii="宋体" w:hAnsi="宋体" w:eastAsia="宋体" w:cs="Times New Roman"/>
          <w:color w:val="auto"/>
          <w:kern w:val="2"/>
          <w:sz w:val="24"/>
          <w:szCs w:val="24"/>
          <w:highlight w:val="none"/>
          <w:u w:val="single"/>
          <w:lang w:val="en-US" w:eastAsia="zh-CN" w:bidi="ar-SA"/>
        </w:rPr>
        <w:t xml:space="preserve">                           </w:t>
      </w:r>
      <w:r>
        <w:rPr>
          <w:rStyle w:val="21"/>
          <w:rFonts w:hint="eastAsia" w:ascii="宋体" w:hAnsi="宋体" w:eastAsia="宋体" w:cs="Times New Roman"/>
          <w:color w:val="auto"/>
          <w:kern w:val="2"/>
          <w:sz w:val="24"/>
          <w:szCs w:val="24"/>
          <w:highlight w:val="none"/>
          <w:lang w:val="en-US" w:eastAsia="zh-CN" w:bidi="ar-SA"/>
        </w:rPr>
        <w:t xml:space="preserve">  。</w:t>
      </w:r>
    </w:p>
    <w:p>
      <w:pPr>
        <w:pStyle w:val="65"/>
        <w:spacing w:line="360" w:lineRule="auto"/>
        <w:rPr>
          <w:rStyle w:val="21"/>
          <w:rFonts w:ascii="宋体" w:hAnsi="宋体" w:eastAsia="宋体" w:cs="Times New Roman"/>
          <w:color w:val="auto"/>
          <w:kern w:val="2"/>
          <w:sz w:val="24"/>
          <w:szCs w:val="24"/>
          <w:highlight w:val="none"/>
          <w:lang w:val="en-US" w:eastAsia="zh-CN" w:bidi="ar-SA"/>
        </w:rPr>
      </w:pPr>
      <w:r>
        <w:rPr>
          <w:rStyle w:val="21"/>
          <w:rFonts w:hint="eastAsia" w:ascii="宋体" w:hAnsi="宋体" w:eastAsia="宋体" w:cs="Times New Roman"/>
          <w:color w:val="auto"/>
          <w:kern w:val="2"/>
          <w:sz w:val="24"/>
          <w:szCs w:val="24"/>
          <w:highlight w:val="none"/>
          <w:lang w:val="en-US" w:eastAsia="zh-CN" w:bidi="ar-SA"/>
        </w:rPr>
        <w:t>20.4第三者责任险</w:t>
      </w:r>
    </w:p>
    <w:p>
      <w:pPr>
        <w:pStyle w:val="65"/>
        <w:spacing w:line="360" w:lineRule="auto"/>
        <w:rPr>
          <w:rStyle w:val="21"/>
          <w:rFonts w:ascii="宋体" w:hAnsi="宋体" w:eastAsia="宋体" w:cs="Times New Roman"/>
          <w:color w:val="auto"/>
          <w:kern w:val="2"/>
          <w:sz w:val="24"/>
          <w:szCs w:val="24"/>
          <w:highlight w:val="none"/>
          <w:lang w:val="en-US" w:eastAsia="zh-CN" w:bidi="ar-SA"/>
        </w:rPr>
      </w:pPr>
      <w:r>
        <w:rPr>
          <w:rStyle w:val="21"/>
          <w:rFonts w:hint="eastAsia" w:ascii="宋体" w:hAnsi="宋体" w:eastAsia="宋体" w:cs="Times New Roman"/>
          <w:color w:val="auto"/>
          <w:kern w:val="2"/>
          <w:sz w:val="24"/>
          <w:szCs w:val="24"/>
          <w:highlight w:val="none"/>
          <w:lang w:val="en-US" w:eastAsia="zh-CN" w:bidi="ar-SA"/>
        </w:rPr>
        <w:t>20.4.2第三者责任险保险费率：</w:t>
      </w:r>
      <w:r>
        <w:rPr>
          <w:rStyle w:val="21"/>
          <w:rFonts w:hint="eastAsia" w:ascii="宋体" w:hAnsi="宋体" w:eastAsia="宋体" w:cs="Times New Roman"/>
          <w:color w:val="auto"/>
          <w:kern w:val="2"/>
          <w:sz w:val="24"/>
          <w:szCs w:val="24"/>
          <w:highlight w:val="none"/>
          <w:u w:val="single"/>
          <w:lang w:val="en-US" w:eastAsia="zh-CN" w:bidi="ar-SA"/>
        </w:rPr>
        <w:t xml:space="preserve">                  </w:t>
      </w:r>
      <w:r>
        <w:rPr>
          <w:rStyle w:val="21"/>
          <w:rFonts w:hint="eastAsia" w:ascii="宋体" w:hAnsi="宋体" w:eastAsia="宋体" w:cs="Times New Roman"/>
          <w:color w:val="auto"/>
          <w:kern w:val="2"/>
          <w:sz w:val="24"/>
          <w:szCs w:val="24"/>
          <w:highlight w:val="none"/>
          <w:lang w:val="en-US" w:eastAsia="zh-CN" w:bidi="ar-SA"/>
        </w:rPr>
        <w:t>；</w:t>
      </w:r>
    </w:p>
    <w:p>
      <w:pPr>
        <w:pStyle w:val="65"/>
        <w:spacing w:line="360" w:lineRule="auto"/>
        <w:rPr>
          <w:rStyle w:val="21"/>
          <w:rFonts w:ascii="宋体" w:hAnsi="宋体" w:eastAsia="宋体" w:cs="Times New Roman"/>
          <w:color w:val="auto"/>
          <w:kern w:val="2"/>
          <w:sz w:val="24"/>
          <w:szCs w:val="24"/>
          <w:highlight w:val="none"/>
          <w:lang w:val="en-US" w:eastAsia="zh-CN" w:bidi="ar-SA"/>
        </w:rPr>
      </w:pPr>
      <w:r>
        <w:rPr>
          <w:rStyle w:val="21"/>
          <w:rFonts w:hint="eastAsia" w:ascii="宋体" w:hAnsi="宋体" w:eastAsia="宋体" w:cs="Times New Roman"/>
          <w:color w:val="auto"/>
          <w:kern w:val="2"/>
          <w:sz w:val="24"/>
          <w:szCs w:val="24"/>
          <w:highlight w:val="none"/>
          <w:lang w:val="en-US" w:eastAsia="zh-CN" w:bidi="ar-SA"/>
        </w:rPr>
        <w:t>第三者责任险保险金额：</w:t>
      </w:r>
      <w:r>
        <w:rPr>
          <w:rStyle w:val="21"/>
          <w:rFonts w:hint="eastAsia" w:ascii="宋体" w:hAnsi="宋体" w:eastAsia="宋体" w:cs="Times New Roman"/>
          <w:color w:val="auto"/>
          <w:kern w:val="2"/>
          <w:sz w:val="24"/>
          <w:szCs w:val="24"/>
          <w:highlight w:val="none"/>
          <w:u w:val="single"/>
          <w:lang w:val="en-US" w:eastAsia="zh-CN" w:bidi="ar-SA"/>
        </w:rPr>
        <w:t xml:space="preserve">                           </w:t>
      </w:r>
      <w:r>
        <w:rPr>
          <w:rStyle w:val="21"/>
          <w:rFonts w:hint="eastAsia" w:ascii="宋体" w:hAnsi="宋体" w:eastAsia="宋体" w:cs="Times New Roman"/>
          <w:color w:val="auto"/>
          <w:kern w:val="2"/>
          <w:sz w:val="24"/>
          <w:szCs w:val="24"/>
          <w:highlight w:val="none"/>
          <w:lang w:val="en-US" w:eastAsia="zh-CN" w:bidi="ar-SA"/>
        </w:rPr>
        <w:t>。</w:t>
      </w:r>
    </w:p>
    <w:p>
      <w:pPr>
        <w:pStyle w:val="65"/>
        <w:spacing w:line="360" w:lineRule="auto"/>
        <w:rPr>
          <w:rStyle w:val="21"/>
          <w:rFonts w:ascii="宋体" w:hAnsi="宋体" w:eastAsia="宋体" w:cs="Times New Roman"/>
          <w:color w:val="auto"/>
          <w:kern w:val="2"/>
          <w:sz w:val="24"/>
          <w:szCs w:val="24"/>
          <w:highlight w:val="none"/>
          <w:lang w:val="en-US" w:eastAsia="zh-CN" w:bidi="ar-SA"/>
        </w:rPr>
      </w:pPr>
      <w:r>
        <w:rPr>
          <w:rStyle w:val="21"/>
          <w:rFonts w:hint="eastAsia" w:ascii="宋体" w:hAnsi="宋体" w:eastAsia="宋体" w:cs="Times New Roman"/>
          <w:color w:val="auto"/>
          <w:kern w:val="2"/>
          <w:sz w:val="24"/>
          <w:szCs w:val="24"/>
          <w:highlight w:val="none"/>
          <w:lang w:val="en-US" w:eastAsia="zh-CN" w:bidi="ar-SA"/>
        </w:rPr>
        <w:t>20.5其它保险</w:t>
      </w:r>
    </w:p>
    <w:p>
      <w:pPr>
        <w:pStyle w:val="65"/>
        <w:spacing w:line="360" w:lineRule="auto"/>
        <w:rPr>
          <w:rStyle w:val="21"/>
          <w:rFonts w:ascii="宋体" w:hAnsi="宋体" w:eastAsia="宋体" w:cs="Times New Roman"/>
          <w:color w:val="auto"/>
          <w:kern w:val="2"/>
          <w:sz w:val="24"/>
          <w:szCs w:val="24"/>
          <w:highlight w:val="none"/>
          <w:lang w:val="en-US" w:eastAsia="zh-CN" w:bidi="ar-SA"/>
        </w:rPr>
      </w:pPr>
      <w:r>
        <w:rPr>
          <w:rStyle w:val="21"/>
          <w:rFonts w:hint="eastAsia" w:ascii="宋体" w:hAnsi="宋体" w:eastAsia="宋体" w:cs="Times New Roman"/>
          <w:color w:val="auto"/>
          <w:kern w:val="2"/>
          <w:sz w:val="24"/>
          <w:szCs w:val="24"/>
          <w:highlight w:val="none"/>
          <w:lang w:val="en-US" w:eastAsia="zh-CN" w:bidi="ar-SA"/>
        </w:rPr>
        <w:t>需要投保的其它内容：</w:t>
      </w:r>
      <w:r>
        <w:rPr>
          <w:rStyle w:val="21"/>
          <w:rFonts w:hint="eastAsia" w:ascii="宋体" w:hAnsi="宋体" w:eastAsia="宋体" w:cs="Times New Roman"/>
          <w:color w:val="auto"/>
          <w:kern w:val="2"/>
          <w:sz w:val="24"/>
          <w:szCs w:val="24"/>
          <w:highlight w:val="none"/>
          <w:u w:val="single"/>
          <w:lang w:val="en-US" w:eastAsia="zh-CN" w:bidi="ar-SA"/>
        </w:rPr>
        <w:t xml:space="preserve">                                         </w:t>
      </w:r>
      <w:r>
        <w:rPr>
          <w:rStyle w:val="21"/>
          <w:rFonts w:hint="eastAsia" w:ascii="宋体" w:hAnsi="宋体" w:eastAsia="宋体" w:cs="Times New Roman"/>
          <w:color w:val="auto"/>
          <w:kern w:val="2"/>
          <w:sz w:val="24"/>
          <w:szCs w:val="24"/>
          <w:highlight w:val="none"/>
          <w:lang w:val="en-US" w:eastAsia="zh-CN" w:bidi="ar-SA"/>
        </w:rPr>
        <w:t>；</w:t>
      </w:r>
    </w:p>
    <w:p>
      <w:pPr>
        <w:pStyle w:val="65"/>
        <w:spacing w:line="360" w:lineRule="auto"/>
        <w:rPr>
          <w:rStyle w:val="21"/>
          <w:rFonts w:ascii="宋体" w:hAnsi="宋体" w:eastAsia="宋体" w:cs="Times New Roman"/>
          <w:color w:val="auto"/>
          <w:kern w:val="2"/>
          <w:sz w:val="24"/>
          <w:szCs w:val="24"/>
          <w:highlight w:val="none"/>
          <w:lang w:val="en-US" w:eastAsia="zh-CN" w:bidi="ar-SA"/>
        </w:rPr>
      </w:pPr>
      <w:r>
        <w:rPr>
          <w:rStyle w:val="21"/>
          <w:rFonts w:hint="eastAsia" w:ascii="宋体" w:hAnsi="宋体" w:eastAsia="宋体" w:cs="Times New Roman"/>
          <w:color w:val="auto"/>
          <w:kern w:val="2"/>
          <w:sz w:val="24"/>
          <w:szCs w:val="24"/>
          <w:highlight w:val="none"/>
          <w:lang w:val="en-US" w:eastAsia="zh-CN" w:bidi="ar-SA"/>
        </w:rPr>
        <w:t>保险金额、保险费率和保险期限：</w:t>
      </w:r>
      <w:r>
        <w:rPr>
          <w:rStyle w:val="21"/>
          <w:rFonts w:hint="eastAsia" w:ascii="宋体" w:hAnsi="宋体" w:eastAsia="宋体" w:cs="Times New Roman"/>
          <w:color w:val="auto"/>
          <w:kern w:val="2"/>
          <w:sz w:val="24"/>
          <w:szCs w:val="24"/>
          <w:highlight w:val="none"/>
          <w:u w:val="single"/>
          <w:lang w:val="en-US" w:eastAsia="zh-CN" w:bidi="ar-SA"/>
        </w:rPr>
        <w:t xml:space="preserve">                                      </w:t>
      </w:r>
      <w:r>
        <w:rPr>
          <w:rStyle w:val="21"/>
          <w:rFonts w:hint="eastAsia" w:ascii="宋体" w:hAnsi="宋体" w:eastAsia="宋体" w:cs="Times New Roman"/>
          <w:color w:val="auto"/>
          <w:kern w:val="2"/>
          <w:sz w:val="24"/>
          <w:szCs w:val="24"/>
          <w:highlight w:val="none"/>
          <w:lang w:val="en-US" w:eastAsia="zh-CN" w:bidi="ar-SA"/>
        </w:rPr>
        <w:t>。</w:t>
      </w:r>
    </w:p>
    <w:p>
      <w:pPr>
        <w:pStyle w:val="65"/>
        <w:spacing w:line="360" w:lineRule="auto"/>
        <w:rPr>
          <w:rStyle w:val="21"/>
          <w:rFonts w:ascii="宋体" w:hAnsi="宋体" w:eastAsia="宋体" w:cs="Times New Roman"/>
          <w:color w:val="auto"/>
          <w:kern w:val="2"/>
          <w:sz w:val="24"/>
          <w:szCs w:val="24"/>
          <w:highlight w:val="none"/>
          <w:lang w:val="en-US" w:eastAsia="zh-CN" w:bidi="ar-SA"/>
        </w:rPr>
      </w:pPr>
      <w:r>
        <w:rPr>
          <w:rStyle w:val="21"/>
          <w:rFonts w:hint="eastAsia" w:ascii="宋体" w:hAnsi="宋体" w:eastAsia="宋体" w:cs="Times New Roman"/>
          <w:color w:val="auto"/>
          <w:kern w:val="2"/>
          <w:sz w:val="24"/>
          <w:szCs w:val="24"/>
          <w:highlight w:val="none"/>
          <w:lang w:val="en-US" w:eastAsia="zh-CN" w:bidi="ar-SA"/>
        </w:rPr>
        <w:t>20.6对各项保险的一般要求</w:t>
      </w:r>
    </w:p>
    <w:p>
      <w:pPr>
        <w:pStyle w:val="65"/>
        <w:spacing w:line="360" w:lineRule="auto"/>
        <w:rPr>
          <w:rStyle w:val="21"/>
          <w:rFonts w:ascii="宋体" w:hAnsi="宋体" w:eastAsia="宋体" w:cs="Times New Roman"/>
          <w:color w:val="auto"/>
          <w:kern w:val="2"/>
          <w:sz w:val="24"/>
          <w:szCs w:val="24"/>
          <w:highlight w:val="none"/>
          <w:lang w:val="en-US" w:eastAsia="zh-CN" w:bidi="ar-SA"/>
        </w:rPr>
      </w:pPr>
      <w:r>
        <w:rPr>
          <w:rStyle w:val="21"/>
          <w:rFonts w:hint="eastAsia" w:ascii="宋体" w:hAnsi="宋体" w:eastAsia="宋体" w:cs="Times New Roman"/>
          <w:color w:val="auto"/>
          <w:kern w:val="2"/>
          <w:sz w:val="24"/>
          <w:szCs w:val="24"/>
          <w:highlight w:val="none"/>
          <w:lang w:val="en-US" w:eastAsia="zh-CN" w:bidi="ar-SA"/>
        </w:rPr>
        <w:t>20.6.1保险凭证</w:t>
      </w:r>
    </w:p>
    <w:p>
      <w:pPr>
        <w:pStyle w:val="65"/>
        <w:spacing w:line="360" w:lineRule="auto"/>
        <w:rPr>
          <w:rStyle w:val="21"/>
          <w:rFonts w:ascii="宋体" w:hAnsi="宋体" w:eastAsia="宋体" w:cs="Times New Roman"/>
          <w:color w:val="auto"/>
          <w:kern w:val="2"/>
          <w:sz w:val="24"/>
          <w:szCs w:val="24"/>
          <w:highlight w:val="none"/>
          <w:lang w:val="en-US" w:eastAsia="zh-CN" w:bidi="ar-SA"/>
        </w:rPr>
      </w:pPr>
      <w:r>
        <w:rPr>
          <w:rStyle w:val="21"/>
          <w:rFonts w:hint="eastAsia" w:ascii="宋体" w:hAnsi="宋体" w:eastAsia="宋体" w:cs="Times New Roman"/>
          <w:color w:val="auto"/>
          <w:kern w:val="2"/>
          <w:sz w:val="24"/>
          <w:szCs w:val="24"/>
          <w:highlight w:val="none"/>
          <w:lang w:val="en-US" w:eastAsia="zh-CN" w:bidi="ar-SA"/>
        </w:rPr>
        <w:t>承包人提交保险凭证的期限：</w:t>
      </w:r>
      <w:r>
        <w:rPr>
          <w:rStyle w:val="21"/>
          <w:rFonts w:hint="eastAsia" w:ascii="宋体" w:hAnsi="宋体" w:eastAsia="宋体" w:cs="Times New Roman"/>
          <w:color w:val="auto"/>
          <w:kern w:val="2"/>
          <w:sz w:val="24"/>
          <w:szCs w:val="24"/>
          <w:highlight w:val="none"/>
          <w:u w:val="single"/>
          <w:lang w:val="en-US" w:eastAsia="zh-CN" w:bidi="ar-SA"/>
        </w:rPr>
        <w:t xml:space="preserve">                                     </w:t>
      </w:r>
      <w:r>
        <w:rPr>
          <w:rStyle w:val="21"/>
          <w:rFonts w:hint="eastAsia" w:ascii="宋体" w:hAnsi="宋体" w:eastAsia="宋体" w:cs="Times New Roman"/>
          <w:color w:val="auto"/>
          <w:kern w:val="2"/>
          <w:sz w:val="24"/>
          <w:szCs w:val="24"/>
          <w:highlight w:val="none"/>
          <w:lang w:val="en-US" w:eastAsia="zh-CN" w:bidi="ar-SA"/>
        </w:rPr>
        <w:t>。</w:t>
      </w:r>
    </w:p>
    <w:p>
      <w:pPr>
        <w:pStyle w:val="65"/>
        <w:spacing w:line="360" w:lineRule="auto"/>
        <w:rPr>
          <w:rStyle w:val="21"/>
          <w:rFonts w:ascii="宋体" w:hAnsi="宋体" w:eastAsia="宋体" w:cs="Times New Roman"/>
          <w:color w:val="auto"/>
          <w:kern w:val="2"/>
          <w:sz w:val="24"/>
          <w:szCs w:val="24"/>
          <w:highlight w:val="none"/>
          <w:lang w:val="en-US" w:eastAsia="zh-CN" w:bidi="ar-SA"/>
        </w:rPr>
      </w:pPr>
      <w:r>
        <w:rPr>
          <w:rStyle w:val="21"/>
          <w:rFonts w:hint="eastAsia" w:ascii="宋体" w:hAnsi="宋体" w:eastAsia="宋体" w:cs="Times New Roman"/>
          <w:color w:val="auto"/>
          <w:kern w:val="2"/>
          <w:sz w:val="24"/>
          <w:szCs w:val="24"/>
          <w:highlight w:val="none"/>
          <w:lang w:val="en-US" w:eastAsia="zh-CN" w:bidi="ar-SA"/>
        </w:rPr>
        <w:t>保险条件：</w:t>
      </w:r>
      <w:r>
        <w:rPr>
          <w:rStyle w:val="21"/>
          <w:rFonts w:hint="eastAsia" w:ascii="宋体" w:hAnsi="宋体" w:eastAsia="宋体" w:cs="Times New Roman"/>
          <w:color w:val="auto"/>
          <w:kern w:val="2"/>
          <w:sz w:val="24"/>
          <w:szCs w:val="24"/>
          <w:highlight w:val="none"/>
          <w:u w:val="single"/>
          <w:lang w:val="en-US" w:eastAsia="zh-CN" w:bidi="ar-SA"/>
        </w:rPr>
        <w:t xml:space="preserve">                                  </w:t>
      </w:r>
      <w:r>
        <w:rPr>
          <w:rStyle w:val="21"/>
          <w:rFonts w:hint="eastAsia" w:ascii="宋体" w:hAnsi="宋体" w:eastAsia="宋体" w:cs="Times New Roman"/>
          <w:color w:val="auto"/>
          <w:kern w:val="2"/>
          <w:sz w:val="24"/>
          <w:szCs w:val="24"/>
          <w:highlight w:val="none"/>
          <w:lang w:val="en-US" w:eastAsia="zh-CN" w:bidi="ar-SA"/>
        </w:rPr>
        <w:t>；</w:t>
      </w:r>
    </w:p>
    <w:p>
      <w:pPr>
        <w:pStyle w:val="65"/>
        <w:spacing w:line="360" w:lineRule="auto"/>
        <w:rPr>
          <w:rStyle w:val="21"/>
          <w:rFonts w:ascii="宋体" w:hAnsi="宋体" w:eastAsia="宋体" w:cs="Times New Roman"/>
          <w:color w:val="auto"/>
          <w:kern w:val="2"/>
          <w:sz w:val="24"/>
          <w:szCs w:val="24"/>
          <w:highlight w:val="none"/>
          <w:lang w:val="en-US" w:eastAsia="zh-CN" w:bidi="ar-SA"/>
        </w:rPr>
      </w:pPr>
      <w:r>
        <w:rPr>
          <w:rStyle w:val="21"/>
          <w:rFonts w:hint="eastAsia" w:ascii="宋体" w:hAnsi="宋体" w:eastAsia="宋体" w:cs="Times New Roman"/>
          <w:color w:val="auto"/>
          <w:kern w:val="2"/>
          <w:sz w:val="24"/>
          <w:szCs w:val="24"/>
          <w:highlight w:val="none"/>
          <w:lang w:val="en-US" w:eastAsia="zh-CN" w:bidi="ar-SA"/>
        </w:rPr>
        <w:t>20.6.4保险金不足的补偿</w:t>
      </w:r>
    </w:p>
    <w:p>
      <w:pPr>
        <w:pStyle w:val="65"/>
        <w:spacing w:line="360" w:lineRule="auto"/>
        <w:rPr>
          <w:rStyle w:val="21"/>
          <w:rFonts w:ascii="宋体" w:hAnsi="宋体" w:eastAsia="宋体" w:cs="Times New Roman"/>
          <w:color w:val="auto"/>
          <w:kern w:val="2"/>
          <w:sz w:val="24"/>
          <w:szCs w:val="24"/>
          <w:highlight w:val="none"/>
          <w:lang w:val="en-US" w:eastAsia="zh-CN" w:bidi="ar-SA"/>
        </w:rPr>
      </w:pPr>
      <w:r>
        <w:rPr>
          <w:rStyle w:val="21"/>
          <w:rFonts w:hint="eastAsia" w:ascii="宋体" w:hAnsi="宋体" w:eastAsia="宋体" w:cs="Times New Roman"/>
          <w:color w:val="auto"/>
          <w:kern w:val="2"/>
          <w:sz w:val="24"/>
          <w:szCs w:val="24"/>
          <w:highlight w:val="none"/>
          <w:lang w:val="en-US" w:eastAsia="zh-CN" w:bidi="ar-SA"/>
        </w:rPr>
        <w:t>承包人负责补偿的范围与金额：</w:t>
      </w:r>
      <w:r>
        <w:rPr>
          <w:rStyle w:val="21"/>
          <w:rFonts w:hint="eastAsia" w:ascii="宋体" w:hAnsi="宋体" w:eastAsia="宋体" w:cs="Times New Roman"/>
          <w:color w:val="auto"/>
          <w:kern w:val="2"/>
          <w:sz w:val="24"/>
          <w:szCs w:val="24"/>
          <w:highlight w:val="none"/>
          <w:u w:val="single"/>
          <w:lang w:val="en-US" w:eastAsia="zh-CN" w:bidi="ar-SA"/>
        </w:rPr>
        <w:t xml:space="preserve">                                      </w:t>
      </w:r>
      <w:r>
        <w:rPr>
          <w:rStyle w:val="21"/>
          <w:rFonts w:hint="eastAsia" w:ascii="宋体" w:hAnsi="宋体" w:eastAsia="宋体" w:cs="Times New Roman"/>
          <w:color w:val="auto"/>
          <w:kern w:val="2"/>
          <w:sz w:val="24"/>
          <w:szCs w:val="24"/>
          <w:highlight w:val="none"/>
          <w:lang w:val="en-US" w:eastAsia="zh-CN" w:bidi="ar-SA"/>
        </w:rPr>
        <w:t>；</w:t>
      </w:r>
    </w:p>
    <w:p>
      <w:pPr>
        <w:pStyle w:val="65"/>
        <w:spacing w:line="360" w:lineRule="auto"/>
        <w:rPr>
          <w:rStyle w:val="21"/>
          <w:rFonts w:ascii="宋体" w:hAnsi="宋体" w:eastAsia="宋体" w:cs="Times New Roman"/>
          <w:color w:val="auto"/>
          <w:kern w:val="2"/>
          <w:sz w:val="24"/>
          <w:szCs w:val="24"/>
          <w:highlight w:val="none"/>
          <w:lang w:val="en-US" w:eastAsia="zh-CN" w:bidi="ar-SA"/>
        </w:rPr>
      </w:pPr>
      <w:r>
        <w:rPr>
          <w:rStyle w:val="21"/>
          <w:rFonts w:hint="eastAsia" w:ascii="宋体" w:hAnsi="宋体" w:eastAsia="宋体" w:cs="Times New Roman"/>
          <w:color w:val="auto"/>
          <w:kern w:val="2"/>
          <w:sz w:val="24"/>
          <w:szCs w:val="24"/>
          <w:highlight w:val="none"/>
          <w:lang w:val="en-US" w:eastAsia="zh-CN" w:bidi="ar-SA"/>
        </w:rPr>
        <w:t>发包人负责补偿的范围与金额：</w:t>
      </w:r>
      <w:r>
        <w:rPr>
          <w:rStyle w:val="21"/>
          <w:rFonts w:hint="eastAsia" w:ascii="宋体" w:hAnsi="宋体" w:eastAsia="宋体" w:cs="Times New Roman"/>
          <w:color w:val="auto"/>
          <w:kern w:val="2"/>
          <w:sz w:val="24"/>
          <w:szCs w:val="24"/>
          <w:highlight w:val="none"/>
          <w:u w:val="single"/>
          <w:lang w:val="en-US" w:eastAsia="zh-CN" w:bidi="ar-SA"/>
        </w:rPr>
        <w:t xml:space="preserve">                                        </w:t>
      </w:r>
      <w:r>
        <w:rPr>
          <w:rStyle w:val="21"/>
          <w:rFonts w:hint="eastAsia" w:ascii="宋体" w:hAnsi="宋体" w:eastAsia="宋体" w:cs="Times New Roman"/>
          <w:color w:val="auto"/>
          <w:kern w:val="2"/>
          <w:sz w:val="24"/>
          <w:szCs w:val="24"/>
          <w:highlight w:val="none"/>
          <w:lang w:val="en-US" w:eastAsia="zh-CN" w:bidi="ar-SA"/>
        </w:rPr>
        <w:t>。</w:t>
      </w:r>
    </w:p>
    <w:p>
      <w:pPr>
        <w:pStyle w:val="66"/>
        <w:rPr>
          <w:rStyle w:val="21"/>
          <w:color w:val="auto"/>
          <w:kern w:val="2"/>
          <w:sz w:val="24"/>
          <w:szCs w:val="24"/>
          <w:highlight w:val="none"/>
          <w:lang w:val="en-US" w:eastAsia="zh-CN" w:bidi="ar-SA"/>
        </w:rPr>
      </w:pPr>
      <w:bookmarkStart w:id="315" w:name="_Toc30696"/>
      <w:r>
        <w:rPr>
          <w:rStyle w:val="21"/>
          <w:rFonts w:hint="eastAsia"/>
          <w:color w:val="auto"/>
          <w:kern w:val="2"/>
          <w:sz w:val="24"/>
          <w:szCs w:val="24"/>
          <w:highlight w:val="none"/>
          <w:lang w:val="en-US" w:eastAsia="zh-CN" w:bidi="ar-SA"/>
        </w:rPr>
        <w:t>24争议的解决</w:t>
      </w:r>
      <w:bookmarkEnd w:id="315"/>
    </w:p>
    <w:p>
      <w:pPr>
        <w:pStyle w:val="65"/>
        <w:spacing w:line="360" w:lineRule="auto"/>
        <w:rPr>
          <w:rStyle w:val="21"/>
          <w:rFonts w:ascii="宋体" w:hAnsi="宋体" w:eastAsia="宋体" w:cs="Times New Roman"/>
          <w:color w:val="auto"/>
          <w:kern w:val="2"/>
          <w:sz w:val="24"/>
          <w:szCs w:val="24"/>
          <w:highlight w:val="none"/>
          <w:lang w:val="en-US" w:eastAsia="zh-CN" w:bidi="ar-SA"/>
        </w:rPr>
      </w:pPr>
      <w:r>
        <w:rPr>
          <w:rStyle w:val="21"/>
          <w:rFonts w:hint="eastAsia" w:ascii="宋体" w:hAnsi="宋体" w:eastAsia="宋体" w:cs="Times New Roman"/>
          <w:color w:val="auto"/>
          <w:kern w:val="2"/>
          <w:sz w:val="24"/>
          <w:szCs w:val="24"/>
          <w:highlight w:val="none"/>
          <w:lang w:val="en-US" w:eastAsia="zh-CN" w:bidi="ar-SA"/>
        </w:rPr>
        <w:t>24.1争议的解决方式</w:t>
      </w:r>
    </w:p>
    <w:p>
      <w:pPr>
        <w:pStyle w:val="65"/>
        <w:spacing w:line="360" w:lineRule="auto"/>
        <w:rPr>
          <w:rStyle w:val="21"/>
          <w:rFonts w:ascii="宋体" w:hAnsi="宋体" w:eastAsia="宋体" w:cs="Times New Roman"/>
          <w:color w:val="auto"/>
          <w:kern w:val="2"/>
          <w:sz w:val="24"/>
          <w:szCs w:val="24"/>
          <w:highlight w:val="none"/>
          <w:lang w:val="en-US" w:eastAsia="zh-CN" w:bidi="ar-SA"/>
        </w:rPr>
      </w:pPr>
      <w:r>
        <w:rPr>
          <w:rStyle w:val="21"/>
          <w:rFonts w:hint="eastAsia" w:ascii="宋体" w:hAnsi="宋体" w:eastAsia="宋体" w:cs="Times New Roman"/>
          <w:color w:val="auto"/>
          <w:kern w:val="2"/>
          <w:sz w:val="24"/>
          <w:szCs w:val="24"/>
          <w:highlight w:val="none"/>
          <w:lang w:val="en-US" w:eastAsia="zh-CN" w:bidi="ar-SA"/>
        </w:rPr>
        <w:t>合同当事人友好协商解决不成、不愿提请争议评审或不接受争议评审组意见的，约定的合同争议解决方式：</w:t>
      </w:r>
      <w:r>
        <w:rPr>
          <w:rStyle w:val="21"/>
          <w:rFonts w:hint="eastAsia" w:ascii="宋体" w:hAnsi="宋体" w:eastAsia="宋体" w:cs="Times New Roman"/>
          <w:color w:val="auto"/>
          <w:kern w:val="2"/>
          <w:sz w:val="24"/>
          <w:szCs w:val="24"/>
          <w:highlight w:val="none"/>
          <w:u w:val="single"/>
          <w:lang w:val="en-US" w:eastAsia="zh-CN" w:bidi="ar-SA"/>
        </w:rPr>
        <w:t xml:space="preserve">                       </w:t>
      </w:r>
      <w:r>
        <w:rPr>
          <w:rStyle w:val="21"/>
          <w:rFonts w:hint="eastAsia" w:ascii="宋体" w:hAnsi="宋体" w:eastAsia="宋体" w:cs="Times New Roman"/>
          <w:color w:val="auto"/>
          <w:kern w:val="2"/>
          <w:sz w:val="24"/>
          <w:szCs w:val="24"/>
          <w:highlight w:val="none"/>
          <w:lang w:val="en-US" w:eastAsia="zh-CN" w:bidi="ar-SA"/>
        </w:rPr>
        <w:t>。</w:t>
      </w:r>
    </w:p>
    <w:p>
      <w:pPr>
        <w:pStyle w:val="65"/>
        <w:widowControl/>
        <w:jc w:val="left"/>
        <w:rPr>
          <w:rStyle w:val="21"/>
          <w:rFonts w:ascii="Calibri" w:hAnsi="Calibri" w:eastAsia="宋体" w:cs="Times New Roman"/>
          <w:color w:val="auto"/>
          <w:kern w:val="2"/>
          <w:sz w:val="24"/>
          <w:szCs w:val="24"/>
          <w:highlight w:val="none"/>
          <w:lang w:val="en-US" w:eastAsia="zh-CN" w:bidi="ar-SA"/>
        </w:rPr>
      </w:pPr>
      <w:r>
        <w:rPr>
          <w:rStyle w:val="21"/>
          <w:rFonts w:ascii="Calibri" w:hAnsi="Calibri" w:eastAsia="宋体" w:cs="Times New Roman"/>
          <w:color w:val="auto"/>
          <w:kern w:val="2"/>
          <w:sz w:val="24"/>
          <w:szCs w:val="24"/>
          <w:highlight w:val="none"/>
          <w:lang w:val="en-US" w:eastAsia="zh-CN" w:bidi="ar-SA"/>
        </w:rPr>
        <w:br w:type="page"/>
      </w:r>
    </w:p>
    <w:p>
      <w:pPr>
        <w:pStyle w:val="64"/>
        <w:jc w:val="center"/>
        <w:rPr>
          <w:rStyle w:val="21"/>
          <w:color w:val="auto"/>
          <w:kern w:val="2"/>
          <w:sz w:val="24"/>
          <w:szCs w:val="24"/>
          <w:highlight w:val="none"/>
          <w:lang w:val="en-US" w:eastAsia="zh-CN" w:bidi="ar-SA"/>
        </w:rPr>
      </w:pPr>
      <w:bookmarkStart w:id="316" w:name="_Toc256000024"/>
      <w:bookmarkStart w:id="317" w:name="_Toc18186"/>
      <w:bookmarkStart w:id="318" w:name="_Toc5464"/>
      <w:r>
        <w:rPr>
          <w:rStyle w:val="21"/>
          <w:color w:val="auto"/>
          <w:kern w:val="2"/>
          <w:sz w:val="24"/>
          <w:szCs w:val="24"/>
          <w:highlight w:val="none"/>
          <w:lang w:val="en-US" w:eastAsia="zh-CN" w:bidi="ar-SA"/>
        </w:rPr>
        <w:t>第</w:t>
      </w:r>
      <w:r>
        <w:rPr>
          <w:rStyle w:val="21"/>
          <w:rFonts w:hint="eastAsia"/>
          <w:color w:val="auto"/>
          <w:kern w:val="2"/>
          <w:sz w:val="24"/>
          <w:szCs w:val="24"/>
          <w:highlight w:val="none"/>
          <w:lang w:val="en-US" w:eastAsia="zh-CN" w:bidi="ar-SA"/>
        </w:rPr>
        <w:t>三</w:t>
      </w:r>
      <w:r>
        <w:rPr>
          <w:rStyle w:val="21"/>
          <w:color w:val="auto"/>
          <w:kern w:val="2"/>
          <w:sz w:val="24"/>
          <w:szCs w:val="24"/>
          <w:highlight w:val="none"/>
          <w:lang w:val="en-US" w:eastAsia="zh-CN" w:bidi="ar-SA"/>
        </w:rPr>
        <w:t>节合同附件格式</w:t>
      </w:r>
      <w:bookmarkEnd w:id="316"/>
      <w:bookmarkEnd w:id="317"/>
      <w:bookmarkEnd w:id="318"/>
    </w:p>
    <w:p>
      <w:pPr>
        <w:pStyle w:val="66"/>
        <w:rPr>
          <w:rStyle w:val="21"/>
          <w:rFonts w:hint="eastAsia"/>
          <w:color w:val="auto"/>
          <w:kern w:val="2"/>
          <w:sz w:val="24"/>
          <w:szCs w:val="24"/>
          <w:highlight w:val="none"/>
          <w:lang w:val="en-US" w:eastAsia="zh-CN" w:bidi="ar-SA"/>
        </w:rPr>
      </w:pPr>
      <w:bookmarkStart w:id="319" w:name="_Toc22141"/>
      <w:r>
        <w:rPr>
          <w:rStyle w:val="21"/>
          <w:rFonts w:hint="eastAsia"/>
          <w:color w:val="auto"/>
          <w:kern w:val="2"/>
          <w:sz w:val="24"/>
          <w:szCs w:val="24"/>
          <w:highlight w:val="none"/>
          <w:lang w:val="en-US" w:eastAsia="zh-CN" w:bidi="ar-SA"/>
        </w:rPr>
        <w:t>附件一：</w:t>
      </w:r>
      <w:bookmarkEnd w:id="319"/>
    </w:p>
    <w:p>
      <w:pPr>
        <w:pStyle w:val="65"/>
        <w:spacing w:line="360" w:lineRule="auto"/>
        <w:jc w:val="center"/>
        <w:rPr>
          <w:rStyle w:val="21"/>
          <w:rFonts w:hint="eastAsia" w:ascii="宋体" w:hAnsi="宋体" w:eastAsia="宋体" w:cs="Times New Roman"/>
          <w:b/>
          <w:color w:val="auto"/>
          <w:kern w:val="2"/>
          <w:sz w:val="24"/>
          <w:szCs w:val="24"/>
          <w:highlight w:val="none"/>
          <w:lang w:val="en-US" w:eastAsia="zh-CN" w:bidi="ar-SA"/>
        </w:rPr>
      </w:pPr>
      <w:r>
        <w:rPr>
          <w:rStyle w:val="21"/>
          <w:rFonts w:hint="eastAsia" w:ascii="宋体" w:hAnsi="宋体" w:eastAsia="宋体" w:cs="Times New Roman"/>
          <w:b/>
          <w:color w:val="auto"/>
          <w:kern w:val="2"/>
          <w:sz w:val="24"/>
          <w:szCs w:val="24"/>
          <w:highlight w:val="none"/>
          <w:lang w:val="en-US" w:eastAsia="zh-CN" w:bidi="ar-SA"/>
        </w:rPr>
        <w:t>合同协议书</w:t>
      </w:r>
    </w:p>
    <w:p>
      <w:pPr>
        <w:pStyle w:val="65"/>
        <w:spacing w:line="360" w:lineRule="auto"/>
        <w:jc w:val="left"/>
        <w:rPr>
          <w:rStyle w:val="21"/>
          <w:rFonts w:ascii="宋体" w:hAnsi="宋体" w:eastAsia="宋体" w:cs="Times New Roman"/>
          <w:color w:val="auto"/>
          <w:kern w:val="2"/>
          <w:sz w:val="24"/>
          <w:szCs w:val="24"/>
          <w:highlight w:val="none"/>
          <w:lang w:val="en-US" w:eastAsia="zh-CN" w:bidi="ar-SA"/>
        </w:rPr>
      </w:pPr>
    </w:p>
    <w:p>
      <w:pPr>
        <w:pStyle w:val="65"/>
        <w:spacing w:line="360" w:lineRule="auto"/>
        <w:rPr>
          <w:rStyle w:val="21"/>
          <w:rFonts w:ascii="宋体" w:hAnsi="宋体" w:eastAsia="宋体" w:cs="Times New Roman"/>
          <w:color w:val="auto"/>
          <w:kern w:val="2"/>
          <w:sz w:val="24"/>
          <w:szCs w:val="24"/>
          <w:highlight w:val="none"/>
          <w:lang w:val="en-US" w:eastAsia="zh-CN" w:bidi="ar-SA"/>
        </w:rPr>
      </w:pPr>
      <w:r>
        <w:rPr>
          <w:rStyle w:val="21"/>
          <w:rFonts w:hint="eastAsia" w:ascii="宋体" w:hAnsi="宋体" w:eastAsia="宋体" w:cs="Times New Roman"/>
          <w:color w:val="auto"/>
          <w:kern w:val="2"/>
          <w:sz w:val="24"/>
          <w:szCs w:val="24"/>
          <w:highlight w:val="none"/>
          <w:lang w:val="en-US" w:eastAsia="zh-CN" w:bidi="ar-SA"/>
        </w:rPr>
        <w:t>(发包人名称，以下简称“发包人”)为实施(项目名称)，已接受(承包人名称，以下简称“承包人”)对(项目名称)(标段名称)的投标，并确定其为中标人。发包人和承包人共同达成如下协议。</w:t>
      </w:r>
    </w:p>
    <w:p>
      <w:pPr>
        <w:pStyle w:val="65"/>
        <w:spacing w:line="360" w:lineRule="auto"/>
        <w:rPr>
          <w:rStyle w:val="21"/>
          <w:rFonts w:ascii="宋体" w:hAnsi="宋体" w:eastAsia="宋体" w:cs="Times New Roman"/>
          <w:color w:val="auto"/>
          <w:kern w:val="2"/>
          <w:sz w:val="24"/>
          <w:szCs w:val="24"/>
          <w:highlight w:val="none"/>
          <w:lang w:val="en-US" w:eastAsia="zh-CN" w:bidi="ar-SA"/>
        </w:rPr>
      </w:pPr>
      <w:r>
        <w:rPr>
          <w:rStyle w:val="21"/>
          <w:rFonts w:hint="eastAsia" w:ascii="宋体" w:hAnsi="宋体" w:eastAsia="宋体" w:cs="Times New Roman"/>
          <w:color w:val="auto"/>
          <w:kern w:val="2"/>
          <w:sz w:val="24"/>
          <w:szCs w:val="24"/>
          <w:highlight w:val="none"/>
          <w:lang w:val="en-US" w:eastAsia="zh-CN" w:bidi="ar-SA"/>
        </w:rPr>
        <w:t>1.本协议书与下列文件一起构成合同文件：</w:t>
      </w:r>
    </w:p>
    <w:p>
      <w:pPr>
        <w:pStyle w:val="65"/>
        <w:spacing w:line="360" w:lineRule="auto"/>
        <w:rPr>
          <w:rStyle w:val="21"/>
          <w:rFonts w:ascii="宋体" w:hAnsi="宋体" w:eastAsia="宋体" w:cs="Times New Roman"/>
          <w:color w:val="auto"/>
          <w:kern w:val="2"/>
          <w:sz w:val="24"/>
          <w:szCs w:val="24"/>
          <w:highlight w:val="none"/>
          <w:lang w:val="en-US" w:eastAsia="zh-CN" w:bidi="ar-SA"/>
        </w:rPr>
      </w:pPr>
      <w:r>
        <w:rPr>
          <w:rStyle w:val="21"/>
          <w:rFonts w:hint="eastAsia" w:ascii="宋体" w:hAnsi="宋体" w:eastAsia="宋体" w:cs="Times New Roman"/>
          <w:color w:val="auto"/>
          <w:kern w:val="2"/>
          <w:sz w:val="24"/>
          <w:szCs w:val="24"/>
          <w:highlight w:val="none"/>
          <w:lang w:val="en-US" w:eastAsia="zh-CN" w:bidi="ar-SA"/>
        </w:rPr>
        <w:t>(1)中标通知书；</w:t>
      </w:r>
    </w:p>
    <w:p>
      <w:pPr>
        <w:pStyle w:val="65"/>
        <w:spacing w:line="360" w:lineRule="auto"/>
        <w:rPr>
          <w:rStyle w:val="21"/>
          <w:rFonts w:ascii="宋体" w:hAnsi="宋体" w:eastAsia="宋体" w:cs="Times New Roman"/>
          <w:color w:val="auto"/>
          <w:kern w:val="2"/>
          <w:sz w:val="24"/>
          <w:szCs w:val="24"/>
          <w:highlight w:val="none"/>
          <w:lang w:val="en-US" w:eastAsia="zh-CN" w:bidi="ar-SA"/>
        </w:rPr>
      </w:pPr>
      <w:r>
        <w:rPr>
          <w:rStyle w:val="21"/>
          <w:rFonts w:hint="eastAsia" w:ascii="宋体" w:hAnsi="宋体" w:eastAsia="宋体" w:cs="Times New Roman"/>
          <w:color w:val="auto"/>
          <w:kern w:val="2"/>
          <w:sz w:val="24"/>
          <w:szCs w:val="24"/>
          <w:highlight w:val="none"/>
          <w:lang w:val="en-US" w:eastAsia="zh-CN" w:bidi="ar-SA"/>
        </w:rPr>
        <w:t>(2)投标函及投标函附录；</w:t>
      </w:r>
    </w:p>
    <w:p>
      <w:pPr>
        <w:pStyle w:val="65"/>
        <w:spacing w:line="360" w:lineRule="auto"/>
        <w:rPr>
          <w:rStyle w:val="21"/>
          <w:rFonts w:ascii="宋体" w:hAnsi="宋体" w:eastAsia="宋体" w:cs="Times New Roman"/>
          <w:color w:val="auto"/>
          <w:kern w:val="2"/>
          <w:sz w:val="24"/>
          <w:szCs w:val="24"/>
          <w:highlight w:val="none"/>
          <w:lang w:val="en-US" w:eastAsia="zh-CN" w:bidi="ar-SA"/>
        </w:rPr>
      </w:pPr>
      <w:r>
        <w:rPr>
          <w:rStyle w:val="21"/>
          <w:rFonts w:hint="eastAsia" w:ascii="宋体" w:hAnsi="宋体" w:eastAsia="宋体" w:cs="Times New Roman"/>
          <w:color w:val="auto"/>
          <w:kern w:val="2"/>
          <w:sz w:val="24"/>
          <w:szCs w:val="24"/>
          <w:highlight w:val="none"/>
          <w:lang w:val="en-US" w:eastAsia="zh-CN" w:bidi="ar-SA"/>
        </w:rPr>
        <w:t>(3)专用合同条款；</w:t>
      </w:r>
    </w:p>
    <w:p>
      <w:pPr>
        <w:pStyle w:val="65"/>
        <w:spacing w:line="360" w:lineRule="auto"/>
        <w:rPr>
          <w:rStyle w:val="21"/>
          <w:rFonts w:ascii="宋体" w:hAnsi="宋体" w:eastAsia="宋体" w:cs="Times New Roman"/>
          <w:color w:val="auto"/>
          <w:kern w:val="2"/>
          <w:sz w:val="24"/>
          <w:szCs w:val="24"/>
          <w:highlight w:val="none"/>
          <w:lang w:val="en-US" w:eastAsia="zh-CN" w:bidi="ar-SA"/>
        </w:rPr>
      </w:pPr>
      <w:r>
        <w:rPr>
          <w:rStyle w:val="21"/>
          <w:rFonts w:hint="eastAsia" w:ascii="宋体" w:hAnsi="宋体" w:eastAsia="宋体" w:cs="Times New Roman"/>
          <w:color w:val="auto"/>
          <w:kern w:val="2"/>
          <w:sz w:val="24"/>
          <w:szCs w:val="24"/>
          <w:highlight w:val="none"/>
          <w:lang w:val="en-US" w:eastAsia="zh-CN" w:bidi="ar-SA"/>
        </w:rPr>
        <w:t>(4)通用合同条款；</w:t>
      </w:r>
    </w:p>
    <w:p>
      <w:pPr>
        <w:pStyle w:val="65"/>
        <w:spacing w:line="360" w:lineRule="auto"/>
        <w:rPr>
          <w:rStyle w:val="21"/>
          <w:rFonts w:ascii="宋体" w:hAnsi="宋体" w:eastAsia="宋体" w:cs="Times New Roman"/>
          <w:color w:val="auto"/>
          <w:kern w:val="2"/>
          <w:sz w:val="24"/>
          <w:szCs w:val="24"/>
          <w:highlight w:val="none"/>
          <w:lang w:val="en-US" w:eastAsia="zh-CN" w:bidi="ar-SA"/>
        </w:rPr>
      </w:pPr>
      <w:r>
        <w:rPr>
          <w:rStyle w:val="21"/>
          <w:rFonts w:hint="eastAsia" w:ascii="宋体" w:hAnsi="宋体" w:eastAsia="宋体" w:cs="Times New Roman"/>
          <w:color w:val="auto"/>
          <w:kern w:val="2"/>
          <w:sz w:val="24"/>
          <w:szCs w:val="24"/>
          <w:highlight w:val="none"/>
          <w:lang w:val="en-US" w:eastAsia="zh-CN" w:bidi="ar-SA"/>
        </w:rPr>
        <w:t>(5)技术标准和要求(合同技术条款)；</w:t>
      </w:r>
    </w:p>
    <w:p>
      <w:pPr>
        <w:pStyle w:val="65"/>
        <w:spacing w:line="360" w:lineRule="auto"/>
        <w:rPr>
          <w:rStyle w:val="21"/>
          <w:rFonts w:ascii="宋体" w:hAnsi="宋体" w:eastAsia="宋体" w:cs="Times New Roman"/>
          <w:color w:val="auto"/>
          <w:kern w:val="2"/>
          <w:sz w:val="24"/>
          <w:szCs w:val="24"/>
          <w:highlight w:val="none"/>
          <w:lang w:val="en-US" w:eastAsia="zh-CN" w:bidi="ar-SA"/>
        </w:rPr>
      </w:pPr>
      <w:r>
        <w:rPr>
          <w:rStyle w:val="21"/>
          <w:rFonts w:hint="eastAsia" w:ascii="宋体" w:hAnsi="宋体" w:eastAsia="宋体" w:cs="Times New Roman"/>
          <w:color w:val="auto"/>
          <w:kern w:val="2"/>
          <w:sz w:val="24"/>
          <w:szCs w:val="24"/>
          <w:highlight w:val="none"/>
          <w:lang w:val="en-US" w:eastAsia="zh-CN" w:bidi="ar-SA"/>
        </w:rPr>
        <w:t>(6)图纸；</w:t>
      </w:r>
    </w:p>
    <w:p>
      <w:pPr>
        <w:pStyle w:val="65"/>
        <w:spacing w:line="360" w:lineRule="auto"/>
        <w:rPr>
          <w:rStyle w:val="21"/>
          <w:rFonts w:ascii="宋体" w:hAnsi="宋体" w:eastAsia="宋体" w:cs="Times New Roman"/>
          <w:color w:val="auto"/>
          <w:kern w:val="2"/>
          <w:sz w:val="24"/>
          <w:szCs w:val="24"/>
          <w:highlight w:val="none"/>
          <w:lang w:val="en-US" w:eastAsia="zh-CN" w:bidi="ar-SA"/>
        </w:rPr>
      </w:pPr>
      <w:r>
        <w:rPr>
          <w:rStyle w:val="21"/>
          <w:rFonts w:hint="eastAsia" w:ascii="宋体" w:hAnsi="宋体" w:eastAsia="宋体" w:cs="Times New Roman"/>
          <w:color w:val="auto"/>
          <w:kern w:val="2"/>
          <w:sz w:val="24"/>
          <w:szCs w:val="24"/>
          <w:highlight w:val="none"/>
          <w:lang w:val="en-US" w:eastAsia="zh-CN" w:bidi="ar-SA"/>
        </w:rPr>
        <w:t>(7)已标价工程量清单；</w:t>
      </w:r>
    </w:p>
    <w:p>
      <w:pPr>
        <w:pStyle w:val="65"/>
        <w:spacing w:line="360" w:lineRule="auto"/>
        <w:rPr>
          <w:rStyle w:val="21"/>
          <w:rFonts w:ascii="宋体" w:hAnsi="宋体" w:eastAsia="宋体" w:cs="Times New Roman"/>
          <w:color w:val="auto"/>
          <w:kern w:val="2"/>
          <w:sz w:val="24"/>
          <w:szCs w:val="24"/>
          <w:highlight w:val="none"/>
          <w:lang w:val="en-US" w:eastAsia="zh-CN" w:bidi="ar-SA"/>
        </w:rPr>
      </w:pPr>
      <w:r>
        <w:rPr>
          <w:rStyle w:val="21"/>
          <w:rFonts w:hint="eastAsia" w:ascii="宋体" w:hAnsi="宋体" w:eastAsia="宋体" w:cs="Times New Roman"/>
          <w:color w:val="auto"/>
          <w:kern w:val="2"/>
          <w:sz w:val="24"/>
          <w:szCs w:val="24"/>
          <w:highlight w:val="none"/>
          <w:lang w:val="en-US" w:eastAsia="zh-CN" w:bidi="ar-SA"/>
        </w:rPr>
        <w:t>(8)其它合同文件。</w:t>
      </w:r>
    </w:p>
    <w:p>
      <w:pPr>
        <w:pStyle w:val="65"/>
        <w:spacing w:line="360" w:lineRule="auto"/>
        <w:rPr>
          <w:rStyle w:val="21"/>
          <w:rFonts w:ascii="宋体" w:hAnsi="宋体" w:eastAsia="宋体" w:cs="Times New Roman"/>
          <w:color w:val="auto"/>
          <w:kern w:val="2"/>
          <w:sz w:val="24"/>
          <w:szCs w:val="24"/>
          <w:highlight w:val="none"/>
          <w:lang w:val="en-US" w:eastAsia="zh-CN" w:bidi="ar-SA"/>
        </w:rPr>
      </w:pPr>
      <w:r>
        <w:rPr>
          <w:rStyle w:val="21"/>
          <w:rFonts w:hint="eastAsia" w:ascii="宋体" w:hAnsi="宋体" w:eastAsia="宋体" w:cs="Times New Roman"/>
          <w:color w:val="auto"/>
          <w:kern w:val="2"/>
          <w:sz w:val="24"/>
          <w:szCs w:val="24"/>
          <w:highlight w:val="none"/>
          <w:lang w:val="en-US" w:eastAsia="zh-CN" w:bidi="ar-SA"/>
        </w:rPr>
        <w:t>2.上述文件互相补充和解释，如有不明确或不一致之处，以合同约定次序在先者为准。</w:t>
      </w:r>
    </w:p>
    <w:p>
      <w:pPr>
        <w:pStyle w:val="65"/>
        <w:spacing w:line="360" w:lineRule="auto"/>
        <w:rPr>
          <w:rStyle w:val="21"/>
          <w:rFonts w:ascii="宋体" w:hAnsi="宋体" w:eastAsia="宋体" w:cs="Times New Roman"/>
          <w:color w:val="auto"/>
          <w:kern w:val="2"/>
          <w:sz w:val="24"/>
          <w:szCs w:val="24"/>
          <w:highlight w:val="none"/>
          <w:lang w:val="en-US" w:eastAsia="zh-CN" w:bidi="ar-SA"/>
        </w:rPr>
      </w:pPr>
      <w:r>
        <w:rPr>
          <w:rStyle w:val="21"/>
          <w:rFonts w:hint="eastAsia" w:ascii="宋体" w:hAnsi="宋体" w:eastAsia="宋体" w:cs="Times New Roman"/>
          <w:color w:val="auto"/>
          <w:kern w:val="2"/>
          <w:sz w:val="24"/>
          <w:szCs w:val="24"/>
          <w:highlight w:val="none"/>
          <w:lang w:val="en-US" w:eastAsia="zh-CN" w:bidi="ar-SA"/>
        </w:rPr>
        <w:t>3.签约合同价：人民币(大写)元(￥元)。</w:t>
      </w:r>
    </w:p>
    <w:p>
      <w:pPr>
        <w:pStyle w:val="65"/>
        <w:spacing w:line="360" w:lineRule="auto"/>
        <w:rPr>
          <w:rStyle w:val="21"/>
          <w:rFonts w:ascii="宋体" w:hAnsi="宋体" w:eastAsia="宋体" w:cs="Times New Roman"/>
          <w:color w:val="auto"/>
          <w:kern w:val="2"/>
          <w:sz w:val="24"/>
          <w:szCs w:val="24"/>
          <w:highlight w:val="none"/>
          <w:lang w:val="en-US" w:eastAsia="zh-CN" w:bidi="ar-SA"/>
        </w:rPr>
      </w:pPr>
      <w:r>
        <w:rPr>
          <w:rStyle w:val="21"/>
          <w:rFonts w:hint="eastAsia" w:ascii="宋体" w:hAnsi="宋体" w:eastAsia="宋体" w:cs="Times New Roman"/>
          <w:color w:val="auto"/>
          <w:kern w:val="2"/>
          <w:sz w:val="24"/>
          <w:szCs w:val="24"/>
          <w:highlight w:val="none"/>
          <w:lang w:val="en-US" w:eastAsia="zh-CN" w:bidi="ar-SA"/>
        </w:rPr>
        <w:t>4.承包人项目经理：。</w:t>
      </w:r>
    </w:p>
    <w:p>
      <w:pPr>
        <w:pStyle w:val="65"/>
        <w:spacing w:line="360" w:lineRule="auto"/>
        <w:rPr>
          <w:rStyle w:val="21"/>
          <w:rFonts w:ascii="宋体" w:hAnsi="宋体" w:eastAsia="宋体" w:cs="Times New Roman"/>
          <w:color w:val="auto"/>
          <w:kern w:val="2"/>
          <w:sz w:val="24"/>
          <w:szCs w:val="24"/>
          <w:highlight w:val="none"/>
          <w:lang w:val="en-US" w:eastAsia="zh-CN" w:bidi="ar-SA"/>
        </w:rPr>
      </w:pPr>
      <w:r>
        <w:rPr>
          <w:rStyle w:val="21"/>
          <w:rFonts w:hint="eastAsia" w:ascii="宋体" w:hAnsi="宋体" w:eastAsia="宋体" w:cs="Times New Roman"/>
          <w:color w:val="auto"/>
          <w:kern w:val="2"/>
          <w:sz w:val="24"/>
          <w:szCs w:val="24"/>
          <w:highlight w:val="none"/>
          <w:lang w:val="en-US" w:eastAsia="zh-CN" w:bidi="ar-SA"/>
        </w:rPr>
        <w:t>5.工程质量符合标准。</w:t>
      </w:r>
    </w:p>
    <w:p>
      <w:pPr>
        <w:pStyle w:val="65"/>
        <w:spacing w:line="360" w:lineRule="auto"/>
        <w:rPr>
          <w:rStyle w:val="21"/>
          <w:rFonts w:ascii="宋体" w:hAnsi="宋体" w:eastAsia="宋体" w:cs="Times New Roman"/>
          <w:color w:val="auto"/>
          <w:kern w:val="2"/>
          <w:sz w:val="24"/>
          <w:szCs w:val="24"/>
          <w:highlight w:val="none"/>
          <w:lang w:val="en-US" w:eastAsia="zh-CN" w:bidi="ar-SA"/>
        </w:rPr>
      </w:pPr>
      <w:r>
        <w:rPr>
          <w:rStyle w:val="21"/>
          <w:rFonts w:hint="eastAsia" w:ascii="宋体" w:hAnsi="宋体" w:eastAsia="宋体" w:cs="Times New Roman"/>
          <w:color w:val="auto"/>
          <w:kern w:val="2"/>
          <w:sz w:val="24"/>
          <w:szCs w:val="24"/>
          <w:highlight w:val="none"/>
          <w:lang w:val="en-US" w:eastAsia="zh-CN" w:bidi="ar-SA"/>
        </w:rPr>
        <w:t>6.承包人承诺按合同约定承担工程的实施、完成及缺陷修复。</w:t>
      </w:r>
    </w:p>
    <w:p>
      <w:pPr>
        <w:pStyle w:val="65"/>
        <w:spacing w:line="360" w:lineRule="auto"/>
        <w:rPr>
          <w:rStyle w:val="21"/>
          <w:rFonts w:ascii="宋体" w:hAnsi="宋体" w:eastAsia="宋体" w:cs="Times New Roman"/>
          <w:color w:val="auto"/>
          <w:kern w:val="2"/>
          <w:sz w:val="24"/>
          <w:szCs w:val="24"/>
          <w:highlight w:val="none"/>
          <w:lang w:val="en-US" w:eastAsia="zh-CN" w:bidi="ar-SA"/>
        </w:rPr>
      </w:pPr>
      <w:r>
        <w:rPr>
          <w:rStyle w:val="21"/>
          <w:rFonts w:hint="eastAsia" w:ascii="宋体" w:hAnsi="宋体" w:eastAsia="宋体" w:cs="Times New Roman"/>
          <w:color w:val="auto"/>
          <w:kern w:val="2"/>
          <w:sz w:val="24"/>
          <w:szCs w:val="24"/>
          <w:highlight w:val="none"/>
          <w:lang w:val="en-US" w:eastAsia="zh-CN" w:bidi="ar-SA"/>
        </w:rPr>
        <w:t>7.发包人承诺按合同约定的条件、时间和方式向承包人支付合同价款。</w:t>
      </w:r>
    </w:p>
    <w:p>
      <w:pPr>
        <w:pStyle w:val="65"/>
        <w:spacing w:line="360" w:lineRule="auto"/>
        <w:rPr>
          <w:rStyle w:val="21"/>
          <w:rFonts w:ascii="宋体" w:hAnsi="宋体" w:eastAsia="宋体" w:cs="Times New Roman"/>
          <w:color w:val="auto"/>
          <w:kern w:val="2"/>
          <w:sz w:val="24"/>
          <w:szCs w:val="24"/>
          <w:highlight w:val="none"/>
          <w:lang w:val="en-US" w:eastAsia="zh-CN" w:bidi="ar-SA"/>
        </w:rPr>
      </w:pPr>
      <w:r>
        <w:rPr>
          <w:rStyle w:val="21"/>
          <w:rFonts w:hint="eastAsia" w:ascii="宋体" w:hAnsi="宋体" w:eastAsia="宋体" w:cs="Times New Roman"/>
          <w:color w:val="auto"/>
          <w:kern w:val="2"/>
          <w:sz w:val="24"/>
          <w:szCs w:val="24"/>
          <w:highlight w:val="none"/>
          <w:lang w:val="en-US" w:eastAsia="zh-CN" w:bidi="ar-SA"/>
        </w:rPr>
        <w:t>8.承包人承诺执行监理人开工通知，计划工期为天。</w:t>
      </w:r>
    </w:p>
    <w:p>
      <w:pPr>
        <w:pStyle w:val="65"/>
        <w:spacing w:line="360" w:lineRule="auto"/>
        <w:rPr>
          <w:rStyle w:val="21"/>
          <w:rFonts w:ascii="宋体" w:hAnsi="宋体" w:eastAsia="宋体" w:cs="Times New Roman"/>
          <w:color w:val="auto"/>
          <w:kern w:val="2"/>
          <w:sz w:val="24"/>
          <w:szCs w:val="24"/>
          <w:highlight w:val="none"/>
          <w:lang w:val="en-US" w:eastAsia="zh-CN" w:bidi="ar-SA"/>
        </w:rPr>
      </w:pPr>
      <w:r>
        <w:rPr>
          <w:rStyle w:val="21"/>
          <w:rFonts w:hint="eastAsia" w:ascii="宋体" w:hAnsi="宋体" w:eastAsia="宋体" w:cs="Times New Roman"/>
          <w:color w:val="auto"/>
          <w:kern w:val="2"/>
          <w:sz w:val="24"/>
          <w:szCs w:val="24"/>
          <w:highlight w:val="none"/>
          <w:lang w:val="en-US" w:eastAsia="zh-CN" w:bidi="ar-SA"/>
        </w:rPr>
        <w:t>9.本协议书一式份，合同双方各执一份。</w:t>
      </w:r>
    </w:p>
    <w:p>
      <w:pPr>
        <w:pStyle w:val="65"/>
        <w:spacing w:line="360" w:lineRule="auto"/>
        <w:rPr>
          <w:rStyle w:val="21"/>
          <w:rFonts w:ascii="宋体" w:hAnsi="宋体" w:eastAsia="宋体" w:cs="Times New Roman"/>
          <w:color w:val="auto"/>
          <w:kern w:val="2"/>
          <w:sz w:val="24"/>
          <w:szCs w:val="24"/>
          <w:highlight w:val="none"/>
          <w:lang w:val="en-US" w:eastAsia="zh-CN" w:bidi="ar-SA"/>
        </w:rPr>
      </w:pPr>
      <w:r>
        <w:rPr>
          <w:rStyle w:val="21"/>
          <w:rFonts w:hint="eastAsia" w:ascii="宋体" w:hAnsi="宋体" w:eastAsia="宋体" w:cs="Times New Roman"/>
          <w:color w:val="auto"/>
          <w:kern w:val="2"/>
          <w:sz w:val="24"/>
          <w:szCs w:val="24"/>
          <w:highlight w:val="none"/>
          <w:lang w:val="en-US" w:eastAsia="zh-CN" w:bidi="ar-SA"/>
        </w:rPr>
        <w:t>10.合同未尽事宜，双方另行签订补充协议。补充协议是合同的组成部分。</w:t>
      </w:r>
    </w:p>
    <w:p>
      <w:pPr>
        <w:pStyle w:val="65"/>
        <w:spacing w:line="360" w:lineRule="auto"/>
        <w:rPr>
          <w:rStyle w:val="21"/>
          <w:rFonts w:ascii="宋体" w:hAnsi="宋体" w:eastAsia="宋体" w:cs="Times New Roman"/>
          <w:color w:val="auto"/>
          <w:kern w:val="2"/>
          <w:sz w:val="24"/>
          <w:szCs w:val="24"/>
          <w:highlight w:val="none"/>
          <w:lang w:val="en-US" w:eastAsia="zh-CN" w:bidi="ar-SA"/>
        </w:rPr>
      </w:pPr>
      <w:r>
        <w:rPr>
          <w:rStyle w:val="21"/>
          <w:rFonts w:hint="eastAsia" w:ascii="宋体" w:hAnsi="宋体" w:eastAsia="宋体" w:cs="Times New Roman"/>
          <w:color w:val="auto"/>
          <w:kern w:val="2"/>
          <w:sz w:val="24"/>
          <w:szCs w:val="24"/>
          <w:highlight w:val="none"/>
          <w:lang w:val="en-US" w:eastAsia="zh-CN" w:bidi="ar-SA"/>
        </w:rPr>
        <w:t>发包人：(盖单位章)承包人：(盖单位章)</w:t>
      </w:r>
    </w:p>
    <w:p>
      <w:pPr>
        <w:pStyle w:val="65"/>
        <w:spacing w:line="360" w:lineRule="auto"/>
        <w:rPr>
          <w:rStyle w:val="21"/>
          <w:rFonts w:ascii="宋体" w:hAnsi="宋体" w:eastAsia="宋体" w:cs="Times New Roman"/>
          <w:color w:val="auto"/>
          <w:kern w:val="2"/>
          <w:sz w:val="24"/>
          <w:szCs w:val="24"/>
          <w:highlight w:val="none"/>
          <w:lang w:val="en-US" w:eastAsia="zh-CN" w:bidi="ar-SA"/>
        </w:rPr>
      </w:pPr>
      <w:r>
        <w:rPr>
          <w:rStyle w:val="21"/>
          <w:rFonts w:hint="eastAsia" w:ascii="宋体" w:hAnsi="宋体" w:eastAsia="宋体" w:cs="Times New Roman"/>
          <w:color w:val="auto"/>
          <w:kern w:val="2"/>
          <w:sz w:val="24"/>
          <w:szCs w:val="24"/>
          <w:highlight w:val="none"/>
          <w:lang w:val="en-US" w:eastAsia="zh-CN" w:bidi="ar-SA"/>
        </w:rPr>
        <w:t>法定代表人或其委托代理人：(签字)法定代表人或其委托代理人：(签字)</w:t>
      </w:r>
    </w:p>
    <w:p>
      <w:pPr>
        <w:pStyle w:val="65"/>
        <w:spacing w:line="360" w:lineRule="auto"/>
        <w:rPr>
          <w:rStyle w:val="21"/>
          <w:rFonts w:ascii="宋体" w:hAnsi="宋体" w:eastAsia="宋体" w:cs="Times New Roman"/>
          <w:color w:val="auto"/>
          <w:kern w:val="2"/>
          <w:sz w:val="24"/>
          <w:szCs w:val="24"/>
          <w:highlight w:val="none"/>
          <w:lang w:val="en-US" w:eastAsia="zh-CN" w:bidi="ar-SA"/>
        </w:rPr>
      </w:pPr>
      <w:r>
        <w:rPr>
          <w:rStyle w:val="21"/>
          <w:rFonts w:hint="eastAsia" w:ascii="宋体" w:hAnsi="宋体" w:eastAsia="宋体" w:cs="Times New Roman"/>
          <w:color w:val="auto"/>
          <w:kern w:val="2"/>
          <w:sz w:val="24"/>
          <w:szCs w:val="24"/>
          <w:highlight w:val="none"/>
          <w:lang w:val="en-US" w:eastAsia="zh-CN" w:bidi="ar-SA"/>
        </w:rPr>
        <w:t>年月日年月日</w:t>
      </w:r>
    </w:p>
    <w:bookmarkEnd w:id="264"/>
    <w:bookmarkEnd w:id="265"/>
    <w:p>
      <w:pPr>
        <w:pageBreakBefore w:val="0"/>
        <w:kinsoku/>
        <w:overflowPunct/>
        <w:topLinePunct w:val="0"/>
        <w:bidi w:val="0"/>
        <w:snapToGrid/>
        <w:spacing w:line="360" w:lineRule="auto"/>
        <w:jc w:val="both"/>
        <w:rPr>
          <w:rFonts w:hint="eastAsia" w:ascii="宋体" w:hAnsi="宋体" w:eastAsia="宋体" w:cs="宋体"/>
          <w:b/>
          <w:bCs/>
          <w:color w:val="auto"/>
          <w:sz w:val="44"/>
          <w:szCs w:val="44"/>
          <w:highlight w:val="none"/>
        </w:rPr>
      </w:pPr>
    </w:p>
    <w:p>
      <w:pPr>
        <w:pStyle w:val="3"/>
        <w:pageBreakBefore w:val="0"/>
        <w:kinsoku/>
        <w:overflowPunct/>
        <w:topLinePunct w:val="0"/>
        <w:bidi w:val="0"/>
        <w:snapToGrid/>
        <w:spacing w:line="360" w:lineRule="auto"/>
        <w:ind w:firstLine="3092" w:firstLineChars="700"/>
        <w:jc w:val="both"/>
        <w:rPr>
          <w:rFonts w:hint="eastAsia" w:ascii="宋体" w:hAnsi="宋体" w:eastAsia="宋体" w:cs="宋体"/>
          <w:color w:val="auto"/>
          <w:highlight w:val="none"/>
        </w:rPr>
      </w:pPr>
      <w:bookmarkStart w:id="320" w:name="_Toc15388"/>
      <w:bookmarkStart w:id="321" w:name="_Toc13856"/>
      <w:r>
        <w:rPr>
          <w:rFonts w:hint="eastAsia" w:ascii="宋体" w:hAnsi="宋体" w:eastAsia="宋体" w:cs="宋体"/>
          <w:color w:val="auto"/>
          <w:highlight w:val="none"/>
        </w:rPr>
        <w:t>第五章  采购需求</w:t>
      </w:r>
      <w:bookmarkEnd w:id="320"/>
      <w:bookmarkEnd w:id="321"/>
      <w:bookmarkStart w:id="322" w:name="bookmark529"/>
      <w:bookmarkStart w:id="323" w:name="bookmark527"/>
      <w:bookmarkStart w:id="324" w:name="bookmark528"/>
    </w:p>
    <w:p>
      <w:pPr>
        <w:pStyle w:val="4"/>
        <w:pageBreakBefore w:val="0"/>
        <w:kinsoku/>
        <w:overflowPunct/>
        <w:topLinePunct w:val="0"/>
        <w:bidi w:val="0"/>
        <w:snapToGrid/>
        <w:spacing w:line="360" w:lineRule="auto"/>
        <w:ind w:firstLine="2811" w:firstLineChars="1000"/>
        <w:jc w:val="left"/>
        <w:rPr>
          <w:rFonts w:hint="eastAsia" w:ascii="宋体" w:hAnsi="宋体" w:eastAsia="宋体" w:cs="宋体"/>
          <w:color w:val="auto"/>
          <w:highlight w:val="none"/>
        </w:rPr>
      </w:pPr>
      <w:bookmarkStart w:id="325" w:name="_Toc14944"/>
      <w:bookmarkStart w:id="326" w:name="_Toc8115"/>
      <w:r>
        <w:rPr>
          <w:rFonts w:hint="eastAsia" w:ascii="宋体" w:hAnsi="宋体" w:eastAsia="宋体" w:cs="宋体"/>
          <w:color w:val="auto"/>
          <w:highlight w:val="none"/>
        </w:rPr>
        <w:t>采购需求编制说明</w:t>
      </w:r>
      <w:bookmarkEnd w:id="322"/>
      <w:bookmarkEnd w:id="323"/>
      <w:bookmarkEnd w:id="324"/>
      <w:bookmarkEnd w:id="325"/>
      <w:bookmarkEnd w:id="326"/>
    </w:p>
    <w:p>
      <w:pPr>
        <w:pStyle w:val="35"/>
        <w:pageBreakBefore w:val="0"/>
        <w:kinsoku/>
        <w:overflowPunct/>
        <w:topLinePunct w:val="0"/>
        <w:bidi w:val="0"/>
        <w:snapToGrid/>
        <w:spacing w:line="360" w:lineRule="auto"/>
        <w:ind w:firstLine="480"/>
        <w:rPr>
          <w:rFonts w:hint="eastAsia" w:ascii="宋体" w:hAnsi="宋体" w:eastAsia="宋体" w:cs="宋体"/>
          <w:color w:val="auto"/>
          <w:highlight w:val="none"/>
        </w:rPr>
      </w:pPr>
      <w:r>
        <w:rPr>
          <w:rFonts w:hint="eastAsia" w:ascii="宋体" w:hAnsi="宋体" w:eastAsia="宋体" w:cs="宋体"/>
          <w:color w:val="auto"/>
          <w:sz w:val="24"/>
          <w:highlight w:val="none"/>
        </w:rPr>
        <w:t>工程项目应提供图纸、技术标准和要求、工程量清单。</w:t>
      </w:r>
    </w:p>
    <w:p>
      <w:pPr>
        <w:pStyle w:val="35"/>
        <w:pageBreakBefore w:val="0"/>
        <w:kinsoku/>
        <w:overflowPunct/>
        <w:topLinePunct w:val="0"/>
        <w:bidi w:val="0"/>
        <w:snapToGrid/>
        <w:spacing w:line="360" w:lineRule="auto"/>
        <w:ind w:firstLine="480"/>
        <w:rPr>
          <w:rFonts w:hint="eastAsia" w:ascii="宋体" w:hAnsi="宋体" w:eastAsia="宋体" w:cs="宋体"/>
          <w:color w:val="auto"/>
          <w:highlight w:val="none"/>
        </w:rPr>
      </w:pPr>
      <w:r>
        <w:rPr>
          <w:rFonts w:hint="eastAsia" w:ascii="宋体" w:hAnsi="宋体" w:eastAsia="宋体" w:cs="宋体"/>
          <w:color w:val="auto"/>
          <w:sz w:val="24"/>
          <w:highlight w:val="none"/>
        </w:rPr>
        <w:t>货物项目应尽可能清晰、准确地提出对货物的需求，并对所要求提供的货物名称、 规格、数量以及单位、交货时间、交货地点、技术性能指标、检验考核要求、技术服务和售后服务要求、是否要求或允许对主要材料和关键部件进行外购等作出说明。</w:t>
      </w:r>
    </w:p>
    <w:p>
      <w:pPr>
        <w:pageBreakBefore w:val="0"/>
        <w:kinsoku/>
        <w:overflowPunct/>
        <w:topLinePunct w:val="0"/>
        <w:bidi w:val="0"/>
        <w:snapToGrid/>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服务项目应明确服务采购需求和服务工作开展条件、服务成果要求（成果文件、 周期、质量、配合技术服务要求等）等内容。</w:t>
      </w:r>
    </w:p>
    <w:p>
      <w:pPr>
        <w:pStyle w:val="17"/>
        <w:pageBreakBefore w:val="0"/>
        <w:kinsoku/>
        <w:overflowPunct/>
        <w:topLinePunct w:val="0"/>
        <w:bidi w:val="0"/>
        <w:snapToGrid/>
        <w:spacing w:line="360" w:lineRule="auto"/>
        <w:ind w:firstLine="210"/>
        <w:rPr>
          <w:rFonts w:hint="eastAsia" w:ascii="宋体" w:hAnsi="宋体" w:eastAsia="宋体" w:cs="宋体"/>
          <w:color w:val="auto"/>
          <w:kern w:val="2"/>
          <w:sz w:val="24"/>
          <w:szCs w:val="24"/>
          <w:highlight w:val="none"/>
          <w:lang w:val="zh-TW" w:eastAsia="zh-CN" w:bidi="zh-TW"/>
        </w:rPr>
      </w:pPr>
      <w:r>
        <w:rPr>
          <w:rFonts w:hint="eastAsia" w:ascii="宋体" w:hAnsi="宋体" w:eastAsia="宋体" w:cs="宋体"/>
          <w:color w:val="auto"/>
          <w:kern w:val="2"/>
          <w:sz w:val="24"/>
          <w:szCs w:val="24"/>
          <w:highlight w:val="none"/>
          <w:lang w:val="zh-TW" w:eastAsia="zh-CN" w:bidi="zh-TW"/>
        </w:rPr>
        <w:t>工程量清单：</w:t>
      </w:r>
    </w:p>
    <w:p>
      <w:pPr>
        <w:pageBreakBefore w:val="0"/>
        <w:kinsoku/>
        <w:overflowPunct/>
        <w:topLinePunct w:val="0"/>
        <w:bidi w:val="0"/>
        <w:snapToGrid/>
        <w:spacing w:line="360" w:lineRule="auto"/>
        <w:jc w:val="both"/>
        <w:rPr>
          <w:rFonts w:hint="eastAsia" w:ascii="宋体" w:hAnsi="宋体" w:eastAsia="宋体" w:cs="宋体"/>
          <w:b/>
          <w:bCs/>
          <w:color w:val="auto"/>
          <w:sz w:val="44"/>
          <w:szCs w:val="44"/>
          <w:highlight w:val="none"/>
        </w:rPr>
      </w:pPr>
    </w:p>
    <w:p>
      <w:pPr>
        <w:pageBreakBefore w:val="0"/>
        <w:kinsoku/>
        <w:overflowPunct/>
        <w:topLinePunct w:val="0"/>
        <w:bidi w:val="0"/>
        <w:snapToGrid/>
        <w:spacing w:line="360" w:lineRule="auto"/>
        <w:jc w:val="center"/>
        <w:rPr>
          <w:rFonts w:hint="eastAsia" w:ascii="宋体" w:hAnsi="宋体" w:eastAsia="宋体" w:cs="宋体"/>
          <w:b/>
          <w:bCs/>
          <w:color w:val="auto"/>
          <w:sz w:val="44"/>
          <w:szCs w:val="44"/>
          <w:highlight w:val="none"/>
        </w:rPr>
      </w:pPr>
    </w:p>
    <w:p>
      <w:pPr>
        <w:pageBreakBefore w:val="0"/>
        <w:kinsoku/>
        <w:overflowPunct/>
        <w:topLinePunct w:val="0"/>
        <w:bidi w:val="0"/>
        <w:snapToGrid/>
        <w:spacing w:line="360" w:lineRule="auto"/>
        <w:jc w:val="center"/>
        <w:rPr>
          <w:rFonts w:hint="eastAsia" w:ascii="宋体" w:hAnsi="宋体" w:eastAsia="宋体" w:cs="宋体"/>
          <w:b/>
          <w:bCs/>
          <w:color w:val="auto"/>
          <w:sz w:val="44"/>
          <w:szCs w:val="44"/>
          <w:highlight w:val="none"/>
        </w:rPr>
      </w:pPr>
    </w:p>
    <w:p>
      <w:pPr>
        <w:pageBreakBefore w:val="0"/>
        <w:kinsoku/>
        <w:overflowPunct/>
        <w:topLinePunct w:val="0"/>
        <w:bidi w:val="0"/>
        <w:snapToGrid/>
        <w:spacing w:line="360" w:lineRule="auto"/>
        <w:jc w:val="center"/>
        <w:rPr>
          <w:rFonts w:hint="eastAsia" w:ascii="宋体" w:hAnsi="宋体" w:eastAsia="宋体" w:cs="宋体"/>
          <w:b/>
          <w:bCs/>
          <w:color w:val="auto"/>
          <w:sz w:val="44"/>
          <w:szCs w:val="44"/>
          <w:highlight w:val="none"/>
        </w:rPr>
      </w:pPr>
    </w:p>
    <w:p>
      <w:pPr>
        <w:pStyle w:val="17"/>
        <w:pageBreakBefore w:val="0"/>
        <w:kinsoku/>
        <w:overflowPunct/>
        <w:topLinePunct w:val="0"/>
        <w:bidi w:val="0"/>
        <w:snapToGrid/>
        <w:spacing w:line="360" w:lineRule="auto"/>
        <w:ind w:firstLine="440"/>
        <w:rPr>
          <w:rFonts w:hint="eastAsia" w:ascii="宋体" w:hAnsi="宋体" w:eastAsia="宋体" w:cs="宋体"/>
          <w:b/>
          <w:bCs/>
          <w:color w:val="auto"/>
          <w:sz w:val="44"/>
          <w:szCs w:val="44"/>
          <w:highlight w:val="none"/>
        </w:rPr>
      </w:pPr>
    </w:p>
    <w:p>
      <w:pPr>
        <w:pStyle w:val="17"/>
        <w:pageBreakBefore w:val="0"/>
        <w:kinsoku/>
        <w:overflowPunct/>
        <w:topLinePunct w:val="0"/>
        <w:bidi w:val="0"/>
        <w:snapToGrid/>
        <w:spacing w:line="360" w:lineRule="auto"/>
        <w:ind w:firstLine="440"/>
        <w:rPr>
          <w:rFonts w:hint="eastAsia" w:ascii="宋体" w:hAnsi="宋体" w:eastAsia="宋体" w:cs="宋体"/>
          <w:b/>
          <w:bCs/>
          <w:color w:val="auto"/>
          <w:sz w:val="44"/>
          <w:szCs w:val="44"/>
          <w:highlight w:val="none"/>
        </w:rPr>
      </w:pPr>
    </w:p>
    <w:p>
      <w:pPr>
        <w:pStyle w:val="17"/>
        <w:pageBreakBefore w:val="0"/>
        <w:kinsoku/>
        <w:overflowPunct/>
        <w:topLinePunct w:val="0"/>
        <w:bidi w:val="0"/>
        <w:snapToGrid/>
        <w:spacing w:line="360" w:lineRule="auto"/>
        <w:ind w:firstLine="440"/>
        <w:rPr>
          <w:rFonts w:hint="eastAsia" w:ascii="宋体" w:hAnsi="宋体" w:eastAsia="宋体" w:cs="宋体"/>
          <w:b/>
          <w:bCs/>
          <w:color w:val="auto"/>
          <w:sz w:val="44"/>
          <w:szCs w:val="44"/>
          <w:highlight w:val="none"/>
        </w:rPr>
      </w:pPr>
    </w:p>
    <w:p>
      <w:pPr>
        <w:pStyle w:val="17"/>
        <w:pageBreakBefore w:val="0"/>
        <w:kinsoku/>
        <w:overflowPunct/>
        <w:topLinePunct w:val="0"/>
        <w:bidi w:val="0"/>
        <w:snapToGrid/>
        <w:spacing w:line="360" w:lineRule="auto"/>
        <w:ind w:firstLine="440"/>
        <w:rPr>
          <w:rFonts w:hint="eastAsia" w:ascii="宋体" w:hAnsi="宋体" w:eastAsia="宋体" w:cs="宋体"/>
          <w:b/>
          <w:bCs/>
          <w:color w:val="auto"/>
          <w:sz w:val="44"/>
          <w:szCs w:val="44"/>
          <w:highlight w:val="none"/>
        </w:rPr>
      </w:pPr>
    </w:p>
    <w:p>
      <w:pPr>
        <w:pStyle w:val="17"/>
        <w:pageBreakBefore w:val="0"/>
        <w:kinsoku/>
        <w:overflowPunct/>
        <w:topLinePunct w:val="0"/>
        <w:bidi w:val="0"/>
        <w:snapToGrid/>
        <w:spacing w:line="360" w:lineRule="auto"/>
        <w:ind w:firstLine="440"/>
        <w:rPr>
          <w:rFonts w:hint="eastAsia" w:ascii="宋体" w:hAnsi="宋体" w:eastAsia="宋体" w:cs="宋体"/>
          <w:b/>
          <w:bCs/>
          <w:color w:val="auto"/>
          <w:sz w:val="44"/>
          <w:szCs w:val="44"/>
          <w:highlight w:val="none"/>
        </w:rPr>
      </w:pPr>
    </w:p>
    <w:p>
      <w:pPr>
        <w:pStyle w:val="17"/>
        <w:pageBreakBefore w:val="0"/>
        <w:kinsoku/>
        <w:overflowPunct/>
        <w:topLinePunct w:val="0"/>
        <w:bidi w:val="0"/>
        <w:snapToGrid/>
        <w:spacing w:line="360" w:lineRule="auto"/>
        <w:ind w:firstLine="440"/>
        <w:rPr>
          <w:rFonts w:hint="eastAsia" w:ascii="宋体" w:hAnsi="宋体" w:eastAsia="宋体" w:cs="宋体"/>
          <w:b/>
          <w:bCs/>
          <w:color w:val="auto"/>
          <w:sz w:val="44"/>
          <w:szCs w:val="44"/>
          <w:highlight w:val="none"/>
        </w:rPr>
      </w:pPr>
    </w:p>
    <w:p>
      <w:pPr>
        <w:pageBreakBefore w:val="0"/>
        <w:kinsoku/>
        <w:overflowPunct/>
        <w:topLinePunct w:val="0"/>
        <w:bidi w:val="0"/>
        <w:snapToGrid/>
        <w:spacing w:line="360" w:lineRule="auto"/>
        <w:jc w:val="both"/>
        <w:rPr>
          <w:rFonts w:hint="eastAsia" w:ascii="宋体" w:hAnsi="宋体" w:eastAsia="宋体" w:cs="宋体"/>
          <w:b/>
          <w:bCs/>
          <w:color w:val="auto"/>
          <w:spacing w:val="20"/>
          <w:sz w:val="44"/>
          <w:szCs w:val="44"/>
          <w:highlight w:val="none"/>
        </w:rPr>
      </w:pPr>
    </w:p>
    <w:p>
      <w:pPr>
        <w:rPr>
          <w:rFonts w:hint="eastAsia" w:ascii="宋体" w:hAnsi="宋体" w:eastAsia="宋体" w:cs="宋体"/>
          <w:color w:val="auto"/>
          <w:highlight w:val="none"/>
        </w:rPr>
      </w:pPr>
      <w:r>
        <w:rPr>
          <w:rFonts w:hint="eastAsia" w:ascii="宋体" w:hAnsi="宋体" w:eastAsia="宋体" w:cs="宋体"/>
          <w:b/>
          <w:bCs/>
          <w:color w:val="auto"/>
          <w:spacing w:val="20"/>
          <w:sz w:val="44"/>
          <w:szCs w:val="44"/>
          <w:highlight w:val="none"/>
        </w:rPr>
        <w:br w:type="page"/>
      </w:r>
    </w:p>
    <w:p>
      <w:pPr>
        <w:pStyle w:val="17"/>
        <w:pageBreakBefore w:val="0"/>
        <w:kinsoku/>
        <w:overflowPunct/>
        <w:topLinePunct w:val="0"/>
        <w:bidi w:val="0"/>
        <w:snapToGrid/>
        <w:spacing w:line="360" w:lineRule="auto"/>
        <w:ind w:left="0" w:leftChars="0" w:firstLine="0" w:firstLineChars="0"/>
        <w:rPr>
          <w:rFonts w:hint="eastAsia" w:ascii="宋体" w:hAnsi="宋体" w:eastAsia="宋体" w:cs="宋体"/>
          <w:b/>
          <w:bCs/>
          <w:color w:val="auto"/>
          <w:spacing w:val="20"/>
          <w:sz w:val="32"/>
          <w:szCs w:val="32"/>
          <w:highlight w:val="none"/>
          <w:lang w:eastAsia="zh-CN"/>
        </w:rPr>
      </w:pPr>
      <w:r>
        <w:rPr>
          <w:rFonts w:hint="eastAsia" w:ascii="宋体" w:hAnsi="宋体" w:eastAsia="宋体" w:cs="宋体"/>
        </w:rPr>
        <w:drawing>
          <wp:inline distT="0" distB="0" distL="114300" distR="114300">
            <wp:extent cx="5556250" cy="7858125"/>
            <wp:effectExtent l="0" t="0" r="6350" b="5715"/>
            <wp:docPr id="14" name="图片 14" descr="SKM_458e22070614150_0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14" descr="SKM_458e22070614150_0001"/>
                    <pic:cNvPicPr>
                      <a:picLocks noChangeAspect="1"/>
                    </pic:cNvPicPr>
                  </pic:nvPicPr>
                  <pic:blipFill>
                    <a:blip r:embed="rId10"/>
                    <a:stretch>
                      <a:fillRect/>
                    </a:stretch>
                  </pic:blipFill>
                  <pic:spPr>
                    <a:xfrm>
                      <a:off x="0" y="0"/>
                      <a:ext cx="5556250" cy="7858125"/>
                    </a:xfrm>
                    <a:prstGeom prst="rect">
                      <a:avLst/>
                    </a:prstGeom>
                  </pic:spPr>
                </pic:pic>
              </a:graphicData>
            </a:graphic>
          </wp:inline>
        </w:drawing>
      </w:r>
      <w:r>
        <w:rPr>
          <w:rFonts w:hint="eastAsia" w:ascii="宋体" w:hAnsi="宋体" w:eastAsia="宋体" w:cs="宋体"/>
        </w:rPr>
        <w:drawing>
          <wp:inline distT="0" distB="0" distL="114300" distR="114300">
            <wp:extent cx="5383530" cy="7613650"/>
            <wp:effectExtent l="0" t="0" r="11430" b="6350"/>
            <wp:docPr id="2" name="图片 2" descr="SKM_458e22070614150_00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SKM_458e22070614150_0002"/>
                    <pic:cNvPicPr>
                      <a:picLocks noChangeAspect="1"/>
                    </pic:cNvPicPr>
                  </pic:nvPicPr>
                  <pic:blipFill>
                    <a:blip r:embed="rId11"/>
                    <a:stretch>
                      <a:fillRect/>
                    </a:stretch>
                  </pic:blipFill>
                  <pic:spPr>
                    <a:xfrm>
                      <a:off x="0" y="0"/>
                      <a:ext cx="5383530" cy="7613650"/>
                    </a:xfrm>
                    <a:prstGeom prst="rect">
                      <a:avLst/>
                    </a:prstGeom>
                  </pic:spPr>
                </pic:pic>
              </a:graphicData>
            </a:graphic>
          </wp:inline>
        </w:drawing>
      </w:r>
      <w:r>
        <w:rPr>
          <w:rFonts w:hint="eastAsia" w:ascii="宋体" w:hAnsi="宋体" w:eastAsia="宋体" w:cs="宋体"/>
        </w:rPr>
        <w:drawing>
          <wp:inline distT="0" distB="0" distL="114300" distR="114300">
            <wp:extent cx="6182995" cy="8743950"/>
            <wp:effectExtent l="0" t="0" r="4445" b="3810"/>
            <wp:docPr id="3" name="图片 3" descr="SKM_458e22070614150_0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SKM_458e22070614150_0003"/>
                    <pic:cNvPicPr>
                      <a:picLocks noChangeAspect="1"/>
                    </pic:cNvPicPr>
                  </pic:nvPicPr>
                  <pic:blipFill>
                    <a:blip r:embed="rId12"/>
                    <a:stretch>
                      <a:fillRect/>
                    </a:stretch>
                  </pic:blipFill>
                  <pic:spPr>
                    <a:xfrm>
                      <a:off x="0" y="0"/>
                      <a:ext cx="6182995" cy="8743950"/>
                    </a:xfrm>
                    <a:prstGeom prst="rect">
                      <a:avLst/>
                    </a:prstGeom>
                  </pic:spPr>
                </pic:pic>
              </a:graphicData>
            </a:graphic>
          </wp:inline>
        </w:drawing>
      </w:r>
      <w:r>
        <w:rPr>
          <w:rFonts w:hint="eastAsia" w:ascii="宋体" w:hAnsi="宋体" w:eastAsia="宋体" w:cs="宋体"/>
        </w:rPr>
        <w:drawing>
          <wp:inline distT="0" distB="0" distL="114300" distR="114300">
            <wp:extent cx="6182995" cy="8743950"/>
            <wp:effectExtent l="0" t="0" r="4445" b="3810"/>
            <wp:docPr id="15" name="图片 15" descr="SKM_458e22070614150_0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15" descr="SKM_458e22070614150_0004"/>
                    <pic:cNvPicPr>
                      <a:picLocks noChangeAspect="1"/>
                    </pic:cNvPicPr>
                  </pic:nvPicPr>
                  <pic:blipFill>
                    <a:blip r:embed="rId13"/>
                    <a:stretch>
                      <a:fillRect/>
                    </a:stretch>
                  </pic:blipFill>
                  <pic:spPr>
                    <a:xfrm>
                      <a:off x="0" y="0"/>
                      <a:ext cx="6182995" cy="8743950"/>
                    </a:xfrm>
                    <a:prstGeom prst="rect">
                      <a:avLst/>
                    </a:prstGeom>
                  </pic:spPr>
                </pic:pic>
              </a:graphicData>
            </a:graphic>
          </wp:inline>
        </w:drawing>
      </w:r>
      <w:r>
        <w:rPr>
          <w:rFonts w:hint="eastAsia" w:ascii="宋体" w:hAnsi="宋体" w:eastAsia="宋体" w:cs="宋体"/>
        </w:rPr>
        <w:drawing>
          <wp:inline distT="0" distB="0" distL="114300" distR="114300">
            <wp:extent cx="6182995" cy="8743950"/>
            <wp:effectExtent l="0" t="0" r="4445" b="3810"/>
            <wp:docPr id="5" name="图片 5" descr="SKM_458e22070614150_00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descr="SKM_458e22070614150_0005"/>
                    <pic:cNvPicPr>
                      <a:picLocks noChangeAspect="1"/>
                    </pic:cNvPicPr>
                  </pic:nvPicPr>
                  <pic:blipFill>
                    <a:blip r:embed="rId14"/>
                    <a:stretch>
                      <a:fillRect/>
                    </a:stretch>
                  </pic:blipFill>
                  <pic:spPr>
                    <a:xfrm>
                      <a:off x="0" y="0"/>
                      <a:ext cx="6182995" cy="8743950"/>
                    </a:xfrm>
                    <a:prstGeom prst="rect">
                      <a:avLst/>
                    </a:prstGeom>
                  </pic:spPr>
                </pic:pic>
              </a:graphicData>
            </a:graphic>
          </wp:inline>
        </w:drawing>
      </w:r>
      <w:r>
        <w:rPr>
          <w:rFonts w:hint="eastAsia" w:ascii="宋体" w:hAnsi="宋体" w:eastAsia="宋体" w:cs="宋体"/>
        </w:rPr>
        <w:drawing>
          <wp:inline distT="0" distB="0" distL="114300" distR="114300">
            <wp:extent cx="6182995" cy="8743950"/>
            <wp:effectExtent l="0" t="0" r="4445" b="3810"/>
            <wp:docPr id="6" name="图片 6" descr="SKM_458e22070614150_00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descr="SKM_458e22070614150_0006"/>
                    <pic:cNvPicPr>
                      <a:picLocks noChangeAspect="1"/>
                    </pic:cNvPicPr>
                  </pic:nvPicPr>
                  <pic:blipFill>
                    <a:blip r:embed="rId15"/>
                    <a:stretch>
                      <a:fillRect/>
                    </a:stretch>
                  </pic:blipFill>
                  <pic:spPr>
                    <a:xfrm>
                      <a:off x="0" y="0"/>
                      <a:ext cx="6182995" cy="8743950"/>
                    </a:xfrm>
                    <a:prstGeom prst="rect">
                      <a:avLst/>
                    </a:prstGeom>
                  </pic:spPr>
                </pic:pic>
              </a:graphicData>
            </a:graphic>
          </wp:inline>
        </w:drawing>
      </w:r>
      <w:r>
        <w:rPr>
          <w:rFonts w:hint="eastAsia" w:ascii="宋体" w:hAnsi="宋体" w:eastAsia="宋体" w:cs="宋体"/>
        </w:rPr>
        <w:drawing>
          <wp:inline distT="0" distB="0" distL="114300" distR="114300">
            <wp:extent cx="6182995" cy="8743950"/>
            <wp:effectExtent l="0" t="0" r="4445" b="3810"/>
            <wp:docPr id="7" name="图片 7" descr="SKM_458e22070614150_00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7" descr="SKM_458e22070614150_0007"/>
                    <pic:cNvPicPr>
                      <a:picLocks noChangeAspect="1"/>
                    </pic:cNvPicPr>
                  </pic:nvPicPr>
                  <pic:blipFill>
                    <a:blip r:embed="rId16"/>
                    <a:stretch>
                      <a:fillRect/>
                    </a:stretch>
                  </pic:blipFill>
                  <pic:spPr>
                    <a:xfrm>
                      <a:off x="0" y="0"/>
                      <a:ext cx="6182995" cy="8743950"/>
                    </a:xfrm>
                    <a:prstGeom prst="rect">
                      <a:avLst/>
                    </a:prstGeom>
                  </pic:spPr>
                </pic:pic>
              </a:graphicData>
            </a:graphic>
          </wp:inline>
        </w:drawing>
      </w:r>
      <w:r>
        <w:rPr>
          <w:rFonts w:hint="eastAsia" w:ascii="宋体" w:hAnsi="宋体" w:eastAsia="宋体" w:cs="宋体"/>
        </w:rPr>
        <w:drawing>
          <wp:inline distT="0" distB="0" distL="114300" distR="114300">
            <wp:extent cx="6182995" cy="8743950"/>
            <wp:effectExtent l="0" t="0" r="4445" b="3810"/>
            <wp:docPr id="8" name="图片 8" descr="SKM_458e22070614150_00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8" descr="SKM_458e22070614150_0008"/>
                    <pic:cNvPicPr>
                      <a:picLocks noChangeAspect="1"/>
                    </pic:cNvPicPr>
                  </pic:nvPicPr>
                  <pic:blipFill>
                    <a:blip r:embed="rId17"/>
                    <a:stretch>
                      <a:fillRect/>
                    </a:stretch>
                  </pic:blipFill>
                  <pic:spPr>
                    <a:xfrm>
                      <a:off x="0" y="0"/>
                      <a:ext cx="6182995" cy="8743950"/>
                    </a:xfrm>
                    <a:prstGeom prst="rect">
                      <a:avLst/>
                    </a:prstGeom>
                  </pic:spPr>
                </pic:pic>
              </a:graphicData>
            </a:graphic>
          </wp:inline>
        </w:drawing>
      </w:r>
      <w:r>
        <w:rPr>
          <w:rFonts w:hint="eastAsia" w:ascii="宋体" w:hAnsi="宋体" w:eastAsia="宋体" w:cs="宋体"/>
        </w:rPr>
        <w:drawing>
          <wp:inline distT="0" distB="0" distL="114300" distR="114300">
            <wp:extent cx="6182995" cy="8743950"/>
            <wp:effectExtent l="0" t="0" r="4445" b="3810"/>
            <wp:docPr id="16" name="图片 16" descr="SKM_458e22070614150_00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16" descr="SKM_458e22070614150_0009"/>
                    <pic:cNvPicPr>
                      <a:picLocks noChangeAspect="1"/>
                    </pic:cNvPicPr>
                  </pic:nvPicPr>
                  <pic:blipFill>
                    <a:blip r:embed="rId18"/>
                    <a:stretch>
                      <a:fillRect/>
                    </a:stretch>
                  </pic:blipFill>
                  <pic:spPr>
                    <a:xfrm>
                      <a:off x="0" y="0"/>
                      <a:ext cx="6182995" cy="8743950"/>
                    </a:xfrm>
                    <a:prstGeom prst="rect">
                      <a:avLst/>
                    </a:prstGeom>
                  </pic:spPr>
                </pic:pic>
              </a:graphicData>
            </a:graphic>
          </wp:inline>
        </w:drawing>
      </w:r>
      <w:r>
        <w:rPr>
          <w:rFonts w:hint="eastAsia" w:ascii="宋体" w:hAnsi="宋体" w:eastAsia="宋体" w:cs="宋体"/>
        </w:rPr>
        <w:drawing>
          <wp:inline distT="0" distB="0" distL="114300" distR="114300">
            <wp:extent cx="6182995" cy="8743950"/>
            <wp:effectExtent l="0" t="0" r="4445" b="3810"/>
            <wp:docPr id="18" name="图片 18" descr="SKM_458e22070614150_0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图片 18" descr="SKM_458e22070614150_0010"/>
                    <pic:cNvPicPr>
                      <a:picLocks noChangeAspect="1"/>
                    </pic:cNvPicPr>
                  </pic:nvPicPr>
                  <pic:blipFill>
                    <a:blip r:embed="rId19"/>
                    <a:stretch>
                      <a:fillRect/>
                    </a:stretch>
                  </pic:blipFill>
                  <pic:spPr>
                    <a:xfrm>
                      <a:off x="0" y="0"/>
                      <a:ext cx="6182995" cy="8743950"/>
                    </a:xfrm>
                    <a:prstGeom prst="rect">
                      <a:avLst/>
                    </a:prstGeom>
                  </pic:spPr>
                </pic:pic>
              </a:graphicData>
            </a:graphic>
          </wp:inline>
        </w:drawing>
      </w:r>
    </w:p>
    <w:tbl>
      <w:tblPr>
        <w:tblStyle w:val="19"/>
        <w:tblW w:w="10315" w:type="dxa"/>
        <w:tblInd w:w="-113" w:type="dxa"/>
        <w:tblLayout w:type="fixed"/>
        <w:tblCellMar>
          <w:top w:w="0" w:type="dxa"/>
          <w:left w:w="108" w:type="dxa"/>
          <w:bottom w:w="0" w:type="dxa"/>
          <w:right w:w="108" w:type="dxa"/>
        </w:tblCellMar>
      </w:tblPr>
      <w:tblGrid>
        <w:gridCol w:w="542"/>
        <w:gridCol w:w="1021"/>
        <w:gridCol w:w="7010"/>
        <w:gridCol w:w="900"/>
        <w:gridCol w:w="842"/>
      </w:tblGrid>
      <w:tr>
        <w:tblPrEx>
          <w:tblCellMar>
            <w:top w:w="0" w:type="dxa"/>
            <w:left w:w="108" w:type="dxa"/>
            <w:bottom w:w="0" w:type="dxa"/>
            <w:right w:w="108" w:type="dxa"/>
          </w:tblCellMar>
        </w:tblPrEx>
        <w:trPr>
          <w:trHeight w:val="656" w:hRule="atLeast"/>
        </w:trPr>
        <w:tc>
          <w:tcPr>
            <w:tcW w:w="542" w:type="dxa"/>
            <w:tcBorders>
              <w:top w:val="single" w:color="auto" w:sz="4" w:space="0"/>
              <w:left w:val="single" w:color="auto" w:sz="4" w:space="0"/>
              <w:bottom w:val="single" w:color="auto" w:sz="4" w:space="0"/>
              <w:right w:val="single" w:color="auto" w:sz="4" w:space="0"/>
            </w:tcBorders>
            <w:vAlign w:val="center"/>
          </w:tcPr>
          <w:p>
            <w:pPr>
              <w:autoSpaceDE w:val="0"/>
              <w:snapToGrid w:val="0"/>
              <w:spacing w:line="288" w:lineRule="auto"/>
              <w:jc w:val="center"/>
              <w:rPr>
                <w:rFonts w:asciiTheme="minorEastAsia" w:hAnsiTheme="minorEastAsia" w:cstheme="minorEastAsia"/>
                <w:b/>
                <w:bCs/>
                <w:sz w:val="24"/>
              </w:rPr>
            </w:pPr>
            <w:r>
              <w:rPr>
                <w:rFonts w:hint="eastAsia" w:asciiTheme="minorEastAsia" w:hAnsiTheme="minorEastAsia" w:cstheme="minorEastAsia"/>
                <w:b/>
                <w:bCs/>
                <w:sz w:val="24"/>
              </w:rPr>
              <w:t>序号</w:t>
            </w:r>
          </w:p>
        </w:tc>
        <w:tc>
          <w:tcPr>
            <w:tcW w:w="1021" w:type="dxa"/>
            <w:tcBorders>
              <w:top w:val="single" w:color="auto" w:sz="4" w:space="0"/>
              <w:left w:val="nil"/>
              <w:bottom w:val="single" w:color="auto" w:sz="4" w:space="0"/>
              <w:right w:val="single" w:color="auto" w:sz="4" w:space="0"/>
            </w:tcBorders>
            <w:vAlign w:val="center"/>
          </w:tcPr>
          <w:p>
            <w:pPr>
              <w:autoSpaceDE w:val="0"/>
              <w:snapToGrid w:val="0"/>
              <w:spacing w:line="288" w:lineRule="auto"/>
              <w:jc w:val="center"/>
              <w:rPr>
                <w:rFonts w:asciiTheme="minorEastAsia" w:hAnsiTheme="minorEastAsia" w:cstheme="minorEastAsia"/>
                <w:b/>
                <w:bCs/>
                <w:sz w:val="24"/>
              </w:rPr>
            </w:pPr>
            <w:r>
              <w:rPr>
                <w:rFonts w:hint="eastAsia" w:asciiTheme="minorEastAsia" w:hAnsiTheme="minorEastAsia" w:cstheme="minorEastAsia"/>
                <w:b/>
                <w:bCs/>
                <w:sz w:val="24"/>
              </w:rPr>
              <w:t>设备</w:t>
            </w:r>
          </w:p>
          <w:p>
            <w:pPr>
              <w:autoSpaceDE w:val="0"/>
              <w:snapToGrid w:val="0"/>
              <w:spacing w:line="288" w:lineRule="auto"/>
              <w:jc w:val="center"/>
              <w:rPr>
                <w:rFonts w:asciiTheme="minorEastAsia" w:hAnsiTheme="minorEastAsia" w:cstheme="minorEastAsia"/>
                <w:b/>
                <w:bCs/>
                <w:sz w:val="24"/>
              </w:rPr>
            </w:pPr>
            <w:r>
              <w:rPr>
                <w:rFonts w:hint="eastAsia" w:asciiTheme="minorEastAsia" w:hAnsiTheme="minorEastAsia" w:cstheme="minorEastAsia"/>
                <w:b/>
                <w:bCs/>
                <w:sz w:val="24"/>
              </w:rPr>
              <w:t>名称</w:t>
            </w:r>
          </w:p>
        </w:tc>
        <w:tc>
          <w:tcPr>
            <w:tcW w:w="7010" w:type="dxa"/>
            <w:tcBorders>
              <w:top w:val="single" w:color="auto" w:sz="4" w:space="0"/>
              <w:left w:val="nil"/>
              <w:bottom w:val="single" w:color="auto" w:sz="4" w:space="0"/>
              <w:right w:val="single" w:color="auto" w:sz="4" w:space="0"/>
            </w:tcBorders>
            <w:vAlign w:val="center"/>
          </w:tcPr>
          <w:p>
            <w:pPr>
              <w:autoSpaceDE w:val="0"/>
              <w:snapToGrid w:val="0"/>
              <w:spacing w:line="288" w:lineRule="auto"/>
              <w:jc w:val="center"/>
              <w:rPr>
                <w:rFonts w:asciiTheme="minorEastAsia" w:hAnsiTheme="minorEastAsia" w:cstheme="minorEastAsia"/>
                <w:b/>
                <w:bCs/>
                <w:sz w:val="24"/>
              </w:rPr>
            </w:pPr>
            <w:r>
              <w:rPr>
                <w:rFonts w:hint="eastAsia" w:asciiTheme="minorEastAsia" w:hAnsiTheme="minorEastAsia" w:cstheme="minorEastAsia"/>
                <w:b/>
                <w:bCs/>
                <w:sz w:val="24"/>
              </w:rPr>
              <w:t>设备参数</w:t>
            </w:r>
          </w:p>
        </w:tc>
        <w:tc>
          <w:tcPr>
            <w:tcW w:w="900" w:type="dxa"/>
            <w:tcBorders>
              <w:top w:val="single" w:color="auto" w:sz="4" w:space="0"/>
              <w:left w:val="nil"/>
              <w:bottom w:val="single" w:color="auto" w:sz="4" w:space="0"/>
              <w:right w:val="single" w:color="auto" w:sz="4" w:space="0"/>
            </w:tcBorders>
            <w:vAlign w:val="center"/>
          </w:tcPr>
          <w:p>
            <w:pPr>
              <w:autoSpaceDE w:val="0"/>
              <w:snapToGrid w:val="0"/>
              <w:spacing w:line="288" w:lineRule="auto"/>
              <w:jc w:val="center"/>
              <w:rPr>
                <w:rFonts w:asciiTheme="minorEastAsia" w:hAnsiTheme="minorEastAsia" w:cstheme="minorEastAsia"/>
                <w:b/>
                <w:bCs/>
                <w:sz w:val="24"/>
              </w:rPr>
            </w:pPr>
            <w:r>
              <w:rPr>
                <w:rFonts w:hint="eastAsia" w:asciiTheme="minorEastAsia" w:hAnsiTheme="minorEastAsia" w:cstheme="minorEastAsia"/>
                <w:b/>
                <w:bCs/>
                <w:sz w:val="24"/>
              </w:rPr>
              <w:t>数量</w:t>
            </w:r>
          </w:p>
        </w:tc>
        <w:tc>
          <w:tcPr>
            <w:tcW w:w="842" w:type="dxa"/>
            <w:tcBorders>
              <w:top w:val="single" w:color="auto" w:sz="4" w:space="0"/>
              <w:left w:val="nil"/>
              <w:bottom w:val="single" w:color="auto" w:sz="4" w:space="0"/>
              <w:right w:val="single" w:color="auto" w:sz="4" w:space="0"/>
            </w:tcBorders>
            <w:vAlign w:val="center"/>
          </w:tcPr>
          <w:p>
            <w:pPr>
              <w:autoSpaceDE w:val="0"/>
              <w:snapToGrid w:val="0"/>
              <w:spacing w:line="288" w:lineRule="auto"/>
              <w:jc w:val="center"/>
              <w:rPr>
                <w:rFonts w:asciiTheme="minorEastAsia" w:hAnsiTheme="minorEastAsia" w:cstheme="minorEastAsia"/>
                <w:b/>
                <w:bCs/>
                <w:sz w:val="24"/>
              </w:rPr>
            </w:pPr>
            <w:r>
              <w:rPr>
                <w:rFonts w:hint="eastAsia" w:asciiTheme="minorEastAsia" w:hAnsiTheme="minorEastAsia" w:cstheme="minorEastAsia"/>
                <w:b/>
                <w:bCs/>
                <w:sz w:val="24"/>
              </w:rPr>
              <w:t>备注</w:t>
            </w:r>
          </w:p>
        </w:tc>
      </w:tr>
      <w:tr>
        <w:tblPrEx>
          <w:tblCellMar>
            <w:top w:w="0" w:type="dxa"/>
            <w:left w:w="108" w:type="dxa"/>
            <w:bottom w:w="0" w:type="dxa"/>
            <w:right w:w="108" w:type="dxa"/>
          </w:tblCellMar>
        </w:tblPrEx>
        <w:trPr>
          <w:trHeight w:val="10965" w:hRule="atLeast"/>
        </w:trPr>
        <w:tc>
          <w:tcPr>
            <w:tcW w:w="542" w:type="dxa"/>
            <w:tcBorders>
              <w:top w:val="single" w:color="auto" w:sz="4" w:space="0"/>
              <w:left w:val="single" w:color="auto" w:sz="4" w:space="0"/>
              <w:bottom w:val="single" w:color="auto" w:sz="4" w:space="0"/>
              <w:right w:val="single" w:color="auto" w:sz="4" w:space="0"/>
            </w:tcBorders>
            <w:vAlign w:val="center"/>
          </w:tcPr>
          <w:p>
            <w:pPr>
              <w:autoSpaceDE w:val="0"/>
              <w:snapToGrid w:val="0"/>
              <w:spacing w:line="288" w:lineRule="auto"/>
              <w:rPr>
                <w:rFonts w:asciiTheme="minorEastAsia" w:hAnsiTheme="minorEastAsia" w:cstheme="minorEastAsia"/>
                <w:sz w:val="24"/>
              </w:rPr>
            </w:pPr>
            <w:r>
              <w:rPr>
                <w:rFonts w:hint="eastAsia" w:asciiTheme="minorEastAsia" w:hAnsiTheme="minorEastAsia" w:cstheme="minorEastAsia"/>
                <w:sz w:val="24"/>
              </w:rPr>
              <w:t>1</w:t>
            </w:r>
          </w:p>
        </w:tc>
        <w:tc>
          <w:tcPr>
            <w:tcW w:w="1021" w:type="dxa"/>
            <w:tcBorders>
              <w:top w:val="single" w:color="auto" w:sz="4" w:space="0"/>
              <w:left w:val="nil"/>
              <w:bottom w:val="single" w:color="auto" w:sz="4" w:space="0"/>
              <w:right w:val="single" w:color="auto" w:sz="4" w:space="0"/>
            </w:tcBorders>
            <w:vAlign w:val="center"/>
          </w:tcPr>
          <w:p>
            <w:pPr>
              <w:autoSpaceDE w:val="0"/>
              <w:snapToGrid w:val="0"/>
              <w:spacing w:line="288" w:lineRule="auto"/>
              <w:rPr>
                <w:rFonts w:asciiTheme="minorEastAsia" w:hAnsiTheme="minorEastAsia" w:cstheme="minorEastAsia"/>
                <w:sz w:val="24"/>
              </w:rPr>
            </w:pPr>
            <w:r>
              <w:rPr>
                <w:rFonts w:hint="eastAsia" w:asciiTheme="minorEastAsia" w:hAnsiTheme="minorEastAsia" w:cstheme="minorEastAsia"/>
                <w:sz w:val="24"/>
              </w:rPr>
              <w:t>直饮水设备</w:t>
            </w:r>
          </w:p>
        </w:tc>
        <w:tc>
          <w:tcPr>
            <w:tcW w:w="7010" w:type="dxa"/>
            <w:tcBorders>
              <w:top w:val="single" w:color="auto" w:sz="4" w:space="0"/>
              <w:left w:val="nil"/>
              <w:bottom w:val="single" w:color="auto" w:sz="4" w:space="0"/>
              <w:right w:val="single" w:color="auto" w:sz="4" w:space="0"/>
            </w:tcBorders>
          </w:tcPr>
          <w:p>
            <w:pPr>
              <w:pStyle w:val="31"/>
              <w:adjustRightInd w:val="0"/>
              <w:snapToGrid w:val="0"/>
              <w:spacing w:line="288"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机型净水流量≥1.0</w:t>
            </w:r>
            <w:r>
              <w:rPr>
                <w:rFonts w:hint="eastAsia" w:asciiTheme="minorEastAsia" w:hAnsiTheme="minorEastAsia" w:eastAsiaTheme="minorEastAsia" w:cstheme="minorEastAsia"/>
                <w:sz w:val="24"/>
                <w:lang w:val="en-US" w:eastAsia="zh-CN"/>
              </w:rPr>
              <w:t>5</w:t>
            </w:r>
            <w:r>
              <w:rPr>
                <w:rFonts w:hint="eastAsia" w:asciiTheme="minorEastAsia" w:hAnsiTheme="minorEastAsia" w:eastAsiaTheme="minorEastAsia" w:cstheme="minorEastAsia"/>
                <w:sz w:val="24"/>
              </w:rPr>
              <w:t>L/min；</w:t>
            </w:r>
          </w:p>
          <w:p>
            <w:pPr>
              <w:pStyle w:val="31"/>
              <w:adjustRightInd w:val="0"/>
              <w:snapToGrid w:val="0"/>
              <w:spacing w:line="288" w:lineRule="auto"/>
              <w:rPr>
                <w:rFonts w:asciiTheme="minorEastAsia" w:hAnsiTheme="minorEastAsia" w:eastAsiaTheme="minorEastAsia" w:cstheme="minorEastAsia"/>
                <w:sz w:val="24"/>
                <w:lang w:val="en-US" w:eastAsia="zh-CN"/>
              </w:rPr>
            </w:pPr>
            <w:r>
              <w:rPr>
                <w:rFonts w:hint="eastAsia" w:asciiTheme="minorEastAsia" w:hAnsiTheme="minorEastAsia" w:eastAsiaTheme="minorEastAsia" w:cstheme="minorEastAsia"/>
                <w:sz w:val="24"/>
                <w:lang w:eastAsia="zh-CN"/>
              </w:rPr>
              <w:t>容量</w:t>
            </w:r>
            <w:r>
              <w:rPr>
                <w:rFonts w:hint="eastAsia" w:asciiTheme="minorEastAsia" w:hAnsiTheme="minorEastAsia" w:eastAsiaTheme="minorEastAsia" w:cstheme="minorEastAsia"/>
                <w:sz w:val="24"/>
              </w:rPr>
              <w:t>≥</w:t>
            </w:r>
            <w:r>
              <w:rPr>
                <w:rFonts w:hint="eastAsia" w:asciiTheme="minorEastAsia" w:hAnsiTheme="minorEastAsia" w:eastAsiaTheme="minorEastAsia" w:cstheme="minorEastAsia"/>
                <w:sz w:val="24"/>
                <w:lang w:val="en-US" w:eastAsia="zh-CN"/>
              </w:rPr>
              <w:t>90L</w:t>
            </w:r>
          </w:p>
          <w:p>
            <w:pPr>
              <w:pStyle w:val="31"/>
              <w:adjustRightInd w:val="0"/>
              <w:snapToGrid w:val="0"/>
              <w:spacing w:line="288" w:lineRule="auto"/>
              <w:rPr>
                <w:rFonts w:asciiTheme="minorEastAsia" w:hAnsiTheme="minorEastAsia" w:eastAsiaTheme="minorEastAsia" w:cstheme="minorEastAsia"/>
                <w:sz w:val="24"/>
                <w:lang w:val="en-US" w:eastAsia="zh-CN"/>
              </w:rPr>
            </w:pPr>
            <w:r>
              <w:rPr>
                <w:rFonts w:hint="eastAsia" w:asciiTheme="minorEastAsia" w:hAnsiTheme="minorEastAsia" w:eastAsiaTheme="minorEastAsia" w:cstheme="minorEastAsia"/>
                <w:sz w:val="24"/>
                <w:lang w:eastAsia="zh-CN"/>
              </w:rPr>
              <w:t>外观尺寸要求为≥：</w:t>
            </w:r>
            <w:r>
              <w:rPr>
                <w:rFonts w:hint="eastAsia" w:asciiTheme="minorEastAsia" w:hAnsiTheme="minorEastAsia" w:eastAsiaTheme="minorEastAsia" w:cstheme="minorEastAsia"/>
                <w:sz w:val="24"/>
                <w:lang w:val="en-US" w:eastAsia="zh-CN"/>
              </w:rPr>
              <w:t>90*60*175CM</w:t>
            </w:r>
            <w:r>
              <w:rPr>
                <w:rFonts w:hint="eastAsia" w:asciiTheme="minorEastAsia" w:hAnsiTheme="minorEastAsia" w:eastAsiaTheme="minorEastAsia" w:cstheme="minorEastAsia"/>
                <w:sz w:val="24"/>
                <w:lang w:bidi="ar"/>
              </w:rPr>
              <w:t>(±</w:t>
            </w:r>
            <w:r>
              <w:rPr>
                <w:rFonts w:hint="eastAsia" w:asciiTheme="minorEastAsia" w:hAnsiTheme="minorEastAsia" w:eastAsiaTheme="minorEastAsia" w:cstheme="minorEastAsia"/>
                <w:sz w:val="24"/>
                <w:lang w:val="en-US" w:eastAsia="zh-CN" w:bidi="ar"/>
              </w:rPr>
              <w:t>5</w:t>
            </w:r>
            <w:r>
              <w:rPr>
                <w:rFonts w:hint="eastAsia" w:asciiTheme="minorEastAsia" w:hAnsiTheme="minorEastAsia" w:eastAsiaTheme="minorEastAsia" w:cstheme="minorEastAsia"/>
                <w:sz w:val="24"/>
                <w:lang w:bidi="ar"/>
              </w:rPr>
              <w:t>%)</w:t>
            </w:r>
          </w:p>
          <w:p>
            <w:pPr>
              <w:pStyle w:val="31"/>
              <w:adjustRightInd w:val="0"/>
              <w:snapToGrid w:val="0"/>
              <w:spacing w:line="288"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整机为落地式一体机</w:t>
            </w:r>
            <w:r>
              <w:rPr>
                <w:rFonts w:hint="eastAsia" w:asciiTheme="minorEastAsia" w:hAnsiTheme="minorEastAsia" w:eastAsiaTheme="minorEastAsia" w:cstheme="minorEastAsia"/>
                <w:sz w:val="24"/>
                <w:lang w:eastAsia="zh-CN"/>
              </w:rPr>
              <w:t>，</w:t>
            </w:r>
            <w:r>
              <w:rPr>
                <w:rFonts w:hint="eastAsia" w:asciiTheme="minorEastAsia" w:hAnsiTheme="minorEastAsia" w:eastAsiaTheme="minorEastAsia" w:cstheme="minorEastAsia"/>
                <w:sz w:val="24"/>
              </w:rPr>
              <w:t>净水、储存、加热、饮水设备为一体的设计；</w:t>
            </w:r>
          </w:p>
          <w:p>
            <w:pPr>
              <w:pStyle w:val="31"/>
              <w:adjustRightInd w:val="0"/>
              <w:snapToGrid w:val="0"/>
              <w:spacing w:line="288"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总净水量≥</w:t>
            </w:r>
            <w:r>
              <w:rPr>
                <w:rFonts w:hint="eastAsia" w:asciiTheme="minorEastAsia" w:hAnsiTheme="minorEastAsia" w:eastAsiaTheme="minorEastAsia" w:cstheme="minorEastAsia"/>
                <w:sz w:val="24"/>
                <w:lang w:val="en-US" w:eastAsia="zh-CN"/>
              </w:rPr>
              <w:t>5500</w:t>
            </w:r>
            <w:r>
              <w:rPr>
                <w:rFonts w:hint="eastAsia" w:asciiTheme="minorEastAsia" w:hAnsiTheme="minorEastAsia" w:eastAsiaTheme="minorEastAsia" w:cstheme="minorEastAsia"/>
                <w:sz w:val="24"/>
              </w:rPr>
              <w:t>L；净水压力：进水压力(0.1～0.4)MPa；</w:t>
            </w:r>
          </w:p>
          <w:p>
            <w:pPr>
              <w:pStyle w:val="31"/>
              <w:adjustRightInd w:val="0"/>
              <w:snapToGrid w:val="0"/>
              <w:spacing w:line="288"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额定电压：</w:t>
            </w:r>
            <w:r>
              <w:rPr>
                <w:rFonts w:hint="eastAsia" w:asciiTheme="minorEastAsia" w:hAnsiTheme="minorEastAsia" w:eastAsiaTheme="minorEastAsia" w:cstheme="minorEastAsia"/>
                <w:sz w:val="24"/>
                <w:lang w:val="en-US" w:eastAsia="zh-CN"/>
              </w:rPr>
              <w:t>220</w:t>
            </w:r>
            <w:r>
              <w:rPr>
                <w:rFonts w:hint="eastAsia" w:asciiTheme="minorEastAsia" w:hAnsiTheme="minorEastAsia" w:eastAsiaTheme="minorEastAsia" w:cstheme="minorEastAsia"/>
                <w:sz w:val="24"/>
              </w:rPr>
              <w:t>V～/50Hz，额定功率≥</w:t>
            </w:r>
            <w:r>
              <w:rPr>
                <w:rFonts w:hint="eastAsia" w:asciiTheme="minorEastAsia" w:hAnsiTheme="minorEastAsia" w:eastAsiaTheme="minorEastAsia" w:cstheme="minorEastAsia"/>
                <w:sz w:val="24"/>
                <w:lang w:val="en-US" w:eastAsia="zh-CN"/>
              </w:rPr>
              <w:t>3</w:t>
            </w:r>
            <w:r>
              <w:rPr>
                <w:rFonts w:hint="eastAsia" w:asciiTheme="minorEastAsia" w:hAnsiTheme="minorEastAsia" w:eastAsiaTheme="minorEastAsia" w:cstheme="minorEastAsia"/>
                <w:sz w:val="24"/>
              </w:rPr>
              <w:t>KW；</w:t>
            </w:r>
          </w:p>
          <w:p>
            <w:pPr>
              <w:pStyle w:val="31"/>
              <w:adjustRightInd w:val="0"/>
              <w:snapToGrid w:val="0"/>
              <w:spacing w:line="288"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使用环境：(4～40℃)，湿度≤90%（25℃时)；</w:t>
            </w:r>
          </w:p>
          <w:p>
            <w:pPr>
              <w:pStyle w:val="31"/>
              <w:adjustRightInd w:val="0"/>
              <w:snapToGrid w:val="0"/>
              <w:spacing w:line="288"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出水龙头为：3个（2个开水、1个常温水）；</w:t>
            </w:r>
          </w:p>
          <w:p>
            <w:pPr>
              <w:pStyle w:val="31"/>
              <w:adjustRightInd w:val="0"/>
              <w:snapToGrid w:val="0"/>
              <w:spacing w:line="288" w:lineRule="auto"/>
              <w:rPr>
                <w:rFonts w:asciiTheme="minorEastAsia" w:hAnsiTheme="minorEastAsia" w:eastAsiaTheme="minorEastAsia" w:cstheme="minorEastAsia"/>
                <w:sz w:val="24"/>
                <w:lang w:val="en-US" w:eastAsia="zh-CN"/>
              </w:rPr>
            </w:pPr>
            <w:r>
              <w:rPr>
                <w:rFonts w:hint="eastAsia" w:asciiTheme="minorEastAsia" w:hAnsiTheme="minorEastAsia" w:eastAsiaTheme="minorEastAsia" w:cstheme="minorEastAsia"/>
                <w:sz w:val="24"/>
                <w:lang w:eastAsia="zh-CN"/>
              </w:rPr>
              <w:t>取水方式：触摸按键取水</w:t>
            </w:r>
            <w:r>
              <w:rPr>
                <w:rFonts w:hint="eastAsia" w:asciiTheme="minorEastAsia" w:hAnsiTheme="minorEastAsia" w:eastAsiaTheme="minorEastAsia" w:cstheme="minorEastAsia"/>
                <w:sz w:val="24"/>
                <w:lang w:val="en-US" w:eastAsia="zh-CN"/>
              </w:rPr>
              <w:t xml:space="preserve"> </w:t>
            </w:r>
          </w:p>
          <w:p>
            <w:pPr>
              <w:pStyle w:val="31"/>
              <w:adjustRightInd w:val="0"/>
              <w:snapToGrid w:val="0"/>
              <w:spacing w:line="288" w:lineRule="auto"/>
              <w:rPr>
                <w:rFonts w:asciiTheme="minorEastAsia" w:hAnsiTheme="minorEastAsia" w:eastAsiaTheme="minorEastAsia" w:cstheme="minorEastAsia"/>
                <w:sz w:val="24"/>
                <w:lang w:eastAsia="zh-CN"/>
              </w:rPr>
            </w:pPr>
            <w:r>
              <w:rPr>
                <w:rFonts w:hint="eastAsia" w:asciiTheme="minorEastAsia" w:hAnsiTheme="minorEastAsia" w:eastAsiaTheme="minorEastAsia" w:cstheme="minorEastAsia"/>
                <w:sz w:val="24"/>
                <w:lang w:eastAsia="zh-CN"/>
              </w:rPr>
              <w:t>产品具备</w:t>
            </w:r>
            <w:r>
              <w:rPr>
                <w:rFonts w:hint="eastAsia" w:asciiTheme="minorEastAsia" w:hAnsiTheme="minorEastAsia" w:eastAsiaTheme="minorEastAsia" w:cstheme="minorEastAsia"/>
                <w:sz w:val="24"/>
                <w:lang w:val="en-US" w:eastAsia="zh-CN"/>
              </w:rPr>
              <w:t>全自动管路消毒系统</w:t>
            </w:r>
            <w:r>
              <w:rPr>
                <w:rFonts w:hint="eastAsia" w:asciiTheme="minorEastAsia" w:hAnsiTheme="minorEastAsia" w:eastAsiaTheme="minorEastAsia" w:cstheme="minorEastAsia"/>
                <w:sz w:val="24"/>
                <w:lang w:eastAsia="zh-CN"/>
              </w:rPr>
              <w:t>，保障饮水健康</w:t>
            </w:r>
          </w:p>
          <w:p>
            <w:pPr>
              <w:pStyle w:val="31"/>
              <w:adjustRightInd w:val="0"/>
              <w:snapToGrid w:val="0"/>
              <w:spacing w:line="288" w:lineRule="auto"/>
              <w:rPr>
                <w:rFonts w:asciiTheme="minorEastAsia" w:hAnsiTheme="minorEastAsia" w:eastAsiaTheme="minorEastAsia" w:cstheme="minorEastAsia"/>
                <w:sz w:val="24"/>
                <w:lang w:eastAsia="zh-CN"/>
              </w:rPr>
            </w:pPr>
            <w:r>
              <w:rPr>
                <w:rFonts w:hint="eastAsia" w:asciiTheme="minorEastAsia" w:hAnsiTheme="minorEastAsia" w:eastAsiaTheme="minorEastAsia" w:cstheme="minorEastAsia"/>
                <w:sz w:val="24"/>
                <w:lang w:eastAsia="zh-CN"/>
              </w:rPr>
              <w:t>机器采用不锈钢板材黑拉丝抗指纹工艺</w:t>
            </w:r>
          </w:p>
          <w:p>
            <w:pPr>
              <w:pStyle w:val="31"/>
              <w:adjustRightInd w:val="0"/>
              <w:snapToGrid w:val="0"/>
              <w:spacing w:line="288"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val="en-US" w:eastAsia="zh-CN"/>
              </w:rPr>
              <w:t>机器采用前后检修门设计，方便机器保养维护</w:t>
            </w:r>
          </w:p>
          <w:p>
            <w:pPr>
              <w:pStyle w:val="31"/>
              <w:adjustRightInd w:val="0"/>
              <w:snapToGrid w:val="0"/>
              <w:spacing w:line="288"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接水盒防溢流设计，使接水盒内的水排向地漏或排水管；</w:t>
            </w:r>
          </w:p>
          <w:p>
            <w:pPr>
              <w:pStyle w:val="31"/>
              <w:adjustRightInd w:val="0"/>
              <w:snapToGrid w:val="0"/>
              <w:spacing w:line="288" w:lineRule="auto"/>
              <w:rPr>
                <w:rFonts w:asciiTheme="minorEastAsia" w:hAnsiTheme="minorEastAsia" w:eastAsiaTheme="minorEastAsia" w:cstheme="minorEastAsia"/>
                <w:sz w:val="24"/>
                <w:lang w:eastAsia="zh-CN"/>
              </w:rPr>
            </w:pPr>
            <w:r>
              <w:rPr>
                <w:rFonts w:hint="eastAsia" w:asciiTheme="minorEastAsia" w:hAnsiTheme="minorEastAsia" w:eastAsiaTheme="minorEastAsia" w:cstheme="minorEastAsia"/>
                <w:sz w:val="24"/>
                <w:lang w:eastAsia="zh-CN"/>
              </w:rPr>
              <w:t>水槽采用304不锈钢原色，配备防溅水网板。</w:t>
            </w:r>
          </w:p>
          <w:p>
            <w:pPr>
              <w:pStyle w:val="31"/>
              <w:adjustRightInd w:val="0"/>
              <w:snapToGrid w:val="0"/>
              <w:spacing w:line="288" w:lineRule="auto"/>
              <w:rPr>
                <w:rFonts w:asciiTheme="minorEastAsia" w:hAnsiTheme="minorEastAsia" w:eastAsiaTheme="minorEastAsia" w:cstheme="minorEastAsia"/>
                <w:sz w:val="24"/>
                <w:lang w:eastAsia="zh-CN"/>
              </w:rPr>
            </w:pPr>
            <w:r>
              <w:rPr>
                <w:rFonts w:hint="eastAsia" w:asciiTheme="minorEastAsia" w:hAnsiTheme="minorEastAsia" w:eastAsiaTheme="minorEastAsia" w:cstheme="minorEastAsia"/>
                <w:sz w:val="24"/>
                <w:lang w:eastAsia="zh-CN"/>
              </w:rPr>
              <w:t>过滤工艺：PP棉+活性炭+PP棉+反渗透+后置碳+不锈钢波纹管+加热内胆+储水桶，过滤后出水水质符合《生活 饮用水水质处理器卫生安全与功能评价规范-一反渗透处理装置》(2001)的要求及</w:t>
            </w:r>
            <w:r>
              <w:rPr>
                <w:rFonts w:hint="eastAsia" w:asciiTheme="minorEastAsia" w:hAnsiTheme="minorEastAsia" w:eastAsiaTheme="minorEastAsia" w:cstheme="minorEastAsia"/>
                <w:sz w:val="24"/>
              </w:rPr>
              <w:t>《饮用净水水质标准》（CJ94-2005）</w:t>
            </w:r>
            <w:r>
              <w:rPr>
                <w:rFonts w:hint="eastAsia" w:asciiTheme="minorEastAsia" w:hAnsiTheme="minorEastAsia" w:eastAsiaTheme="minorEastAsia" w:cstheme="minorEastAsia"/>
                <w:sz w:val="24"/>
                <w:lang w:eastAsia="zh-CN"/>
              </w:rPr>
              <w:t>。</w:t>
            </w:r>
          </w:p>
          <w:p>
            <w:pPr>
              <w:pStyle w:val="2"/>
              <w:rPr>
                <w:rFonts w:asciiTheme="minorEastAsia" w:hAnsiTheme="minorEastAsia" w:cstheme="minorEastAsia"/>
                <w:sz w:val="24"/>
              </w:rPr>
            </w:pPr>
            <w:r>
              <w:rPr>
                <w:rFonts w:hint="eastAsia" w:asciiTheme="minorEastAsia" w:hAnsiTheme="minorEastAsia" w:cstheme="minorEastAsia"/>
                <w:sz w:val="24"/>
              </w:rPr>
              <w:t>采用步进式加热原理</w:t>
            </w:r>
          </w:p>
          <w:p>
            <w:pPr>
              <w:pStyle w:val="31"/>
              <w:adjustRightInd w:val="0"/>
              <w:snapToGrid w:val="0"/>
              <w:spacing w:line="288" w:lineRule="auto"/>
              <w:rPr>
                <w:rFonts w:asciiTheme="minorEastAsia" w:hAnsiTheme="minorEastAsia" w:eastAsiaTheme="minorEastAsia" w:cstheme="minorEastAsia"/>
                <w:sz w:val="24"/>
                <w:lang w:val="en-US" w:eastAsia="zh-CN" w:bidi="ar-SA"/>
              </w:rPr>
            </w:pPr>
            <w:r>
              <w:rPr>
                <w:rFonts w:hint="eastAsia" w:asciiTheme="minorEastAsia" w:hAnsiTheme="minorEastAsia" w:eastAsiaTheme="minorEastAsia" w:cstheme="minorEastAsia"/>
                <w:sz w:val="24"/>
                <w:lang w:val="en-US" w:eastAsia="zh-CN" w:bidi="ar-SA"/>
              </w:rPr>
              <w:t>产品为无压饮水机，采用水电联动无压式技术；</w:t>
            </w:r>
          </w:p>
          <w:p>
            <w:pPr>
              <w:pStyle w:val="2"/>
              <w:rPr>
                <w:rFonts w:asciiTheme="minorEastAsia" w:hAnsiTheme="minorEastAsia" w:cstheme="minorEastAsia"/>
                <w:sz w:val="24"/>
              </w:rPr>
            </w:pPr>
            <w:r>
              <w:rPr>
                <w:rFonts w:hint="eastAsia" w:asciiTheme="minorEastAsia" w:hAnsiTheme="minorEastAsia" w:cstheme="minorEastAsia"/>
                <w:sz w:val="24"/>
              </w:rPr>
              <w:t>涉水管件及接头采用食品级304#不锈钢，提供投标产品品牌厂家的不锈钢波纹管检测报告；</w:t>
            </w:r>
          </w:p>
          <w:p>
            <w:pPr>
              <w:pStyle w:val="31"/>
              <w:adjustRightInd w:val="0"/>
              <w:snapToGrid w:val="0"/>
              <w:spacing w:line="288" w:lineRule="auto"/>
              <w:rPr>
                <w:rFonts w:asciiTheme="minorEastAsia" w:hAnsiTheme="minorEastAsia" w:eastAsiaTheme="minorEastAsia" w:cstheme="minorEastAsia"/>
                <w:sz w:val="24"/>
                <w:lang w:eastAsia="zh-CN"/>
              </w:rPr>
            </w:pPr>
            <w:r>
              <w:rPr>
                <w:rFonts w:hint="eastAsia" w:asciiTheme="minorEastAsia" w:hAnsiTheme="minorEastAsia" w:eastAsiaTheme="minorEastAsia" w:cstheme="minorEastAsia"/>
                <w:sz w:val="24"/>
                <w:lang w:val="en-US" w:eastAsia="zh-CN" w:bidi="ar-SA"/>
              </w:rPr>
              <w:t>内胆采用无焊接技术处理，材质为食品级304不锈钢，厚度1mm，聚氨酯发泡保温，高效节能；</w:t>
            </w:r>
            <w:r>
              <w:rPr>
                <w:rFonts w:hint="eastAsia" w:asciiTheme="minorEastAsia" w:hAnsiTheme="minorEastAsia" w:eastAsiaTheme="minorEastAsia" w:cstheme="minorEastAsia"/>
                <w:sz w:val="24"/>
                <w:lang w:eastAsia="zh-CN"/>
              </w:rPr>
              <w:t>；</w:t>
            </w:r>
          </w:p>
          <w:p>
            <w:pPr>
              <w:pStyle w:val="31"/>
              <w:adjustRightInd w:val="0"/>
              <w:snapToGrid w:val="0"/>
              <w:spacing w:line="288" w:lineRule="auto"/>
              <w:rPr>
                <w:rFonts w:asciiTheme="minorEastAsia" w:hAnsiTheme="minorEastAsia" w:eastAsiaTheme="minorEastAsia" w:cstheme="minorEastAsia"/>
                <w:sz w:val="24"/>
                <w:lang w:val="en-US" w:eastAsia="zh-CN" w:bidi="ar-SA"/>
              </w:rPr>
            </w:pPr>
            <w:r>
              <w:rPr>
                <w:rFonts w:hint="eastAsia" w:asciiTheme="minorEastAsia" w:hAnsiTheme="minorEastAsia" w:eastAsiaTheme="minorEastAsia" w:cstheme="minorEastAsia"/>
                <w:sz w:val="24"/>
                <w:lang w:val="en-US" w:eastAsia="zh-CN" w:bidi="ar-SA"/>
              </w:rPr>
              <w:t>采用高清数码屏显示屏，具有TDS值显示、滤芯使用状态功能</w:t>
            </w:r>
          </w:p>
          <w:p>
            <w:pPr>
              <w:pStyle w:val="2"/>
              <w:jc w:val="left"/>
              <w:rPr>
                <w:rFonts w:asciiTheme="minorEastAsia" w:hAnsiTheme="minorEastAsia" w:cstheme="minorEastAsia"/>
                <w:sz w:val="24"/>
              </w:rPr>
            </w:pPr>
            <w:r>
              <w:rPr>
                <w:rFonts w:hint="eastAsia" w:asciiTheme="minorEastAsia" w:hAnsiTheme="minorEastAsia" w:cstheme="minorEastAsia"/>
                <w:sz w:val="24"/>
              </w:rPr>
              <w:t>所投产品饮水设备厂家具有食品接触产品安全认证证书，符合产品标准和技术要求GB4806.11-2016;GB4806.7-2016;GB4806.9-2016；</w:t>
            </w:r>
          </w:p>
          <w:p>
            <w:pPr>
              <w:pStyle w:val="2"/>
              <w:rPr>
                <w:rFonts w:asciiTheme="minorEastAsia" w:hAnsiTheme="minorEastAsia" w:cstheme="minorEastAsia"/>
                <w:sz w:val="24"/>
              </w:rPr>
            </w:pPr>
            <w:r>
              <w:rPr>
                <w:rFonts w:hint="eastAsia" w:asciiTheme="minorEastAsia" w:hAnsiTheme="minorEastAsia" w:cstheme="minorEastAsia"/>
                <w:sz w:val="24"/>
              </w:rPr>
              <w:t>水效等级1级，净水产水率≥80%.</w:t>
            </w:r>
          </w:p>
          <w:p>
            <w:pPr>
              <w:pStyle w:val="31"/>
              <w:adjustRightInd w:val="0"/>
              <w:snapToGrid w:val="0"/>
              <w:spacing w:line="288"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设备具有“</w:t>
            </w:r>
            <w:r>
              <w:rPr>
                <w:rFonts w:hint="eastAsia" w:asciiTheme="minorEastAsia" w:hAnsiTheme="minorEastAsia" w:eastAsiaTheme="minorEastAsia" w:cstheme="minorEastAsia"/>
                <w:sz w:val="24"/>
                <w:lang w:val="en-US" w:eastAsia="zh-CN"/>
              </w:rPr>
              <w:t>2022年</w:t>
            </w:r>
            <w:r>
              <w:rPr>
                <w:rFonts w:hint="eastAsia" w:asciiTheme="minorEastAsia" w:hAnsiTheme="minorEastAsia" w:eastAsiaTheme="minorEastAsia" w:cstheme="minorEastAsia"/>
                <w:sz w:val="24"/>
              </w:rPr>
              <w:t>产品责任保险”并提供相应证明文件。</w:t>
            </w:r>
          </w:p>
          <w:p>
            <w:pPr>
              <w:pStyle w:val="31"/>
              <w:adjustRightInd w:val="0"/>
              <w:snapToGrid w:val="0"/>
              <w:spacing w:line="288"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整机需具</w:t>
            </w:r>
            <w:r>
              <w:rPr>
                <w:rFonts w:hint="eastAsia" w:asciiTheme="minorEastAsia" w:hAnsiTheme="minorEastAsia" w:eastAsiaTheme="minorEastAsia" w:cstheme="minorEastAsia"/>
                <w:sz w:val="24"/>
                <w:lang w:eastAsia="zh-CN"/>
              </w:rPr>
              <w:t>防漏电、防干烧、防超温、防蒸汽等功能</w:t>
            </w:r>
            <w:r>
              <w:rPr>
                <w:rFonts w:hint="eastAsia" w:asciiTheme="minorEastAsia" w:hAnsiTheme="minorEastAsia" w:eastAsiaTheme="minorEastAsia" w:cstheme="minorEastAsia"/>
                <w:sz w:val="24"/>
              </w:rPr>
              <w:t>。</w:t>
            </w:r>
          </w:p>
        </w:tc>
        <w:tc>
          <w:tcPr>
            <w:tcW w:w="900" w:type="dxa"/>
            <w:tcBorders>
              <w:top w:val="single" w:color="auto" w:sz="4" w:space="0"/>
              <w:left w:val="nil"/>
              <w:bottom w:val="single" w:color="auto" w:sz="4" w:space="0"/>
              <w:right w:val="single" w:color="auto" w:sz="4" w:space="0"/>
            </w:tcBorders>
            <w:vAlign w:val="center"/>
          </w:tcPr>
          <w:p>
            <w:pPr>
              <w:autoSpaceDE w:val="0"/>
              <w:snapToGrid w:val="0"/>
              <w:spacing w:line="288" w:lineRule="auto"/>
              <w:jc w:val="center"/>
              <w:rPr>
                <w:rFonts w:asciiTheme="minorEastAsia" w:hAnsiTheme="minorEastAsia" w:cstheme="minorEastAsia"/>
                <w:sz w:val="24"/>
              </w:rPr>
            </w:pPr>
            <w:r>
              <w:rPr>
                <w:rFonts w:hint="eastAsia" w:asciiTheme="minorEastAsia" w:hAnsiTheme="minorEastAsia" w:cstheme="minorEastAsia"/>
                <w:sz w:val="24"/>
              </w:rPr>
              <w:t>12</w:t>
            </w:r>
          </w:p>
        </w:tc>
        <w:tc>
          <w:tcPr>
            <w:tcW w:w="842" w:type="dxa"/>
            <w:tcBorders>
              <w:top w:val="single" w:color="auto" w:sz="4" w:space="0"/>
              <w:left w:val="nil"/>
              <w:bottom w:val="single" w:color="auto" w:sz="4" w:space="0"/>
              <w:right w:val="single" w:color="auto" w:sz="4" w:space="0"/>
            </w:tcBorders>
            <w:vAlign w:val="center"/>
          </w:tcPr>
          <w:p>
            <w:pPr>
              <w:autoSpaceDE w:val="0"/>
              <w:snapToGrid w:val="0"/>
              <w:spacing w:line="288" w:lineRule="auto"/>
              <w:jc w:val="center"/>
              <w:rPr>
                <w:rFonts w:asciiTheme="minorEastAsia" w:hAnsiTheme="minorEastAsia" w:cstheme="minorEastAsia"/>
                <w:sz w:val="24"/>
              </w:rPr>
            </w:pPr>
          </w:p>
        </w:tc>
      </w:tr>
      <w:tr>
        <w:tblPrEx>
          <w:tblCellMar>
            <w:top w:w="0" w:type="dxa"/>
            <w:left w:w="108" w:type="dxa"/>
            <w:bottom w:w="0" w:type="dxa"/>
            <w:right w:w="108" w:type="dxa"/>
          </w:tblCellMar>
        </w:tblPrEx>
        <w:trPr>
          <w:trHeight w:val="1766" w:hRule="atLeast"/>
        </w:trPr>
        <w:tc>
          <w:tcPr>
            <w:tcW w:w="10315" w:type="dxa"/>
            <w:gridSpan w:val="5"/>
            <w:tcBorders>
              <w:top w:val="single" w:color="auto" w:sz="4" w:space="0"/>
              <w:left w:val="single" w:color="auto" w:sz="4" w:space="0"/>
              <w:bottom w:val="single" w:color="auto" w:sz="4" w:space="0"/>
              <w:right w:val="single" w:color="auto" w:sz="4" w:space="0"/>
            </w:tcBorders>
            <w:vAlign w:val="center"/>
          </w:tcPr>
          <w:p>
            <w:pPr>
              <w:rPr>
                <w:rFonts w:asciiTheme="minorEastAsia" w:hAnsiTheme="minorEastAsia" w:cstheme="minorEastAsia"/>
                <w:sz w:val="24"/>
              </w:rPr>
            </w:pPr>
            <w:r>
              <w:rPr>
                <w:rFonts w:hint="eastAsia" w:asciiTheme="minorEastAsia" w:hAnsiTheme="minorEastAsia" w:cstheme="minorEastAsia"/>
                <w:sz w:val="24"/>
              </w:rPr>
              <w:t>注: 饮水机资质要求</w:t>
            </w:r>
          </w:p>
          <w:p>
            <w:pPr>
              <w:pStyle w:val="11"/>
              <w:rPr>
                <w:rFonts w:asciiTheme="minorEastAsia" w:hAnsiTheme="minorEastAsia" w:cstheme="minorEastAsia"/>
                <w:sz w:val="24"/>
              </w:rPr>
            </w:pPr>
            <w:r>
              <w:rPr>
                <w:rFonts w:hint="eastAsia" w:asciiTheme="minorEastAsia" w:hAnsiTheme="minorEastAsia" w:cstheme="minorEastAsia"/>
                <w:sz w:val="24"/>
              </w:rPr>
              <w:t>1、投标产品设备厂家具有安全生产标准化证书。</w:t>
            </w:r>
          </w:p>
          <w:p>
            <w:pPr>
              <w:rPr>
                <w:rFonts w:asciiTheme="minorEastAsia" w:hAnsiTheme="minorEastAsia" w:cstheme="minorEastAsia"/>
                <w:sz w:val="24"/>
              </w:rPr>
            </w:pPr>
            <w:r>
              <w:rPr>
                <w:rFonts w:hint="eastAsia" w:asciiTheme="minorEastAsia" w:hAnsiTheme="minorEastAsia" w:cstheme="minorEastAsia"/>
                <w:sz w:val="24"/>
              </w:rPr>
              <w:t>2、提供所投设备菌落总数、总大肠杆菌群、耐热大肠菌群、色度、浑浊度、砷、汞、镉、铅等测定结果均符合标准要求，GB/T 5750-2006《生活饮用水卫生规范》。</w:t>
            </w:r>
          </w:p>
          <w:p>
            <w:pPr>
              <w:rPr>
                <w:rFonts w:asciiTheme="minorEastAsia" w:hAnsiTheme="minorEastAsia" w:cstheme="minorEastAsia"/>
                <w:sz w:val="24"/>
              </w:rPr>
            </w:pPr>
            <w:r>
              <w:rPr>
                <w:rFonts w:hint="eastAsia" w:asciiTheme="minorEastAsia" w:hAnsiTheme="minorEastAsia" w:cstheme="minorEastAsia"/>
                <w:sz w:val="24"/>
              </w:rPr>
              <w:t>3、提供节能饮水设备检测报告，检测项目须包括：热交换、显示功能、消毒、排空、水咀防尘、接水防溅、水温控制、出水控制、防护功能、内胆压力等共十项功能。</w:t>
            </w:r>
          </w:p>
          <w:p>
            <w:pPr>
              <w:pStyle w:val="11"/>
              <w:rPr>
                <w:rFonts w:asciiTheme="minorEastAsia" w:hAnsiTheme="minorEastAsia" w:cstheme="minorEastAsia"/>
                <w:sz w:val="24"/>
              </w:rPr>
            </w:pPr>
            <w:r>
              <w:rPr>
                <w:rFonts w:hint="eastAsia" w:asciiTheme="minorEastAsia" w:hAnsiTheme="minorEastAsia" w:cstheme="minorEastAsia"/>
                <w:sz w:val="24"/>
              </w:rPr>
              <w:t>4、饮水设备滤芯耗材应符合《生活饮用水输配水设备及防护材料卫生安全评价规范》的标准（提供饮水设备厂家的PP棉棒、颗粒活性炭滤芯、反渗透膜、炭棒滤芯检测报告），并提供饮水设备厂家的净水器滤壳涉及饮用水卫生安全产品卫生许可批件。</w:t>
            </w:r>
          </w:p>
        </w:tc>
      </w:tr>
    </w:tbl>
    <w:p/>
    <w:tbl>
      <w:tblPr>
        <w:tblStyle w:val="19"/>
        <w:tblW w:w="10327" w:type="dxa"/>
        <w:tblInd w:w="-102" w:type="dxa"/>
        <w:tblLayout w:type="fixed"/>
        <w:tblCellMar>
          <w:top w:w="0" w:type="dxa"/>
          <w:left w:w="108" w:type="dxa"/>
          <w:bottom w:w="0" w:type="dxa"/>
          <w:right w:w="108" w:type="dxa"/>
        </w:tblCellMar>
      </w:tblPr>
      <w:tblGrid>
        <w:gridCol w:w="664"/>
        <w:gridCol w:w="888"/>
        <w:gridCol w:w="6519"/>
        <w:gridCol w:w="1448"/>
        <w:gridCol w:w="808"/>
      </w:tblGrid>
      <w:tr>
        <w:tblPrEx>
          <w:tblCellMar>
            <w:top w:w="0" w:type="dxa"/>
            <w:left w:w="108" w:type="dxa"/>
            <w:bottom w:w="0" w:type="dxa"/>
            <w:right w:w="108" w:type="dxa"/>
          </w:tblCellMar>
        </w:tblPrEx>
        <w:trPr>
          <w:trHeight w:val="23" w:hRule="atLeast"/>
        </w:trPr>
        <w:tc>
          <w:tcPr>
            <w:tcW w:w="664" w:type="dxa"/>
            <w:tcBorders>
              <w:top w:val="single" w:color="auto" w:sz="4" w:space="0"/>
              <w:left w:val="single" w:color="auto" w:sz="4" w:space="0"/>
              <w:bottom w:val="single" w:color="auto" w:sz="4" w:space="0"/>
              <w:right w:val="single" w:color="auto" w:sz="4" w:space="0"/>
            </w:tcBorders>
            <w:vAlign w:val="center"/>
          </w:tcPr>
          <w:p>
            <w:pPr>
              <w:autoSpaceDE w:val="0"/>
              <w:snapToGrid w:val="0"/>
              <w:spacing w:line="288" w:lineRule="auto"/>
              <w:jc w:val="center"/>
              <w:rPr>
                <w:rFonts w:asciiTheme="minorEastAsia" w:hAnsiTheme="minorEastAsia" w:cstheme="minorEastAsia"/>
                <w:b/>
                <w:bCs/>
                <w:sz w:val="24"/>
              </w:rPr>
            </w:pPr>
            <w:r>
              <w:rPr>
                <w:rFonts w:hint="eastAsia" w:asciiTheme="minorEastAsia" w:hAnsiTheme="minorEastAsia" w:cstheme="minorEastAsia"/>
                <w:b/>
                <w:bCs/>
                <w:sz w:val="24"/>
              </w:rPr>
              <w:t>序号</w:t>
            </w:r>
          </w:p>
        </w:tc>
        <w:tc>
          <w:tcPr>
            <w:tcW w:w="888" w:type="dxa"/>
            <w:tcBorders>
              <w:top w:val="single" w:color="auto" w:sz="4" w:space="0"/>
              <w:left w:val="nil"/>
              <w:bottom w:val="single" w:color="auto" w:sz="4" w:space="0"/>
              <w:right w:val="single" w:color="auto" w:sz="4" w:space="0"/>
            </w:tcBorders>
            <w:vAlign w:val="center"/>
          </w:tcPr>
          <w:p>
            <w:pPr>
              <w:autoSpaceDE w:val="0"/>
              <w:snapToGrid w:val="0"/>
              <w:spacing w:line="288" w:lineRule="auto"/>
              <w:jc w:val="center"/>
              <w:rPr>
                <w:rFonts w:asciiTheme="minorEastAsia" w:hAnsiTheme="minorEastAsia" w:cstheme="minorEastAsia"/>
                <w:b/>
                <w:bCs/>
                <w:sz w:val="24"/>
              </w:rPr>
            </w:pPr>
            <w:r>
              <w:rPr>
                <w:rFonts w:hint="eastAsia" w:asciiTheme="minorEastAsia" w:hAnsiTheme="minorEastAsia" w:cstheme="minorEastAsia"/>
                <w:b/>
                <w:bCs/>
                <w:sz w:val="24"/>
              </w:rPr>
              <w:t>设备名称</w:t>
            </w:r>
          </w:p>
        </w:tc>
        <w:tc>
          <w:tcPr>
            <w:tcW w:w="6519" w:type="dxa"/>
            <w:tcBorders>
              <w:top w:val="single" w:color="auto" w:sz="4" w:space="0"/>
              <w:left w:val="nil"/>
              <w:bottom w:val="single" w:color="auto" w:sz="4" w:space="0"/>
              <w:right w:val="single" w:color="auto" w:sz="4" w:space="0"/>
            </w:tcBorders>
            <w:vAlign w:val="center"/>
          </w:tcPr>
          <w:p>
            <w:pPr>
              <w:autoSpaceDE w:val="0"/>
              <w:snapToGrid w:val="0"/>
              <w:spacing w:line="288" w:lineRule="auto"/>
              <w:jc w:val="center"/>
              <w:rPr>
                <w:rFonts w:asciiTheme="minorEastAsia" w:hAnsiTheme="minorEastAsia" w:cstheme="minorEastAsia"/>
                <w:b/>
                <w:bCs/>
                <w:sz w:val="24"/>
              </w:rPr>
            </w:pPr>
            <w:r>
              <w:rPr>
                <w:rFonts w:hint="eastAsia" w:asciiTheme="minorEastAsia" w:hAnsiTheme="minorEastAsia" w:cstheme="minorEastAsia"/>
                <w:b/>
                <w:bCs/>
                <w:sz w:val="24"/>
              </w:rPr>
              <w:t>设备参数</w:t>
            </w:r>
          </w:p>
        </w:tc>
        <w:tc>
          <w:tcPr>
            <w:tcW w:w="1448" w:type="dxa"/>
            <w:tcBorders>
              <w:top w:val="single" w:color="auto" w:sz="4" w:space="0"/>
              <w:left w:val="nil"/>
              <w:bottom w:val="single" w:color="auto" w:sz="4" w:space="0"/>
              <w:right w:val="single" w:color="auto" w:sz="4" w:space="0"/>
            </w:tcBorders>
            <w:vAlign w:val="center"/>
          </w:tcPr>
          <w:p>
            <w:pPr>
              <w:autoSpaceDE w:val="0"/>
              <w:snapToGrid w:val="0"/>
              <w:spacing w:line="288" w:lineRule="auto"/>
              <w:jc w:val="center"/>
              <w:rPr>
                <w:rFonts w:asciiTheme="minorEastAsia" w:hAnsiTheme="minorEastAsia" w:cstheme="minorEastAsia"/>
                <w:b/>
                <w:bCs/>
                <w:sz w:val="24"/>
              </w:rPr>
            </w:pPr>
            <w:r>
              <w:rPr>
                <w:rFonts w:hint="eastAsia" w:asciiTheme="minorEastAsia" w:hAnsiTheme="minorEastAsia" w:cstheme="minorEastAsia"/>
                <w:b/>
                <w:bCs/>
                <w:sz w:val="24"/>
              </w:rPr>
              <w:t>数量</w:t>
            </w:r>
          </w:p>
        </w:tc>
        <w:tc>
          <w:tcPr>
            <w:tcW w:w="808" w:type="dxa"/>
            <w:tcBorders>
              <w:top w:val="single" w:color="auto" w:sz="4" w:space="0"/>
              <w:left w:val="nil"/>
              <w:bottom w:val="single" w:color="auto" w:sz="4" w:space="0"/>
              <w:right w:val="single" w:color="auto" w:sz="4" w:space="0"/>
            </w:tcBorders>
            <w:vAlign w:val="center"/>
          </w:tcPr>
          <w:p>
            <w:pPr>
              <w:autoSpaceDE w:val="0"/>
              <w:snapToGrid w:val="0"/>
              <w:spacing w:line="288" w:lineRule="auto"/>
              <w:jc w:val="center"/>
              <w:rPr>
                <w:rFonts w:asciiTheme="minorEastAsia" w:hAnsiTheme="minorEastAsia" w:cstheme="minorEastAsia"/>
                <w:b/>
                <w:bCs/>
                <w:sz w:val="24"/>
              </w:rPr>
            </w:pPr>
            <w:r>
              <w:rPr>
                <w:rFonts w:hint="eastAsia" w:asciiTheme="minorEastAsia" w:hAnsiTheme="minorEastAsia" w:cstheme="minorEastAsia"/>
                <w:b/>
                <w:bCs/>
                <w:sz w:val="24"/>
              </w:rPr>
              <w:t>备注</w:t>
            </w:r>
          </w:p>
        </w:tc>
      </w:tr>
      <w:tr>
        <w:tblPrEx>
          <w:tblCellMar>
            <w:top w:w="0" w:type="dxa"/>
            <w:left w:w="108" w:type="dxa"/>
            <w:bottom w:w="0" w:type="dxa"/>
            <w:right w:w="108" w:type="dxa"/>
          </w:tblCellMar>
        </w:tblPrEx>
        <w:trPr>
          <w:trHeight w:val="23" w:hRule="atLeast"/>
        </w:trPr>
        <w:tc>
          <w:tcPr>
            <w:tcW w:w="664" w:type="dxa"/>
            <w:tcBorders>
              <w:top w:val="single" w:color="auto" w:sz="4" w:space="0"/>
              <w:left w:val="single" w:color="auto" w:sz="4" w:space="0"/>
              <w:bottom w:val="single" w:color="auto" w:sz="4" w:space="0"/>
              <w:right w:val="single" w:color="auto" w:sz="4" w:space="0"/>
            </w:tcBorders>
            <w:vAlign w:val="center"/>
          </w:tcPr>
          <w:p>
            <w:pPr>
              <w:autoSpaceDE w:val="0"/>
              <w:snapToGrid w:val="0"/>
              <w:spacing w:line="288" w:lineRule="auto"/>
              <w:rPr>
                <w:rFonts w:asciiTheme="minorEastAsia" w:hAnsiTheme="minorEastAsia" w:cstheme="minorEastAsia"/>
                <w:sz w:val="24"/>
              </w:rPr>
            </w:pPr>
            <w:r>
              <w:rPr>
                <w:rFonts w:hint="eastAsia" w:asciiTheme="minorEastAsia" w:hAnsiTheme="minorEastAsia" w:cstheme="minorEastAsia"/>
                <w:sz w:val="24"/>
              </w:rPr>
              <w:t>2</w:t>
            </w:r>
          </w:p>
        </w:tc>
        <w:tc>
          <w:tcPr>
            <w:tcW w:w="888" w:type="dxa"/>
            <w:tcBorders>
              <w:top w:val="single" w:color="auto" w:sz="4" w:space="0"/>
              <w:left w:val="nil"/>
              <w:bottom w:val="single" w:color="auto" w:sz="4" w:space="0"/>
              <w:right w:val="single" w:color="auto" w:sz="4" w:space="0"/>
            </w:tcBorders>
            <w:vAlign w:val="center"/>
          </w:tcPr>
          <w:p>
            <w:pPr>
              <w:autoSpaceDE w:val="0"/>
              <w:snapToGrid w:val="0"/>
              <w:spacing w:line="288" w:lineRule="auto"/>
              <w:rPr>
                <w:rFonts w:asciiTheme="minorEastAsia" w:hAnsiTheme="minorEastAsia" w:cstheme="minorEastAsia"/>
                <w:sz w:val="24"/>
              </w:rPr>
            </w:pPr>
            <w:r>
              <w:rPr>
                <w:rFonts w:hint="eastAsia" w:asciiTheme="minorEastAsia" w:hAnsiTheme="minorEastAsia" w:cstheme="minorEastAsia"/>
                <w:sz w:val="24"/>
              </w:rPr>
              <w:t>控水网关</w:t>
            </w:r>
          </w:p>
        </w:tc>
        <w:tc>
          <w:tcPr>
            <w:tcW w:w="6519" w:type="dxa"/>
            <w:tcBorders>
              <w:top w:val="single" w:color="auto" w:sz="4" w:space="0"/>
              <w:left w:val="nil"/>
              <w:bottom w:val="single" w:color="auto" w:sz="4" w:space="0"/>
              <w:right w:val="single" w:color="auto" w:sz="4" w:space="0"/>
            </w:tcBorders>
          </w:tcPr>
          <w:p>
            <w:pPr>
              <w:pStyle w:val="31"/>
              <w:adjustRightInd w:val="0"/>
              <w:snapToGrid w:val="0"/>
              <w:spacing w:line="288" w:lineRule="auto"/>
              <w:rPr>
                <w:rFonts w:asciiTheme="minorEastAsia" w:hAnsiTheme="minorEastAsia" w:eastAsiaTheme="minorEastAsia" w:cstheme="minorEastAsia"/>
                <w:sz w:val="24"/>
                <w:lang w:val="en-US" w:eastAsia="zh-CN"/>
              </w:rPr>
            </w:pPr>
            <w:r>
              <w:rPr>
                <w:rFonts w:hint="eastAsia" w:asciiTheme="minorEastAsia" w:hAnsiTheme="minorEastAsia" w:eastAsiaTheme="minorEastAsia" w:cstheme="minorEastAsia"/>
                <w:sz w:val="24"/>
                <w:lang w:val="en-US" w:eastAsia="zh-CN"/>
              </w:rPr>
              <w:t>以太网管理机的主要作用是控水系统数据传递、工作状态传递、工作指令传递，与计算机之间进行数据交换；与智能级联器之间进行数据传递。与计算机之间通讯方式采用TCP/IP进行通讯；与智能级联器之间采用RS-485通讯。</w:t>
            </w:r>
          </w:p>
          <w:p>
            <w:pPr>
              <w:pStyle w:val="31"/>
              <w:adjustRightInd w:val="0"/>
              <w:snapToGrid w:val="0"/>
              <w:spacing w:line="288" w:lineRule="auto"/>
              <w:rPr>
                <w:rFonts w:asciiTheme="minorEastAsia" w:hAnsiTheme="minorEastAsia" w:eastAsiaTheme="minorEastAsia" w:cstheme="minorEastAsia"/>
                <w:sz w:val="24"/>
                <w:lang w:val="en-US" w:eastAsia="zh-CN"/>
              </w:rPr>
            </w:pPr>
            <w:r>
              <w:rPr>
                <w:rFonts w:hint="eastAsia" w:asciiTheme="minorEastAsia" w:hAnsiTheme="minorEastAsia" w:eastAsiaTheme="minorEastAsia" w:cstheme="minorEastAsia"/>
                <w:sz w:val="24"/>
                <w:lang w:val="en-US" w:eastAsia="zh-CN"/>
              </w:rPr>
              <w:t>电源：供电电压：交流220V；功耗：10W；</w:t>
            </w:r>
          </w:p>
          <w:p>
            <w:pPr>
              <w:pStyle w:val="31"/>
              <w:adjustRightInd w:val="0"/>
              <w:snapToGrid w:val="0"/>
              <w:spacing w:line="288" w:lineRule="auto"/>
              <w:rPr>
                <w:rFonts w:asciiTheme="minorEastAsia" w:hAnsiTheme="minorEastAsia" w:eastAsiaTheme="minorEastAsia" w:cstheme="minorEastAsia"/>
                <w:sz w:val="24"/>
                <w:lang w:val="en-US" w:eastAsia="zh-CN"/>
              </w:rPr>
            </w:pPr>
            <w:r>
              <w:rPr>
                <w:rFonts w:hint="eastAsia" w:asciiTheme="minorEastAsia" w:hAnsiTheme="minorEastAsia" w:eastAsiaTheme="minorEastAsia" w:cstheme="minorEastAsia"/>
                <w:sz w:val="24"/>
                <w:lang w:val="en-US" w:eastAsia="zh-CN"/>
              </w:rPr>
              <w:t>采用ARM A8核心处理器，嵌入式Linux操作系统；</w:t>
            </w:r>
          </w:p>
          <w:p>
            <w:pPr>
              <w:pStyle w:val="31"/>
              <w:adjustRightInd w:val="0"/>
              <w:snapToGrid w:val="0"/>
              <w:spacing w:line="288" w:lineRule="auto"/>
              <w:rPr>
                <w:rFonts w:asciiTheme="minorEastAsia" w:hAnsiTheme="minorEastAsia" w:eastAsiaTheme="minorEastAsia" w:cstheme="minorEastAsia"/>
                <w:sz w:val="24"/>
                <w:lang w:val="en-US" w:eastAsia="zh-CN"/>
              </w:rPr>
            </w:pPr>
            <w:r>
              <w:rPr>
                <w:rFonts w:hint="eastAsia" w:asciiTheme="minorEastAsia" w:hAnsiTheme="minorEastAsia" w:eastAsiaTheme="minorEastAsia" w:cstheme="minorEastAsia"/>
                <w:sz w:val="24"/>
                <w:lang w:val="en-US" w:eastAsia="zh-CN"/>
              </w:rPr>
              <w:t>账户容量：50万；</w:t>
            </w:r>
          </w:p>
          <w:p>
            <w:pPr>
              <w:pStyle w:val="31"/>
              <w:adjustRightInd w:val="0"/>
              <w:snapToGrid w:val="0"/>
              <w:spacing w:line="288" w:lineRule="auto"/>
              <w:rPr>
                <w:rFonts w:asciiTheme="minorEastAsia" w:hAnsiTheme="minorEastAsia" w:eastAsiaTheme="minorEastAsia" w:cstheme="minorEastAsia"/>
                <w:sz w:val="24"/>
                <w:lang w:val="en-US" w:eastAsia="zh-CN"/>
              </w:rPr>
            </w:pPr>
            <w:r>
              <w:rPr>
                <w:rFonts w:hint="eastAsia" w:asciiTheme="minorEastAsia" w:hAnsiTheme="minorEastAsia" w:eastAsiaTheme="minorEastAsia" w:cstheme="minorEastAsia"/>
                <w:sz w:val="24"/>
                <w:lang w:val="en-US" w:eastAsia="zh-CN"/>
              </w:rPr>
              <w:t>脱机交易流水存储：50万；</w:t>
            </w:r>
          </w:p>
          <w:p>
            <w:pPr>
              <w:pStyle w:val="31"/>
              <w:adjustRightInd w:val="0"/>
              <w:snapToGrid w:val="0"/>
              <w:spacing w:line="288" w:lineRule="auto"/>
              <w:rPr>
                <w:rFonts w:asciiTheme="minorEastAsia" w:hAnsiTheme="minorEastAsia" w:eastAsiaTheme="minorEastAsia" w:cstheme="minorEastAsia"/>
                <w:sz w:val="24"/>
                <w:lang w:val="en-US" w:eastAsia="zh-CN"/>
              </w:rPr>
            </w:pPr>
            <w:r>
              <w:rPr>
                <w:rFonts w:hint="eastAsia" w:asciiTheme="minorEastAsia" w:hAnsiTheme="minorEastAsia" w:eastAsiaTheme="minorEastAsia" w:cstheme="minorEastAsia"/>
                <w:sz w:val="24"/>
                <w:lang w:val="en-US" w:eastAsia="zh-CN"/>
              </w:rPr>
              <w:t>最多带100台控水器；</w:t>
            </w:r>
          </w:p>
          <w:p>
            <w:pPr>
              <w:pStyle w:val="31"/>
              <w:adjustRightInd w:val="0"/>
              <w:snapToGrid w:val="0"/>
              <w:spacing w:line="288" w:lineRule="auto"/>
              <w:rPr>
                <w:rFonts w:asciiTheme="minorEastAsia" w:hAnsiTheme="minorEastAsia" w:eastAsiaTheme="minorEastAsia" w:cstheme="minorEastAsia"/>
                <w:sz w:val="24"/>
                <w:lang w:val="en-US" w:eastAsia="zh-CN"/>
              </w:rPr>
            </w:pPr>
            <w:r>
              <w:rPr>
                <w:rFonts w:hint="eastAsia" w:asciiTheme="minorEastAsia" w:hAnsiTheme="minorEastAsia" w:eastAsiaTheme="minorEastAsia" w:cstheme="minorEastAsia"/>
                <w:sz w:val="24"/>
                <w:lang w:val="en-US" w:eastAsia="zh-CN"/>
              </w:rPr>
              <w:t>支持PSAM卡（3.3V）；</w:t>
            </w:r>
          </w:p>
          <w:p>
            <w:pPr>
              <w:pStyle w:val="31"/>
              <w:adjustRightInd w:val="0"/>
              <w:snapToGrid w:val="0"/>
              <w:spacing w:line="288" w:lineRule="auto"/>
              <w:rPr>
                <w:rFonts w:asciiTheme="minorEastAsia" w:hAnsiTheme="minorEastAsia" w:eastAsiaTheme="minorEastAsia" w:cstheme="minorEastAsia"/>
                <w:sz w:val="24"/>
                <w:lang w:val="en-US" w:eastAsia="zh-CN"/>
              </w:rPr>
            </w:pPr>
            <w:r>
              <w:rPr>
                <w:rFonts w:hint="eastAsia" w:asciiTheme="minorEastAsia" w:hAnsiTheme="minorEastAsia" w:eastAsiaTheme="minorEastAsia" w:cstheme="minorEastAsia"/>
                <w:sz w:val="24"/>
                <w:lang w:val="en-US" w:eastAsia="zh-CN"/>
              </w:rPr>
              <w:t>断电数据保存时间：≥10年；</w:t>
            </w:r>
          </w:p>
          <w:p>
            <w:pPr>
              <w:pStyle w:val="31"/>
              <w:adjustRightInd w:val="0"/>
              <w:snapToGrid w:val="0"/>
              <w:spacing w:line="288" w:lineRule="auto"/>
              <w:rPr>
                <w:rFonts w:asciiTheme="minorEastAsia" w:hAnsiTheme="minorEastAsia" w:eastAsiaTheme="minorEastAsia" w:cstheme="minorEastAsia"/>
                <w:sz w:val="24"/>
                <w:lang w:val="en-US" w:eastAsia="zh-CN"/>
              </w:rPr>
            </w:pPr>
            <w:r>
              <w:rPr>
                <w:rFonts w:hint="eastAsia" w:asciiTheme="minorEastAsia" w:hAnsiTheme="minorEastAsia" w:eastAsiaTheme="minorEastAsia" w:cstheme="minorEastAsia"/>
                <w:sz w:val="24"/>
                <w:lang w:val="en-US" w:eastAsia="zh-CN"/>
              </w:rPr>
              <w:t>通讯：以太网：10-100M自适应；RS-485； 无线2.4G Wi-Fi；</w:t>
            </w:r>
          </w:p>
          <w:p>
            <w:pPr>
              <w:pStyle w:val="31"/>
              <w:adjustRightInd w:val="0"/>
              <w:snapToGrid w:val="0"/>
              <w:spacing w:line="288" w:lineRule="auto"/>
              <w:rPr>
                <w:rFonts w:asciiTheme="minorEastAsia" w:hAnsiTheme="minorEastAsia" w:eastAsiaTheme="minorEastAsia" w:cstheme="minorEastAsia"/>
                <w:sz w:val="24"/>
                <w:lang w:val="en-US" w:eastAsia="zh-CN"/>
              </w:rPr>
            </w:pPr>
            <w:r>
              <w:rPr>
                <w:rFonts w:hint="eastAsia" w:asciiTheme="minorEastAsia" w:hAnsiTheme="minorEastAsia" w:eastAsiaTheme="minorEastAsia" w:cstheme="minorEastAsia"/>
                <w:sz w:val="24"/>
                <w:lang w:val="en-US" w:eastAsia="zh-CN"/>
              </w:rPr>
              <w:t>通过浏览器可以对控水网关进行配置和操作；</w:t>
            </w:r>
          </w:p>
          <w:p>
            <w:pPr>
              <w:pStyle w:val="31"/>
              <w:adjustRightInd w:val="0"/>
              <w:snapToGrid w:val="0"/>
              <w:spacing w:line="288" w:lineRule="auto"/>
              <w:rPr>
                <w:rFonts w:asciiTheme="minorEastAsia" w:hAnsiTheme="minorEastAsia" w:eastAsiaTheme="minorEastAsia" w:cstheme="minorEastAsia"/>
                <w:sz w:val="24"/>
                <w:lang w:val="en-US" w:eastAsia="zh-CN"/>
              </w:rPr>
            </w:pPr>
            <w:r>
              <w:rPr>
                <w:rFonts w:hint="eastAsia" w:asciiTheme="minorEastAsia" w:hAnsiTheme="minorEastAsia" w:eastAsiaTheme="minorEastAsia" w:cstheme="minorEastAsia"/>
                <w:sz w:val="24"/>
                <w:lang w:val="en-US" w:eastAsia="zh-CN"/>
              </w:rPr>
              <w:t>存储白名单、状态、身份配置、节点信息、商户信息；</w:t>
            </w:r>
          </w:p>
          <w:p>
            <w:pPr>
              <w:pStyle w:val="31"/>
              <w:adjustRightInd w:val="0"/>
              <w:snapToGrid w:val="0"/>
              <w:spacing w:line="288" w:lineRule="auto"/>
              <w:rPr>
                <w:rFonts w:asciiTheme="minorEastAsia" w:hAnsiTheme="minorEastAsia" w:eastAsiaTheme="minorEastAsia" w:cstheme="minorEastAsia"/>
                <w:sz w:val="24"/>
                <w:lang w:val="en-US" w:eastAsia="zh-CN"/>
              </w:rPr>
            </w:pPr>
            <w:r>
              <w:rPr>
                <w:rFonts w:hint="eastAsia" w:asciiTheme="minorEastAsia" w:hAnsiTheme="minorEastAsia" w:eastAsiaTheme="minorEastAsia" w:cstheme="minorEastAsia"/>
                <w:sz w:val="24"/>
                <w:lang w:val="en-US" w:eastAsia="zh-CN"/>
              </w:rPr>
              <w:t>存储交易流水50万笔；</w:t>
            </w:r>
          </w:p>
          <w:p>
            <w:pPr>
              <w:pStyle w:val="31"/>
              <w:adjustRightInd w:val="0"/>
              <w:snapToGrid w:val="0"/>
              <w:spacing w:line="288" w:lineRule="auto"/>
              <w:rPr>
                <w:rFonts w:asciiTheme="minorEastAsia" w:hAnsiTheme="minorEastAsia" w:eastAsiaTheme="minorEastAsia" w:cstheme="minorEastAsia"/>
                <w:sz w:val="24"/>
                <w:lang w:val="en-US" w:eastAsia="zh-CN"/>
              </w:rPr>
            </w:pPr>
            <w:r>
              <w:rPr>
                <w:rFonts w:hint="eastAsia" w:asciiTheme="minorEastAsia" w:hAnsiTheme="minorEastAsia" w:eastAsiaTheme="minorEastAsia" w:cstheme="minorEastAsia"/>
                <w:sz w:val="24"/>
                <w:lang w:val="en-US" w:eastAsia="zh-CN"/>
              </w:rPr>
              <w:t>上传控水网关、控水器设备状态；</w:t>
            </w:r>
          </w:p>
          <w:p>
            <w:pPr>
              <w:pStyle w:val="31"/>
              <w:adjustRightInd w:val="0"/>
              <w:snapToGrid w:val="0"/>
              <w:spacing w:line="288" w:lineRule="auto"/>
              <w:rPr>
                <w:rFonts w:asciiTheme="minorEastAsia" w:hAnsiTheme="minorEastAsia" w:eastAsiaTheme="minorEastAsia" w:cstheme="minorEastAsia"/>
                <w:sz w:val="24"/>
                <w:lang w:val="en-US" w:eastAsia="zh-CN"/>
              </w:rPr>
            </w:pPr>
            <w:r>
              <w:rPr>
                <w:rFonts w:hint="eastAsia" w:asciiTheme="minorEastAsia" w:hAnsiTheme="minorEastAsia" w:eastAsiaTheme="minorEastAsia" w:cstheme="minorEastAsia"/>
                <w:sz w:val="24"/>
                <w:lang w:val="en-US" w:eastAsia="zh-CN"/>
              </w:rPr>
              <w:t>支持控水网关、控水器监控程序在线升级；</w:t>
            </w:r>
          </w:p>
          <w:p>
            <w:pPr>
              <w:pStyle w:val="31"/>
              <w:adjustRightInd w:val="0"/>
              <w:snapToGrid w:val="0"/>
              <w:spacing w:line="288" w:lineRule="auto"/>
              <w:rPr>
                <w:rFonts w:asciiTheme="minorEastAsia" w:hAnsiTheme="minorEastAsia" w:eastAsiaTheme="minorEastAsia" w:cstheme="minorEastAsia"/>
                <w:sz w:val="24"/>
                <w:lang w:val="en-US" w:eastAsia="zh-CN"/>
              </w:rPr>
            </w:pPr>
            <w:r>
              <w:rPr>
                <w:rFonts w:hint="eastAsia" w:asciiTheme="minorEastAsia" w:hAnsiTheme="minorEastAsia" w:eastAsiaTheme="minorEastAsia" w:cstheme="minorEastAsia"/>
                <w:sz w:val="24"/>
                <w:lang w:val="en-US" w:eastAsia="zh-CN"/>
              </w:rPr>
              <w:t>支持控水器工装模式下的工作调试；</w:t>
            </w:r>
          </w:p>
          <w:p>
            <w:pPr>
              <w:pStyle w:val="31"/>
              <w:adjustRightInd w:val="0"/>
              <w:snapToGrid w:val="0"/>
              <w:spacing w:line="288" w:lineRule="auto"/>
              <w:rPr>
                <w:rFonts w:asciiTheme="minorEastAsia" w:hAnsiTheme="minorEastAsia" w:eastAsiaTheme="minorEastAsia" w:cstheme="minorEastAsia"/>
                <w:sz w:val="24"/>
                <w:lang w:val="en-US" w:eastAsia="zh-CN"/>
              </w:rPr>
            </w:pPr>
            <w:r>
              <w:rPr>
                <w:rFonts w:hint="eastAsia" w:asciiTheme="minorEastAsia" w:hAnsiTheme="minorEastAsia" w:eastAsiaTheme="minorEastAsia" w:cstheme="minorEastAsia"/>
                <w:sz w:val="24"/>
                <w:lang w:val="en-US" w:eastAsia="zh-CN"/>
              </w:rPr>
              <w:t>支持TF卡进行交易流水备份；</w:t>
            </w:r>
          </w:p>
          <w:p>
            <w:pPr>
              <w:pStyle w:val="31"/>
              <w:adjustRightInd w:val="0"/>
              <w:snapToGrid w:val="0"/>
              <w:spacing w:line="288" w:lineRule="auto"/>
              <w:rPr>
                <w:rFonts w:asciiTheme="minorEastAsia" w:hAnsiTheme="minorEastAsia" w:eastAsiaTheme="minorEastAsia" w:cstheme="minorEastAsia"/>
                <w:sz w:val="24"/>
                <w:lang w:val="en-US" w:eastAsia="zh-CN"/>
              </w:rPr>
            </w:pPr>
            <w:r>
              <w:rPr>
                <w:rFonts w:hint="eastAsia" w:asciiTheme="minorEastAsia" w:hAnsiTheme="minorEastAsia" w:eastAsiaTheme="minorEastAsia" w:cstheme="minorEastAsia"/>
                <w:sz w:val="24"/>
                <w:lang w:val="en-US" w:eastAsia="zh-CN"/>
              </w:rPr>
              <w:t>与计算机之间采用以太网通讯，与控水器之间采用RS485通讯；</w:t>
            </w:r>
          </w:p>
          <w:p>
            <w:pPr>
              <w:pStyle w:val="31"/>
              <w:adjustRightInd w:val="0"/>
              <w:snapToGrid w:val="0"/>
              <w:spacing w:line="288" w:lineRule="auto"/>
              <w:rPr>
                <w:rFonts w:asciiTheme="minorEastAsia" w:hAnsiTheme="minorEastAsia" w:eastAsiaTheme="minorEastAsia" w:cstheme="minorEastAsia"/>
                <w:sz w:val="24"/>
                <w:lang w:val="en-US" w:eastAsia="zh-CN"/>
              </w:rPr>
            </w:pPr>
            <w:r>
              <w:rPr>
                <w:rFonts w:hint="eastAsia" w:asciiTheme="minorEastAsia" w:hAnsiTheme="minorEastAsia" w:eastAsiaTheme="minorEastAsia" w:cstheme="minorEastAsia"/>
                <w:sz w:val="24"/>
                <w:lang w:val="en-US" w:eastAsia="zh-CN"/>
              </w:rPr>
              <w:t>与我校现有一卡通水控系统实现对接，支持我校现有校园卡、二维码等数据正常使用。</w:t>
            </w:r>
          </w:p>
          <w:p>
            <w:pPr>
              <w:pStyle w:val="31"/>
              <w:adjustRightInd w:val="0"/>
              <w:snapToGrid w:val="0"/>
              <w:spacing w:line="288" w:lineRule="auto"/>
              <w:rPr>
                <w:rFonts w:asciiTheme="minorEastAsia" w:hAnsiTheme="minorEastAsia" w:eastAsiaTheme="minorEastAsia" w:cstheme="minorEastAsia"/>
                <w:sz w:val="24"/>
                <w:lang w:val="en-US" w:eastAsia="zh-CN"/>
              </w:rPr>
            </w:pPr>
            <w:r>
              <w:rPr>
                <w:rFonts w:hint="eastAsia" w:asciiTheme="minorEastAsia" w:hAnsiTheme="minorEastAsia" w:eastAsiaTheme="minorEastAsia" w:cstheme="minorEastAsia"/>
                <w:sz w:val="24"/>
                <w:lang w:val="en-US" w:eastAsia="zh-CN"/>
              </w:rPr>
              <w:t>提供所投设备设备检测报告。</w:t>
            </w:r>
          </w:p>
        </w:tc>
        <w:tc>
          <w:tcPr>
            <w:tcW w:w="1448" w:type="dxa"/>
            <w:tcBorders>
              <w:top w:val="single" w:color="auto" w:sz="4" w:space="0"/>
              <w:left w:val="nil"/>
              <w:bottom w:val="single" w:color="auto" w:sz="4" w:space="0"/>
              <w:right w:val="single" w:color="auto" w:sz="4" w:space="0"/>
            </w:tcBorders>
            <w:vAlign w:val="center"/>
          </w:tcPr>
          <w:p>
            <w:pPr>
              <w:autoSpaceDE w:val="0"/>
              <w:snapToGrid w:val="0"/>
              <w:spacing w:line="288" w:lineRule="auto"/>
              <w:jc w:val="center"/>
              <w:rPr>
                <w:rFonts w:asciiTheme="minorEastAsia" w:hAnsiTheme="minorEastAsia" w:cstheme="minorEastAsia"/>
                <w:sz w:val="24"/>
              </w:rPr>
            </w:pPr>
            <w:r>
              <w:rPr>
                <w:rFonts w:hint="eastAsia" w:asciiTheme="minorEastAsia" w:hAnsiTheme="minorEastAsia" w:cstheme="minorEastAsia"/>
                <w:sz w:val="24"/>
              </w:rPr>
              <w:t>4</w:t>
            </w:r>
          </w:p>
        </w:tc>
        <w:tc>
          <w:tcPr>
            <w:tcW w:w="808" w:type="dxa"/>
            <w:tcBorders>
              <w:top w:val="single" w:color="auto" w:sz="4" w:space="0"/>
              <w:left w:val="nil"/>
              <w:bottom w:val="single" w:color="auto" w:sz="4" w:space="0"/>
              <w:right w:val="single" w:color="auto" w:sz="4" w:space="0"/>
            </w:tcBorders>
            <w:vAlign w:val="center"/>
          </w:tcPr>
          <w:p>
            <w:pPr>
              <w:autoSpaceDE w:val="0"/>
              <w:snapToGrid w:val="0"/>
              <w:spacing w:line="288" w:lineRule="auto"/>
              <w:jc w:val="center"/>
              <w:rPr>
                <w:rFonts w:asciiTheme="minorEastAsia" w:hAnsiTheme="minorEastAsia" w:cstheme="minorEastAsia"/>
                <w:sz w:val="24"/>
              </w:rPr>
            </w:pPr>
          </w:p>
        </w:tc>
      </w:tr>
      <w:tr>
        <w:tblPrEx>
          <w:tblCellMar>
            <w:top w:w="0" w:type="dxa"/>
            <w:left w:w="108" w:type="dxa"/>
            <w:bottom w:w="0" w:type="dxa"/>
            <w:right w:w="108" w:type="dxa"/>
          </w:tblCellMar>
        </w:tblPrEx>
        <w:trPr>
          <w:trHeight w:val="23" w:hRule="atLeast"/>
        </w:trPr>
        <w:tc>
          <w:tcPr>
            <w:tcW w:w="664" w:type="dxa"/>
            <w:tcBorders>
              <w:top w:val="single" w:color="auto" w:sz="4" w:space="0"/>
              <w:left w:val="single" w:color="auto" w:sz="4" w:space="0"/>
              <w:bottom w:val="single" w:color="auto" w:sz="4" w:space="0"/>
              <w:right w:val="single" w:color="auto" w:sz="4" w:space="0"/>
            </w:tcBorders>
            <w:vAlign w:val="center"/>
          </w:tcPr>
          <w:p>
            <w:pPr>
              <w:autoSpaceDE w:val="0"/>
              <w:snapToGrid w:val="0"/>
              <w:spacing w:line="288" w:lineRule="auto"/>
              <w:rPr>
                <w:rFonts w:asciiTheme="minorEastAsia" w:hAnsiTheme="minorEastAsia" w:cstheme="minorEastAsia"/>
                <w:sz w:val="24"/>
              </w:rPr>
            </w:pPr>
            <w:r>
              <w:rPr>
                <w:rFonts w:hint="eastAsia" w:asciiTheme="minorEastAsia" w:hAnsiTheme="minorEastAsia" w:cstheme="minorEastAsia"/>
                <w:sz w:val="24"/>
              </w:rPr>
              <w:t>3</w:t>
            </w:r>
          </w:p>
        </w:tc>
        <w:tc>
          <w:tcPr>
            <w:tcW w:w="888" w:type="dxa"/>
            <w:tcBorders>
              <w:top w:val="single" w:color="auto" w:sz="4" w:space="0"/>
              <w:left w:val="nil"/>
              <w:bottom w:val="single" w:color="auto" w:sz="4" w:space="0"/>
              <w:right w:val="single" w:color="auto" w:sz="4" w:space="0"/>
            </w:tcBorders>
            <w:vAlign w:val="center"/>
          </w:tcPr>
          <w:p>
            <w:pPr>
              <w:autoSpaceDE w:val="0"/>
              <w:snapToGrid w:val="0"/>
              <w:spacing w:line="288" w:lineRule="auto"/>
              <w:rPr>
                <w:rFonts w:asciiTheme="minorEastAsia" w:hAnsiTheme="minorEastAsia" w:cstheme="minorEastAsia"/>
                <w:sz w:val="24"/>
              </w:rPr>
            </w:pPr>
            <w:r>
              <w:rPr>
                <w:rFonts w:hint="eastAsia" w:asciiTheme="minorEastAsia" w:hAnsiTheme="minorEastAsia" w:cstheme="minorEastAsia"/>
                <w:sz w:val="24"/>
              </w:rPr>
              <w:t>控水级联器</w:t>
            </w:r>
          </w:p>
        </w:tc>
        <w:tc>
          <w:tcPr>
            <w:tcW w:w="6519" w:type="dxa"/>
            <w:tcBorders>
              <w:top w:val="single" w:color="auto" w:sz="4" w:space="0"/>
              <w:left w:val="nil"/>
              <w:bottom w:val="single" w:color="auto" w:sz="4" w:space="0"/>
              <w:right w:val="single" w:color="auto" w:sz="4" w:space="0"/>
            </w:tcBorders>
          </w:tcPr>
          <w:p>
            <w:pPr>
              <w:pStyle w:val="31"/>
              <w:adjustRightInd w:val="0"/>
              <w:snapToGrid w:val="0"/>
              <w:spacing w:line="288" w:lineRule="auto"/>
              <w:rPr>
                <w:rFonts w:asciiTheme="minorEastAsia" w:hAnsiTheme="minorEastAsia" w:eastAsiaTheme="minorEastAsia" w:cstheme="minorEastAsia"/>
                <w:sz w:val="24"/>
                <w:lang w:val="en-US" w:eastAsia="zh-CN"/>
              </w:rPr>
            </w:pPr>
            <w:r>
              <w:rPr>
                <w:rFonts w:hint="eastAsia" w:asciiTheme="minorEastAsia" w:hAnsiTheme="minorEastAsia" w:eastAsiaTheme="minorEastAsia" w:cstheme="minorEastAsia"/>
                <w:sz w:val="24"/>
                <w:lang w:val="en-US" w:eastAsia="zh-CN"/>
              </w:rPr>
              <w:t>智能级联器的主要作用是通讯隔离、提高通讯带载能力，判定通讯线的工作状态，为控水器提供低压安全直流电源。智能级联器的通讯输入和通讯输出均是RS-485，级联器的电源输入是AC220V交流，输出是DC12V 2A隔离直流。</w:t>
            </w:r>
          </w:p>
          <w:p>
            <w:pPr>
              <w:pStyle w:val="31"/>
              <w:adjustRightInd w:val="0"/>
              <w:snapToGrid w:val="0"/>
              <w:spacing w:line="288" w:lineRule="auto"/>
              <w:rPr>
                <w:rFonts w:asciiTheme="minorEastAsia" w:hAnsiTheme="minorEastAsia" w:eastAsiaTheme="minorEastAsia" w:cstheme="minorEastAsia"/>
                <w:sz w:val="24"/>
                <w:lang w:val="en-US" w:eastAsia="zh-CN"/>
              </w:rPr>
            </w:pPr>
            <w:r>
              <w:rPr>
                <w:rFonts w:hint="eastAsia" w:asciiTheme="minorEastAsia" w:hAnsiTheme="minorEastAsia" w:eastAsiaTheme="minorEastAsia" w:cstheme="minorEastAsia"/>
                <w:sz w:val="24"/>
                <w:lang w:val="en-US" w:eastAsia="zh-CN"/>
              </w:rPr>
              <w:t>与我校现有一卡通水控系统实现对接，支持我校现有校园卡、二维码等数据正常使用。</w:t>
            </w:r>
          </w:p>
          <w:p>
            <w:pPr>
              <w:pStyle w:val="31"/>
              <w:adjustRightInd w:val="0"/>
              <w:snapToGrid w:val="0"/>
              <w:spacing w:line="288" w:lineRule="auto"/>
              <w:rPr>
                <w:rFonts w:asciiTheme="minorEastAsia" w:hAnsiTheme="minorEastAsia" w:eastAsiaTheme="minorEastAsia" w:cstheme="minorEastAsia"/>
                <w:sz w:val="24"/>
                <w:lang w:val="en-US" w:eastAsia="zh-CN"/>
              </w:rPr>
            </w:pPr>
            <w:r>
              <w:rPr>
                <w:rFonts w:hint="eastAsia" w:asciiTheme="minorEastAsia" w:hAnsiTheme="minorEastAsia" w:eastAsiaTheme="minorEastAsia" w:cstheme="minorEastAsia"/>
                <w:sz w:val="24"/>
                <w:lang w:val="en-US" w:eastAsia="zh-CN"/>
              </w:rPr>
              <w:t>提供所投设备设备检测报告。</w:t>
            </w:r>
          </w:p>
        </w:tc>
        <w:tc>
          <w:tcPr>
            <w:tcW w:w="1448" w:type="dxa"/>
            <w:tcBorders>
              <w:top w:val="single" w:color="auto" w:sz="4" w:space="0"/>
              <w:left w:val="nil"/>
              <w:bottom w:val="single" w:color="auto" w:sz="4" w:space="0"/>
              <w:right w:val="single" w:color="auto" w:sz="4" w:space="0"/>
            </w:tcBorders>
            <w:vAlign w:val="center"/>
          </w:tcPr>
          <w:p>
            <w:pPr>
              <w:autoSpaceDE w:val="0"/>
              <w:snapToGrid w:val="0"/>
              <w:spacing w:line="288" w:lineRule="auto"/>
              <w:jc w:val="center"/>
              <w:rPr>
                <w:rFonts w:asciiTheme="minorEastAsia" w:hAnsiTheme="minorEastAsia" w:cstheme="minorEastAsia"/>
                <w:sz w:val="24"/>
              </w:rPr>
            </w:pPr>
            <w:r>
              <w:rPr>
                <w:rFonts w:hint="eastAsia" w:asciiTheme="minorEastAsia" w:hAnsiTheme="minorEastAsia" w:cstheme="minorEastAsia"/>
                <w:sz w:val="24"/>
              </w:rPr>
              <w:t>8</w:t>
            </w:r>
          </w:p>
        </w:tc>
        <w:tc>
          <w:tcPr>
            <w:tcW w:w="808" w:type="dxa"/>
            <w:tcBorders>
              <w:top w:val="single" w:color="auto" w:sz="4" w:space="0"/>
              <w:left w:val="nil"/>
              <w:bottom w:val="single" w:color="auto" w:sz="4" w:space="0"/>
              <w:right w:val="single" w:color="auto" w:sz="4" w:space="0"/>
            </w:tcBorders>
            <w:vAlign w:val="center"/>
          </w:tcPr>
          <w:p>
            <w:pPr>
              <w:autoSpaceDE w:val="0"/>
              <w:snapToGrid w:val="0"/>
              <w:spacing w:line="288" w:lineRule="auto"/>
              <w:jc w:val="center"/>
              <w:rPr>
                <w:rFonts w:asciiTheme="minorEastAsia" w:hAnsiTheme="minorEastAsia" w:cstheme="minorEastAsia"/>
                <w:sz w:val="24"/>
              </w:rPr>
            </w:pPr>
          </w:p>
        </w:tc>
      </w:tr>
      <w:tr>
        <w:tblPrEx>
          <w:tblCellMar>
            <w:top w:w="0" w:type="dxa"/>
            <w:left w:w="108" w:type="dxa"/>
            <w:bottom w:w="0" w:type="dxa"/>
            <w:right w:w="108" w:type="dxa"/>
          </w:tblCellMar>
        </w:tblPrEx>
        <w:trPr>
          <w:trHeight w:val="23" w:hRule="atLeast"/>
        </w:trPr>
        <w:tc>
          <w:tcPr>
            <w:tcW w:w="664" w:type="dxa"/>
            <w:tcBorders>
              <w:top w:val="single" w:color="auto" w:sz="4" w:space="0"/>
              <w:left w:val="single" w:color="auto" w:sz="4" w:space="0"/>
              <w:bottom w:val="single" w:color="auto" w:sz="4" w:space="0"/>
              <w:right w:val="single" w:color="auto" w:sz="4" w:space="0"/>
            </w:tcBorders>
            <w:vAlign w:val="center"/>
          </w:tcPr>
          <w:p>
            <w:pPr>
              <w:autoSpaceDE w:val="0"/>
              <w:snapToGrid w:val="0"/>
              <w:spacing w:line="288" w:lineRule="auto"/>
              <w:rPr>
                <w:rFonts w:asciiTheme="minorEastAsia" w:hAnsiTheme="minorEastAsia" w:cstheme="minorEastAsia"/>
                <w:sz w:val="24"/>
              </w:rPr>
            </w:pPr>
            <w:r>
              <w:rPr>
                <w:rFonts w:hint="eastAsia" w:asciiTheme="minorEastAsia" w:hAnsiTheme="minorEastAsia" w:cstheme="minorEastAsia"/>
                <w:sz w:val="24"/>
              </w:rPr>
              <w:t>4</w:t>
            </w:r>
          </w:p>
        </w:tc>
        <w:tc>
          <w:tcPr>
            <w:tcW w:w="888" w:type="dxa"/>
            <w:tcBorders>
              <w:top w:val="single" w:color="auto" w:sz="4" w:space="0"/>
              <w:left w:val="nil"/>
              <w:bottom w:val="single" w:color="auto" w:sz="4" w:space="0"/>
              <w:right w:val="single" w:color="auto" w:sz="4" w:space="0"/>
            </w:tcBorders>
            <w:vAlign w:val="center"/>
          </w:tcPr>
          <w:p>
            <w:pPr>
              <w:autoSpaceDE w:val="0"/>
              <w:snapToGrid w:val="0"/>
              <w:spacing w:line="288" w:lineRule="auto"/>
              <w:rPr>
                <w:rFonts w:asciiTheme="minorEastAsia" w:hAnsiTheme="minorEastAsia" w:cstheme="minorEastAsia"/>
                <w:sz w:val="24"/>
              </w:rPr>
            </w:pPr>
            <w:r>
              <w:rPr>
                <w:rFonts w:hint="eastAsia" w:asciiTheme="minorEastAsia" w:hAnsiTheme="minorEastAsia" w:cstheme="minorEastAsia"/>
                <w:sz w:val="24"/>
              </w:rPr>
              <w:t>控水器</w:t>
            </w:r>
          </w:p>
        </w:tc>
        <w:tc>
          <w:tcPr>
            <w:tcW w:w="6519" w:type="dxa"/>
            <w:tcBorders>
              <w:top w:val="single" w:color="auto" w:sz="4" w:space="0"/>
              <w:left w:val="nil"/>
              <w:bottom w:val="single" w:color="auto" w:sz="4" w:space="0"/>
              <w:right w:val="single" w:color="auto" w:sz="4" w:space="0"/>
            </w:tcBorders>
          </w:tcPr>
          <w:p>
            <w:pPr>
              <w:pStyle w:val="31"/>
              <w:adjustRightInd w:val="0"/>
              <w:snapToGrid w:val="0"/>
              <w:spacing w:line="288"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支持13.56MHz的M1卡和CPU卡；</w:t>
            </w:r>
          </w:p>
          <w:p>
            <w:pPr>
              <w:pStyle w:val="31"/>
              <w:adjustRightInd w:val="0"/>
              <w:snapToGrid w:val="0"/>
              <w:spacing w:line="288"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在线交易模式下支持扫描二维码消费和按键输入预约码消费;</w:t>
            </w:r>
          </w:p>
          <w:p>
            <w:pPr>
              <w:pStyle w:val="31"/>
              <w:adjustRightInd w:val="0"/>
              <w:snapToGrid w:val="0"/>
              <w:spacing w:line="288"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支持电动阀、电磁阀；</w:t>
            </w:r>
          </w:p>
          <w:p>
            <w:pPr>
              <w:pStyle w:val="31"/>
              <w:adjustRightInd w:val="0"/>
              <w:snapToGrid w:val="0"/>
              <w:spacing w:line="288"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支持普通脉冲水表和高频率脉冲流量计；</w:t>
            </w:r>
          </w:p>
          <w:p>
            <w:pPr>
              <w:pStyle w:val="31"/>
              <w:adjustRightInd w:val="0"/>
              <w:snapToGrid w:val="0"/>
              <w:spacing w:line="288"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存储脱机交易流水；</w:t>
            </w:r>
          </w:p>
          <w:p>
            <w:pPr>
              <w:pStyle w:val="31"/>
              <w:adjustRightInd w:val="0"/>
              <w:snapToGrid w:val="0"/>
              <w:spacing w:line="288"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带密码按键输入；</w:t>
            </w:r>
          </w:p>
          <w:p>
            <w:pPr>
              <w:pStyle w:val="31"/>
              <w:adjustRightInd w:val="0"/>
              <w:snapToGrid w:val="0"/>
              <w:spacing w:line="288"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控水器显示二维码；</w:t>
            </w:r>
          </w:p>
          <w:p>
            <w:pPr>
              <w:pStyle w:val="31"/>
              <w:adjustRightInd w:val="0"/>
              <w:snapToGrid w:val="0"/>
              <w:spacing w:line="288"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采用彩色液晶显示；</w:t>
            </w:r>
          </w:p>
          <w:p>
            <w:pPr>
              <w:pStyle w:val="31"/>
              <w:adjustRightInd w:val="0"/>
              <w:snapToGrid w:val="0"/>
              <w:spacing w:line="288"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断电数据保护；</w:t>
            </w:r>
          </w:p>
          <w:p>
            <w:pPr>
              <w:pStyle w:val="31"/>
              <w:adjustRightInd w:val="0"/>
              <w:snapToGrid w:val="0"/>
              <w:spacing w:line="288"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支持置号卡使用；</w:t>
            </w:r>
          </w:p>
          <w:p>
            <w:pPr>
              <w:pStyle w:val="31"/>
              <w:adjustRightInd w:val="0"/>
              <w:snapToGrid w:val="0"/>
              <w:spacing w:line="288"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在线交易模式下消费方式为一次刷卡模式，刷卡开阀，卡拿开关阀消费结束；</w:t>
            </w:r>
          </w:p>
          <w:p>
            <w:pPr>
              <w:pStyle w:val="31"/>
              <w:adjustRightInd w:val="0"/>
              <w:snapToGrid w:val="0"/>
              <w:spacing w:line="288"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支持专项补助钱包消费；</w:t>
            </w:r>
          </w:p>
          <w:p>
            <w:pPr>
              <w:pStyle w:val="31"/>
              <w:adjustRightInd w:val="0"/>
              <w:snapToGrid w:val="0"/>
              <w:spacing w:line="288"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RS-485通讯，无线（2.4G Wi-Fi）通讯；</w:t>
            </w:r>
          </w:p>
          <w:p>
            <w:pPr>
              <w:pStyle w:val="31"/>
              <w:adjustRightInd w:val="0"/>
              <w:snapToGrid w:val="0"/>
              <w:spacing w:line="288" w:lineRule="auto"/>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支持PSAM卡（3.3V）；</w:t>
            </w:r>
          </w:p>
          <w:p>
            <w:pPr>
              <w:pStyle w:val="31"/>
              <w:adjustRightInd w:val="0"/>
              <w:snapToGrid w:val="0"/>
              <w:spacing w:line="288" w:lineRule="auto"/>
              <w:rPr>
                <w:rFonts w:asciiTheme="minorEastAsia" w:hAnsiTheme="minorEastAsia" w:eastAsiaTheme="minorEastAsia" w:cstheme="minorEastAsia"/>
                <w:sz w:val="24"/>
                <w:lang w:val="en-US" w:eastAsia="zh-CN"/>
              </w:rPr>
            </w:pPr>
            <w:r>
              <w:rPr>
                <w:rFonts w:hint="eastAsia" w:asciiTheme="minorEastAsia" w:hAnsiTheme="minorEastAsia" w:eastAsiaTheme="minorEastAsia" w:cstheme="minorEastAsia"/>
                <w:sz w:val="24"/>
                <w:lang w:val="en-US" w:eastAsia="zh-CN"/>
              </w:rPr>
              <w:t>与我校现有一卡通水控系统实现对接，支持我校现有校园卡、二维码等数据正常使用。</w:t>
            </w:r>
          </w:p>
          <w:p>
            <w:pPr>
              <w:pStyle w:val="31"/>
              <w:adjustRightInd w:val="0"/>
              <w:snapToGrid w:val="0"/>
              <w:spacing w:line="288" w:lineRule="auto"/>
              <w:rPr>
                <w:rFonts w:asciiTheme="minorEastAsia" w:hAnsiTheme="minorEastAsia" w:eastAsiaTheme="minorEastAsia" w:cstheme="minorEastAsia"/>
                <w:sz w:val="24"/>
                <w:lang w:val="en-US" w:eastAsia="zh-CN"/>
              </w:rPr>
            </w:pPr>
            <w:r>
              <w:rPr>
                <w:rFonts w:hint="eastAsia" w:asciiTheme="minorEastAsia" w:hAnsiTheme="minorEastAsia" w:eastAsiaTheme="minorEastAsia" w:cstheme="minorEastAsia"/>
                <w:sz w:val="24"/>
                <w:lang w:val="en-US" w:eastAsia="zh-CN"/>
              </w:rPr>
              <w:t>提供CQC认证证书</w:t>
            </w:r>
          </w:p>
          <w:p>
            <w:pPr>
              <w:pStyle w:val="31"/>
              <w:adjustRightInd w:val="0"/>
              <w:snapToGrid w:val="0"/>
              <w:spacing w:line="288" w:lineRule="auto"/>
              <w:rPr>
                <w:rFonts w:asciiTheme="minorEastAsia" w:hAnsiTheme="minorEastAsia" w:eastAsiaTheme="minorEastAsia" w:cstheme="minorEastAsia"/>
                <w:sz w:val="24"/>
                <w:lang w:val="en-US" w:eastAsia="zh-CN"/>
              </w:rPr>
            </w:pPr>
            <w:r>
              <w:rPr>
                <w:rFonts w:hint="eastAsia" w:asciiTheme="minorEastAsia" w:hAnsiTheme="minorEastAsia" w:eastAsiaTheme="minorEastAsia" w:cstheme="minorEastAsia"/>
                <w:sz w:val="24"/>
                <w:lang w:val="en-US" w:eastAsia="zh-CN"/>
              </w:rPr>
              <w:t>提供设备检测报告。</w:t>
            </w:r>
          </w:p>
        </w:tc>
        <w:tc>
          <w:tcPr>
            <w:tcW w:w="1448" w:type="dxa"/>
            <w:tcBorders>
              <w:top w:val="single" w:color="auto" w:sz="4" w:space="0"/>
              <w:left w:val="nil"/>
              <w:bottom w:val="single" w:color="auto" w:sz="4" w:space="0"/>
              <w:right w:val="single" w:color="auto" w:sz="4" w:space="0"/>
            </w:tcBorders>
            <w:vAlign w:val="center"/>
          </w:tcPr>
          <w:p>
            <w:pPr>
              <w:autoSpaceDE w:val="0"/>
              <w:snapToGrid w:val="0"/>
              <w:spacing w:line="288" w:lineRule="auto"/>
              <w:jc w:val="center"/>
              <w:rPr>
                <w:rFonts w:asciiTheme="minorEastAsia" w:hAnsiTheme="minorEastAsia" w:cstheme="minorEastAsia"/>
                <w:sz w:val="24"/>
              </w:rPr>
            </w:pPr>
            <w:r>
              <w:rPr>
                <w:rFonts w:hint="eastAsia" w:asciiTheme="minorEastAsia" w:hAnsiTheme="minorEastAsia" w:cstheme="minorEastAsia"/>
                <w:sz w:val="24"/>
              </w:rPr>
              <w:t>36</w:t>
            </w:r>
          </w:p>
        </w:tc>
        <w:tc>
          <w:tcPr>
            <w:tcW w:w="808" w:type="dxa"/>
            <w:tcBorders>
              <w:top w:val="single" w:color="auto" w:sz="4" w:space="0"/>
              <w:left w:val="nil"/>
              <w:bottom w:val="single" w:color="auto" w:sz="4" w:space="0"/>
              <w:right w:val="single" w:color="auto" w:sz="4" w:space="0"/>
            </w:tcBorders>
            <w:vAlign w:val="center"/>
          </w:tcPr>
          <w:p>
            <w:pPr>
              <w:autoSpaceDE w:val="0"/>
              <w:snapToGrid w:val="0"/>
              <w:spacing w:line="288" w:lineRule="auto"/>
              <w:jc w:val="center"/>
              <w:rPr>
                <w:rFonts w:asciiTheme="minorEastAsia" w:hAnsiTheme="minorEastAsia" w:cstheme="minorEastAsia"/>
                <w:sz w:val="24"/>
              </w:rPr>
            </w:pPr>
          </w:p>
        </w:tc>
      </w:tr>
      <w:tr>
        <w:tblPrEx>
          <w:tblCellMar>
            <w:top w:w="0" w:type="dxa"/>
            <w:left w:w="108" w:type="dxa"/>
            <w:bottom w:w="0" w:type="dxa"/>
            <w:right w:w="108" w:type="dxa"/>
          </w:tblCellMar>
        </w:tblPrEx>
        <w:trPr>
          <w:trHeight w:val="23" w:hRule="atLeast"/>
        </w:trPr>
        <w:tc>
          <w:tcPr>
            <w:tcW w:w="664" w:type="dxa"/>
            <w:tcBorders>
              <w:top w:val="single" w:color="auto" w:sz="4" w:space="0"/>
              <w:left w:val="single" w:color="auto" w:sz="4" w:space="0"/>
              <w:bottom w:val="single" w:color="auto" w:sz="4" w:space="0"/>
              <w:right w:val="single" w:color="auto" w:sz="4" w:space="0"/>
            </w:tcBorders>
            <w:vAlign w:val="center"/>
          </w:tcPr>
          <w:p>
            <w:pPr>
              <w:autoSpaceDE w:val="0"/>
              <w:snapToGrid w:val="0"/>
              <w:spacing w:line="288" w:lineRule="auto"/>
              <w:rPr>
                <w:rFonts w:asciiTheme="minorEastAsia" w:hAnsiTheme="minorEastAsia" w:cstheme="minorEastAsia"/>
                <w:sz w:val="24"/>
              </w:rPr>
            </w:pPr>
            <w:r>
              <w:rPr>
                <w:rFonts w:hint="eastAsia" w:asciiTheme="minorEastAsia" w:hAnsiTheme="minorEastAsia" w:cstheme="minorEastAsia"/>
                <w:sz w:val="24"/>
              </w:rPr>
              <w:t>5</w:t>
            </w:r>
          </w:p>
        </w:tc>
        <w:tc>
          <w:tcPr>
            <w:tcW w:w="888" w:type="dxa"/>
            <w:tcBorders>
              <w:top w:val="single" w:color="auto" w:sz="4" w:space="0"/>
              <w:left w:val="nil"/>
              <w:bottom w:val="single" w:color="auto" w:sz="4" w:space="0"/>
              <w:right w:val="single" w:color="auto" w:sz="4" w:space="0"/>
            </w:tcBorders>
            <w:vAlign w:val="center"/>
          </w:tcPr>
          <w:p>
            <w:pPr>
              <w:autoSpaceDE w:val="0"/>
              <w:snapToGrid w:val="0"/>
              <w:spacing w:line="288" w:lineRule="auto"/>
              <w:rPr>
                <w:rFonts w:asciiTheme="minorEastAsia" w:hAnsiTheme="minorEastAsia" w:cstheme="minorEastAsia"/>
                <w:sz w:val="24"/>
              </w:rPr>
            </w:pPr>
            <w:r>
              <w:rPr>
                <w:rFonts w:hint="eastAsia" w:asciiTheme="minorEastAsia" w:hAnsiTheme="minorEastAsia" w:cstheme="minorEastAsia"/>
                <w:sz w:val="24"/>
              </w:rPr>
              <w:t>电磁阀</w:t>
            </w:r>
          </w:p>
        </w:tc>
        <w:tc>
          <w:tcPr>
            <w:tcW w:w="6519" w:type="dxa"/>
            <w:tcBorders>
              <w:top w:val="single" w:color="auto" w:sz="4" w:space="0"/>
              <w:left w:val="nil"/>
              <w:bottom w:val="single" w:color="auto" w:sz="4" w:space="0"/>
              <w:right w:val="single" w:color="auto" w:sz="4" w:space="0"/>
            </w:tcBorders>
          </w:tcPr>
          <w:p>
            <w:pPr>
              <w:pStyle w:val="31"/>
              <w:adjustRightInd w:val="0"/>
              <w:snapToGrid w:val="0"/>
              <w:spacing w:line="288" w:lineRule="auto"/>
              <w:rPr>
                <w:rFonts w:asciiTheme="minorEastAsia" w:hAnsiTheme="minorEastAsia" w:eastAsiaTheme="minorEastAsia" w:cstheme="minorEastAsia"/>
                <w:sz w:val="24"/>
                <w:lang w:val="en-US" w:eastAsia="zh-CN"/>
              </w:rPr>
            </w:pPr>
            <w:r>
              <w:rPr>
                <w:rFonts w:hint="eastAsia" w:asciiTheme="minorEastAsia" w:hAnsiTheme="minorEastAsia" w:eastAsiaTheme="minorEastAsia" w:cstheme="minorEastAsia"/>
                <w:sz w:val="24"/>
                <w:lang w:val="en-US" w:eastAsia="zh-CN"/>
              </w:rPr>
              <w:t>使用寿命:≥10万次；</w:t>
            </w:r>
          </w:p>
          <w:p>
            <w:pPr>
              <w:pStyle w:val="31"/>
              <w:adjustRightInd w:val="0"/>
              <w:snapToGrid w:val="0"/>
              <w:spacing w:line="288" w:lineRule="auto"/>
              <w:rPr>
                <w:rFonts w:asciiTheme="minorEastAsia" w:hAnsiTheme="minorEastAsia" w:eastAsiaTheme="minorEastAsia" w:cstheme="minorEastAsia"/>
                <w:sz w:val="24"/>
                <w:lang w:val="en-US" w:eastAsia="zh-CN"/>
              </w:rPr>
            </w:pPr>
            <w:r>
              <w:rPr>
                <w:rFonts w:hint="eastAsia" w:asciiTheme="minorEastAsia" w:hAnsiTheme="minorEastAsia" w:eastAsiaTheme="minorEastAsia" w:cstheme="minorEastAsia"/>
                <w:sz w:val="24"/>
                <w:lang w:val="en-US" w:eastAsia="zh-CN"/>
              </w:rPr>
              <w:t>分界流量:≥0.15M3/H，误差在正负2%；最小流量:0.06 M3/H；</w:t>
            </w:r>
          </w:p>
          <w:p>
            <w:pPr>
              <w:pStyle w:val="31"/>
              <w:adjustRightInd w:val="0"/>
              <w:snapToGrid w:val="0"/>
              <w:spacing w:line="288" w:lineRule="auto"/>
              <w:rPr>
                <w:rFonts w:asciiTheme="minorEastAsia" w:hAnsiTheme="minorEastAsia" w:eastAsiaTheme="minorEastAsia" w:cstheme="minorEastAsia"/>
                <w:sz w:val="24"/>
                <w:lang w:val="en-US" w:eastAsia="zh-CN"/>
              </w:rPr>
            </w:pPr>
            <w:r>
              <w:rPr>
                <w:rFonts w:hint="eastAsia" w:asciiTheme="minorEastAsia" w:hAnsiTheme="minorEastAsia" w:eastAsiaTheme="minorEastAsia" w:cstheme="minorEastAsia"/>
                <w:sz w:val="24"/>
                <w:lang w:val="en-US" w:eastAsia="zh-CN"/>
              </w:rPr>
              <w:t>脉冲常数：≥29个脉冲发讯号/每升水；</w:t>
            </w:r>
          </w:p>
          <w:p>
            <w:pPr>
              <w:pStyle w:val="31"/>
              <w:adjustRightInd w:val="0"/>
              <w:snapToGrid w:val="0"/>
              <w:spacing w:line="288" w:lineRule="auto"/>
              <w:rPr>
                <w:rFonts w:asciiTheme="minorEastAsia" w:hAnsiTheme="minorEastAsia" w:eastAsiaTheme="minorEastAsia" w:cstheme="minorEastAsia"/>
                <w:sz w:val="24"/>
                <w:lang w:val="en-US" w:eastAsia="zh-CN"/>
              </w:rPr>
            </w:pPr>
            <w:r>
              <w:rPr>
                <w:rFonts w:hint="eastAsia" w:asciiTheme="minorEastAsia" w:hAnsiTheme="minorEastAsia" w:eastAsiaTheme="minorEastAsia" w:cstheme="minorEastAsia"/>
                <w:sz w:val="24"/>
                <w:lang w:val="en-US" w:eastAsia="zh-CN"/>
              </w:rPr>
              <w:t>浮动密封结构、不易垢死；</w:t>
            </w:r>
          </w:p>
          <w:p>
            <w:pPr>
              <w:pStyle w:val="31"/>
              <w:adjustRightInd w:val="0"/>
              <w:snapToGrid w:val="0"/>
              <w:spacing w:line="288" w:lineRule="auto"/>
              <w:rPr>
                <w:rFonts w:asciiTheme="minorEastAsia" w:hAnsiTheme="minorEastAsia" w:eastAsiaTheme="minorEastAsia" w:cstheme="minorEastAsia"/>
                <w:sz w:val="24"/>
                <w:lang w:val="en-US" w:eastAsia="zh-CN"/>
              </w:rPr>
            </w:pPr>
            <w:r>
              <w:rPr>
                <w:rFonts w:hint="eastAsia" w:asciiTheme="minorEastAsia" w:hAnsiTheme="minorEastAsia" w:eastAsiaTheme="minorEastAsia" w:cstheme="minorEastAsia"/>
                <w:sz w:val="24"/>
                <w:lang w:val="en-US" w:eastAsia="zh-CN"/>
              </w:rPr>
              <w:t>阀门材质:黄铜</w:t>
            </w:r>
          </w:p>
          <w:p>
            <w:pPr>
              <w:pStyle w:val="31"/>
              <w:adjustRightInd w:val="0"/>
              <w:snapToGrid w:val="0"/>
              <w:spacing w:line="288" w:lineRule="auto"/>
              <w:rPr>
                <w:rFonts w:asciiTheme="minorEastAsia" w:hAnsiTheme="minorEastAsia" w:eastAsiaTheme="minorEastAsia" w:cstheme="minorEastAsia"/>
                <w:sz w:val="24"/>
                <w:lang w:val="en-US" w:eastAsia="zh-CN"/>
              </w:rPr>
            </w:pPr>
            <w:r>
              <w:rPr>
                <w:rFonts w:hint="eastAsia" w:asciiTheme="minorEastAsia" w:hAnsiTheme="minorEastAsia" w:eastAsiaTheme="minorEastAsia" w:cstheme="minorEastAsia"/>
                <w:sz w:val="24"/>
                <w:lang w:val="en-US" w:eastAsia="zh-CN"/>
              </w:rPr>
              <w:t>工作压力:小于1 Mpa</w:t>
            </w:r>
          </w:p>
          <w:p>
            <w:pPr>
              <w:pStyle w:val="31"/>
              <w:adjustRightInd w:val="0"/>
              <w:snapToGrid w:val="0"/>
              <w:spacing w:line="288" w:lineRule="auto"/>
              <w:rPr>
                <w:rFonts w:asciiTheme="minorEastAsia" w:hAnsiTheme="minorEastAsia" w:eastAsiaTheme="minorEastAsia" w:cstheme="minorEastAsia"/>
                <w:sz w:val="24"/>
                <w:lang w:val="en-US" w:eastAsia="zh-CN"/>
              </w:rPr>
            </w:pPr>
            <w:r>
              <w:rPr>
                <w:rFonts w:hint="eastAsia" w:asciiTheme="minorEastAsia" w:hAnsiTheme="minorEastAsia" w:eastAsiaTheme="minorEastAsia" w:cstheme="minorEastAsia"/>
                <w:sz w:val="24"/>
                <w:lang w:val="en-US" w:eastAsia="zh-CN"/>
              </w:rPr>
              <w:t>工作温度:0~85℃</w:t>
            </w:r>
          </w:p>
          <w:p>
            <w:pPr>
              <w:pStyle w:val="31"/>
              <w:adjustRightInd w:val="0"/>
              <w:snapToGrid w:val="0"/>
              <w:spacing w:line="288" w:lineRule="auto"/>
              <w:rPr>
                <w:rFonts w:asciiTheme="minorEastAsia" w:hAnsiTheme="minorEastAsia" w:eastAsiaTheme="minorEastAsia" w:cstheme="minorEastAsia"/>
                <w:sz w:val="24"/>
                <w:lang w:val="en-US" w:eastAsia="zh-CN"/>
              </w:rPr>
            </w:pPr>
            <w:r>
              <w:rPr>
                <w:rFonts w:hint="eastAsia" w:asciiTheme="minorEastAsia" w:hAnsiTheme="minorEastAsia" w:eastAsiaTheme="minorEastAsia" w:cstheme="minorEastAsia"/>
                <w:sz w:val="24"/>
                <w:lang w:val="en-US" w:eastAsia="zh-CN"/>
              </w:rPr>
              <w:t>电源电压:</w:t>
            </w:r>
            <w:r>
              <w:rPr>
                <w:rFonts w:hint="eastAsia" w:asciiTheme="minorEastAsia" w:hAnsiTheme="minorEastAsia" w:eastAsiaTheme="minorEastAsia" w:cstheme="minorEastAsia"/>
                <w:sz w:val="24"/>
                <w:lang w:val="en-US" w:eastAsia="zh-CN"/>
              </w:rPr>
              <w:tab/>
            </w:r>
            <w:r>
              <w:rPr>
                <w:rFonts w:hint="eastAsia" w:asciiTheme="minorEastAsia" w:hAnsiTheme="minorEastAsia" w:eastAsiaTheme="minorEastAsia" w:cstheme="minorEastAsia"/>
                <w:sz w:val="24"/>
                <w:lang w:val="en-US" w:eastAsia="zh-CN"/>
              </w:rPr>
              <w:t>DC 3.6~ 6V</w:t>
            </w:r>
          </w:p>
          <w:p>
            <w:pPr>
              <w:pStyle w:val="31"/>
              <w:adjustRightInd w:val="0"/>
              <w:snapToGrid w:val="0"/>
              <w:spacing w:line="288" w:lineRule="auto"/>
              <w:rPr>
                <w:rFonts w:asciiTheme="minorEastAsia" w:hAnsiTheme="minorEastAsia" w:eastAsiaTheme="minorEastAsia" w:cstheme="minorEastAsia"/>
                <w:sz w:val="24"/>
                <w:lang w:val="en-US" w:eastAsia="zh-CN"/>
              </w:rPr>
            </w:pPr>
            <w:r>
              <w:rPr>
                <w:rFonts w:hint="eastAsia" w:asciiTheme="minorEastAsia" w:hAnsiTheme="minorEastAsia" w:eastAsiaTheme="minorEastAsia" w:cstheme="minorEastAsia"/>
                <w:sz w:val="24"/>
                <w:lang w:val="en-US" w:eastAsia="zh-CN"/>
              </w:rPr>
              <w:t>工作电流:小于110mA</w:t>
            </w:r>
          </w:p>
          <w:p>
            <w:pPr>
              <w:pStyle w:val="31"/>
              <w:adjustRightInd w:val="0"/>
              <w:snapToGrid w:val="0"/>
              <w:spacing w:line="288" w:lineRule="auto"/>
              <w:rPr>
                <w:rFonts w:asciiTheme="minorEastAsia" w:hAnsiTheme="minorEastAsia" w:eastAsiaTheme="minorEastAsia" w:cstheme="minorEastAsia"/>
                <w:sz w:val="24"/>
                <w:lang w:val="en-US" w:eastAsia="zh-CN"/>
              </w:rPr>
            </w:pPr>
            <w:r>
              <w:rPr>
                <w:rFonts w:hint="eastAsia" w:asciiTheme="minorEastAsia" w:hAnsiTheme="minorEastAsia" w:eastAsiaTheme="minorEastAsia" w:cstheme="minorEastAsia"/>
                <w:sz w:val="24"/>
                <w:lang w:val="en-US" w:eastAsia="zh-CN"/>
              </w:rPr>
              <w:t>静态电流:小于10mA</w:t>
            </w:r>
          </w:p>
          <w:p>
            <w:pPr>
              <w:pStyle w:val="31"/>
              <w:adjustRightInd w:val="0"/>
              <w:snapToGrid w:val="0"/>
              <w:spacing w:line="288" w:lineRule="auto"/>
              <w:rPr>
                <w:rFonts w:asciiTheme="minorEastAsia" w:hAnsiTheme="minorEastAsia" w:eastAsiaTheme="minorEastAsia" w:cstheme="minorEastAsia"/>
                <w:sz w:val="24"/>
                <w:lang w:val="en-US" w:eastAsia="zh-CN"/>
              </w:rPr>
            </w:pPr>
            <w:r>
              <w:rPr>
                <w:rFonts w:hint="eastAsia" w:asciiTheme="minorEastAsia" w:hAnsiTheme="minorEastAsia" w:eastAsiaTheme="minorEastAsia" w:cstheme="minorEastAsia"/>
                <w:sz w:val="24"/>
                <w:lang w:val="en-US" w:eastAsia="zh-CN"/>
              </w:rPr>
              <w:t>动作时间:小于4 秒（单向）</w:t>
            </w:r>
          </w:p>
          <w:p>
            <w:pPr>
              <w:pStyle w:val="31"/>
              <w:adjustRightInd w:val="0"/>
              <w:snapToGrid w:val="0"/>
              <w:spacing w:line="288" w:lineRule="auto"/>
              <w:rPr>
                <w:rFonts w:asciiTheme="minorEastAsia" w:hAnsiTheme="minorEastAsia" w:eastAsiaTheme="minorEastAsia" w:cstheme="minorEastAsia"/>
                <w:sz w:val="24"/>
                <w:lang w:val="en-US" w:eastAsia="zh-CN"/>
              </w:rPr>
            </w:pPr>
            <w:r>
              <w:rPr>
                <w:rFonts w:hint="eastAsia" w:asciiTheme="minorEastAsia" w:hAnsiTheme="minorEastAsia" w:eastAsiaTheme="minorEastAsia" w:cstheme="minorEastAsia"/>
                <w:sz w:val="24"/>
                <w:lang w:val="en-US" w:eastAsia="zh-CN"/>
              </w:rPr>
              <w:t>动作方式正反向运动</w:t>
            </w:r>
          </w:p>
          <w:p>
            <w:pPr>
              <w:pStyle w:val="31"/>
              <w:adjustRightInd w:val="0"/>
              <w:snapToGrid w:val="0"/>
              <w:spacing w:line="288" w:lineRule="auto"/>
              <w:rPr>
                <w:rFonts w:asciiTheme="minorEastAsia" w:hAnsiTheme="minorEastAsia" w:eastAsiaTheme="minorEastAsia" w:cstheme="minorEastAsia"/>
                <w:sz w:val="24"/>
                <w:lang w:val="en-US" w:eastAsia="zh-CN"/>
              </w:rPr>
            </w:pPr>
            <w:r>
              <w:rPr>
                <w:rFonts w:hint="eastAsia" w:asciiTheme="minorEastAsia" w:hAnsiTheme="minorEastAsia" w:eastAsiaTheme="minorEastAsia" w:cstheme="minorEastAsia"/>
                <w:sz w:val="24"/>
                <w:lang w:val="en-US" w:eastAsia="zh-CN"/>
              </w:rPr>
              <w:t xml:space="preserve">角行程:90o </w:t>
            </w:r>
          </w:p>
          <w:p>
            <w:pPr>
              <w:pStyle w:val="31"/>
              <w:adjustRightInd w:val="0"/>
              <w:snapToGrid w:val="0"/>
              <w:spacing w:line="288" w:lineRule="auto"/>
              <w:rPr>
                <w:rFonts w:asciiTheme="minorEastAsia" w:hAnsiTheme="minorEastAsia" w:eastAsiaTheme="minorEastAsia" w:cstheme="minorEastAsia"/>
                <w:sz w:val="24"/>
                <w:lang w:val="en-US" w:eastAsia="zh-CN"/>
              </w:rPr>
            </w:pPr>
            <w:r>
              <w:rPr>
                <w:rFonts w:hint="eastAsia" w:asciiTheme="minorEastAsia" w:hAnsiTheme="minorEastAsia" w:eastAsiaTheme="minorEastAsia" w:cstheme="minorEastAsia"/>
                <w:sz w:val="24"/>
                <w:lang w:val="en-US" w:eastAsia="zh-CN"/>
              </w:rPr>
              <w:t>接口形式:两端内罗纹</w:t>
            </w:r>
          </w:p>
          <w:p>
            <w:pPr>
              <w:pStyle w:val="31"/>
              <w:adjustRightInd w:val="0"/>
              <w:snapToGrid w:val="0"/>
              <w:spacing w:line="288" w:lineRule="auto"/>
              <w:rPr>
                <w:rFonts w:asciiTheme="minorEastAsia" w:hAnsiTheme="minorEastAsia" w:eastAsiaTheme="minorEastAsia" w:cstheme="minorEastAsia"/>
                <w:sz w:val="24"/>
                <w:lang w:val="en-US" w:eastAsia="zh-CN"/>
              </w:rPr>
            </w:pPr>
            <w:r>
              <w:rPr>
                <w:rFonts w:hint="eastAsia" w:asciiTheme="minorEastAsia" w:hAnsiTheme="minorEastAsia" w:eastAsiaTheme="minorEastAsia" w:cstheme="minorEastAsia"/>
                <w:sz w:val="24"/>
                <w:lang w:val="en-US" w:eastAsia="zh-CN"/>
              </w:rPr>
              <w:t>管罗纹:G1/2  ISO7标准</w:t>
            </w:r>
          </w:p>
          <w:p>
            <w:pPr>
              <w:pStyle w:val="31"/>
              <w:adjustRightInd w:val="0"/>
              <w:snapToGrid w:val="0"/>
              <w:spacing w:line="288" w:lineRule="auto"/>
              <w:rPr>
                <w:rFonts w:asciiTheme="minorEastAsia" w:hAnsiTheme="minorEastAsia" w:eastAsiaTheme="minorEastAsia" w:cstheme="minorEastAsia"/>
                <w:sz w:val="24"/>
                <w:lang w:val="en-US" w:eastAsia="zh-CN"/>
              </w:rPr>
            </w:pPr>
            <w:r>
              <w:rPr>
                <w:rFonts w:hint="eastAsia" w:asciiTheme="minorEastAsia" w:hAnsiTheme="minorEastAsia" w:eastAsiaTheme="minorEastAsia" w:cstheme="minorEastAsia"/>
                <w:sz w:val="24"/>
                <w:lang w:val="en-US" w:eastAsia="zh-CN"/>
              </w:rPr>
              <w:t>工作介质:水</w:t>
            </w:r>
          </w:p>
          <w:p>
            <w:pPr>
              <w:pStyle w:val="31"/>
              <w:adjustRightInd w:val="0"/>
              <w:snapToGrid w:val="0"/>
              <w:spacing w:line="288" w:lineRule="auto"/>
              <w:rPr>
                <w:rFonts w:asciiTheme="minorEastAsia" w:hAnsiTheme="minorEastAsia" w:eastAsiaTheme="minorEastAsia" w:cstheme="minorEastAsia"/>
                <w:sz w:val="24"/>
                <w:lang w:val="en-US" w:eastAsia="zh-CN"/>
              </w:rPr>
            </w:pPr>
            <w:r>
              <w:rPr>
                <w:rFonts w:hint="eastAsia" w:asciiTheme="minorEastAsia" w:hAnsiTheme="minorEastAsia" w:eastAsiaTheme="minorEastAsia" w:cstheme="minorEastAsia"/>
                <w:sz w:val="24"/>
                <w:lang w:val="en-US" w:eastAsia="zh-CN"/>
              </w:rPr>
              <w:t>阀门寿命:不小于5万次</w:t>
            </w:r>
          </w:p>
          <w:p>
            <w:pPr>
              <w:pStyle w:val="31"/>
              <w:adjustRightInd w:val="0"/>
              <w:snapToGrid w:val="0"/>
              <w:spacing w:line="288" w:lineRule="auto"/>
              <w:rPr>
                <w:rFonts w:asciiTheme="minorEastAsia" w:hAnsiTheme="minorEastAsia" w:eastAsiaTheme="minorEastAsia" w:cstheme="minorEastAsia"/>
                <w:sz w:val="24"/>
                <w:lang w:val="en-US" w:eastAsia="zh-CN"/>
              </w:rPr>
            </w:pPr>
            <w:r>
              <w:rPr>
                <w:rFonts w:hint="eastAsia" w:asciiTheme="minorEastAsia" w:hAnsiTheme="minorEastAsia" w:eastAsiaTheme="minorEastAsia" w:cstheme="minorEastAsia"/>
                <w:sz w:val="24"/>
                <w:lang w:val="en-US" w:eastAsia="zh-CN"/>
              </w:rPr>
              <w:t>阀门渗漏:小于1 L/小时</w:t>
            </w:r>
          </w:p>
          <w:p>
            <w:pPr>
              <w:pStyle w:val="31"/>
              <w:adjustRightInd w:val="0"/>
              <w:snapToGrid w:val="0"/>
              <w:spacing w:line="288" w:lineRule="auto"/>
              <w:rPr>
                <w:rFonts w:asciiTheme="minorEastAsia" w:hAnsiTheme="minorEastAsia" w:eastAsiaTheme="minorEastAsia" w:cstheme="minorEastAsia"/>
                <w:sz w:val="24"/>
                <w:lang w:val="en-US" w:eastAsia="zh-CN"/>
              </w:rPr>
            </w:pPr>
            <w:r>
              <w:rPr>
                <w:rFonts w:hint="eastAsia" w:asciiTheme="minorEastAsia" w:hAnsiTheme="minorEastAsia" w:eastAsiaTheme="minorEastAsia" w:cstheme="minorEastAsia"/>
                <w:sz w:val="24"/>
                <w:lang w:val="en-US" w:eastAsia="zh-CN"/>
              </w:rPr>
              <w:t>到位检测:开关</w:t>
            </w:r>
          </w:p>
          <w:p>
            <w:pPr>
              <w:pStyle w:val="31"/>
              <w:adjustRightInd w:val="0"/>
              <w:snapToGrid w:val="0"/>
              <w:spacing w:line="288" w:lineRule="auto"/>
              <w:rPr>
                <w:rFonts w:asciiTheme="minorEastAsia" w:hAnsiTheme="minorEastAsia" w:eastAsiaTheme="minorEastAsia" w:cstheme="minorEastAsia"/>
                <w:sz w:val="24"/>
                <w:lang w:val="en-US" w:eastAsia="zh-CN"/>
              </w:rPr>
            </w:pPr>
            <w:r>
              <w:rPr>
                <w:rFonts w:hint="eastAsia" w:asciiTheme="minorEastAsia" w:hAnsiTheme="minorEastAsia" w:eastAsiaTheme="minorEastAsia" w:cstheme="minorEastAsia"/>
                <w:sz w:val="24"/>
                <w:lang w:val="en-US" w:eastAsia="zh-CN"/>
              </w:rPr>
              <w:t>检测方式:开关两位</w:t>
            </w:r>
          </w:p>
          <w:p>
            <w:pPr>
              <w:pStyle w:val="31"/>
              <w:adjustRightInd w:val="0"/>
              <w:snapToGrid w:val="0"/>
              <w:spacing w:line="288" w:lineRule="auto"/>
              <w:rPr>
                <w:rFonts w:asciiTheme="minorEastAsia" w:hAnsiTheme="minorEastAsia" w:eastAsiaTheme="minorEastAsia" w:cstheme="minorEastAsia"/>
                <w:sz w:val="24"/>
                <w:lang w:val="en-US" w:eastAsia="zh-CN"/>
              </w:rPr>
            </w:pPr>
            <w:r>
              <w:rPr>
                <w:rFonts w:hint="eastAsia" w:asciiTheme="minorEastAsia" w:hAnsiTheme="minorEastAsia" w:eastAsiaTheme="minorEastAsia" w:cstheme="minorEastAsia"/>
                <w:sz w:val="24"/>
                <w:lang w:val="en-US" w:eastAsia="zh-CN"/>
              </w:rPr>
              <w:t>防护等级:IP67</w:t>
            </w:r>
          </w:p>
          <w:p>
            <w:pPr>
              <w:pStyle w:val="31"/>
              <w:adjustRightInd w:val="0"/>
              <w:snapToGrid w:val="0"/>
              <w:spacing w:line="288" w:lineRule="auto"/>
              <w:rPr>
                <w:rFonts w:asciiTheme="minorEastAsia" w:hAnsiTheme="minorEastAsia" w:eastAsiaTheme="minorEastAsia" w:cstheme="minorEastAsia"/>
                <w:sz w:val="24"/>
                <w:lang w:val="en-US" w:eastAsia="zh-CN"/>
              </w:rPr>
            </w:pPr>
            <w:r>
              <w:rPr>
                <w:rFonts w:hint="eastAsia" w:asciiTheme="minorEastAsia" w:hAnsiTheme="minorEastAsia" w:eastAsiaTheme="minorEastAsia" w:cstheme="minorEastAsia"/>
                <w:sz w:val="24"/>
                <w:lang w:val="en-US" w:eastAsia="zh-CN"/>
              </w:rPr>
              <w:t>阀体形式:球阀</w:t>
            </w:r>
          </w:p>
          <w:p>
            <w:pPr>
              <w:pStyle w:val="31"/>
              <w:adjustRightInd w:val="0"/>
              <w:snapToGrid w:val="0"/>
              <w:spacing w:line="288" w:lineRule="auto"/>
              <w:rPr>
                <w:rFonts w:asciiTheme="minorEastAsia" w:hAnsiTheme="minorEastAsia" w:eastAsiaTheme="minorEastAsia" w:cstheme="minorEastAsia"/>
                <w:sz w:val="24"/>
                <w:lang w:val="en-US" w:eastAsia="zh-CN"/>
              </w:rPr>
            </w:pPr>
            <w:r>
              <w:rPr>
                <w:rFonts w:hint="eastAsia" w:asciiTheme="minorEastAsia" w:hAnsiTheme="minorEastAsia" w:eastAsiaTheme="minorEastAsia" w:cstheme="minorEastAsia"/>
                <w:sz w:val="24"/>
                <w:lang w:val="en-US" w:eastAsia="zh-CN"/>
              </w:rPr>
              <w:t>引出线：RVV  0.5mm2×2</w:t>
            </w:r>
          </w:p>
          <w:p>
            <w:pPr>
              <w:pStyle w:val="31"/>
              <w:adjustRightInd w:val="0"/>
              <w:snapToGrid w:val="0"/>
              <w:spacing w:line="288" w:lineRule="auto"/>
              <w:rPr>
                <w:rFonts w:asciiTheme="minorEastAsia" w:hAnsiTheme="minorEastAsia" w:eastAsiaTheme="minorEastAsia" w:cstheme="minorEastAsia"/>
                <w:sz w:val="24"/>
                <w:lang w:val="en-US" w:eastAsia="zh-CN"/>
              </w:rPr>
            </w:pPr>
            <w:r>
              <w:rPr>
                <w:rFonts w:hint="eastAsia" w:asciiTheme="minorEastAsia" w:hAnsiTheme="minorEastAsia" w:eastAsiaTheme="minorEastAsia" w:cstheme="minorEastAsia"/>
                <w:sz w:val="24"/>
                <w:lang w:val="en-US" w:eastAsia="zh-CN"/>
              </w:rPr>
              <w:t>引出线长度：1500 mm</w:t>
            </w:r>
          </w:p>
          <w:p>
            <w:pPr>
              <w:pStyle w:val="31"/>
              <w:adjustRightInd w:val="0"/>
              <w:snapToGrid w:val="0"/>
              <w:spacing w:line="288" w:lineRule="auto"/>
              <w:rPr>
                <w:rFonts w:asciiTheme="minorEastAsia" w:hAnsiTheme="minorEastAsia" w:eastAsiaTheme="minorEastAsia" w:cstheme="minorEastAsia"/>
                <w:sz w:val="24"/>
                <w:lang w:val="en-US" w:eastAsia="zh-CN"/>
              </w:rPr>
            </w:pPr>
            <w:r>
              <w:rPr>
                <w:rFonts w:hint="eastAsia" w:asciiTheme="minorEastAsia" w:hAnsiTheme="minorEastAsia" w:eastAsiaTheme="minorEastAsia" w:cstheme="minorEastAsia"/>
                <w:sz w:val="24"/>
                <w:lang w:val="en-US" w:eastAsia="zh-CN"/>
              </w:rPr>
              <w:t>与我校现有一卡通水控系统实现对接，支持我校现有校园卡、二维码等数据正常使用。</w:t>
            </w:r>
          </w:p>
          <w:p>
            <w:pPr>
              <w:pStyle w:val="31"/>
              <w:adjustRightInd w:val="0"/>
              <w:snapToGrid w:val="0"/>
              <w:spacing w:line="288" w:lineRule="auto"/>
              <w:rPr>
                <w:rFonts w:asciiTheme="minorEastAsia" w:hAnsiTheme="minorEastAsia" w:eastAsiaTheme="minorEastAsia" w:cstheme="minorEastAsia"/>
                <w:sz w:val="24"/>
                <w:lang w:val="en-US" w:eastAsia="zh-CN"/>
              </w:rPr>
            </w:pPr>
            <w:r>
              <w:rPr>
                <w:rFonts w:hint="eastAsia" w:asciiTheme="minorEastAsia" w:hAnsiTheme="minorEastAsia" w:eastAsiaTheme="minorEastAsia" w:cstheme="minorEastAsia"/>
                <w:sz w:val="24"/>
                <w:lang w:val="en-US" w:eastAsia="zh-CN"/>
              </w:rPr>
              <w:t>提供所投设备设备检测报告。</w:t>
            </w:r>
          </w:p>
        </w:tc>
        <w:tc>
          <w:tcPr>
            <w:tcW w:w="1448" w:type="dxa"/>
            <w:tcBorders>
              <w:top w:val="single" w:color="auto" w:sz="4" w:space="0"/>
              <w:left w:val="nil"/>
              <w:bottom w:val="single" w:color="auto" w:sz="4" w:space="0"/>
              <w:right w:val="single" w:color="auto" w:sz="4" w:space="0"/>
            </w:tcBorders>
            <w:vAlign w:val="center"/>
          </w:tcPr>
          <w:p>
            <w:pPr>
              <w:autoSpaceDE w:val="0"/>
              <w:snapToGrid w:val="0"/>
              <w:spacing w:line="288" w:lineRule="auto"/>
              <w:jc w:val="center"/>
              <w:rPr>
                <w:rFonts w:asciiTheme="minorEastAsia" w:hAnsiTheme="minorEastAsia" w:cstheme="minorEastAsia"/>
                <w:sz w:val="24"/>
              </w:rPr>
            </w:pPr>
            <w:r>
              <w:rPr>
                <w:rFonts w:hint="eastAsia" w:asciiTheme="minorEastAsia" w:hAnsiTheme="minorEastAsia" w:cstheme="minorEastAsia"/>
                <w:sz w:val="24"/>
              </w:rPr>
              <w:t>36</w:t>
            </w:r>
          </w:p>
        </w:tc>
        <w:tc>
          <w:tcPr>
            <w:tcW w:w="808" w:type="dxa"/>
            <w:tcBorders>
              <w:top w:val="single" w:color="auto" w:sz="4" w:space="0"/>
              <w:left w:val="nil"/>
              <w:bottom w:val="single" w:color="auto" w:sz="4" w:space="0"/>
              <w:right w:val="single" w:color="auto" w:sz="4" w:space="0"/>
            </w:tcBorders>
            <w:vAlign w:val="center"/>
          </w:tcPr>
          <w:p>
            <w:pPr>
              <w:autoSpaceDE w:val="0"/>
              <w:snapToGrid w:val="0"/>
              <w:spacing w:line="288" w:lineRule="auto"/>
              <w:jc w:val="center"/>
              <w:rPr>
                <w:rFonts w:asciiTheme="minorEastAsia" w:hAnsiTheme="minorEastAsia" w:cstheme="minorEastAsia"/>
                <w:sz w:val="24"/>
              </w:rPr>
            </w:pPr>
          </w:p>
        </w:tc>
      </w:tr>
    </w:tbl>
    <w:p>
      <w:pPr>
        <w:pStyle w:val="2"/>
      </w:pPr>
    </w:p>
    <w:p>
      <w:pPr>
        <w:pStyle w:val="71"/>
      </w:pPr>
    </w:p>
    <w:p>
      <w:pPr>
        <w:pStyle w:val="17"/>
        <w:pageBreakBefore w:val="0"/>
        <w:kinsoku/>
        <w:overflowPunct/>
        <w:topLinePunct w:val="0"/>
        <w:bidi w:val="0"/>
        <w:snapToGrid/>
        <w:spacing w:line="360" w:lineRule="auto"/>
        <w:ind w:left="0" w:leftChars="0" w:firstLine="0" w:firstLineChars="0"/>
        <w:rPr>
          <w:rFonts w:hint="eastAsia" w:ascii="宋体" w:hAnsi="宋体" w:eastAsia="宋体" w:cs="宋体"/>
          <w:b/>
          <w:bCs/>
          <w:color w:val="auto"/>
          <w:spacing w:val="20"/>
          <w:sz w:val="32"/>
          <w:szCs w:val="32"/>
          <w:highlight w:val="none"/>
          <w:lang w:eastAsia="zh-CN"/>
        </w:rPr>
      </w:pPr>
    </w:p>
    <w:p>
      <w:pPr>
        <w:pageBreakBefore w:val="0"/>
        <w:kinsoku/>
        <w:overflowPunct/>
        <w:topLinePunct w:val="0"/>
        <w:bidi w:val="0"/>
        <w:snapToGrid/>
        <w:spacing w:line="360" w:lineRule="auto"/>
        <w:jc w:val="both"/>
        <w:rPr>
          <w:rFonts w:hint="eastAsia" w:ascii="宋体" w:hAnsi="宋体" w:eastAsia="宋体" w:cs="宋体"/>
          <w:b/>
          <w:bCs/>
          <w:color w:val="auto"/>
          <w:spacing w:val="20"/>
          <w:sz w:val="44"/>
          <w:szCs w:val="44"/>
          <w:highlight w:val="none"/>
        </w:rPr>
      </w:pPr>
    </w:p>
    <w:p>
      <w:pPr>
        <w:pStyle w:val="3"/>
        <w:pageBreakBefore w:val="0"/>
        <w:kinsoku/>
        <w:overflowPunct/>
        <w:topLinePunct w:val="0"/>
        <w:bidi w:val="0"/>
        <w:snapToGrid/>
        <w:spacing w:line="360" w:lineRule="auto"/>
        <w:ind w:firstLine="1767" w:firstLineChars="400"/>
        <w:jc w:val="center"/>
        <w:rPr>
          <w:rFonts w:hint="eastAsia" w:ascii="宋体" w:hAnsi="宋体" w:eastAsia="宋体" w:cs="宋体"/>
          <w:color w:val="auto"/>
          <w:highlight w:val="none"/>
        </w:rPr>
      </w:pPr>
      <w:bookmarkStart w:id="327" w:name="_Toc22860"/>
      <w:bookmarkStart w:id="328" w:name="_Toc13425"/>
    </w:p>
    <w:p>
      <w:pPr>
        <w:pStyle w:val="3"/>
        <w:pageBreakBefore w:val="0"/>
        <w:kinsoku/>
        <w:overflowPunct/>
        <w:topLinePunct w:val="0"/>
        <w:bidi w:val="0"/>
        <w:snapToGrid/>
        <w:spacing w:line="360" w:lineRule="auto"/>
        <w:ind w:firstLine="1767" w:firstLineChars="400"/>
        <w:jc w:val="center"/>
        <w:rPr>
          <w:rFonts w:hint="eastAsia" w:ascii="宋体" w:hAnsi="宋体" w:eastAsia="宋体" w:cs="宋体"/>
          <w:color w:val="auto"/>
          <w:highlight w:val="none"/>
        </w:rPr>
      </w:pPr>
    </w:p>
    <w:p>
      <w:pPr>
        <w:pStyle w:val="3"/>
        <w:pageBreakBefore w:val="0"/>
        <w:kinsoku/>
        <w:overflowPunct/>
        <w:topLinePunct w:val="0"/>
        <w:bidi w:val="0"/>
        <w:snapToGrid/>
        <w:spacing w:line="360" w:lineRule="auto"/>
        <w:ind w:firstLine="1767" w:firstLineChars="400"/>
        <w:jc w:val="center"/>
        <w:rPr>
          <w:rFonts w:hint="eastAsia" w:ascii="宋体" w:hAnsi="宋体" w:eastAsia="宋体" w:cs="宋体"/>
          <w:color w:val="auto"/>
          <w:highlight w:val="none"/>
        </w:rPr>
      </w:pPr>
    </w:p>
    <w:p>
      <w:pPr>
        <w:pStyle w:val="3"/>
        <w:pageBreakBefore w:val="0"/>
        <w:kinsoku/>
        <w:overflowPunct/>
        <w:topLinePunct w:val="0"/>
        <w:bidi w:val="0"/>
        <w:snapToGrid/>
        <w:spacing w:line="360" w:lineRule="auto"/>
        <w:ind w:firstLine="1767" w:firstLineChars="400"/>
        <w:jc w:val="center"/>
        <w:rPr>
          <w:rFonts w:hint="eastAsia" w:ascii="宋体" w:hAnsi="宋体" w:eastAsia="宋体" w:cs="宋体"/>
          <w:color w:val="auto"/>
          <w:highlight w:val="none"/>
        </w:rPr>
      </w:pPr>
    </w:p>
    <w:p>
      <w:pPr>
        <w:pStyle w:val="3"/>
        <w:pageBreakBefore w:val="0"/>
        <w:kinsoku/>
        <w:overflowPunct/>
        <w:topLinePunct w:val="0"/>
        <w:bidi w:val="0"/>
        <w:snapToGrid/>
        <w:spacing w:line="360" w:lineRule="auto"/>
        <w:ind w:firstLine="1767" w:firstLineChars="400"/>
        <w:jc w:val="center"/>
        <w:rPr>
          <w:rFonts w:hint="eastAsia" w:ascii="宋体" w:hAnsi="宋体" w:eastAsia="宋体" w:cs="宋体"/>
          <w:color w:val="auto"/>
          <w:highlight w:val="none"/>
        </w:rPr>
      </w:pPr>
    </w:p>
    <w:p>
      <w:pPr>
        <w:pStyle w:val="3"/>
        <w:pageBreakBefore w:val="0"/>
        <w:kinsoku/>
        <w:overflowPunct/>
        <w:topLinePunct w:val="0"/>
        <w:bidi w:val="0"/>
        <w:snapToGrid/>
        <w:spacing w:line="360" w:lineRule="auto"/>
        <w:ind w:firstLine="1767" w:firstLineChars="400"/>
        <w:jc w:val="center"/>
        <w:rPr>
          <w:rFonts w:hint="eastAsia" w:ascii="宋体" w:hAnsi="宋体" w:eastAsia="宋体" w:cs="宋体"/>
          <w:color w:val="auto"/>
          <w:highlight w:val="none"/>
        </w:rPr>
      </w:pPr>
    </w:p>
    <w:p>
      <w:pPr>
        <w:pStyle w:val="3"/>
        <w:pageBreakBefore w:val="0"/>
        <w:kinsoku/>
        <w:overflowPunct/>
        <w:topLinePunct w:val="0"/>
        <w:bidi w:val="0"/>
        <w:snapToGrid/>
        <w:spacing w:line="360" w:lineRule="auto"/>
        <w:ind w:firstLine="1767" w:firstLineChars="400"/>
        <w:jc w:val="center"/>
        <w:rPr>
          <w:rFonts w:hint="eastAsia" w:ascii="宋体" w:hAnsi="宋体" w:eastAsia="宋体" w:cs="宋体"/>
          <w:color w:val="auto"/>
          <w:highlight w:val="none"/>
        </w:rPr>
      </w:pPr>
    </w:p>
    <w:p>
      <w:pPr>
        <w:pStyle w:val="3"/>
        <w:pageBreakBefore w:val="0"/>
        <w:kinsoku/>
        <w:overflowPunct/>
        <w:topLinePunct w:val="0"/>
        <w:bidi w:val="0"/>
        <w:snapToGrid/>
        <w:spacing w:line="360" w:lineRule="auto"/>
        <w:ind w:firstLine="1767" w:firstLineChars="400"/>
        <w:jc w:val="center"/>
        <w:rPr>
          <w:rFonts w:hint="eastAsia" w:ascii="宋体" w:hAnsi="宋体" w:eastAsia="宋体" w:cs="宋体"/>
          <w:color w:val="auto"/>
          <w:highlight w:val="none"/>
        </w:rPr>
      </w:pPr>
    </w:p>
    <w:p>
      <w:pPr>
        <w:pStyle w:val="3"/>
        <w:pageBreakBefore w:val="0"/>
        <w:kinsoku/>
        <w:overflowPunct/>
        <w:topLinePunct w:val="0"/>
        <w:bidi w:val="0"/>
        <w:snapToGrid/>
        <w:spacing w:line="360" w:lineRule="auto"/>
        <w:ind w:firstLine="1767" w:firstLineChars="400"/>
        <w:jc w:val="center"/>
        <w:rPr>
          <w:rFonts w:hint="eastAsia" w:ascii="宋体" w:hAnsi="宋体" w:eastAsia="宋体" w:cs="宋体"/>
          <w:color w:val="auto"/>
          <w:highlight w:val="none"/>
        </w:rPr>
      </w:pPr>
      <w:r>
        <w:rPr>
          <w:rFonts w:hint="eastAsia" w:ascii="宋体" w:hAnsi="宋体" w:eastAsia="宋体" w:cs="宋体"/>
          <w:color w:val="auto"/>
          <w:highlight w:val="none"/>
        </w:rPr>
        <w:t>第六章  响应文件格式</w:t>
      </w:r>
      <w:bookmarkEnd w:id="327"/>
      <w:bookmarkEnd w:id="328"/>
    </w:p>
    <w:p>
      <w:pPr>
        <w:pageBreakBefore w:val="0"/>
        <w:kinsoku/>
        <w:overflowPunct/>
        <w:topLinePunct w:val="0"/>
        <w:bidi w:val="0"/>
        <w:snapToGrid/>
        <w:spacing w:line="360" w:lineRule="auto"/>
        <w:ind w:firstLine="480" w:firstLineChars="200"/>
        <w:rPr>
          <w:rFonts w:hint="eastAsia" w:ascii="宋体" w:hAnsi="宋体" w:eastAsia="宋体" w:cs="宋体"/>
          <w:color w:val="auto"/>
          <w:sz w:val="24"/>
          <w:highlight w:val="none"/>
        </w:rPr>
      </w:pPr>
    </w:p>
    <w:p>
      <w:pPr>
        <w:pageBreakBefore w:val="0"/>
        <w:kinsoku/>
        <w:overflowPunct/>
        <w:topLinePunct w:val="0"/>
        <w:bidi w:val="0"/>
        <w:snapToGrid/>
        <w:spacing w:line="360" w:lineRule="auto"/>
        <w:ind w:firstLine="480" w:firstLineChars="200"/>
        <w:rPr>
          <w:rFonts w:hint="eastAsia" w:ascii="宋体" w:hAnsi="宋体" w:eastAsia="宋体" w:cs="宋体"/>
          <w:color w:val="auto"/>
          <w:sz w:val="24"/>
          <w:highlight w:val="none"/>
        </w:rPr>
      </w:pPr>
    </w:p>
    <w:p>
      <w:pPr>
        <w:pageBreakBefore w:val="0"/>
        <w:kinsoku/>
        <w:overflowPunct/>
        <w:topLinePunct w:val="0"/>
        <w:bidi w:val="0"/>
        <w:snapToGrid/>
        <w:spacing w:line="360" w:lineRule="auto"/>
        <w:rPr>
          <w:rFonts w:hint="eastAsia" w:ascii="宋体" w:hAnsi="宋体" w:eastAsia="宋体" w:cs="宋体"/>
          <w:color w:val="auto"/>
          <w:sz w:val="24"/>
          <w:highlight w:val="none"/>
        </w:rPr>
      </w:pPr>
    </w:p>
    <w:p>
      <w:pPr>
        <w:pStyle w:val="16"/>
        <w:pageBreakBefore w:val="0"/>
        <w:widowControl/>
        <w:kinsoku/>
        <w:overflowPunct/>
        <w:topLinePunct w:val="0"/>
        <w:bidi w:val="0"/>
        <w:snapToGrid/>
        <w:spacing w:beforeAutospacing="0" w:afterAutospacing="0" w:line="360" w:lineRule="auto"/>
        <w:jc w:val="both"/>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 </w:t>
      </w:r>
    </w:p>
    <w:p>
      <w:pPr>
        <w:pStyle w:val="16"/>
        <w:pageBreakBefore w:val="0"/>
        <w:widowControl/>
        <w:kinsoku/>
        <w:overflowPunct/>
        <w:topLinePunct w:val="0"/>
        <w:bidi w:val="0"/>
        <w:snapToGrid/>
        <w:spacing w:beforeAutospacing="0" w:afterAutospacing="0" w:line="360" w:lineRule="auto"/>
        <w:jc w:val="both"/>
        <w:rPr>
          <w:rFonts w:hint="eastAsia" w:ascii="宋体" w:hAnsi="宋体" w:eastAsia="宋体" w:cs="宋体"/>
          <w:color w:val="auto"/>
          <w:sz w:val="32"/>
          <w:szCs w:val="32"/>
          <w:highlight w:val="none"/>
        </w:rPr>
      </w:pPr>
    </w:p>
    <w:p>
      <w:pPr>
        <w:pStyle w:val="16"/>
        <w:pageBreakBefore w:val="0"/>
        <w:widowControl/>
        <w:kinsoku/>
        <w:overflowPunct/>
        <w:topLinePunct w:val="0"/>
        <w:bidi w:val="0"/>
        <w:snapToGrid/>
        <w:spacing w:beforeAutospacing="0" w:afterAutospacing="0" w:line="360" w:lineRule="auto"/>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u w:val="single"/>
          <w:lang w:val="en-US" w:eastAsia="zh-CN"/>
        </w:rPr>
        <w:t xml:space="preserve">              </w:t>
      </w:r>
      <w:r>
        <w:rPr>
          <w:rFonts w:hint="eastAsia" w:ascii="宋体" w:hAnsi="宋体" w:eastAsia="宋体" w:cs="宋体"/>
          <w:color w:val="auto"/>
          <w:sz w:val="32"/>
          <w:szCs w:val="32"/>
          <w:highlight w:val="none"/>
          <w:u w:val="single"/>
        </w:rPr>
        <w:t>（项目名称）</w:t>
      </w:r>
    </w:p>
    <w:p>
      <w:pPr>
        <w:pStyle w:val="16"/>
        <w:pageBreakBefore w:val="0"/>
        <w:widowControl/>
        <w:kinsoku/>
        <w:overflowPunct/>
        <w:topLinePunct w:val="0"/>
        <w:bidi w:val="0"/>
        <w:snapToGrid/>
        <w:spacing w:beforeAutospacing="0" w:afterAutospacing="0" w:line="360" w:lineRule="auto"/>
        <w:jc w:val="center"/>
        <w:rPr>
          <w:rFonts w:hint="eastAsia" w:ascii="宋体" w:hAnsi="宋体" w:eastAsia="宋体" w:cs="宋体"/>
          <w:color w:val="auto"/>
          <w:highlight w:val="none"/>
        </w:rPr>
      </w:pPr>
    </w:p>
    <w:p>
      <w:pPr>
        <w:pStyle w:val="16"/>
        <w:pageBreakBefore w:val="0"/>
        <w:widowControl/>
        <w:kinsoku/>
        <w:overflowPunct/>
        <w:topLinePunct w:val="0"/>
        <w:bidi w:val="0"/>
        <w:snapToGrid/>
        <w:spacing w:beforeAutospacing="0" w:afterAutospacing="0" w:line="360" w:lineRule="auto"/>
        <w:jc w:val="center"/>
        <w:rPr>
          <w:rFonts w:hint="eastAsia" w:ascii="宋体" w:hAnsi="宋体" w:eastAsia="宋体" w:cs="宋体"/>
          <w:color w:val="auto"/>
          <w:highlight w:val="none"/>
        </w:rPr>
      </w:pPr>
    </w:p>
    <w:p>
      <w:pPr>
        <w:pStyle w:val="16"/>
        <w:pageBreakBefore w:val="0"/>
        <w:widowControl/>
        <w:kinsoku/>
        <w:overflowPunct/>
        <w:topLinePunct w:val="0"/>
        <w:bidi w:val="0"/>
        <w:snapToGrid/>
        <w:spacing w:beforeAutospacing="0" w:afterAutospacing="0" w:line="360" w:lineRule="auto"/>
        <w:jc w:val="center"/>
        <w:rPr>
          <w:rFonts w:hint="eastAsia" w:ascii="宋体" w:hAnsi="宋体" w:eastAsia="宋体" w:cs="宋体"/>
          <w:color w:val="auto"/>
          <w:highlight w:val="none"/>
        </w:rPr>
      </w:pPr>
    </w:p>
    <w:p>
      <w:pPr>
        <w:rPr>
          <w:rFonts w:hint="eastAsia" w:ascii="宋体" w:hAnsi="宋体" w:eastAsia="宋体" w:cs="宋体"/>
          <w:color w:val="auto"/>
          <w:highlight w:val="none"/>
        </w:rPr>
      </w:pPr>
      <w:r>
        <w:rPr>
          <w:rFonts w:hint="eastAsia" w:ascii="宋体" w:hAnsi="宋体" w:eastAsia="宋体" w:cs="宋体"/>
          <w:color w:val="auto"/>
          <w:highlight w:val="none"/>
        </w:rPr>
        <w:br w:type="page"/>
      </w:r>
    </w:p>
    <w:p>
      <w:pPr>
        <w:pStyle w:val="2"/>
        <w:rPr>
          <w:rFonts w:hint="eastAsia"/>
        </w:rPr>
      </w:pPr>
    </w:p>
    <w:p>
      <w:pPr>
        <w:pStyle w:val="16"/>
        <w:pageBreakBefore w:val="0"/>
        <w:widowControl/>
        <w:kinsoku/>
        <w:overflowPunct/>
        <w:topLinePunct w:val="0"/>
        <w:bidi w:val="0"/>
        <w:snapToGrid/>
        <w:spacing w:beforeAutospacing="0" w:afterAutospacing="0" w:line="360" w:lineRule="auto"/>
        <w:jc w:val="center"/>
        <w:rPr>
          <w:rFonts w:hint="eastAsia" w:ascii="宋体" w:hAnsi="宋体" w:eastAsia="宋体" w:cs="宋体"/>
          <w:color w:val="auto"/>
          <w:highlight w:val="none"/>
        </w:rPr>
      </w:pPr>
    </w:p>
    <w:p>
      <w:pPr>
        <w:pStyle w:val="16"/>
        <w:pageBreakBefore w:val="0"/>
        <w:widowControl/>
        <w:kinsoku/>
        <w:overflowPunct/>
        <w:topLinePunct w:val="0"/>
        <w:bidi w:val="0"/>
        <w:snapToGrid/>
        <w:spacing w:beforeAutospacing="0" w:afterAutospacing="0" w:line="360" w:lineRule="auto"/>
        <w:jc w:val="center"/>
        <w:rPr>
          <w:rFonts w:hint="eastAsia" w:ascii="宋体" w:hAnsi="宋体" w:eastAsia="宋体" w:cs="宋体"/>
          <w:color w:val="auto"/>
          <w:highlight w:val="none"/>
        </w:rPr>
      </w:pPr>
    </w:p>
    <w:p>
      <w:pPr>
        <w:pStyle w:val="16"/>
        <w:pageBreakBefore w:val="0"/>
        <w:widowControl/>
        <w:kinsoku/>
        <w:overflowPunct/>
        <w:topLinePunct w:val="0"/>
        <w:bidi w:val="0"/>
        <w:snapToGrid/>
        <w:spacing w:beforeAutospacing="0" w:afterAutospacing="0" w:line="360" w:lineRule="auto"/>
        <w:jc w:val="center"/>
        <w:rPr>
          <w:rFonts w:hint="eastAsia" w:ascii="宋体" w:hAnsi="宋体" w:eastAsia="宋体" w:cs="宋体"/>
          <w:color w:val="auto"/>
          <w:highlight w:val="none"/>
        </w:rPr>
      </w:pPr>
    </w:p>
    <w:p>
      <w:pPr>
        <w:pStyle w:val="16"/>
        <w:pageBreakBefore w:val="0"/>
        <w:widowControl/>
        <w:kinsoku/>
        <w:overflowPunct/>
        <w:topLinePunct w:val="0"/>
        <w:bidi w:val="0"/>
        <w:snapToGrid/>
        <w:spacing w:beforeAutospacing="0" w:afterAutospacing="0" w:line="360" w:lineRule="auto"/>
        <w:jc w:val="center"/>
        <w:rPr>
          <w:rFonts w:hint="eastAsia" w:ascii="宋体" w:hAnsi="宋体" w:eastAsia="宋体" w:cs="宋体"/>
          <w:color w:val="auto"/>
          <w:highlight w:val="none"/>
        </w:rPr>
      </w:pPr>
    </w:p>
    <w:p>
      <w:pPr>
        <w:pStyle w:val="16"/>
        <w:pageBreakBefore w:val="0"/>
        <w:widowControl/>
        <w:kinsoku/>
        <w:overflowPunct/>
        <w:topLinePunct w:val="0"/>
        <w:bidi w:val="0"/>
        <w:snapToGrid/>
        <w:spacing w:beforeAutospacing="0" w:afterAutospacing="0" w:line="360" w:lineRule="auto"/>
        <w:jc w:val="both"/>
        <w:rPr>
          <w:rFonts w:hint="eastAsia" w:ascii="宋体" w:hAnsi="宋体" w:eastAsia="宋体" w:cs="宋体"/>
          <w:color w:val="auto"/>
          <w:highlight w:val="none"/>
        </w:rPr>
      </w:pPr>
    </w:p>
    <w:p>
      <w:pPr>
        <w:pStyle w:val="16"/>
        <w:pageBreakBefore w:val="0"/>
        <w:widowControl/>
        <w:kinsoku/>
        <w:overflowPunct/>
        <w:topLinePunct w:val="0"/>
        <w:bidi w:val="0"/>
        <w:snapToGrid/>
        <w:spacing w:beforeAutospacing="0" w:afterAutospacing="0" w:line="360" w:lineRule="auto"/>
        <w:jc w:val="center"/>
        <w:rPr>
          <w:rFonts w:hint="eastAsia" w:ascii="宋体" w:hAnsi="宋体" w:eastAsia="宋体" w:cs="宋体"/>
          <w:b/>
          <w:bCs/>
          <w:color w:val="auto"/>
          <w:sz w:val="52"/>
          <w:szCs w:val="52"/>
          <w:highlight w:val="none"/>
        </w:rPr>
      </w:pPr>
      <w:r>
        <w:rPr>
          <w:rFonts w:hint="eastAsia" w:ascii="宋体" w:hAnsi="宋体" w:eastAsia="宋体" w:cs="宋体"/>
          <w:b/>
          <w:bCs/>
          <w:color w:val="auto"/>
          <w:sz w:val="56"/>
          <w:szCs w:val="56"/>
          <w:highlight w:val="none"/>
        </w:rPr>
        <w:t>响 应 文 件</w:t>
      </w:r>
    </w:p>
    <w:p>
      <w:pPr>
        <w:pStyle w:val="16"/>
        <w:pageBreakBefore w:val="0"/>
        <w:widowControl/>
        <w:kinsoku/>
        <w:overflowPunct/>
        <w:topLinePunct w:val="0"/>
        <w:bidi w:val="0"/>
        <w:snapToGrid/>
        <w:spacing w:beforeAutospacing="0" w:afterAutospacing="0" w:line="360" w:lineRule="auto"/>
        <w:rPr>
          <w:rFonts w:hint="eastAsia" w:ascii="宋体" w:hAnsi="宋体" w:eastAsia="宋体" w:cs="宋体"/>
          <w:color w:val="auto"/>
          <w:highlight w:val="none"/>
        </w:rPr>
      </w:pPr>
    </w:p>
    <w:p>
      <w:pPr>
        <w:pStyle w:val="16"/>
        <w:pageBreakBefore w:val="0"/>
        <w:widowControl/>
        <w:kinsoku/>
        <w:overflowPunct/>
        <w:topLinePunct w:val="0"/>
        <w:bidi w:val="0"/>
        <w:snapToGrid/>
        <w:spacing w:beforeAutospacing="0" w:afterAutospacing="0" w:line="360" w:lineRule="auto"/>
        <w:rPr>
          <w:rFonts w:hint="eastAsia" w:ascii="宋体" w:hAnsi="宋体" w:eastAsia="宋体" w:cs="宋体"/>
          <w:color w:val="auto"/>
          <w:highlight w:val="none"/>
        </w:rPr>
      </w:pPr>
    </w:p>
    <w:p>
      <w:pPr>
        <w:pStyle w:val="16"/>
        <w:pageBreakBefore w:val="0"/>
        <w:widowControl/>
        <w:kinsoku/>
        <w:overflowPunct/>
        <w:topLinePunct w:val="0"/>
        <w:bidi w:val="0"/>
        <w:snapToGrid/>
        <w:spacing w:beforeAutospacing="0" w:afterAutospacing="0" w:line="360" w:lineRule="auto"/>
        <w:rPr>
          <w:rFonts w:hint="eastAsia" w:ascii="宋体" w:hAnsi="宋体" w:eastAsia="宋体" w:cs="宋体"/>
          <w:color w:val="auto"/>
          <w:highlight w:val="none"/>
        </w:rPr>
      </w:pPr>
    </w:p>
    <w:p>
      <w:pPr>
        <w:pStyle w:val="16"/>
        <w:pageBreakBefore w:val="0"/>
        <w:widowControl/>
        <w:kinsoku/>
        <w:overflowPunct/>
        <w:topLinePunct w:val="0"/>
        <w:bidi w:val="0"/>
        <w:snapToGrid/>
        <w:spacing w:beforeAutospacing="0" w:afterAutospacing="0" w:line="360" w:lineRule="auto"/>
        <w:rPr>
          <w:rFonts w:hint="eastAsia" w:ascii="宋体" w:hAnsi="宋体" w:eastAsia="宋体" w:cs="宋体"/>
          <w:color w:val="auto"/>
          <w:highlight w:val="none"/>
        </w:rPr>
      </w:pPr>
    </w:p>
    <w:p>
      <w:pPr>
        <w:pStyle w:val="16"/>
        <w:pageBreakBefore w:val="0"/>
        <w:widowControl/>
        <w:kinsoku/>
        <w:overflowPunct/>
        <w:topLinePunct w:val="0"/>
        <w:bidi w:val="0"/>
        <w:snapToGrid/>
        <w:spacing w:beforeAutospacing="0" w:afterAutospacing="0" w:line="360" w:lineRule="auto"/>
        <w:ind w:left="840" w:firstLine="840" w:firstLineChars="300"/>
        <w:rPr>
          <w:rFonts w:hint="eastAsia" w:ascii="宋体" w:hAnsi="宋体" w:eastAsia="宋体" w:cs="宋体"/>
          <w:color w:val="auto"/>
          <w:sz w:val="28"/>
          <w:szCs w:val="28"/>
          <w:highlight w:val="none"/>
          <w:u w:val="single"/>
          <w:lang w:eastAsia="zh-CN"/>
        </w:rPr>
      </w:pPr>
      <w:r>
        <w:rPr>
          <w:rFonts w:hint="eastAsia" w:ascii="宋体" w:hAnsi="宋体" w:eastAsia="宋体" w:cs="宋体"/>
          <w:color w:val="auto"/>
          <w:sz w:val="28"/>
          <w:szCs w:val="28"/>
          <w:highlight w:val="none"/>
          <w:lang w:eastAsia="zh-CN"/>
        </w:rPr>
        <w:t>投标人</w:t>
      </w:r>
      <w:r>
        <w:rPr>
          <w:rFonts w:hint="eastAsia" w:ascii="宋体" w:hAnsi="宋体" w:eastAsia="宋体" w:cs="宋体"/>
          <w:color w:val="auto"/>
          <w:sz w:val="28"/>
          <w:szCs w:val="28"/>
          <w:highlight w:val="none"/>
        </w:rPr>
        <w:t>：</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u w:val="single"/>
          <w:lang w:eastAsia="zh-CN"/>
        </w:rPr>
        <w:t>（盖章）</w:t>
      </w:r>
    </w:p>
    <w:p>
      <w:pPr>
        <w:pageBreakBefore w:val="0"/>
        <w:kinsoku/>
        <w:overflowPunct/>
        <w:topLinePunct w:val="0"/>
        <w:bidi w:val="0"/>
        <w:snapToGrid/>
        <w:spacing w:line="360" w:lineRule="auto"/>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年</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月 </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 日</w:t>
      </w:r>
    </w:p>
    <w:p>
      <w:pPr>
        <w:pageBreakBefore w:val="0"/>
        <w:kinsoku/>
        <w:overflowPunct/>
        <w:topLinePunct w:val="0"/>
        <w:bidi w:val="0"/>
        <w:snapToGrid/>
        <w:spacing w:line="360" w:lineRule="auto"/>
        <w:rPr>
          <w:rFonts w:hint="eastAsia" w:ascii="宋体" w:hAnsi="宋体" w:eastAsia="宋体" w:cs="宋体"/>
          <w:color w:val="auto"/>
          <w:sz w:val="36"/>
          <w:szCs w:val="36"/>
          <w:highlight w:val="none"/>
          <w:lang w:val="en-US" w:eastAsia="zh-CN"/>
        </w:rPr>
      </w:pPr>
      <w:r>
        <w:rPr>
          <w:rFonts w:hint="eastAsia" w:ascii="宋体" w:hAnsi="宋体" w:eastAsia="宋体" w:cs="宋体"/>
          <w:color w:val="auto"/>
          <w:sz w:val="28"/>
          <w:szCs w:val="28"/>
          <w:highlight w:val="none"/>
        </w:rPr>
        <w:br w:type="page"/>
      </w:r>
    </w:p>
    <w:p>
      <w:pPr>
        <w:pStyle w:val="4"/>
        <w:pageBreakBefore w:val="0"/>
        <w:kinsoku/>
        <w:overflowPunct/>
        <w:topLinePunct w:val="0"/>
        <w:bidi w:val="0"/>
        <w:snapToGrid/>
        <w:spacing w:line="360" w:lineRule="auto"/>
        <w:ind w:firstLine="3654" w:firstLineChars="1300"/>
        <w:jc w:val="both"/>
        <w:rPr>
          <w:rFonts w:hint="eastAsia" w:ascii="宋体" w:hAnsi="宋体" w:eastAsia="宋体" w:cs="宋体"/>
          <w:color w:val="auto"/>
          <w:highlight w:val="none"/>
        </w:rPr>
      </w:pPr>
      <w:bookmarkStart w:id="329" w:name="_Toc17296"/>
      <w:bookmarkStart w:id="330" w:name="_Toc263"/>
      <w:r>
        <w:rPr>
          <w:rFonts w:hint="eastAsia" w:ascii="宋体" w:hAnsi="宋体" w:eastAsia="宋体" w:cs="宋体"/>
          <w:color w:val="auto"/>
          <w:highlight w:val="none"/>
        </w:rPr>
        <w:t>目录</w:t>
      </w:r>
      <w:bookmarkEnd w:id="329"/>
      <w:bookmarkEnd w:id="330"/>
    </w:p>
    <w:p>
      <w:pPr>
        <w:pStyle w:val="35"/>
        <w:pageBreakBefore w:val="0"/>
        <w:kinsoku/>
        <w:overflowPunct/>
        <w:topLinePunct w:val="0"/>
        <w:bidi w:val="0"/>
        <w:snapToGrid/>
        <w:spacing w:after="100" w:line="360" w:lineRule="auto"/>
        <w:jc w:val="left"/>
        <w:rPr>
          <w:rFonts w:hint="eastAsia" w:ascii="宋体" w:hAnsi="宋体" w:eastAsia="宋体" w:cs="宋体"/>
          <w:color w:val="auto"/>
          <w:sz w:val="24"/>
          <w:highlight w:val="none"/>
        </w:rPr>
      </w:pPr>
    </w:p>
    <w:p>
      <w:pPr>
        <w:pStyle w:val="35"/>
        <w:pageBreakBefore w:val="0"/>
        <w:kinsoku/>
        <w:overflowPunct/>
        <w:topLinePunct w:val="0"/>
        <w:bidi w:val="0"/>
        <w:snapToGrid/>
        <w:spacing w:after="100" w:line="360" w:lineRule="auto"/>
        <w:jc w:val="left"/>
        <w:rPr>
          <w:rFonts w:hint="eastAsia" w:ascii="宋体" w:hAnsi="宋体" w:eastAsia="宋体" w:cs="宋体"/>
          <w:color w:val="auto"/>
          <w:highlight w:val="none"/>
        </w:rPr>
      </w:pPr>
      <w:r>
        <w:rPr>
          <w:rFonts w:hint="eastAsia" w:ascii="宋体" w:hAnsi="宋体" w:eastAsia="宋体" w:cs="宋体"/>
          <w:color w:val="auto"/>
          <w:sz w:val="24"/>
          <w:highlight w:val="none"/>
        </w:rPr>
        <w:t>一、响应函</w:t>
      </w:r>
    </w:p>
    <w:p>
      <w:pPr>
        <w:pStyle w:val="35"/>
        <w:pageBreakBefore w:val="0"/>
        <w:kinsoku/>
        <w:overflowPunct/>
        <w:topLinePunct w:val="0"/>
        <w:bidi w:val="0"/>
        <w:snapToGrid/>
        <w:spacing w:after="100" w:line="360" w:lineRule="auto"/>
        <w:jc w:val="left"/>
        <w:rPr>
          <w:rFonts w:hint="eastAsia" w:ascii="宋体" w:hAnsi="宋体" w:eastAsia="宋体" w:cs="宋体"/>
          <w:color w:val="auto"/>
          <w:highlight w:val="none"/>
        </w:rPr>
      </w:pPr>
      <w:r>
        <w:rPr>
          <w:rFonts w:hint="eastAsia" w:ascii="宋体" w:hAnsi="宋体" w:eastAsia="宋体" w:cs="宋体"/>
          <w:color w:val="auto"/>
          <w:sz w:val="24"/>
          <w:highlight w:val="none"/>
        </w:rPr>
        <w:t>二、授权委托书（适用于有委托代理人的情况）</w:t>
      </w:r>
    </w:p>
    <w:p>
      <w:pPr>
        <w:pStyle w:val="35"/>
        <w:pageBreakBefore w:val="0"/>
        <w:kinsoku/>
        <w:overflowPunct/>
        <w:topLinePunct w:val="0"/>
        <w:bidi w:val="0"/>
        <w:snapToGrid/>
        <w:spacing w:line="360" w:lineRule="auto"/>
        <w:jc w:val="left"/>
        <w:rPr>
          <w:rFonts w:hint="eastAsia" w:ascii="宋体" w:hAnsi="宋体" w:eastAsia="宋体" w:cs="宋体"/>
          <w:color w:val="auto"/>
          <w:highlight w:val="none"/>
        </w:rPr>
      </w:pPr>
      <w:r>
        <w:rPr>
          <w:rFonts w:hint="eastAsia" w:ascii="宋体" w:hAnsi="宋体" w:eastAsia="宋体" w:cs="宋体"/>
          <w:color w:val="auto"/>
          <w:sz w:val="24"/>
          <w:highlight w:val="none"/>
        </w:rPr>
        <w:t>三、联合体协议书（适用于</w:t>
      </w:r>
      <w:r>
        <w:rPr>
          <w:rFonts w:hint="eastAsia" w:ascii="宋体" w:hAnsi="宋体" w:eastAsia="宋体" w:cs="宋体"/>
          <w:color w:val="auto"/>
          <w:sz w:val="24"/>
          <w:highlight w:val="none"/>
          <w:lang w:eastAsia="zh-CN"/>
        </w:rPr>
        <w:t>询比响应人</w:t>
      </w:r>
      <w:r>
        <w:rPr>
          <w:rFonts w:hint="eastAsia" w:ascii="宋体" w:hAnsi="宋体" w:eastAsia="宋体" w:cs="宋体"/>
          <w:color w:val="auto"/>
          <w:sz w:val="24"/>
          <w:highlight w:val="none"/>
        </w:rPr>
        <w:t>组成联合体的情况）</w:t>
      </w:r>
    </w:p>
    <w:p>
      <w:pPr>
        <w:pStyle w:val="35"/>
        <w:pageBreakBefore w:val="0"/>
        <w:kinsoku/>
        <w:overflowPunct/>
        <w:topLinePunct w:val="0"/>
        <w:bidi w:val="0"/>
        <w:snapToGrid/>
        <w:spacing w:after="100" w:line="360" w:lineRule="auto"/>
        <w:jc w:val="left"/>
        <w:rPr>
          <w:rFonts w:hint="eastAsia" w:ascii="宋体" w:hAnsi="宋体" w:eastAsia="宋体" w:cs="宋体"/>
          <w:color w:val="auto"/>
          <w:highlight w:val="none"/>
        </w:rPr>
      </w:pPr>
      <w:r>
        <w:rPr>
          <w:rFonts w:hint="eastAsia" w:ascii="宋体" w:hAnsi="宋体" w:eastAsia="宋体" w:cs="宋体"/>
          <w:color w:val="auto"/>
          <w:sz w:val="24"/>
          <w:highlight w:val="none"/>
        </w:rPr>
        <w:t>四、响应保证金（适用于递交响应保证金的情况）</w:t>
      </w:r>
    </w:p>
    <w:p>
      <w:pPr>
        <w:pStyle w:val="35"/>
        <w:pageBreakBefore w:val="0"/>
        <w:tabs>
          <w:tab w:val="left" w:pos="782"/>
        </w:tabs>
        <w:kinsoku/>
        <w:overflowPunct/>
        <w:topLinePunct w:val="0"/>
        <w:bidi w:val="0"/>
        <w:snapToGrid/>
        <w:spacing w:after="100" w:line="360" w:lineRule="auto"/>
        <w:rPr>
          <w:rFonts w:hint="eastAsia" w:ascii="宋体" w:hAnsi="宋体" w:eastAsia="宋体" w:cs="宋体"/>
          <w:color w:val="auto"/>
          <w:highlight w:val="none"/>
        </w:rPr>
      </w:pPr>
      <w:bookmarkStart w:id="331" w:name="bookmark533"/>
      <w:r>
        <w:rPr>
          <w:rFonts w:hint="eastAsia" w:ascii="宋体" w:hAnsi="宋体" w:eastAsia="宋体" w:cs="宋体"/>
          <w:color w:val="auto"/>
          <w:sz w:val="24"/>
          <w:highlight w:val="none"/>
        </w:rPr>
        <w:t>五</w:t>
      </w:r>
      <w:bookmarkEnd w:id="331"/>
      <w:r>
        <w:rPr>
          <w:rFonts w:hint="eastAsia" w:ascii="宋体" w:hAnsi="宋体" w:eastAsia="宋体" w:cs="宋体"/>
          <w:color w:val="auto"/>
          <w:sz w:val="24"/>
          <w:highlight w:val="none"/>
        </w:rPr>
        <w:t>、商务和技术偏差表</w:t>
      </w:r>
    </w:p>
    <w:p>
      <w:pPr>
        <w:pStyle w:val="35"/>
        <w:pageBreakBefore w:val="0"/>
        <w:tabs>
          <w:tab w:val="left" w:pos="786"/>
        </w:tabs>
        <w:kinsoku/>
        <w:overflowPunct/>
        <w:topLinePunct w:val="0"/>
        <w:bidi w:val="0"/>
        <w:snapToGrid/>
        <w:spacing w:after="100" w:line="360" w:lineRule="auto"/>
        <w:rPr>
          <w:rFonts w:hint="eastAsia" w:ascii="宋体" w:hAnsi="宋体" w:eastAsia="宋体" w:cs="宋体"/>
          <w:color w:val="auto"/>
          <w:highlight w:val="none"/>
        </w:rPr>
      </w:pPr>
      <w:bookmarkStart w:id="332" w:name="bookmark534"/>
      <w:r>
        <w:rPr>
          <w:rFonts w:hint="eastAsia" w:ascii="宋体" w:hAnsi="宋体" w:eastAsia="宋体" w:cs="宋体"/>
          <w:color w:val="auto"/>
          <w:sz w:val="24"/>
          <w:highlight w:val="none"/>
        </w:rPr>
        <w:t>六</w:t>
      </w:r>
      <w:bookmarkEnd w:id="332"/>
      <w:r>
        <w:rPr>
          <w:rFonts w:hint="eastAsia" w:ascii="宋体" w:hAnsi="宋体" w:eastAsia="宋体" w:cs="宋体"/>
          <w:color w:val="auto"/>
          <w:sz w:val="24"/>
          <w:highlight w:val="none"/>
        </w:rPr>
        <w:t>、报价表</w:t>
      </w:r>
      <w:r>
        <w:rPr>
          <w:rFonts w:hint="eastAsia" w:ascii="宋体" w:hAnsi="宋体" w:eastAsia="宋体" w:cs="宋体"/>
          <w:color w:val="auto"/>
          <w:sz w:val="24"/>
          <w:highlight w:val="none"/>
          <w:lang w:val="en-US" w:eastAsia="zh-CN" w:bidi="en-US"/>
        </w:rPr>
        <w:t>（A）</w:t>
      </w:r>
    </w:p>
    <w:p>
      <w:pPr>
        <w:pStyle w:val="35"/>
        <w:pageBreakBefore w:val="0"/>
        <w:tabs>
          <w:tab w:val="left" w:pos="786"/>
        </w:tabs>
        <w:kinsoku/>
        <w:overflowPunct/>
        <w:topLinePunct w:val="0"/>
        <w:bidi w:val="0"/>
        <w:snapToGrid/>
        <w:spacing w:after="100" w:line="360" w:lineRule="auto"/>
        <w:rPr>
          <w:rFonts w:hint="eastAsia" w:ascii="宋体" w:hAnsi="宋体" w:eastAsia="宋体" w:cs="宋体"/>
          <w:color w:val="auto"/>
          <w:highlight w:val="none"/>
        </w:rPr>
      </w:pPr>
      <w:bookmarkStart w:id="333" w:name="bookmark537"/>
      <w:r>
        <w:rPr>
          <w:rFonts w:hint="eastAsia" w:ascii="宋体" w:hAnsi="宋体" w:eastAsia="宋体" w:cs="宋体"/>
          <w:color w:val="auto"/>
          <w:sz w:val="24"/>
          <w:highlight w:val="none"/>
        </w:rPr>
        <w:t>七</w:t>
      </w:r>
      <w:bookmarkEnd w:id="333"/>
      <w:r>
        <w:rPr>
          <w:rFonts w:hint="eastAsia" w:ascii="宋体" w:hAnsi="宋体" w:eastAsia="宋体" w:cs="宋体"/>
          <w:color w:val="auto"/>
          <w:sz w:val="24"/>
          <w:highlight w:val="none"/>
        </w:rPr>
        <w:t>、资格审查资料</w:t>
      </w:r>
      <w:r>
        <w:rPr>
          <w:rFonts w:hint="eastAsia" w:ascii="宋体" w:hAnsi="宋体" w:eastAsia="宋体" w:cs="宋体"/>
          <w:color w:val="auto"/>
          <w:sz w:val="24"/>
          <w:highlight w:val="none"/>
          <w:lang w:val="en-US" w:eastAsia="zh-CN" w:bidi="en-US"/>
        </w:rPr>
        <w:t>（A）</w:t>
      </w:r>
    </w:p>
    <w:p>
      <w:pPr>
        <w:pStyle w:val="35"/>
        <w:pageBreakBefore w:val="0"/>
        <w:tabs>
          <w:tab w:val="left" w:pos="791"/>
        </w:tabs>
        <w:kinsoku/>
        <w:overflowPunct/>
        <w:topLinePunct w:val="0"/>
        <w:bidi w:val="0"/>
        <w:snapToGrid/>
        <w:spacing w:after="100" w:line="360" w:lineRule="auto"/>
        <w:jc w:val="left"/>
        <w:rPr>
          <w:rFonts w:hint="eastAsia" w:ascii="宋体" w:hAnsi="宋体" w:eastAsia="宋体" w:cs="宋体"/>
          <w:color w:val="auto"/>
          <w:highlight w:val="none"/>
        </w:rPr>
      </w:pPr>
      <w:bookmarkStart w:id="334" w:name="bookmark540"/>
      <w:r>
        <w:rPr>
          <w:rFonts w:hint="eastAsia" w:ascii="宋体" w:hAnsi="宋体" w:eastAsia="宋体" w:cs="宋体"/>
          <w:color w:val="auto"/>
          <w:sz w:val="24"/>
          <w:highlight w:val="none"/>
        </w:rPr>
        <w:t>八</w:t>
      </w:r>
      <w:bookmarkEnd w:id="334"/>
      <w:r>
        <w:rPr>
          <w:rFonts w:hint="eastAsia" w:ascii="宋体" w:hAnsi="宋体" w:eastAsia="宋体" w:cs="宋体"/>
          <w:color w:val="auto"/>
          <w:sz w:val="24"/>
          <w:highlight w:val="none"/>
        </w:rPr>
        <w:t>、响应方案</w:t>
      </w:r>
      <w:r>
        <w:rPr>
          <w:rFonts w:hint="eastAsia" w:ascii="宋体" w:hAnsi="宋体" w:eastAsia="宋体" w:cs="宋体"/>
          <w:color w:val="auto"/>
          <w:sz w:val="24"/>
          <w:highlight w:val="none"/>
          <w:lang w:val="en-US" w:eastAsia="zh-CN" w:bidi="en-US"/>
        </w:rPr>
        <w:t>（A）</w:t>
      </w:r>
    </w:p>
    <w:p>
      <w:pPr>
        <w:pageBreakBefore w:val="0"/>
        <w:kinsoku/>
        <w:overflowPunct/>
        <w:topLinePunct w:val="0"/>
        <w:bidi w:val="0"/>
        <w:snapToGrid/>
        <w:spacing w:line="360" w:lineRule="auto"/>
        <w:rPr>
          <w:rFonts w:hint="eastAsia" w:ascii="宋体" w:hAnsi="宋体" w:eastAsia="宋体" w:cs="宋体"/>
          <w:color w:val="auto"/>
          <w:sz w:val="24"/>
          <w:highlight w:val="none"/>
        </w:rPr>
      </w:pPr>
      <w:bookmarkStart w:id="335" w:name="bookmark543"/>
      <w:r>
        <w:rPr>
          <w:rFonts w:hint="eastAsia" w:ascii="宋体" w:hAnsi="宋体" w:eastAsia="宋体" w:cs="宋体"/>
          <w:color w:val="auto"/>
          <w:sz w:val="24"/>
          <w:highlight w:val="none"/>
        </w:rPr>
        <w:t>九</w:t>
      </w:r>
      <w:bookmarkEnd w:id="335"/>
      <w:r>
        <w:rPr>
          <w:rFonts w:hint="eastAsia" w:ascii="宋体" w:hAnsi="宋体" w:eastAsia="宋体" w:cs="宋体"/>
          <w:color w:val="auto"/>
          <w:sz w:val="24"/>
          <w:highlight w:val="none"/>
        </w:rPr>
        <w:t>、其他资料</w:t>
      </w:r>
    </w:p>
    <w:p>
      <w:pPr>
        <w:pageBreakBefore w:val="0"/>
        <w:kinsoku/>
        <w:overflowPunct/>
        <w:topLinePunct w:val="0"/>
        <w:bidi w:val="0"/>
        <w:snapToGrid/>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br w:type="page"/>
      </w:r>
    </w:p>
    <w:p>
      <w:pPr>
        <w:pStyle w:val="67"/>
        <w:jc w:val="left"/>
        <w:outlineLvl w:val="1"/>
        <w:rPr>
          <w:rStyle w:val="21"/>
          <w:rFonts w:ascii="Times New Roman" w:hAnsi="Times New Roman" w:eastAsia="Times New Roman" w:cs="Times New Roman"/>
          <w:color w:val="auto"/>
          <w:highlight w:val="none"/>
        </w:rPr>
      </w:pPr>
      <w:bookmarkStart w:id="336" w:name="_Toc13078"/>
      <w:bookmarkStart w:id="337" w:name="_Toc15691"/>
      <w:r>
        <w:rPr>
          <w:rFonts w:hint="eastAsia" w:ascii="宋体" w:hAnsi="宋体" w:eastAsia="宋体" w:cs="宋体"/>
          <w:color w:val="auto"/>
          <w:highlight w:val="none"/>
        </w:rPr>
        <w:t>—、</w:t>
      </w:r>
      <w:bookmarkEnd w:id="336"/>
      <w:r>
        <w:rPr>
          <w:rStyle w:val="21"/>
          <w:rFonts w:hint="eastAsia" w:ascii="黑体" w:hAnsi="黑体" w:eastAsia="黑体" w:cs="黑体"/>
          <w:b/>
          <w:color w:val="auto"/>
          <w:sz w:val="32"/>
          <w:highlight w:val="none"/>
          <w:lang w:eastAsia="zh-CN"/>
        </w:rPr>
        <w:t>响应</w:t>
      </w:r>
      <w:r>
        <w:rPr>
          <w:rStyle w:val="21"/>
          <w:rFonts w:ascii="黑体" w:hAnsi="黑体" w:eastAsia="黑体" w:cs="黑体"/>
          <w:b/>
          <w:color w:val="auto"/>
          <w:sz w:val="32"/>
          <w:highlight w:val="none"/>
        </w:rPr>
        <w:t>函及投标函附录</w:t>
      </w:r>
      <w:bookmarkEnd w:id="337"/>
    </w:p>
    <w:p>
      <w:pPr>
        <w:pStyle w:val="68"/>
        <w:spacing w:line="360" w:lineRule="auto"/>
        <w:jc w:val="center"/>
        <w:rPr>
          <w:rStyle w:val="21"/>
          <w:rFonts w:ascii="黑体" w:hAnsi="黑体" w:eastAsia="黑体" w:cs="Times New Roman"/>
          <w:color w:val="auto"/>
          <w:sz w:val="24"/>
          <w:szCs w:val="24"/>
          <w:highlight w:val="none"/>
        </w:rPr>
      </w:pPr>
      <w:r>
        <w:rPr>
          <w:rStyle w:val="21"/>
          <w:rFonts w:hint="eastAsia" w:ascii="黑体" w:hAnsi="黑体" w:eastAsia="黑体" w:cs="Times New Roman"/>
          <w:color w:val="auto"/>
          <w:sz w:val="24"/>
          <w:szCs w:val="24"/>
          <w:highlight w:val="none"/>
        </w:rPr>
        <w:t>(一)投标函</w:t>
      </w:r>
    </w:p>
    <w:p>
      <w:pPr>
        <w:pStyle w:val="68"/>
        <w:spacing w:line="360" w:lineRule="auto"/>
        <w:rPr>
          <w:rStyle w:val="21"/>
          <w:rFonts w:ascii="宋体" w:hAnsi="宋体" w:eastAsia="宋体" w:cs="Times New Roman"/>
          <w:color w:val="auto"/>
          <w:sz w:val="24"/>
          <w:szCs w:val="24"/>
          <w:highlight w:val="none"/>
        </w:rPr>
      </w:pPr>
      <w:r>
        <w:rPr>
          <w:rStyle w:val="21"/>
          <w:rFonts w:hint="eastAsia" w:ascii="宋体" w:hAnsi="宋体" w:eastAsia="宋体" w:cs="Times New Roman"/>
          <w:color w:val="auto"/>
          <w:sz w:val="24"/>
          <w:szCs w:val="24"/>
          <w:highlight w:val="none"/>
        </w:rPr>
        <w:t>(招标人名称)：</w:t>
      </w:r>
    </w:p>
    <w:p>
      <w:pPr>
        <w:pStyle w:val="68"/>
        <w:spacing w:line="360" w:lineRule="auto"/>
        <w:rPr>
          <w:rStyle w:val="21"/>
          <w:rFonts w:ascii="Calibri" w:hAnsi="Calibri" w:eastAsia="宋体" w:cs="Times New Roman"/>
          <w:color w:val="auto"/>
          <w:sz w:val="24"/>
          <w:szCs w:val="24"/>
          <w:highlight w:val="none"/>
        </w:rPr>
      </w:pPr>
      <w:r>
        <w:rPr>
          <w:rStyle w:val="21"/>
          <w:rFonts w:hint="eastAsia" w:ascii="Calibri" w:hAnsi="Calibri" w:eastAsia="宋体" w:cs="Times New Roman"/>
          <w:color w:val="auto"/>
          <w:sz w:val="24"/>
          <w:szCs w:val="24"/>
          <w:highlight w:val="none"/>
        </w:rPr>
        <w:t>1.我方</w:t>
      </w:r>
      <w:r>
        <w:rPr>
          <w:rStyle w:val="21"/>
          <w:rFonts w:hint="eastAsia" w:ascii="宋体" w:hAnsi="宋体" w:eastAsia="宋体" w:cs="Times New Roman"/>
          <w:color w:val="auto"/>
          <w:sz w:val="24"/>
          <w:szCs w:val="24"/>
          <w:highlight w:val="none"/>
        </w:rPr>
        <w:t>已仔细研究了</w:t>
      </w:r>
      <w:r>
        <w:rPr>
          <w:rStyle w:val="21"/>
          <w:rFonts w:hint="eastAsia" w:ascii="宋体" w:hAnsi="宋体" w:eastAsia="宋体" w:cs="Times New Roman"/>
          <w:color w:val="auto"/>
          <w:sz w:val="24"/>
          <w:szCs w:val="24"/>
          <w:highlight w:val="none"/>
          <w:u w:val="single"/>
        </w:rPr>
        <w:t xml:space="preserve"> </w:t>
      </w:r>
      <w:r>
        <w:rPr>
          <w:rStyle w:val="21"/>
          <w:rFonts w:hint="eastAsia" w:ascii="宋体" w:hAnsi="宋体" w:eastAsia="宋体" w:cs="Times New Roman"/>
          <w:color w:val="auto"/>
          <w:sz w:val="24"/>
          <w:szCs w:val="24"/>
          <w:highlight w:val="none"/>
        </w:rPr>
        <w:t>(项目名称)</w:t>
      </w:r>
      <w:r>
        <w:rPr>
          <w:rStyle w:val="21"/>
          <w:rFonts w:hint="eastAsia" w:ascii="宋体" w:hAnsi="宋体" w:eastAsia="宋体" w:cs="Times New Roman"/>
          <w:color w:val="auto"/>
          <w:sz w:val="24"/>
          <w:szCs w:val="24"/>
          <w:highlight w:val="none"/>
          <w:u w:val="single"/>
        </w:rPr>
        <w:t xml:space="preserve">     (</w:t>
      </w:r>
      <w:r>
        <w:rPr>
          <w:rStyle w:val="21"/>
          <w:rFonts w:hint="eastAsia" w:ascii="宋体" w:hAnsi="宋体" w:eastAsia="宋体" w:cs="Times New Roman"/>
          <w:color w:val="auto"/>
          <w:sz w:val="24"/>
          <w:szCs w:val="24"/>
          <w:highlight w:val="none"/>
        </w:rPr>
        <w:t>标段名称)招标文件的全部内容，愿意以人民币(大写)元(¥元)的投标总报价，工期日历天，按合同约定实施和完成承包工程，修补工程中的任何缺陷，工程质量达</w:t>
      </w:r>
      <w:r>
        <w:rPr>
          <w:rStyle w:val="21"/>
          <w:rFonts w:hint="eastAsia" w:ascii="Calibri" w:hAnsi="Calibri" w:eastAsia="宋体" w:cs="Times New Roman"/>
          <w:color w:val="auto"/>
          <w:sz w:val="24"/>
          <w:szCs w:val="24"/>
          <w:highlight w:val="none"/>
        </w:rPr>
        <w:t>到。</w:t>
      </w:r>
    </w:p>
    <w:p>
      <w:pPr>
        <w:pStyle w:val="68"/>
        <w:spacing w:line="360" w:lineRule="auto"/>
        <w:rPr>
          <w:rStyle w:val="21"/>
          <w:rFonts w:ascii="Calibri" w:hAnsi="Calibri" w:eastAsia="宋体" w:cs="Times New Roman"/>
          <w:color w:val="auto"/>
          <w:sz w:val="24"/>
          <w:szCs w:val="24"/>
          <w:highlight w:val="none"/>
        </w:rPr>
      </w:pPr>
      <w:r>
        <w:rPr>
          <w:rStyle w:val="21"/>
          <w:rFonts w:hint="eastAsia" w:ascii="Calibri" w:hAnsi="Calibri" w:eastAsia="宋体" w:cs="Times New Roman"/>
          <w:color w:val="auto"/>
          <w:sz w:val="24"/>
          <w:szCs w:val="24"/>
          <w:highlight w:val="none"/>
        </w:rPr>
        <w:t>2.我方承诺在投标有效期内不补充、修改、替代或者撤回本投标文件。</w:t>
      </w:r>
    </w:p>
    <w:p>
      <w:pPr>
        <w:pStyle w:val="68"/>
        <w:spacing w:line="360" w:lineRule="auto"/>
        <w:rPr>
          <w:rStyle w:val="21"/>
          <w:rFonts w:ascii="宋体" w:hAnsi="宋体" w:eastAsia="宋体" w:cs="Times New Roman"/>
          <w:color w:val="auto"/>
          <w:sz w:val="24"/>
          <w:szCs w:val="24"/>
          <w:highlight w:val="none"/>
        </w:rPr>
      </w:pPr>
      <w:r>
        <w:rPr>
          <w:rStyle w:val="21"/>
          <w:rFonts w:hint="eastAsia" w:ascii="Calibri" w:hAnsi="Calibri" w:eastAsia="宋体" w:cs="Times New Roman"/>
          <w:color w:val="auto"/>
          <w:sz w:val="24"/>
          <w:szCs w:val="24"/>
          <w:highlight w:val="none"/>
        </w:rPr>
        <w:t>3.随同本投标函递交投标</w:t>
      </w:r>
      <w:r>
        <w:rPr>
          <w:rStyle w:val="21"/>
          <w:rFonts w:hint="eastAsia" w:ascii="宋体" w:hAnsi="宋体" w:eastAsia="宋体" w:cs="Times New Roman"/>
          <w:color w:val="auto"/>
          <w:sz w:val="24"/>
          <w:szCs w:val="24"/>
          <w:highlight w:val="none"/>
        </w:rPr>
        <w:t>保证金一份，金额为人民币(大写)元(¥元)。</w:t>
      </w:r>
    </w:p>
    <w:p>
      <w:pPr>
        <w:pStyle w:val="68"/>
        <w:spacing w:line="360" w:lineRule="auto"/>
        <w:rPr>
          <w:rStyle w:val="21"/>
          <w:rFonts w:ascii="Calibri" w:hAnsi="Calibri" w:eastAsia="宋体" w:cs="Times New Roman"/>
          <w:color w:val="auto"/>
          <w:sz w:val="24"/>
          <w:szCs w:val="24"/>
          <w:highlight w:val="none"/>
        </w:rPr>
      </w:pPr>
      <w:r>
        <w:rPr>
          <w:rStyle w:val="21"/>
          <w:rFonts w:hint="eastAsia" w:ascii="Calibri" w:hAnsi="Calibri" w:eastAsia="宋体" w:cs="Times New Roman"/>
          <w:color w:val="auto"/>
          <w:sz w:val="24"/>
          <w:szCs w:val="24"/>
          <w:highlight w:val="none"/>
        </w:rPr>
        <w:t>4.如我方中标：</w:t>
      </w:r>
    </w:p>
    <w:p>
      <w:pPr>
        <w:pStyle w:val="68"/>
        <w:spacing w:line="360" w:lineRule="auto"/>
        <w:rPr>
          <w:rStyle w:val="21"/>
          <w:rFonts w:ascii="宋体" w:hAnsi="宋体" w:eastAsia="宋体" w:cs="Times New Roman"/>
          <w:color w:val="auto"/>
          <w:sz w:val="24"/>
          <w:szCs w:val="24"/>
          <w:highlight w:val="none"/>
        </w:rPr>
      </w:pPr>
      <w:r>
        <w:rPr>
          <w:rStyle w:val="21"/>
          <w:rFonts w:hint="eastAsia" w:ascii="宋体" w:hAnsi="宋体" w:eastAsia="宋体" w:cs="Times New Roman"/>
          <w:color w:val="auto"/>
          <w:sz w:val="24"/>
          <w:szCs w:val="24"/>
          <w:highlight w:val="none"/>
        </w:rPr>
        <w:t>(1)我方承诺在收到中标通知书后，在中标通知书规定的期限内与你方签订合同；</w:t>
      </w:r>
    </w:p>
    <w:p>
      <w:pPr>
        <w:pStyle w:val="68"/>
        <w:spacing w:line="360" w:lineRule="auto"/>
        <w:rPr>
          <w:rStyle w:val="21"/>
          <w:rFonts w:ascii="宋体" w:hAnsi="宋体" w:eastAsia="宋体" w:cs="Times New Roman"/>
          <w:color w:val="auto"/>
          <w:sz w:val="24"/>
          <w:szCs w:val="24"/>
          <w:highlight w:val="none"/>
        </w:rPr>
      </w:pPr>
      <w:r>
        <w:rPr>
          <w:rStyle w:val="21"/>
          <w:rFonts w:hint="eastAsia" w:ascii="宋体" w:hAnsi="宋体" w:eastAsia="宋体" w:cs="Times New Roman"/>
          <w:color w:val="auto"/>
          <w:sz w:val="24"/>
          <w:szCs w:val="24"/>
          <w:highlight w:val="none"/>
        </w:rPr>
        <w:t>(2)随同本投标函递交的投标函附录属于合同文件的组成部分；</w:t>
      </w:r>
    </w:p>
    <w:p>
      <w:pPr>
        <w:pStyle w:val="68"/>
        <w:spacing w:line="360" w:lineRule="auto"/>
        <w:rPr>
          <w:rStyle w:val="21"/>
          <w:rFonts w:ascii="宋体" w:hAnsi="宋体" w:eastAsia="宋体" w:cs="Times New Roman"/>
          <w:color w:val="auto"/>
          <w:sz w:val="24"/>
          <w:szCs w:val="24"/>
          <w:highlight w:val="none"/>
        </w:rPr>
      </w:pPr>
      <w:r>
        <w:rPr>
          <w:rStyle w:val="21"/>
          <w:rFonts w:hint="eastAsia" w:ascii="宋体" w:hAnsi="宋体" w:eastAsia="宋体" w:cs="Times New Roman"/>
          <w:color w:val="auto"/>
          <w:sz w:val="24"/>
          <w:szCs w:val="24"/>
          <w:highlight w:val="none"/>
        </w:rPr>
        <w:t>(3)我方承诺按照招标文件规定向你方递交履约担保；</w:t>
      </w:r>
    </w:p>
    <w:p>
      <w:pPr>
        <w:pStyle w:val="68"/>
        <w:spacing w:line="360" w:lineRule="auto"/>
        <w:rPr>
          <w:rStyle w:val="21"/>
          <w:rFonts w:ascii="宋体" w:hAnsi="宋体" w:eastAsia="宋体" w:cs="Times New Roman"/>
          <w:color w:val="auto"/>
          <w:sz w:val="24"/>
          <w:szCs w:val="24"/>
          <w:highlight w:val="none"/>
        </w:rPr>
      </w:pPr>
      <w:r>
        <w:rPr>
          <w:rStyle w:val="21"/>
          <w:rFonts w:hint="eastAsia" w:ascii="宋体" w:hAnsi="宋体" w:eastAsia="宋体" w:cs="Times New Roman"/>
          <w:color w:val="auto"/>
          <w:sz w:val="24"/>
          <w:szCs w:val="24"/>
          <w:highlight w:val="none"/>
        </w:rPr>
        <w:t>(4)我方承诺在合同约定的期限内完成并移交全部合同工程。</w:t>
      </w:r>
    </w:p>
    <w:p>
      <w:pPr>
        <w:pStyle w:val="68"/>
        <w:spacing w:line="360" w:lineRule="auto"/>
        <w:rPr>
          <w:rStyle w:val="21"/>
          <w:rFonts w:ascii="Calibri" w:hAnsi="Calibri" w:eastAsia="宋体" w:cs="Times New Roman"/>
          <w:color w:val="auto"/>
          <w:sz w:val="24"/>
          <w:szCs w:val="24"/>
          <w:highlight w:val="none"/>
        </w:rPr>
      </w:pPr>
      <w:r>
        <w:rPr>
          <w:rStyle w:val="21"/>
          <w:rFonts w:hint="eastAsia" w:ascii="Calibri" w:hAnsi="Calibri" w:eastAsia="宋体" w:cs="Times New Roman"/>
          <w:color w:val="auto"/>
          <w:sz w:val="24"/>
          <w:szCs w:val="24"/>
          <w:highlight w:val="none"/>
        </w:rPr>
        <w:t>5.我方在此声明，所递交的投标文件及有关资料内容完整、真实和准确，且不存在第2章投标人须知第1.4.3款规定的任何一种情形。</w:t>
      </w:r>
    </w:p>
    <w:p>
      <w:pPr>
        <w:pStyle w:val="68"/>
        <w:spacing w:line="360" w:lineRule="auto"/>
        <w:rPr>
          <w:rStyle w:val="21"/>
          <w:rFonts w:ascii="宋体" w:hAnsi="宋体" w:eastAsia="宋体" w:cs="Times New Roman"/>
          <w:color w:val="auto"/>
          <w:sz w:val="24"/>
          <w:szCs w:val="24"/>
          <w:highlight w:val="none"/>
        </w:rPr>
      </w:pPr>
      <w:r>
        <w:rPr>
          <w:rStyle w:val="21"/>
          <w:rFonts w:hint="eastAsia" w:ascii="Calibri" w:hAnsi="Calibri" w:eastAsia="宋体" w:cs="Times New Roman"/>
          <w:color w:val="auto"/>
          <w:sz w:val="24"/>
          <w:szCs w:val="24"/>
          <w:highlight w:val="none"/>
        </w:rPr>
        <w:t>6.</w:t>
      </w:r>
      <w:r>
        <w:rPr>
          <w:rStyle w:val="21"/>
          <w:rFonts w:hint="eastAsia" w:ascii="宋体" w:hAnsi="宋体" w:eastAsia="宋体" w:cs="Times New Roman"/>
          <w:color w:val="auto"/>
          <w:sz w:val="24"/>
          <w:szCs w:val="24"/>
          <w:highlight w:val="none"/>
        </w:rPr>
        <w:t>其它补充说明。</w:t>
      </w:r>
    </w:p>
    <w:p>
      <w:pPr>
        <w:pStyle w:val="68"/>
        <w:spacing w:line="360" w:lineRule="auto"/>
        <w:rPr>
          <w:rStyle w:val="21"/>
          <w:rFonts w:ascii="宋体" w:hAnsi="宋体" w:eastAsia="宋体" w:cs="Times New Roman"/>
          <w:color w:val="auto"/>
          <w:sz w:val="24"/>
          <w:szCs w:val="24"/>
          <w:highlight w:val="none"/>
        </w:rPr>
      </w:pPr>
      <w:r>
        <w:rPr>
          <w:rStyle w:val="21"/>
          <w:rFonts w:hint="eastAsia" w:ascii="Calibri" w:hAnsi="Calibri" w:eastAsia="宋体" w:cs="Times New Roman"/>
          <w:color w:val="auto"/>
          <w:sz w:val="24"/>
          <w:szCs w:val="24"/>
          <w:highlight w:val="none"/>
        </w:rPr>
        <w:t xml:space="preserve">     投标人：</w:t>
      </w:r>
      <w:r>
        <w:rPr>
          <w:rStyle w:val="21"/>
          <w:rFonts w:hint="eastAsia" w:ascii="Calibri" w:hAnsi="Calibri" w:eastAsia="宋体" w:cs="Times New Roman"/>
          <w:color w:val="auto"/>
          <w:sz w:val="24"/>
          <w:szCs w:val="24"/>
          <w:highlight w:val="none"/>
          <w:u w:val="single"/>
        </w:rPr>
        <w:t xml:space="preserve">      </w:t>
      </w:r>
      <w:r>
        <w:rPr>
          <w:rStyle w:val="21"/>
          <w:rFonts w:hint="eastAsia" w:ascii="宋体" w:hAnsi="宋体" w:eastAsia="宋体" w:cs="Times New Roman"/>
          <w:color w:val="auto"/>
          <w:sz w:val="24"/>
          <w:szCs w:val="24"/>
          <w:highlight w:val="none"/>
        </w:rPr>
        <w:t>(</w:t>
      </w:r>
      <w:r>
        <w:rPr>
          <w:rStyle w:val="21"/>
          <w:rFonts w:hint="eastAsia" w:ascii="宋体" w:hAnsi="宋体" w:eastAsia="宋体" w:cs="Times New Roman"/>
          <w:color w:val="auto"/>
          <w:sz w:val="24"/>
          <w:szCs w:val="24"/>
          <w:highlight w:val="none"/>
          <w:lang w:val="zh-CN"/>
        </w:rPr>
        <w:t>公章</w:t>
      </w:r>
      <w:r>
        <w:rPr>
          <w:rStyle w:val="21"/>
          <w:rFonts w:hint="eastAsia" w:ascii="宋体" w:hAnsi="宋体" w:eastAsia="宋体" w:cs="Times New Roman"/>
          <w:color w:val="auto"/>
          <w:sz w:val="24"/>
          <w:szCs w:val="24"/>
          <w:highlight w:val="none"/>
        </w:rPr>
        <w:t>)</w:t>
      </w:r>
    </w:p>
    <w:p>
      <w:pPr>
        <w:pStyle w:val="68"/>
        <w:spacing w:line="360" w:lineRule="auto"/>
        <w:rPr>
          <w:rStyle w:val="21"/>
          <w:rFonts w:hint="eastAsia" w:ascii="Calibri" w:hAnsi="Calibri" w:eastAsia="宋体" w:cs="Times New Roman"/>
          <w:color w:val="auto"/>
          <w:sz w:val="24"/>
          <w:szCs w:val="24"/>
          <w:highlight w:val="none"/>
        </w:rPr>
      </w:pPr>
      <w:r>
        <w:rPr>
          <w:rStyle w:val="21"/>
          <w:rFonts w:hint="eastAsia" w:ascii="宋体" w:hAnsi="宋体" w:eastAsia="宋体" w:cs="Times New Roman"/>
          <w:color w:val="auto"/>
          <w:sz w:val="24"/>
          <w:szCs w:val="24"/>
          <w:highlight w:val="none"/>
        </w:rPr>
        <w:t xml:space="preserve">     法定代表人：</w:t>
      </w:r>
      <w:r>
        <w:rPr>
          <w:rStyle w:val="21"/>
          <w:rFonts w:hint="eastAsia" w:ascii="宋体" w:hAnsi="宋体" w:eastAsia="宋体" w:cs="Times New Roman"/>
          <w:color w:val="auto"/>
          <w:sz w:val="24"/>
          <w:szCs w:val="24"/>
          <w:highlight w:val="none"/>
          <w:u w:val="single"/>
        </w:rPr>
        <w:t xml:space="preserve">    </w:t>
      </w:r>
      <w:r>
        <w:rPr>
          <w:rStyle w:val="21"/>
          <w:rFonts w:hint="eastAsia" w:ascii="宋体" w:hAnsi="宋体" w:eastAsia="宋体" w:cs="Times New Roman"/>
          <w:color w:val="auto"/>
          <w:sz w:val="24"/>
          <w:szCs w:val="24"/>
          <w:highlight w:val="none"/>
        </w:rPr>
        <w:t>(法定代表人签名)</w:t>
      </w:r>
    </w:p>
    <w:p>
      <w:pPr>
        <w:pStyle w:val="68"/>
        <w:spacing w:line="360" w:lineRule="auto"/>
        <w:rPr>
          <w:rStyle w:val="21"/>
          <w:rFonts w:ascii="Calibri" w:hAnsi="Calibri" w:eastAsia="宋体" w:cs="Times New Roman"/>
          <w:color w:val="auto"/>
          <w:sz w:val="24"/>
          <w:szCs w:val="24"/>
          <w:highlight w:val="none"/>
          <w:u w:val="single"/>
        </w:rPr>
      </w:pPr>
      <w:r>
        <w:rPr>
          <w:rStyle w:val="21"/>
          <w:rFonts w:hint="eastAsia" w:ascii="Calibri" w:hAnsi="Calibri" w:eastAsia="宋体" w:cs="Times New Roman"/>
          <w:color w:val="auto"/>
          <w:sz w:val="24"/>
          <w:szCs w:val="24"/>
          <w:highlight w:val="none"/>
        </w:rPr>
        <w:t xml:space="preserve"> 地址：</w:t>
      </w:r>
      <w:r>
        <w:rPr>
          <w:rStyle w:val="21"/>
          <w:rFonts w:hint="eastAsia" w:ascii="Calibri" w:hAnsi="Calibri" w:eastAsia="宋体" w:cs="Times New Roman"/>
          <w:color w:val="auto"/>
          <w:sz w:val="24"/>
          <w:szCs w:val="24"/>
          <w:highlight w:val="none"/>
          <w:u w:val="single"/>
        </w:rPr>
        <w:t xml:space="preserve">                              </w:t>
      </w:r>
    </w:p>
    <w:p>
      <w:pPr>
        <w:pStyle w:val="68"/>
        <w:spacing w:line="360" w:lineRule="auto"/>
        <w:rPr>
          <w:rStyle w:val="21"/>
          <w:rFonts w:ascii="Calibri" w:hAnsi="Calibri" w:eastAsia="宋体" w:cs="Times New Roman"/>
          <w:color w:val="auto"/>
          <w:sz w:val="24"/>
          <w:szCs w:val="24"/>
          <w:highlight w:val="none"/>
          <w:u w:val="single"/>
        </w:rPr>
      </w:pPr>
      <w:r>
        <w:rPr>
          <w:rStyle w:val="21"/>
          <w:rFonts w:hint="eastAsia" w:ascii="Calibri" w:hAnsi="Calibri" w:eastAsia="宋体" w:cs="Times New Roman"/>
          <w:color w:val="auto"/>
          <w:sz w:val="24"/>
          <w:szCs w:val="24"/>
          <w:highlight w:val="none"/>
        </w:rPr>
        <w:t xml:space="preserve"> 网址：</w:t>
      </w:r>
      <w:r>
        <w:rPr>
          <w:rStyle w:val="21"/>
          <w:rFonts w:hint="eastAsia" w:ascii="Calibri" w:hAnsi="Calibri" w:eastAsia="宋体" w:cs="Times New Roman"/>
          <w:color w:val="auto"/>
          <w:sz w:val="24"/>
          <w:szCs w:val="24"/>
          <w:highlight w:val="none"/>
          <w:u w:val="single"/>
        </w:rPr>
        <w:t xml:space="preserve">                              </w:t>
      </w:r>
    </w:p>
    <w:p>
      <w:pPr>
        <w:pStyle w:val="68"/>
        <w:spacing w:line="360" w:lineRule="auto"/>
        <w:rPr>
          <w:rStyle w:val="21"/>
          <w:rFonts w:ascii="Calibri" w:hAnsi="Calibri" w:eastAsia="宋体" w:cs="Times New Roman"/>
          <w:color w:val="auto"/>
          <w:sz w:val="24"/>
          <w:szCs w:val="24"/>
          <w:highlight w:val="none"/>
          <w:u w:val="single"/>
        </w:rPr>
      </w:pPr>
      <w:r>
        <w:rPr>
          <w:rStyle w:val="21"/>
          <w:rFonts w:hint="eastAsia" w:ascii="Calibri" w:hAnsi="Calibri" w:eastAsia="宋体" w:cs="Times New Roman"/>
          <w:color w:val="auto"/>
          <w:sz w:val="24"/>
          <w:szCs w:val="24"/>
          <w:highlight w:val="none"/>
        </w:rPr>
        <w:t xml:space="preserve"> 电话：</w:t>
      </w:r>
      <w:r>
        <w:rPr>
          <w:rStyle w:val="21"/>
          <w:rFonts w:hint="eastAsia" w:ascii="Calibri" w:hAnsi="Calibri" w:eastAsia="宋体" w:cs="Times New Roman"/>
          <w:color w:val="auto"/>
          <w:sz w:val="24"/>
          <w:szCs w:val="24"/>
          <w:highlight w:val="none"/>
          <w:u w:val="single"/>
        </w:rPr>
        <w:t xml:space="preserve">                              </w:t>
      </w:r>
    </w:p>
    <w:p>
      <w:pPr>
        <w:pStyle w:val="68"/>
        <w:spacing w:line="360" w:lineRule="auto"/>
        <w:rPr>
          <w:rStyle w:val="21"/>
          <w:rFonts w:ascii="Calibri" w:hAnsi="Calibri" w:eastAsia="宋体" w:cs="Times New Roman"/>
          <w:color w:val="auto"/>
          <w:sz w:val="24"/>
          <w:szCs w:val="24"/>
          <w:highlight w:val="none"/>
          <w:u w:val="single"/>
        </w:rPr>
      </w:pPr>
      <w:r>
        <w:rPr>
          <w:rStyle w:val="21"/>
          <w:rFonts w:hint="eastAsia" w:ascii="Calibri" w:hAnsi="Calibri" w:eastAsia="宋体" w:cs="Times New Roman"/>
          <w:color w:val="auto"/>
          <w:sz w:val="24"/>
          <w:szCs w:val="24"/>
          <w:highlight w:val="none"/>
        </w:rPr>
        <w:t xml:space="preserve"> 传真：</w:t>
      </w:r>
      <w:r>
        <w:rPr>
          <w:rStyle w:val="21"/>
          <w:rFonts w:hint="eastAsia" w:ascii="Calibri" w:hAnsi="Calibri" w:eastAsia="宋体" w:cs="Times New Roman"/>
          <w:color w:val="auto"/>
          <w:sz w:val="24"/>
          <w:szCs w:val="24"/>
          <w:highlight w:val="none"/>
          <w:u w:val="single"/>
        </w:rPr>
        <w:t xml:space="preserve">                              </w:t>
      </w:r>
    </w:p>
    <w:p>
      <w:pPr>
        <w:pStyle w:val="68"/>
        <w:spacing w:line="360" w:lineRule="auto"/>
        <w:rPr>
          <w:rStyle w:val="21"/>
          <w:rFonts w:ascii="Calibri" w:hAnsi="Calibri" w:eastAsia="宋体" w:cs="Times New Roman"/>
          <w:color w:val="auto"/>
          <w:sz w:val="24"/>
          <w:szCs w:val="24"/>
          <w:highlight w:val="none"/>
          <w:u w:val="single"/>
        </w:rPr>
      </w:pPr>
      <w:r>
        <w:rPr>
          <w:rStyle w:val="21"/>
          <w:rFonts w:hint="eastAsia" w:ascii="Calibri" w:hAnsi="Calibri" w:eastAsia="宋体" w:cs="Times New Roman"/>
          <w:color w:val="auto"/>
          <w:sz w:val="24"/>
          <w:szCs w:val="24"/>
          <w:highlight w:val="none"/>
        </w:rPr>
        <w:t xml:space="preserve"> 邮政编码：</w:t>
      </w:r>
      <w:r>
        <w:rPr>
          <w:rStyle w:val="21"/>
          <w:rFonts w:hint="eastAsia" w:ascii="Calibri" w:hAnsi="Calibri" w:eastAsia="宋体" w:cs="Times New Roman"/>
          <w:color w:val="auto"/>
          <w:sz w:val="24"/>
          <w:szCs w:val="24"/>
          <w:highlight w:val="none"/>
          <w:u w:val="single"/>
        </w:rPr>
        <w:t xml:space="preserve">                          </w:t>
      </w:r>
    </w:p>
    <w:p>
      <w:pPr>
        <w:pStyle w:val="68"/>
        <w:spacing w:line="360" w:lineRule="auto"/>
        <w:rPr>
          <w:rStyle w:val="21"/>
          <w:rFonts w:ascii="Calibri" w:hAnsi="Calibri" w:eastAsia="宋体" w:cs="Times New Roman"/>
          <w:color w:val="auto"/>
          <w:sz w:val="24"/>
          <w:highlight w:val="none"/>
        </w:rPr>
      </w:pPr>
      <w:r>
        <w:rPr>
          <w:rStyle w:val="21"/>
          <w:rFonts w:hint="eastAsia" w:ascii="Calibri" w:hAnsi="Calibri" w:eastAsia="宋体" w:cs="Times New Roman"/>
          <w:color w:val="auto"/>
          <w:sz w:val="24"/>
          <w:szCs w:val="24"/>
          <w:highlight w:val="none"/>
          <w:u w:val="single"/>
        </w:rPr>
        <w:t xml:space="preserve">    </w:t>
      </w:r>
      <w:r>
        <w:rPr>
          <w:rStyle w:val="21"/>
          <w:rFonts w:hint="eastAsia" w:ascii="Calibri" w:hAnsi="Calibri" w:eastAsia="宋体" w:cs="Times New Roman"/>
          <w:color w:val="auto"/>
          <w:sz w:val="24"/>
          <w:szCs w:val="24"/>
          <w:highlight w:val="none"/>
        </w:rPr>
        <w:t>年</w:t>
      </w:r>
      <w:r>
        <w:rPr>
          <w:rStyle w:val="21"/>
          <w:rFonts w:hint="eastAsia" w:ascii="Calibri" w:hAnsi="Calibri" w:eastAsia="宋体" w:cs="Times New Roman"/>
          <w:color w:val="auto"/>
          <w:sz w:val="24"/>
          <w:szCs w:val="24"/>
          <w:highlight w:val="none"/>
          <w:u w:val="single"/>
        </w:rPr>
        <w:t xml:space="preserve"> </w:t>
      </w:r>
      <w:r>
        <w:rPr>
          <w:rStyle w:val="21"/>
          <w:rFonts w:hint="eastAsia" w:ascii="Calibri" w:hAnsi="Calibri" w:eastAsia="宋体" w:cs="Times New Roman"/>
          <w:color w:val="auto"/>
          <w:sz w:val="24"/>
          <w:szCs w:val="24"/>
          <w:highlight w:val="none"/>
        </w:rPr>
        <w:t>月</w:t>
      </w:r>
      <w:r>
        <w:rPr>
          <w:rStyle w:val="21"/>
          <w:rFonts w:hint="eastAsia" w:ascii="Calibri" w:hAnsi="Calibri" w:eastAsia="宋体" w:cs="Times New Roman"/>
          <w:color w:val="auto"/>
          <w:sz w:val="24"/>
          <w:szCs w:val="24"/>
          <w:highlight w:val="none"/>
          <w:u w:val="single"/>
        </w:rPr>
        <w:t xml:space="preserve"> </w:t>
      </w:r>
      <w:r>
        <w:rPr>
          <w:rStyle w:val="21"/>
          <w:rFonts w:hint="eastAsia" w:ascii="Calibri" w:hAnsi="Calibri" w:eastAsia="宋体" w:cs="Times New Roman"/>
          <w:color w:val="auto"/>
          <w:sz w:val="24"/>
          <w:szCs w:val="24"/>
          <w:highlight w:val="none"/>
        </w:rPr>
        <w:t>日</w:t>
      </w:r>
    </w:p>
    <w:p>
      <w:pPr>
        <w:pStyle w:val="68"/>
        <w:spacing w:line="360" w:lineRule="auto"/>
        <w:jc w:val="center"/>
        <w:rPr>
          <w:rStyle w:val="21"/>
          <w:rFonts w:ascii="黑体" w:hAnsi="黑体" w:eastAsia="黑体" w:cs="Times New Roman"/>
          <w:color w:val="auto"/>
          <w:sz w:val="28"/>
          <w:szCs w:val="28"/>
          <w:highlight w:val="none"/>
        </w:rPr>
      </w:pPr>
      <w:r>
        <w:rPr>
          <w:rStyle w:val="21"/>
          <w:rFonts w:ascii="黑体" w:hAnsi="黑体" w:eastAsia="黑体" w:cs="Times New Roman"/>
          <w:color w:val="auto"/>
          <w:sz w:val="28"/>
          <w:szCs w:val="28"/>
          <w:highlight w:val="none"/>
        </w:rPr>
        <w:br w:type="page"/>
      </w:r>
      <w:r>
        <w:rPr>
          <w:rStyle w:val="21"/>
          <w:rFonts w:hint="eastAsia" w:ascii="黑体" w:hAnsi="黑体" w:eastAsia="黑体" w:cs="Times New Roman"/>
          <w:color w:val="auto"/>
          <w:sz w:val="28"/>
          <w:szCs w:val="28"/>
          <w:highlight w:val="none"/>
        </w:rPr>
        <w:t>(二)投标函附录</w:t>
      </w:r>
    </w:p>
    <w:tbl>
      <w:tblPr>
        <w:tblStyle w:val="19"/>
        <w:tblW w:w="963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903"/>
        <w:gridCol w:w="2951"/>
        <w:gridCol w:w="1986"/>
        <w:gridCol w:w="1986"/>
        <w:gridCol w:w="1812"/>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38" w:hRule="atLeast"/>
        </w:trPr>
        <w:tc>
          <w:tcPr>
            <w:tcW w:w="903" w:type="dxa"/>
            <w:noWrap w:val="0"/>
            <w:vAlign w:val="center"/>
          </w:tcPr>
          <w:p>
            <w:pPr>
              <w:pStyle w:val="68"/>
              <w:widowControl w:val="0"/>
              <w:spacing w:line="360" w:lineRule="auto"/>
              <w:jc w:val="center"/>
              <w:rPr>
                <w:rStyle w:val="21"/>
                <w:rFonts w:hint="eastAsia" w:asciiTheme="minorEastAsia" w:hAnsiTheme="minorEastAsia" w:eastAsiaTheme="minorEastAsia" w:cstheme="minorEastAsia"/>
                <w:color w:val="auto"/>
                <w:kern w:val="2"/>
                <w:sz w:val="24"/>
                <w:szCs w:val="24"/>
                <w:highlight w:val="none"/>
                <w:lang w:val="en-US" w:eastAsia="zh-CN" w:bidi="ar-SA"/>
              </w:rPr>
            </w:pPr>
            <w:r>
              <w:rPr>
                <w:rStyle w:val="21"/>
                <w:rFonts w:hint="eastAsia" w:asciiTheme="minorEastAsia" w:hAnsiTheme="minorEastAsia" w:eastAsiaTheme="minorEastAsia" w:cstheme="minorEastAsia"/>
                <w:color w:val="auto"/>
                <w:kern w:val="2"/>
                <w:sz w:val="24"/>
                <w:szCs w:val="24"/>
                <w:highlight w:val="none"/>
                <w:lang w:val="en-US" w:eastAsia="zh-CN" w:bidi="ar-SA"/>
              </w:rPr>
              <w:t>序号</w:t>
            </w:r>
          </w:p>
        </w:tc>
        <w:tc>
          <w:tcPr>
            <w:tcW w:w="2951" w:type="dxa"/>
            <w:noWrap w:val="0"/>
            <w:vAlign w:val="center"/>
          </w:tcPr>
          <w:p>
            <w:pPr>
              <w:pStyle w:val="68"/>
              <w:widowControl w:val="0"/>
              <w:spacing w:line="360" w:lineRule="auto"/>
              <w:jc w:val="center"/>
              <w:rPr>
                <w:rStyle w:val="21"/>
                <w:rFonts w:hint="eastAsia" w:asciiTheme="minorEastAsia" w:hAnsiTheme="minorEastAsia" w:eastAsiaTheme="minorEastAsia" w:cstheme="minorEastAsia"/>
                <w:color w:val="auto"/>
                <w:kern w:val="2"/>
                <w:sz w:val="24"/>
                <w:szCs w:val="24"/>
                <w:highlight w:val="none"/>
                <w:lang w:val="en-US" w:eastAsia="zh-CN" w:bidi="ar-SA"/>
              </w:rPr>
            </w:pPr>
            <w:r>
              <w:rPr>
                <w:rStyle w:val="21"/>
                <w:rFonts w:hint="eastAsia" w:asciiTheme="minorEastAsia" w:hAnsiTheme="minorEastAsia" w:eastAsiaTheme="minorEastAsia" w:cstheme="minorEastAsia"/>
                <w:color w:val="auto"/>
                <w:kern w:val="2"/>
                <w:sz w:val="24"/>
                <w:szCs w:val="24"/>
                <w:highlight w:val="none"/>
                <w:lang w:val="en-US" w:eastAsia="zh-CN" w:bidi="ar-SA"/>
              </w:rPr>
              <w:t>条款名称</w:t>
            </w:r>
          </w:p>
        </w:tc>
        <w:tc>
          <w:tcPr>
            <w:tcW w:w="1986" w:type="dxa"/>
            <w:noWrap w:val="0"/>
            <w:vAlign w:val="center"/>
          </w:tcPr>
          <w:p>
            <w:pPr>
              <w:pStyle w:val="68"/>
              <w:widowControl w:val="0"/>
              <w:spacing w:line="360" w:lineRule="auto"/>
              <w:jc w:val="center"/>
              <w:rPr>
                <w:rStyle w:val="21"/>
                <w:rFonts w:hint="eastAsia" w:asciiTheme="minorEastAsia" w:hAnsiTheme="minorEastAsia" w:eastAsiaTheme="minorEastAsia" w:cstheme="minorEastAsia"/>
                <w:color w:val="auto"/>
                <w:kern w:val="2"/>
                <w:sz w:val="24"/>
                <w:szCs w:val="24"/>
                <w:highlight w:val="none"/>
                <w:lang w:val="en-US" w:eastAsia="zh-CN" w:bidi="ar-SA"/>
              </w:rPr>
            </w:pPr>
            <w:r>
              <w:rPr>
                <w:rStyle w:val="21"/>
                <w:rFonts w:hint="eastAsia" w:asciiTheme="minorEastAsia" w:hAnsiTheme="minorEastAsia" w:eastAsiaTheme="minorEastAsia" w:cstheme="minorEastAsia"/>
                <w:color w:val="auto"/>
                <w:kern w:val="2"/>
                <w:sz w:val="24"/>
                <w:szCs w:val="24"/>
                <w:highlight w:val="none"/>
                <w:lang w:val="en-US" w:eastAsia="zh-CN" w:bidi="ar-SA"/>
              </w:rPr>
              <w:t>合同条款号</w:t>
            </w:r>
          </w:p>
        </w:tc>
        <w:tc>
          <w:tcPr>
            <w:tcW w:w="1986" w:type="dxa"/>
            <w:noWrap w:val="0"/>
            <w:vAlign w:val="center"/>
          </w:tcPr>
          <w:p>
            <w:pPr>
              <w:pStyle w:val="68"/>
              <w:widowControl w:val="0"/>
              <w:spacing w:line="360" w:lineRule="auto"/>
              <w:jc w:val="center"/>
              <w:rPr>
                <w:rStyle w:val="21"/>
                <w:rFonts w:hint="eastAsia" w:asciiTheme="minorEastAsia" w:hAnsiTheme="minorEastAsia" w:eastAsiaTheme="minorEastAsia" w:cstheme="minorEastAsia"/>
                <w:color w:val="auto"/>
                <w:kern w:val="2"/>
                <w:sz w:val="24"/>
                <w:szCs w:val="24"/>
                <w:highlight w:val="none"/>
                <w:lang w:val="en-US" w:eastAsia="zh-CN" w:bidi="ar-SA"/>
              </w:rPr>
            </w:pPr>
            <w:r>
              <w:rPr>
                <w:rStyle w:val="21"/>
                <w:rFonts w:hint="eastAsia" w:asciiTheme="minorEastAsia" w:hAnsiTheme="minorEastAsia" w:eastAsiaTheme="minorEastAsia" w:cstheme="minorEastAsia"/>
                <w:color w:val="auto"/>
                <w:kern w:val="2"/>
                <w:sz w:val="24"/>
                <w:szCs w:val="24"/>
                <w:highlight w:val="none"/>
                <w:lang w:val="en-US" w:eastAsia="zh-CN" w:bidi="ar-SA"/>
              </w:rPr>
              <w:t>约定内容</w:t>
            </w:r>
          </w:p>
        </w:tc>
        <w:tc>
          <w:tcPr>
            <w:tcW w:w="1812" w:type="dxa"/>
            <w:noWrap w:val="0"/>
            <w:vAlign w:val="center"/>
          </w:tcPr>
          <w:p>
            <w:pPr>
              <w:pStyle w:val="68"/>
              <w:widowControl w:val="0"/>
              <w:spacing w:line="360" w:lineRule="auto"/>
              <w:jc w:val="center"/>
              <w:rPr>
                <w:rStyle w:val="21"/>
                <w:rFonts w:hint="eastAsia" w:asciiTheme="minorEastAsia" w:hAnsiTheme="minorEastAsia" w:eastAsiaTheme="minorEastAsia" w:cstheme="minorEastAsia"/>
                <w:color w:val="auto"/>
                <w:kern w:val="2"/>
                <w:sz w:val="24"/>
                <w:szCs w:val="24"/>
                <w:highlight w:val="none"/>
                <w:lang w:val="en-US" w:eastAsia="zh-CN" w:bidi="ar-SA"/>
              </w:rPr>
            </w:pPr>
            <w:r>
              <w:rPr>
                <w:rStyle w:val="21"/>
                <w:rFonts w:hint="eastAsia" w:asciiTheme="minorEastAsia" w:hAnsiTheme="minorEastAsia" w:eastAsiaTheme="minorEastAsia" w:cstheme="minorEastAsia"/>
                <w:color w:val="auto"/>
                <w:kern w:val="2"/>
                <w:sz w:val="24"/>
                <w:szCs w:val="24"/>
                <w:highlight w:val="none"/>
                <w:lang w:val="en-US" w:eastAsia="zh-CN" w:bidi="ar-SA"/>
              </w:rPr>
              <w:t>备注</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38" w:hRule="atLeast"/>
        </w:trPr>
        <w:tc>
          <w:tcPr>
            <w:tcW w:w="903" w:type="dxa"/>
            <w:noWrap w:val="0"/>
            <w:vAlign w:val="center"/>
          </w:tcPr>
          <w:p>
            <w:pPr>
              <w:pStyle w:val="68"/>
              <w:widowControl w:val="0"/>
              <w:spacing w:line="360" w:lineRule="auto"/>
              <w:jc w:val="center"/>
              <w:rPr>
                <w:rStyle w:val="21"/>
                <w:rFonts w:hint="eastAsia" w:asciiTheme="minorEastAsia" w:hAnsiTheme="minorEastAsia" w:eastAsiaTheme="minorEastAsia" w:cstheme="minorEastAsia"/>
                <w:color w:val="auto"/>
                <w:kern w:val="2"/>
                <w:sz w:val="24"/>
                <w:szCs w:val="24"/>
                <w:highlight w:val="none"/>
                <w:lang w:val="en-US" w:eastAsia="zh-CN" w:bidi="ar-SA"/>
              </w:rPr>
            </w:pPr>
            <w:r>
              <w:rPr>
                <w:rStyle w:val="21"/>
                <w:rFonts w:hint="eastAsia" w:asciiTheme="minorEastAsia" w:hAnsiTheme="minorEastAsia" w:eastAsiaTheme="minorEastAsia" w:cstheme="minorEastAsia"/>
                <w:color w:val="auto"/>
                <w:kern w:val="2"/>
                <w:sz w:val="24"/>
                <w:szCs w:val="24"/>
                <w:highlight w:val="none"/>
                <w:lang w:val="en-US" w:eastAsia="zh-CN" w:bidi="ar-SA"/>
              </w:rPr>
              <w:t>1</w:t>
            </w:r>
          </w:p>
        </w:tc>
        <w:tc>
          <w:tcPr>
            <w:tcW w:w="2951" w:type="dxa"/>
            <w:noWrap w:val="0"/>
            <w:vAlign w:val="top"/>
          </w:tcPr>
          <w:p>
            <w:pPr>
              <w:pStyle w:val="68"/>
              <w:widowControl w:val="0"/>
              <w:spacing w:line="360" w:lineRule="auto"/>
              <w:jc w:val="both"/>
              <w:rPr>
                <w:rStyle w:val="21"/>
                <w:rFonts w:hint="eastAsia" w:asciiTheme="minorEastAsia" w:hAnsiTheme="minorEastAsia" w:eastAsiaTheme="minorEastAsia" w:cstheme="minorEastAsia"/>
                <w:color w:val="auto"/>
                <w:kern w:val="2"/>
                <w:sz w:val="24"/>
                <w:szCs w:val="24"/>
                <w:highlight w:val="none"/>
                <w:lang w:val="en-US" w:eastAsia="zh-CN" w:bidi="ar-SA"/>
              </w:rPr>
            </w:pPr>
            <w:r>
              <w:rPr>
                <w:rStyle w:val="21"/>
                <w:rFonts w:hint="eastAsia" w:asciiTheme="minorEastAsia" w:hAnsiTheme="minorEastAsia" w:eastAsiaTheme="minorEastAsia" w:cstheme="minorEastAsia"/>
                <w:color w:val="auto"/>
                <w:kern w:val="2"/>
                <w:sz w:val="24"/>
                <w:szCs w:val="24"/>
                <w:highlight w:val="none"/>
                <w:lang w:val="en-US" w:eastAsia="zh-CN" w:bidi="ar-SA"/>
              </w:rPr>
              <w:t>项目经理</w:t>
            </w:r>
          </w:p>
        </w:tc>
        <w:tc>
          <w:tcPr>
            <w:tcW w:w="1986" w:type="dxa"/>
            <w:noWrap w:val="0"/>
            <w:vAlign w:val="top"/>
          </w:tcPr>
          <w:p>
            <w:pPr>
              <w:pStyle w:val="68"/>
              <w:widowControl w:val="0"/>
              <w:spacing w:line="360" w:lineRule="auto"/>
              <w:jc w:val="both"/>
              <w:rPr>
                <w:rStyle w:val="21"/>
                <w:rFonts w:hint="eastAsia" w:asciiTheme="minorEastAsia" w:hAnsiTheme="minorEastAsia" w:eastAsiaTheme="minorEastAsia" w:cstheme="minorEastAsia"/>
                <w:color w:val="auto"/>
                <w:kern w:val="2"/>
                <w:sz w:val="24"/>
                <w:szCs w:val="24"/>
                <w:highlight w:val="none"/>
                <w:lang w:val="en-US" w:eastAsia="zh-CN" w:bidi="ar-SA"/>
              </w:rPr>
            </w:pPr>
            <w:r>
              <w:rPr>
                <w:rStyle w:val="21"/>
                <w:rFonts w:hint="eastAsia" w:asciiTheme="minorEastAsia" w:hAnsiTheme="minorEastAsia" w:eastAsiaTheme="minorEastAsia" w:cstheme="minorEastAsia"/>
                <w:color w:val="auto"/>
                <w:kern w:val="2"/>
                <w:sz w:val="24"/>
                <w:szCs w:val="24"/>
                <w:highlight w:val="none"/>
                <w:lang w:val="en-US" w:eastAsia="zh-CN" w:bidi="ar-SA"/>
              </w:rPr>
              <w:t>1.1.2.4</w:t>
            </w:r>
          </w:p>
        </w:tc>
        <w:tc>
          <w:tcPr>
            <w:tcW w:w="1986" w:type="dxa"/>
            <w:noWrap w:val="0"/>
            <w:vAlign w:val="top"/>
          </w:tcPr>
          <w:p>
            <w:pPr>
              <w:pStyle w:val="68"/>
              <w:widowControl w:val="0"/>
              <w:spacing w:line="360" w:lineRule="auto"/>
              <w:jc w:val="both"/>
              <w:rPr>
                <w:rStyle w:val="21"/>
                <w:rFonts w:hint="eastAsia" w:asciiTheme="minorEastAsia" w:hAnsiTheme="minorEastAsia" w:eastAsiaTheme="minorEastAsia" w:cstheme="minorEastAsia"/>
                <w:color w:val="auto"/>
                <w:kern w:val="2"/>
                <w:sz w:val="24"/>
                <w:szCs w:val="24"/>
                <w:highlight w:val="none"/>
                <w:lang w:val="en-US" w:eastAsia="zh-CN" w:bidi="ar-SA"/>
              </w:rPr>
            </w:pPr>
            <w:r>
              <w:rPr>
                <w:rStyle w:val="21"/>
                <w:rFonts w:hint="eastAsia" w:asciiTheme="minorEastAsia" w:hAnsiTheme="minorEastAsia" w:eastAsiaTheme="minorEastAsia" w:cstheme="minorEastAsia"/>
                <w:color w:val="auto"/>
                <w:kern w:val="2"/>
                <w:sz w:val="24"/>
                <w:szCs w:val="24"/>
                <w:highlight w:val="none"/>
                <w:lang w:val="en-US" w:eastAsia="zh-CN" w:bidi="ar-SA"/>
              </w:rPr>
              <w:t>姓名：</w:t>
            </w:r>
          </w:p>
        </w:tc>
        <w:tc>
          <w:tcPr>
            <w:tcW w:w="1812" w:type="dxa"/>
            <w:noWrap w:val="0"/>
            <w:vAlign w:val="top"/>
          </w:tcPr>
          <w:p>
            <w:pPr>
              <w:pStyle w:val="68"/>
              <w:widowControl w:val="0"/>
              <w:spacing w:line="360" w:lineRule="auto"/>
              <w:jc w:val="both"/>
              <w:rPr>
                <w:rStyle w:val="21"/>
                <w:rFonts w:hint="eastAsia" w:asciiTheme="minorEastAsia" w:hAnsiTheme="minorEastAsia" w:eastAsiaTheme="minorEastAsia" w:cstheme="minorEastAsia"/>
                <w:color w:val="auto"/>
                <w:kern w:val="2"/>
                <w:sz w:val="24"/>
                <w:szCs w:val="24"/>
                <w:highlight w:val="none"/>
                <w:lang w:val="en-US" w:eastAsia="zh-CN" w:bidi="ar-SA"/>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38" w:hRule="atLeast"/>
        </w:trPr>
        <w:tc>
          <w:tcPr>
            <w:tcW w:w="903" w:type="dxa"/>
            <w:noWrap w:val="0"/>
            <w:vAlign w:val="center"/>
          </w:tcPr>
          <w:p>
            <w:pPr>
              <w:pStyle w:val="68"/>
              <w:widowControl w:val="0"/>
              <w:spacing w:line="360" w:lineRule="auto"/>
              <w:jc w:val="center"/>
              <w:rPr>
                <w:rStyle w:val="21"/>
                <w:rFonts w:hint="eastAsia" w:asciiTheme="minorEastAsia" w:hAnsiTheme="minorEastAsia" w:eastAsiaTheme="minorEastAsia" w:cstheme="minorEastAsia"/>
                <w:color w:val="auto"/>
                <w:kern w:val="2"/>
                <w:sz w:val="24"/>
                <w:szCs w:val="24"/>
                <w:highlight w:val="none"/>
                <w:lang w:val="en-US" w:eastAsia="zh-CN" w:bidi="ar-SA"/>
              </w:rPr>
            </w:pPr>
            <w:r>
              <w:rPr>
                <w:rStyle w:val="21"/>
                <w:rFonts w:hint="eastAsia" w:asciiTheme="minorEastAsia" w:hAnsiTheme="minorEastAsia" w:eastAsiaTheme="minorEastAsia" w:cstheme="minorEastAsia"/>
                <w:color w:val="auto"/>
                <w:kern w:val="2"/>
                <w:sz w:val="24"/>
                <w:szCs w:val="24"/>
                <w:highlight w:val="none"/>
                <w:lang w:val="en-US" w:eastAsia="zh-CN" w:bidi="ar-SA"/>
              </w:rPr>
              <w:t>2</w:t>
            </w:r>
          </w:p>
        </w:tc>
        <w:tc>
          <w:tcPr>
            <w:tcW w:w="2951" w:type="dxa"/>
            <w:noWrap w:val="0"/>
            <w:vAlign w:val="top"/>
          </w:tcPr>
          <w:p>
            <w:pPr>
              <w:pStyle w:val="68"/>
              <w:widowControl w:val="0"/>
              <w:spacing w:line="360" w:lineRule="auto"/>
              <w:jc w:val="both"/>
              <w:rPr>
                <w:rStyle w:val="21"/>
                <w:rFonts w:hint="eastAsia" w:asciiTheme="minorEastAsia" w:hAnsiTheme="minorEastAsia" w:eastAsiaTheme="minorEastAsia" w:cstheme="minorEastAsia"/>
                <w:color w:val="auto"/>
                <w:kern w:val="2"/>
                <w:sz w:val="24"/>
                <w:szCs w:val="24"/>
                <w:highlight w:val="none"/>
                <w:lang w:val="en-US" w:eastAsia="zh-CN" w:bidi="ar-SA"/>
              </w:rPr>
            </w:pPr>
            <w:r>
              <w:rPr>
                <w:rStyle w:val="21"/>
                <w:rFonts w:hint="eastAsia" w:asciiTheme="minorEastAsia" w:hAnsiTheme="minorEastAsia" w:eastAsiaTheme="minorEastAsia" w:cstheme="minorEastAsia"/>
                <w:color w:val="auto"/>
                <w:kern w:val="2"/>
                <w:sz w:val="24"/>
                <w:szCs w:val="24"/>
                <w:highlight w:val="none"/>
                <w:lang w:val="en-US" w:eastAsia="zh-CN" w:bidi="ar-SA"/>
              </w:rPr>
              <w:t>工期</w:t>
            </w:r>
          </w:p>
        </w:tc>
        <w:tc>
          <w:tcPr>
            <w:tcW w:w="1986" w:type="dxa"/>
            <w:noWrap w:val="0"/>
            <w:vAlign w:val="top"/>
          </w:tcPr>
          <w:p>
            <w:pPr>
              <w:pStyle w:val="68"/>
              <w:widowControl w:val="0"/>
              <w:spacing w:line="360" w:lineRule="auto"/>
              <w:jc w:val="both"/>
              <w:rPr>
                <w:rStyle w:val="21"/>
                <w:rFonts w:hint="eastAsia" w:asciiTheme="minorEastAsia" w:hAnsiTheme="minorEastAsia" w:eastAsiaTheme="minorEastAsia" w:cstheme="minorEastAsia"/>
                <w:color w:val="auto"/>
                <w:kern w:val="2"/>
                <w:sz w:val="24"/>
                <w:szCs w:val="24"/>
                <w:highlight w:val="none"/>
                <w:lang w:val="en-US" w:eastAsia="zh-CN" w:bidi="ar-SA"/>
              </w:rPr>
            </w:pPr>
            <w:r>
              <w:rPr>
                <w:rStyle w:val="21"/>
                <w:rFonts w:hint="eastAsia" w:asciiTheme="minorEastAsia" w:hAnsiTheme="minorEastAsia" w:eastAsiaTheme="minorEastAsia" w:cstheme="minorEastAsia"/>
                <w:color w:val="auto"/>
                <w:kern w:val="2"/>
                <w:sz w:val="24"/>
                <w:szCs w:val="24"/>
                <w:highlight w:val="none"/>
                <w:lang w:val="en-US" w:eastAsia="zh-CN" w:bidi="ar-SA"/>
              </w:rPr>
              <w:t>1.1.4.3</w:t>
            </w:r>
          </w:p>
        </w:tc>
        <w:tc>
          <w:tcPr>
            <w:tcW w:w="1986" w:type="dxa"/>
            <w:noWrap w:val="0"/>
            <w:vAlign w:val="top"/>
          </w:tcPr>
          <w:p>
            <w:pPr>
              <w:pStyle w:val="68"/>
              <w:widowControl w:val="0"/>
              <w:spacing w:line="360" w:lineRule="auto"/>
              <w:jc w:val="both"/>
              <w:rPr>
                <w:rStyle w:val="21"/>
                <w:rFonts w:hint="eastAsia" w:asciiTheme="minorEastAsia" w:hAnsiTheme="minorEastAsia" w:eastAsiaTheme="minorEastAsia" w:cstheme="minorEastAsia"/>
                <w:color w:val="auto"/>
                <w:kern w:val="2"/>
                <w:sz w:val="24"/>
                <w:szCs w:val="24"/>
                <w:highlight w:val="none"/>
                <w:lang w:val="en-US" w:eastAsia="zh-CN" w:bidi="ar-SA"/>
              </w:rPr>
            </w:pPr>
            <w:r>
              <w:rPr>
                <w:rStyle w:val="21"/>
                <w:rFonts w:hint="eastAsia" w:asciiTheme="minorEastAsia" w:hAnsiTheme="minorEastAsia" w:eastAsiaTheme="minorEastAsia" w:cstheme="minorEastAsia"/>
                <w:color w:val="auto"/>
                <w:kern w:val="2"/>
                <w:sz w:val="24"/>
                <w:szCs w:val="24"/>
                <w:highlight w:val="none"/>
                <w:lang w:val="en-US" w:eastAsia="zh-CN" w:bidi="ar-SA"/>
              </w:rPr>
              <w:t>天数：日历天</w:t>
            </w:r>
          </w:p>
        </w:tc>
        <w:tc>
          <w:tcPr>
            <w:tcW w:w="1812" w:type="dxa"/>
            <w:noWrap w:val="0"/>
            <w:vAlign w:val="top"/>
          </w:tcPr>
          <w:p>
            <w:pPr>
              <w:pStyle w:val="68"/>
              <w:widowControl w:val="0"/>
              <w:spacing w:line="360" w:lineRule="auto"/>
              <w:jc w:val="both"/>
              <w:rPr>
                <w:rStyle w:val="21"/>
                <w:rFonts w:hint="eastAsia" w:asciiTheme="minorEastAsia" w:hAnsiTheme="minorEastAsia" w:eastAsiaTheme="minorEastAsia" w:cstheme="minorEastAsia"/>
                <w:color w:val="auto"/>
                <w:kern w:val="2"/>
                <w:sz w:val="24"/>
                <w:szCs w:val="24"/>
                <w:highlight w:val="none"/>
                <w:lang w:val="en-US" w:eastAsia="zh-CN" w:bidi="ar-SA"/>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463" w:hRule="atLeast"/>
        </w:trPr>
        <w:tc>
          <w:tcPr>
            <w:tcW w:w="903" w:type="dxa"/>
            <w:noWrap w:val="0"/>
            <w:vAlign w:val="center"/>
          </w:tcPr>
          <w:p>
            <w:pPr>
              <w:pStyle w:val="68"/>
              <w:widowControl w:val="0"/>
              <w:spacing w:line="360" w:lineRule="auto"/>
              <w:jc w:val="center"/>
              <w:rPr>
                <w:rStyle w:val="21"/>
                <w:rFonts w:hint="eastAsia" w:asciiTheme="minorEastAsia" w:hAnsiTheme="minorEastAsia" w:eastAsiaTheme="minorEastAsia" w:cstheme="minorEastAsia"/>
                <w:color w:val="auto"/>
                <w:kern w:val="2"/>
                <w:sz w:val="24"/>
                <w:szCs w:val="24"/>
                <w:highlight w:val="none"/>
                <w:lang w:val="en-US" w:eastAsia="zh-CN" w:bidi="ar-SA"/>
              </w:rPr>
            </w:pPr>
            <w:r>
              <w:rPr>
                <w:rStyle w:val="21"/>
                <w:rFonts w:hint="eastAsia" w:asciiTheme="minorEastAsia" w:hAnsiTheme="minorEastAsia" w:eastAsiaTheme="minorEastAsia" w:cstheme="minorEastAsia"/>
                <w:color w:val="auto"/>
                <w:kern w:val="2"/>
                <w:sz w:val="24"/>
                <w:szCs w:val="24"/>
                <w:highlight w:val="none"/>
                <w:lang w:val="en-US" w:eastAsia="zh-CN" w:bidi="ar-SA"/>
              </w:rPr>
              <w:t>3</w:t>
            </w:r>
          </w:p>
        </w:tc>
        <w:tc>
          <w:tcPr>
            <w:tcW w:w="2951" w:type="dxa"/>
            <w:noWrap w:val="0"/>
            <w:vAlign w:val="top"/>
          </w:tcPr>
          <w:p>
            <w:pPr>
              <w:pStyle w:val="68"/>
              <w:widowControl w:val="0"/>
              <w:spacing w:line="360" w:lineRule="auto"/>
              <w:jc w:val="both"/>
              <w:rPr>
                <w:rStyle w:val="21"/>
                <w:rFonts w:hint="eastAsia" w:asciiTheme="minorEastAsia" w:hAnsiTheme="minorEastAsia" w:eastAsiaTheme="minorEastAsia" w:cstheme="minorEastAsia"/>
                <w:color w:val="auto"/>
                <w:kern w:val="2"/>
                <w:sz w:val="24"/>
                <w:szCs w:val="24"/>
                <w:highlight w:val="none"/>
                <w:lang w:val="en-US" w:eastAsia="zh-CN" w:bidi="ar-SA"/>
              </w:rPr>
            </w:pPr>
            <w:r>
              <w:rPr>
                <w:rStyle w:val="21"/>
                <w:rFonts w:hint="eastAsia" w:asciiTheme="minorEastAsia" w:hAnsiTheme="minorEastAsia" w:eastAsiaTheme="minorEastAsia" w:cstheme="minorEastAsia"/>
                <w:color w:val="auto"/>
                <w:kern w:val="2"/>
                <w:sz w:val="24"/>
                <w:szCs w:val="24"/>
                <w:highlight w:val="none"/>
                <w:lang w:val="en-US" w:eastAsia="zh-CN" w:bidi="ar-SA"/>
              </w:rPr>
              <w:t>缺陷责任期</w:t>
            </w:r>
          </w:p>
          <w:p>
            <w:pPr>
              <w:pStyle w:val="68"/>
              <w:widowControl w:val="0"/>
              <w:spacing w:line="360" w:lineRule="auto"/>
              <w:jc w:val="both"/>
              <w:rPr>
                <w:rStyle w:val="21"/>
                <w:rFonts w:hint="eastAsia" w:asciiTheme="minorEastAsia" w:hAnsiTheme="minorEastAsia" w:eastAsiaTheme="minorEastAsia" w:cstheme="minorEastAsia"/>
                <w:color w:val="auto"/>
                <w:kern w:val="2"/>
                <w:sz w:val="24"/>
                <w:szCs w:val="24"/>
                <w:highlight w:val="none"/>
                <w:lang w:val="en-US" w:eastAsia="zh-CN" w:bidi="ar-SA"/>
              </w:rPr>
            </w:pPr>
            <w:r>
              <w:rPr>
                <w:rStyle w:val="21"/>
                <w:rFonts w:hint="eastAsia" w:asciiTheme="minorEastAsia" w:hAnsiTheme="minorEastAsia" w:eastAsiaTheme="minorEastAsia" w:cstheme="minorEastAsia"/>
                <w:color w:val="auto"/>
                <w:kern w:val="2"/>
                <w:sz w:val="24"/>
                <w:szCs w:val="24"/>
                <w:highlight w:val="none"/>
                <w:lang w:val="en-US" w:eastAsia="zh-CN" w:bidi="ar-SA"/>
              </w:rPr>
              <w:t>(工程质量保修期)</w:t>
            </w:r>
          </w:p>
        </w:tc>
        <w:tc>
          <w:tcPr>
            <w:tcW w:w="1986" w:type="dxa"/>
            <w:noWrap w:val="0"/>
            <w:vAlign w:val="top"/>
          </w:tcPr>
          <w:p>
            <w:pPr>
              <w:pStyle w:val="68"/>
              <w:widowControl w:val="0"/>
              <w:spacing w:line="360" w:lineRule="auto"/>
              <w:jc w:val="both"/>
              <w:rPr>
                <w:rStyle w:val="21"/>
                <w:rFonts w:hint="eastAsia" w:asciiTheme="minorEastAsia" w:hAnsiTheme="minorEastAsia" w:eastAsiaTheme="minorEastAsia" w:cstheme="minorEastAsia"/>
                <w:color w:val="auto"/>
                <w:kern w:val="2"/>
                <w:sz w:val="24"/>
                <w:szCs w:val="24"/>
                <w:highlight w:val="none"/>
                <w:lang w:val="en-US" w:eastAsia="zh-CN" w:bidi="ar-SA"/>
              </w:rPr>
            </w:pPr>
            <w:r>
              <w:rPr>
                <w:rStyle w:val="21"/>
                <w:rFonts w:hint="eastAsia" w:asciiTheme="minorEastAsia" w:hAnsiTheme="minorEastAsia" w:eastAsiaTheme="minorEastAsia" w:cstheme="minorEastAsia"/>
                <w:color w:val="auto"/>
                <w:kern w:val="2"/>
                <w:sz w:val="24"/>
                <w:szCs w:val="24"/>
                <w:highlight w:val="none"/>
                <w:lang w:val="en-US" w:eastAsia="zh-CN" w:bidi="ar-SA"/>
              </w:rPr>
              <w:t>1.1.4.5</w:t>
            </w:r>
          </w:p>
        </w:tc>
        <w:tc>
          <w:tcPr>
            <w:tcW w:w="1986" w:type="dxa"/>
            <w:noWrap w:val="0"/>
            <w:vAlign w:val="top"/>
          </w:tcPr>
          <w:p>
            <w:pPr>
              <w:pStyle w:val="68"/>
              <w:widowControl w:val="0"/>
              <w:spacing w:line="360" w:lineRule="auto"/>
              <w:jc w:val="both"/>
              <w:rPr>
                <w:rStyle w:val="21"/>
                <w:rFonts w:hint="eastAsia" w:asciiTheme="minorEastAsia" w:hAnsiTheme="minorEastAsia" w:eastAsiaTheme="minorEastAsia" w:cstheme="minorEastAsia"/>
                <w:color w:val="auto"/>
                <w:kern w:val="2"/>
                <w:sz w:val="24"/>
                <w:szCs w:val="24"/>
                <w:highlight w:val="none"/>
                <w:lang w:val="en-US" w:eastAsia="zh-CN" w:bidi="ar-SA"/>
              </w:rPr>
            </w:pPr>
          </w:p>
        </w:tc>
        <w:tc>
          <w:tcPr>
            <w:tcW w:w="1812" w:type="dxa"/>
            <w:noWrap w:val="0"/>
            <w:vAlign w:val="top"/>
          </w:tcPr>
          <w:p>
            <w:pPr>
              <w:pStyle w:val="68"/>
              <w:widowControl w:val="0"/>
              <w:spacing w:line="360" w:lineRule="auto"/>
              <w:jc w:val="both"/>
              <w:rPr>
                <w:rStyle w:val="21"/>
                <w:rFonts w:hint="eastAsia" w:asciiTheme="minorEastAsia" w:hAnsiTheme="minorEastAsia" w:eastAsiaTheme="minorEastAsia" w:cstheme="minorEastAsia"/>
                <w:color w:val="auto"/>
                <w:kern w:val="2"/>
                <w:sz w:val="24"/>
                <w:szCs w:val="24"/>
                <w:highlight w:val="none"/>
                <w:lang w:val="en-US" w:eastAsia="zh-CN" w:bidi="ar-SA"/>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38" w:hRule="atLeast"/>
        </w:trPr>
        <w:tc>
          <w:tcPr>
            <w:tcW w:w="903" w:type="dxa"/>
            <w:noWrap w:val="0"/>
            <w:vAlign w:val="center"/>
          </w:tcPr>
          <w:p>
            <w:pPr>
              <w:pStyle w:val="68"/>
              <w:widowControl w:val="0"/>
              <w:spacing w:line="360" w:lineRule="auto"/>
              <w:jc w:val="center"/>
              <w:rPr>
                <w:rStyle w:val="21"/>
                <w:rFonts w:hint="eastAsia" w:asciiTheme="minorEastAsia" w:hAnsiTheme="minorEastAsia" w:eastAsiaTheme="minorEastAsia" w:cstheme="minorEastAsia"/>
                <w:color w:val="auto"/>
                <w:kern w:val="2"/>
                <w:sz w:val="24"/>
                <w:szCs w:val="24"/>
                <w:highlight w:val="none"/>
                <w:lang w:val="en-US" w:eastAsia="zh-CN" w:bidi="ar-SA"/>
              </w:rPr>
            </w:pPr>
            <w:r>
              <w:rPr>
                <w:rStyle w:val="21"/>
                <w:rFonts w:hint="eastAsia" w:asciiTheme="minorEastAsia" w:hAnsiTheme="minorEastAsia" w:eastAsiaTheme="minorEastAsia" w:cstheme="minorEastAsia"/>
                <w:color w:val="auto"/>
                <w:kern w:val="2"/>
                <w:sz w:val="24"/>
                <w:szCs w:val="24"/>
                <w:highlight w:val="none"/>
                <w:lang w:val="en-US" w:eastAsia="zh-CN" w:bidi="ar-SA"/>
              </w:rPr>
              <w:t>4</w:t>
            </w:r>
          </w:p>
        </w:tc>
        <w:tc>
          <w:tcPr>
            <w:tcW w:w="2951" w:type="dxa"/>
            <w:noWrap w:val="0"/>
            <w:vAlign w:val="top"/>
          </w:tcPr>
          <w:p>
            <w:pPr>
              <w:pStyle w:val="68"/>
              <w:widowControl w:val="0"/>
              <w:spacing w:line="360" w:lineRule="auto"/>
              <w:jc w:val="both"/>
              <w:rPr>
                <w:rStyle w:val="21"/>
                <w:rFonts w:hint="eastAsia" w:asciiTheme="minorEastAsia" w:hAnsiTheme="minorEastAsia" w:eastAsiaTheme="minorEastAsia" w:cstheme="minorEastAsia"/>
                <w:color w:val="auto"/>
                <w:kern w:val="2"/>
                <w:sz w:val="24"/>
                <w:szCs w:val="24"/>
                <w:highlight w:val="none"/>
                <w:lang w:val="en-US" w:eastAsia="zh-CN" w:bidi="ar-SA"/>
              </w:rPr>
            </w:pPr>
            <w:r>
              <w:rPr>
                <w:rStyle w:val="21"/>
                <w:rFonts w:hint="eastAsia" w:asciiTheme="minorEastAsia" w:hAnsiTheme="minorEastAsia" w:eastAsiaTheme="minorEastAsia" w:cstheme="minorEastAsia"/>
                <w:color w:val="auto"/>
                <w:kern w:val="2"/>
                <w:sz w:val="24"/>
                <w:szCs w:val="24"/>
                <w:highlight w:val="none"/>
                <w:lang w:val="en-US" w:eastAsia="zh-CN" w:bidi="ar-SA"/>
              </w:rPr>
              <w:t>分包</w:t>
            </w:r>
          </w:p>
        </w:tc>
        <w:tc>
          <w:tcPr>
            <w:tcW w:w="1986" w:type="dxa"/>
            <w:noWrap w:val="0"/>
            <w:vAlign w:val="top"/>
          </w:tcPr>
          <w:p>
            <w:pPr>
              <w:pStyle w:val="68"/>
              <w:widowControl w:val="0"/>
              <w:spacing w:line="360" w:lineRule="auto"/>
              <w:jc w:val="both"/>
              <w:rPr>
                <w:rStyle w:val="21"/>
                <w:rFonts w:hint="eastAsia" w:asciiTheme="minorEastAsia" w:hAnsiTheme="minorEastAsia" w:eastAsiaTheme="minorEastAsia" w:cstheme="minorEastAsia"/>
                <w:color w:val="auto"/>
                <w:kern w:val="2"/>
                <w:sz w:val="24"/>
                <w:szCs w:val="24"/>
                <w:highlight w:val="none"/>
                <w:lang w:val="en-US" w:eastAsia="zh-CN" w:bidi="ar-SA"/>
              </w:rPr>
            </w:pPr>
            <w:r>
              <w:rPr>
                <w:rStyle w:val="21"/>
                <w:rFonts w:hint="eastAsia" w:asciiTheme="minorEastAsia" w:hAnsiTheme="minorEastAsia" w:eastAsiaTheme="minorEastAsia" w:cstheme="minorEastAsia"/>
                <w:color w:val="auto"/>
                <w:kern w:val="2"/>
                <w:sz w:val="24"/>
                <w:szCs w:val="24"/>
                <w:highlight w:val="none"/>
                <w:lang w:val="en-US" w:eastAsia="zh-CN" w:bidi="ar-SA"/>
              </w:rPr>
              <w:t>4.3</w:t>
            </w:r>
          </w:p>
        </w:tc>
        <w:tc>
          <w:tcPr>
            <w:tcW w:w="1986" w:type="dxa"/>
            <w:noWrap w:val="0"/>
            <w:vAlign w:val="top"/>
          </w:tcPr>
          <w:p>
            <w:pPr>
              <w:pStyle w:val="68"/>
              <w:widowControl w:val="0"/>
              <w:spacing w:line="360" w:lineRule="auto"/>
              <w:jc w:val="both"/>
              <w:rPr>
                <w:rStyle w:val="21"/>
                <w:rFonts w:hint="eastAsia" w:asciiTheme="minorEastAsia" w:hAnsiTheme="minorEastAsia" w:eastAsiaTheme="minorEastAsia" w:cstheme="minorEastAsia"/>
                <w:color w:val="auto"/>
                <w:kern w:val="2"/>
                <w:sz w:val="24"/>
                <w:szCs w:val="24"/>
                <w:highlight w:val="none"/>
                <w:lang w:val="en-US" w:eastAsia="zh-CN" w:bidi="ar-SA"/>
              </w:rPr>
            </w:pPr>
          </w:p>
        </w:tc>
        <w:tc>
          <w:tcPr>
            <w:tcW w:w="1812" w:type="dxa"/>
            <w:noWrap w:val="0"/>
            <w:vAlign w:val="top"/>
          </w:tcPr>
          <w:p>
            <w:pPr>
              <w:pStyle w:val="68"/>
              <w:widowControl w:val="0"/>
              <w:spacing w:line="360" w:lineRule="auto"/>
              <w:jc w:val="both"/>
              <w:rPr>
                <w:rStyle w:val="21"/>
                <w:rFonts w:hint="eastAsia" w:asciiTheme="minorEastAsia" w:hAnsiTheme="minorEastAsia" w:eastAsiaTheme="minorEastAsia" w:cstheme="minorEastAsia"/>
                <w:color w:val="auto"/>
                <w:kern w:val="2"/>
                <w:sz w:val="24"/>
                <w:szCs w:val="24"/>
                <w:highlight w:val="none"/>
                <w:lang w:val="en-US" w:eastAsia="zh-CN" w:bidi="ar-SA"/>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35" w:hRule="atLeast"/>
        </w:trPr>
        <w:tc>
          <w:tcPr>
            <w:tcW w:w="903" w:type="dxa"/>
            <w:noWrap w:val="0"/>
            <w:vAlign w:val="center"/>
          </w:tcPr>
          <w:p>
            <w:pPr>
              <w:pStyle w:val="68"/>
              <w:widowControl w:val="0"/>
              <w:spacing w:line="360" w:lineRule="auto"/>
              <w:jc w:val="center"/>
              <w:rPr>
                <w:rStyle w:val="21"/>
                <w:rFonts w:hint="eastAsia" w:asciiTheme="minorEastAsia" w:hAnsiTheme="minorEastAsia" w:eastAsiaTheme="minorEastAsia" w:cstheme="minorEastAsia"/>
                <w:color w:val="auto"/>
                <w:kern w:val="2"/>
                <w:sz w:val="24"/>
                <w:szCs w:val="24"/>
                <w:highlight w:val="none"/>
                <w:lang w:val="en-US" w:eastAsia="zh-CN" w:bidi="ar-SA"/>
              </w:rPr>
            </w:pPr>
          </w:p>
        </w:tc>
        <w:tc>
          <w:tcPr>
            <w:tcW w:w="2951" w:type="dxa"/>
            <w:noWrap w:val="0"/>
            <w:vAlign w:val="top"/>
          </w:tcPr>
          <w:p>
            <w:pPr>
              <w:pStyle w:val="68"/>
              <w:widowControl w:val="0"/>
              <w:spacing w:line="360" w:lineRule="auto"/>
              <w:jc w:val="both"/>
              <w:rPr>
                <w:rStyle w:val="21"/>
                <w:rFonts w:hint="eastAsia" w:asciiTheme="minorEastAsia" w:hAnsiTheme="minorEastAsia" w:eastAsiaTheme="minorEastAsia" w:cstheme="minorEastAsia"/>
                <w:color w:val="auto"/>
                <w:kern w:val="2"/>
                <w:sz w:val="24"/>
                <w:szCs w:val="24"/>
                <w:highlight w:val="none"/>
                <w:lang w:val="en-US" w:eastAsia="zh-CN" w:bidi="ar-SA"/>
              </w:rPr>
            </w:pPr>
          </w:p>
        </w:tc>
        <w:tc>
          <w:tcPr>
            <w:tcW w:w="1986" w:type="dxa"/>
            <w:noWrap w:val="0"/>
            <w:vAlign w:val="top"/>
          </w:tcPr>
          <w:p>
            <w:pPr>
              <w:pStyle w:val="68"/>
              <w:widowControl w:val="0"/>
              <w:spacing w:line="360" w:lineRule="auto"/>
              <w:jc w:val="both"/>
              <w:rPr>
                <w:rStyle w:val="21"/>
                <w:rFonts w:hint="eastAsia" w:asciiTheme="minorEastAsia" w:hAnsiTheme="minorEastAsia" w:eastAsiaTheme="minorEastAsia" w:cstheme="minorEastAsia"/>
                <w:color w:val="auto"/>
                <w:kern w:val="2"/>
                <w:sz w:val="24"/>
                <w:szCs w:val="24"/>
                <w:highlight w:val="none"/>
                <w:lang w:val="en-US" w:eastAsia="zh-CN" w:bidi="ar-SA"/>
              </w:rPr>
            </w:pPr>
          </w:p>
        </w:tc>
        <w:tc>
          <w:tcPr>
            <w:tcW w:w="1986" w:type="dxa"/>
            <w:noWrap w:val="0"/>
            <w:vAlign w:val="top"/>
          </w:tcPr>
          <w:p>
            <w:pPr>
              <w:pStyle w:val="68"/>
              <w:widowControl w:val="0"/>
              <w:spacing w:line="360" w:lineRule="auto"/>
              <w:jc w:val="both"/>
              <w:rPr>
                <w:rStyle w:val="21"/>
                <w:rFonts w:hint="eastAsia" w:asciiTheme="minorEastAsia" w:hAnsiTheme="minorEastAsia" w:eastAsiaTheme="minorEastAsia" w:cstheme="minorEastAsia"/>
                <w:color w:val="auto"/>
                <w:kern w:val="2"/>
                <w:sz w:val="24"/>
                <w:szCs w:val="24"/>
                <w:highlight w:val="none"/>
                <w:lang w:val="en-US" w:eastAsia="zh-CN" w:bidi="ar-SA"/>
              </w:rPr>
            </w:pPr>
          </w:p>
        </w:tc>
        <w:tc>
          <w:tcPr>
            <w:tcW w:w="1812" w:type="dxa"/>
            <w:noWrap w:val="0"/>
            <w:vAlign w:val="top"/>
          </w:tcPr>
          <w:p>
            <w:pPr>
              <w:pStyle w:val="68"/>
              <w:widowControl w:val="0"/>
              <w:spacing w:line="360" w:lineRule="auto"/>
              <w:jc w:val="both"/>
              <w:rPr>
                <w:rStyle w:val="21"/>
                <w:rFonts w:hint="eastAsia" w:asciiTheme="minorEastAsia" w:hAnsiTheme="minorEastAsia" w:eastAsiaTheme="minorEastAsia" w:cstheme="minorEastAsia"/>
                <w:color w:val="auto"/>
                <w:kern w:val="2"/>
                <w:sz w:val="24"/>
                <w:szCs w:val="24"/>
                <w:highlight w:val="none"/>
                <w:lang w:val="en-US" w:eastAsia="zh-CN" w:bidi="ar-SA"/>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54" w:hRule="atLeast"/>
        </w:trPr>
        <w:tc>
          <w:tcPr>
            <w:tcW w:w="903" w:type="dxa"/>
            <w:noWrap w:val="0"/>
            <w:vAlign w:val="center"/>
          </w:tcPr>
          <w:p>
            <w:pPr>
              <w:pStyle w:val="68"/>
              <w:widowControl w:val="0"/>
              <w:spacing w:line="360" w:lineRule="auto"/>
              <w:jc w:val="center"/>
              <w:rPr>
                <w:rStyle w:val="21"/>
                <w:rFonts w:hint="eastAsia" w:asciiTheme="minorEastAsia" w:hAnsiTheme="minorEastAsia" w:eastAsiaTheme="minorEastAsia" w:cstheme="minorEastAsia"/>
                <w:color w:val="auto"/>
                <w:kern w:val="2"/>
                <w:sz w:val="24"/>
                <w:szCs w:val="24"/>
                <w:highlight w:val="none"/>
                <w:lang w:val="en-US" w:eastAsia="zh-CN" w:bidi="ar-SA"/>
              </w:rPr>
            </w:pPr>
            <w:r>
              <w:rPr>
                <w:rStyle w:val="21"/>
                <w:rFonts w:hint="eastAsia" w:asciiTheme="minorEastAsia" w:hAnsiTheme="minorEastAsia" w:eastAsiaTheme="minorEastAsia" w:cstheme="minorEastAsia"/>
                <w:color w:val="auto"/>
                <w:kern w:val="2"/>
                <w:sz w:val="24"/>
                <w:szCs w:val="24"/>
                <w:highlight w:val="none"/>
                <w:lang w:val="en-US" w:eastAsia="zh-CN" w:bidi="ar-SA"/>
              </w:rPr>
              <w:t>……</w:t>
            </w:r>
          </w:p>
        </w:tc>
        <w:tc>
          <w:tcPr>
            <w:tcW w:w="2951" w:type="dxa"/>
            <w:noWrap w:val="0"/>
            <w:vAlign w:val="top"/>
          </w:tcPr>
          <w:p>
            <w:pPr>
              <w:pStyle w:val="68"/>
              <w:widowControl w:val="0"/>
              <w:spacing w:line="360" w:lineRule="auto"/>
              <w:jc w:val="both"/>
              <w:rPr>
                <w:rStyle w:val="21"/>
                <w:rFonts w:hint="eastAsia" w:asciiTheme="minorEastAsia" w:hAnsiTheme="minorEastAsia" w:eastAsiaTheme="minorEastAsia" w:cstheme="minorEastAsia"/>
                <w:color w:val="auto"/>
                <w:kern w:val="2"/>
                <w:sz w:val="24"/>
                <w:szCs w:val="24"/>
                <w:highlight w:val="none"/>
                <w:lang w:val="en-US" w:eastAsia="zh-CN" w:bidi="ar-SA"/>
              </w:rPr>
            </w:pPr>
            <w:r>
              <w:rPr>
                <w:rStyle w:val="21"/>
                <w:rFonts w:hint="eastAsia" w:asciiTheme="minorEastAsia" w:hAnsiTheme="minorEastAsia" w:eastAsiaTheme="minorEastAsia" w:cstheme="minorEastAsia"/>
                <w:color w:val="auto"/>
                <w:kern w:val="2"/>
                <w:sz w:val="24"/>
                <w:szCs w:val="24"/>
                <w:highlight w:val="none"/>
                <w:lang w:val="en-US" w:eastAsia="zh-CN" w:bidi="ar-SA"/>
              </w:rPr>
              <w:t>……</w:t>
            </w:r>
          </w:p>
        </w:tc>
        <w:tc>
          <w:tcPr>
            <w:tcW w:w="1986" w:type="dxa"/>
            <w:noWrap w:val="0"/>
            <w:vAlign w:val="top"/>
          </w:tcPr>
          <w:p>
            <w:pPr>
              <w:pStyle w:val="68"/>
              <w:widowControl w:val="0"/>
              <w:spacing w:line="360" w:lineRule="auto"/>
              <w:jc w:val="both"/>
              <w:rPr>
                <w:rStyle w:val="21"/>
                <w:rFonts w:hint="eastAsia" w:asciiTheme="minorEastAsia" w:hAnsiTheme="minorEastAsia" w:eastAsiaTheme="minorEastAsia" w:cstheme="minorEastAsia"/>
                <w:color w:val="auto"/>
                <w:kern w:val="2"/>
                <w:sz w:val="24"/>
                <w:szCs w:val="24"/>
                <w:highlight w:val="none"/>
                <w:lang w:val="en-US" w:eastAsia="zh-CN" w:bidi="ar-SA"/>
              </w:rPr>
            </w:pPr>
            <w:r>
              <w:rPr>
                <w:rStyle w:val="21"/>
                <w:rFonts w:hint="eastAsia" w:asciiTheme="minorEastAsia" w:hAnsiTheme="minorEastAsia" w:eastAsiaTheme="minorEastAsia" w:cstheme="minorEastAsia"/>
                <w:color w:val="auto"/>
                <w:kern w:val="2"/>
                <w:sz w:val="24"/>
                <w:szCs w:val="24"/>
                <w:highlight w:val="none"/>
                <w:lang w:val="en-US" w:eastAsia="zh-CN" w:bidi="ar-SA"/>
              </w:rPr>
              <w:t>……</w:t>
            </w:r>
          </w:p>
        </w:tc>
        <w:tc>
          <w:tcPr>
            <w:tcW w:w="1986" w:type="dxa"/>
            <w:noWrap w:val="0"/>
            <w:vAlign w:val="top"/>
          </w:tcPr>
          <w:p>
            <w:pPr>
              <w:pStyle w:val="68"/>
              <w:widowControl w:val="0"/>
              <w:spacing w:line="360" w:lineRule="auto"/>
              <w:jc w:val="both"/>
              <w:rPr>
                <w:rStyle w:val="21"/>
                <w:rFonts w:hint="eastAsia" w:asciiTheme="minorEastAsia" w:hAnsiTheme="minorEastAsia" w:eastAsiaTheme="minorEastAsia" w:cstheme="minorEastAsia"/>
                <w:color w:val="auto"/>
                <w:kern w:val="2"/>
                <w:sz w:val="24"/>
                <w:szCs w:val="24"/>
                <w:highlight w:val="none"/>
                <w:lang w:val="en-US" w:eastAsia="zh-CN" w:bidi="ar-SA"/>
              </w:rPr>
            </w:pPr>
            <w:r>
              <w:rPr>
                <w:rStyle w:val="21"/>
                <w:rFonts w:hint="eastAsia" w:asciiTheme="minorEastAsia" w:hAnsiTheme="minorEastAsia" w:eastAsiaTheme="minorEastAsia" w:cstheme="minorEastAsia"/>
                <w:color w:val="auto"/>
                <w:kern w:val="2"/>
                <w:sz w:val="24"/>
                <w:szCs w:val="24"/>
                <w:highlight w:val="none"/>
                <w:lang w:val="en-US" w:eastAsia="zh-CN" w:bidi="ar-SA"/>
              </w:rPr>
              <w:t>……</w:t>
            </w:r>
          </w:p>
        </w:tc>
        <w:tc>
          <w:tcPr>
            <w:tcW w:w="1812" w:type="dxa"/>
            <w:noWrap w:val="0"/>
            <w:vAlign w:val="top"/>
          </w:tcPr>
          <w:p>
            <w:pPr>
              <w:pStyle w:val="68"/>
              <w:widowControl w:val="0"/>
              <w:spacing w:line="360" w:lineRule="auto"/>
              <w:jc w:val="both"/>
              <w:rPr>
                <w:rStyle w:val="21"/>
                <w:rFonts w:hint="eastAsia" w:asciiTheme="minorEastAsia" w:hAnsiTheme="minorEastAsia" w:eastAsiaTheme="minorEastAsia" w:cstheme="minorEastAsia"/>
                <w:color w:val="auto"/>
                <w:kern w:val="2"/>
                <w:sz w:val="24"/>
                <w:szCs w:val="24"/>
                <w:highlight w:val="none"/>
                <w:lang w:val="en-US" w:eastAsia="zh-CN" w:bidi="ar-SA"/>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54" w:hRule="atLeast"/>
        </w:trPr>
        <w:tc>
          <w:tcPr>
            <w:tcW w:w="9638" w:type="dxa"/>
            <w:gridSpan w:val="5"/>
            <w:noWrap w:val="0"/>
            <w:vAlign w:val="center"/>
          </w:tcPr>
          <w:p>
            <w:pPr>
              <w:pStyle w:val="68"/>
              <w:widowControl w:val="0"/>
              <w:spacing w:line="360" w:lineRule="auto"/>
              <w:jc w:val="both"/>
              <w:rPr>
                <w:rStyle w:val="21"/>
                <w:rFonts w:hint="eastAsia" w:asciiTheme="minorEastAsia" w:hAnsiTheme="minorEastAsia" w:eastAsiaTheme="minorEastAsia" w:cstheme="minorEastAsia"/>
                <w:color w:val="auto"/>
                <w:kern w:val="2"/>
                <w:sz w:val="24"/>
                <w:szCs w:val="24"/>
                <w:highlight w:val="none"/>
                <w:lang w:val="en-US" w:eastAsia="zh-CN" w:bidi="ar-SA"/>
              </w:rPr>
            </w:pPr>
            <w:r>
              <w:rPr>
                <w:rStyle w:val="21"/>
                <w:rFonts w:hint="eastAsia" w:asciiTheme="minorEastAsia" w:hAnsiTheme="minorEastAsia" w:eastAsiaTheme="minorEastAsia" w:cstheme="minorEastAsia"/>
                <w:color w:val="auto"/>
                <w:kern w:val="2"/>
                <w:sz w:val="24"/>
                <w:szCs w:val="24"/>
                <w:highlight w:val="none"/>
                <w:lang w:val="en-US" w:eastAsia="zh-CN" w:bidi="ar-SA"/>
              </w:rPr>
              <w:t>备注：响应人在响应文件中规定的实质性要求和条件的基础上，可做出其他有利于招标人的承诺。此类承诺可在本表中予以补充填写。</w:t>
            </w:r>
          </w:p>
        </w:tc>
      </w:tr>
    </w:tbl>
    <w:p>
      <w:pPr>
        <w:pageBreakBefore w:val="0"/>
        <w:kinsoku/>
        <w:overflowPunct/>
        <w:topLinePunct w:val="0"/>
        <w:bidi w:val="0"/>
        <w:snapToGrid/>
        <w:spacing w:line="360" w:lineRule="auto"/>
        <w:ind w:left="5040" w:firstLine="420"/>
        <w:rPr>
          <w:rFonts w:hint="eastAsia" w:ascii="宋体" w:hAnsi="宋体" w:eastAsia="宋体" w:cs="宋体"/>
          <w:color w:val="auto"/>
          <w:sz w:val="24"/>
          <w:highlight w:val="none"/>
        </w:rPr>
      </w:pPr>
    </w:p>
    <w:p>
      <w:pPr>
        <w:pageBreakBefore w:val="0"/>
        <w:kinsoku/>
        <w:overflowPunct/>
        <w:topLinePunct w:val="0"/>
        <w:bidi w:val="0"/>
        <w:snapToGrid/>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br w:type="page"/>
      </w:r>
    </w:p>
    <w:p>
      <w:pPr>
        <w:pStyle w:val="4"/>
        <w:pageBreakBefore w:val="0"/>
        <w:kinsoku/>
        <w:overflowPunct/>
        <w:topLinePunct w:val="0"/>
        <w:bidi w:val="0"/>
        <w:snapToGrid/>
        <w:spacing w:line="360" w:lineRule="auto"/>
        <w:ind w:firstLine="2811" w:firstLineChars="1000"/>
        <w:jc w:val="both"/>
        <w:rPr>
          <w:rFonts w:hint="eastAsia" w:ascii="宋体" w:hAnsi="宋体" w:eastAsia="宋体" w:cs="宋体"/>
          <w:color w:val="auto"/>
          <w:highlight w:val="none"/>
        </w:rPr>
      </w:pPr>
      <w:bookmarkStart w:id="338" w:name="bookmark568"/>
      <w:bookmarkStart w:id="339" w:name="bookmark566"/>
      <w:bookmarkStart w:id="340" w:name="bookmark569"/>
      <w:bookmarkStart w:id="341" w:name="bookmark567"/>
      <w:bookmarkStart w:id="342" w:name="_Toc6939"/>
      <w:bookmarkStart w:id="343" w:name="_Toc3905"/>
      <w:r>
        <w:rPr>
          <w:rFonts w:hint="eastAsia" w:ascii="宋体" w:hAnsi="宋体" w:eastAsia="宋体" w:cs="宋体"/>
          <w:color w:val="auto"/>
          <w:highlight w:val="none"/>
        </w:rPr>
        <w:t>二</w:t>
      </w:r>
      <w:bookmarkEnd w:id="338"/>
      <w:r>
        <w:rPr>
          <w:rFonts w:hint="eastAsia" w:ascii="宋体" w:hAnsi="宋体" w:eastAsia="宋体" w:cs="宋体"/>
          <w:color w:val="auto"/>
          <w:highlight w:val="none"/>
        </w:rPr>
        <w:t>、授权委托书</w:t>
      </w:r>
      <w:bookmarkEnd w:id="339"/>
      <w:bookmarkEnd w:id="340"/>
      <w:bookmarkEnd w:id="341"/>
      <w:bookmarkEnd w:id="342"/>
      <w:bookmarkEnd w:id="343"/>
    </w:p>
    <w:p>
      <w:pPr>
        <w:pStyle w:val="35"/>
        <w:pageBreakBefore w:val="0"/>
        <w:tabs>
          <w:tab w:val="left" w:pos="2304"/>
          <w:tab w:val="left" w:pos="3797"/>
          <w:tab w:val="left" w:pos="5578"/>
          <w:tab w:val="left" w:pos="5986"/>
        </w:tabs>
        <w:kinsoku/>
        <w:overflowPunct/>
        <w:topLinePunct w:val="0"/>
        <w:bidi w:val="0"/>
        <w:snapToGrid/>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本人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rPr>
        <w:tab/>
      </w:r>
      <w:r>
        <w:rPr>
          <w:rFonts w:hint="eastAsia" w:ascii="宋体" w:hAnsi="宋体" w:eastAsia="宋体" w:cs="宋体"/>
          <w:color w:val="auto"/>
          <w:sz w:val="24"/>
          <w:highlight w:val="none"/>
          <w:u w:val="single"/>
        </w:rPr>
        <w:t>（姓名）</w:t>
      </w:r>
      <w:r>
        <w:rPr>
          <w:rFonts w:hint="eastAsia" w:ascii="宋体" w:hAnsi="宋体" w:eastAsia="宋体" w:cs="宋体"/>
          <w:color w:val="auto"/>
          <w:sz w:val="24"/>
          <w:highlight w:val="none"/>
        </w:rPr>
        <w:t>系</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rPr>
        <w:tab/>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u w:val="single"/>
        </w:rPr>
        <w:t>（</w:t>
      </w:r>
      <w:r>
        <w:rPr>
          <w:rFonts w:hint="eastAsia" w:ascii="宋体" w:hAnsi="宋体" w:eastAsia="宋体" w:cs="宋体"/>
          <w:color w:val="auto"/>
          <w:sz w:val="24"/>
          <w:highlight w:val="none"/>
          <w:u w:val="single"/>
          <w:lang w:eastAsia="zh-CN"/>
        </w:rPr>
        <w:t>询比响应人</w:t>
      </w:r>
      <w:r>
        <w:rPr>
          <w:rFonts w:hint="eastAsia" w:ascii="宋体" w:hAnsi="宋体" w:eastAsia="宋体" w:cs="宋体"/>
          <w:color w:val="auto"/>
          <w:sz w:val="24"/>
          <w:highlight w:val="none"/>
          <w:u w:val="single"/>
        </w:rPr>
        <w:t>名称）</w:t>
      </w:r>
      <w:r>
        <w:rPr>
          <w:rFonts w:hint="eastAsia" w:ascii="宋体" w:hAnsi="宋体" w:eastAsia="宋体" w:cs="宋体"/>
          <w:color w:val="auto"/>
          <w:sz w:val="24"/>
          <w:highlight w:val="none"/>
        </w:rPr>
        <w:t>的法定代表人 （单位负责人），现委托</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rPr>
        <w:tab/>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u w:val="single"/>
        </w:rPr>
        <w:t>（姓名）</w:t>
      </w:r>
      <w:r>
        <w:rPr>
          <w:rFonts w:hint="eastAsia" w:ascii="宋体" w:hAnsi="宋体" w:eastAsia="宋体" w:cs="宋体"/>
          <w:color w:val="auto"/>
          <w:sz w:val="24"/>
          <w:highlight w:val="none"/>
        </w:rPr>
        <w:t>为我方代理人。代理人根据授权，以我方名义签署、澄清确认、递交、撤回、修改</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u w:val="single"/>
        </w:rPr>
        <w:tab/>
      </w:r>
      <w:r>
        <w:rPr>
          <w:rFonts w:hint="eastAsia" w:ascii="宋体" w:hAnsi="宋体" w:eastAsia="宋体" w:cs="宋体"/>
          <w:color w:val="auto"/>
          <w:sz w:val="24"/>
          <w:highlight w:val="none"/>
          <w:lang w:eastAsia="zh-CN"/>
        </w:rPr>
        <w:t>询比</w:t>
      </w:r>
      <w:r>
        <w:rPr>
          <w:rFonts w:hint="eastAsia" w:ascii="宋体" w:hAnsi="宋体" w:eastAsia="宋体" w:cs="宋体"/>
          <w:color w:val="auto"/>
          <w:sz w:val="24"/>
          <w:highlight w:val="none"/>
        </w:rPr>
        <w:t>釆购项目响应文件、签订合同和处理有关事宜，其法律后果由我方承担。</w:t>
      </w:r>
    </w:p>
    <w:p>
      <w:pPr>
        <w:pStyle w:val="35"/>
        <w:pageBreakBefore w:val="0"/>
        <w:tabs>
          <w:tab w:val="left" w:pos="5674"/>
        </w:tabs>
        <w:kinsoku/>
        <w:overflowPunct/>
        <w:topLinePunct w:val="0"/>
        <w:bidi w:val="0"/>
        <w:snapToGrid/>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委托期限：自本委托书签署之日起至</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rPr>
        <w:tab/>
      </w:r>
      <w:r>
        <w:rPr>
          <w:rFonts w:hint="eastAsia" w:ascii="宋体" w:hAnsi="宋体" w:eastAsia="宋体" w:cs="宋体"/>
          <w:color w:val="auto"/>
          <w:sz w:val="24"/>
          <w:highlight w:val="none"/>
          <w:lang w:eastAsia="zh-CN"/>
        </w:rPr>
        <w:t>询比</w:t>
      </w:r>
      <w:r>
        <w:rPr>
          <w:rFonts w:hint="eastAsia" w:ascii="宋体" w:hAnsi="宋体" w:eastAsia="宋体" w:cs="宋体"/>
          <w:color w:val="auto"/>
          <w:sz w:val="24"/>
          <w:highlight w:val="none"/>
        </w:rPr>
        <w:t>采购项目签订采购合同之日止。</w:t>
      </w:r>
    </w:p>
    <w:p>
      <w:pPr>
        <w:pStyle w:val="35"/>
        <w:pageBreakBefore w:val="0"/>
        <w:kinsoku/>
        <w:overflowPunct/>
        <w:topLinePunct w:val="0"/>
        <w:bidi w:val="0"/>
        <w:snapToGrid/>
        <w:spacing w:after="360" w:line="360" w:lineRule="auto"/>
        <w:ind w:firstLine="46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代理人无转委托权。</w:t>
      </w:r>
    </w:p>
    <w:p>
      <w:pPr>
        <w:pStyle w:val="35"/>
        <w:pageBreakBefore w:val="0"/>
        <w:kinsoku/>
        <w:overflowPunct/>
        <w:topLinePunct w:val="0"/>
        <w:bidi w:val="0"/>
        <w:snapToGrid/>
        <w:spacing w:after="760" w:line="360" w:lineRule="auto"/>
        <w:ind w:firstLine="46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附：法定代表人（单位负责人）身份证复印件及委托代理人身份证复印件。</w:t>
      </w:r>
    </w:p>
    <w:p>
      <w:pPr>
        <w:pStyle w:val="35"/>
        <w:pageBreakBefore w:val="0"/>
        <w:tabs>
          <w:tab w:val="left" w:pos="7358"/>
          <w:tab w:val="left" w:pos="7838"/>
          <w:tab w:val="left" w:pos="8587"/>
          <w:tab w:val="left" w:pos="8592"/>
        </w:tabs>
        <w:kinsoku/>
        <w:overflowPunct/>
        <w:topLinePunct w:val="0"/>
        <w:bidi w:val="0"/>
        <w:snapToGrid/>
        <w:spacing w:line="360" w:lineRule="auto"/>
        <w:ind w:firstLine="1920" w:firstLineChars="800"/>
        <w:jc w:val="left"/>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lang w:eastAsia="zh-CN"/>
        </w:rPr>
        <w:t>询比响应人</w:t>
      </w:r>
      <w:r>
        <w:rPr>
          <w:rFonts w:hint="eastAsia" w:ascii="宋体" w:hAnsi="宋体" w:eastAsia="宋体" w:cs="宋体"/>
          <w:color w:val="auto"/>
          <w:sz w:val="24"/>
          <w:highlight w:val="none"/>
        </w:rPr>
        <w:t>：</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u w:val="single"/>
        </w:rPr>
        <w:t>（盖单位章）</w:t>
      </w:r>
    </w:p>
    <w:p>
      <w:pPr>
        <w:pStyle w:val="35"/>
        <w:pageBreakBefore w:val="0"/>
        <w:tabs>
          <w:tab w:val="left" w:pos="7358"/>
          <w:tab w:val="left" w:pos="7838"/>
          <w:tab w:val="left" w:pos="8587"/>
          <w:tab w:val="left" w:pos="8592"/>
        </w:tabs>
        <w:kinsoku/>
        <w:overflowPunct/>
        <w:topLinePunct w:val="0"/>
        <w:bidi w:val="0"/>
        <w:snapToGrid/>
        <w:spacing w:line="360" w:lineRule="auto"/>
        <w:ind w:firstLine="1920" w:firstLineChars="800"/>
        <w:jc w:val="left"/>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法定代表人（单位负责人）：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rPr>
        <w:tab/>
      </w:r>
      <w:r>
        <w:rPr>
          <w:rFonts w:hint="eastAsia" w:ascii="宋体" w:hAnsi="宋体" w:eastAsia="宋体" w:cs="宋体"/>
          <w:color w:val="auto"/>
          <w:sz w:val="24"/>
          <w:highlight w:val="none"/>
          <w:u w:val="single"/>
        </w:rPr>
        <w:t xml:space="preserve">（签字） </w:t>
      </w:r>
    </w:p>
    <w:p>
      <w:pPr>
        <w:pStyle w:val="35"/>
        <w:pageBreakBefore w:val="0"/>
        <w:tabs>
          <w:tab w:val="left" w:pos="7358"/>
          <w:tab w:val="left" w:pos="7838"/>
          <w:tab w:val="left" w:pos="8587"/>
          <w:tab w:val="left" w:pos="8592"/>
        </w:tabs>
        <w:kinsoku/>
        <w:overflowPunct/>
        <w:topLinePunct w:val="0"/>
        <w:bidi w:val="0"/>
        <w:snapToGrid/>
        <w:spacing w:line="360" w:lineRule="auto"/>
        <w:ind w:firstLine="1920" w:firstLineChars="8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身份证号码：</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rPr>
        <w:tab/>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rPr>
        <w:t xml:space="preserve"> </w:t>
      </w:r>
    </w:p>
    <w:p>
      <w:pPr>
        <w:pStyle w:val="35"/>
        <w:pageBreakBefore w:val="0"/>
        <w:tabs>
          <w:tab w:val="left" w:pos="7358"/>
          <w:tab w:val="left" w:pos="7838"/>
          <w:tab w:val="left" w:pos="8587"/>
          <w:tab w:val="left" w:pos="8592"/>
        </w:tabs>
        <w:kinsoku/>
        <w:overflowPunct/>
        <w:topLinePunct w:val="0"/>
        <w:bidi w:val="0"/>
        <w:snapToGrid/>
        <w:spacing w:line="360" w:lineRule="auto"/>
        <w:ind w:firstLine="1920" w:firstLineChars="800"/>
        <w:jc w:val="left"/>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委托代理人：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rPr>
        <w:tab/>
      </w:r>
      <w:r>
        <w:rPr>
          <w:rFonts w:hint="eastAsia" w:ascii="宋体" w:hAnsi="宋体" w:eastAsia="宋体" w:cs="宋体"/>
          <w:color w:val="auto"/>
          <w:sz w:val="24"/>
          <w:highlight w:val="none"/>
          <w:u w:val="single"/>
        </w:rPr>
        <w:t xml:space="preserve">（签字） </w:t>
      </w:r>
    </w:p>
    <w:p>
      <w:pPr>
        <w:pStyle w:val="35"/>
        <w:pageBreakBefore w:val="0"/>
        <w:tabs>
          <w:tab w:val="left" w:pos="7358"/>
          <w:tab w:val="left" w:pos="7838"/>
          <w:tab w:val="left" w:pos="8587"/>
          <w:tab w:val="left" w:pos="8592"/>
        </w:tabs>
        <w:kinsoku/>
        <w:overflowPunct/>
        <w:topLinePunct w:val="0"/>
        <w:bidi w:val="0"/>
        <w:snapToGrid/>
        <w:spacing w:line="360" w:lineRule="auto"/>
        <w:ind w:firstLine="1920" w:firstLineChars="800"/>
        <w:jc w:val="lef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rPr>
        <w:t>身份证号码：</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rPr>
        <w:tab/>
      </w:r>
      <w:r>
        <w:rPr>
          <w:rFonts w:hint="eastAsia" w:ascii="宋体" w:hAnsi="宋体" w:eastAsia="宋体" w:cs="宋体"/>
          <w:color w:val="auto"/>
          <w:sz w:val="24"/>
          <w:highlight w:val="none"/>
          <w:u w:val="single"/>
          <w:lang w:val="en-US" w:eastAsia="zh-CN"/>
        </w:rPr>
        <w:t xml:space="preserve">         </w:t>
      </w:r>
    </w:p>
    <w:p>
      <w:pPr>
        <w:pageBreakBefore w:val="0"/>
        <w:kinsoku/>
        <w:overflowPunct/>
        <w:topLinePunct w:val="0"/>
        <w:bidi w:val="0"/>
        <w:snapToGrid/>
        <w:spacing w:line="360" w:lineRule="auto"/>
        <w:rPr>
          <w:rFonts w:hint="eastAsia" w:ascii="宋体" w:hAnsi="宋体" w:eastAsia="宋体" w:cs="宋体"/>
          <w:color w:val="auto"/>
          <w:sz w:val="24"/>
          <w:highlight w:val="none"/>
          <w:u w:val="single"/>
        </w:rPr>
      </w:pPr>
    </w:p>
    <w:p>
      <w:pPr>
        <w:pageBreakBefore w:val="0"/>
        <w:kinsoku/>
        <w:overflowPunct/>
        <w:topLinePunct w:val="0"/>
        <w:bidi w:val="0"/>
        <w:snapToGrid/>
        <w:spacing w:line="360" w:lineRule="auto"/>
        <w:ind w:firstLine="5280" w:firstLineChars="2200"/>
        <w:rPr>
          <w:rFonts w:hint="eastAsia" w:ascii="宋体" w:hAnsi="宋体" w:eastAsia="宋体" w:cs="宋体"/>
          <w:color w:val="auto"/>
          <w:sz w:val="24"/>
          <w:highlight w:val="none"/>
        </w:rPr>
      </w:pP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年</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月</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日</w:t>
      </w:r>
    </w:p>
    <w:p>
      <w:pPr>
        <w:pageBreakBefore w:val="0"/>
        <w:kinsoku/>
        <w:overflowPunct/>
        <w:topLinePunct w:val="0"/>
        <w:bidi w:val="0"/>
        <w:snapToGrid/>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br w:type="page"/>
      </w:r>
    </w:p>
    <w:p>
      <w:pPr>
        <w:pStyle w:val="4"/>
        <w:pageBreakBefore w:val="0"/>
        <w:kinsoku/>
        <w:overflowPunct/>
        <w:topLinePunct w:val="0"/>
        <w:bidi w:val="0"/>
        <w:snapToGrid/>
        <w:spacing w:line="360" w:lineRule="auto"/>
        <w:ind w:firstLine="3092" w:firstLineChars="1100"/>
        <w:jc w:val="both"/>
        <w:rPr>
          <w:rFonts w:hint="eastAsia" w:ascii="宋体" w:hAnsi="宋体" w:eastAsia="宋体" w:cs="宋体"/>
          <w:color w:val="auto"/>
          <w:highlight w:val="none"/>
          <w:lang w:eastAsia="zh-CN"/>
        </w:rPr>
      </w:pPr>
      <w:bookmarkStart w:id="344" w:name="bookmark572"/>
      <w:bookmarkStart w:id="345" w:name="_Toc6525"/>
      <w:bookmarkStart w:id="346" w:name="bookmark573"/>
      <w:bookmarkStart w:id="347" w:name="bookmark570"/>
      <w:bookmarkStart w:id="348" w:name="bookmark571"/>
      <w:bookmarkStart w:id="349" w:name="_Toc8132"/>
      <w:r>
        <w:rPr>
          <w:rFonts w:hint="eastAsia" w:ascii="宋体" w:hAnsi="宋体" w:eastAsia="宋体" w:cs="宋体"/>
          <w:color w:val="auto"/>
          <w:highlight w:val="none"/>
        </w:rPr>
        <w:t>三</w:t>
      </w:r>
      <w:bookmarkEnd w:id="344"/>
      <w:r>
        <w:rPr>
          <w:rFonts w:hint="eastAsia" w:ascii="宋体" w:hAnsi="宋体" w:eastAsia="宋体" w:cs="宋体"/>
          <w:color w:val="auto"/>
          <w:highlight w:val="none"/>
        </w:rPr>
        <w:t>、联合体协议书</w:t>
      </w:r>
      <w:bookmarkEnd w:id="345"/>
      <w:bookmarkEnd w:id="346"/>
      <w:bookmarkEnd w:id="347"/>
      <w:bookmarkEnd w:id="348"/>
      <w:r>
        <w:rPr>
          <w:rFonts w:hint="eastAsia" w:ascii="宋体" w:hAnsi="宋体" w:eastAsia="宋体" w:cs="宋体"/>
          <w:color w:val="auto"/>
          <w:highlight w:val="none"/>
          <w:lang w:eastAsia="zh-CN"/>
        </w:rPr>
        <w:t>（本项目不适用）</w:t>
      </w:r>
      <w:bookmarkEnd w:id="349"/>
    </w:p>
    <w:p>
      <w:pPr>
        <w:pageBreakBefore w:val="0"/>
        <w:kinsoku/>
        <w:overflowPunct/>
        <w:topLinePunct w:val="0"/>
        <w:bidi w:val="0"/>
        <w:snapToGrid/>
        <w:spacing w:after="480" w:line="360" w:lineRule="auto"/>
        <w:jc w:val="center"/>
        <w:outlineLvl w:val="0"/>
        <w:rPr>
          <w:rFonts w:hint="eastAsia" w:ascii="宋体" w:hAnsi="宋体" w:eastAsia="宋体" w:cs="宋体"/>
          <w:color w:val="auto"/>
          <w:sz w:val="24"/>
          <w:highlight w:val="none"/>
        </w:rPr>
      </w:pPr>
      <w:bookmarkStart w:id="350" w:name="_Toc23295"/>
      <w:bookmarkStart w:id="351" w:name="_Toc11403"/>
      <w:bookmarkStart w:id="352" w:name="_Toc20035"/>
      <w:bookmarkStart w:id="353" w:name="_Toc4448"/>
      <w:bookmarkStart w:id="354" w:name="_Toc29587"/>
      <w:bookmarkStart w:id="355" w:name="_Toc30124"/>
      <w:r>
        <w:rPr>
          <w:rFonts w:hint="eastAsia" w:ascii="宋体" w:hAnsi="宋体" w:eastAsia="宋体" w:cs="宋体"/>
          <w:color w:val="auto"/>
          <w:sz w:val="24"/>
          <w:highlight w:val="none"/>
        </w:rPr>
        <w:t>（适用于</w:t>
      </w:r>
      <w:r>
        <w:rPr>
          <w:rFonts w:hint="eastAsia" w:ascii="宋体" w:hAnsi="宋体" w:eastAsia="宋体" w:cs="宋体"/>
          <w:color w:val="auto"/>
          <w:sz w:val="24"/>
          <w:highlight w:val="none"/>
          <w:lang w:eastAsia="zh-CN"/>
        </w:rPr>
        <w:t>投标人</w:t>
      </w:r>
      <w:r>
        <w:rPr>
          <w:rFonts w:hint="eastAsia" w:ascii="宋体" w:hAnsi="宋体" w:eastAsia="宋体" w:cs="宋体"/>
          <w:color w:val="auto"/>
          <w:sz w:val="24"/>
          <w:highlight w:val="none"/>
        </w:rPr>
        <w:t>组成联合体的情况）</w:t>
      </w:r>
      <w:bookmarkEnd w:id="350"/>
      <w:bookmarkEnd w:id="351"/>
      <w:bookmarkEnd w:id="352"/>
      <w:bookmarkEnd w:id="353"/>
      <w:bookmarkEnd w:id="354"/>
      <w:bookmarkEnd w:id="355"/>
    </w:p>
    <w:p>
      <w:pPr>
        <w:pStyle w:val="35"/>
        <w:pageBreakBefore w:val="0"/>
        <w:tabs>
          <w:tab w:val="left" w:pos="2352"/>
          <w:tab w:val="left" w:pos="3274"/>
          <w:tab w:val="left" w:pos="6926"/>
        </w:tabs>
        <w:kinsoku/>
        <w:overflowPunct/>
        <w:topLinePunct w:val="0"/>
        <w:bidi w:val="0"/>
        <w:snapToGrid/>
        <w:spacing w:line="360" w:lineRule="auto"/>
        <w:ind w:firstLine="840" w:firstLineChars="400"/>
        <w:rPr>
          <w:rFonts w:hint="eastAsia" w:ascii="宋体" w:hAnsi="宋体" w:eastAsia="宋体" w:cs="宋体"/>
          <w:color w:val="auto"/>
          <w:highlight w:val="none"/>
        </w:rPr>
      </w:pP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sz w:val="24"/>
          <w:highlight w:val="none"/>
          <w:u w:val="single"/>
        </w:rPr>
        <w:t>（所有成员单位名称）</w:t>
      </w:r>
      <w:r>
        <w:rPr>
          <w:rFonts w:hint="eastAsia" w:ascii="宋体" w:hAnsi="宋体" w:eastAsia="宋体" w:cs="宋体"/>
          <w:color w:val="auto"/>
          <w:sz w:val="24"/>
          <w:highlight w:val="none"/>
        </w:rPr>
        <w:t>自愿组成</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sz w:val="24"/>
          <w:highlight w:val="none"/>
          <w:u w:val="single"/>
        </w:rPr>
        <w:t>（联合体名称）</w:t>
      </w:r>
      <w:r>
        <w:rPr>
          <w:rFonts w:hint="eastAsia" w:ascii="宋体" w:hAnsi="宋体" w:eastAsia="宋体" w:cs="宋体"/>
          <w:color w:val="auto"/>
          <w:sz w:val="24"/>
          <w:highlight w:val="none"/>
        </w:rPr>
        <w:t>联合体，共同参加</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sz w:val="24"/>
          <w:highlight w:val="none"/>
          <w:u w:val="single"/>
        </w:rPr>
        <w:t>（项目名称）</w:t>
      </w:r>
      <w:r>
        <w:rPr>
          <w:rFonts w:hint="eastAsia" w:ascii="宋体" w:hAnsi="宋体" w:eastAsia="宋体" w:cs="宋体"/>
          <w:color w:val="auto"/>
          <w:sz w:val="24"/>
          <w:highlight w:val="none"/>
          <w:lang w:eastAsia="zh-CN"/>
        </w:rPr>
        <w:t>询比</w:t>
      </w:r>
      <w:r>
        <w:rPr>
          <w:rFonts w:hint="eastAsia" w:ascii="宋体" w:hAnsi="宋体" w:eastAsia="宋体" w:cs="宋体"/>
          <w:color w:val="auto"/>
          <w:sz w:val="24"/>
          <w:highlight w:val="none"/>
        </w:rPr>
        <w:t>活动。现就组成联合体事宜订立如下</w:t>
      </w:r>
      <w:r>
        <w:rPr>
          <w:rFonts w:hint="eastAsia" w:ascii="宋体" w:hAnsi="宋体" w:eastAsia="宋体" w:cs="宋体"/>
          <w:color w:val="auto"/>
          <w:sz w:val="24"/>
          <w:highlight w:val="none"/>
          <w:lang w:val="en-US" w:eastAsia="zh-CN"/>
        </w:rPr>
        <w:t>协</w:t>
      </w:r>
      <w:r>
        <w:rPr>
          <w:rFonts w:hint="eastAsia" w:ascii="宋体" w:hAnsi="宋体" w:eastAsia="宋体" w:cs="宋体"/>
          <w:color w:val="auto"/>
          <w:sz w:val="24"/>
          <w:highlight w:val="none"/>
        </w:rPr>
        <w:t>议。</w:t>
      </w:r>
    </w:p>
    <w:p>
      <w:pPr>
        <w:pStyle w:val="35"/>
        <w:pageBreakBefore w:val="0"/>
        <w:tabs>
          <w:tab w:val="left" w:pos="413"/>
          <w:tab w:val="left" w:pos="2789"/>
          <w:tab w:val="left" w:pos="6211"/>
        </w:tabs>
        <w:kinsoku/>
        <w:overflowPunct/>
        <w:topLinePunct w:val="0"/>
        <w:bidi w:val="0"/>
        <w:snapToGrid/>
        <w:spacing w:line="360" w:lineRule="auto"/>
        <w:ind w:firstLine="480" w:firstLineChars="200"/>
        <w:jc w:val="left"/>
        <w:rPr>
          <w:rFonts w:hint="eastAsia" w:ascii="宋体" w:hAnsi="宋体" w:eastAsia="宋体" w:cs="宋体"/>
          <w:color w:val="auto"/>
          <w:highlight w:val="none"/>
        </w:rPr>
      </w:pPr>
      <w:r>
        <w:rPr>
          <w:rFonts w:hint="eastAsia" w:ascii="宋体" w:hAnsi="宋体" w:eastAsia="宋体" w:cs="宋体"/>
          <w:color w:val="auto"/>
          <w:sz w:val="24"/>
          <w:highlight w:val="none"/>
          <w:lang w:val="en-US" w:eastAsia="zh-CN" w:bidi="en-US"/>
        </w:rPr>
        <w:t>1.</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lang w:val="en-US" w:eastAsia="zh-CN"/>
        </w:rPr>
        <w:t xml:space="preserve">            </w:t>
      </w:r>
      <w:r>
        <w:rPr>
          <w:rFonts w:hint="eastAsia" w:ascii="宋体" w:hAnsi="宋体" w:eastAsia="宋体" w:cs="宋体"/>
          <w:color w:val="auto"/>
          <w:sz w:val="24"/>
          <w:highlight w:val="none"/>
          <w:u w:val="single"/>
        </w:rPr>
        <w:t>（某成员单位名称）</w:t>
      </w:r>
      <w:r>
        <w:rPr>
          <w:rFonts w:hint="eastAsia" w:ascii="宋体" w:hAnsi="宋体" w:eastAsia="宋体" w:cs="宋体"/>
          <w:color w:val="auto"/>
          <w:sz w:val="24"/>
          <w:highlight w:val="none"/>
        </w:rPr>
        <w:t>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lang w:val="en-US" w:eastAsia="zh-CN"/>
        </w:rPr>
        <w:t xml:space="preserve">              </w:t>
      </w:r>
      <w:r>
        <w:rPr>
          <w:rFonts w:hint="eastAsia" w:ascii="宋体" w:hAnsi="宋体" w:eastAsia="宋体" w:cs="宋体"/>
          <w:color w:val="auto"/>
          <w:sz w:val="24"/>
          <w:highlight w:val="none"/>
          <w:u w:val="single"/>
        </w:rPr>
        <w:t>（联合体名称）</w:t>
      </w:r>
      <w:r>
        <w:rPr>
          <w:rFonts w:hint="eastAsia" w:ascii="宋体" w:hAnsi="宋体" w:eastAsia="宋体" w:cs="宋体"/>
          <w:color w:val="auto"/>
          <w:sz w:val="24"/>
          <w:highlight w:val="none"/>
        </w:rPr>
        <w:t>牵头人。</w:t>
      </w:r>
    </w:p>
    <w:p>
      <w:pPr>
        <w:pStyle w:val="35"/>
        <w:pageBreakBefore w:val="0"/>
        <w:tabs>
          <w:tab w:val="left" w:pos="834"/>
        </w:tabs>
        <w:kinsoku/>
        <w:overflowPunct/>
        <w:topLinePunct w:val="0"/>
        <w:bidi w:val="0"/>
        <w:snapToGrid/>
        <w:spacing w:line="360" w:lineRule="auto"/>
        <w:ind w:firstLine="480" w:firstLineChars="200"/>
        <w:rPr>
          <w:rFonts w:hint="eastAsia" w:ascii="宋体" w:hAnsi="宋体" w:eastAsia="宋体" w:cs="宋体"/>
          <w:color w:val="auto"/>
          <w:highlight w:val="none"/>
        </w:rPr>
      </w:pPr>
      <w:bookmarkStart w:id="356" w:name="bookmark574"/>
      <w:bookmarkEnd w:id="356"/>
      <w:r>
        <w:rPr>
          <w:rFonts w:hint="eastAsia" w:ascii="宋体" w:hAnsi="宋体" w:eastAsia="宋体" w:cs="宋体"/>
          <w:color w:val="auto"/>
          <w:sz w:val="24"/>
          <w:highlight w:val="none"/>
          <w:lang w:val="en-US" w:eastAsia="zh-CN"/>
        </w:rPr>
        <w:t>2.</w:t>
      </w:r>
      <w:r>
        <w:rPr>
          <w:rFonts w:hint="eastAsia" w:ascii="宋体" w:hAnsi="宋体" w:eastAsia="宋体" w:cs="宋体"/>
          <w:color w:val="auto"/>
          <w:sz w:val="24"/>
          <w:highlight w:val="none"/>
        </w:rPr>
        <w:t>联合体各成员授权牵头人代表联合体参加</w:t>
      </w:r>
      <w:r>
        <w:rPr>
          <w:rFonts w:hint="eastAsia" w:ascii="宋体" w:hAnsi="宋体" w:eastAsia="宋体" w:cs="宋体"/>
          <w:color w:val="auto"/>
          <w:sz w:val="24"/>
          <w:highlight w:val="none"/>
          <w:lang w:eastAsia="zh-CN"/>
        </w:rPr>
        <w:t>询比</w:t>
      </w:r>
      <w:r>
        <w:rPr>
          <w:rFonts w:hint="eastAsia" w:ascii="宋体" w:hAnsi="宋体" w:eastAsia="宋体" w:cs="宋体"/>
          <w:color w:val="auto"/>
          <w:sz w:val="24"/>
          <w:highlight w:val="none"/>
        </w:rPr>
        <w:t>采购活动，签署文件，递交和接收相关的资料、信息及指示，进行合同</w:t>
      </w:r>
      <w:r>
        <w:rPr>
          <w:rFonts w:hint="eastAsia" w:ascii="宋体" w:hAnsi="宋体" w:eastAsia="宋体" w:cs="宋体"/>
          <w:color w:val="auto"/>
          <w:sz w:val="24"/>
          <w:highlight w:val="none"/>
          <w:lang w:eastAsia="zh-CN"/>
        </w:rPr>
        <w:t>询比</w:t>
      </w:r>
      <w:r>
        <w:rPr>
          <w:rFonts w:hint="eastAsia" w:ascii="宋体" w:hAnsi="宋体" w:eastAsia="宋体" w:cs="宋体"/>
          <w:color w:val="auto"/>
          <w:sz w:val="24"/>
          <w:highlight w:val="none"/>
        </w:rPr>
        <w:t>活动，负责合同实施阶段的组织和协调工 作，以及处理与本采购项目有关的一切事宜。</w:t>
      </w:r>
    </w:p>
    <w:p>
      <w:pPr>
        <w:pStyle w:val="35"/>
        <w:pageBreakBefore w:val="0"/>
        <w:tabs>
          <w:tab w:val="left" w:pos="843"/>
        </w:tabs>
        <w:kinsoku/>
        <w:overflowPunct/>
        <w:topLinePunct w:val="0"/>
        <w:bidi w:val="0"/>
        <w:snapToGrid/>
        <w:spacing w:line="360" w:lineRule="auto"/>
        <w:ind w:firstLine="480" w:firstLineChars="200"/>
        <w:rPr>
          <w:rFonts w:hint="eastAsia" w:ascii="宋体" w:hAnsi="宋体" w:eastAsia="宋体" w:cs="宋体"/>
          <w:color w:val="auto"/>
          <w:highlight w:val="none"/>
        </w:rPr>
      </w:pPr>
      <w:bookmarkStart w:id="357" w:name="bookmark575"/>
      <w:bookmarkEnd w:id="357"/>
      <w:r>
        <w:rPr>
          <w:rFonts w:hint="eastAsia" w:ascii="宋体" w:hAnsi="宋体" w:eastAsia="宋体" w:cs="宋体"/>
          <w:color w:val="auto"/>
          <w:sz w:val="24"/>
          <w:highlight w:val="none"/>
          <w:lang w:val="en-US" w:eastAsia="zh-CN"/>
        </w:rPr>
        <w:t>3.</w:t>
      </w:r>
      <w:r>
        <w:rPr>
          <w:rFonts w:hint="eastAsia" w:ascii="宋体" w:hAnsi="宋体" w:eastAsia="宋体" w:cs="宋体"/>
          <w:color w:val="auto"/>
          <w:sz w:val="24"/>
          <w:highlight w:val="none"/>
        </w:rPr>
        <w:t>联合体牵头人在本项目中签署的一切文件和处理的一切事宜，联合体各成员均予以承认。联合体各成员将严格按照采购文件、响应文件和合同的要求全面履行义务, 并向</w:t>
      </w:r>
      <w:r>
        <w:rPr>
          <w:rFonts w:hint="eastAsia" w:cs="宋体"/>
          <w:color w:val="auto"/>
          <w:sz w:val="24"/>
          <w:highlight w:val="none"/>
          <w:lang w:eastAsia="zh-CN"/>
        </w:rPr>
        <w:t>招标人</w:t>
      </w:r>
      <w:r>
        <w:rPr>
          <w:rFonts w:hint="eastAsia" w:ascii="宋体" w:hAnsi="宋体" w:eastAsia="宋体" w:cs="宋体"/>
          <w:color w:val="auto"/>
          <w:sz w:val="24"/>
          <w:highlight w:val="none"/>
        </w:rPr>
        <w:t>承担连带责任。</w:t>
      </w:r>
    </w:p>
    <w:p>
      <w:pPr>
        <w:pStyle w:val="35"/>
        <w:pageBreakBefore w:val="0"/>
        <w:tabs>
          <w:tab w:val="left" w:pos="736"/>
        </w:tabs>
        <w:kinsoku/>
        <w:overflowPunct/>
        <w:topLinePunct w:val="0"/>
        <w:bidi w:val="0"/>
        <w:snapToGrid/>
        <w:spacing w:line="360" w:lineRule="auto"/>
        <w:ind w:firstLine="456" w:firstLineChars="200"/>
        <w:jc w:val="left"/>
        <w:rPr>
          <w:rFonts w:hint="eastAsia" w:ascii="宋体" w:hAnsi="宋体" w:eastAsia="宋体" w:cs="宋体"/>
          <w:color w:val="auto"/>
          <w:spacing w:val="-6"/>
          <w:highlight w:val="none"/>
        </w:rPr>
      </w:pPr>
      <w:bookmarkStart w:id="358" w:name="bookmark576"/>
      <w:bookmarkEnd w:id="358"/>
      <w:r>
        <w:rPr>
          <w:rFonts w:hint="eastAsia" w:ascii="宋体" w:hAnsi="宋体" w:eastAsia="宋体" w:cs="宋体"/>
          <w:color w:val="auto"/>
          <w:spacing w:val="-6"/>
          <w:sz w:val="24"/>
          <w:highlight w:val="none"/>
          <w:lang w:val="en-US" w:eastAsia="zh-CN"/>
        </w:rPr>
        <w:t>4.</w:t>
      </w:r>
      <w:r>
        <w:rPr>
          <w:rFonts w:hint="eastAsia" w:ascii="宋体" w:hAnsi="宋体" w:eastAsia="宋体" w:cs="宋体"/>
          <w:color w:val="auto"/>
          <w:spacing w:val="-6"/>
          <w:sz w:val="24"/>
          <w:highlight w:val="none"/>
        </w:rPr>
        <w:t>联合体各方承诺不以自己名义单独或参加其他联合体参与本</w:t>
      </w:r>
      <w:r>
        <w:rPr>
          <w:rFonts w:hint="eastAsia" w:ascii="宋体" w:hAnsi="宋体" w:eastAsia="宋体" w:cs="宋体"/>
          <w:color w:val="auto"/>
          <w:spacing w:val="-6"/>
          <w:sz w:val="24"/>
          <w:highlight w:val="none"/>
          <w:lang w:eastAsia="zh-CN"/>
        </w:rPr>
        <w:t>询比</w:t>
      </w:r>
      <w:r>
        <w:rPr>
          <w:rFonts w:hint="eastAsia" w:ascii="宋体" w:hAnsi="宋体" w:eastAsia="宋体" w:cs="宋体"/>
          <w:color w:val="auto"/>
          <w:spacing w:val="-6"/>
          <w:sz w:val="24"/>
          <w:highlight w:val="none"/>
        </w:rPr>
        <w:t>釆购项目。</w:t>
      </w:r>
    </w:p>
    <w:p>
      <w:pPr>
        <w:pStyle w:val="35"/>
        <w:pageBreakBefore w:val="0"/>
        <w:tabs>
          <w:tab w:val="left" w:pos="736"/>
          <w:tab w:val="left" w:pos="8822"/>
        </w:tabs>
        <w:kinsoku/>
        <w:overflowPunct/>
        <w:topLinePunct w:val="0"/>
        <w:bidi w:val="0"/>
        <w:snapToGrid/>
        <w:spacing w:line="360" w:lineRule="auto"/>
        <w:ind w:firstLine="480" w:firstLineChars="200"/>
        <w:rPr>
          <w:rFonts w:hint="eastAsia" w:ascii="宋体" w:hAnsi="宋体" w:eastAsia="宋体" w:cs="宋体"/>
          <w:color w:val="auto"/>
          <w:highlight w:val="none"/>
        </w:rPr>
      </w:pPr>
      <w:bookmarkStart w:id="359" w:name="bookmark577"/>
      <w:bookmarkEnd w:id="359"/>
      <w:r>
        <w:rPr>
          <w:rFonts w:hint="eastAsia" w:ascii="宋体" w:hAnsi="宋体" w:eastAsia="宋体" w:cs="宋体"/>
          <w:color w:val="auto"/>
          <w:sz w:val="24"/>
          <w:highlight w:val="none"/>
          <w:lang w:val="en-US" w:eastAsia="zh-CN"/>
        </w:rPr>
        <w:t>5.</w:t>
      </w:r>
      <w:r>
        <w:rPr>
          <w:rFonts w:hint="eastAsia" w:ascii="宋体" w:hAnsi="宋体" w:eastAsia="宋体" w:cs="宋体"/>
          <w:color w:val="auto"/>
          <w:sz w:val="24"/>
          <w:highlight w:val="none"/>
        </w:rPr>
        <w:t>联合体各成员单位内部的职责分工如下：</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lang w:val="en-US" w:eastAsia="zh-CN"/>
        </w:rPr>
        <w:t xml:space="preserve">                             </w:t>
      </w:r>
      <w:r>
        <w:rPr>
          <w:rFonts w:hint="eastAsia" w:ascii="宋体" w:hAnsi="宋体" w:eastAsia="宋体" w:cs="宋体"/>
          <w:color w:val="auto"/>
          <w:sz w:val="24"/>
          <w:highlight w:val="none"/>
        </w:rPr>
        <w:t>。</w:t>
      </w:r>
    </w:p>
    <w:p>
      <w:pPr>
        <w:pStyle w:val="35"/>
        <w:pageBreakBefore w:val="0"/>
        <w:tabs>
          <w:tab w:val="left" w:pos="834"/>
        </w:tabs>
        <w:kinsoku/>
        <w:overflowPunct/>
        <w:topLinePunct w:val="0"/>
        <w:bidi w:val="0"/>
        <w:snapToGrid/>
        <w:spacing w:line="360" w:lineRule="auto"/>
        <w:ind w:firstLine="480" w:firstLineChars="200"/>
        <w:rPr>
          <w:rFonts w:hint="eastAsia" w:ascii="宋体" w:hAnsi="宋体" w:eastAsia="宋体" w:cs="宋体"/>
          <w:color w:val="auto"/>
          <w:highlight w:val="none"/>
        </w:rPr>
      </w:pPr>
      <w:bookmarkStart w:id="360" w:name="bookmark578"/>
      <w:bookmarkEnd w:id="360"/>
      <w:r>
        <w:rPr>
          <w:rFonts w:hint="eastAsia" w:ascii="宋体" w:hAnsi="宋体" w:eastAsia="宋体" w:cs="宋体"/>
          <w:color w:val="auto"/>
          <w:sz w:val="24"/>
          <w:highlight w:val="none"/>
          <w:lang w:val="en-US" w:eastAsia="zh-CN"/>
        </w:rPr>
        <w:t>6.</w:t>
      </w:r>
      <w:r>
        <w:rPr>
          <w:rFonts w:hint="eastAsia" w:ascii="宋体" w:hAnsi="宋体" w:eastAsia="宋体" w:cs="宋体"/>
          <w:color w:val="auto"/>
          <w:sz w:val="24"/>
          <w:highlight w:val="none"/>
        </w:rPr>
        <w:t>本协议书自所有成员单位法定代表人（单位负责人）或其授权的代理人签字并 加盖单位章之日起生效，合同履行完毕后自动失效。</w:t>
      </w:r>
    </w:p>
    <w:p>
      <w:pPr>
        <w:pStyle w:val="35"/>
        <w:pageBreakBefore w:val="0"/>
        <w:tabs>
          <w:tab w:val="left" w:pos="736"/>
          <w:tab w:val="left" w:pos="3082"/>
        </w:tabs>
        <w:kinsoku/>
        <w:overflowPunct/>
        <w:topLinePunct w:val="0"/>
        <w:bidi w:val="0"/>
        <w:snapToGrid/>
        <w:spacing w:line="360" w:lineRule="auto"/>
        <w:ind w:firstLine="480" w:firstLineChars="200"/>
        <w:jc w:val="left"/>
        <w:rPr>
          <w:rFonts w:hint="eastAsia" w:ascii="宋体" w:hAnsi="宋体" w:eastAsia="宋体" w:cs="宋体"/>
          <w:color w:val="auto"/>
          <w:highlight w:val="none"/>
        </w:rPr>
      </w:pPr>
      <w:bookmarkStart w:id="361" w:name="bookmark579"/>
      <w:bookmarkEnd w:id="361"/>
      <w:r>
        <w:rPr>
          <w:rFonts w:hint="eastAsia" w:ascii="宋体" w:hAnsi="宋体" w:eastAsia="宋体" w:cs="宋体"/>
          <w:color w:val="auto"/>
          <w:sz w:val="24"/>
          <w:highlight w:val="none"/>
          <w:lang w:val="en-US" w:eastAsia="zh-CN"/>
        </w:rPr>
        <w:t>7.</w:t>
      </w:r>
      <w:r>
        <w:rPr>
          <w:rFonts w:hint="eastAsia" w:ascii="宋体" w:hAnsi="宋体" w:eastAsia="宋体" w:cs="宋体"/>
          <w:color w:val="auto"/>
          <w:sz w:val="24"/>
          <w:highlight w:val="none"/>
        </w:rPr>
        <w:t>本协议书一式</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sz w:val="24"/>
          <w:highlight w:val="none"/>
        </w:rPr>
        <w:t>份，联合体成员和</w:t>
      </w:r>
      <w:r>
        <w:rPr>
          <w:rFonts w:hint="eastAsia" w:cs="宋体"/>
          <w:color w:val="auto"/>
          <w:sz w:val="24"/>
          <w:highlight w:val="none"/>
          <w:lang w:eastAsia="zh-CN"/>
        </w:rPr>
        <w:t>招标人</w:t>
      </w:r>
      <w:r>
        <w:rPr>
          <w:rFonts w:hint="eastAsia" w:ascii="宋体" w:hAnsi="宋体" w:eastAsia="宋体" w:cs="宋体"/>
          <w:color w:val="auto"/>
          <w:sz w:val="24"/>
          <w:highlight w:val="none"/>
        </w:rPr>
        <w:t>各执一份。</w:t>
      </w:r>
    </w:p>
    <w:p>
      <w:pPr>
        <w:pStyle w:val="36"/>
        <w:pageBreakBefore w:val="0"/>
        <w:kinsoku/>
        <w:overflowPunct/>
        <w:topLinePunct w:val="0"/>
        <w:bidi w:val="0"/>
        <w:snapToGrid/>
        <w:spacing w:after="0" w:line="360" w:lineRule="auto"/>
        <w:ind w:firstLine="360"/>
        <w:jc w:val="left"/>
        <w:rPr>
          <w:rFonts w:hint="eastAsia" w:ascii="宋体" w:hAnsi="宋体" w:eastAsia="宋体" w:cs="宋体"/>
          <w:color w:val="auto"/>
          <w:highlight w:val="none"/>
        </w:rPr>
      </w:pPr>
      <w:r>
        <w:rPr>
          <w:rFonts w:hint="eastAsia" w:ascii="宋体" w:hAnsi="宋体" w:eastAsia="宋体" w:cs="宋体"/>
          <w:color w:val="auto"/>
          <w:highlight w:val="none"/>
        </w:rPr>
        <w:t>（注：本协议书由委托代理人签字的，应附授权委托书。）</w:t>
      </w:r>
    </w:p>
    <w:p>
      <w:pPr>
        <w:pStyle w:val="35"/>
        <w:pageBreakBefore w:val="0"/>
        <w:tabs>
          <w:tab w:val="left" w:pos="7337"/>
          <w:tab w:val="left" w:pos="7735"/>
        </w:tabs>
        <w:kinsoku/>
        <w:overflowPunct/>
        <w:topLinePunct w:val="0"/>
        <w:bidi w:val="0"/>
        <w:snapToGrid/>
        <w:spacing w:line="360" w:lineRule="auto"/>
        <w:ind w:firstLine="1440" w:firstLineChars="600"/>
        <w:jc w:val="left"/>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联合体牵头人名称：</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lang w:val="en-US" w:eastAsia="zh-CN"/>
        </w:rPr>
        <w:t xml:space="preserve">                              </w:t>
      </w:r>
      <w:r>
        <w:rPr>
          <w:rFonts w:hint="eastAsia" w:ascii="宋体" w:hAnsi="宋体" w:eastAsia="宋体" w:cs="宋体"/>
          <w:color w:val="auto"/>
          <w:sz w:val="24"/>
          <w:highlight w:val="none"/>
          <w:u w:val="single"/>
        </w:rPr>
        <w:t xml:space="preserve">（盖单位章） </w:t>
      </w:r>
    </w:p>
    <w:p>
      <w:pPr>
        <w:pStyle w:val="35"/>
        <w:pageBreakBefore w:val="0"/>
        <w:tabs>
          <w:tab w:val="left" w:pos="7337"/>
          <w:tab w:val="left" w:pos="7735"/>
        </w:tabs>
        <w:kinsoku/>
        <w:overflowPunct/>
        <w:topLinePunct w:val="0"/>
        <w:bidi w:val="0"/>
        <w:snapToGrid/>
        <w:spacing w:line="360" w:lineRule="auto"/>
        <w:ind w:firstLine="1440" w:firstLineChars="600"/>
        <w:jc w:val="left"/>
        <w:rPr>
          <w:rFonts w:hint="eastAsia" w:ascii="宋体" w:hAnsi="宋体" w:eastAsia="宋体" w:cs="宋体"/>
          <w:color w:val="auto"/>
          <w:highlight w:val="none"/>
        </w:rPr>
      </w:pPr>
      <w:r>
        <w:rPr>
          <w:rFonts w:hint="eastAsia" w:ascii="宋体" w:hAnsi="宋体" w:eastAsia="宋体" w:cs="宋体"/>
          <w:color w:val="auto"/>
          <w:sz w:val="24"/>
          <w:highlight w:val="none"/>
        </w:rPr>
        <w:t>法定代表人（单位负责人）或其授权的代理人：</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u w:val="single"/>
        </w:rPr>
        <w:t>（签字）</w:t>
      </w:r>
    </w:p>
    <w:p>
      <w:pPr>
        <w:pStyle w:val="35"/>
        <w:pageBreakBefore w:val="0"/>
        <w:tabs>
          <w:tab w:val="left" w:pos="7342"/>
          <w:tab w:val="left" w:pos="7735"/>
        </w:tabs>
        <w:kinsoku/>
        <w:overflowPunct/>
        <w:topLinePunct w:val="0"/>
        <w:bidi w:val="0"/>
        <w:snapToGrid/>
        <w:spacing w:line="360" w:lineRule="auto"/>
        <w:ind w:firstLine="1440" w:firstLineChars="600"/>
        <w:jc w:val="left"/>
        <w:rPr>
          <w:rFonts w:hint="eastAsia" w:ascii="宋体" w:hAnsi="宋体" w:eastAsia="宋体" w:cs="宋体"/>
          <w:color w:val="auto"/>
          <w:sz w:val="24"/>
          <w:highlight w:val="none"/>
        </w:rPr>
      </w:pPr>
    </w:p>
    <w:p>
      <w:pPr>
        <w:pStyle w:val="35"/>
        <w:pageBreakBefore w:val="0"/>
        <w:tabs>
          <w:tab w:val="left" w:pos="7342"/>
          <w:tab w:val="left" w:pos="7735"/>
        </w:tabs>
        <w:kinsoku/>
        <w:overflowPunct/>
        <w:topLinePunct w:val="0"/>
        <w:bidi w:val="0"/>
        <w:snapToGrid/>
        <w:spacing w:line="360" w:lineRule="auto"/>
        <w:ind w:firstLine="1440" w:firstLineChars="600"/>
        <w:jc w:val="left"/>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联合体成员名称：</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lang w:val="en-US" w:eastAsia="zh-CN"/>
        </w:rPr>
        <w:t xml:space="preserve">                                 </w:t>
      </w:r>
      <w:r>
        <w:rPr>
          <w:rFonts w:hint="eastAsia" w:ascii="宋体" w:hAnsi="宋体" w:eastAsia="宋体" w:cs="宋体"/>
          <w:color w:val="auto"/>
          <w:sz w:val="24"/>
          <w:highlight w:val="none"/>
          <w:u w:val="single"/>
        </w:rPr>
        <w:t xml:space="preserve">（盖单位章） </w:t>
      </w:r>
    </w:p>
    <w:p>
      <w:pPr>
        <w:pStyle w:val="35"/>
        <w:pageBreakBefore w:val="0"/>
        <w:tabs>
          <w:tab w:val="left" w:pos="7342"/>
          <w:tab w:val="left" w:pos="7735"/>
        </w:tabs>
        <w:kinsoku/>
        <w:overflowPunct/>
        <w:topLinePunct w:val="0"/>
        <w:bidi w:val="0"/>
        <w:snapToGrid/>
        <w:spacing w:line="360" w:lineRule="auto"/>
        <w:ind w:firstLine="1440" w:firstLineChars="600"/>
        <w:jc w:val="left"/>
        <w:rPr>
          <w:rFonts w:hint="eastAsia" w:ascii="宋体" w:hAnsi="宋体" w:eastAsia="宋体" w:cs="宋体"/>
          <w:color w:val="auto"/>
          <w:highlight w:val="none"/>
        </w:rPr>
      </w:pPr>
      <w:r>
        <w:rPr>
          <w:rFonts w:hint="eastAsia" w:ascii="宋体" w:hAnsi="宋体" w:eastAsia="宋体" w:cs="宋体"/>
          <w:color w:val="auto"/>
          <w:sz w:val="24"/>
          <w:highlight w:val="none"/>
        </w:rPr>
        <w:t>法定代表人（单位负责人）或其授权的代理人：</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u w:val="single"/>
        </w:rPr>
        <w:t>（签字）</w:t>
      </w:r>
    </w:p>
    <w:p>
      <w:pPr>
        <w:pStyle w:val="35"/>
        <w:pageBreakBefore w:val="0"/>
        <w:tabs>
          <w:tab w:val="left" w:pos="7346"/>
          <w:tab w:val="left" w:pos="7735"/>
        </w:tabs>
        <w:kinsoku/>
        <w:overflowPunct/>
        <w:topLinePunct w:val="0"/>
        <w:bidi w:val="0"/>
        <w:snapToGrid/>
        <w:spacing w:line="360" w:lineRule="auto"/>
        <w:ind w:firstLine="1440" w:firstLineChars="600"/>
        <w:jc w:val="left"/>
        <w:rPr>
          <w:rFonts w:hint="eastAsia" w:ascii="宋体" w:hAnsi="宋体" w:eastAsia="宋体" w:cs="宋体"/>
          <w:color w:val="auto"/>
          <w:sz w:val="24"/>
          <w:highlight w:val="none"/>
        </w:rPr>
      </w:pPr>
    </w:p>
    <w:p>
      <w:pPr>
        <w:pStyle w:val="35"/>
        <w:pageBreakBefore w:val="0"/>
        <w:tabs>
          <w:tab w:val="left" w:pos="7346"/>
          <w:tab w:val="left" w:pos="7735"/>
        </w:tabs>
        <w:kinsoku/>
        <w:overflowPunct/>
        <w:topLinePunct w:val="0"/>
        <w:bidi w:val="0"/>
        <w:snapToGrid/>
        <w:spacing w:line="360" w:lineRule="auto"/>
        <w:ind w:firstLine="1440" w:firstLineChars="600"/>
        <w:jc w:val="left"/>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联合体成员名称：</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lang w:val="en-US" w:eastAsia="zh-CN"/>
        </w:rPr>
        <w:t xml:space="preserve">                                 </w:t>
      </w:r>
      <w:r>
        <w:rPr>
          <w:rFonts w:hint="eastAsia" w:ascii="宋体" w:hAnsi="宋体" w:eastAsia="宋体" w:cs="宋体"/>
          <w:color w:val="auto"/>
          <w:sz w:val="24"/>
          <w:highlight w:val="none"/>
          <w:u w:val="single"/>
        </w:rPr>
        <w:t xml:space="preserve">（盖单位章） </w:t>
      </w:r>
    </w:p>
    <w:p>
      <w:pPr>
        <w:pStyle w:val="35"/>
        <w:pageBreakBefore w:val="0"/>
        <w:tabs>
          <w:tab w:val="left" w:pos="7346"/>
          <w:tab w:val="left" w:pos="7735"/>
        </w:tabs>
        <w:kinsoku/>
        <w:overflowPunct/>
        <w:topLinePunct w:val="0"/>
        <w:bidi w:val="0"/>
        <w:snapToGrid/>
        <w:spacing w:line="360" w:lineRule="auto"/>
        <w:ind w:firstLine="1440" w:firstLineChars="600"/>
        <w:jc w:val="left"/>
        <w:rPr>
          <w:rFonts w:hint="eastAsia" w:ascii="宋体" w:hAnsi="宋体" w:eastAsia="宋体" w:cs="宋体"/>
          <w:color w:val="auto"/>
          <w:highlight w:val="none"/>
        </w:rPr>
      </w:pPr>
      <w:r>
        <w:rPr>
          <w:rFonts w:hint="eastAsia" w:ascii="宋体" w:hAnsi="宋体" w:eastAsia="宋体" w:cs="宋体"/>
          <w:color w:val="auto"/>
          <w:sz w:val="24"/>
          <w:highlight w:val="none"/>
        </w:rPr>
        <w:t>法定代表人（单位负责人）或其授权的代理人：</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u w:val="single"/>
        </w:rPr>
        <w:t>（签字）</w:t>
      </w:r>
    </w:p>
    <w:p>
      <w:pPr>
        <w:pStyle w:val="31"/>
        <w:pageBreakBefore w:val="0"/>
        <w:tabs>
          <w:tab w:val="left" w:leader="dot" w:pos="-748"/>
        </w:tabs>
        <w:kinsoku/>
        <w:overflowPunct/>
        <w:topLinePunct w:val="0"/>
        <w:bidi w:val="0"/>
        <w:snapToGrid/>
        <w:spacing w:line="360" w:lineRule="auto"/>
        <w:jc w:val="left"/>
        <w:rPr>
          <w:rFonts w:hint="eastAsia" w:ascii="宋体" w:hAnsi="宋体" w:eastAsia="宋体" w:cs="宋体"/>
          <w:color w:val="auto"/>
          <w:sz w:val="20"/>
          <w:szCs w:val="20"/>
          <w:highlight w:val="none"/>
        </w:rPr>
      </w:pPr>
    </w:p>
    <w:p>
      <w:pPr>
        <w:pStyle w:val="31"/>
        <w:pageBreakBefore w:val="0"/>
        <w:tabs>
          <w:tab w:val="left" w:leader="dot" w:pos="-748"/>
        </w:tabs>
        <w:kinsoku/>
        <w:overflowPunct/>
        <w:topLinePunct w:val="0"/>
        <w:bidi w:val="0"/>
        <w:snapToGrid/>
        <w:spacing w:line="360" w:lineRule="auto"/>
        <w:jc w:val="left"/>
        <w:rPr>
          <w:rFonts w:hint="eastAsia" w:ascii="宋体" w:hAnsi="宋体" w:eastAsia="宋体" w:cs="宋体"/>
          <w:color w:val="auto"/>
          <w:sz w:val="20"/>
          <w:szCs w:val="20"/>
          <w:highlight w:val="none"/>
        </w:rPr>
      </w:pPr>
    </w:p>
    <w:p>
      <w:pPr>
        <w:pageBreakBefore w:val="0"/>
        <w:kinsoku/>
        <w:overflowPunct/>
        <w:topLinePunct w:val="0"/>
        <w:bidi w:val="0"/>
        <w:snapToGrid/>
        <w:spacing w:line="360" w:lineRule="auto"/>
        <w:ind w:firstLine="5280" w:firstLineChars="2200"/>
        <w:rPr>
          <w:rFonts w:hint="eastAsia" w:ascii="宋体" w:hAnsi="宋体" w:eastAsia="宋体" w:cs="宋体"/>
          <w:color w:val="auto"/>
          <w:sz w:val="24"/>
          <w:highlight w:val="none"/>
        </w:rPr>
      </w:pP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年</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月</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日</w:t>
      </w:r>
    </w:p>
    <w:p>
      <w:pPr>
        <w:pageBreakBefore w:val="0"/>
        <w:kinsoku/>
        <w:overflowPunct/>
        <w:topLinePunct w:val="0"/>
        <w:bidi w:val="0"/>
        <w:snapToGrid/>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br w:type="page"/>
      </w:r>
    </w:p>
    <w:p>
      <w:pPr>
        <w:pStyle w:val="4"/>
        <w:pageBreakBefore w:val="0"/>
        <w:kinsoku/>
        <w:overflowPunct/>
        <w:topLinePunct w:val="0"/>
        <w:bidi w:val="0"/>
        <w:snapToGrid/>
        <w:spacing w:line="360" w:lineRule="auto"/>
        <w:ind w:firstLine="2811" w:firstLineChars="1000"/>
        <w:jc w:val="both"/>
        <w:rPr>
          <w:rFonts w:hint="eastAsia" w:ascii="宋体" w:hAnsi="宋体" w:eastAsia="宋体" w:cs="宋体"/>
          <w:color w:val="auto"/>
          <w:highlight w:val="none"/>
        </w:rPr>
      </w:pPr>
      <w:bookmarkStart w:id="362" w:name="bookmark582"/>
      <w:bookmarkStart w:id="363" w:name="_Toc444"/>
      <w:bookmarkStart w:id="364" w:name="bookmark581"/>
      <w:bookmarkStart w:id="365" w:name="bookmark583"/>
      <w:bookmarkStart w:id="366" w:name="bookmark580"/>
      <w:bookmarkStart w:id="367" w:name="_Toc19901"/>
      <w:r>
        <w:rPr>
          <w:rFonts w:hint="eastAsia" w:ascii="宋体" w:hAnsi="宋体" w:eastAsia="宋体" w:cs="宋体"/>
          <w:color w:val="auto"/>
          <w:highlight w:val="none"/>
        </w:rPr>
        <w:t>四</w:t>
      </w:r>
      <w:bookmarkEnd w:id="362"/>
      <w:r>
        <w:rPr>
          <w:rFonts w:hint="eastAsia" w:ascii="宋体" w:hAnsi="宋体" w:eastAsia="宋体" w:cs="宋体"/>
          <w:color w:val="auto"/>
          <w:highlight w:val="none"/>
        </w:rPr>
        <w:t>、响应保证金</w:t>
      </w:r>
      <w:bookmarkEnd w:id="363"/>
      <w:bookmarkEnd w:id="364"/>
      <w:bookmarkEnd w:id="365"/>
      <w:bookmarkEnd w:id="366"/>
      <w:bookmarkEnd w:id="367"/>
    </w:p>
    <w:p>
      <w:pPr>
        <w:pStyle w:val="35"/>
        <w:pageBreakBefore w:val="0"/>
        <w:kinsoku/>
        <w:overflowPunct/>
        <w:topLinePunct w:val="0"/>
        <w:bidi w:val="0"/>
        <w:snapToGrid/>
        <w:spacing w:after="480" w:line="360" w:lineRule="auto"/>
        <w:jc w:val="center"/>
        <w:rPr>
          <w:rFonts w:hint="eastAsia" w:ascii="宋体" w:hAnsi="宋体" w:eastAsia="宋体" w:cs="宋体"/>
          <w:color w:val="auto"/>
          <w:sz w:val="24"/>
          <w:highlight w:val="none"/>
        </w:rPr>
      </w:pPr>
      <w:bookmarkStart w:id="368" w:name="_Toc28174"/>
      <w:bookmarkStart w:id="369" w:name="_Toc8368"/>
      <w:bookmarkStart w:id="370" w:name="_Toc1278"/>
      <w:r>
        <w:rPr>
          <w:rFonts w:hint="eastAsia" w:ascii="宋体" w:hAnsi="宋体" w:eastAsia="宋体" w:cs="宋体"/>
          <w:color w:val="auto"/>
          <w:sz w:val="24"/>
          <w:highlight w:val="none"/>
        </w:rPr>
        <w:t>（适用于递交响应保证金的情况）</w:t>
      </w:r>
      <w:bookmarkEnd w:id="368"/>
      <w:bookmarkEnd w:id="369"/>
      <w:bookmarkEnd w:id="370"/>
    </w:p>
    <w:p>
      <w:pPr>
        <w:pStyle w:val="35"/>
        <w:pageBreakBefore w:val="0"/>
        <w:tabs>
          <w:tab w:val="left" w:pos="1216"/>
        </w:tabs>
        <w:kinsoku/>
        <w:overflowPunct/>
        <w:topLinePunct w:val="0"/>
        <w:bidi w:val="0"/>
        <w:snapToGrid/>
        <w:spacing w:line="360" w:lineRule="auto"/>
        <w:ind w:firstLine="480" w:firstLineChars="200"/>
        <w:jc w:val="left"/>
        <w:rPr>
          <w:rFonts w:hint="eastAsia" w:ascii="宋体" w:hAnsi="宋体" w:eastAsia="宋体" w:cs="宋体"/>
          <w:color w:val="auto"/>
          <w:highlight w:val="none"/>
        </w:rPr>
      </w:pPr>
      <w:bookmarkStart w:id="371" w:name="bookmark584"/>
      <w:bookmarkEnd w:id="371"/>
      <w:r>
        <w:rPr>
          <w:rFonts w:hint="eastAsia" w:ascii="宋体" w:hAnsi="宋体" w:eastAsia="宋体" w:cs="宋体"/>
          <w:color w:val="auto"/>
          <w:sz w:val="24"/>
          <w:highlight w:val="none"/>
          <w:lang w:val="en-US" w:eastAsia="zh-CN"/>
        </w:rPr>
        <w:t>1.</w:t>
      </w:r>
      <w:r>
        <w:rPr>
          <w:rFonts w:hint="eastAsia" w:ascii="宋体" w:hAnsi="宋体" w:eastAsia="宋体" w:cs="宋体"/>
          <w:color w:val="auto"/>
          <w:sz w:val="24"/>
          <w:highlight w:val="none"/>
        </w:rPr>
        <w:t>采用转账方式的，</w:t>
      </w:r>
      <w:r>
        <w:rPr>
          <w:rFonts w:hint="eastAsia" w:ascii="宋体" w:hAnsi="宋体" w:eastAsia="宋体" w:cs="宋体"/>
          <w:color w:val="auto"/>
          <w:sz w:val="24"/>
          <w:highlight w:val="none"/>
          <w:lang w:eastAsia="zh-CN"/>
        </w:rPr>
        <w:t>询比响应人</w:t>
      </w:r>
      <w:r>
        <w:rPr>
          <w:rFonts w:hint="eastAsia" w:ascii="宋体" w:hAnsi="宋体" w:eastAsia="宋体" w:cs="宋体"/>
          <w:color w:val="auto"/>
          <w:sz w:val="24"/>
          <w:highlight w:val="none"/>
        </w:rPr>
        <w:t>应在此提供转账凭证复印件。</w:t>
      </w:r>
    </w:p>
    <w:p>
      <w:pPr>
        <w:pStyle w:val="35"/>
        <w:pageBreakBefore w:val="0"/>
        <w:tabs>
          <w:tab w:val="left" w:pos="1253"/>
        </w:tabs>
        <w:kinsoku/>
        <w:overflowPunct/>
        <w:topLinePunct w:val="0"/>
        <w:bidi w:val="0"/>
        <w:snapToGrid/>
        <w:spacing w:line="360" w:lineRule="auto"/>
        <w:ind w:firstLine="480" w:firstLineChars="200"/>
        <w:rPr>
          <w:rFonts w:hint="eastAsia" w:ascii="宋体" w:hAnsi="宋体" w:eastAsia="宋体" w:cs="宋体"/>
          <w:color w:val="auto"/>
          <w:highlight w:val="none"/>
        </w:rPr>
      </w:pPr>
      <w:bookmarkStart w:id="372" w:name="bookmark585"/>
      <w:bookmarkEnd w:id="372"/>
      <w:r>
        <w:rPr>
          <w:rFonts w:hint="eastAsia" w:ascii="宋体" w:hAnsi="宋体" w:eastAsia="宋体" w:cs="宋体"/>
          <w:color w:val="auto"/>
          <w:sz w:val="24"/>
          <w:highlight w:val="none"/>
          <w:lang w:val="en-US" w:eastAsia="zh-CN"/>
        </w:rPr>
        <w:t>2.</w:t>
      </w:r>
      <w:r>
        <w:rPr>
          <w:rFonts w:hint="eastAsia" w:ascii="宋体" w:hAnsi="宋体" w:eastAsia="宋体" w:cs="宋体"/>
          <w:color w:val="auto"/>
          <w:sz w:val="24"/>
          <w:highlight w:val="none"/>
        </w:rPr>
        <w:t>采用支票、汇票等方式的，</w:t>
      </w:r>
      <w:r>
        <w:rPr>
          <w:rFonts w:hint="eastAsia" w:ascii="宋体" w:hAnsi="宋体" w:eastAsia="宋体" w:cs="宋体"/>
          <w:color w:val="auto"/>
          <w:sz w:val="24"/>
          <w:highlight w:val="none"/>
          <w:lang w:eastAsia="zh-CN"/>
        </w:rPr>
        <w:t>询比响应人</w:t>
      </w:r>
      <w:r>
        <w:rPr>
          <w:rFonts w:hint="eastAsia" w:ascii="宋体" w:hAnsi="宋体" w:eastAsia="宋体" w:cs="宋体"/>
          <w:color w:val="auto"/>
          <w:sz w:val="24"/>
          <w:highlight w:val="none"/>
        </w:rPr>
        <w:t>应在此提供支票、汇票等的复印件，原件应单独递交。</w:t>
      </w:r>
    </w:p>
    <w:p>
      <w:pPr>
        <w:pStyle w:val="35"/>
        <w:pageBreakBefore w:val="0"/>
        <w:tabs>
          <w:tab w:val="left" w:pos="1231"/>
        </w:tabs>
        <w:kinsoku/>
        <w:overflowPunct/>
        <w:topLinePunct w:val="0"/>
        <w:bidi w:val="0"/>
        <w:snapToGrid/>
        <w:spacing w:line="360" w:lineRule="auto"/>
        <w:ind w:firstLine="480" w:firstLineChars="200"/>
        <w:jc w:val="left"/>
        <w:rPr>
          <w:rFonts w:hint="eastAsia" w:ascii="宋体" w:hAnsi="宋体" w:eastAsia="宋体" w:cs="宋体"/>
          <w:color w:val="auto"/>
          <w:highlight w:val="none"/>
        </w:rPr>
      </w:pPr>
      <w:bookmarkStart w:id="373" w:name="bookmark586"/>
      <w:bookmarkEnd w:id="373"/>
      <w:r>
        <w:rPr>
          <w:rFonts w:hint="eastAsia" w:ascii="宋体" w:hAnsi="宋体" w:eastAsia="宋体" w:cs="宋体"/>
          <w:color w:val="auto"/>
          <w:sz w:val="24"/>
          <w:highlight w:val="none"/>
          <w:lang w:val="en-US" w:eastAsia="zh-CN"/>
        </w:rPr>
        <w:t>3.</w:t>
      </w:r>
      <w:r>
        <w:rPr>
          <w:rFonts w:hint="eastAsia" w:ascii="宋体" w:hAnsi="宋体" w:eastAsia="宋体" w:cs="宋体"/>
          <w:color w:val="auto"/>
          <w:sz w:val="24"/>
          <w:highlight w:val="none"/>
        </w:rPr>
        <w:t>采用银行或担保机构担保函方式的，格式如下：</w:t>
      </w:r>
    </w:p>
    <w:p>
      <w:pPr>
        <w:pStyle w:val="35"/>
        <w:pageBreakBefore w:val="0"/>
        <w:tabs>
          <w:tab w:val="left" w:pos="3923"/>
          <w:tab w:val="left" w:pos="4115"/>
        </w:tabs>
        <w:kinsoku/>
        <w:overflowPunct/>
        <w:topLinePunct w:val="0"/>
        <w:bidi w:val="0"/>
        <w:snapToGrid/>
        <w:spacing w:line="360" w:lineRule="auto"/>
        <w:ind w:firstLine="420" w:firstLineChars="200"/>
        <w:jc w:val="left"/>
        <w:rPr>
          <w:rFonts w:hint="eastAsia" w:ascii="宋体" w:hAnsi="宋体" w:eastAsia="宋体" w:cs="宋体"/>
          <w:color w:val="auto"/>
          <w:highlight w:val="none"/>
          <w:u w:val="single"/>
        </w:rPr>
      </w:pPr>
    </w:p>
    <w:p>
      <w:pPr>
        <w:pStyle w:val="35"/>
        <w:pageBreakBefore w:val="0"/>
        <w:tabs>
          <w:tab w:val="left" w:pos="3923"/>
          <w:tab w:val="left" w:pos="4115"/>
        </w:tabs>
        <w:kinsoku/>
        <w:overflowPunct/>
        <w:topLinePunct w:val="0"/>
        <w:bidi w:val="0"/>
        <w:snapToGrid/>
        <w:spacing w:line="360" w:lineRule="auto"/>
        <w:ind w:firstLine="420" w:firstLineChars="200"/>
        <w:jc w:val="left"/>
        <w:rPr>
          <w:rFonts w:hint="eastAsia" w:ascii="宋体" w:hAnsi="宋体" w:eastAsia="宋体" w:cs="宋体"/>
          <w:color w:val="auto"/>
          <w:sz w:val="24"/>
          <w:highlight w:val="none"/>
        </w:rPr>
      </w:pP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lang w:eastAsia="zh-CN"/>
        </w:rPr>
        <w:t>（</w:t>
      </w:r>
      <w:r>
        <w:rPr>
          <w:rFonts w:hint="eastAsia" w:cs="宋体"/>
          <w:color w:val="auto"/>
          <w:highlight w:val="none"/>
          <w:u w:val="single"/>
          <w:lang w:val="en-US" w:eastAsia="zh-CN"/>
        </w:rPr>
        <w:t>招标人</w:t>
      </w:r>
      <w:r>
        <w:rPr>
          <w:rFonts w:hint="eastAsia" w:ascii="宋体" w:hAnsi="宋体" w:eastAsia="宋体" w:cs="宋体"/>
          <w:color w:val="auto"/>
          <w:highlight w:val="none"/>
          <w:u w:val="single"/>
          <w:lang w:val="en-US" w:eastAsia="zh-CN"/>
        </w:rPr>
        <w:t>名称</w:t>
      </w:r>
      <w:r>
        <w:rPr>
          <w:rFonts w:hint="eastAsia" w:ascii="宋体" w:hAnsi="宋体" w:eastAsia="宋体" w:cs="宋体"/>
          <w:color w:val="auto"/>
          <w:highlight w:val="none"/>
          <w:u w:val="single"/>
          <w:lang w:eastAsia="zh-CN"/>
        </w:rPr>
        <w:t>）</w:t>
      </w:r>
      <w:r>
        <w:rPr>
          <w:rFonts w:hint="eastAsia" w:ascii="宋体" w:hAnsi="宋体" w:eastAsia="宋体" w:cs="宋体"/>
          <w:color w:val="auto"/>
          <w:sz w:val="24"/>
          <w:highlight w:val="none"/>
        </w:rPr>
        <w:t>:</w:t>
      </w:r>
    </w:p>
    <w:p>
      <w:pPr>
        <w:pStyle w:val="35"/>
        <w:pageBreakBefore w:val="0"/>
        <w:tabs>
          <w:tab w:val="left" w:pos="3923"/>
          <w:tab w:val="left" w:pos="4115"/>
        </w:tabs>
        <w:kinsoku/>
        <w:overflowPunct/>
        <w:topLinePunct w:val="0"/>
        <w:bidi w:val="0"/>
        <w:snapToGrid/>
        <w:spacing w:line="360" w:lineRule="auto"/>
        <w:ind w:firstLine="480" w:firstLineChars="200"/>
        <w:jc w:val="left"/>
        <w:rPr>
          <w:rFonts w:hint="eastAsia" w:ascii="宋体" w:hAnsi="宋体" w:eastAsia="宋体" w:cs="宋体"/>
          <w:color w:val="auto"/>
          <w:sz w:val="24"/>
          <w:highlight w:val="none"/>
        </w:rPr>
      </w:pPr>
    </w:p>
    <w:p>
      <w:pPr>
        <w:pStyle w:val="35"/>
        <w:pageBreakBefore w:val="0"/>
        <w:tabs>
          <w:tab w:val="left" w:pos="1360"/>
          <w:tab w:val="left" w:pos="2560"/>
          <w:tab w:val="left" w:pos="3501"/>
          <w:tab w:val="left" w:pos="5152"/>
          <w:tab w:val="left" w:pos="6693"/>
          <w:tab w:val="left" w:pos="9194"/>
          <w:tab w:val="left" w:pos="9467"/>
        </w:tabs>
        <w:kinsoku/>
        <w:overflowPunct/>
        <w:topLinePunct w:val="0"/>
        <w:bidi w:val="0"/>
        <w:snapToGrid/>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鉴于</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lang w:val="en-US" w:eastAsia="zh-CN"/>
        </w:rPr>
        <w:t xml:space="preserve">             </w:t>
      </w:r>
      <w:r>
        <w:rPr>
          <w:rFonts w:hint="eastAsia" w:ascii="宋体" w:hAnsi="宋体" w:eastAsia="宋体" w:cs="宋体"/>
          <w:color w:val="auto"/>
          <w:sz w:val="24"/>
          <w:highlight w:val="none"/>
          <w:u w:val="single"/>
        </w:rPr>
        <w:t>（</w:t>
      </w:r>
      <w:r>
        <w:rPr>
          <w:rFonts w:hint="eastAsia" w:ascii="宋体" w:hAnsi="宋体" w:eastAsia="宋体" w:cs="宋体"/>
          <w:color w:val="auto"/>
          <w:sz w:val="24"/>
          <w:highlight w:val="none"/>
          <w:u w:val="single"/>
          <w:lang w:eastAsia="zh-CN"/>
        </w:rPr>
        <w:t>询比响应人</w:t>
      </w:r>
      <w:r>
        <w:rPr>
          <w:rFonts w:hint="eastAsia" w:ascii="宋体" w:hAnsi="宋体" w:eastAsia="宋体" w:cs="宋体"/>
          <w:color w:val="auto"/>
          <w:sz w:val="24"/>
          <w:highlight w:val="none"/>
          <w:u w:val="single"/>
        </w:rPr>
        <w:t>名称）</w:t>
      </w:r>
      <w:r>
        <w:rPr>
          <w:rFonts w:hint="eastAsia" w:ascii="宋体" w:hAnsi="宋体" w:eastAsia="宋体" w:cs="宋体"/>
          <w:color w:val="auto"/>
          <w:sz w:val="24"/>
          <w:highlight w:val="none"/>
        </w:rPr>
        <w:t>（以下称</w:t>
      </w:r>
      <w:r>
        <w:rPr>
          <w:rFonts w:hint="eastAsia" w:ascii="宋体" w:hAnsi="宋体" w:eastAsia="宋体" w:cs="宋体"/>
          <w:color w:val="auto"/>
          <w:sz w:val="24"/>
          <w:highlight w:val="none"/>
          <w:lang w:val="zh-CN" w:eastAsia="zh-CN" w:bidi="zh-CN"/>
        </w:rPr>
        <w:t>“询比响应人</w:t>
      </w:r>
      <w:r>
        <w:rPr>
          <w:rFonts w:hint="eastAsia" w:ascii="宋体" w:hAnsi="宋体" w:eastAsia="宋体" w:cs="宋体"/>
          <w:color w:val="auto"/>
          <w:sz w:val="24"/>
          <w:highlight w:val="none"/>
        </w:rPr>
        <w:t>“）于</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lang w:val="en-US" w:eastAsia="zh-CN"/>
        </w:rPr>
        <w:t xml:space="preserve">        </w:t>
      </w:r>
      <w:r>
        <w:rPr>
          <w:rFonts w:hint="eastAsia" w:ascii="宋体" w:hAnsi="宋体" w:eastAsia="宋体" w:cs="宋体"/>
          <w:color w:val="auto"/>
          <w:sz w:val="24"/>
          <w:highlight w:val="none"/>
        </w:rPr>
        <w:t>年</w:t>
      </w:r>
    </w:p>
    <w:p>
      <w:pPr>
        <w:pStyle w:val="35"/>
        <w:pageBreakBefore w:val="0"/>
        <w:tabs>
          <w:tab w:val="left" w:pos="1360"/>
          <w:tab w:val="left" w:pos="2560"/>
          <w:tab w:val="left" w:pos="3501"/>
          <w:tab w:val="left" w:pos="5152"/>
          <w:tab w:val="left" w:pos="6693"/>
          <w:tab w:val="left" w:pos="9194"/>
          <w:tab w:val="left" w:pos="9467"/>
        </w:tabs>
        <w:kinsoku/>
        <w:overflowPunct/>
        <w:topLinePunct w:val="0"/>
        <w:bidi w:val="0"/>
        <w:snapToGrid/>
        <w:spacing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sz w:val="24"/>
          <w:highlight w:val="none"/>
        </w:rPr>
        <w:t>月</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sz w:val="24"/>
          <w:highlight w:val="none"/>
        </w:rPr>
        <w:t>日参加</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lang w:val="en-US" w:eastAsia="zh-CN"/>
        </w:rPr>
        <w:t xml:space="preserve">                 </w:t>
      </w:r>
      <w:r>
        <w:rPr>
          <w:rFonts w:hint="eastAsia" w:ascii="宋体" w:hAnsi="宋体" w:eastAsia="宋体" w:cs="宋体"/>
          <w:color w:val="auto"/>
          <w:sz w:val="24"/>
          <w:highlight w:val="none"/>
          <w:u w:val="single"/>
        </w:rPr>
        <w:t>（项目名称）</w:t>
      </w:r>
      <w:r>
        <w:rPr>
          <w:rFonts w:hint="eastAsia" w:ascii="宋体" w:hAnsi="宋体" w:eastAsia="宋体" w:cs="宋体"/>
          <w:color w:val="auto"/>
          <w:sz w:val="24"/>
          <w:highlight w:val="none"/>
          <w:lang w:eastAsia="zh-CN"/>
        </w:rPr>
        <w:t>询比</w:t>
      </w:r>
      <w:r>
        <w:rPr>
          <w:rFonts w:hint="eastAsia" w:ascii="宋体" w:hAnsi="宋体" w:eastAsia="宋体" w:cs="宋体"/>
          <w:color w:val="auto"/>
          <w:sz w:val="24"/>
          <w:highlight w:val="none"/>
        </w:rPr>
        <w:t>采购活动，</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sz w:val="24"/>
          <w:highlight w:val="none"/>
          <w:u w:val="single"/>
        </w:rPr>
        <w:t>（担保人名称）</w:t>
      </w:r>
      <w:r>
        <w:rPr>
          <w:rFonts w:hint="eastAsia" w:ascii="宋体" w:hAnsi="宋体" w:eastAsia="宋体" w:cs="宋体"/>
          <w:color w:val="auto"/>
          <w:sz w:val="24"/>
          <w:highlight w:val="none"/>
        </w:rPr>
        <w:t>（以下称</w:t>
      </w:r>
      <w:r>
        <w:rPr>
          <w:rFonts w:hint="eastAsia" w:ascii="宋体" w:hAnsi="宋体" w:eastAsia="宋体" w:cs="宋体"/>
          <w:color w:val="auto"/>
          <w:sz w:val="24"/>
          <w:highlight w:val="none"/>
          <w:lang w:val="zh-CN" w:eastAsia="zh-CN" w:bidi="zh-CN"/>
        </w:rPr>
        <w:t>“我</w:t>
      </w:r>
      <w:r>
        <w:rPr>
          <w:rFonts w:hint="eastAsia" w:ascii="宋体" w:hAnsi="宋体" w:eastAsia="宋体" w:cs="宋体"/>
          <w:color w:val="auto"/>
          <w:sz w:val="24"/>
          <w:highlight w:val="none"/>
        </w:rPr>
        <w:t>方”）无条件地、不可撤销地保证：若</w:t>
      </w:r>
      <w:r>
        <w:rPr>
          <w:rFonts w:hint="eastAsia" w:ascii="宋体" w:hAnsi="宋体" w:eastAsia="宋体" w:cs="宋体"/>
          <w:color w:val="auto"/>
          <w:sz w:val="24"/>
          <w:highlight w:val="none"/>
          <w:lang w:eastAsia="zh-CN"/>
        </w:rPr>
        <w:t>询比响应人</w:t>
      </w:r>
      <w:r>
        <w:rPr>
          <w:rFonts w:hint="eastAsia" w:ascii="宋体" w:hAnsi="宋体" w:eastAsia="宋体" w:cs="宋体"/>
          <w:color w:val="auto"/>
          <w:sz w:val="24"/>
          <w:highlight w:val="none"/>
        </w:rPr>
        <w:t>在响应文件有效期内撤销响应文件，或成交后无正当理由不与</w:t>
      </w:r>
      <w:r>
        <w:rPr>
          <w:rFonts w:hint="eastAsia" w:cs="宋体"/>
          <w:color w:val="auto"/>
          <w:sz w:val="24"/>
          <w:highlight w:val="none"/>
          <w:lang w:eastAsia="zh-CN"/>
        </w:rPr>
        <w:t>招标人</w:t>
      </w:r>
      <w:r>
        <w:rPr>
          <w:rFonts w:hint="eastAsia" w:ascii="宋体" w:hAnsi="宋体" w:eastAsia="宋体" w:cs="宋体"/>
          <w:color w:val="auto"/>
          <w:sz w:val="24"/>
          <w:highlight w:val="none"/>
        </w:rPr>
        <w:t>订立合同，或在签订合同时向</w:t>
      </w:r>
      <w:r>
        <w:rPr>
          <w:rFonts w:hint="eastAsia" w:cs="宋体"/>
          <w:color w:val="auto"/>
          <w:sz w:val="24"/>
          <w:highlight w:val="none"/>
          <w:lang w:eastAsia="zh-CN"/>
        </w:rPr>
        <w:t>招标人</w:t>
      </w:r>
      <w:r>
        <w:rPr>
          <w:rFonts w:hint="eastAsia" w:ascii="宋体" w:hAnsi="宋体" w:eastAsia="宋体" w:cs="宋体"/>
          <w:color w:val="auto"/>
          <w:sz w:val="24"/>
          <w:highlight w:val="none"/>
        </w:rPr>
        <w:t>提出附加条件，或不按照釆购文件要求递交履约保证金，或者发生采购文件 明确规定不予退还响应保证金的其他情形，我方承担保证责任。收到你方书面通知后, 我方在7日内向你方无条件支付人民币（大写）</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lang w:val="en-US" w:eastAsia="zh-CN"/>
        </w:rPr>
        <w:t xml:space="preserve">                      </w:t>
      </w:r>
      <w:r>
        <w:rPr>
          <w:rFonts w:hint="eastAsia" w:ascii="宋体" w:hAnsi="宋体" w:eastAsia="宋体" w:cs="宋体"/>
          <w:color w:val="auto"/>
          <w:highlight w:val="none"/>
          <w:lang w:val="en-US" w:eastAsia="zh-CN"/>
        </w:rPr>
        <w:t>。</w:t>
      </w:r>
    </w:p>
    <w:p>
      <w:pPr>
        <w:pStyle w:val="35"/>
        <w:pageBreakBefore w:val="0"/>
        <w:kinsoku/>
        <w:overflowPunct/>
        <w:topLinePunct w:val="0"/>
        <w:bidi w:val="0"/>
        <w:snapToGrid/>
        <w:spacing w:line="360" w:lineRule="auto"/>
        <w:ind w:firstLine="480" w:firstLineChars="200"/>
        <w:rPr>
          <w:rFonts w:hint="eastAsia" w:ascii="宋体" w:hAnsi="宋体" w:eastAsia="宋体" w:cs="宋体"/>
          <w:color w:val="auto"/>
          <w:highlight w:val="none"/>
        </w:rPr>
      </w:pPr>
      <w:r>
        <w:rPr>
          <w:rFonts w:hint="eastAsia" w:ascii="宋体" w:hAnsi="宋体" w:eastAsia="宋体" w:cs="宋体"/>
          <w:color w:val="auto"/>
          <w:sz w:val="24"/>
          <w:highlight w:val="none"/>
        </w:rPr>
        <w:t>本保函在响应文件有效期内保持有效。要求我方承担保证责任的通知应在响应文件有效期内送达我方。</w:t>
      </w:r>
    </w:p>
    <w:p>
      <w:pPr>
        <w:pageBreakBefore w:val="0"/>
        <w:kinsoku/>
        <w:overflowPunct/>
        <w:topLinePunct w:val="0"/>
        <w:bidi w:val="0"/>
        <w:snapToGrid/>
        <w:spacing w:line="360" w:lineRule="auto"/>
        <w:ind w:firstLine="480" w:firstLineChars="200"/>
        <w:rPr>
          <w:rFonts w:hint="eastAsia" w:ascii="宋体" w:hAnsi="宋体" w:eastAsia="宋体" w:cs="宋体"/>
          <w:color w:val="auto"/>
          <w:sz w:val="24"/>
          <w:highlight w:val="none"/>
        </w:rPr>
      </w:pPr>
    </w:p>
    <w:p>
      <w:pPr>
        <w:pageBreakBefore w:val="0"/>
        <w:kinsoku/>
        <w:overflowPunct/>
        <w:topLinePunct w:val="0"/>
        <w:bidi w:val="0"/>
        <w:snapToGrid/>
        <w:spacing w:line="360" w:lineRule="auto"/>
        <w:ind w:firstLine="480" w:firstLineChars="200"/>
        <w:rPr>
          <w:rFonts w:hint="eastAsia" w:ascii="宋体" w:hAnsi="宋体" w:eastAsia="宋体" w:cs="宋体"/>
          <w:color w:val="auto"/>
          <w:sz w:val="24"/>
          <w:highlight w:val="none"/>
        </w:rPr>
      </w:pPr>
    </w:p>
    <w:p>
      <w:pPr>
        <w:pageBreakBefore w:val="0"/>
        <w:kinsoku/>
        <w:overflowPunct/>
        <w:topLinePunct w:val="0"/>
        <w:bidi w:val="0"/>
        <w:snapToGrid/>
        <w:spacing w:line="360" w:lineRule="auto"/>
        <w:ind w:firstLine="480" w:firstLineChars="200"/>
        <w:rPr>
          <w:rFonts w:hint="eastAsia" w:ascii="宋体" w:hAnsi="宋体" w:eastAsia="宋体" w:cs="宋体"/>
          <w:color w:val="auto"/>
          <w:sz w:val="24"/>
          <w:highlight w:val="none"/>
        </w:rPr>
      </w:pPr>
    </w:p>
    <w:p>
      <w:pPr>
        <w:pageBreakBefore w:val="0"/>
        <w:kinsoku/>
        <w:overflowPunct/>
        <w:topLinePunct w:val="0"/>
        <w:bidi w:val="0"/>
        <w:snapToGrid/>
        <w:spacing w:line="360" w:lineRule="auto"/>
        <w:ind w:firstLine="2400" w:firstLineChars="1000"/>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担保人名称：</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rPr>
          <w:rFonts w:hint="eastAsia" w:ascii="宋体" w:hAnsi="宋体" w:eastAsia="宋体" w:cs="宋体"/>
          <w:color w:val="auto"/>
          <w:sz w:val="24"/>
          <w:highlight w:val="none"/>
          <w:u w:val="single"/>
        </w:rPr>
        <w:t xml:space="preserve">（盖单位章） </w:t>
      </w:r>
    </w:p>
    <w:p>
      <w:pPr>
        <w:pageBreakBefore w:val="0"/>
        <w:kinsoku/>
        <w:overflowPunct/>
        <w:topLinePunct w:val="0"/>
        <w:bidi w:val="0"/>
        <w:snapToGrid/>
        <w:spacing w:line="360" w:lineRule="auto"/>
        <w:ind w:firstLine="2400" w:firstLineChars="1000"/>
        <w:rPr>
          <w:rFonts w:hint="eastAsia" w:ascii="宋体" w:hAnsi="宋体" w:eastAsia="宋体" w:cs="宋体"/>
          <w:color w:val="auto"/>
          <w:sz w:val="24"/>
          <w:highlight w:val="none"/>
        </w:rPr>
      </w:pPr>
      <w:r>
        <w:rPr>
          <w:rFonts w:hint="eastAsia" w:ascii="宋体" w:hAnsi="宋体" w:eastAsia="宋体" w:cs="宋体"/>
          <w:color w:val="auto"/>
          <w:sz w:val="24"/>
          <w:highlight w:val="none"/>
        </w:rPr>
        <w:t>地    址：</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p>
    <w:p>
      <w:pPr>
        <w:pageBreakBefore w:val="0"/>
        <w:kinsoku/>
        <w:overflowPunct/>
        <w:topLinePunct w:val="0"/>
        <w:bidi w:val="0"/>
        <w:snapToGrid/>
        <w:spacing w:line="360" w:lineRule="auto"/>
        <w:ind w:firstLine="2400" w:firstLineChars="1000"/>
        <w:rPr>
          <w:rFonts w:hint="eastAsia" w:ascii="宋体" w:hAnsi="宋体" w:eastAsia="宋体" w:cs="宋体"/>
          <w:color w:val="auto"/>
          <w:sz w:val="24"/>
          <w:highlight w:val="none"/>
        </w:rPr>
      </w:pPr>
      <w:r>
        <w:rPr>
          <w:rFonts w:hint="eastAsia" w:ascii="宋体" w:hAnsi="宋体" w:eastAsia="宋体" w:cs="宋体"/>
          <w:color w:val="auto"/>
          <w:sz w:val="24"/>
          <w:highlight w:val="none"/>
        </w:rPr>
        <w:t>邮政编码：</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p>
    <w:p>
      <w:pPr>
        <w:pageBreakBefore w:val="0"/>
        <w:kinsoku/>
        <w:overflowPunct/>
        <w:topLinePunct w:val="0"/>
        <w:bidi w:val="0"/>
        <w:snapToGrid/>
        <w:spacing w:line="360" w:lineRule="auto"/>
        <w:ind w:firstLine="2400" w:firstLineChars="1000"/>
        <w:rPr>
          <w:rFonts w:hint="eastAsia" w:ascii="宋体" w:hAnsi="宋体" w:eastAsia="宋体" w:cs="宋体"/>
          <w:color w:val="auto"/>
          <w:highlight w:val="none"/>
          <w:u w:val="single"/>
        </w:rPr>
      </w:pPr>
      <w:r>
        <w:rPr>
          <w:rFonts w:hint="eastAsia" w:ascii="宋体" w:hAnsi="宋体" w:eastAsia="宋体" w:cs="宋体"/>
          <w:color w:val="auto"/>
          <w:sz w:val="24"/>
          <w:highlight w:val="none"/>
        </w:rPr>
        <w:t>电    话：</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p>
    <w:p>
      <w:pPr>
        <w:pageBreakBefore w:val="0"/>
        <w:kinsoku/>
        <w:overflowPunct/>
        <w:topLinePunct w:val="0"/>
        <w:bidi w:val="0"/>
        <w:snapToGrid/>
        <w:spacing w:line="360" w:lineRule="auto"/>
        <w:ind w:firstLine="5280" w:firstLineChars="2200"/>
        <w:rPr>
          <w:rFonts w:hint="eastAsia" w:ascii="宋体" w:hAnsi="宋体" w:eastAsia="宋体" w:cs="宋体"/>
          <w:color w:val="auto"/>
          <w:sz w:val="24"/>
          <w:highlight w:val="none"/>
          <w:u w:val="single"/>
        </w:rPr>
      </w:pPr>
    </w:p>
    <w:p>
      <w:pPr>
        <w:pageBreakBefore w:val="0"/>
        <w:kinsoku/>
        <w:overflowPunct/>
        <w:topLinePunct w:val="0"/>
        <w:bidi w:val="0"/>
        <w:snapToGrid/>
        <w:spacing w:line="360" w:lineRule="auto"/>
        <w:ind w:firstLine="5280" w:firstLineChars="2200"/>
        <w:rPr>
          <w:rFonts w:hint="eastAsia" w:ascii="宋体" w:hAnsi="宋体" w:eastAsia="宋体" w:cs="宋体"/>
          <w:color w:val="auto"/>
          <w:sz w:val="24"/>
          <w:highlight w:val="none"/>
          <w:u w:val="single"/>
        </w:rPr>
      </w:pPr>
    </w:p>
    <w:p>
      <w:pPr>
        <w:pageBreakBefore w:val="0"/>
        <w:kinsoku/>
        <w:overflowPunct/>
        <w:topLinePunct w:val="0"/>
        <w:bidi w:val="0"/>
        <w:snapToGrid/>
        <w:spacing w:line="360" w:lineRule="auto"/>
        <w:ind w:firstLine="5280" w:firstLineChars="2200"/>
        <w:rPr>
          <w:rFonts w:hint="eastAsia" w:ascii="宋体" w:hAnsi="宋体" w:eastAsia="宋体" w:cs="宋体"/>
          <w:color w:val="auto"/>
          <w:sz w:val="24"/>
          <w:highlight w:val="none"/>
        </w:rPr>
      </w:pP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年</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月</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日</w:t>
      </w:r>
    </w:p>
    <w:p>
      <w:pPr>
        <w:pageBreakBefore w:val="0"/>
        <w:kinsoku/>
        <w:overflowPunct/>
        <w:topLinePunct w:val="0"/>
        <w:bidi w:val="0"/>
        <w:snapToGrid/>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br w:type="page"/>
      </w:r>
    </w:p>
    <w:p>
      <w:pPr>
        <w:pStyle w:val="4"/>
        <w:pageBreakBefore w:val="0"/>
        <w:kinsoku/>
        <w:overflowPunct/>
        <w:topLinePunct w:val="0"/>
        <w:bidi w:val="0"/>
        <w:snapToGrid/>
        <w:spacing w:line="360" w:lineRule="auto"/>
        <w:ind w:firstLine="2249" w:firstLineChars="800"/>
        <w:jc w:val="both"/>
        <w:rPr>
          <w:rFonts w:hint="eastAsia" w:ascii="宋体" w:hAnsi="宋体" w:eastAsia="宋体" w:cs="宋体"/>
          <w:color w:val="auto"/>
          <w:highlight w:val="none"/>
        </w:rPr>
      </w:pPr>
      <w:bookmarkStart w:id="374" w:name="bookmark588"/>
      <w:bookmarkStart w:id="375" w:name="bookmark590"/>
      <w:bookmarkStart w:id="376" w:name="_Toc26592"/>
      <w:bookmarkStart w:id="377" w:name="_Toc19095"/>
      <w:bookmarkStart w:id="378" w:name="bookmark587"/>
      <w:r>
        <w:rPr>
          <w:rFonts w:hint="eastAsia" w:ascii="宋体" w:hAnsi="宋体" w:eastAsia="宋体" w:cs="宋体"/>
          <w:color w:val="auto"/>
          <w:highlight w:val="none"/>
        </w:rPr>
        <w:t>五、商务和技术偏差表</w:t>
      </w:r>
      <w:bookmarkEnd w:id="374"/>
      <w:bookmarkEnd w:id="375"/>
      <w:bookmarkEnd w:id="376"/>
      <w:bookmarkEnd w:id="377"/>
      <w:bookmarkEnd w:id="378"/>
    </w:p>
    <w:p>
      <w:pPr>
        <w:pStyle w:val="35"/>
        <w:pageBreakBefore w:val="0"/>
        <w:kinsoku/>
        <w:overflowPunct/>
        <w:topLinePunct w:val="0"/>
        <w:bidi w:val="0"/>
        <w:snapToGrid/>
        <w:spacing w:line="360" w:lineRule="auto"/>
        <w:rPr>
          <w:rFonts w:hint="eastAsia" w:ascii="宋体" w:hAnsi="宋体" w:eastAsia="宋体" w:cs="宋体"/>
          <w:color w:val="auto"/>
          <w:sz w:val="36"/>
          <w:szCs w:val="36"/>
          <w:highlight w:val="none"/>
        </w:rPr>
      </w:pPr>
    </w:p>
    <w:tbl>
      <w:tblPr>
        <w:tblStyle w:val="19"/>
        <w:tblW w:w="0" w:type="auto"/>
        <w:jc w:val="center"/>
        <w:tblLayout w:type="fixed"/>
        <w:tblCellMar>
          <w:top w:w="0" w:type="dxa"/>
          <w:left w:w="10" w:type="dxa"/>
          <w:bottom w:w="0" w:type="dxa"/>
          <w:right w:w="10" w:type="dxa"/>
        </w:tblCellMar>
      </w:tblPr>
      <w:tblGrid>
        <w:gridCol w:w="1142"/>
        <w:gridCol w:w="3125"/>
        <w:gridCol w:w="3120"/>
        <w:gridCol w:w="1723"/>
      </w:tblGrid>
      <w:tr>
        <w:tblPrEx>
          <w:tblCellMar>
            <w:top w:w="0" w:type="dxa"/>
            <w:left w:w="10" w:type="dxa"/>
            <w:bottom w:w="0" w:type="dxa"/>
            <w:right w:w="10" w:type="dxa"/>
          </w:tblCellMar>
        </w:tblPrEx>
        <w:trPr>
          <w:trHeight w:val="595" w:hRule="exact"/>
          <w:jc w:val="center"/>
        </w:trPr>
        <w:tc>
          <w:tcPr>
            <w:tcW w:w="1142" w:type="dxa"/>
            <w:tcBorders>
              <w:top w:val="single" w:color="auto" w:sz="4" w:space="0"/>
              <w:left w:val="single" w:color="auto" w:sz="4" w:space="0"/>
            </w:tcBorders>
            <w:shd w:val="clear" w:color="auto" w:fill="FFFFFF"/>
            <w:vAlign w:val="center"/>
          </w:tcPr>
          <w:p>
            <w:pPr>
              <w:pStyle w:val="31"/>
              <w:pageBreakBefore w:val="0"/>
              <w:kinsoku/>
              <w:overflowPunct/>
              <w:topLinePunct w:val="0"/>
              <w:bidi w:val="0"/>
              <w:snapToGrid/>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序号</w:t>
            </w:r>
          </w:p>
        </w:tc>
        <w:tc>
          <w:tcPr>
            <w:tcW w:w="3125" w:type="dxa"/>
            <w:tcBorders>
              <w:top w:val="single" w:color="auto" w:sz="4" w:space="0"/>
              <w:left w:val="single" w:color="auto" w:sz="4" w:space="0"/>
            </w:tcBorders>
            <w:shd w:val="clear" w:color="auto" w:fill="FFFFFF"/>
            <w:vAlign w:val="center"/>
          </w:tcPr>
          <w:p>
            <w:pPr>
              <w:pStyle w:val="31"/>
              <w:pageBreakBefore w:val="0"/>
              <w:kinsoku/>
              <w:overflowPunct/>
              <w:topLinePunct w:val="0"/>
              <w:bidi w:val="0"/>
              <w:snapToGrid/>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采购文件章节及条款号</w:t>
            </w:r>
          </w:p>
        </w:tc>
        <w:tc>
          <w:tcPr>
            <w:tcW w:w="3120" w:type="dxa"/>
            <w:tcBorders>
              <w:top w:val="single" w:color="auto" w:sz="4" w:space="0"/>
              <w:left w:val="single" w:color="auto" w:sz="4" w:space="0"/>
            </w:tcBorders>
            <w:shd w:val="clear" w:color="auto" w:fill="FFFFFF"/>
            <w:vAlign w:val="center"/>
          </w:tcPr>
          <w:p>
            <w:pPr>
              <w:pStyle w:val="31"/>
              <w:pageBreakBefore w:val="0"/>
              <w:kinsoku/>
              <w:overflowPunct/>
              <w:topLinePunct w:val="0"/>
              <w:bidi w:val="0"/>
              <w:snapToGrid/>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响应文件章节及条款号</w:t>
            </w:r>
          </w:p>
        </w:tc>
        <w:tc>
          <w:tcPr>
            <w:tcW w:w="1723" w:type="dxa"/>
            <w:tcBorders>
              <w:top w:val="single" w:color="auto" w:sz="4" w:space="0"/>
              <w:left w:val="single" w:color="auto" w:sz="4" w:space="0"/>
              <w:right w:val="single" w:color="auto" w:sz="4" w:space="0"/>
            </w:tcBorders>
            <w:shd w:val="clear" w:color="auto" w:fill="FFFFFF"/>
            <w:vAlign w:val="center"/>
          </w:tcPr>
          <w:p>
            <w:pPr>
              <w:pStyle w:val="31"/>
              <w:pageBreakBefore w:val="0"/>
              <w:kinsoku/>
              <w:overflowPunct/>
              <w:topLinePunct w:val="0"/>
              <w:bidi w:val="0"/>
              <w:snapToGrid/>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偏差说明</w:t>
            </w:r>
          </w:p>
        </w:tc>
      </w:tr>
      <w:tr>
        <w:tblPrEx>
          <w:tblCellMar>
            <w:top w:w="0" w:type="dxa"/>
            <w:left w:w="10" w:type="dxa"/>
            <w:bottom w:w="0" w:type="dxa"/>
            <w:right w:w="10" w:type="dxa"/>
          </w:tblCellMar>
        </w:tblPrEx>
        <w:trPr>
          <w:trHeight w:val="566" w:hRule="exact"/>
          <w:jc w:val="center"/>
        </w:trPr>
        <w:tc>
          <w:tcPr>
            <w:tcW w:w="1142" w:type="dxa"/>
            <w:tcBorders>
              <w:top w:val="single" w:color="auto" w:sz="4" w:space="0"/>
              <w:left w:val="single" w:color="auto" w:sz="4" w:space="0"/>
            </w:tcBorders>
            <w:shd w:val="clear" w:color="auto" w:fill="FFFFFF"/>
            <w:vAlign w:val="center"/>
          </w:tcPr>
          <w:p>
            <w:pPr>
              <w:pStyle w:val="31"/>
              <w:pageBreakBefore w:val="0"/>
              <w:kinsoku/>
              <w:overflowPunct/>
              <w:topLinePunct w:val="0"/>
              <w:bidi w:val="0"/>
              <w:snapToGrid/>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p>
        </w:tc>
        <w:tc>
          <w:tcPr>
            <w:tcW w:w="3125" w:type="dxa"/>
            <w:tcBorders>
              <w:top w:val="single" w:color="auto" w:sz="4" w:space="0"/>
              <w:left w:val="single" w:color="auto" w:sz="4" w:space="0"/>
            </w:tcBorders>
            <w:shd w:val="clear" w:color="auto" w:fill="FFFFFF"/>
            <w:vAlign w:val="center"/>
          </w:tcPr>
          <w:p>
            <w:pPr>
              <w:pageBreakBefore w:val="0"/>
              <w:kinsoku/>
              <w:overflowPunct/>
              <w:topLinePunct w:val="0"/>
              <w:bidi w:val="0"/>
              <w:snapToGrid/>
              <w:spacing w:line="360" w:lineRule="auto"/>
              <w:jc w:val="center"/>
              <w:rPr>
                <w:rFonts w:hint="eastAsia" w:ascii="宋体" w:hAnsi="宋体" w:eastAsia="宋体" w:cs="宋体"/>
                <w:color w:val="auto"/>
                <w:sz w:val="24"/>
                <w:szCs w:val="24"/>
                <w:highlight w:val="none"/>
              </w:rPr>
            </w:pPr>
          </w:p>
        </w:tc>
        <w:tc>
          <w:tcPr>
            <w:tcW w:w="3120" w:type="dxa"/>
            <w:tcBorders>
              <w:top w:val="single" w:color="auto" w:sz="4" w:space="0"/>
              <w:left w:val="single" w:color="auto" w:sz="4" w:space="0"/>
            </w:tcBorders>
            <w:shd w:val="clear" w:color="auto" w:fill="FFFFFF"/>
            <w:vAlign w:val="center"/>
          </w:tcPr>
          <w:p>
            <w:pPr>
              <w:pageBreakBefore w:val="0"/>
              <w:kinsoku/>
              <w:overflowPunct/>
              <w:topLinePunct w:val="0"/>
              <w:bidi w:val="0"/>
              <w:snapToGrid/>
              <w:spacing w:line="360" w:lineRule="auto"/>
              <w:jc w:val="center"/>
              <w:rPr>
                <w:rFonts w:hint="eastAsia" w:ascii="宋体" w:hAnsi="宋体" w:eastAsia="宋体" w:cs="宋体"/>
                <w:color w:val="auto"/>
                <w:sz w:val="24"/>
                <w:szCs w:val="24"/>
                <w:highlight w:val="none"/>
              </w:rPr>
            </w:pPr>
          </w:p>
        </w:tc>
        <w:tc>
          <w:tcPr>
            <w:tcW w:w="1723" w:type="dxa"/>
            <w:tcBorders>
              <w:top w:val="single" w:color="auto" w:sz="4" w:space="0"/>
              <w:left w:val="single" w:color="auto" w:sz="4" w:space="0"/>
              <w:right w:val="single" w:color="auto" w:sz="4" w:space="0"/>
            </w:tcBorders>
            <w:shd w:val="clear" w:color="auto" w:fill="FFFFFF"/>
            <w:vAlign w:val="center"/>
          </w:tcPr>
          <w:p>
            <w:pPr>
              <w:pageBreakBefore w:val="0"/>
              <w:kinsoku/>
              <w:overflowPunct/>
              <w:topLinePunct w:val="0"/>
              <w:bidi w:val="0"/>
              <w:snapToGrid/>
              <w:spacing w:line="360" w:lineRule="auto"/>
              <w:jc w:val="center"/>
              <w:rPr>
                <w:rFonts w:hint="eastAsia" w:ascii="宋体" w:hAnsi="宋体" w:eastAsia="宋体" w:cs="宋体"/>
                <w:color w:val="auto"/>
                <w:sz w:val="24"/>
                <w:szCs w:val="24"/>
                <w:highlight w:val="none"/>
              </w:rPr>
            </w:pPr>
          </w:p>
        </w:tc>
      </w:tr>
      <w:tr>
        <w:tblPrEx>
          <w:tblCellMar>
            <w:top w:w="0" w:type="dxa"/>
            <w:left w:w="10" w:type="dxa"/>
            <w:bottom w:w="0" w:type="dxa"/>
            <w:right w:w="10" w:type="dxa"/>
          </w:tblCellMar>
        </w:tblPrEx>
        <w:trPr>
          <w:trHeight w:val="571" w:hRule="exact"/>
          <w:jc w:val="center"/>
        </w:trPr>
        <w:tc>
          <w:tcPr>
            <w:tcW w:w="1142" w:type="dxa"/>
            <w:tcBorders>
              <w:top w:val="single" w:color="auto" w:sz="4" w:space="0"/>
              <w:left w:val="single" w:color="auto" w:sz="4" w:space="0"/>
            </w:tcBorders>
            <w:shd w:val="clear" w:color="auto" w:fill="FFFFFF"/>
            <w:vAlign w:val="center"/>
          </w:tcPr>
          <w:p>
            <w:pPr>
              <w:pStyle w:val="31"/>
              <w:pageBreakBefore w:val="0"/>
              <w:kinsoku/>
              <w:overflowPunct/>
              <w:topLinePunct w:val="0"/>
              <w:bidi w:val="0"/>
              <w:snapToGrid/>
              <w:spacing w:line="360" w:lineRule="auto"/>
              <w:ind w:firstLine="14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p>
        </w:tc>
        <w:tc>
          <w:tcPr>
            <w:tcW w:w="3125" w:type="dxa"/>
            <w:tcBorders>
              <w:top w:val="single" w:color="auto" w:sz="4" w:space="0"/>
              <w:left w:val="single" w:color="auto" w:sz="4" w:space="0"/>
            </w:tcBorders>
            <w:shd w:val="clear" w:color="auto" w:fill="FFFFFF"/>
            <w:vAlign w:val="center"/>
          </w:tcPr>
          <w:p>
            <w:pPr>
              <w:pageBreakBefore w:val="0"/>
              <w:kinsoku/>
              <w:overflowPunct/>
              <w:topLinePunct w:val="0"/>
              <w:bidi w:val="0"/>
              <w:snapToGrid/>
              <w:spacing w:line="360" w:lineRule="auto"/>
              <w:jc w:val="center"/>
              <w:rPr>
                <w:rFonts w:hint="eastAsia" w:ascii="宋体" w:hAnsi="宋体" w:eastAsia="宋体" w:cs="宋体"/>
                <w:color w:val="auto"/>
                <w:sz w:val="24"/>
                <w:szCs w:val="24"/>
                <w:highlight w:val="none"/>
              </w:rPr>
            </w:pPr>
          </w:p>
        </w:tc>
        <w:tc>
          <w:tcPr>
            <w:tcW w:w="3120" w:type="dxa"/>
            <w:tcBorders>
              <w:top w:val="single" w:color="auto" w:sz="4" w:space="0"/>
              <w:left w:val="single" w:color="auto" w:sz="4" w:space="0"/>
            </w:tcBorders>
            <w:shd w:val="clear" w:color="auto" w:fill="FFFFFF"/>
            <w:vAlign w:val="center"/>
          </w:tcPr>
          <w:p>
            <w:pPr>
              <w:pageBreakBefore w:val="0"/>
              <w:kinsoku/>
              <w:overflowPunct/>
              <w:topLinePunct w:val="0"/>
              <w:bidi w:val="0"/>
              <w:snapToGrid/>
              <w:spacing w:line="360" w:lineRule="auto"/>
              <w:jc w:val="center"/>
              <w:rPr>
                <w:rFonts w:hint="eastAsia" w:ascii="宋体" w:hAnsi="宋体" w:eastAsia="宋体" w:cs="宋体"/>
                <w:color w:val="auto"/>
                <w:sz w:val="24"/>
                <w:szCs w:val="24"/>
                <w:highlight w:val="none"/>
              </w:rPr>
            </w:pPr>
          </w:p>
        </w:tc>
        <w:tc>
          <w:tcPr>
            <w:tcW w:w="1723" w:type="dxa"/>
            <w:tcBorders>
              <w:top w:val="single" w:color="auto" w:sz="4" w:space="0"/>
              <w:left w:val="single" w:color="auto" w:sz="4" w:space="0"/>
              <w:right w:val="single" w:color="auto" w:sz="4" w:space="0"/>
            </w:tcBorders>
            <w:shd w:val="clear" w:color="auto" w:fill="FFFFFF"/>
            <w:vAlign w:val="center"/>
          </w:tcPr>
          <w:p>
            <w:pPr>
              <w:pageBreakBefore w:val="0"/>
              <w:kinsoku/>
              <w:overflowPunct/>
              <w:topLinePunct w:val="0"/>
              <w:bidi w:val="0"/>
              <w:snapToGrid/>
              <w:spacing w:line="360" w:lineRule="auto"/>
              <w:jc w:val="center"/>
              <w:rPr>
                <w:rFonts w:hint="eastAsia" w:ascii="宋体" w:hAnsi="宋体" w:eastAsia="宋体" w:cs="宋体"/>
                <w:color w:val="auto"/>
                <w:sz w:val="24"/>
                <w:szCs w:val="24"/>
                <w:highlight w:val="none"/>
              </w:rPr>
            </w:pPr>
          </w:p>
        </w:tc>
      </w:tr>
      <w:tr>
        <w:tblPrEx>
          <w:tblCellMar>
            <w:top w:w="0" w:type="dxa"/>
            <w:left w:w="10" w:type="dxa"/>
            <w:bottom w:w="0" w:type="dxa"/>
            <w:right w:w="10" w:type="dxa"/>
          </w:tblCellMar>
        </w:tblPrEx>
        <w:trPr>
          <w:trHeight w:val="576" w:hRule="exact"/>
          <w:jc w:val="center"/>
        </w:trPr>
        <w:tc>
          <w:tcPr>
            <w:tcW w:w="1142" w:type="dxa"/>
            <w:tcBorders>
              <w:top w:val="single" w:color="auto" w:sz="4" w:space="0"/>
              <w:left w:val="single" w:color="auto" w:sz="4" w:space="0"/>
            </w:tcBorders>
            <w:shd w:val="clear" w:color="auto" w:fill="FFFFFF"/>
            <w:vAlign w:val="center"/>
          </w:tcPr>
          <w:p>
            <w:pPr>
              <w:pStyle w:val="31"/>
              <w:pageBreakBefore w:val="0"/>
              <w:kinsoku/>
              <w:overflowPunct/>
              <w:topLinePunct w:val="0"/>
              <w:bidi w:val="0"/>
              <w:snapToGrid/>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p>
        </w:tc>
        <w:tc>
          <w:tcPr>
            <w:tcW w:w="3125" w:type="dxa"/>
            <w:tcBorders>
              <w:top w:val="single" w:color="auto" w:sz="4" w:space="0"/>
              <w:left w:val="single" w:color="auto" w:sz="4" w:space="0"/>
            </w:tcBorders>
            <w:shd w:val="clear" w:color="auto" w:fill="FFFFFF"/>
            <w:vAlign w:val="center"/>
          </w:tcPr>
          <w:p>
            <w:pPr>
              <w:pageBreakBefore w:val="0"/>
              <w:kinsoku/>
              <w:overflowPunct/>
              <w:topLinePunct w:val="0"/>
              <w:bidi w:val="0"/>
              <w:snapToGrid/>
              <w:spacing w:line="360" w:lineRule="auto"/>
              <w:jc w:val="center"/>
              <w:rPr>
                <w:rFonts w:hint="eastAsia" w:ascii="宋体" w:hAnsi="宋体" w:eastAsia="宋体" w:cs="宋体"/>
                <w:color w:val="auto"/>
                <w:sz w:val="24"/>
                <w:szCs w:val="24"/>
                <w:highlight w:val="none"/>
              </w:rPr>
            </w:pPr>
          </w:p>
        </w:tc>
        <w:tc>
          <w:tcPr>
            <w:tcW w:w="3120" w:type="dxa"/>
            <w:tcBorders>
              <w:top w:val="single" w:color="auto" w:sz="4" w:space="0"/>
              <w:left w:val="single" w:color="auto" w:sz="4" w:space="0"/>
            </w:tcBorders>
            <w:shd w:val="clear" w:color="auto" w:fill="FFFFFF"/>
            <w:vAlign w:val="center"/>
          </w:tcPr>
          <w:p>
            <w:pPr>
              <w:pageBreakBefore w:val="0"/>
              <w:kinsoku/>
              <w:overflowPunct/>
              <w:topLinePunct w:val="0"/>
              <w:bidi w:val="0"/>
              <w:snapToGrid/>
              <w:spacing w:line="360" w:lineRule="auto"/>
              <w:jc w:val="center"/>
              <w:rPr>
                <w:rFonts w:hint="eastAsia" w:ascii="宋体" w:hAnsi="宋体" w:eastAsia="宋体" w:cs="宋体"/>
                <w:color w:val="auto"/>
                <w:sz w:val="24"/>
                <w:szCs w:val="24"/>
                <w:highlight w:val="none"/>
              </w:rPr>
            </w:pPr>
          </w:p>
        </w:tc>
        <w:tc>
          <w:tcPr>
            <w:tcW w:w="1723" w:type="dxa"/>
            <w:tcBorders>
              <w:top w:val="single" w:color="auto" w:sz="4" w:space="0"/>
              <w:left w:val="single" w:color="auto" w:sz="4" w:space="0"/>
              <w:right w:val="single" w:color="auto" w:sz="4" w:space="0"/>
            </w:tcBorders>
            <w:shd w:val="clear" w:color="auto" w:fill="FFFFFF"/>
            <w:vAlign w:val="center"/>
          </w:tcPr>
          <w:p>
            <w:pPr>
              <w:pageBreakBefore w:val="0"/>
              <w:kinsoku/>
              <w:overflowPunct/>
              <w:topLinePunct w:val="0"/>
              <w:bidi w:val="0"/>
              <w:snapToGrid/>
              <w:spacing w:line="360" w:lineRule="auto"/>
              <w:jc w:val="center"/>
              <w:rPr>
                <w:rFonts w:hint="eastAsia" w:ascii="宋体" w:hAnsi="宋体" w:eastAsia="宋体" w:cs="宋体"/>
                <w:color w:val="auto"/>
                <w:sz w:val="24"/>
                <w:szCs w:val="24"/>
                <w:highlight w:val="none"/>
              </w:rPr>
            </w:pPr>
          </w:p>
        </w:tc>
      </w:tr>
      <w:tr>
        <w:tblPrEx>
          <w:tblCellMar>
            <w:top w:w="0" w:type="dxa"/>
            <w:left w:w="10" w:type="dxa"/>
            <w:bottom w:w="0" w:type="dxa"/>
            <w:right w:w="10" w:type="dxa"/>
          </w:tblCellMar>
        </w:tblPrEx>
        <w:trPr>
          <w:trHeight w:val="566" w:hRule="exact"/>
          <w:jc w:val="center"/>
        </w:trPr>
        <w:tc>
          <w:tcPr>
            <w:tcW w:w="1142" w:type="dxa"/>
            <w:tcBorders>
              <w:top w:val="single" w:color="auto" w:sz="4" w:space="0"/>
              <w:left w:val="single" w:color="auto" w:sz="4" w:space="0"/>
            </w:tcBorders>
            <w:shd w:val="clear" w:color="auto" w:fill="FFFFFF"/>
            <w:vAlign w:val="center"/>
          </w:tcPr>
          <w:p>
            <w:pPr>
              <w:pStyle w:val="31"/>
              <w:pageBreakBefore w:val="0"/>
              <w:kinsoku/>
              <w:overflowPunct/>
              <w:topLinePunct w:val="0"/>
              <w:bidi w:val="0"/>
              <w:snapToGrid/>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w:t>
            </w:r>
          </w:p>
        </w:tc>
        <w:tc>
          <w:tcPr>
            <w:tcW w:w="3125" w:type="dxa"/>
            <w:tcBorders>
              <w:top w:val="single" w:color="auto" w:sz="4" w:space="0"/>
              <w:left w:val="single" w:color="auto" w:sz="4" w:space="0"/>
            </w:tcBorders>
            <w:shd w:val="clear" w:color="auto" w:fill="FFFFFF"/>
            <w:vAlign w:val="center"/>
          </w:tcPr>
          <w:p>
            <w:pPr>
              <w:pageBreakBefore w:val="0"/>
              <w:kinsoku/>
              <w:overflowPunct/>
              <w:topLinePunct w:val="0"/>
              <w:bidi w:val="0"/>
              <w:snapToGrid/>
              <w:spacing w:line="360" w:lineRule="auto"/>
              <w:jc w:val="center"/>
              <w:rPr>
                <w:rFonts w:hint="eastAsia" w:ascii="宋体" w:hAnsi="宋体" w:eastAsia="宋体" w:cs="宋体"/>
                <w:color w:val="auto"/>
                <w:sz w:val="24"/>
                <w:szCs w:val="24"/>
                <w:highlight w:val="none"/>
              </w:rPr>
            </w:pPr>
          </w:p>
        </w:tc>
        <w:tc>
          <w:tcPr>
            <w:tcW w:w="3120" w:type="dxa"/>
            <w:tcBorders>
              <w:top w:val="single" w:color="auto" w:sz="4" w:space="0"/>
              <w:left w:val="single" w:color="auto" w:sz="4" w:space="0"/>
            </w:tcBorders>
            <w:shd w:val="clear" w:color="auto" w:fill="FFFFFF"/>
            <w:vAlign w:val="center"/>
          </w:tcPr>
          <w:p>
            <w:pPr>
              <w:pageBreakBefore w:val="0"/>
              <w:kinsoku/>
              <w:overflowPunct/>
              <w:topLinePunct w:val="0"/>
              <w:bidi w:val="0"/>
              <w:snapToGrid/>
              <w:spacing w:line="360" w:lineRule="auto"/>
              <w:jc w:val="center"/>
              <w:rPr>
                <w:rFonts w:hint="eastAsia" w:ascii="宋体" w:hAnsi="宋体" w:eastAsia="宋体" w:cs="宋体"/>
                <w:color w:val="auto"/>
                <w:sz w:val="24"/>
                <w:szCs w:val="24"/>
                <w:highlight w:val="none"/>
              </w:rPr>
            </w:pPr>
          </w:p>
        </w:tc>
        <w:tc>
          <w:tcPr>
            <w:tcW w:w="1723" w:type="dxa"/>
            <w:tcBorders>
              <w:top w:val="single" w:color="auto" w:sz="4" w:space="0"/>
              <w:left w:val="single" w:color="auto" w:sz="4" w:space="0"/>
              <w:right w:val="single" w:color="auto" w:sz="4" w:space="0"/>
            </w:tcBorders>
            <w:shd w:val="clear" w:color="auto" w:fill="FFFFFF"/>
            <w:vAlign w:val="center"/>
          </w:tcPr>
          <w:p>
            <w:pPr>
              <w:pageBreakBefore w:val="0"/>
              <w:kinsoku/>
              <w:overflowPunct/>
              <w:topLinePunct w:val="0"/>
              <w:bidi w:val="0"/>
              <w:snapToGrid/>
              <w:spacing w:line="360" w:lineRule="auto"/>
              <w:jc w:val="center"/>
              <w:rPr>
                <w:rFonts w:hint="eastAsia" w:ascii="宋体" w:hAnsi="宋体" w:eastAsia="宋体" w:cs="宋体"/>
                <w:color w:val="auto"/>
                <w:sz w:val="24"/>
                <w:szCs w:val="24"/>
                <w:highlight w:val="none"/>
              </w:rPr>
            </w:pPr>
          </w:p>
        </w:tc>
      </w:tr>
      <w:tr>
        <w:tblPrEx>
          <w:tblCellMar>
            <w:top w:w="0" w:type="dxa"/>
            <w:left w:w="10" w:type="dxa"/>
            <w:bottom w:w="0" w:type="dxa"/>
            <w:right w:w="10" w:type="dxa"/>
          </w:tblCellMar>
        </w:tblPrEx>
        <w:trPr>
          <w:trHeight w:val="571" w:hRule="exact"/>
          <w:jc w:val="center"/>
        </w:trPr>
        <w:tc>
          <w:tcPr>
            <w:tcW w:w="1142" w:type="dxa"/>
            <w:tcBorders>
              <w:top w:val="single" w:color="auto" w:sz="4" w:space="0"/>
              <w:left w:val="single" w:color="auto" w:sz="4" w:space="0"/>
            </w:tcBorders>
            <w:shd w:val="clear" w:color="auto" w:fill="FFFFFF"/>
            <w:vAlign w:val="center"/>
          </w:tcPr>
          <w:p>
            <w:pPr>
              <w:pStyle w:val="31"/>
              <w:pageBreakBefore w:val="0"/>
              <w:kinsoku/>
              <w:overflowPunct/>
              <w:topLinePunct w:val="0"/>
              <w:bidi w:val="0"/>
              <w:snapToGrid/>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w:t>
            </w:r>
          </w:p>
        </w:tc>
        <w:tc>
          <w:tcPr>
            <w:tcW w:w="3125" w:type="dxa"/>
            <w:tcBorders>
              <w:top w:val="single" w:color="auto" w:sz="4" w:space="0"/>
              <w:left w:val="single" w:color="auto" w:sz="4" w:space="0"/>
            </w:tcBorders>
            <w:shd w:val="clear" w:color="auto" w:fill="FFFFFF"/>
            <w:vAlign w:val="center"/>
          </w:tcPr>
          <w:p>
            <w:pPr>
              <w:pageBreakBefore w:val="0"/>
              <w:kinsoku/>
              <w:overflowPunct/>
              <w:topLinePunct w:val="0"/>
              <w:bidi w:val="0"/>
              <w:snapToGrid/>
              <w:spacing w:line="360" w:lineRule="auto"/>
              <w:jc w:val="center"/>
              <w:rPr>
                <w:rFonts w:hint="eastAsia" w:ascii="宋体" w:hAnsi="宋体" w:eastAsia="宋体" w:cs="宋体"/>
                <w:color w:val="auto"/>
                <w:sz w:val="24"/>
                <w:szCs w:val="24"/>
                <w:highlight w:val="none"/>
              </w:rPr>
            </w:pPr>
          </w:p>
        </w:tc>
        <w:tc>
          <w:tcPr>
            <w:tcW w:w="3120" w:type="dxa"/>
            <w:tcBorders>
              <w:top w:val="single" w:color="auto" w:sz="4" w:space="0"/>
              <w:left w:val="single" w:color="auto" w:sz="4" w:space="0"/>
            </w:tcBorders>
            <w:shd w:val="clear" w:color="auto" w:fill="FFFFFF"/>
            <w:vAlign w:val="center"/>
          </w:tcPr>
          <w:p>
            <w:pPr>
              <w:pageBreakBefore w:val="0"/>
              <w:kinsoku/>
              <w:overflowPunct/>
              <w:topLinePunct w:val="0"/>
              <w:bidi w:val="0"/>
              <w:snapToGrid/>
              <w:spacing w:line="360" w:lineRule="auto"/>
              <w:jc w:val="center"/>
              <w:rPr>
                <w:rFonts w:hint="eastAsia" w:ascii="宋体" w:hAnsi="宋体" w:eastAsia="宋体" w:cs="宋体"/>
                <w:color w:val="auto"/>
                <w:sz w:val="24"/>
                <w:szCs w:val="24"/>
                <w:highlight w:val="none"/>
              </w:rPr>
            </w:pPr>
          </w:p>
        </w:tc>
        <w:tc>
          <w:tcPr>
            <w:tcW w:w="1723" w:type="dxa"/>
            <w:tcBorders>
              <w:top w:val="single" w:color="auto" w:sz="4" w:space="0"/>
              <w:left w:val="single" w:color="auto" w:sz="4" w:space="0"/>
              <w:right w:val="single" w:color="auto" w:sz="4" w:space="0"/>
            </w:tcBorders>
            <w:shd w:val="clear" w:color="auto" w:fill="FFFFFF"/>
            <w:vAlign w:val="center"/>
          </w:tcPr>
          <w:p>
            <w:pPr>
              <w:pageBreakBefore w:val="0"/>
              <w:kinsoku/>
              <w:overflowPunct/>
              <w:topLinePunct w:val="0"/>
              <w:bidi w:val="0"/>
              <w:snapToGrid/>
              <w:spacing w:line="360" w:lineRule="auto"/>
              <w:jc w:val="center"/>
              <w:rPr>
                <w:rFonts w:hint="eastAsia" w:ascii="宋体" w:hAnsi="宋体" w:eastAsia="宋体" w:cs="宋体"/>
                <w:color w:val="auto"/>
                <w:sz w:val="24"/>
                <w:szCs w:val="24"/>
                <w:highlight w:val="none"/>
              </w:rPr>
            </w:pPr>
          </w:p>
        </w:tc>
      </w:tr>
      <w:tr>
        <w:tblPrEx>
          <w:tblCellMar>
            <w:top w:w="0" w:type="dxa"/>
            <w:left w:w="10" w:type="dxa"/>
            <w:bottom w:w="0" w:type="dxa"/>
            <w:right w:w="10" w:type="dxa"/>
          </w:tblCellMar>
        </w:tblPrEx>
        <w:trPr>
          <w:trHeight w:val="595" w:hRule="exact"/>
          <w:jc w:val="center"/>
        </w:trPr>
        <w:tc>
          <w:tcPr>
            <w:tcW w:w="1142" w:type="dxa"/>
            <w:tcBorders>
              <w:top w:val="single" w:color="auto" w:sz="4" w:space="0"/>
              <w:left w:val="single" w:color="auto" w:sz="4" w:space="0"/>
              <w:bottom w:val="single" w:color="auto" w:sz="4" w:space="0"/>
            </w:tcBorders>
            <w:shd w:val="clear" w:color="auto" w:fill="FFFFFF"/>
            <w:vAlign w:val="center"/>
          </w:tcPr>
          <w:p>
            <w:pPr>
              <w:pStyle w:val="31"/>
              <w:pageBreakBefore w:val="0"/>
              <w:tabs>
                <w:tab w:val="left" w:leader="dot" w:pos="374"/>
              </w:tabs>
              <w:kinsoku/>
              <w:overflowPunct/>
              <w:topLinePunct w:val="0"/>
              <w:bidi w:val="0"/>
              <w:snapToGrid/>
              <w:spacing w:line="360" w:lineRule="auto"/>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w:t>
            </w:r>
          </w:p>
        </w:tc>
        <w:tc>
          <w:tcPr>
            <w:tcW w:w="3125" w:type="dxa"/>
            <w:tcBorders>
              <w:top w:val="single" w:color="auto" w:sz="4" w:space="0"/>
              <w:left w:val="single" w:color="auto" w:sz="4" w:space="0"/>
              <w:bottom w:val="single" w:color="auto" w:sz="4" w:space="0"/>
            </w:tcBorders>
            <w:shd w:val="clear" w:color="auto" w:fill="FFFFFF"/>
            <w:vAlign w:val="center"/>
          </w:tcPr>
          <w:p>
            <w:pPr>
              <w:pageBreakBefore w:val="0"/>
              <w:kinsoku/>
              <w:overflowPunct/>
              <w:topLinePunct w:val="0"/>
              <w:bidi w:val="0"/>
              <w:snapToGrid/>
              <w:spacing w:line="360" w:lineRule="auto"/>
              <w:jc w:val="center"/>
              <w:rPr>
                <w:rFonts w:hint="eastAsia" w:ascii="宋体" w:hAnsi="宋体" w:eastAsia="宋体" w:cs="宋体"/>
                <w:color w:val="auto"/>
                <w:sz w:val="24"/>
                <w:szCs w:val="24"/>
                <w:highlight w:val="none"/>
              </w:rPr>
            </w:pPr>
          </w:p>
        </w:tc>
        <w:tc>
          <w:tcPr>
            <w:tcW w:w="3120" w:type="dxa"/>
            <w:tcBorders>
              <w:top w:val="single" w:color="auto" w:sz="4" w:space="0"/>
              <w:left w:val="single" w:color="auto" w:sz="4" w:space="0"/>
              <w:bottom w:val="single" w:color="auto" w:sz="4" w:space="0"/>
            </w:tcBorders>
            <w:shd w:val="clear" w:color="auto" w:fill="FFFFFF"/>
            <w:vAlign w:val="center"/>
          </w:tcPr>
          <w:p>
            <w:pPr>
              <w:pageBreakBefore w:val="0"/>
              <w:kinsoku/>
              <w:overflowPunct/>
              <w:topLinePunct w:val="0"/>
              <w:bidi w:val="0"/>
              <w:snapToGrid/>
              <w:spacing w:line="360" w:lineRule="auto"/>
              <w:jc w:val="center"/>
              <w:rPr>
                <w:rFonts w:hint="eastAsia" w:ascii="宋体" w:hAnsi="宋体" w:eastAsia="宋体" w:cs="宋体"/>
                <w:color w:val="auto"/>
                <w:sz w:val="24"/>
                <w:szCs w:val="24"/>
                <w:highlight w:val="none"/>
              </w:rPr>
            </w:pPr>
          </w:p>
        </w:tc>
        <w:tc>
          <w:tcPr>
            <w:tcW w:w="1723" w:type="dxa"/>
            <w:tcBorders>
              <w:top w:val="single" w:color="auto" w:sz="4" w:space="0"/>
              <w:left w:val="single" w:color="auto" w:sz="4" w:space="0"/>
              <w:bottom w:val="single" w:color="auto" w:sz="4" w:space="0"/>
              <w:right w:val="single" w:color="auto" w:sz="4" w:space="0"/>
            </w:tcBorders>
            <w:shd w:val="clear" w:color="auto" w:fill="FFFFFF"/>
            <w:vAlign w:val="center"/>
          </w:tcPr>
          <w:p>
            <w:pPr>
              <w:pageBreakBefore w:val="0"/>
              <w:kinsoku/>
              <w:overflowPunct/>
              <w:topLinePunct w:val="0"/>
              <w:bidi w:val="0"/>
              <w:snapToGrid/>
              <w:spacing w:line="360" w:lineRule="auto"/>
              <w:jc w:val="center"/>
              <w:rPr>
                <w:rFonts w:hint="eastAsia" w:ascii="宋体" w:hAnsi="宋体" w:eastAsia="宋体" w:cs="宋体"/>
                <w:color w:val="auto"/>
                <w:sz w:val="24"/>
                <w:szCs w:val="24"/>
                <w:highlight w:val="none"/>
              </w:rPr>
            </w:pPr>
          </w:p>
        </w:tc>
      </w:tr>
    </w:tbl>
    <w:p>
      <w:pPr>
        <w:pageBreakBefore w:val="0"/>
        <w:kinsoku/>
        <w:overflowPunct/>
        <w:topLinePunct w:val="0"/>
        <w:bidi w:val="0"/>
        <w:snapToGrid/>
        <w:spacing w:after="179" w:line="360" w:lineRule="auto"/>
        <w:rPr>
          <w:rFonts w:hint="eastAsia" w:ascii="宋体" w:hAnsi="宋体" w:eastAsia="宋体" w:cs="宋体"/>
          <w:color w:val="auto"/>
          <w:highlight w:val="none"/>
        </w:rPr>
      </w:pPr>
    </w:p>
    <w:p>
      <w:pPr>
        <w:pageBreakBefore w:val="0"/>
        <w:kinsoku/>
        <w:overflowPunct/>
        <w:topLinePunct w:val="0"/>
        <w:bidi w:val="0"/>
        <w:snapToGrid/>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询比响应人</w:t>
      </w:r>
      <w:r>
        <w:rPr>
          <w:rFonts w:hint="eastAsia" w:ascii="宋体" w:hAnsi="宋体" w:eastAsia="宋体" w:cs="宋体"/>
          <w:color w:val="auto"/>
          <w:sz w:val="24"/>
          <w:highlight w:val="none"/>
        </w:rPr>
        <w:t>保证：除商务和技术偏差表列出的偏差外，</w:t>
      </w:r>
      <w:r>
        <w:rPr>
          <w:rFonts w:hint="eastAsia" w:ascii="宋体" w:hAnsi="宋体" w:eastAsia="宋体" w:cs="宋体"/>
          <w:color w:val="auto"/>
          <w:sz w:val="24"/>
          <w:highlight w:val="none"/>
          <w:lang w:eastAsia="zh-CN"/>
        </w:rPr>
        <w:t>询比响应人</w:t>
      </w:r>
      <w:r>
        <w:rPr>
          <w:rFonts w:hint="eastAsia" w:ascii="宋体" w:hAnsi="宋体" w:eastAsia="宋体" w:cs="宋体"/>
          <w:color w:val="auto"/>
          <w:sz w:val="24"/>
          <w:highlight w:val="none"/>
        </w:rPr>
        <w:t>响应采购文件的全部要求。</w:t>
      </w:r>
    </w:p>
    <w:p>
      <w:pPr>
        <w:pageBreakBefore w:val="0"/>
        <w:kinsoku/>
        <w:overflowPunct/>
        <w:topLinePunct w:val="0"/>
        <w:bidi w:val="0"/>
        <w:snapToGrid/>
        <w:spacing w:line="360" w:lineRule="auto"/>
        <w:rPr>
          <w:rFonts w:hint="eastAsia" w:ascii="宋体" w:hAnsi="宋体" w:eastAsia="宋体" w:cs="宋体"/>
          <w:color w:val="auto"/>
          <w:highlight w:val="none"/>
          <w:u w:val="single"/>
        </w:rPr>
      </w:pPr>
      <w:r>
        <w:rPr>
          <w:rFonts w:hint="eastAsia" w:ascii="宋体" w:hAnsi="宋体" w:eastAsia="宋体" w:cs="宋体"/>
          <w:color w:val="auto"/>
          <w:highlight w:val="none"/>
          <w:u w:val="single"/>
        </w:rPr>
        <w:br w:type="page"/>
      </w:r>
    </w:p>
    <w:p>
      <w:pPr>
        <w:pStyle w:val="4"/>
        <w:pageBreakBefore w:val="0"/>
        <w:kinsoku/>
        <w:overflowPunct/>
        <w:topLinePunct w:val="0"/>
        <w:bidi w:val="0"/>
        <w:snapToGrid/>
        <w:spacing w:line="360" w:lineRule="auto"/>
        <w:ind w:firstLine="2811" w:firstLineChars="1000"/>
        <w:jc w:val="both"/>
        <w:rPr>
          <w:rFonts w:hint="eastAsia" w:ascii="宋体" w:hAnsi="宋体" w:eastAsia="宋体" w:cs="宋体"/>
          <w:color w:val="auto"/>
          <w:highlight w:val="none"/>
        </w:rPr>
      </w:pPr>
      <w:bookmarkStart w:id="379" w:name="bookmark592"/>
      <w:bookmarkStart w:id="380" w:name="bookmark591"/>
      <w:bookmarkStart w:id="381" w:name="bookmark593"/>
      <w:bookmarkStart w:id="382" w:name="_Toc25440"/>
      <w:bookmarkStart w:id="383" w:name="_Toc26608"/>
      <w:r>
        <w:rPr>
          <w:rFonts w:hint="eastAsia" w:ascii="宋体" w:hAnsi="宋体" w:eastAsia="宋体" w:cs="宋体"/>
          <w:color w:val="auto"/>
          <w:highlight w:val="none"/>
        </w:rPr>
        <w:t>六、报价表（A）</w:t>
      </w:r>
      <w:bookmarkEnd w:id="379"/>
      <w:bookmarkEnd w:id="380"/>
      <w:bookmarkEnd w:id="381"/>
      <w:bookmarkEnd w:id="382"/>
      <w:bookmarkEnd w:id="383"/>
    </w:p>
    <w:p>
      <w:pPr>
        <w:pageBreakBefore w:val="0"/>
        <w:kinsoku/>
        <w:overflowPunct/>
        <w:topLinePunct w:val="0"/>
        <w:bidi w:val="0"/>
        <w:snapToGrid/>
        <w:spacing w:line="360" w:lineRule="auto"/>
        <w:rPr>
          <w:rFonts w:hint="eastAsia" w:ascii="宋体" w:hAnsi="宋体" w:eastAsia="宋体" w:cs="宋体"/>
          <w:color w:val="auto"/>
          <w:sz w:val="24"/>
          <w:highlight w:val="none"/>
        </w:rPr>
      </w:pPr>
      <w:r>
        <w:rPr>
          <w:rFonts w:hint="eastAsia" w:ascii="宋体" w:hAnsi="宋体" w:eastAsia="宋体" w:cs="宋体"/>
          <w:color w:val="auto"/>
          <w:sz w:val="28"/>
          <w:szCs w:val="28"/>
          <w:highlight w:val="none"/>
          <w:lang w:eastAsia="zh-CN"/>
        </w:rPr>
        <w:t>已标价工程量清单</w:t>
      </w:r>
    </w:p>
    <w:p>
      <w:pPr>
        <w:pageBreakBefore w:val="0"/>
        <w:kinsoku/>
        <w:overflowPunct/>
        <w:topLinePunct w:val="0"/>
        <w:bidi w:val="0"/>
        <w:snapToGrid/>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根据国家、行业、地方发布的计价办法、施工图纸等设计文件、施工现场实际情况、项目报价要求等，编制适合采购项目的报价表。</w:t>
      </w:r>
    </w:p>
    <w:p>
      <w:pPr>
        <w:pStyle w:val="18"/>
        <w:rPr>
          <w:rFonts w:hint="eastAsia" w:ascii="宋体" w:hAnsi="宋体" w:eastAsia="宋体" w:cs="宋体"/>
          <w:color w:val="auto"/>
          <w:sz w:val="24"/>
          <w:highlight w:val="none"/>
        </w:rPr>
      </w:pPr>
    </w:p>
    <w:p>
      <w:pPr>
        <w:pStyle w:val="18"/>
        <w:rPr>
          <w:rFonts w:hint="eastAsia" w:ascii="宋体" w:hAnsi="宋体" w:eastAsia="宋体" w:cs="宋体"/>
          <w:color w:val="auto"/>
          <w:sz w:val="24"/>
          <w:highlight w:val="none"/>
        </w:rPr>
        <w:sectPr>
          <w:headerReference r:id="rId5" w:type="default"/>
          <w:footerReference r:id="rId6" w:type="default"/>
          <w:pgSz w:w="11906" w:h="16838"/>
          <w:pgMar w:top="1440" w:right="1080" w:bottom="1440" w:left="1080" w:header="851" w:footer="992" w:gutter="0"/>
          <w:pgBorders w:offsetFrom="page">
            <w:top w:val="single" w:color="808080" w:sz="18" w:space="24"/>
            <w:left w:val="single" w:color="808080" w:sz="18" w:space="24"/>
            <w:bottom w:val="single" w:color="808080" w:sz="18" w:space="24"/>
            <w:right w:val="single" w:color="808080" w:sz="18" w:space="24"/>
          </w:pgBorders>
          <w:pgNumType w:fmt="decimal"/>
          <w:cols w:space="425" w:num="1"/>
          <w:docGrid w:type="lines" w:linePitch="312" w:charSpace="0"/>
        </w:sectPr>
      </w:pPr>
    </w:p>
    <w:p>
      <w:pPr>
        <w:pStyle w:val="4"/>
        <w:pageBreakBefore w:val="0"/>
        <w:kinsoku/>
        <w:overflowPunct/>
        <w:topLinePunct w:val="0"/>
        <w:bidi w:val="0"/>
        <w:snapToGrid/>
        <w:spacing w:line="360" w:lineRule="auto"/>
        <w:rPr>
          <w:rFonts w:hint="eastAsia" w:ascii="宋体" w:hAnsi="宋体" w:eastAsia="宋体" w:cs="宋体"/>
          <w:color w:val="auto"/>
          <w:highlight w:val="none"/>
        </w:rPr>
      </w:pPr>
      <w:bookmarkStart w:id="384" w:name="_Toc7819"/>
      <w:bookmarkStart w:id="385" w:name="bookmark604"/>
      <w:bookmarkStart w:id="386" w:name="bookmark605"/>
      <w:bookmarkStart w:id="387" w:name="_Toc16469"/>
      <w:bookmarkStart w:id="388" w:name="bookmark606"/>
      <w:r>
        <w:rPr>
          <w:rFonts w:hint="eastAsia" w:ascii="宋体" w:hAnsi="宋体" w:eastAsia="宋体" w:cs="宋体"/>
          <w:color w:val="auto"/>
          <w:highlight w:val="none"/>
        </w:rPr>
        <w:t>七、资格审查资料(A)</w:t>
      </w:r>
      <w:bookmarkEnd w:id="384"/>
      <w:bookmarkEnd w:id="385"/>
      <w:bookmarkEnd w:id="386"/>
      <w:bookmarkEnd w:id="387"/>
      <w:bookmarkEnd w:id="388"/>
    </w:p>
    <w:p>
      <w:pPr>
        <w:pStyle w:val="6"/>
        <w:pageBreakBefore w:val="0"/>
        <w:kinsoku/>
        <w:overflowPunct/>
        <w:topLinePunct w:val="0"/>
        <w:bidi w:val="0"/>
        <w:snapToGrid/>
        <w:spacing w:line="360" w:lineRule="auto"/>
        <w:ind w:firstLine="3132" w:firstLineChars="1300"/>
        <w:rPr>
          <w:rFonts w:hint="eastAsia" w:ascii="宋体" w:hAnsi="宋体" w:eastAsia="宋体" w:cs="宋体"/>
          <w:color w:val="auto"/>
          <w:highlight w:val="none"/>
        </w:rPr>
      </w:pPr>
      <w:bookmarkStart w:id="389" w:name="bookmark607"/>
      <w:bookmarkEnd w:id="389"/>
      <w:bookmarkStart w:id="390" w:name="_Toc12347"/>
      <w:bookmarkStart w:id="391" w:name="_Toc29578"/>
      <w:r>
        <w:rPr>
          <w:rFonts w:hint="eastAsia" w:ascii="宋体" w:hAnsi="宋体" w:eastAsia="宋体" w:cs="宋体"/>
          <w:color w:val="auto"/>
          <w:highlight w:val="none"/>
        </w:rPr>
        <w:t>（一）基本情况</w:t>
      </w:r>
      <w:bookmarkEnd w:id="390"/>
      <w:bookmarkEnd w:id="391"/>
    </w:p>
    <w:p>
      <w:pPr>
        <w:pStyle w:val="35"/>
        <w:pageBreakBefore w:val="0"/>
        <w:kinsoku/>
        <w:overflowPunct/>
        <w:topLinePunct w:val="0"/>
        <w:bidi w:val="0"/>
        <w:snapToGrid/>
        <w:spacing w:line="360" w:lineRule="auto"/>
        <w:ind w:firstLine="480"/>
        <w:rPr>
          <w:rFonts w:hint="eastAsia" w:ascii="宋体" w:hAnsi="宋体" w:eastAsia="宋体" w:cs="宋体"/>
          <w:color w:val="auto"/>
          <w:highlight w:val="none"/>
        </w:rPr>
      </w:pPr>
      <w:r>
        <w:rPr>
          <w:rFonts w:hint="eastAsia" w:ascii="宋体" w:hAnsi="宋体" w:eastAsia="宋体" w:cs="宋体"/>
          <w:color w:val="auto"/>
          <w:sz w:val="24"/>
          <w:highlight w:val="none"/>
          <w:lang w:eastAsia="zh-CN"/>
        </w:rPr>
        <w:t>询比响应人</w:t>
      </w:r>
      <w:r>
        <w:rPr>
          <w:rFonts w:hint="eastAsia" w:ascii="宋体" w:hAnsi="宋体" w:eastAsia="宋体" w:cs="宋体"/>
          <w:color w:val="auto"/>
          <w:sz w:val="24"/>
          <w:highlight w:val="none"/>
        </w:rPr>
        <w:t>应根据</w:t>
      </w:r>
      <w:r>
        <w:rPr>
          <w:rFonts w:hint="eastAsia" w:ascii="宋体" w:hAnsi="宋体" w:eastAsia="宋体" w:cs="宋体"/>
          <w:color w:val="auto"/>
          <w:sz w:val="24"/>
          <w:highlight w:val="none"/>
          <w:lang w:eastAsia="zh-CN"/>
        </w:rPr>
        <w:t>询比响应人</w:t>
      </w:r>
      <w:r>
        <w:rPr>
          <w:rFonts w:hint="eastAsia" w:ascii="宋体" w:hAnsi="宋体" w:eastAsia="宋体" w:cs="宋体"/>
          <w:color w:val="auto"/>
          <w:sz w:val="24"/>
          <w:highlight w:val="none"/>
        </w:rPr>
        <w:t>须知前附表第</w:t>
      </w:r>
      <w:r>
        <w:rPr>
          <w:rFonts w:hint="eastAsia" w:ascii="宋体" w:hAnsi="宋体" w:eastAsia="宋体" w:cs="宋体"/>
          <w:color w:val="auto"/>
          <w:sz w:val="24"/>
          <w:highlight w:val="none"/>
          <w:lang w:val="en-US" w:eastAsia="zh-CN" w:bidi="en-US"/>
        </w:rPr>
        <w:t xml:space="preserve">3. </w:t>
      </w:r>
      <w:r>
        <w:rPr>
          <w:rFonts w:hint="eastAsia" w:ascii="宋体" w:hAnsi="宋体" w:eastAsia="宋体" w:cs="宋体"/>
          <w:color w:val="auto"/>
          <w:sz w:val="24"/>
          <w:highlight w:val="none"/>
        </w:rPr>
        <w:t>5 (1)项和第</w:t>
      </w:r>
      <w:r>
        <w:rPr>
          <w:rFonts w:hint="eastAsia" w:ascii="宋体" w:hAnsi="宋体" w:eastAsia="宋体" w:cs="宋体"/>
          <w:color w:val="auto"/>
          <w:sz w:val="24"/>
          <w:highlight w:val="none"/>
          <w:lang w:val="en-US" w:eastAsia="zh-CN" w:bidi="en-US"/>
        </w:rPr>
        <w:t xml:space="preserve">3. </w:t>
      </w:r>
      <w:r>
        <w:rPr>
          <w:rFonts w:hint="eastAsia" w:ascii="宋体" w:hAnsi="宋体" w:eastAsia="宋体" w:cs="宋体"/>
          <w:color w:val="auto"/>
          <w:sz w:val="24"/>
          <w:highlight w:val="none"/>
        </w:rPr>
        <w:t>5 (2)项的要求提供主体 養格证明及相关资质证明材料。</w:t>
      </w:r>
    </w:p>
    <w:p>
      <w:pPr>
        <w:pStyle w:val="35"/>
        <w:pageBreakBefore w:val="0"/>
        <w:kinsoku/>
        <w:overflowPunct/>
        <w:topLinePunct w:val="0"/>
        <w:bidi w:val="0"/>
        <w:snapToGrid/>
        <w:spacing w:after="440" w:line="360" w:lineRule="auto"/>
        <w:ind w:firstLine="480"/>
        <w:rPr>
          <w:rFonts w:hint="eastAsia" w:ascii="宋体" w:hAnsi="宋体" w:eastAsia="宋体" w:cs="宋体"/>
          <w:color w:val="auto"/>
          <w:highlight w:val="none"/>
        </w:rPr>
      </w:pPr>
      <w:r>
        <w:rPr>
          <w:rFonts w:hint="eastAsia" w:ascii="宋体" w:hAnsi="宋体" w:eastAsia="宋体" w:cs="宋体"/>
          <w:color w:val="auto"/>
          <w:sz w:val="24"/>
          <w:highlight w:val="none"/>
          <w:lang w:eastAsia="zh-CN"/>
        </w:rPr>
        <w:t>询比响应人</w:t>
      </w:r>
      <w:r>
        <w:rPr>
          <w:rFonts w:hint="eastAsia" w:ascii="宋体" w:hAnsi="宋体" w:eastAsia="宋体" w:cs="宋体"/>
          <w:color w:val="auto"/>
          <w:sz w:val="24"/>
          <w:highlight w:val="none"/>
        </w:rPr>
        <w:t>还应根据</w:t>
      </w:r>
      <w:r>
        <w:rPr>
          <w:rFonts w:hint="eastAsia" w:ascii="宋体" w:hAnsi="宋体" w:eastAsia="宋体" w:cs="宋体"/>
          <w:color w:val="auto"/>
          <w:sz w:val="24"/>
          <w:highlight w:val="none"/>
          <w:lang w:eastAsia="zh-CN"/>
        </w:rPr>
        <w:t>询比响应人</w:t>
      </w:r>
      <w:r>
        <w:rPr>
          <w:rFonts w:hint="eastAsia" w:ascii="宋体" w:hAnsi="宋体" w:eastAsia="宋体" w:cs="宋体"/>
          <w:color w:val="auto"/>
          <w:sz w:val="24"/>
          <w:highlight w:val="none"/>
        </w:rPr>
        <w:t>须知前附表第</w:t>
      </w:r>
      <w:r>
        <w:rPr>
          <w:rFonts w:hint="eastAsia" w:ascii="宋体" w:hAnsi="宋体" w:eastAsia="宋体" w:cs="宋体"/>
          <w:color w:val="auto"/>
          <w:sz w:val="24"/>
          <w:highlight w:val="none"/>
          <w:lang w:val="en-US" w:eastAsia="zh-CN" w:bidi="en-US"/>
        </w:rPr>
        <w:t xml:space="preserve">3.5 </w:t>
      </w:r>
      <w:r>
        <w:rPr>
          <w:rFonts w:hint="eastAsia" w:ascii="宋体" w:hAnsi="宋体" w:eastAsia="宋体" w:cs="宋体"/>
          <w:color w:val="auto"/>
          <w:sz w:val="24"/>
          <w:highlight w:val="none"/>
        </w:rPr>
        <w:t>(5)项、第</w:t>
      </w:r>
      <w:r>
        <w:rPr>
          <w:rFonts w:hint="eastAsia" w:ascii="宋体" w:hAnsi="宋体" w:eastAsia="宋体" w:cs="宋体"/>
          <w:color w:val="auto"/>
          <w:sz w:val="24"/>
          <w:highlight w:val="none"/>
          <w:lang w:val="en-US" w:eastAsia="zh-CN" w:bidi="en-US"/>
        </w:rPr>
        <w:t xml:space="preserve">3. </w:t>
      </w:r>
      <w:r>
        <w:rPr>
          <w:rFonts w:hint="eastAsia" w:ascii="宋体" w:hAnsi="宋体" w:eastAsia="宋体" w:cs="宋体"/>
          <w:color w:val="auto"/>
          <w:sz w:val="24"/>
          <w:highlight w:val="none"/>
        </w:rPr>
        <w:t>5 (7)项和第</w:t>
      </w:r>
      <w:r>
        <w:rPr>
          <w:rFonts w:hint="eastAsia" w:ascii="宋体" w:hAnsi="宋体" w:eastAsia="宋体" w:cs="宋体"/>
          <w:color w:val="auto"/>
          <w:sz w:val="24"/>
          <w:highlight w:val="none"/>
          <w:lang w:val="en-US" w:eastAsia="zh-CN" w:bidi="en-US"/>
        </w:rPr>
        <w:t xml:space="preserve">3. </w:t>
      </w:r>
      <w:r>
        <w:rPr>
          <w:rFonts w:hint="eastAsia" w:ascii="宋体" w:hAnsi="宋体" w:eastAsia="宋体" w:cs="宋体"/>
          <w:color w:val="auto"/>
          <w:sz w:val="24"/>
          <w:highlight w:val="none"/>
        </w:rPr>
        <w:t>5 (8) 项的要求提供其他相关证明材料。</w:t>
      </w:r>
    </w:p>
    <w:p>
      <w:pPr>
        <w:pStyle w:val="6"/>
        <w:pageBreakBefore w:val="0"/>
        <w:kinsoku/>
        <w:overflowPunct/>
        <w:topLinePunct w:val="0"/>
        <w:bidi w:val="0"/>
        <w:snapToGrid/>
        <w:spacing w:line="360" w:lineRule="auto"/>
        <w:ind w:firstLine="2891" w:firstLineChars="1200"/>
        <w:rPr>
          <w:rFonts w:hint="eastAsia" w:ascii="宋体" w:hAnsi="宋体" w:eastAsia="宋体" w:cs="宋体"/>
          <w:color w:val="auto"/>
          <w:highlight w:val="none"/>
        </w:rPr>
      </w:pPr>
      <w:bookmarkStart w:id="392" w:name="bookmark608"/>
      <w:bookmarkEnd w:id="392"/>
      <w:bookmarkStart w:id="393" w:name="_Toc4699"/>
      <w:bookmarkStart w:id="394" w:name="_Toc8447"/>
      <w:r>
        <w:rPr>
          <w:rFonts w:hint="eastAsia" w:ascii="宋体" w:hAnsi="宋体" w:eastAsia="宋体" w:cs="宋体"/>
          <w:color w:val="auto"/>
          <w:highlight w:val="none"/>
        </w:rPr>
        <w:t>（二）近年财务状况</w:t>
      </w:r>
      <w:bookmarkEnd w:id="393"/>
      <w:bookmarkEnd w:id="394"/>
    </w:p>
    <w:p>
      <w:pPr>
        <w:pStyle w:val="35"/>
        <w:pageBreakBefore w:val="0"/>
        <w:kinsoku/>
        <w:overflowPunct/>
        <w:topLinePunct w:val="0"/>
        <w:bidi w:val="0"/>
        <w:snapToGrid/>
        <w:spacing w:after="440" w:line="360" w:lineRule="auto"/>
        <w:ind w:firstLine="480"/>
        <w:rPr>
          <w:rFonts w:hint="eastAsia" w:ascii="宋体" w:hAnsi="宋体" w:eastAsia="宋体" w:cs="宋体"/>
          <w:color w:val="auto"/>
          <w:highlight w:val="none"/>
        </w:rPr>
      </w:pPr>
      <w:r>
        <w:rPr>
          <w:rFonts w:hint="eastAsia" w:ascii="宋体" w:hAnsi="宋体" w:eastAsia="宋体" w:cs="宋体"/>
          <w:color w:val="auto"/>
          <w:sz w:val="24"/>
          <w:highlight w:val="none"/>
          <w:lang w:eastAsia="zh-CN"/>
        </w:rPr>
        <w:t>询比响应人</w:t>
      </w:r>
      <w:r>
        <w:rPr>
          <w:rFonts w:hint="eastAsia" w:ascii="宋体" w:hAnsi="宋体" w:eastAsia="宋体" w:cs="宋体"/>
          <w:color w:val="auto"/>
          <w:sz w:val="24"/>
          <w:highlight w:val="none"/>
        </w:rPr>
        <w:t>应根据</w:t>
      </w:r>
      <w:r>
        <w:rPr>
          <w:rFonts w:hint="eastAsia" w:ascii="宋体" w:hAnsi="宋体" w:eastAsia="宋体" w:cs="宋体"/>
          <w:color w:val="auto"/>
          <w:sz w:val="24"/>
          <w:highlight w:val="none"/>
          <w:lang w:eastAsia="zh-CN"/>
        </w:rPr>
        <w:t>询比响应人</w:t>
      </w:r>
      <w:r>
        <w:rPr>
          <w:rFonts w:hint="eastAsia" w:ascii="宋体" w:hAnsi="宋体" w:eastAsia="宋体" w:cs="宋体"/>
          <w:color w:val="auto"/>
          <w:sz w:val="24"/>
          <w:highlight w:val="none"/>
        </w:rPr>
        <w:t>须知前附表第</w:t>
      </w:r>
      <w:r>
        <w:rPr>
          <w:rFonts w:hint="eastAsia" w:ascii="宋体" w:hAnsi="宋体" w:eastAsia="宋体" w:cs="宋体"/>
          <w:color w:val="auto"/>
          <w:sz w:val="24"/>
          <w:highlight w:val="none"/>
          <w:lang w:val="en-US" w:eastAsia="zh-CN" w:bidi="en-US"/>
        </w:rPr>
        <w:t xml:space="preserve">3. </w:t>
      </w:r>
      <w:r>
        <w:rPr>
          <w:rFonts w:hint="eastAsia" w:ascii="宋体" w:hAnsi="宋体" w:eastAsia="宋体" w:cs="宋体"/>
          <w:color w:val="auto"/>
          <w:sz w:val="24"/>
          <w:highlight w:val="none"/>
        </w:rPr>
        <w:t>5 (3)项的要求提供近年财务会计报表复印件。</w:t>
      </w:r>
    </w:p>
    <w:p>
      <w:pPr>
        <w:pStyle w:val="6"/>
        <w:pageBreakBefore w:val="0"/>
        <w:kinsoku/>
        <w:overflowPunct/>
        <w:topLinePunct w:val="0"/>
        <w:bidi w:val="0"/>
        <w:snapToGrid/>
        <w:spacing w:line="360" w:lineRule="auto"/>
        <w:ind w:firstLine="2409" w:firstLineChars="1000"/>
        <w:rPr>
          <w:rFonts w:hint="eastAsia" w:ascii="宋体" w:hAnsi="宋体" w:eastAsia="宋体" w:cs="宋体"/>
          <w:color w:val="auto"/>
          <w:highlight w:val="none"/>
        </w:rPr>
      </w:pPr>
      <w:bookmarkStart w:id="395" w:name="bookmark609"/>
      <w:bookmarkEnd w:id="395"/>
      <w:bookmarkStart w:id="396" w:name="_Toc2189"/>
      <w:bookmarkStart w:id="397" w:name="_Toc28266"/>
      <w:r>
        <w:rPr>
          <w:rFonts w:hint="eastAsia" w:ascii="宋体" w:hAnsi="宋体" w:eastAsia="宋体" w:cs="宋体"/>
          <w:color w:val="auto"/>
          <w:highlight w:val="none"/>
        </w:rPr>
        <w:t>（三）近年的类似项目情况表</w:t>
      </w:r>
      <w:bookmarkEnd w:id="396"/>
      <w:bookmarkEnd w:id="397"/>
    </w:p>
    <w:tbl>
      <w:tblPr>
        <w:tblStyle w:val="19"/>
        <w:tblW w:w="10297" w:type="dxa"/>
        <w:jc w:val="center"/>
        <w:tblLayout w:type="fixed"/>
        <w:tblCellMar>
          <w:top w:w="0" w:type="dxa"/>
          <w:left w:w="10" w:type="dxa"/>
          <w:bottom w:w="0" w:type="dxa"/>
          <w:right w:w="10" w:type="dxa"/>
        </w:tblCellMar>
      </w:tblPr>
      <w:tblGrid>
        <w:gridCol w:w="3342"/>
        <w:gridCol w:w="1738"/>
        <w:gridCol w:w="1738"/>
        <w:gridCol w:w="1738"/>
        <w:gridCol w:w="1741"/>
      </w:tblGrid>
      <w:tr>
        <w:tblPrEx>
          <w:tblCellMar>
            <w:top w:w="0" w:type="dxa"/>
            <w:left w:w="10" w:type="dxa"/>
            <w:bottom w:w="0" w:type="dxa"/>
            <w:right w:w="10" w:type="dxa"/>
          </w:tblCellMar>
        </w:tblPrEx>
        <w:trPr>
          <w:trHeight w:val="699" w:hRule="exact"/>
          <w:jc w:val="center"/>
        </w:trPr>
        <w:tc>
          <w:tcPr>
            <w:tcW w:w="3342" w:type="dxa"/>
            <w:tcBorders>
              <w:top w:val="single" w:color="auto" w:sz="4" w:space="0"/>
              <w:left w:val="single" w:color="auto" w:sz="4" w:space="0"/>
            </w:tcBorders>
            <w:shd w:val="clear" w:color="auto" w:fill="FFFFFF"/>
            <w:vAlign w:val="center"/>
          </w:tcPr>
          <w:p>
            <w:pPr>
              <w:pStyle w:val="31"/>
              <w:pageBreakBefore w:val="0"/>
              <w:kinsoku/>
              <w:overflowPunct/>
              <w:topLinePunct w:val="0"/>
              <w:bidi w:val="0"/>
              <w:snapToGrid/>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项目名称</w:t>
            </w:r>
          </w:p>
        </w:tc>
        <w:tc>
          <w:tcPr>
            <w:tcW w:w="1738" w:type="dxa"/>
            <w:tcBorders>
              <w:top w:val="single" w:color="auto" w:sz="4" w:space="0"/>
              <w:left w:val="single" w:color="auto" w:sz="4" w:space="0"/>
            </w:tcBorders>
            <w:shd w:val="clear" w:color="auto" w:fill="FFFFFF"/>
            <w:vAlign w:val="center"/>
          </w:tcPr>
          <w:p>
            <w:pPr>
              <w:pageBreakBefore w:val="0"/>
              <w:kinsoku/>
              <w:overflowPunct/>
              <w:topLinePunct w:val="0"/>
              <w:bidi w:val="0"/>
              <w:snapToGrid/>
              <w:spacing w:line="360" w:lineRule="auto"/>
              <w:jc w:val="center"/>
              <w:rPr>
                <w:rFonts w:hint="eastAsia" w:ascii="宋体" w:hAnsi="宋体" w:eastAsia="宋体" w:cs="宋体"/>
                <w:color w:val="auto"/>
                <w:sz w:val="24"/>
                <w:szCs w:val="24"/>
                <w:highlight w:val="none"/>
              </w:rPr>
            </w:pPr>
          </w:p>
        </w:tc>
        <w:tc>
          <w:tcPr>
            <w:tcW w:w="1738" w:type="dxa"/>
            <w:tcBorders>
              <w:top w:val="single" w:color="auto" w:sz="4" w:space="0"/>
              <w:left w:val="single" w:color="auto" w:sz="4" w:space="0"/>
            </w:tcBorders>
            <w:shd w:val="clear" w:color="auto" w:fill="FFFFFF"/>
            <w:vAlign w:val="center"/>
          </w:tcPr>
          <w:p>
            <w:pPr>
              <w:pageBreakBefore w:val="0"/>
              <w:kinsoku/>
              <w:overflowPunct/>
              <w:topLinePunct w:val="0"/>
              <w:bidi w:val="0"/>
              <w:snapToGrid/>
              <w:spacing w:line="360" w:lineRule="auto"/>
              <w:jc w:val="center"/>
              <w:rPr>
                <w:rFonts w:hint="eastAsia" w:ascii="宋体" w:hAnsi="宋体" w:eastAsia="宋体" w:cs="宋体"/>
                <w:color w:val="auto"/>
                <w:sz w:val="24"/>
                <w:szCs w:val="24"/>
                <w:highlight w:val="none"/>
              </w:rPr>
            </w:pPr>
          </w:p>
        </w:tc>
        <w:tc>
          <w:tcPr>
            <w:tcW w:w="1738" w:type="dxa"/>
            <w:tcBorders>
              <w:top w:val="single" w:color="auto" w:sz="4" w:space="0"/>
              <w:left w:val="single" w:color="auto" w:sz="4" w:space="0"/>
            </w:tcBorders>
            <w:shd w:val="clear" w:color="auto" w:fill="FFFFFF"/>
            <w:vAlign w:val="center"/>
          </w:tcPr>
          <w:p>
            <w:pPr>
              <w:pageBreakBefore w:val="0"/>
              <w:kinsoku/>
              <w:overflowPunct/>
              <w:topLinePunct w:val="0"/>
              <w:bidi w:val="0"/>
              <w:snapToGrid/>
              <w:spacing w:line="360" w:lineRule="auto"/>
              <w:jc w:val="center"/>
              <w:rPr>
                <w:rFonts w:hint="eastAsia" w:ascii="宋体" w:hAnsi="宋体" w:eastAsia="宋体" w:cs="宋体"/>
                <w:color w:val="auto"/>
                <w:sz w:val="24"/>
                <w:szCs w:val="24"/>
                <w:highlight w:val="none"/>
              </w:rPr>
            </w:pPr>
          </w:p>
        </w:tc>
        <w:tc>
          <w:tcPr>
            <w:tcW w:w="1741" w:type="dxa"/>
            <w:tcBorders>
              <w:top w:val="single" w:color="auto" w:sz="4" w:space="0"/>
              <w:left w:val="single" w:color="auto" w:sz="4" w:space="0"/>
              <w:right w:val="single" w:color="auto" w:sz="4" w:space="0"/>
            </w:tcBorders>
            <w:shd w:val="clear" w:color="auto" w:fill="FFFFFF"/>
            <w:vAlign w:val="center"/>
          </w:tcPr>
          <w:p>
            <w:pPr>
              <w:pageBreakBefore w:val="0"/>
              <w:kinsoku/>
              <w:overflowPunct/>
              <w:topLinePunct w:val="0"/>
              <w:bidi w:val="0"/>
              <w:snapToGrid/>
              <w:spacing w:line="360" w:lineRule="auto"/>
              <w:jc w:val="center"/>
              <w:rPr>
                <w:rFonts w:hint="eastAsia" w:ascii="宋体" w:hAnsi="宋体" w:eastAsia="宋体" w:cs="宋体"/>
                <w:color w:val="auto"/>
                <w:sz w:val="24"/>
                <w:szCs w:val="24"/>
                <w:highlight w:val="none"/>
              </w:rPr>
            </w:pPr>
          </w:p>
        </w:tc>
      </w:tr>
      <w:tr>
        <w:tblPrEx>
          <w:tblCellMar>
            <w:top w:w="0" w:type="dxa"/>
            <w:left w:w="10" w:type="dxa"/>
            <w:bottom w:w="0" w:type="dxa"/>
            <w:right w:w="10" w:type="dxa"/>
          </w:tblCellMar>
        </w:tblPrEx>
        <w:trPr>
          <w:trHeight w:val="689" w:hRule="exact"/>
          <w:jc w:val="center"/>
        </w:trPr>
        <w:tc>
          <w:tcPr>
            <w:tcW w:w="3342" w:type="dxa"/>
            <w:tcBorders>
              <w:top w:val="single" w:color="auto" w:sz="4" w:space="0"/>
              <w:left w:val="single" w:color="auto" w:sz="4" w:space="0"/>
            </w:tcBorders>
            <w:shd w:val="clear" w:color="auto" w:fill="FFFFFF"/>
            <w:vAlign w:val="center"/>
          </w:tcPr>
          <w:p>
            <w:pPr>
              <w:pStyle w:val="31"/>
              <w:pageBreakBefore w:val="0"/>
              <w:kinsoku/>
              <w:overflowPunct/>
              <w:topLinePunct w:val="0"/>
              <w:bidi w:val="0"/>
              <w:snapToGrid/>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发包人名称</w:t>
            </w:r>
          </w:p>
        </w:tc>
        <w:tc>
          <w:tcPr>
            <w:tcW w:w="1738" w:type="dxa"/>
            <w:tcBorders>
              <w:top w:val="single" w:color="auto" w:sz="4" w:space="0"/>
              <w:left w:val="single" w:color="auto" w:sz="4" w:space="0"/>
            </w:tcBorders>
            <w:shd w:val="clear" w:color="auto" w:fill="FFFFFF"/>
            <w:vAlign w:val="center"/>
          </w:tcPr>
          <w:p>
            <w:pPr>
              <w:pageBreakBefore w:val="0"/>
              <w:kinsoku/>
              <w:overflowPunct/>
              <w:topLinePunct w:val="0"/>
              <w:bidi w:val="0"/>
              <w:snapToGrid/>
              <w:spacing w:line="360" w:lineRule="auto"/>
              <w:jc w:val="center"/>
              <w:rPr>
                <w:rFonts w:hint="eastAsia" w:ascii="宋体" w:hAnsi="宋体" w:eastAsia="宋体" w:cs="宋体"/>
                <w:color w:val="auto"/>
                <w:sz w:val="24"/>
                <w:szCs w:val="24"/>
                <w:highlight w:val="none"/>
              </w:rPr>
            </w:pPr>
          </w:p>
        </w:tc>
        <w:tc>
          <w:tcPr>
            <w:tcW w:w="1738" w:type="dxa"/>
            <w:tcBorders>
              <w:top w:val="single" w:color="auto" w:sz="4" w:space="0"/>
              <w:left w:val="single" w:color="auto" w:sz="4" w:space="0"/>
            </w:tcBorders>
            <w:shd w:val="clear" w:color="auto" w:fill="FFFFFF"/>
            <w:vAlign w:val="center"/>
          </w:tcPr>
          <w:p>
            <w:pPr>
              <w:pageBreakBefore w:val="0"/>
              <w:kinsoku/>
              <w:overflowPunct/>
              <w:topLinePunct w:val="0"/>
              <w:bidi w:val="0"/>
              <w:snapToGrid/>
              <w:spacing w:line="360" w:lineRule="auto"/>
              <w:jc w:val="center"/>
              <w:rPr>
                <w:rFonts w:hint="eastAsia" w:ascii="宋体" w:hAnsi="宋体" w:eastAsia="宋体" w:cs="宋体"/>
                <w:color w:val="auto"/>
                <w:sz w:val="24"/>
                <w:szCs w:val="24"/>
                <w:highlight w:val="none"/>
              </w:rPr>
            </w:pPr>
          </w:p>
        </w:tc>
        <w:tc>
          <w:tcPr>
            <w:tcW w:w="1738" w:type="dxa"/>
            <w:tcBorders>
              <w:top w:val="single" w:color="auto" w:sz="4" w:space="0"/>
              <w:left w:val="single" w:color="auto" w:sz="4" w:space="0"/>
            </w:tcBorders>
            <w:shd w:val="clear" w:color="auto" w:fill="FFFFFF"/>
            <w:vAlign w:val="center"/>
          </w:tcPr>
          <w:p>
            <w:pPr>
              <w:pageBreakBefore w:val="0"/>
              <w:kinsoku/>
              <w:overflowPunct/>
              <w:topLinePunct w:val="0"/>
              <w:bidi w:val="0"/>
              <w:snapToGrid/>
              <w:spacing w:line="360" w:lineRule="auto"/>
              <w:jc w:val="center"/>
              <w:rPr>
                <w:rFonts w:hint="eastAsia" w:ascii="宋体" w:hAnsi="宋体" w:eastAsia="宋体" w:cs="宋体"/>
                <w:color w:val="auto"/>
                <w:sz w:val="24"/>
                <w:szCs w:val="24"/>
                <w:highlight w:val="none"/>
              </w:rPr>
            </w:pPr>
          </w:p>
        </w:tc>
        <w:tc>
          <w:tcPr>
            <w:tcW w:w="1741" w:type="dxa"/>
            <w:tcBorders>
              <w:top w:val="single" w:color="auto" w:sz="4" w:space="0"/>
              <w:left w:val="single" w:color="auto" w:sz="4" w:space="0"/>
              <w:right w:val="single" w:color="auto" w:sz="4" w:space="0"/>
            </w:tcBorders>
            <w:shd w:val="clear" w:color="auto" w:fill="FFFFFF"/>
            <w:vAlign w:val="center"/>
          </w:tcPr>
          <w:p>
            <w:pPr>
              <w:pageBreakBefore w:val="0"/>
              <w:kinsoku/>
              <w:overflowPunct/>
              <w:topLinePunct w:val="0"/>
              <w:bidi w:val="0"/>
              <w:snapToGrid/>
              <w:spacing w:line="360" w:lineRule="auto"/>
              <w:jc w:val="center"/>
              <w:rPr>
                <w:rFonts w:hint="eastAsia" w:ascii="宋体" w:hAnsi="宋体" w:eastAsia="宋体" w:cs="宋体"/>
                <w:color w:val="auto"/>
                <w:sz w:val="24"/>
                <w:szCs w:val="24"/>
                <w:highlight w:val="none"/>
              </w:rPr>
            </w:pPr>
          </w:p>
        </w:tc>
      </w:tr>
      <w:tr>
        <w:tblPrEx>
          <w:tblCellMar>
            <w:top w:w="0" w:type="dxa"/>
            <w:left w:w="10" w:type="dxa"/>
            <w:bottom w:w="0" w:type="dxa"/>
            <w:right w:w="10" w:type="dxa"/>
          </w:tblCellMar>
        </w:tblPrEx>
        <w:trPr>
          <w:trHeight w:val="685" w:hRule="exact"/>
          <w:jc w:val="center"/>
        </w:trPr>
        <w:tc>
          <w:tcPr>
            <w:tcW w:w="3342" w:type="dxa"/>
            <w:tcBorders>
              <w:top w:val="single" w:color="auto" w:sz="4" w:space="0"/>
              <w:left w:val="single" w:color="auto" w:sz="4" w:space="0"/>
            </w:tcBorders>
            <w:shd w:val="clear" w:color="auto" w:fill="FFFFFF"/>
            <w:vAlign w:val="center"/>
          </w:tcPr>
          <w:p>
            <w:pPr>
              <w:pStyle w:val="31"/>
              <w:pageBreakBefore w:val="0"/>
              <w:kinsoku/>
              <w:overflowPunct/>
              <w:topLinePunct w:val="0"/>
              <w:bidi w:val="0"/>
              <w:snapToGrid/>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发包人联系人及电话</w:t>
            </w:r>
          </w:p>
        </w:tc>
        <w:tc>
          <w:tcPr>
            <w:tcW w:w="1738" w:type="dxa"/>
            <w:tcBorders>
              <w:top w:val="single" w:color="auto" w:sz="4" w:space="0"/>
              <w:left w:val="single" w:color="auto" w:sz="4" w:space="0"/>
            </w:tcBorders>
            <w:shd w:val="clear" w:color="auto" w:fill="FFFFFF"/>
            <w:vAlign w:val="center"/>
          </w:tcPr>
          <w:p>
            <w:pPr>
              <w:pageBreakBefore w:val="0"/>
              <w:kinsoku/>
              <w:overflowPunct/>
              <w:topLinePunct w:val="0"/>
              <w:bidi w:val="0"/>
              <w:snapToGrid/>
              <w:spacing w:line="360" w:lineRule="auto"/>
              <w:jc w:val="center"/>
              <w:rPr>
                <w:rFonts w:hint="eastAsia" w:ascii="宋体" w:hAnsi="宋体" w:eastAsia="宋体" w:cs="宋体"/>
                <w:color w:val="auto"/>
                <w:sz w:val="24"/>
                <w:szCs w:val="24"/>
                <w:highlight w:val="none"/>
              </w:rPr>
            </w:pPr>
          </w:p>
        </w:tc>
        <w:tc>
          <w:tcPr>
            <w:tcW w:w="1738" w:type="dxa"/>
            <w:tcBorders>
              <w:top w:val="single" w:color="auto" w:sz="4" w:space="0"/>
              <w:left w:val="single" w:color="auto" w:sz="4" w:space="0"/>
            </w:tcBorders>
            <w:shd w:val="clear" w:color="auto" w:fill="FFFFFF"/>
            <w:vAlign w:val="center"/>
          </w:tcPr>
          <w:p>
            <w:pPr>
              <w:pageBreakBefore w:val="0"/>
              <w:kinsoku/>
              <w:overflowPunct/>
              <w:topLinePunct w:val="0"/>
              <w:bidi w:val="0"/>
              <w:snapToGrid/>
              <w:spacing w:line="360" w:lineRule="auto"/>
              <w:jc w:val="center"/>
              <w:rPr>
                <w:rFonts w:hint="eastAsia" w:ascii="宋体" w:hAnsi="宋体" w:eastAsia="宋体" w:cs="宋体"/>
                <w:color w:val="auto"/>
                <w:sz w:val="24"/>
                <w:szCs w:val="24"/>
                <w:highlight w:val="none"/>
              </w:rPr>
            </w:pPr>
          </w:p>
        </w:tc>
        <w:tc>
          <w:tcPr>
            <w:tcW w:w="1738" w:type="dxa"/>
            <w:tcBorders>
              <w:top w:val="single" w:color="auto" w:sz="4" w:space="0"/>
              <w:left w:val="single" w:color="auto" w:sz="4" w:space="0"/>
            </w:tcBorders>
            <w:shd w:val="clear" w:color="auto" w:fill="FFFFFF"/>
            <w:vAlign w:val="center"/>
          </w:tcPr>
          <w:p>
            <w:pPr>
              <w:pageBreakBefore w:val="0"/>
              <w:kinsoku/>
              <w:overflowPunct/>
              <w:topLinePunct w:val="0"/>
              <w:bidi w:val="0"/>
              <w:snapToGrid/>
              <w:spacing w:line="360" w:lineRule="auto"/>
              <w:jc w:val="center"/>
              <w:rPr>
                <w:rFonts w:hint="eastAsia" w:ascii="宋体" w:hAnsi="宋体" w:eastAsia="宋体" w:cs="宋体"/>
                <w:color w:val="auto"/>
                <w:sz w:val="24"/>
                <w:szCs w:val="24"/>
                <w:highlight w:val="none"/>
              </w:rPr>
            </w:pPr>
          </w:p>
        </w:tc>
        <w:tc>
          <w:tcPr>
            <w:tcW w:w="1741" w:type="dxa"/>
            <w:tcBorders>
              <w:top w:val="single" w:color="auto" w:sz="4" w:space="0"/>
              <w:left w:val="single" w:color="auto" w:sz="4" w:space="0"/>
              <w:right w:val="single" w:color="auto" w:sz="4" w:space="0"/>
            </w:tcBorders>
            <w:shd w:val="clear" w:color="auto" w:fill="FFFFFF"/>
            <w:vAlign w:val="center"/>
          </w:tcPr>
          <w:p>
            <w:pPr>
              <w:pageBreakBefore w:val="0"/>
              <w:kinsoku/>
              <w:overflowPunct/>
              <w:topLinePunct w:val="0"/>
              <w:bidi w:val="0"/>
              <w:snapToGrid/>
              <w:spacing w:line="360" w:lineRule="auto"/>
              <w:jc w:val="center"/>
              <w:rPr>
                <w:rFonts w:hint="eastAsia" w:ascii="宋体" w:hAnsi="宋体" w:eastAsia="宋体" w:cs="宋体"/>
                <w:color w:val="auto"/>
                <w:sz w:val="24"/>
                <w:szCs w:val="24"/>
                <w:highlight w:val="none"/>
              </w:rPr>
            </w:pPr>
          </w:p>
        </w:tc>
      </w:tr>
      <w:tr>
        <w:tblPrEx>
          <w:tblCellMar>
            <w:top w:w="0" w:type="dxa"/>
            <w:left w:w="10" w:type="dxa"/>
            <w:bottom w:w="0" w:type="dxa"/>
            <w:right w:w="10" w:type="dxa"/>
          </w:tblCellMar>
        </w:tblPrEx>
        <w:trPr>
          <w:trHeight w:val="689" w:hRule="exact"/>
          <w:jc w:val="center"/>
        </w:trPr>
        <w:tc>
          <w:tcPr>
            <w:tcW w:w="3342" w:type="dxa"/>
            <w:tcBorders>
              <w:top w:val="single" w:color="auto" w:sz="4" w:space="0"/>
              <w:left w:val="single" w:color="auto" w:sz="4" w:space="0"/>
            </w:tcBorders>
            <w:shd w:val="clear" w:color="auto" w:fill="FFFFFF"/>
            <w:vAlign w:val="center"/>
          </w:tcPr>
          <w:p>
            <w:pPr>
              <w:pStyle w:val="31"/>
              <w:pageBreakBefore w:val="0"/>
              <w:kinsoku/>
              <w:overflowPunct/>
              <w:topLinePunct w:val="0"/>
              <w:bidi w:val="0"/>
              <w:snapToGrid/>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合同价格</w:t>
            </w:r>
          </w:p>
        </w:tc>
        <w:tc>
          <w:tcPr>
            <w:tcW w:w="1738" w:type="dxa"/>
            <w:tcBorders>
              <w:top w:val="single" w:color="auto" w:sz="4" w:space="0"/>
              <w:left w:val="single" w:color="auto" w:sz="4" w:space="0"/>
            </w:tcBorders>
            <w:shd w:val="clear" w:color="auto" w:fill="FFFFFF"/>
            <w:vAlign w:val="center"/>
          </w:tcPr>
          <w:p>
            <w:pPr>
              <w:pageBreakBefore w:val="0"/>
              <w:kinsoku/>
              <w:overflowPunct/>
              <w:topLinePunct w:val="0"/>
              <w:bidi w:val="0"/>
              <w:snapToGrid/>
              <w:spacing w:line="360" w:lineRule="auto"/>
              <w:jc w:val="center"/>
              <w:rPr>
                <w:rFonts w:hint="eastAsia" w:ascii="宋体" w:hAnsi="宋体" w:eastAsia="宋体" w:cs="宋体"/>
                <w:color w:val="auto"/>
                <w:sz w:val="24"/>
                <w:szCs w:val="24"/>
                <w:highlight w:val="none"/>
              </w:rPr>
            </w:pPr>
          </w:p>
        </w:tc>
        <w:tc>
          <w:tcPr>
            <w:tcW w:w="1738" w:type="dxa"/>
            <w:tcBorders>
              <w:top w:val="single" w:color="auto" w:sz="4" w:space="0"/>
              <w:left w:val="single" w:color="auto" w:sz="4" w:space="0"/>
            </w:tcBorders>
            <w:shd w:val="clear" w:color="auto" w:fill="FFFFFF"/>
            <w:vAlign w:val="center"/>
          </w:tcPr>
          <w:p>
            <w:pPr>
              <w:pageBreakBefore w:val="0"/>
              <w:kinsoku/>
              <w:overflowPunct/>
              <w:topLinePunct w:val="0"/>
              <w:bidi w:val="0"/>
              <w:snapToGrid/>
              <w:spacing w:line="360" w:lineRule="auto"/>
              <w:jc w:val="center"/>
              <w:rPr>
                <w:rFonts w:hint="eastAsia" w:ascii="宋体" w:hAnsi="宋体" w:eastAsia="宋体" w:cs="宋体"/>
                <w:color w:val="auto"/>
                <w:sz w:val="24"/>
                <w:szCs w:val="24"/>
                <w:highlight w:val="none"/>
              </w:rPr>
            </w:pPr>
          </w:p>
        </w:tc>
        <w:tc>
          <w:tcPr>
            <w:tcW w:w="1738" w:type="dxa"/>
            <w:tcBorders>
              <w:top w:val="single" w:color="auto" w:sz="4" w:space="0"/>
              <w:left w:val="single" w:color="auto" w:sz="4" w:space="0"/>
            </w:tcBorders>
            <w:shd w:val="clear" w:color="auto" w:fill="FFFFFF"/>
            <w:vAlign w:val="center"/>
          </w:tcPr>
          <w:p>
            <w:pPr>
              <w:pageBreakBefore w:val="0"/>
              <w:kinsoku/>
              <w:overflowPunct/>
              <w:topLinePunct w:val="0"/>
              <w:bidi w:val="0"/>
              <w:snapToGrid/>
              <w:spacing w:line="360" w:lineRule="auto"/>
              <w:jc w:val="center"/>
              <w:rPr>
                <w:rFonts w:hint="eastAsia" w:ascii="宋体" w:hAnsi="宋体" w:eastAsia="宋体" w:cs="宋体"/>
                <w:color w:val="auto"/>
                <w:sz w:val="24"/>
                <w:szCs w:val="24"/>
                <w:highlight w:val="none"/>
              </w:rPr>
            </w:pPr>
          </w:p>
        </w:tc>
        <w:tc>
          <w:tcPr>
            <w:tcW w:w="1741" w:type="dxa"/>
            <w:tcBorders>
              <w:top w:val="single" w:color="auto" w:sz="4" w:space="0"/>
              <w:left w:val="single" w:color="auto" w:sz="4" w:space="0"/>
              <w:right w:val="single" w:color="auto" w:sz="4" w:space="0"/>
            </w:tcBorders>
            <w:shd w:val="clear" w:color="auto" w:fill="FFFFFF"/>
            <w:vAlign w:val="center"/>
          </w:tcPr>
          <w:p>
            <w:pPr>
              <w:pageBreakBefore w:val="0"/>
              <w:kinsoku/>
              <w:overflowPunct/>
              <w:topLinePunct w:val="0"/>
              <w:bidi w:val="0"/>
              <w:snapToGrid/>
              <w:spacing w:line="360" w:lineRule="auto"/>
              <w:jc w:val="center"/>
              <w:rPr>
                <w:rFonts w:hint="eastAsia" w:ascii="宋体" w:hAnsi="宋体" w:eastAsia="宋体" w:cs="宋体"/>
                <w:color w:val="auto"/>
                <w:sz w:val="24"/>
                <w:szCs w:val="24"/>
                <w:highlight w:val="none"/>
              </w:rPr>
            </w:pPr>
          </w:p>
        </w:tc>
      </w:tr>
      <w:tr>
        <w:tblPrEx>
          <w:tblCellMar>
            <w:top w:w="0" w:type="dxa"/>
            <w:left w:w="10" w:type="dxa"/>
            <w:bottom w:w="0" w:type="dxa"/>
            <w:right w:w="10" w:type="dxa"/>
          </w:tblCellMar>
        </w:tblPrEx>
        <w:trPr>
          <w:trHeight w:val="685" w:hRule="exact"/>
          <w:jc w:val="center"/>
        </w:trPr>
        <w:tc>
          <w:tcPr>
            <w:tcW w:w="3342" w:type="dxa"/>
            <w:tcBorders>
              <w:top w:val="single" w:color="auto" w:sz="4" w:space="0"/>
              <w:left w:val="single" w:color="auto" w:sz="4" w:space="0"/>
            </w:tcBorders>
            <w:shd w:val="clear" w:color="auto" w:fill="FFFFFF"/>
            <w:vAlign w:val="center"/>
          </w:tcPr>
          <w:p>
            <w:pPr>
              <w:pStyle w:val="31"/>
              <w:pageBreakBefore w:val="0"/>
              <w:kinsoku/>
              <w:overflowPunct/>
              <w:topLinePunct w:val="0"/>
              <w:bidi w:val="0"/>
              <w:snapToGrid/>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是否竣工</w:t>
            </w:r>
          </w:p>
        </w:tc>
        <w:tc>
          <w:tcPr>
            <w:tcW w:w="1738" w:type="dxa"/>
            <w:tcBorders>
              <w:top w:val="single" w:color="auto" w:sz="4" w:space="0"/>
              <w:left w:val="single" w:color="auto" w:sz="4" w:space="0"/>
            </w:tcBorders>
            <w:shd w:val="clear" w:color="auto" w:fill="FFFFFF"/>
            <w:vAlign w:val="center"/>
          </w:tcPr>
          <w:p>
            <w:pPr>
              <w:pageBreakBefore w:val="0"/>
              <w:kinsoku/>
              <w:overflowPunct/>
              <w:topLinePunct w:val="0"/>
              <w:bidi w:val="0"/>
              <w:snapToGrid/>
              <w:spacing w:line="360" w:lineRule="auto"/>
              <w:jc w:val="center"/>
              <w:rPr>
                <w:rFonts w:hint="eastAsia" w:ascii="宋体" w:hAnsi="宋体" w:eastAsia="宋体" w:cs="宋体"/>
                <w:color w:val="auto"/>
                <w:sz w:val="24"/>
                <w:szCs w:val="24"/>
                <w:highlight w:val="none"/>
              </w:rPr>
            </w:pPr>
          </w:p>
        </w:tc>
        <w:tc>
          <w:tcPr>
            <w:tcW w:w="1738" w:type="dxa"/>
            <w:tcBorders>
              <w:top w:val="single" w:color="auto" w:sz="4" w:space="0"/>
              <w:left w:val="single" w:color="auto" w:sz="4" w:space="0"/>
            </w:tcBorders>
            <w:shd w:val="clear" w:color="auto" w:fill="FFFFFF"/>
            <w:vAlign w:val="center"/>
          </w:tcPr>
          <w:p>
            <w:pPr>
              <w:pageBreakBefore w:val="0"/>
              <w:kinsoku/>
              <w:overflowPunct/>
              <w:topLinePunct w:val="0"/>
              <w:bidi w:val="0"/>
              <w:snapToGrid/>
              <w:spacing w:line="360" w:lineRule="auto"/>
              <w:jc w:val="center"/>
              <w:rPr>
                <w:rFonts w:hint="eastAsia" w:ascii="宋体" w:hAnsi="宋体" w:eastAsia="宋体" w:cs="宋体"/>
                <w:color w:val="auto"/>
                <w:sz w:val="24"/>
                <w:szCs w:val="24"/>
                <w:highlight w:val="none"/>
              </w:rPr>
            </w:pPr>
          </w:p>
        </w:tc>
        <w:tc>
          <w:tcPr>
            <w:tcW w:w="1738" w:type="dxa"/>
            <w:tcBorders>
              <w:top w:val="single" w:color="auto" w:sz="4" w:space="0"/>
              <w:left w:val="single" w:color="auto" w:sz="4" w:space="0"/>
            </w:tcBorders>
            <w:shd w:val="clear" w:color="auto" w:fill="FFFFFF"/>
            <w:vAlign w:val="center"/>
          </w:tcPr>
          <w:p>
            <w:pPr>
              <w:pageBreakBefore w:val="0"/>
              <w:kinsoku/>
              <w:overflowPunct/>
              <w:topLinePunct w:val="0"/>
              <w:bidi w:val="0"/>
              <w:snapToGrid/>
              <w:spacing w:line="360" w:lineRule="auto"/>
              <w:jc w:val="center"/>
              <w:rPr>
                <w:rFonts w:hint="eastAsia" w:ascii="宋体" w:hAnsi="宋体" w:eastAsia="宋体" w:cs="宋体"/>
                <w:color w:val="auto"/>
                <w:sz w:val="24"/>
                <w:szCs w:val="24"/>
                <w:highlight w:val="none"/>
              </w:rPr>
            </w:pPr>
          </w:p>
        </w:tc>
        <w:tc>
          <w:tcPr>
            <w:tcW w:w="1741" w:type="dxa"/>
            <w:tcBorders>
              <w:top w:val="single" w:color="auto" w:sz="4" w:space="0"/>
              <w:left w:val="single" w:color="auto" w:sz="4" w:space="0"/>
              <w:right w:val="single" w:color="auto" w:sz="4" w:space="0"/>
            </w:tcBorders>
            <w:shd w:val="clear" w:color="auto" w:fill="FFFFFF"/>
            <w:vAlign w:val="center"/>
          </w:tcPr>
          <w:p>
            <w:pPr>
              <w:pageBreakBefore w:val="0"/>
              <w:kinsoku/>
              <w:overflowPunct/>
              <w:topLinePunct w:val="0"/>
              <w:bidi w:val="0"/>
              <w:snapToGrid/>
              <w:spacing w:line="360" w:lineRule="auto"/>
              <w:jc w:val="center"/>
              <w:rPr>
                <w:rFonts w:hint="eastAsia" w:ascii="宋体" w:hAnsi="宋体" w:eastAsia="宋体" w:cs="宋体"/>
                <w:color w:val="auto"/>
                <w:sz w:val="24"/>
                <w:szCs w:val="24"/>
                <w:highlight w:val="none"/>
              </w:rPr>
            </w:pPr>
          </w:p>
        </w:tc>
      </w:tr>
      <w:tr>
        <w:tblPrEx>
          <w:tblCellMar>
            <w:top w:w="0" w:type="dxa"/>
            <w:left w:w="10" w:type="dxa"/>
            <w:bottom w:w="0" w:type="dxa"/>
            <w:right w:w="10" w:type="dxa"/>
          </w:tblCellMar>
        </w:tblPrEx>
        <w:trPr>
          <w:trHeight w:val="689" w:hRule="exact"/>
          <w:jc w:val="center"/>
        </w:trPr>
        <w:tc>
          <w:tcPr>
            <w:tcW w:w="3342" w:type="dxa"/>
            <w:tcBorders>
              <w:top w:val="single" w:color="auto" w:sz="4" w:space="0"/>
              <w:left w:val="single" w:color="auto" w:sz="4" w:space="0"/>
            </w:tcBorders>
            <w:shd w:val="clear" w:color="auto" w:fill="FFFFFF"/>
            <w:vAlign w:val="center"/>
          </w:tcPr>
          <w:p>
            <w:pPr>
              <w:pStyle w:val="31"/>
              <w:pageBreakBefore w:val="0"/>
              <w:kinsoku/>
              <w:overflowPunct/>
              <w:topLinePunct w:val="0"/>
              <w:bidi w:val="0"/>
              <w:snapToGrid/>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项目负责人(如有)</w:t>
            </w:r>
          </w:p>
        </w:tc>
        <w:tc>
          <w:tcPr>
            <w:tcW w:w="1738" w:type="dxa"/>
            <w:tcBorders>
              <w:top w:val="single" w:color="auto" w:sz="4" w:space="0"/>
              <w:left w:val="single" w:color="auto" w:sz="4" w:space="0"/>
            </w:tcBorders>
            <w:shd w:val="clear" w:color="auto" w:fill="FFFFFF"/>
            <w:vAlign w:val="center"/>
          </w:tcPr>
          <w:p>
            <w:pPr>
              <w:pageBreakBefore w:val="0"/>
              <w:kinsoku/>
              <w:overflowPunct/>
              <w:topLinePunct w:val="0"/>
              <w:bidi w:val="0"/>
              <w:snapToGrid/>
              <w:spacing w:line="360" w:lineRule="auto"/>
              <w:jc w:val="center"/>
              <w:rPr>
                <w:rFonts w:hint="eastAsia" w:ascii="宋体" w:hAnsi="宋体" w:eastAsia="宋体" w:cs="宋体"/>
                <w:color w:val="auto"/>
                <w:sz w:val="24"/>
                <w:szCs w:val="24"/>
                <w:highlight w:val="none"/>
              </w:rPr>
            </w:pPr>
          </w:p>
        </w:tc>
        <w:tc>
          <w:tcPr>
            <w:tcW w:w="1738" w:type="dxa"/>
            <w:tcBorders>
              <w:top w:val="single" w:color="auto" w:sz="4" w:space="0"/>
              <w:left w:val="single" w:color="auto" w:sz="4" w:space="0"/>
            </w:tcBorders>
            <w:shd w:val="clear" w:color="auto" w:fill="FFFFFF"/>
            <w:vAlign w:val="center"/>
          </w:tcPr>
          <w:p>
            <w:pPr>
              <w:pageBreakBefore w:val="0"/>
              <w:kinsoku/>
              <w:overflowPunct/>
              <w:topLinePunct w:val="0"/>
              <w:bidi w:val="0"/>
              <w:snapToGrid/>
              <w:spacing w:line="360" w:lineRule="auto"/>
              <w:jc w:val="center"/>
              <w:rPr>
                <w:rFonts w:hint="eastAsia" w:ascii="宋体" w:hAnsi="宋体" w:eastAsia="宋体" w:cs="宋体"/>
                <w:color w:val="auto"/>
                <w:sz w:val="24"/>
                <w:szCs w:val="24"/>
                <w:highlight w:val="none"/>
              </w:rPr>
            </w:pPr>
          </w:p>
        </w:tc>
        <w:tc>
          <w:tcPr>
            <w:tcW w:w="1738" w:type="dxa"/>
            <w:tcBorders>
              <w:top w:val="single" w:color="auto" w:sz="4" w:space="0"/>
              <w:left w:val="single" w:color="auto" w:sz="4" w:space="0"/>
            </w:tcBorders>
            <w:shd w:val="clear" w:color="auto" w:fill="FFFFFF"/>
            <w:vAlign w:val="center"/>
          </w:tcPr>
          <w:p>
            <w:pPr>
              <w:pageBreakBefore w:val="0"/>
              <w:kinsoku/>
              <w:overflowPunct/>
              <w:topLinePunct w:val="0"/>
              <w:bidi w:val="0"/>
              <w:snapToGrid/>
              <w:spacing w:line="360" w:lineRule="auto"/>
              <w:jc w:val="center"/>
              <w:rPr>
                <w:rFonts w:hint="eastAsia" w:ascii="宋体" w:hAnsi="宋体" w:eastAsia="宋体" w:cs="宋体"/>
                <w:color w:val="auto"/>
                <w:sz w:val="24"/>
                <w:szCs w:val="24"/>
                <w:highlight w:val="none"/>
              </w:rPr>
            </w:pPr>
          </w:p>
        </w:tc>
        <w:tc>
          <w:tcPr>
            <w:tcW w:w="1741" w:type="dxa"/>
            <w:tcBorders>
              <w:top w:val="single" w:color="auto" w:sz="4" w:space="0"/>
              <w:left w:val="single" w:color="auto" w:sz="4" w:space="0"/>
              <w:right w:val="single" w:color="auto" w:sz="4" w:space="0"/>
            </w:tcBorders>
            <w:shd w:val="clear" w:color="auto" w:fill="FFFFFF"/>
            <w:vAlign w:val="center"/>
          </w:tcPr>
          <w:p>
            <w:pPr>
              <w:pageBreakBefore w:val="0"/>
              <w:kinsoku/>
              <w:overflowPunct/>
              <w:topLinePunct w:val="0"/>
              <w:bidi w:val="0"/>
              <w:snapToGrid/>
              <w:spacing w:line="360" w:lineRule="auto"/>
              <w:jc w:val="center"/>
              <w:rPr>
                <w:rFonts w:hint="eastAsia" w:ascii="宋体" w:hAnsi="宋体" w:eastAsia="宋体" w:cs="宋体"/>
                <w:color w:val="auto"/>
                <w:sz w:val="24"/>
                <w:szCs w:val="24"/>
                <w:highlight w:val="none"/>
              </w:rPr>
            </w:pPr>
          </w:p>
        </w:tc>
      </w:tr>
      <w:tr>
        <w:tblPrEx>
          <w:tblCellMar>
            <w:top w:w="0" w:type="dxa"/>
            <w:left w:w="10" w:type="dxa"/>
            <w:bottom w:w="0" w:type="dxa"/>
            <w:right w:w="10" w:type="dxa"/>
          </w:tblCellMar>
        </w:tblPrEx>
        <w:trPr>
          <w:trHeight w:val="685" w:hRule="exact"/>
          <w:jc w:val="center"/>
        </w:trPr>
        <w:tc>
          <w:tcPr>
            <w:tcW w:w="3342" w:type="dxa"/>
            <w:tcBorders>
              <w:top w:val="single" w:color="auto" w:sz="4" w:space="0"/>
              <w:left w:val="single" w:color="auto" w:sz="4" w:space="0"/>
            </w:tcBorders>
            <w:shd w:val="clear" w:color="auto" w:fill="FFFFFF"/>
            <w:vAlign w:val="center"/>
          </w:tcPr>
          <w:p>
            <w:pPr>
              <w:pStyle w:val="31"/>
              <w:pageBreakBefore w:val="0"/>
              <w:kinsoku/>
              <w:overflowPunct/>
              <w:topLinePunct w:val="0"/>
              <w:bidi w:val="0"/>
              <w:snapToGrid/>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项目概况及</w:t>
            </w:r>
            <w:r>
              <w:rPr>
                <w:rFonts w:hint="eastAsia" w:ascii="宋体" w:hAnsi="宋体" w:eastAsia="宋体" w:cs="宋体"/>
                <w:color w:val="auto"/>
                <w:sz w:val="24"/>
                <w:szCs w:val="24"/>
                <w:highlight w:val="none"/>
                <w:lang w:eastAsia="zh-CN"/>
              </w:rPr>
              <w:t>询比响应人</w:t>
            </w:r>
            <w:r>
              <w:rPr>
                <w:rFonts w:hint="eastAsia" w:ascii="宋体" w:hAnsi="宋体" w:eastAsia="宋体" w:cs="宋体"/>
                <w:color w:val="auto"/>
                <w:sz w:val="24"/>
                <w:szCs w:val="24"/>
                <w:highlight w:val="none"/>
              </w:rPr>
              <w:t>履约情况</w:t>
            </w:r>
          </w:p>
        </w:tc>
        <w:tc>
          <w:tcPr>
            <w:tcW w:w="1738" w:type="dxa"/>
            <w:tcBorders>
              <w:top w:val="single" w:color="auto" w:sz="4" w:space="0"/>
              <w:left w:val="single" w:color="auto" w:sz="4" w:space="0"/>
            </w:tcBorders>
            <w:shd w:val="clear" w:color="auto" w:fill="FFFFFF"/>
            <w:vAlign w:val="center"/>
          </w:tcPr>
          <w:p>
            <w:pPr>
              <w:pageBreakBefore w:val="0"/>
              <w:kinsoku/>
              <w:overflowPunct/>
              <w:topLinePunct w:val="0"/>
              <w:bidi w:val="0"/>
              <w:snapToGrid/>
              <w:spacing w:line="360" w:lineRule="auto"/>
              <w:jc w:val="center"/>
              <w:rPr>
                <w:rFonts w:hint="eastAsia" w:ascii="宋体" w:hAnsi="宋体" w:eastAsia="宋体" w:cs="宋体"/>
                <w:color w:val="auto"/>
                <w:sz w:val="24"/>
                <w:szCs w:val="24"/>
                <w:highlight w:val="none"/>
              </w:rPr>
            </w:pPr>
          </w:p>
        </w:tc>
        <w:tc>
          <w:tcPr>
            <w:tcW w:w="1738" w:type="dxa"/>
            <w:tcBorders>
              <w:top w:val="single" w:color="auto" w:sz="4" w:space="0"/>
              <w:left w:val="single" w:color="auto" w:sz="4" w:space="0"/>
            </w:tcBorders>
            <w:shd w:val="clear" w:color="auto" w:fill="FFFFFF"/>
            <w:vAlign w:val="center"/>
          </w:tcPr>
          <w:p>
            <w:pPr>
              <w:pageBreakBefore w:val="0"/>
              <w:kinsoku/>
              <w:overflowPunct/>
              <w:topLinePunct w:val="0"/>
              <w:bidi w:val="0"/>
              <w:snapToGrid/>
              <w:spacing w:line="360" w:lineRule="auto"/>
              <w:jc w:val="center"/>
              <w:rPr>
                <w:rFonts w:hint="eastAsia" w:ascii="宋体" w:hAnsi="宋体" w:eastAsia="宋体" w:cs="宋体"/>
                <w:color w:val="auto"/>
                <w:sz w:val="24"/>
                <w:szCs w:val="24"/>
                <w:highlight w:val="none"/>
              </w:rPr>
            </w:pPr>
          </w:p>
        </w:tc>
        <w:tc>
          <w:tcPr>
            <w:tcW w:w="1738" w:type="dxa"/>
            <w:tcBorders>
              <w:top w:val="single" w:color="auto" w:sz="4" w:space="0"/>
              <w:left w:val="single" w:color="auto" w:sz="4" w:space="0"/>
            </w:tcBorders>
            <w:shd w:val="clear" w:color="auto" w:fill="FFFFFF"/>
            <w:vAlign w:val="center"/>
          </w:tcPr>
          <w:p>
            <w:pPr>
              <w:pageBreakBefore w:val="0"/>
              <w:kinsoku/>
              <w:overflowPunct/>
              <w:topLinePunct w:val="0"/>
              <w:bidi w:val="0"/>
              <w:snapToGrid/>
              <w:spacing w:line="360" w:lineRule="auto"/>
              <w:jc w:val="center"/>
              <w:rPr>
                <w:rFonts w:hint="eastAsia" w:ascii="宋体" w:hAnsi="宋体" w:eastAsia="宋体" w:cs="宋体"/>
                <w:color w:val="auto"/>
                <w:sz w:val="24"/>
                <w:szCs w:val="24"/>
                <w:highlight w:val="none"/>
              </w:rPr>
            </w:pPr>
          </w:p>
        </w:tc>
        <w:tc>
          <w:tcPr>
            <w:tcW w:w="1741" w:type="dxa"/>
            <w:tcBorders>
              <w:top w:val="single" w:color="auto" w:sz="4" w:space="0"/>
              <w:left w:val="single" w:color="auto" w:sz="4" w:space="0"/>
              <w:right w:val="single" w:color="auto" w:sz="4" w:space="0"/>
            </w:tcBorders>
            <w:shd w:val="clear" w:color="auto" w:fill="FFFFFF"/>
            <w:vAlign w:val="center"/>
          </w:tcPr>
          <w:p>
            <w:pPr>
              <w:pageBreakBefore w:val="0"/>
              <w:kinsoku/>
              <w:overflowPunct/>
              <w:topLinePunct w:val="0"/>
              <w:bidi w:val="0"/>
              <w:snapToGrid/>
              <w:spacing w:line="360" w:lineRule="auto"/>
              <w:jc w:val="center"/>
              <w:rPr>
                <w:rFonts w:hint="eastAsia" w:ascii="宋体" w:hAnsi="宋体" w:eastAsia="宋体" w:cs="宋体"/>
                <w:color w:val="auto"/>
                <w:sz w:val="24"/>
                <w:szCs w:val="24"/>
                <w:highlight w:val="none"/>
              </w:rPr>
            </w:pPr>
          </w:p>
        </w:tc>
      </w:tr>
      <w:tr>
        <w:tblPrEx>
          <w:tblCellMar>
            <w:top w:w="0" w:type="dxa"/>
            <w:left w:w="10" w:type="dxa"/>
            <w:bottom w:w="0" w:type="dxa"/>
            <w:right w:w="10" w:type="dxa"/>
          </w:tblCellMar>
        </w:tblPrEx>
        <w:trPr>
          <w:trHeight w:val="734" w:hRule="exact"/>
          <w:jc w:val="center"/>
        </w:trPr>
        <w:tc>
          <w:tcPr>
            <w:tcW w:w="3342" w:type="dxa"/>
            <w:tcBorders>
              <w:top w:val="single" w:color="auto" w:sz="4" w:space="0"/>
              <w:left w:val="single" w:color="auto" w:sz="4" w:space="0"/>
              <w:bottom w:val="single" w:color="auto" w:sz="4" w:space="0"/>
            </w:tcBorders>
            <w:shd w:val="clear" w:color="auto" w:fill="FFFFFF"/>
            <w:vAlign w:val="center"/>
          </w:tcPr>
          <w:p>
            <w:pPr>
              <w:pStyle w:val="31"/>
              <w:pageBreakBefore w:val="0"/>
              <w:kinsoku/>
              <w:overflowPunct/>
              <w:topLinePunct w:val="0"/>
              <w:bidi w:val="0"/>
              <w:snapToGrid/>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备注</w:t>
            </w:r>
          </w:p>
        </w:tc>
        <w:tc>
          <w:tcPr>
            <w:tcW w:w="1738" w:type="dxa"/>
            <w:tcBorders>
              <w:top w:val="single" w:color="auto" w:sz="4" w:space="0"/>
              <w:left w:val="single" w:color="auto" w:sz="4" w:space="0"/>
              <w:bottom w:val="single" w:color="auto" w:sz="4" w:space="0"/>
            </w:tcBorders>
            <w:shd w:val="clear" w:color="auto" w:fill="FFFFFF"/>
            <w:vAlign w:val="center"/>
          </w:tcPr>
          <w:p>
            <w:pPr>
              <w:pageBreakBefore w:val="0"/>
              <w:kinsoku/>
              <w:overflowPunct/>
              <w:topLinePunct w:val="0"/>
              <w:bidi w:val="0"/>
              <w:snapToGrid/>
              <w:spacing w:line="360" w:lineRule="auto"/>
              <w:jc w:val="center"/>
              <w:rPr>
                <w:rFonts w:hint="eastAsia" w:ascii="宋体" w:hAnsi="宋体" w:eastAsia="宋体" w:cs="宋体"/>
                <w:color w:val="auto"/>
                <w:sz w:val="24"/>
                <w:szCs w:val="24"/>
                <w:highlight w:val="none"/>
              </w:rPr>
            </w:pPr>
          </w:p>
        </w:tc>
        <w:tc>
          <w:tcPr>
            <w:tcW w:w="1738" w:type="dxa"/>
            <w:tcBorders>
              <w:top w:val="single" w:color="auto" w:sz="4" w:space="0"/>
              <w:left w:val="single" w:color="auto" w:sz="4" w:space="0"/>
              <w:bottom w:val="single" w:color="auto" w:sz="4" w:space="0"/>
            </w:tcBorders>
            <w:shd w:val="clear" w:color="auto" w:fill="FFFFFF"/>
            <w:vAlign w:val="center"/>
          </w:tcPr>
          <w:p>
            <w:pPr>
              <w:pageBreakBefore w:val="0"/>
              <w:kinsoku/>
              <w:overflowPunct/>
              <w:topLinePunct w:val="0"/>
              <w:bidi w:val="0"/>
              <w:snapToGrid/>
              <w:spacing w:line="360" w:lineRule="auto"/>
              <w:jc w:val="center"/>
              <w:rPr>
                <w:rFonts w:hint="eastAsia" w:ascii="宋体" w:hAnsi="宋体" w:eastAsia="宋体" w:cs="宋体"/>
                <w:color w:val="auto"/>
                <w:sz w:val="24"/>
                <w:szCs w:val="24"/>
                <w:highlight w:val="none"/>
              </w:rPr>
            </w:pPr>
          </w:p>
        </w:tc>
        <w:tc>
          <w:tcPr>
            <w:tcW w:w="1738" w:type="dxa"/>
            <w:tcBorders>
              <w:top w:val="single" w:color="auto" w:sz="4" w:space="0"/>
              <w:left w:val="single" w:color="auto" w:sz="4" w:space="0"/>
              <w:bottom w:val="single" w:color="auto" w:sz="4" w:space="0"/>
            </w:tcBorders>
            <w:shd w:val="clear" w:color="auto" w:fill="FFFFFF"/>
            <w:vAlign w:val="center"/>
          </w:tcPr>
          <w:p>
            <w:pPr>
              <w:pageBreakBefore w:val="0"/>
              <w:kinsoku/>
              <w:overflowPunct/>
              <w:topLinePunct w:val="0"/>
              <w:bidi w:val="0"/>
              <w:snapToGrid/>
              <w:spacing w:line="360" w:lineRule="auto"/>
              <w:jc w:val="center"/>
              <w:rPr>
                <w:rFonts w:hint="eastAsia" w:ascii="宋体" w:hAnsi="宋体" w:eastAsia="宋体" w:cs="宋体"/>
                <w:color w:val="auto"/>
                <w:sz w:val="24"/>
                <w:szCs w:val="24"/>
                <w:highlight w:val="none"/>
              </w:rPr>
            </w:pPr>
          </w:p>
        </w:tc>
        <w:tc>
          <w:tcPr>
            <w:tcW w:w="1741" w:type="dxa"/>
            <w:tcBorders>
              <w:top w:val="single" w:color="auto" w:sz="4" w:space="0"/>
              <w:left w:val="single" w:color="auto" w:sz="4" w:space="0"/>
              <w:bottom w:val="single" w:color="auto" w:sz="4" w:space="0"/>
              <w:right w:val="single" w:color="auto" w:sz="4" w:space="0"/>
            </w:tcBorders>
            <w:shd w:val="clear" w:color="auto" w:fill="FFFFFF"/>
            <w:vAlign w:val="center"/>
          </w:tcPr>
          <w:p>
            <w:pPr>
              <w:pageBreakBefore w:val="0"/>
              <w:kinsoku/>
              <w:overflowPunct/>
              <w:topLinePunct w:val="0"/>
              <w:bidi w:val="0"/>
              <w:snapToGrid/>
              <w:spacing w:line="360" w:lineRule="auto"/>
              <w:jc w:val="center"/>
              <w:rPr>
                <w:rFonts w:hint="eastAsia" w:ascii="宋体" w:hAnsi="宋体" w:eastAsia="宋体" w:cs="宋体"/>
                <w:color w:val="auto"/>
                <w:sz w:val="24"/>
                <w:szCs w:val="24"/>
                <w:highlight w:val="none"/>
              </w:rPr>
            </w:pPr>
          </w:p>
        </w:tc>
      </w:tr>
    </w:tbl>
    <w:p>
      <w:pPr>
        <w:pageBreakBefore w:val="0"/>
        <w:kinsoku/>
        <w:overflowPunct/>
        <w:topLinePunct w:val="0"/>
        <w:bidi w:val="0"/>
        <w:snapToGrid/>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注：</w:t>
      </w:r>
      <w:r>
        <w:rPr>
          <w:rFonts w:hint="eastAsia" w:ascii="宋体" w:hAnsi="宋体" w:eastAsia="宋体" w:cs="宋体"/>
          <w:color w:val="auto"/>
          <w:szCs w:val="21"/>
          <w:highlight w:val="none"/>
          <w:lang w:eastAsia="zh-CN"/>
        </w:rPr>
        <w:t>询比响应人</w:t>
      </w:r>
      <w:r>
        <w:rPr>
          <w:rFonts w:hint="eastAsia" w:ascii="宋体" w:hAnsi="宋体" w:eastAsia="宋体" w:cs="宋体"/>
          <w:color w:val="auto"/>
          <w:szCs w:val="21"/>
          <w:highlight w:val="none"/>
        </w:rPr>
        <w:t>应根据</w:t>
      </w:r>
      <w:r>
        <w:rPr>
          <w:rFonts w:hint="eastAsia" w:ascii="宋体" w:hAnsi="宋体" w:eastAsia="宋体" w:cs="宋体"/>
          <w:color w:val="auto"/>
          <w:szCs w:val="21"/>
          <w:highlight w:val="none"/>
          <w:lang w:eastAsia="zh-CN"/>
        </w:rPr>
        <w:t>询比响应人</w:t>
      </w:r>
      <w:r>
        <w:rPr>
          <w:rFonts w:hint="eastAsia" w:ascii="宋体" w:hAnsi="宋体" w:eastAsia="宋体" w:cs="宋体"/>
          <w:color w:val="auto"/>
          <w:szCs w:val="21"/>
          <w:highlight w:val="none"/>
        </w:rPr>
        <w:t>须知前附表第3.5(4)项的要求在本表后附相关证明材料。</w:t>
      </w:r>
    </w:p>
    <w:p>
      <w:pPr>
        <w:pageBreakBefore w:val="0"/>
        <w:kinsoku/>
        <w:overflowPunct/>
        <w:topLinePunct w:val="0"/>
        <w:bidi w:val="0"/>
        <w:snapToGrid/>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br w:type="page"/>
      </w:r>
    </w:p>
    <w:p>
      <w:pPr>
        <w:pStyle w:val="6"/>
        <w:pageBreakBefore w:val="0"/>
        <w:kinsoku/>
        <w:overflowPunct/>
        <w:topLinePunct w:val="0"/>
        <w:bidi w:val="0"/>
        <w:snapToGrid/>
        <w:spacing w:line="360" w:lineRule="auto"/>
        <w:ind w:firstLine="2650" w:firstLineChars="1100"/>
        <w:rPr>
          <w:rFonts w:hint="eastAsia" w:ascii="宋体" w:hAnsi="宋体" w:eastAsia="宋体" w:cs="宋体"/>
          <w:color w:val="auto"/>
          <w:highlight w:val="none"/>
        </w:rPr>
      </w:pPr>
      <w:bookmarkStart w:id="398" w:name="bookmark610"/>
      <w:bookmarkStart w:id="399" w:name="_Toc31286"/>
      <w:bookmarkStart w:id="400" w:name="_Toc13168"/>
      <w:r>
        <w:rPr>
          <w:rFonts w:hint="eastAsia" w:ascii="宋体" w:hAnsi="宋体" w:eastAsia="宋体" w:cs="宋体"/>
          <w:color w:val="auto"/>
          <w:highlight w:val="none"/>
        </w:rPr>
        <w:t>（</w:t>
      </w:r>
      <w:bookmarkEnd w:id="398"/>
      <w:r>
        <w:rPr>
          <w:rFonts w:hint="eastAsia" w:ascii="宋体" w:hAnsi="宋体" w:eastAsia="宋体" w:cs="宋体"/>
          <w:color w:val="auto"/>
          <w:highlight w:val="none"/>
        </w:rPr>
        <w:t>四）拟委任的主要人员汇总表</w:t>
      </w:r>
      <w:bookmarkEnd w:id="399"/>
      <w:bookmarkEnd w:id="400"/>
    </w:p>
    <w:tbl>
      <w:tblPr>
        <w:tblStyle w:val="19"/>
        <w:tblW w:w="10509" w:type="dxa"/>
        <w:jc w:val="center"/>
        <w:tblLayout w:type="fixed"/>
        <w:tblCellMar>
          <w:top w:w="0" w:type="dxa"/>
          <w:left w:w="10" w:type="dxa"/>
          <w:bottom w:w="0" w:type="dxa"/>
          <w:right w:w="10" w:type="dxa"/>
        </w:tblCellMar>
      </w:tblPr>
      <w:tblGrid>
        <w:gridCol w:w="867"/>
        <w:gridCol w:w="1413"/>
        <w:gridCol w:w="1413"/>
        <w:gridCol w:w="1136"/>
        <w:gridCol w:w="675"/>
        <w:gridCol w:w="680"/>
        <w:gridCol w:w="1240"/>
        <w:gridCol w:w="852"/>
        <w:gridCol w:w="849"/>
        <w:gridCol w:w="1384"/>
      </w:tblGrid>
      <w:tr>
        <w:tblPrEx>
          <w:tblCellMar>
            <w:top w:w="0" w:type="dxa"/>
            <w:left w:w="10" w:type="dxa"/>
            <w:bottom w:w="0" w:type="dxa"/>
            <w:right w:w="10" w:type="dxa"/>
          </w:tblCellMar>
        </w:tblPrEx>
        <w:trPr>
          <w:trHeight w:val="478" w:hRule="exact"/>
          <w:jc w:val="center"/>
        </w:trPr>
        <w:tc>
          <w:tcPr>
            <w:tcW w:w="867" w:type="dxa"/>
            <w:vMerge w:val="restart"/>
            <w:tcBorders>
              <w:top w:val="single" w:color="auto" w:sz="4" w:space="0"/>
              <w:left w:val="single" w:color="auto" w:sz="4" w:space="0"/>
            </w:tcBorders>
            <w:shd w:val="clear" w:color="auto" w:fill="FFFFFF"/>
            <w:vAlign w:val="center"/>
          </w:tcPr>
          <w:p>
            <w:pPr>
              <w:pStyle w:val="31"/>
              <w:pageBreakBefore w:val="0"/>
              <w:kinsoku/>
              <w:overflowPunct/>
              <w:topLinePunct w:val="0"/>
              <w:bidi w:val="0"/>
              <w:snapToGrid/>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序号</w:t>
            </w:r>
          </w:p>
        </w:tc>
        <w:tc>
          <w:tcPr>
            <w:tcW w:w="1413" w:type="dxa"/>
            <w:tcBorders>
              <w:top w:val="single" w:color="auto" w:sz="4" w:space="0"/>
              <w:left w:val="single" w:color="auto" w:sz="4" w:space="0"/>
            </w:tcBorders>
            <w:shd w:val="clear" w:color="auto" w:fill="FFFFFF"/>
            <w:vAlign w:val="center"/>
          </w:tcPr>
          <w:p>
            <w:pPr>
              <w:pStyle w:val="31"/>
              <w:pageBreakBefore w:val="0"/>
              <w:kinsoku/>
              <w:overflowPunct/>
              <w:topLinePunct w:val="0"/>
              <w:bidi w:val="0"/>
              <w:snapToGrid/>
              <w:spacing w:line="360" w:lineRule="auto"/>
              <w:jc w:val="center"/>
              <w:rPr>
                <w:rFonts w:hint="eastAsia" w:ascii="宋体" w:hAnsi="宋体" w:eastAsia="宋体" w:cs="宋体"/>
                <w:color w:val="auto"/>
                <w:sz w:val="24"/>
                <w:szCs w:val="24"/>
                <w:highlight w:val="none"/>
              </w:rPr>
            </w:pPr>
          </w:p>
        </w:tc>
        <w:tc>
          <w:tcPr>
            <w:tcW w:w="1413" w:type="dxa"/>
            <w:vMerge w:val="restart"/>
            <w:tcBorders>
              <w:top w:val="single" w:color="auto" w:sz="4" w:space="0"/>
              <w:left w:val="single" w:color="auto" w:sz="4" w:space="0"/>
            </w:tcBorders>
            <w:shd w:val="clear" w:color="auto" w:fill="FFFFFF"/>
            <w:vAlign w:val="center"/>
          </w:tcPr>
          <w:p>
            <w:pPr>
              <w:pStyle w:val="31"/>
              <w:pageBreakBefore w:val="0"/>
              <w:kinsoku/>
              <w:overflowPunct/>
              <w:topLinePunct w:val="0"/>
              <w:bidi w:val="0"/>
              <w:snapToGrid/>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本项目任职</w:t>
            </w:r>
          </w:p>
        </w:tc>
        <w:tc>
          <w:tcPr>
            <w:tcW w:w="1136" w:type="dxa"/>
            <w:vMerge w:val="restart"/>
            <w:tcBorders>
              <w:top w:val="single" w:color="auto" w:sz="4" w:space="0"/>
              <w:left w:val="single" w:color="auto" w:sz="4" w:space="0"/>
            </w:tcBorders>
            <w:shd w:val="clear" w:color="auto" w:fill="FFFFFF"/>
            <w:vAlign w:val="center"/>
          </w:tcPr>
          <w:p>
            <w:pPr>
              <w:pStyle w:val="31"/>
              <w:pageBreakBefore w:val="0"/>
              <w:kinsoku/>
              <w:overflowPunct/>
              <w:topLinePunct w:val="0"/>
              <w:bidi w:val="0"/>
              <w:snapToGrid/>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姓名</w:t>
            </w:r>
          </w:p>
        </w:tc>
        <w:tc>
          <w:tcPr>
            <w:tcW w:w="675" w:type="dxa"/>
            <w:vMerge w:val="restart"/>
            <w:tcBorders>
              <w:top w:val="single" w:color="auto" w:sz="4" w:space="0"/>
              <w:left w:val="single" w:color="auto" w:sz="4" w:space="0"/>
            </w:tcBorders>
            <w:shd w:val="clear" w:color="auto" w:fill="FFFFFF"/>
            <w:vAlign w:val="center"/>
          </w:tcPr>
          <w:p>
            <w:pPr>
              <w:pStyle w:val="31"/>
              <w:pageBreakBefore w:val="0"/>
              <w:kinsoku/>
              <w:overflowPunct/>
              <w:topLinePunct w:val="0"/>
              <w:bidi w:val="0"/>
              <w:snapToGrid/>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职称</w:t>
            </w:r>
          </w:p>
        </w:tc>
        <w:tc>
          <w:tcPr>
            <w:tcW w:w="680" w:type="dxa"/>
            <w:vMerge w:val="restart"/>
            <w:tcBorders>
              <w:top w:val="single" w:color="auto" w:sz="4" w:space="0"/>
              <w:left w:val="single" w:color="auto" w:sz="4" w:space="0"/>
            </w:tcBorders>
            <w:shd w:val="clear" w:color="auto" w:fill="FFFFFF"/>
            <w:vAlign w:val="center"/>
          </w:tcPr>
          <w:p>
            <w:pPr>
              <w:pStyle w:val="31"/>
              <w:pageBreakBefore w:val="0"/>
              <w:kinsoku/>
              <w:overflowPunct/>
              <w:topLinePunct w:val="0"/>
              <w:bidi w:val="0"/>
              <w:snapToGrid/>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专业</w:t>
            </w:r>
          </w:p>
        </w:tc>
        <w:tc>
          <w:tcPr>
            <w:tcW w:w="2941" w:type="dxa"/>
            <w:gridSpan w:val="3"/>
            <w:tcBorders>
              <w:top w:val="single" w:color="auto" w:sz="4" w:space="0"/>
              <w:left w:val="single" w:color="auto" w:sz="4" w:space="0"/>
            </w:tcBorders>
            <w:shd w:val="clear" w:color="auto" w:fill="FFFFFF"/>
            <w:vAlign w:val="center"/>
          </w:tcPr>
          <w:p>
            <w:pPr>
              <w:pStyle w:val="31"/>
              <w:pageBreakBefore w:val="0"/>
              <w:kinsoku/>
              <w:overflowPunct/>
              <w:topLinePunct w:val="0"/>
              <w:bidi w:val="0"/>
              <w:snapToGrid/>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执业或职业资格证明</w:t>
            </w:r>
          </w:p>
        </w:tc>
        <w:tc>
          <w:tcPr>
            <w:tcW w:w="1384" w:type="dxa"/>
            <w:vMerge w:val="restart"/>
            <w:tcBorders>
              <w:top w:val="single" w:color="auto" w:sz="4" w:space="0"/>
              <w:left w:val="single" w:color="auto" w:sz="4" w:space="0"/>
              <w:right w:val="single" w:color="auto" w:sz="4" w:space="0"/>
            </w:tcBorders>
            <w:shd w:val="clear" w:color="auto" w:fill="FFFFFF"/>
            <w:vAlign w:val="center"/>
          </w:tcPr>
          <w:p>
            <w:pPr>
              <w:pStyle w:val="31"/>
              <w:pageBreakBefore w:val="0"/>
              <w:kinsoku/>
              <w:overflowPunct/>
              <w:topLinePunct w:val="0"/>
              <w:bidi w:val="0"/>
              <w:snapToGrid/>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备注</w:t>
            </w:r>
          </w:p>
        </w:tc>
      </w:tr>
      <w:tr>
        <w:tblPrEx>
          <w:tblCellMar>
            <w:top w:w="0" w:type="dxa"/>
            <w:left w:w="10" w:type="dxa"/>
            <w:bottom w:w="0" w:type="dxa"/>
            <w:right w:w="10" w:type="dxa"/>
          </w:tblCellMar>
        </w:tblPrEx>
        <w:trPr>
          <w:trHeight w:val="459" w:hRule="exact"/>
          <w:jc w:val="center"/>
        </w:trPr>
        <w:tc>
          <w:tcPr>
            <w:tcW w:w="867" w:type="dxa"/>
            <w:vMerge w:val="continue"/>
            <w:tcBorders>
              <w:left w:val="single" w:color="auto" w:sz="4" w:space="0"/>
            </w:tcBorders>
            <w:shd w:val="clear" w:color="auto" w:fill="FFFFFF"/>
            <w:vAlign w:val="center"/>
          </w:tcPr>
          <w:p>
            <w:pPr>
              <w:pageBreakBefore w:val="0"/>
              <w:kinsoku/>
              <w:overflowPunct/>
              <w:topLinePunct w:val="0"/>
              <w:bidi w:val="0"/>
              <w:snapToGrid/>
              <w:spacing w:line="360" w:lineRule="auto"/>
              <w:jc w:val="center"/>
              <w:rPr>
                <w:rFonts w:hint="eastAsia" w:ascii="宋体" w:hAnsi="宋体" w:eastAsia="宋体" w:cs="宋体"/>
                <w:color w:val="auto"/>
                <w:sz w:val="24"/>
                <w:szCs w:val="24"/>
                <w:highlight w:val="none"/>
              </w:rPr>
            </w:pPr>
          </w:p>
        </w:tc>
        <w:tc>
          <w:tcPr>
            <w:tcW w:w="1413" w:type="dxa"/>
            <w:tcBorders>
              <w:left w:val="single" w:color="auto" w:sz="4" w:space="0"/>
            </w:tcBorders>
            <w:shd w:val="clear" w:color="auto" w:fill="FFFFFF"/>
            <w:vAlign w:val="center"/>
          </w:tcPr>
          <w:p>
            <w:pPr>
              <w:pageBreakBefore w:val="0"/>
              <w:kinsoku/>
              <w:overflowPunct/>
              <w:topLinePunct w:val="0"/>
              <w:bidi w:val="0"/>
              <w:snapToGrid/>
              <w:spacing w:line="360" w:lineRule="auto"/>
              <w:jc w:val="center"/>
              <w:rPr>
                <w:rFonts w:hint="eastAsia" w:ascii="宋体" w:hAnsi="宋体" w:eastAsia="宋体" w:cs="宋体"/>
                <w:color w:val="auto"/>
                <w:sz w:val="24"/>
                <w:szCs w:val="24"/>
                <w:highlight w:val="none"/>
              </w:rPr>
            </w:pPr>
          </w:p>
        </w:tc>
        <w:tc>
          <w:tcPr>
            <w:tcW w:w="1413" w:type="dxa"/>
            <w:vMerge w:val="continue"/>
            <w:tcBorders>
              <w:left w:val="single" w:color="auto" w:sz="4" w:space="0"/>
            </w:tcBorders>
            <w:shd w:val="clear" w:color="auto" w:fill="FFFFFF"/>
            <w:vAlign w:val="center"/>
          </w:tcPr>
          <w:p>
            <w:pPr>
              <w:pageBreakBefore w:val="0"/>
              <w:kinsoku/>
              <w:overflowPunct/>
              <w:topLinePunct w:val="0"/>
              <w:bidi w:val="0"/>
              <w:snapToGrid/>
              <w:spacing w:line="360" w:lineRule="auto"/>
              <w:jc w:val="center"/>
              <w:rPr>
                <w:rFonts w:hint="eastAsia" w:ascii="宋体" w:hAnsi="宋体" w:eastAsia="宋体" w:cs="宋体"/>
                <w:color w:val="auto"/>
                <w:sz w:val="24"/>
                <w:szCs w:val="24"/>
                <w:highlight w:val="none"/>
              </w:rPr>
            </w:pPr>
          </w:p>
        </w:tc>
        <w:tc>
          <w:tcPr>
            <w:tcW w:w="1136" w:type="dxa"/>
            <w:vMerge w:val="continue"/>
            <w:tcBorders>
              <w:left w:val="single" w:color="auto" w:sz="4" w:space="0"/>
            </w:tcBorders>
            <w:shd w:val="clear" w:color="auto" w:fill="FFFFFF"/>
            <w:vAlign w:val="center"/>
          </w:tcPr>
          <w:p>
            <w:pPr>
              <w:pageBreakBefore w:val="0"/>
              <w:kinsoku/>
              <w:overflowPunct/>
              <w:topLinePunct w:val="0"/>
              <w:bidi w:val="0"/>
              <w:snapToGrid/>
              <w:spacing w:line="360" w:lineRule="auto"/>
              <w:jc w:val="center"/>
              <w:rPr>
                <w:rFonts w:hint="eastAsia" w:ascii="宋体" w:hAnsi="宋体" w:eastAsia="宋体" w:cs="宋体"/>
                <w:color w:val="auto"/>
                <w:sz w:val="24"/>
                <w:szCs w:val="24"/>
                <w:highlight w:val="none"/>
              </w:rPr>
            </w:pPr>
          </w:p>
        </w:tc>
        <w:tc>
          <w:tcPr>
            <w:tcW w:w="675" w:type="dxa"/>
            <w:vMerge w:val="continue"/>
            <w:tcBorders>
              <w:left w:val="single" w:color="auto" w:sz="4" w:space="0"/>
            </w:tcBorders>
            <w:shd w:val="clear" w:color="auto" w:fill="FFFFFF"/>
            <w:vAlign w:val="center"/>
          </w:tcPr>
          <w:p>
            <w:pPr>
              <w:pageBreakBefore w:val="0"/>
              <w:kinsoku/>
              <w:overflowPunct/>
              <w:topLinePunct w:val="0"/>
              <w:bidi w:val="0"/>
              <w:snapToGrid/>
              <w:spacing w:line="360" w:lineRule="auto"/>
              <w:jc w:val="center"/>
              <w:rPr>
                <w:rFonts w:hint="eastAsia" w:ascii="宋体" w:hAnsi="宋体" w:eastAsia="宋体" w:cs="宋体"/>
                <w:color w:val="auto"/>
                <w:sz w:val="24"/>
                <w:szCs w:val="24"/>
                <w:highlight w:val="none"/>
              </w:rPr>
            </w:pPr>
          </w:p>
        </w:tc>
        <w:tc>
          <w:tcPr>
            <w:tcW w:w="680" w:type="dxa"/>
            <w:vMerge w:val="continue"/>
            <w:tcBorders>
              <w:left w:val="single" w:color="auto" w:sz="4" w:space="0"/>
            </w:tcBorders>
            <w:shd w:val="clear" w:color="auto" w:fill="FFFFFF"/>
            <w:vAlign w:val="center"/>
          </w:tcPr>
          <w:p>
            <w:pPr>
              <w:pageBreakBefore w:val="0"/>
              <w:kinsoku/>
              <w:overflowPunct/>
              <w:topLinePunct w:val="0"/>
              <w:bidi w:val="0"/>
              <w:snapToGrid/>
              <w:spacing w:line="360" w:lineRule="auto"/>
              <w:jc w:val="center"/>
              <w:rPr>
                <w:rFonts w:hint="eastAsia" w:ascii="宋体" w:hAnsi="宋体" w:eastAsia="宋体" w:cs="宋体"/>
                <w:color w:val="auto"/>
                <w:sz w:val="24"/>
                <w:szCs w:val="24"/>
                <w:highlight w:val="none"/>
              </w:rPr>
            </w:pPr>
          </w:p>
        </w:tc>
        <w:tc>
          <w:tcPr>
            <w:tcW w:w="1240" w:type="dxa"/>
            <w:tcBorders>
              <w:top w:val="single" w:color="auto" w:sz="4" w:space="0"/>
              <w:left w:val="single" w:color="auto" w:sz="4" w:space="0"/>
            </w:tcBorders>
            <w:shd w:val="clear" w:color="auto" w:fill="FFFFFF"/>
            <w:vAlign w:val="center"/>
          </w:tcPr>
          <w:p>
            <w:pPr>
              <w:pStyle w:val="31"/>
              <w:pageBreakBefore w:val="0"/>
              <w:kinsoku/>
              <w:overflowPunct/>
              <w:topLinePunct w:val="0"/>
              <w:bidi w:val="0"/>
              <w:snapToGrid/>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证书名称</w:t>
            </w:r>
          </w:p>
        </w:tc>
        <w:tc>
          <w:tcPr>
            <w:tcW w:w="852" w:type="dxa"/>
            <w:tcBorders>
              <w:top w:val="single" w:color="auto" w:sz="4" w:space="0"/>
              <w:left w:val="single" w:color="auto" w:sz="4" w:space="0"/>
            </w:tcBorders>
            <w:shd w:val="clear" w:color="auto" w:fill="FFFFFF"/>
            <w:vAlign w:val="center"/>
          </w:tcPr>
          <w:p>
            <w:pPr>
              <w:pStyle w:val="31"/>
              <w:pageBreakBefore w:val="0"/>
              <w:kinsoku/>
              <w:overflowPunct/>
              <w:topLinePunct w:val="0"/>
              <w:bidi w:val="0"/>
              <w:snapToGrid/>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级别</w:t>
            </w:r>
          </w:p>
        </w:tc>
        <w:tc>
          <w:tcPr>
            <w:tcW w:w="849" w:type="dxa"/>
            <w:tcBorders>
              <w:top w:val="single" w:color="auto" w:sz="4" w:space="0"/>
              <w:left w:val="single" w:color="auto" w:sz="4" w:space="0"/>
            </w:tcBorders>
            <w:shd w:val="clear" w:color="auto" w:fill="FFFFFF"/>
            <w:vAlign w:val="center"/>
          </w:tcPr>
          <w:p>
            <w:pPr>
              <w:pStyle w:val="31"/>
              <w:pageBreakBefore w:val="0"/>
              <w:kinsoku/>
              <w:overflowPunct/>
              <w:topLinePunct w:val="0"/>
              <w:bidi w:val="0"/>
              <w:snapToGrid/>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证号</w:t>
            </w:r>
          </w:p>
        </w:tc>
        <w:tc>
          <w:tcPr>
            <w:tcW w:w="1384" w:type="dxa"/>
            <w:vMerge w:val="continue"/>
            <w:tcBorders>
              <w:left w:val="single" w:color="auto" w:sz="4" w:space="0"/>
              <w:right w:val="single" w:color="auto" w:sz="4" w:space="0"/>
            </w:tcBorders>
            <w:shd w:val="clear" w:color="auto" w:fill="FFFFFF"/>
            <w:vAlign w:val="center"/>
          </w:tcPr>
          <w:p>
            <w:pPr>
              <w:pageBreakBefore w:val="0"/>
              <w:kinsoku/>
              <w:overflowPunct/>
              <w:topLinePunct w:val="0"/>
              <w:bidi w:val="0"/>
              <w:snapToGrid/>
              <w:spacing w:line="360" w:lineRule="auto"/>
              <w:jc w:val="center"/>
              <w:rPr>
                <w:rFonts w:hint="eastAsia" w:ascii="宋体" w:hAnsi="宋体" w:eastAsia="宋体" w:cs="宋体"/>
                <w:color w:val="auto"/>
                <w:sz w:val="24"/>
                <w:szCs w:val="24"/>
                <w:highlight w:val="none"/>
              </w:rPr>
            </w:pPr>
          </w:p>
        </w:tc>
      </w:tr>
      <w:tr>
        <w:tblPrEx>
          <w:tblCellMar>
            <w:top w:w="0" w:type="dxa"/>
            <w:left w:w="10" w:type="dxa"/>
            <w:bottom w:w="0" w:type="dxa"/>
            <w:right w:w="10" w:type="dxa"/>
          </w:tblCellMar>
        </w:tblPrEx>
        <w:trPr>
          <w:trHeight w:val="523" w:hRule="exact"/>
          <w:jc w:val="center"/>
        </w:trPr>
        <w:tc>
          <w:tcPr>
            <w:tcW w:w="867" w:type="dxa"/>
            <w:tcBorders>
              <w:top w:val="single" w:color="auto" w:sz="4" w:space="0"/>
              <w:left w:val="single" w:color="auto" w:sz="4" w:space="0"/>
            </w:tcBorders>
            <w:shd w:val="clear" w:color="auto" w:fill="FFFFFF"/>
            <w:vAlign w:val="center"/>
          </w:tcPr>
          <w:p>
            <w:pPr>
              <w:pageBreakBefore w:val="0"/>
              <w:kinsoku/>
              <w:overflowPunct/>
              <w:topLinePunct w:val="0"/>
              <w:bidi w:val="0"/>
              <w:snapToGrid/>
              <w:spacing w:line="360" w:lineRule="auto"/>
              <w:jc w:val="center"/>
              <w:rPr>
                <w:rFonts w:hint="eastAsia" w:ascii="宋体" w:hAnsi="宋体" w:eastAsia="宋体" w:cs="宋体"/>
                <w:color w:val="auto"/>
                <w:sz w:val="24"/>
                <w:szCs w:val="24"/>
                <w:highlight w:val="none"/>
              </w:rPr>
            </w:pPr>
          </w:p>
        </w:tc>
        <w:tc>
          <w:tcPr>
            <w:tcW w:w="1413" w:type="dxa"/>
            <w:tcBorders>
              <w:top w:val="single" w:color="auto" w:sz="4" w:space="0"/>
              <w:left w:val="single" w:color="auto" w:sz="4" w:space="0"/>
            </w:tcBorders>
            <w:shd w:val="clear" w:color="auto" w:fill="FFFFFF"/>
            <w:vAlign w:val="center"/>
          </w:tcPr>
          <w:p>
            <w:pPr>
              <w:pageBreakBefore w:val="0"/>
              <w:kinsoku/>
              <w:overflowPunct/>
              <w:topLinePunct w:val="0"/>
              <w:bidi w:val="0"/>
              <w:snapToGrid/>
              <w:spacing w:line="360" w:lineRule="auto"/>
              <w:jc w:val="center"/>
              <w:rPr>
                <w:rFonts w:hint="eastAsia" w:ascii="宋体" w:hAnsi="宋体" w:eastAsia="宋体" w:cs="宋体"/>
                <w:color w:val="auto"/>
                <w:sz w:val="24"/>
                <w:szCs w:val="24"/>
                <w:highlight w:val="none"/>
              </w:rPr>
            </w:pPr>
          </w:p>
        </w:tc>
        <w:tc>
          <w:tcPr>
            <w:tcW w:w="1413" w:type="dxa"/>
            <w:tcBorders>
              <w:top w:val="single" w:color="auto" w:sz="4" w:space="0"/>
              <w:left w:val="single" w:color="auto" w:sz="4" w:space="0"/>
            </w:tcBorders>
            <w:shd w:val="clear" w:color="auto" w:fill="FFFFFF"/>
            <w:vAlign w:val="center"/>
          </w:tcPr>
          <w:p>
            <w:pPr>
              <w:pageBreakBefore w:val="0"/>
              <w:kinsoku/>
              <w:overflowPunct/>
              <w:topLinePunct w:val="0"/>
              <w:bidi w:val="0"/>
              <w:snapToGrid/>
              <w:spacing w:line="360" w:lineRule="auto"/>
              <w:jc w:val="center"/>
              <w:rPr>
                <w:rFonts w:hint="eastAsia" w:ascii="宋体" w:hAnsi="宋体" w:eastAsia="宋体" w:cs="宋体"/>
                <w:color w:val="auto"/>
                <w:sz w:val="24"/>
                <w:szCs w:val="24"/>
                <w:highlight w:val="none"/>
              </w:rPr>
            </w:pPr>
          </w:p>
        </w:tc>
        <w:tc>
          <w:tcPr>
            <w:tcW w:w="1136" w:type="dxa"/>
            <w:tcBorders>
              <w:top w:val="single" w:color="auto" w:sz="4" w:space="0"/>
              <w:left w:val="single" w:color="auto" w:sz="4" w:space="0"/>
            </w:tcBorders>
            <w:shd w:val="clear" w:color="auto" w:fill="FFFFFF"/>
            <w:vAlign w:val="center"/>
          </w:tcPr>
          <w:p>
            <w:pPr>
              <w:pageBreakBefore w:val="0"/>
              <w:kinsoku/>
              <w:overflowPunct/>
              <w:topLinePunct w:val="0"/>
              <w:bidi w:val="0"/>
              <w:snapToGrid/>
              <w:spacing w:line="360" w:lineRule="auto"/>
              <w:jc w:val="center"/>
              <w:rPr>
                <w:rFonts w:hint="eastAsia" w:ascii="宋体" w:hAnsi="宋体" w:eastAsia="宋体" w:cs="宋体"/>
                <w:color w:val="auto"/>
                <w:sz w:val="24"/>
                <w:szCs w:val="24"/>
                <w:highlight w:val="none"/>
              </w:rPr>
            </w:pPr>
          </w:p>
        </w:tc>
        <w:tc>
          <w:tcPr>
            <w:tcW w:w="675" w:type="dxa"/>
            <w:tcBorders>
              <w:top w:val="single" w:color="auto" w:sz="4" w:space="0"/>
              <w:left w:val="single" w:color="auto" w:sz="4" w:space="0"/>
            </w:tcBorders>
            <w:shd w:val="clear" w:color="auto" w:fill="FFFFFF"/>
            <w:vAlign w:val="center"/>
          </w:tcPr>
          <w:p>
            <w:pPr>
              <w:pageBreakBefore w:val="0"/>
              <w:kinsoku/>
              <w:overflowPunct/>
              <w:topLinePunct w:val="0"/>
              <w:bidi w:val="0"/>
              <w:snapToGrid/>
              <w:spacing w:line="360" w:lineRule="auto"/>
              <w:jc w:val="center"/>
              <w:rPr>
                <w:rFonts w:hint="eastAsia" w:ascii="宋体" w:hAnsi="宋体" w:eastAsia="宋体" w:cs="宋体"/>
                <w:color w:val="auto"/>
                <w:sz w:val="24"/>
                <w:szCs w:val="24"/>
                <w:highlight w:val="none"/>
              </w:rPr>
            </w:pPr>
          </w:p>
        </w:tc>
        <w:tc>
          <w:tcPr>
            <w:tcW w:w="680" w:type="dxa"/>
            <w:tcBorders>
              <w:top w:val="single" w:color="auto" w:sz="4" w:space="0"/>
              <w:left w:val="single" w:color="auto" w:sz="4" w:space="0"/>
            </w:tcBorders>
            <w:shd w:val="clear" w:color="auto" w:fill="FFFFFF"/>
            <w:vAlign w:val="center"/>
          </w:tcPr>
          <w:p>
            <w:pPr>
              <w:pageBreakBefore w:val="0"/>
              <w:kinsoku/>
              <w:overflowPunct/>
              <w:topLinePunct w:val="0"/>
              <w:bidi w:val="0"/>
              <w:snapToGrid/>
              <w:spacing w:line="360" w:lineRule="auto"/>
              <w:jc w:val="center"/>
              <w:rPr>
                <w:rFonts w:hint="eastAsia" w:ascii="宋体" w:hAnsi="宋体" w:eastAsia="宋体" w:cs="宋体"/>
                <w:color w:val="auto"/>
                <w:sz w:val="24"/>
                <w:szCs w:val="24"/>
                <w:highlight w:val="none"/>
              </w:rPr>
            </w:pPr>
          </w:p>
        </w:tc>
        <w:tc>
          <w:tcPr>
            <w:tcW w:w="1240" w:type="dxa"/>
            <w:tcBorders>
              <w:top w:val="single" w:color="auto" w:sz="4" w:space="0"/>
              <w:left w:val="single" w:color="auto" w:sz="4" w:space="0"/>
            </w:tcBorders>
            <w:shd w:val="clear" w:color="auto" w:fill="FFFFFF"/>
            <w:vAlign w:val="center"/>
          </w:tcPr>
          <w:p>
            <w:pPr>
              <w:pageBreakBefore w:val="0"/>
              <w:kinsoku/>
              <w:overflowPunct/>
              <w:topLinePunct w:val="0"/>
              <w:bidi w:val="0"/>
              <w:snapToGrid/>
              <w:spacing w:line="360" w:lineRule="auto"/>
              <w:jc w:val="center"/>
              <w:rPr>
                <w:rFonts w:hint="eastAsia" w:ascii="宋体" w:hAnsi="宋体" w:eastAsia="宋体" w:cs="宋体"/>
                <w:color w:val="auto"/>
                <w:sz w:val="24"/>
                <w:szCs w:val="24"/>
                <w:highlight w:val="none"/>
              </w:rPr>
            </w:pPr>
          </w:p>
        </w:tc>
        <w:tc>
          <w:tcPr>
            <w:tcW w:w="852" w:type="dxa"/>
            <w:tcBorders>
              <w:top w:val="single" w:color="auto" w:sz="4" w:space="0"/>
              <w:left w:val="single" w:color="auto" w:sz="4" w:space="0"/>
            </w:tcBorders>
            <w:shd w:val="clear" w:color="auto" w:fill="FFFFFF"/>
            <w:vAlign w:val="center"/>
          </w:tcPr>
          <w:p>
            <w:pPr>
              <w:pageBreakBefore w:val="0"/>
              <w:kinsoku/>
              <w:overflowPunct/>
              <w:topLinePunct w:val="0"/>
              <w:bidi w:val="0"/>
              <w:snapToGrid/>
              <w:spacing w:line="360" w:lineRule="auto"/>
              <w:jc w:val="center"/>
              <w:rPr>
                <w:rFonts w:hint="eastAsia" w:ascii="宋体" w:hAnsi="宋体" w:eastAsia="宋体" w:cs="宋体"/>
                <w:color w:val="auto"/>
                <w:sz w:val="24"/>
                <w:szCs w:val="24"/>
                <w:highlight w:val="none"/>
              </w:rPr>
            </w:pPr>
          </w:p>
        </w:tc>
        <w:tc>
          <w:tcPr>
            <w:tcW w:w="849" w:type="dxa"/>
            <w:tcBorders>
              <w:top w:val="single" w:color="auto" w:sz="4" w:space="0"/>
              <w:left w:val="single" w:color="auto" w:sz="4" w:space="0"/>
            </w:tcBorders>
            <w:shd w:val="clear" w:color="auto" w:fill="FFFFFF"/>
            <w:vAlign w:val="center"/>
          </w:tcPr>
          <w:p>
            <w:pPr>
              <w:pageBreakBefore w:val="0"/>
              <w:kinsoku/>
              <w:overflowPunct/>
              <w:topLinePunct w:val="0"/>
              <w:bidi w:val="0"/>
              <w:snapToGrid/>
              <w:spacing w:line="360" w:lineRule="auto"/>
              <w:jc w:val="center"/>
              <w:rPr>
                <w:rFonts w:hint="eastAsia" w:ascii="宋体" w:hAnsi="宋体" w:eastAsia="宋体" w:cs="宋体"/>
                <w:color w:val="auto"/>
                <w:sz w:val="24"/>
                <w:szCs w:val="24"/>
                <w:highlight w:val="none"/>
              </w:rPr>
            </w:pPr>
          </w:p>
        </w:tc>
        <w:tc>
          <w:tcPr>
            <w:tcW w:w="1384" w:type="dxa"/>
            <w:tcBorders>
              <w:top w:val="single" w:color="auto" w:sz="4" w:space="0"/>
              <w:left w:val="single" w:color="auto" w:sz="4" w:space="0"/>
              <w:right w:val="single" w:color="auto" w:sz="4" w:space="0"/>
            </w:tcBorders>
            <w:shd w:val="clear" w:color="auto" w:fill="FFFFFF"/>
            <w:vAlign w:val="center"/>
          </w:tcPr>
          <w:p>
            <w:pPr>
              <w:pageBreakBefore w:val="0"/>
              <w:kinsoku/>
              <w:overflowPunct/>
              <w:topLinePunct w:val="0"/>
              <w:bidi w:val="0"/>
              <w:snapToGrid/>
              <w:spacing w:line="360" w:lineRule="auto"/>
              <w:jc w:val="center"/>
              <w:rPr>
                <w:rFonts w:hint="eastAsia" w:ascii="宋体" w:hAnsi="宋体" w:eastAsia="宋体" w:cs="宋体"/>
                <w:color w:val="auto"/>
                <w:sz w:val="24"/>
                <w:szCs w:val="24"/>
                <w:highlight w:val="none"/>
              </w:rPr>
            </w:pPr>
          </w:p>
        </w:tc>
      </w:tr>
      <w:tr>
        <w:tblPrEx>
          <w:tblCellMar>
            <w:top w:w="0" w:type="dxa"/>
            <w:left w:w="10" w:type="dxa"/>
            <w:bottom w:w="0" w:type="dxa"/>
            <w:right w:w="10" w:type="dxa"/>
          </w:tblCellMar>
        </w:tblPrEx>
        <w:trPr>
          <w:trHeight w:val="523" w:hRule="exact"/>
          <w:jc w:val="center"/>
        </w:trPr>
        <w:tc>
          <w:tcPr>
            <w:tcW w:w="867" w:type="dxa"/>
            <w:tcBorders>
              <w:top w:val="single" w:color="auto" w:sz="4" w:space="0"/>
              <w:left w:val="single" w:color="auto" w:sz="4" w:space="0"/>
            </w:tcBorders>
            <w:shd w:val="clear" w:color="auto" w:fill="FFFFFF"/>
            <w:vAlign w:val="center"/>
          </w:tcPr>
          <w:p>
            <w:pPr>
              <w:pageBreakBefore w:val="0"/>
              <w:kinsoku/>
              <w:overflowPunct/>
              <w:topLinePunct w:val="0"/>
              <w:bidi w:val="0"/>
              <w:snapToGrid/>
              <w:spacing w:line="360" w:lineRule="auto"/>
              <w:jc w:val="center"/>
              <w:rPr>
                <w:rFonts w:hint="eastAsia" w:ascii="宋体" w:hAnsi="宋体" w:eastAsia="宋体" w:cs="宋体"/>
                <w:color w:val="auto"/>
                <w:sz w:val="24"/>
                <w:szCs w:val="24"/>
                <w:highlight w:val="none"/>
              </w:rPr>
            </w:pPr>
          </w:p>
        </w:tc>
        <w:tc>
          <w:tcPr>
            <w:tcW w:w="1413" w:type="dxa"/>
            <w:tcBorders>
              <w:top w:val="single" w:color="auto" w:sz="4" w:space="0"/>
              <w:left w:val="single" w:color="auto" w:sz="4" w:space="0"/>
            </w:tcBorders>
            <w:shd w:val="clear" w:color="auto" w:fill="FFFFFF"/>
            <w:vAlign w:val="center"/>
          </w:tcPr>
          <w:p>
            <w:pPr>
              <w:pageBreakBefore w:val="0"/>
              <w:kinsoku/>
              <w:overflowPunct/>
              <w:topLinePunct w:val="0"/>
              <w:bidi w:val="0"/>
              <w:snapToGrid/>
              <w:spacing w:line="360" w:lineRule="auto"/>
              <w:jc w:val="center"/>
              <w:rPr>
                <w:rFonts w:hint="eastAsia" w:ascii="宋体" w:hAnsi="宋体" w:eastAsia="宋体" w:cs="宋体"/>
                <w:color w:val="auto"/>
                <w:sz w:val="24"/>
                <w:szCs w:val="24"/>
                <w:highlight w:val="none"/>
              </w:rPr>
            </w:pPr>
          </w:p>
        </w:tc>
        <w:tc>
          <w:tcPr>
            <w:tcW w:w="1413" w:type="dxa"/>
            <w:tcBorders>
              <w:top w:val="single" w:color="auto" w:sz="4" w:space="0"/>
              <w:left w:val="single" w:color="auto" w:sz="4" w:space="0"/>
            </w:tcBorders>
            <w:shd w:val="clear" w:color="auto" w:fill="FFFFFF"/>
            <w:vAlign w:val="center"/>
          </w:tcPr>
          <w:p>
            <w:pPr>
              <w:pageBreakBefore w:val="0"/>
              <w:kinsoku/>
              <w:overflowPunct/>
              <w:topLinePunct w:val="0"/>
              <w:bidi w:val="0"/>
              <w:snapToGrid/>
              <w:spacing w:line="360" w:lineRule="auto"/>
              <w:jc w:val="center"/>
              <w:rPr>
                <w:rFonts w:hint="eastAsia" w:ascii="宋体" w:hAnsi="宋体" w:eastAsia="宋体" w:cs="宋体"/>
                <w:color w:val="auto"/>
                <w:sz w:val="24"/>
                <w:szCs w:val="24"/>
                <w:highlight w:val="none"/>
              </w:rPr>
            </w:pPr>
          </w:p>
        </w:tc>
        <w:tc>
          <w:tcPr>
            <w:tcW w:w="1136" w:type="dxa"/>
            <w:tcBorders>
              <w:top w:val="single" w:color="auto" w:sz="4" w:space="0"/>
              <w:left w:val="single" w:color="auto" w:sz="4" w:space="0"/>
            </w:tcBorders>
            <w:shd w:val="clear" w:color="auto" w:fill="FFFFFF"/>
            <w:vAlign w:val="center"/>
          </w:tcPr>
          <w:p>
            <w:pPr>
              <w:pageBreakBefore w:val="0"/>
              <w:kinsoku/>
              <w:overflowPunct/>
              <w:topLinePunct w:val="0"/>
              <w:bidi w:val="0"/>
              <w:snapToGrid/>
              <w:spacing w:line="360" w:lineRule="auto"/>
              <w:jc w:val="center"/>
              <w:rPr>
                <w:rFonts w:hint="eastAsia" w:ascii="宋体" w:hAnsi="宋体" w:eastAsia="宋体" w:cs="宋体"/>
                <w:color w:val="auto"/>
                <w:sz w:val="24"/>
                <w:szCs w:val="24"/>
                <w:highlight w:val="none"/>
              </w:rPr>
            </w:pPr>
          </w:p>
        </w:tc>
        <w:tc>
          <w:tcPr>
            <w:tcW w:w="675" w:type="dxa"/>
            <w:tcBorders>
              <w:top w:val="single" w:color="auto" w:sz="4" w:space="0"/>
              <w:left w:val="single" w:color="auto" w:sz="4" w:space="0"/>
            </w:tcBorders>
            <w:shd w:val="clear" w:color="auto" w:fill="FFFFFF"/>
            <w:vAlign w:val="center"/>
          </w:tcPr>
          <w:p>
            <w:pPr>
              <w:pageBreakBefore w:val="0"/>
              <w:kinsoku/>
              <w:overflowPunct/>
              <w:topLinePunct w:val="0"/>
              <w:bidi w:val="0"/>
              <w:snapToGrid/>
              <w:spacing w:line="360" w:lineRule="auto"/>
              <w:jc w:val="center"/>
              <w:rPr>
                <w:rFonts w:hint="eastAsia" w:ascii="宋体" w:hAnsi="宋体" w:eastAsia="宋体" w:cs="宋体"/>
                <w:color w:val="auto"/>
                <w:sz w:val="24"/>
                <w:szCs w:val="24"/>
                <w:highlight w:val="none"/>
              </w:rPr>
            </w:pPr>
          </w:p>
        </w:tc>
        <w:tc>
          <w:tcPr>
            <w:tcW w:w="680" w:type="dxa"/>
            <w:tcBorders>
              <w:top w:val="single" w:color="auto" w:sz="4" w:space="0"/>
              <w:left w:val="single" w:color="auto" w:sz="4" w:space="0"/>
            </w:tcBorders>
            <w:shd w:val="clear" w:color="auto" w:fill="FFFFFF"/>
            <w:vAlign w:val="center"/>
          </w:tcPr>
          <w:p>
            <w:pPr>
              <w:pageBreakBefore w:val="0"/>
              <w:kinsoku/>
              <w:overflowPunct/>
              <w:topLinePunct w:val="0"/>
              <w:bidi w:val="0"/>
              <w:snapToGrid/>
              <w:spacing w:line="360" w:lineRule="auto"/>
              <w:jc w:val="center"/>
              <w:rPr>
                <w:rFonts w:hint="eastAsia" w:ascii="宋体" w:hAnsi="宋体" w:eastAsia="宋体" w:cs="宋体"/>
                <w:color w:val="auto"/>
                <w:sz w:val="24"/>
                <w:szCs w:val="24"/>
                <w:highlight w:val="none"/>
              </w:rPr>
            </w:pPr>
          </w:p>
        </w:tc>
        <w:tc>
          <w:tcPr>
            <w:tcW w:w="1240" w:type="dxa"/>
            <w:tcBorders>
              <w:top w:val="single" w:color="auto" w:sz="4" w:space="0"/>
              <w:left w:val="single" w:color="auto" w:sz="4" w:space="0"/>
            </w:tcBorders>
            <w:shd w:val="clear" w:color="auto" w:fill="FFFFFF"/>
            <w:vAlign w:val="center"/>
          </w:tcPr>
          <w:p>
            <w:pPr>
              <w:pageBreakBefore w:val="0"/>
              <w:kinsoku/>
              <w:overflowPunct/>
              <w:topLinePunct w:val="0"/>
              <w:bidi w:val="0"/>
              <w:snapToGrid/>
              <w:spacing w:line="360" w:lineRule="auto"/>
              <w:jc w:val="center"/>
              <w:rPr>
                <w:rFonts w:hint="eastAsia" w:ascii="宋体" w:hAnsi="宋体" w:eastAsia="宋体" w:cs="宋体"/>
                <w:color w:val="auto"/>
                <w:sz w:val="24"/>
                <w:szCs w:val="24"/>
                <w:highlight w:val="none"/>
              </w:rPr>
            </w:pPr>
          </w:p>
        </w:tc>
        <w:tc>
          <w:tcPr>
            <w:tcW w:w="852" w:type="dxa"/>
            <w:tcBorders>
              <w:top w:val="single" w:color="auto" w:sz="4" w:space="0"/>
              <w:left w:val="single" w:color="auto" w:sz="4" w:space="0"/>
            </w:tcBorders>
            <w:shd w:val="clear" w:color="auto" w:fill="FFFFFF"/>
            <w:vAlign w:val="center"/>
          </w:tcPr>
          <w:p>
            <w:pPr>
              <w:pageBreakBefore w:val="0"/>
              <w:kinsoku/>
              <w:overflowPunct/>
              <w:topLinePunct w:val="0"/>
              <w:bidi w:val="0"/>
              <w:snapToGrid/>
              <w:spacing w:line="360" w:lineRule="auto"/>
              <w:jc w:val="center"/>
              <w:rPr>
                <w:rFonts w:hint="eastAsia" w:ascii="宋体" w:hAnsi="宋体" w:eastAsia="宋体" w:cs="宋体"/>
                <w:color w:val="auto"/>
                <w:sz w:val="24"/>
                <w:szCs w:val="24"/>
                <w:highlight w:val="none"/>
              </w:rPr>
            </w:pPr>
          </w:p>
        </w:tc>
        <w:tc>
          <w:tcPr>
            <w:tcW w:w="849" w:type="dxa"/>
            <w:tcBorders>
              <w:top w:val="single" w:color="auto" w:sz="4" w:space="0"/>
              <w:left w:val="single" w:color="auto" w:sz="4" w:space="0"/>
            </w:tcBorders>
            <w:shd w:val="clear" w:color="auto" w:fill="FFFFFF"/>
            <w:vAlign w:val="center"/>
          </w:tcPr>
          <w:p>
            <w:pPr>
              <w:pageBreakBefore w:val="0"/>
              <w:kinsoku/>
              <w:overflowPunct/>
              <w:topLinePunct w:val="0"/>
              <w:bidi w:val="0"/>
              <w:snapToGrid/>
              <w:spacing w:line="360" w:lineRule="auto"/>
              <w:jc w:val="center"/>
              <w:rPr>
                <w:rFonts w:hint="eastAsia" w:ascii="宋体" w:hAnsi="宋体" w:eastAsia="宋体" w:cs="宋体"/>
                <w:color w:val="auto"/>
                <w:sz w:val="24"/>
                <w:szCs w:val="24"/>
                <w:highlight w:val="none"/>
              </w:rPr>
            </w:pPr>
          </w:p>
        </w:tc>
        <w:tc>
          <w:tcPr>
            <w:tcW w:w="1384" w:type="dxa"/>
            <w:tcBorders>
              <w:top w:val="single" w:color="auto" w:sz="4" w:space="0"/>
              <w:left w:val="single" w:color="auto" w:sz="4" w:space="0"/>
              <w:right w:val="single" w:color="auto" w:sz="4" w:space="0"/>
            </w:tcBorders>
            <w:shd w:val="clear" w:color="auto" w:fill="FFFFFF"/>
            <w:vAlign w:val="center"/>
          </w:tcPr>
          <w:p>
            <w:pPr>
              <w:pageBreakBefore w:val="0"/>
              <w:kinsoku/>
              <w:overflowPunct/>
              <w:topLinePunct w:val="0"/>
              <w:bidi w:val="0"/>
              <w:snapToGrid/>
              <w:spacing w:line="360" w:lineRule="auto"/>
              <w:jc w:val="center"/>
              <w:rPr>
                <w:rFonts w:hint="eastAsia" w:ascii="宋体" w:hAnsi="宋体" w:eastAsia="宋体" w:cs="宋体"/>
                <w:color w:val="auto"/>
                <w:sz w:val="24"/>
                <w:szCs w:val="24"/>
                <w:highlight w:val="none"/>
              </w:rPr>
            </w:pPr>
          </w:p>
        </w:tc>
      </w:tr>
      <w:tr>
        <w:tblPrEx>
          <w:tblCellMar>
            <w:top w:w="0" w:type="dxa"/>
            <w:left w:w="10" w:type="dxa"/>
            <w:bottom w:w="0" w:type="dxa"/>
            <w:right w:w="10" w:type="dxa"/>
          </w:tblCellMar>
        </w:tblPrEx>
        <w:trPr>
          <w:trHeight w:val="523" w:hRule="exact"/>
          <w:jc w:val="center"/>
        </w:trPr>
        <w:tc>
          <w:tcPr>
            <w:tcW w:w="867" w:type="dxa"/>
            <w:tcBorders>
              <w:top w:val="single" w:color="auto" w:sz="4" w:space="0"/>
              <w:left w:val="single" w:color="auto" w:sz="4" w:space="0"/>
            </w:tcBorders>
            <w:shd w:val="clear" w:color="auto" w:fill="FFFFFF"/>
            <w:vAlign w:val="center"/>
          </w:tcPr>
          <w:p>
            <w:pPr>
              <w:pageBreakBefore w:val="0"/>
              <w:kinsoku/>
              <w:overflowPunct/>
              <w:topLinePunct w:val="0"/>
              <w:bidi w:val="0"/>
              <w:snapToGrid/>
              <w:spacing w:line="360" w:lineRule="auto"/>
              <w:jc w:val="center"/>
              <w:rPr>
                <w:rFonts w:hint="eastAsia" w:ascii="宋体" w:hAnsi="宋体" w:eastAsia="宋体" w:cs="宋体"/>
                <w:color w:val="auto"/>
                <w:sz w:val="24"/>
                <w:szCs w:val="24"/>
                <w:highlight w:val="none"/>
              </w:rPr>
            </w:pPr>
          </w:p>
        </w:tc>
        <w:tc>
          <w:tcPr>
            <w:tcW w:w="1413" w:type="dxa"/>
            <w:tcBorders>
              <w:top w:val="single" w:color="auto" w:sz="4" w:space="0"/>
              <w:left w:val="single" w:color="auto" w:sz="4" w:space="0"/>
            </w:tcBorders>
            <w:shd w:val="clear" w:color="auto" w:fill="FFFFFF"/>
            <w:vAlign w:val="center"/>
          </w:tcPr>
          <w:p>
            <w:pPr>
              <w:pageBreakBefore w:val="0"/>
              <w:kinsoku/>
              <w:overflowPunct/>
              <w:topLinePunct w:val="0"/>
              <w:bidi w:val="0"/>
              <w:snapToGrid/>
              <w:spacing w:line="360" w:lineRule="auto"/>
              <w:jc w:val="center"/>
              <w:rPr>
                <w:rFonts w:hint="eastAsia" w:ascii="宋体" w:hAnsi="宋体" w:eastAsia="宋体" w:cs="宋体"/>
                <w:color w:val="auto"/>
                <w:sz w:val="24"/>
                <w:szCs w:val="24"/>
                <w:highlight w:val="none"/>
              </w:rPr>
            </w:pPr>
          </w:p>
        </w:tc>
        <w:tc>
          <w:tcPr>
            <w:tcW w:w="1413" w:type="dxa"/>
            <w:tcBorders>
              <w:top w:val="single" w:color="auto" w:sz="4" w:space="0"/>
              <w:left w:val="single" w:color="auto" w:sz="4" w:space="0"/>
            </w:tcBorders>
            <w:shd w:val="clear" w:color="auto" w:fill="FFFFFF"/>
            <w:vAlign w:val="center"/>
          </w:tcPr>
          <w:p>
            <w:pPr>
              <w:pageBreakBefore w:val="0"/>
              <w:kinsoku/>
              <w:overflowPunct/>
              <w:topLinePunct w:val="0"/>
              <w:bidi w:val="0"/>
              <w:snapToGrid/>
              <w:spacing w:line="360" w:lineRule="auto"/>
              <w:jc w:val="center"/>
              <w:rPr>
                <w:rFonts w:hint="eastAsia" w:ascii="宋体" w:hAnsi="宋体" w:eastAsia="宋体" w:cs="宋体"/>
                <w:color w:val="auto"/>
                <w:sz w:val="24"/>
                <w:szCs w:val="24"/>
                <w:highlight w:val="none"/>
              </w:rPr>
            </w:pPr>
          </w:p>
        </w:tc>
        <w:tc>
          <w:tcPr>
            <w:tcW w:w="1136" w:type="dxa"/>
            <w:tcBorders>
              <w:top w:val="single" w:color="auto" w:sz="4" w:space="0"/>
              <w:left w:val="single" w:color="auto" w:sz="4" w:space="0"/>
            </w:tcBorders>
            <w:shd w:val="clear" w:color="auto" w:fill="FFFFFF"/>
            <w:vAlign w:val="center"/>
          </w:tcPr>
          <w:p>
            <w:pPr>
              <w:pageBreakBefore w:val="0"/>
              <w:kinsoku/>
              <w:overflowPunct/>
              <w:topLinePunct w:val="0"/>
              <w:bidi w:val="0"/>
              <w:snapToGrid/>
              <w:spacing w:line="360" w:lineRule="auto"/>
              <w:jc w:val="center"/>
              <w:rPr>
                <w:rFonts w:hint="eastAsia" w:ascii="宋体" w:hAnsi="宋体" w:eastAsia="宋体" w:cs="宋体"/>
                <w:color w:val="auto"/>
                <w:sz w:val="24"/>
                <w:szCs w:val="24"/>
                <w:highlight w:val="none"/>
              </w:rPr>
            </w:pPr>
          </w:p>
        </w:tc>
        <w:tc>
          <w:tcPr>
            <w:tcW w:w="675" w:type="dxa"/>
            <w:tcBorders>
              <w:top w:val="single" w:color="auto" w:sz="4" w:space="0"/>
              <w:left w:val="single" w:color="auto" w:sz="4" w:space="0"/>
            </w:tcBorders>
            <w:shd w:val="clear" w:color="auto" w:fill="FFFFFF"/>
            <w:vAlign w:val="center"/>
          </w:tcPr>
          <w:p>
            <w:pPr>
              <w:pageBreakBefore w:val="0"/>
              <w:kinsoku/>
              <w:overflowPunct/>
              <w:topLinePunct w:val="0"/>
              <w:bidi w:val="0"/>
              <w:snapToGrid/>
              <w:spacing w:line="360" w:lineRule="auto"/>
              <w:jc w:val="center"/>
              <w:rPr>
                <w:rFonts w:hint="eastAsia" w:ascii="宋体" w:hAnsi="宋体" w:eastAsia="宋体" w:cs="宋体"/>
                <w:color w:val="auto"/>
                <w:sz w:val="24"/>
                <w:szCs w:val="24"/>
                <w:highlight w:val="none"/>
              </w:rPr>
            </w:pPr>
          </w:p>
        </w:tc>
        <w:tc>
          <w:tcPr>
            <w:tcW w:w="680" w:type="dxa"/>
            <w:tcBorders>
              <w:top w:val="single" w:color="auto" w:sz="4" w:space="0"/>
              <w:left w:val="single" w:color="auto" w:sz="4" w:space="0"/>
            </w:tcBorders>
            <w:shd w:val="clear" w:color="auto" w:fill="FFFFFF"/>
            <w:vAlign w:val="center"/>
          </w:tcPr>
          <w:p>
            <w:pPr>
              <w:pageBreakBefore w:val="0"/>
              <w:kinsoku/>
              <w:overflowPunct/>
              <w:topLinePunct w:val="0"/>
              <w:bidi w:val="0"/>
              <w:snapToGrid/>
              <w:spacing w:line="360" w:lineRule="auto"/>
              <w:jc w:val="center"/>
              <w:rPr>
                <w:rFonts w:hint="eastAsia" w:ascii="宋体" w:hAnsi="宋体" w:eastAsia="宋体" w:cs="宋体"/>
                <w:color w:val="auto"/>
                <w:sz w:val="24"/>
                <w:szCs w:val="24"/>
                <w:highlight w:val="none"/>
              </w:rPr>
            </w:pPr>
          </w:p>
        </w:tc>
        <w:tc>
          <w:tcPr>
            <w:tcW w:w="1240" w:type="dxa"/>
            <w:tcBorders>
              <w:top w:val="single" w:color="auto" w:sz="4" w:space="0"/>
              <w:left w:val="single" w:color="auto" w:sz="4" w:space="0"/>
            </w:tcBorders>
            <w:shd w:val="clear" w:color="auto" w:fill="FFFFFF"/>
            <w:vAlign w:val="center"/>
          </w:tcPr>
          <w:p>
            <w:pPr>
              <w:pageBreakBefore w:val="0"/>
              <w:kinsoku/>
              <w:overflowPunct/>
              <w:topLinePunct w:val="0"/>
              <w:bidi w:val="0"/>
              <w:snapToGrid/>
              <w:spacing w:line="360" w:lineRule="auto"/>
              <w:jc w:val="center"/>
              <w:rPr>
                <w:rFonts w:hint="eastAsia" w:ascii="宋体" w:hAnsi="宋体" w:eastAsia="宋体" w:cs="宋体"/>
                <w:color w:val="auto"/>
                <w:sz w:val="24"/>
                <w:szCs w:val="24"/>
                <w:highlight w:val="none"/>
              </w:rPr>
            </w:pPr>
          </w:p>
        </w:tc>
        <w:tc>
          <w:tcPr>
            <w:tcW w:w="852" w:type="dxa"/>
            <w:tcBorders>
              <w:top w:val="single" w:color="auto" w:sz="4" w:space="0"/>
              <w:left w:val="single" w:color="auto" w:sz="4" w:space="0"/>
            </w:tcBorders>
            <w:shd w:val="clear" w:color="auto" w:fill="FFFFFF"/>
            <w:vAlign w:val="center"/>
          </w:tcPr>
          <w:p>
            <w:pPr>
              <w:pageBreakBefore w:val="0"/>
              <w:kinsoku/>
              <w:overflowPunct/>
              <w:topLinePunct w:val="0"/>
              <w:bidi w:val="0"/>
              <w:snapToGrid/>
              <w:spacing w:line="360" w:lineRule="auto"/>
              <w:jc w:val="center"/>
              <w:rPr>
                <w:rFonts w:hint="eastAsia" w:ascii="宋体" w:hAnsi="宋体" w:eastAsia="宋体" w:cs="宋体"/>
                <w:color w:val="auto"/>
                <w:sz w:val="24"/>
                <w:szCs w:val="24"/>
                <w:highlight w:val="none"/>
              </w:rPr>
            </w:pPr>
          </w:p>
        </w:tc>
        <w:tc>
          <w:tcPr>
            <w:tcW w:w="849" w:type="dxa"/>
            <w:tcBorders>
              <w:top w:val="single" w:color="auto" w:sz="4" w:space="0"/>
              <w:left w:val="single" w:color="auto" w:sz="4" w:space="0"/>
            </w:tcBorders>
            <w:shd w:val="clear" w:color="auto" w:fill="FFFFFF"/>
            <w:vAlign w:val="center"/>
          </w:tcPr>
          <w:p>
            <w:pPr>
              <w:pageBreakBefore w:val="0"/>
              <w:kinsoku/>
              <w:overflowPunct/>
              <w:topLinePunct w:val="0"/>
              <w:bidi w:val="0"/>
              <w:snapToGrid/>
              <w:spacing w:line="360" w:lineRule="auto"/>
              <w:jc w:val="center"/>
              <w:rPr>
                <w:rFonts w:hint="eastAsia" w:ascii="宋体" w:hAnsi="宋体" w:eastAsia="宋体" w:cs="宋体"/>
                <w:color w:val="auto"/>
                <w:sz w:val="24"/>
                <w:szCs w:val="24"/>
                <w:highlight w:val="none"/>
              </w:rPr>
            </w:pPr>
          </w:p>
        </w:tc>
        <w:tc>
          <w:tcPr>
            <w:tcW w:w="1384" w:type="dxa"/>
            <w:tcBorders>
              <w:top w:val="single" w:color="auto" w:sz="4" w:space="0"/>
              <w:left w:val="single" w:color="auto" w:sz="4" w:space="0"/>
              <w:right w:val="single" w:color="auto" w:sz="4" w:space="0"/>
            </w:tcBorders>
            <w:shd w:val="clear" w:color="auto" w:fill="FFFFFF"/>
            <w:vAlign w:val="center"/>
          </w:tcPr>
          <w:p>
            <w:pPr>
              <w:pageBreakBefore w:val="0"/>
              <w:kinsoku/>
              <w:overflowPunct/>
              <w:topLinePunct w:val="0"/>
              <w:bidi w:val="0"/>
              <w:snapToGrid/>
              <w:spacing w:line="360" w:lineRule="auto"/>
              <w:jc w:val="center"/>
              <w:rPr>
                <w:rFonts w:hint="eastAsia" w:ascii="宋体" w:hAnsi="宋体" w:eastAsia="宋体" w:cs="宋体"/>
                <w:color w:val="auto"/>
                <w:sz w:val="24"/>
                <w:szCs w:val="24"/>
                <w:highlight w:val="none"/>
              </w:rPr>
            </w:pPr>
          </w:p>
        </w:tc>
      </w:tr>
      <w:tr>
        <w:tblPrEx>
          <w:tblCellMar>
            <w:top w:w="0" w:type="dxa"/>
            <w:left w:w="10" w:type="dxa"/>
            <w:bottom w:w="0" w:type="dxa"/>
            <w:right w:w="10" w:type="dxa"/>
          </w:tblCellMar>
        </w:tblPrEx>
        <w:trPr>
          <w:trHeight w:val="523" w:hRule="exact"/>
          <w:jc w:val="center"/>
        </w:trPr>
        <w:tc>
          <w:tcPr>
            <w:tcW w:w="867" w:type="dxa"/>
            <w:tcBorders>
              <w:top w:val="single" w:color="auto" w:sz="4" w:space="0"/>
              <w:left w:val="single" w:color="auto" w:sz="4" w:space="0"/>
            </w:tcBorders>
            <w:shd w:val="clear" w:color="auto" w:fill="FFFFFF"/>
            <w:vAlign w:val="center"/>
          </w:tcPr>
          <w:p>
            <w:pPr>
              <w:pageBreakBefore w:val="0"/>
              <w:kinsoku/>
              <w:overflowPunct/>
              <w:topLinePunct w:val="0"/>
              <w:bidi w:val="0"/>
              <w:snapToGrid/>
              <w:spacing w:line="360" w:lineRule="auto"/>
              <w:jc w:val="center"/>
              <w:rPr>
                <w:rFonts w:hint="eastAsia" w:ascii="宋体" w:hAnsi="宋体" w:eastAsia="宋体" w:cs="宋体"/>
                <w:color w:val="auto"/>
                <w:sz w:val="24"/>
                <w:szCs w:val="24"/>
                <w:highlight w:val="none"/>
              </w:rPr>
            </w:pPr>
          </w:p>
        </w:tc>
        <w:tc>
          <w:tcPr>
            <w:tcW w:w="1413" w:type="dxa"/>
            <w:tcBorders>
              <w:top w:val="single" w:color="auto" w:sz="4" w:space="0"/>
              <w:left w:val="single" w:color="auto" w:sz="4" w:space="0"/>
            </w:tcBorders>
            <w:shd w:val="clear" w:color="auto" w:fill="FFFFFF"/>
            <w:vAlign w:val="center"/>
          </w:tcPr>
          <w:p>
            <w:pPr>
              <w:pageBreakBefore w:val="0"/>
              <w:kinsoku/>
              <w:overflowPunct/>
              <w:topLinePunct w:val="0"/>
              <w:bidi w:val="0"/>
              <w:snapToGrid/>
              <w:spacing w:line="360" w:lineRule="auto"/>
              <w:jc w:val="center"/>
              <w:rPr>
                <w:rFonts w:hint="eastAsia" w:ascii="宋体" w:hAnsi="宋体" w:eastAsia="宋体" w:cs="宋体"/>
                <w:color w:val="auto"/>
                <w:sz w:val="24"/>
                <w:szCs w:val="24"/>
                <w:highlight w:val="none"/>
              </w:rPr>
            </w:pPr>
          </w:p>
        </w:tc>
        <w:tc>
          <w:tcPr>
            <w:tcW w:w="1413" w:type="dxa"/>
            <w:tcBorders>
              <w:top w:val="single" w:color="auto" w:sz="4" w:space="0"/>
              <w:left w:val="single" w:color="auto" w:sz="4" w:space="0"/>
            </w:tcBorders>
            <w:shd w:val="clear" w:color="auto" w:fill="FFFFFF"/>
            <w:vAlign w:val="center"/>
          </w:tcPr>
          <w:p>
            <w:pPr>
              <w:pageBreakBefore w:val="0"/>
              <w:kinsoku/>
              <w:overflowPunct/>
              <w:topLinePunct w:val="0"/>
              <w:bidi w:val="0"/>
              <w:snapToGrid/>
              <w:spacing w:line="360" w:lineRule="auto"/>
              <w:jc w:val="center"/>
              <w:rPr>
                <w:rFonts w:hint="eastAsia" w:ascii="宋体" w:hAnsi="宋体" w:eastAsia="宋体" w:cs="宋体"/>
                <w:color w:val="auto"/>
                <w:sz w:val="24"/>
                <w:szCs w:val="24"/>
                <w:highlight w:val="none"/>
              </w:rPr>
            </w:pPr>
          </w:p>
        </w:tc>
        <w:tc>
          <w:tcPr>
            <w:tcW w:w="1136" w:type="dxa"/>
            <w:tcBorders>
              <w:top w:val="single" w:color="auto" w:sz="4" w:space="0"/>
              <w:left w:val="single" w:color="auto" w:sz="4" w:space="0"/>
            </w:tcBorders>
            <w:shd w:val="clear" w:color="auto" w:fill="FFFFFF"/>
            <w:vAlign w:val="center"/>
          </w:tcPr>
          <w:p>
            <w:pPr>
              <w:pageBreakBefore w:val="0"/>
              <w:kinsoku/>
              <w:overflowPunct/>
              <w:topLinePunct w:val="0"/>
              <w:bidi w:val="0"/>
              <w:snapToGrid/>
              <w:spacing w:line="360" w:lineRule="auto"/>
              <w:jc w:val="center"/>
              <w:rPr>
                <w:rFonts w:hint="eastAsia" w:ascii="宋体" w:hAnsi="宋体" w:eastAsia="宋体" w:cs="宋体"/>
                <w:color w:val="auto"/>
                <w:sz w:val="24"/>
                <w:szCs w:val="24"/>
                <w:highlight w:val="none"/>
              </w:rPr>
            </w:pPr>
          </w:p>
        </w:tc>
        <w:tc>
          <w:tcPr>
            <w:tcW w:w="675" w:type="dxa"/>
            <w:tcBorders>
              <w:top w:val="single" w:color="auto" w:sz="4" w:space="0"/>
              <w:left w:val="single" w:color="auto" w:sz="4" w:space="0"/>
            </w:tcBorders>
            <w:shd w:val="clear" w:color="auto" w:fill="FFFFFF"/>
            <w:vAlign w:val="center"/>
          </w:tcPr>
          <w:p>
            <w:pPr>
              <w:pageBreakBefore w:val="0"/>
              <w:kinsoku/>
              <w:overflowPunct/>
              <w:topLinePunct w:val="0"/>
              <w:bidi w:val="0"/>
              <w:snapToGrid/>
              <w:spacing w:line="360" w:lineRule="auto"/>
              <w:jc w:val="center"/>
              <w:rPr>
                <w:rFonts w:hint="eastAsia" w:ascii="宋体" w:hAnsi="宋体" w:eastAsia="宋体" w:cs="宋体"/>
                <w:color w:val="auto"/>
                <w:sz w:val="24"/>
                <w:szCs w:val="24"/>
                <w:highlight w:val="none"/>
              </w:rPr>
            </w:pPr>
          </w:p>
        </w:tc>
        <w:tc>
          <w:tcPr>
            <w:tcW w:w="680" w:type="dxa"/>
            <w:tcBorders>
              <w:top w:val="single" w:color="auto" w:sz="4" w:space="0"/>
              <w:left w:val="single" w:color="auto" w:sz="4" w:space="0"/>
            </w:tcBorders>
            <w:shd w:val="clear" w:color="auto" w:fill="FFFFFF"/>
            <w:vAlign w:val="center"/>
          </w:tcPr>
          <w:p>
            <w:pPr>
              <w:pageBreakBefore w:val="0"/>
              <w:kinsoku/>
              <w:overflowPunct/>
              <w:topLinePunct w:val="0"/>
              <w:bidi w:val="0"/>
              <w:snapToGrid/>
              <w:spacing w:line="360" w:lineRule="auto"/>
              <w:jc w:val="center"/>
              <w:rPr>
                <w:rFonts w:hint="eastAsia" w:ascii="宋体" w:hAnsi="宋体" w:eastAsia="宋体" w:cs="宋体"/>
                <w:color w:val="auto"/>
                <w:sz w:val="24"/>
                <w:szCs w:val="24"/>
                <w:highlight w:val="none"/>
              </w:rPr>
            </w:pPr>
          </w:p>
        </w:tc>
        <w:tc>
          <w:tcPr>
            <w:tcW w:w="1240" w:type="dxa"/>
            <w:tcBorders>
              <w:top w:val="single" w:color="auto" w:sz="4" w:space="0"/>
              <w:left w:val="single" w:color="auto" w:sz="4" w:space="0"/>
            </w:tcBorders>
            <w:shd w:val="clear" w:color="auto" w:fill="FFFFFF"/>
            <w:vAlign w:val="center"/>
          </w:tcPr>
          <w:p>
            <w:pPr>
              <w:pageBreakBefore w:val="0"/>
              <w:kinsoku/>
              <w:overflowPunct/>
              <w:topLinePunct w:val="0"/>
              <w:bidi w:val="0"/>
              <w:snapToGrid/>
              <w:spacing w:line="360" w:lineRule="auto"/>
              <w:jc w:val="center"/>
              <w:rPr>
                <w:rFonts w:hint="eastAsia" w:ascii="宋体" w:hAnsi="宋体" w:eastAsia="宋体" w:cs="宋体"/>
                <w:color w:val="auto"/>
                <w:sz w:val="24"/>
                <w:szCs w:val="24"/>
                <w:highlight w:val="none"/>
              </w:rPr>
            </w:pPr>
          </w:p>
        </w:tc>
        <w:tc>
          <w:tcPr>
            <w:tcW w:w="852" w:type="dxa"/>
            <w:tcBorders>
              <w:top w:val="single" w:color="auto" w:sz="4" w:space="0"/>
              <w:left w:val="single" w:color="auto" w:sz="4" w:space="0"/>
            </w:tcBorders>
            <w:shd w:val="clear" w:color="auto" w:fill="FFFFFF"/>
            <w:vAlign w:val="center"/>
          </w:tcPr>
          <w:p>
            <w:pPr>
              <w:pageBreakBefore w:val="0"/>
              <w:kinsoku/>
              <w:overflowPunct/>
              <w:topLinePunct w:val="0"/>
              <w:bidi w:val="0"/>
              <w:snapToGrid/>
              <w:spacing w:line="360" w:lineRule="auto"/>
              <w:jc w:val="center"/>
              <w:rPr>
                <w:rFonts w:hint="eastAsia" w:ascii="宋体" w:hAnsi="宋体" w:eastAsia="宋体" w:cs="宋体"/>
                <w:color w:val="auto"/>
                <w:sz w:val="24"/>
                <w:szCs w:val="24"/>
                <w:highlight w:val="none"/>
              </w:rPr>
            </w:pPr>
          </w:p>
        </w:tc>
        <w:tc>
          <w:tcPr>
            <w:tcW w:w="849" w:type="dxa"/>
            <w:tcBorders>
              <w:top w:val="single" w:color="auto" w:sz="4" w:space="0"/>
              <w:left w:val="single" w:color="auto" w:sz="4" w:space="0"/>
            </w:tcBorders>
            <w:shd w:val="clear" w:color="auto" w:fill="FFFFFF"/>
            <w:vAlign w:val="center"/>
          </w:tcPr>
          <w:p>
            <w:pPr>
              <w:pageBreakBefore w:val="0"/>
              <w:kinsoku/>
              <w:overflowPunct/>
              <w:topLinePunct w:val="0"/>
              <w:bidi w:val="0"/>
              <w:snapToGrid/>
              <w:spacing w:line="360" w:lineRule="auto"/>
              <w:jc w:val="center"/>
              <w:rPr>
                <w:rFonts w:hint="eastAsia" w:ascii="宋体" w:hAnsi="宋体" w:eastAsia="宋体" w:cs="宋体"/>
                <w:color w:val="auto"/>
                <w:sz w:val="24"/>
                <w:szCs w:val="24"/>
                <w:highlight w:val="none"/>
              </w:rPr>
            </w:pPr>
          </w:p>
        </w:tc>
        <w:tc>
          <w:tcPr>
            <w:tcW w:w="1384" w:type="dxa"/>
            <w:tcBorders>
              <w:top w:val="single" w:color="auto" w:sz="4" w:space="0"/>
              <w:left w:val="single" w:color="auto" w:sz="4" w:space="0"/>
              <w:right w:val="single" w:color="auto" w:sz="4" w:space="0"/>
            </w:tcBorders>
            <w:shd w:val="clear" w:color="auto" w:fill="FFFFFF"/>
            <w:vAlign w:val="center"/>
          </w:tcPr>
          <w:p>
            <w:pPr>
              <w:pageBreakBefore w:val="0"/>
              <w:kinsoku/>
              <w:overflowPunct/>
              <w:topLinePunct w:val="0"/>
              <w:bidi w:val="0"/>
              <w:snapToGrid/>
              <w:spacing w:line="360" w:lineRule="auto"/>
              <w:jc w:val="center"/>
              <w:rPr>
                <w:rFonts w:hint="eastAsia" w:ascii="宋体" w:hAnsi="宋体" w:eastAsia="宋体" w:cs="宋体"/>
                <w:color w:val="auto"/>
                <w:sz w:val="24"/>
                <w:szCs w:val="24"/>
                <w:highlight w:val="none"/>
              </w:rPr>
            </w:pPr>
          </w:p>
        </w:tc>
      </w:tr>
      <w:tr>
        <w:tblPrEx>
          <w:tblCellMar>
            <w:top w:w="0" w:type="dxa"/>
            <w:left w:w="10" w:type="dxa"/>
            <w:bottom w:w="0" w:type="dxa"/>
            <w:right w:w="10" w:type="dxa"/>
          </w:tblCellMar>
        </w:tblPrEx>
        <w:trPr>
          <w:trHeight w:val="523" w:hRule="exact"/>
          <w:jc w:val="center"/>
        </w:trPr>
        <w:tc>
          <w:tcPr>
            <w:tcW w:w="867" w:type="dxa"/>
            <w:tcBorders>
              <w:top w:val="single" w:color="auto" w:sz="4" w:space="0"/>
              <w:left w:val="single" w:color="auto" w:sz="4" w:space="0"/>
            </w:tcBorders>
            <w:shd w:val="clear" w:color="auto" w:fill="FFFFFF"/>
            <w:vAlign w:val="center"/>
          </w:tcPr>
          <w:p>
            <w:pPr>
              <w:pageBreakBefore w:val="0"/>
              <w:kinsoku/>
              <w:overflowPunct/>
              <w:topLinePunct w:val="0"/>
              <w:bidi w:val="0"/>
              <w:snapToGrid/>
              <w:spacing w:line="360" w:lineRule="auto"/>
              <w:jc w:val="center"/>
              <w:rPr>
                <w:rFonts w:hint="eastAsia" w:ascii="宋体" w:hAnsi="宋体" w:eastAsia="宋体" w:cs="宋体"/>
                <w:color w:val="auto"/>
                <w:sz w:val="24"/>
                <w:szCs w:val="24"/>
                <w:highlight w:val="none"/>
              </w:rPr>
            </w:pPr>
          </w:p>
        </w:tc>
        <w:tc>
          <w:tcPr>
            <w:tcW w:w="1413" w:type="dxa"/>
            <w:tcBorders>
              <w:top w:val="single" w:color="auto" w:sz="4" w:space="0"/>
              <w:left w:val="single" w:color="auto" w:sz="4" w:space="0"/>
            </w:tcBorders>
            <w:shd w:val="clear" w:color="auto" w:fill="FFFFFF"/>
            <w:vAlign w:val="center"/>
          </w:tcPr>
          <w:p>
            <w:pPr>
              <w:pageBreakBefore w:val="0"/>
              <w:kinsoku/>
              <w:overflowPunct/>
              <w:topLinePunct w:val="0"/>
              <w:bidi w:val="0"/>
              <w:snapToGrid/>
              <w:spacing w:line="360" w:lineRule="auto"/>
              <w:jc w:val="center"/>
              <w:rPr>
                <w:rFonts w:hint="eastAsia" w:ascii="宋体" w:hAnsi="宋体" w:eastAsia="宋体" w:cs="宋体"/>
                <w:color w:val="auto"/>
                <w:sz w:val="24"/>
                <w:szCs w:val="24"/>
                <w:highlight w:val="none"/>
              </w:rPr>
            </w:pPr>
          </w:p>
        </w:tc>
        <w:tc>
          <w:tcPr>
            <w:tcW w:w="1413" w:type="dxa"/>
            <w:tcBorders>
              <w:top w:val="single" w:color="auto" w:sz="4" w:space="0"/>
              <w:left w:val="single" w:color="auto" w:sz="4" w:space="0"/>
            </w:tcBorders>
            <w:shd w:val="clear" w:color="auto" w:fill="FFFFFF"/>
            <w:vAlign w:val="center"/>
          </w:tcPr>
          <w:p>
            <w:pPr>
              <w:pageBreakBefore w:val="0"/>
              <w:kinsoku/>
              <w:overflowPunct/>
              <w:topLinePunct w:val="0"/>
              <w:bidi w:val="0"/>
              <w:snapToGrid/>
              <w:spacing w:line="360" w:lineRule="auto"/>
              <w:jc w:val="center"/>
              <w:rPr>
                <w:rFonts w:hint="eastAsia" w:ascii="宋体" w:hAnsi="宋体" w:eastAsia="宋体" w:cs="宋体"/>
                <w:color w:val="auto"/>
                <w:sz w:val="24"/>
                <w:szCs w:val="24"/>
                <w:highlight w:val="none"/>
              </w:rPr>
            </w:pPr>
          </w:p>
        </w:tc>
        <w:tc>
          <w:tcPr>
            <w:tcW w:w="1136" w:type="dxa"/>
            <w:tcBorders>
              <w:top w:val="single" w:color="auto" w:sz="4" w:space="0"/>
              <w:left w:val="single" w:color="auto" w:sz="4" w:space="0"/>
            </w:tcBorders>
            <w:shd w:val="clear" w:color="auto" w:fill="FFFFFF"/>
            <w:vAlign w:val="center"/>
          </w:tcPr>
          <w:p>
            <w:pPr>
              <w:pageBreakBefore w:val="0"/>
              <w:kinsoku/>
              <w:overflowPunct/>
              <w:topLinePunct w:val="0"/>
              <w:bidi w:val="0"/>
              <w:snapToGrid/>
              <w:spacing w:line="360" w:lineRule="auto"/>
              <w:jc w:val="center"/>
              <w:rPr>
                <w:rFonts w:hint="eastAsia" w:ascii="宋体" w:hAnsi="宋体" w:eastAsia="宋体" w:cs="宋体"/>
                <w:color w:val="auto"/>
                <w:sz w:val="24"/>
                <w:szCs w:val="24"/>
                <w:highlight w:val="none"/>
              </w:rPr>
            </w:pPr>
          </w:p>
        </w:tc>
        <w:tc>
          <w:tcPr>
            <w:tcW w:w="675" w:type="dxa"/>
            <w:tcBorders>
              <w:top w:val="single" w:color="auto" w:sz="4" w:space="0"/>
              <w:left w:val="single" w:color="auto" w:sz="4" w:space="0"/>
            </w:tcBorders>
            <w:shd w:val="clear" w:color="auto" w:fill="FFFFFF"/>
            <w:vAlign w:val="center"/>
          </w:tcPr>
          <w:p>
            <w:pPr>
              <w:pageBreakBefore w:val="0"/>
              <w:kinsoku/>
              <w:overflowPunct/>
              <w:topLinePunct w:val="0"/>
              <w:bidi w:val="0"/>
              <w:snapToGrid/>
              <w:spacing w:line="360" w:lineRule="auto"/>
              <w:jc w:val="center"/>
              <w:rPr>
                <w:rFonts w:hint="eastAsia" w:ascii="宋体" w:hAnsi="宋体" w:eastAsia="宋体" w:cs="宋体"/>
                <w:color w:val="auto"/>
                <w:sz w:val="24"/>
                <w:szCs w:val="24"/>
                <w:highlight w:val="none"/>
              </w:rPr>
            </w:pPr>
          </w:p>
        </w:tc>
        <w:tc>
          <w:tcPr>
            <w:tcW w:w="680" w:type="dxa"/>
            <w:tcBorders>
              <w:top w:val="single" w:color="auto" w:sz="4" w:space="0"/>
              <w:left w:val="single" w:color="auto" w:sz="4" w:space="0"/>
            </w:tcBorders>
            <w:shd w:val="clear" w:color="auto" w:fill="FFFFFF"/>
            <w:vAlign w:val="center"/>
          </w:tcPr>
          <w:p>
            <w:pPr>
              <w:pageBreakBefore w:val="0"/>
              <w:kinsoku/>
              <w:overflowPunct/>
              <w:topLinePunct w:val="0"/>
              <w:bidi w:val="0"/>
              <w:snapToGrid/>
              <w:spacing w:line="360" w:lineRule="auto"/>
              <w:jc w:val="center"/>
              <w:rPr>
                <w:rFonts w:hint="eastAsia" w:ascii="宋体" w:hAnsi="宋体" w:eastAsia="宋体" w:cs="宋体"/>
                <w:color w:val="auto"/>
                <w:sz w:val="24"/>
                <w:szCs w:val="24"/>
                <w:highlight w:val="none"/>
              </w:rPr>
            </w:pPr>
          </w:p>
        </w:tc>
        <w:tc>
          <w:tcPr>
            <w:tcW w:w="1240" w:type="dxa"/>
            <w:tcBorders>
              <w:top w:val="single" w:color="auto" w:sz="4" w:space="0"/>
              <w:left w:val="single" w:color="auto" w:sz="4" w:space="0"/>
            </w:tcBorders>
            <w:shd w:val="clear" w:color="auto" w:fill="FFFFFF"/>
            <w:vAlign w:val="center"/>
          </w:tcPr>
          <w:p>
            <w:pPr>
              <w:pageBreakBefore w:val="0"/>
              <w:kinsoku/>
              <w:overflowPunct/>
              <w:topLinePunct w:val="0"/>
              <w:bidi w:val="0"/>
              <w:snapToGrid/>
              <w:spacing w:line="360" w:lineRule="auto"/>
              <w:jc w:val="center"/>
              <w:rPr>
                <w:rFonts w:hint="eastAsia" w:ascii="宋体" w:hAnsi="宋体" w:eastAsia="宋体" w:cs="宋体"/>
                <w:color w:val="auto"/>
                <w:sz w:val="24"/>
                <w:szCs w:val="24"/>
                <w:highlight w:val="none"/>
              </w:rPr>
            </w:pPr>
          </w:p>
        </w:tc>
        <w:tc>
          <w:tcPr>
            <w:tcW w:w="852" w:type="dxa"/>
            <w:tcBorders>
              <w:top w:val="single" w:color="auto" w:sz="4" w:space="0"/>
              <w:left w:val="single" w:color="auto" w:sz="4" w:space="0"/>
            </w:tcBorders>
            <w:shd w:val="clear" w:color="auto" w:fill="FFFFFF"/>
            <w:vAlign w:val="center"/>
          </w:tcPr>
          <w:p>
            <w:pPr>
              <w:pageBreakBefore w:val="0"/>
              <w:kinsoku/>
              <w:overflowPunct/>
              <w:topLinePunct w:val="0"/>
              <w:bidi w:val="0"/>
              <w:snapToGrid/>
              <w:spacing w:line="360" w:lineRule="auto"/>
              <w:jc w:val="center"/>
              <w:rPr>
                <w:rFonts w:hint="eastAsia" w:ascii="宋体" w:hAnsi="宋体" w:eastAsia="宋体" w:cs="宋体"/>
                <w:color w:val="auto"/>
                <w:sz w:val="24"/>
                <w:szCs w:val="24"/>
                <w:highlight w:val="none"/>
              </w:rPr>
            </w:pPr>
          </w:p>
        </w:tc>
        <w:tc>
          <w:tcPr>
            <w:tcW w:w="849" w:type="dxa"/>
            <w:tcBorders>
              <w:top w:val="single" w:color="auto" w:sz="4" w:space="0"/>
              <w:left w:val="single" w:color="auto" w:sz="4" w:space="0"/>
            </w:tcBorders>
            <w:shd w:val="clear" w:color="auto" w:fill="FFFFFF"/>
            <w:vAlign w:val="center"/>
          </w:tcPr>
          <w:p>
            <w:pPr>
              <w:pageBreakBefore w:val="0"/>
              <w:kinsoku/>
              <w:overflowPunct/>
              <w:topLinePunct w:val="0"/>
              <w:bidi w:val="0"/>
              <w:snapToGrid/>
              <w:spacing w:line="360" w:lineRule="auto"/>
              <w:jc w:val="center"/>
              <w:rPr>
                <w:rFonts w:hint="eastAsia" w:ascii="宋体" w:hAnsi="宋体" w:eastAsia="宋体" w:cs="宋体"/>
                <w:color w:val="auto"/>
                <w:sz w:val="24"/>
                <w:szCs w:val="24"/>
                <w:highlight w:val="none"/>
              </w:rPr>
            </w:pPr>
          </w:p>
        </w:tc>
        <w:tc>
          <w:tcPr>
            <w:tcW w:w="1384" w:type="dxa"/>
            <w:tcBorders>
              <w:top w:val="single" w:color="auto" w:sz="4" w:space="0"/>
              <w:left w:val="single" w:color="auto" w:sz="4" w:space="0"/>
              <w:right w:val="single" w:color="auto" w:sz="4" w:space="0"/>
            </w:tcBorders>
            <w:shd w:val="clear" w:color="auto" w:fill="FFFFFF"/>
            <w:vAlign w:val="center"/>
          </w:tcPr>
          <w:p>
            <w:pPr>
              <w:pageBreakBefore w:val="0"/>
              <w:kinsoku/>
              <w:overflowPunct/>
              <w:topLinePunct w:val="0"/>
              <w:bidi w:val="0"/>
              <w:snapToGrid/>
              <w:spacing w:line="360" w:lineRule="auto"/>
              <w:jc w:val="center"/>
              <w:rPr>
                <w:rFonts w:hint="eastAsia" w:ascii="宋体" w:hAnsi="宋体" w:eastAsia="宋体" w:cs="宋体"/>
                <w:color w:val="auto"/>
                <w:sz w:val="24"/>
                <w:szCs w:val="24"/>
                <w:highlight w:val="none"/>
              </w:rPr>
            </w:pPr>
          </w:p>
        </w:tc>
      </w:tr>
      <w:tr>
        <w:tblPrEx>
          <w:tblCellMar>
            <w:top w:w="0" w:type="dxa"/>
            <w:left w:w="10" w:type="dxa"/>
            <w:bottom w:w="0" w:type="dxa"/>
            <w:right w:w="10" w:type="dxa"/>
          </w:tblCellMar>
        </w:tblPrEx>
        <w:trPr>
          <w:trHeight w:val="523" w:hRule="exact"/>
          <w:jc w:val="center"/>
        </w:trPr>
        <w:tc>
          <w:tcPr>
            <w:tcW w:w="867" w:type="dxa"/>
            <w:tcBorders>
              <w:top w:val="single" w:color="auto" w:sz="4" w:space="0"/>
              <w:left w:val="single" w:color="auto" w:sz="4" w:space="0"/>
            </w:tcBorders>
            <w:shd w:val="clear" w:color="auto" w:fill="FFFFFF"/>
            <w:vAlign w:val="center"/>
          </w:tcPr>
          <w:p>
            <w:pPr>
              <w:pageBreakBefore w:val="0"/>
              <w:kinsoku/>
              <w:overflowPunct/>
              <w:topLinePunct w:val="0"/>
              <w:bidi w:val="0"/>
              <w:snapToGrid/>
              <w:spacing w:line="360" w:lineRule="auto"/>
              <w:jc w:val="center"/>
              <w:rPr>
                <w:rFonts w:hint="eastAsia" w:ascii="宋体" w:hAnsi="宋体" w:eastAsia="宋体" w:cs="宋体"/>
                <w:color w:val="auto"/>
                <w:sz w:val="24"/>
                <w:szCs w:val="24"/>
                <w:highlight w:val="none"/>
              </w:rPr>
            </w:pPr>
          </w:p>
        </w:tc>
        <w:tc>
          <w:tcPr>
            <w:tcW w:w="1413" w:type="dxa"/>
            <w:tcBorders>
              <w:top w:val="single" w:color="auto" w:sz="4" w:space="0"/>
              <w:left w:val="single" w:color="auto" w:sz="4" w:space="0"/>
            </w:tcBorders>
            <w:shd w:val="clear" w:color="auto" w:fill="FFFFFF"/>
            <w:vAlign w:val="center"/>
          </w:tcPr>
          <w:p>
            <w:pPr>
              <w:pageBreakBefore w:val="0"/>
              <w:kinsoku/>
              <w:overflowPunct/>
              <w:topLinePunct w:val="0"/>
              <w:bidi w:val="0"/>
              <w:snapToGrid/>
              <w:spacing w:line="360" w:lineRule="auto"/>
              <w:jc w:val="center"/>
              <w:rPr>
                <w:rFonts w:hint="eastAsia" w:ascii="宋体" w:hAnsi="宋体" w:eastAsia="宋体" w:cs="宋体"/>
                <w:color w:val="auto"/>
                <w:sz w:val="24"/>
                <w:szCs w:val="24"/>
                <w:highlight w:val="none"/>
              </w:rPr>
            </w:pPr>
          </w:p>
        </w:tc>
        <w:tc>
          <w:tcPr>
            <w:tcW w:w="1413" w:type="dxa"/>
            <w:tcBorders>
              <w:top w:val="single" w:color="auto" w:sz="4" w:space="0"/>
              <w:left w:val="single" w:color="auto" w:sz="4" w:space="0"/>
            </w:tcBorders>
            <w:shd w:val="clear" w:color="auto" w:fill="FFFFFF"/>
            <w:vAlign w:val="center"/>
          </w:tcPr>
          <w:p>
            <w:pPr>
              <w:pageBreakBefore w:val="0"/>
              <w:kinsoku/>
              <w:overflowPunct/>
              <w:topLinePunct w:val="0"/>
              <w:bidi w:val="0"/>
              <w:snapToGrid/>
              <w:spacing w:line="360" w:lineRule="auto"/>
              <w:jc w:val="center"/>
              <w:rPr>
                <w:rFonts w:hint="eastAsia" w:ascii="宋体" w:hAnsi="宋体" w:eastAsia="宋体" w:cs="宋体"/>
                <w:color w:val="auto"/>
                <w:sz w:val="24"/>
                <w:szCs w:val="24"/>
                <w:highlight w:val="none"/>
              </w:rPr>
            </w:pPr>
          </w:p>
        </w:tc>
        <w:tc>
          <w:tcPr>
            <w:tcW w:w="1136" w:type="dxa"/>
            <w:tcBorders>
              <w:top w:val="single" w:color="auto" w:sz="4" w:space="0"/>
              <w:left w:val="single" w:color="auto" w:sz="4" w:space="0"/>
            </w:tcBorders>
            <w:shd w:val="clear" w:color="auto" w:fill="FFFFFF"/>
            <w:vAlign w:val="center"/>
          </w:tcPr>
          <w:p>
            <w:pPr>
              <w:pageBreakBefore w:val="0"/>
              <w:kinsoku/>
              <w:overflowPunct/>
              <w:topLinePunct w:val="0"/>
              <w:bidi w:val="0"/>
              <w:snapToGrid/>
              <w:spacing w:line="360" w:lineRule="auto"/>
              <w:jc w:val="center"/>
              <w:rPr>
                <w:rFonts w:hint="eastAsia" w:ascii="宋体" w:hAnsi="宋体" w:eastAsia="宋体" w:cs="宋体"/>
                <w:color w:val="auto"/>
                <w:sz w:val="24"/>
                <w:szCs w:val="24"/>
                <w:highlight w:val="none"/>
              </w:rPr>
            </w:pPr>
          </w:p>
        </w:tc>
        <w:tc>
          <w:tcPr>
            <w:tcW w:w="675" w:type="dxa"/>
            <w:tcBorders>
              <w:top w:val="single" w:color="auto" w:sz="4" w:space="0"/>
              <w:left w:val="single" w:color="auto" w:sz="4" w:space="0"/>
            </w:tcBorders>
            <w:shd w:val="clear" w:color="auto" w:fill="FFFFFF"/>
            <w:vAlign w:val="center"/>
          </w:tcPr>
          <w:p>
            <w:pPr>
              <w:pageBreakBefore w:val="0"/>
              <w:kinsoku/>
              <w:overflowPunct/>
              <w:topLinePunct w:val="0"/>
              <w:bidi w:val="0"/>
              <w:snapToGrid/>
              <w:spacing w:line="360" w:lineRule="auto"/>
              <w:jc w:val="center"/>
              <w:rPr>
                <w:rFonts w:hint="eastAsia" w:ascii="宋体" w:hAnsi="宋体" w:eastAsia="宋体" w:cs="宋体"/>
                <w:color w:val="auto"/>
                <w:sz w:val="24"/>
                <w:szCs w:val="24"/>
                <w:highlight w:val="none"/>
              </w:rPr>
            </w:pPr>
          </w:p>
        </w:tc>
        <w:tc>
          <w:tcPr>
            <w:tcW w:w="680" w:type="dxa"/>
            <w:tcBorders>
              <w:top w:val="single" w:color="auto" w:sz="4" w:space="0"/>
              <w:left w:val="single" w:color="auto" w:sz="4" w:space="0"/>
            </w:tcBorders>
            <w:shd w:val="clear" w:color="auto" w:fill="FFFFFF"/>
            <w:vAlign w:val="center"/>
          </w:tcPr>
          <w:p>
            <w:pPr>
              <w:pageBreakBefore w:val="0"/>
              <w:kinsoku/>
              <w:overflowPunct/>
              <w:topLinePunct w:val="0"/>
              <w:bidi w:val="0"/>
              <w:snapToGrid/>
              <w:spacing w:line="360" w:lineRule="auto"/>
              <w:jc w:val="center"/>
              <w:rPr>
                <w:rFonts w:hint="eastAsia" w:ascii="宋体" w:hAnsi="宋体" w:eastAsia="宋体" w:cs="宋体"/>
                <w:color w:val="auto"/>
                <w:sz w:val="24"/>
                <w:szCs w:val="24"/>
                <w:highlight w:val="none"/>
              </w:rPr>
            </w:pPr>
          </w:p>
        </w:tc>
        <w:tc>
          <w:tcPr>
            <w:tcW w:w="1240" w:type="dxa"/>
            <w:tcBorders>
              <w:top w:val="single" w:color="auto" w:sz="4" w:space="0"/>
              <w:left w:val="single" w:color="auto" w:sz="4" w:space="0"/>
            </w:tcBorders>
            <w:shd w:val="clear" w:color="auto" w:fill="FFFFFF"/>
            <w:vAlign w:val="center"/>
          </w:tcPr>
          <w:p>
            <w:pPr>
              <w:pageBreakBefore w:val="0"/>
              <w:kinsoku/>
              <w:overflowPunct/>
              <w:topLinePunct w:val="0"/>
              <w:bidi w:val="0"/>
              <w:snapToGrid/>
              <w:spacing w:line="360" w:lineRule="auto"/>
              <w:jc w:val="center"/>
              <w:rPr>
                <w:rFonts w:hint="eastAsia" w:ascii="宋体" w:hAnsi="宋体" w:eastAsia="宋体" w:cs="宋体"/>
                <w:color w:val="auto"/>
                <w:sz w:val="24"/>
                <w:szCs w:val="24"/>
                <w:highlight w:val="none"/>
              </w:rPr>
            </w:pPr>
          </w:p>
        </w:tc>
        <w:tc>
          <w:tcPr>
            <w:tcW w:w="852" w:type="dxa"/>
            <w:tcBorders>
              <w:top w:val="single" w:color="auto" w:sz="4" w:space="0"/>
              <w:left w:val="single" w:color="auto" w:sz="4" w:space="0"/>
            </w:tcBorders>
            <w:shd w:val="clear" w:color="auto" w:fill="FFFFFF"/>
            <w:vAlign w:val="center"/>
          </w:tcPr>
          <w:p>
            <w:pPr>
              <w:pageBreakBefore w:val="0"/>
              <w:kinsoku/>
              <w:overflowPunct/>
              <w:topLinePunct w:val="0"/>
              <w:bidi w:val="0"/>
              <w:snapToGrid/>
              <w:spacing w:line="360" w:lineRule="auto"/>
              <w:jc w:val="center"/>
              <w:rPr>
                <w:rFonts w:hint="eastAsia" w:ascii="宋体" w:hAnsi="宋体" w:eastAsia="宋体" w:cs="宋体"/>
                <w:color w:val="auto"/>
                <w:sz w:val="24"/>
                <w:szCs w:val="24"/>
                <w:highlight w:val="none"/>
              </w:rPr>
            </w:pPr>
          </w:p>
        </w:tc>
        <w:tc>
          <w:tcPr>
            <w:tcW w:w="849" w:type="dxa"/>
            <w:tcBorders>
              <w:top w:val="single" w:color="auto" w:sz="4" w:space="0"/>
              <w:left w:val="single" w:color="auto" w:sz="4" w:space="0"/>
            </w:tcBorders>
            <w:shd w:val="clear" w:color="auto" w:fill="FFFFFF"/>
            <w:vAlign w:val="center"/>
          </w:tcPr>
          <w:p>
            <w:pPr>
              <w:pageBreakBefore w:val="0"/>
              <w:kinsoku/>
              <w:overflowPunct/>
              <w:topLinePunct w:val="0"/>
              <w:bidi w:val="0"/>
              <w:snapToGrid/>
              <w:spacing w:line="360" w:lineRule="auto"/>
              <w:jc w:val="center"/>
              <w:rPr>
                <w:rFonts w:hint="eastAsia" w:ascii="宋体" w:hAnsi="宋体" w:eastAsia="宋体" w:cs="宋体"/>
                <w:color w:val="auto"/>
                <w:sz w:val="24"/>
                <w:szCs w:val="24"/>
                <w:highlight w:val="none"/>
              </w:rPr>
            </w:pPr>
          </w:p>
        </w:tc>
        <w:tc>
          <w:tcPr>
            <w:tcW w:w="1384" w:type="dxa"/>
            <w:tcBorders>
              <w:top w:val="single" w:color="auto" w:sz="4" w:space="0"/>
              <w:left w:val="single" w:color="auto" w:sz="4" w:space="0"/>
              <w:right w:val="single" w:color="auto" w:sz="4" w:space="0"/>
            </w:tcBorders>
            <w:shd w:val="clear" w:color="auto" w:fill="FFFFFF"/>
            <w:vAlign w:val="center"/>
          </w:tcPr>
          <w:p>
            <w:pPr>
              <w:pageBreakBefore w:val="0"/>
              <w:kinsoku/>
              <w:overflowPunct/>
              <w:topLinePunct w:val="0"/>
              <w:bidi w:val="0"/>
              <w:snapToGrid/>
              <w:spacing w:line="360" w:lineRule="auto"/>
              <w:jc w:val="center"/>
              <w:rPr>
                <w:rFonts w:hint="eastAsia" w:ascii="宋体" w:hAnsi="宋体" w:eastAsia="宋体" w:cs="宋体"/>
                <w:color w:val="auto"/>
                <w:sz w:val="24"/>
                <w:szCs w:val="24"/>
                <w:highlight w:val="none"/>
              </w:rPr>
            </w:pPr>
          </w:p>
        </w:tc>
      </w:tr>
      <w:tr>
        <w:tblPrEx>
          <w:tblCellMar>
            <w:top w:w="0" w:type="dxa"/>
            <w:left w:w="10" w:type="dxa"/>
            <w:bottom w:w="0" w:type="dxa"/>
            <w:right w:w="10" w:type="dxa"/>
          </w:tblCellMar>
        </w:tblPrEx>
        <w:trPr>
          <w:trHeight w:val="523" w:hRule="exact"/>
          <w:jc w:val="center"/>
        </w:trPr>
        <w:tc>
          <w:tcPr>
            <w:tcW w:w="867" w:type="dxa"/>
            <w:tcBorders>
              <w:top w:val="single" w:color="auto" w:sz="4" w:space="0"/>
              <w:left w:val="single" w:color="auto" w:sz="4" w:space="0"/>
            </w:tcBorders>
            <w:shd w:val="clear" w:color="auto" w:fill="FFFFFF"/>
            <w:vAlign w:val="center"/>
          </w:tcPr>
          <w:p>
            <w:pPr>
              <w:pageBreakBefore w:val="0"/>
              <w:kinsoku/>
              <w:overflowPunct/>
              <w:topLinePunct w:val="0"/>
              <w:bidi w:val="0"/>
              <w:snapToGrid/>
              <w:spacing w:line="360" w:lineRule="auto"/>
              <w:jc w:val="center"/>
              <w:rPr>
                <w:rFonts w:hint="eastAsia" w:ascii="宋体" w:hAnsi="宋体" w:eastAsia="宋体" w:cs="宋体"/>
                <w:color w:val="auto"/>
                <w:sz w:val="24"/>
                <w:szCs w:val="24"/>
                <w:highlight w:val="none"/>
              </w:rPr>
            </w:pPr>
          </w:p>
        </w:tc>
        <w:tc>
          <w:tcPr>
            <w:tcW w:w="1413" w:type="dxa"/>
            <w:tcBorders>
              <w:top w:val="single" w:color="auto" w:sz="4" w:space="0"/>
              <w:left w:val="single" w:color="auto" w:sz="4" w:space="0"/>
            </w:tcBorders>
            <w:shd w:val="clear" w:color="auto" w:fill="FFFFFF"/>
            <w:vAlign w:val="center"/>
          </w:tcPr>
          <w:p>
            <w:pPr>
              <w:pageBreakBefore w:val="0"/>
              <w:kinsoku/>
              <w:overflowPunct/>
              <w:topLinePunct w:val="0"/>
              <w:bidi w:val="0"/>
              <w:snapToGrid/>
              <w:spacing w:line="360" w:lineRule="auto"/>
              <w:jc w:val="center"/>
              <w:rPr>
                <w:rFonts w:hint="eastAsia" w:ascii="宋体" w:hAnsi="宋体" w:eastAsia="宋体" w:cs="宋体"/>
                <w:color w:val="auto"/>
                <w:sz w:val="24"/>
                <w:szCs w:val="24"/>
                <w:highlight w:val="none"/>
              </w:rPr>
            </w:pPr>
          </w:p>
        </w:tc>
        <w:tc>
          <w:tcPr>
            <w:tcW w:w="1413" w:type="dxa"/>
            <w:tcBorders>
              <w:top w:val="single" w:color="auto" w:sz="4" w:space="0"/>
              <w:left w:val="single" w:color="auto" w:sz="4" w:space="0"/>
            </w:tcBorders>
            <w:shd w:val="clear" w:color="auto" w:fill="FFFFFF"/>
            <w:vAlign w:val="center"/>
          </w:tcPr>
          <w:p>
            <w:pPr>
              <w:pageBreakBefore w:val="0"/>
              <w:kinsoku/>
              <w:overflowPunct/>
              <w:topLinePunct w:val="0"/>
              <w:bidi w:val="0"/>
              <w:snapToGrid/>
              <w:spacing w:line="360" w:lineRule="auto"/>
              <w:jc w:val="center"/>
              <w:rPr>
                <w:rFonts w:hint="eastAsia" w:ascii="宋体" w:hAnsi="宋体" w:eastAsia="宋体" w:cs="宋体"/>
                <w:color w:val="auto"/>
                <w:sz w:val="24"/>
                <w:szCs w:val="24"/>
                <w:highlight w:val="none"/>
              </w:rPr>
            </w:pPr>
          </w:p>
        </w:tc>
        <w:tc>
          <w:tcPr>
            <w:tcW w:w="1136" w:type="dxa"/>
            <w:tcBorders>
              <w:top w:val="single" w:color="auto" w:sz="4" w:space="0"/>
              <w:left w:val="single" w:color="auto" w:sz="4" w:space="0"/>
            </w:tcBorders>
            <w:shd w:val="clear" w:color="auto" w:fill="FFFFFF"/>
            <w:vAlign w:val="center"/>
          </w:tcPr>
          <w:p>
            <w:pPr>
              <w:pageBreakBefore w:val="0"/>
              <w:kinsoku/>
              <w:overflowPunct/>
              <w:topLinePunct w:val="0"/>
              <w:bidi w:val="0"/>
              <w:snapToGrid/>
              <w:spacing w:line="360" w:lineRule="auto"/>
              <w:jc w:val="center"/>
              <w:rPr>
                <w:rFonts w:hint="eastAsia" w:ascii="宋体" w:hAnsi="宋体" w:eastAsia="宋体" w:cs="宋体"/>
                <w:color w:val="auto"/>
                <w:sz w:val="24"/>
                <w:szCs w:val="24"/>
                <w:highlight w:val="none"/>
              </w:rPr>
            </w:pPr>
          </w:p>
        </w:tc>
        <w:tc>
          <w:tcPr>
            <w:tcW w:w="675" w:type="dxa"/>
            <w:tcBorders>
              <w:top w:val="single" w:color="auto" w:sz="4" w:space="0"/>
              <w:left w:val="single" w:color="auto" w:sz="4" w:space="0"/>
            </w:tcBorders>
            <w:shd w:val="clear" w:color="auto" w:fill="FFFFFF"/>
            <w:vAlign w:val="center"/>
          </w:tcPr>
          <w:p>
            <w:pPr>
              <w:pageBreakBefore w:val="0"/>
              <w:kinsoku/>
              <w:overflowPunct/>
              <w:topLinePunct w:val="0"/>
              <w:bidi w:val="0"/>
              <w:snapToGrid/>
              <w:spacing w:line="360" w:lineRule="auto"/>
              <w:jc w:val="center"/>
              <w:rPr>
                <w:rFonts w:hint="eastAsia" w:ascii="宋体" w:hAnsi="宋体" w:eastAsia="宋体" w:cs="宋体"/>
                <w:color w:val="auto"/>
                <w:sz w:val="24"/>
                <w:szCs w:val="24"/>
                <w:highlight w:val="none"/>
              </w:rPr>
            </w:pPr>
          </w:p>
        </w:tc>
        <w:tc>
          <w:tcPr>
            <w:tcW w:w="680" w:type="dxa"/>
            <w:tcBorders>
              <w:top w:val="single" w:color="auto" w:sz="4" w:space="0"/>
              <w:left w:val="single" w:color="auto" w:sz="4" w:space="0"/>
            </w:tcBorders>
            <w:shd w:val="clear" w:color="auto" w:fill="FFFFFF"/>
            <w:vAlign w:val="center"/>
          </w:tcPr>
          <w:p>
            <w:pPr>
              <w:pageBreakBefore w:val="0"/>
              <w:kinsoku/>
              <w:overflowPunct/>
              <w:topLinePunct w:val="0"/>
              <w:bidi w:val="0"/>
              <w:snapToGrid/>
              <w:spacing w:line="360" w:lineRule="auto"/>
              <w:jc w:val="center"/>
              <w:rPr>
                <w:rFonts w:hint="eastAsia" w:ascii="宋体" w:hAnsi="宋体" w:eastAsia="宋体" w:cs="宋体"/>
                <w:color w:val="auto"/>
                <w:sz w:val="24"/>
                <w:szCs w:val="24"/>
                <w:highlight w:val="none"/>
              </w:rPr>
            </w:pPr>
          </w:p>
        </w:tc>
        <w:tc>
          <w:tcPr>
            <w:tcW w:w="1240" w:type="dxa"/>
            <w:tcBorders>
              <w:top w:val="single" w:color="auto" w:sz="4" w:space="0"/>
              <w:left w:val="single" w:color="auto" w:sz="4" w:space="0"/>
            </w:tcBorders>
            <w:shd w:val="clear" w:color="auto" w:fill="FFFFFF"/>
            <w:vAlign w:val="center"/>
          </w:tcPr>
          <w:p>
            <w:pPr>
              <w:pageBreakBefore w:val="0"/>
              <w:kinsoku/>
              <w:overflowPunct/>
              <w:topLinePunct w:val="0"/>
              <w:bidi w:val="0"/>
              <w:snapToGrid/>
              <w:spacing w:line="360" w:lineRule="auto"/>
              <w:jc w:val="center"/>
              <w:rPr>
                <w:rFonts w:hint="eastAsia" w:ascii="宋体" w:hAnsi="宋体" w:eastAsia="宋体" w:cs="宋体"/>
                <w:color w:val="auto"/>
                <w:sz w:val="24"/>
                <w:szCs w:val="24"/>
                <w:highlight w:val="none"/>
              </w:rPr>
            </w:pPr>
          </w:p>
        </w:tc>
        <w:tc>
          <w:tcPr>
            <w:tcW w:w="852" w:type="dxa"/>
            <w:tcBorders>
              <w:top w:val="single" w:color="auto" w:sz="4" w:space="0"/>
              <w:left w:val="single" w:color="auto" w:sz="4" w:space="0"/>
            </w:tcBorders>
            <w:shd w:val="clear" w:color="auto" w:fill="FFFFFF"/>
            <w:vAlign w:val="center"/>
          </w:tcPr>
          <w:p>
            <w:pPr>
              <w:pageBreakBefore w:val="0"/>
              <w:kinsoku/>
              <w:overflowPunct/>
              <w:topLinePunct w:val="0"/>
              <w:bidi w:val="0"/>
              <w:snapToGrid/>
              <w:spacing w:line="360" w:lineRule="auto"/>
              <w:jc w:val="center"/>
              <w:rPr>
                <w:rFonts w:hint="eastAsia" w:ascii="宋体" w:hAnsi="宋体" w:eastAsia="宋体" w:cs="宋体"/>
                <w:color w:val="auto"/>
                <w:sz w:val="24"/>
                <w:szCs w:val="24"/>
                <w:highlight w:val="none"/>
              </w:rPr>
            </w:pPr>
          </w:p>
        </w:tc>
        <w:tc>
          <w:tcPr>
            <w:tcW w:w="849" w:type="dxa"/>
            <w:tcBorders>
              <w:top w:val="single" w:color="auto" w:sz="4" w:space="0"/>
              <w:left w:val="single" w:color="auto" w:sz="4" w:space="0"/>
            </w:tcBorders>
            <w:shd w:val="clear" w:color="auto" w:fill="FFFFFF"/>
            <w:vAlign w:val="center"/>
          </w:tcPr>
          <w:p>
            <w:pPr>
              <w:pageBreakBefore w:val="0"/>
              <w:kinsoku/>
              <w:overflowPunct/>
              <w:topLinePunct w:val="0"/>
              <w:bidi w:val="0"/>
              <w:snapToGrid/>
              <w:spacing w:line="360" w:lineRule="auto"/>
              <w:jc w:val="center"/>
              <w:rPr>
                <w:rFonts w:hint="eastAsia" w:ascii="宋体" w:hAnsi="宋体" w:eastAsia="宋体" w:cs="宋体"/>
                <w:color w:val="auto"/>
                <w:sz w:val="24"/>
                <w:szCs w:val="24"/>
                <w:highlight w:val="none"/>
              </w:rPr>
            </w:pPr>
          </w:p>
        </w:tc>
        <w:tc>
          <w:tcPr>
            <w:tcW w:w="1384" w:type="dxa"/>
            <w:tcBorders>
              <w:top w:val="single" w:color="auto" w:sz="4" w:space="0"/>
              <w:left w:val="single" w:color="auto" w:sz="4" w:space="0"/>
              <w:right w:val="single" w:color="auto" w:sz="4" w:space="0"/>
            </w:tcBorders>
            <w:shd w:val="clear" w:color="auto" w:fill="FFFFFF"/>
            <w:vAlign w:val="center"/>
          </w:tcPr>
          <w:p>
            <w:pPr>
              <w:pageBreakBefore w:val="0"/>
              <w:kinsoku/>
              <w:overflowPunct/>
              <w:topLinePunct w:val="0"/>
              <w:bidi w:val="0"/>
              <w:snapToGrid/>
              <w:spacing w:line="360" w:lineRule="auto"/>
              <w:jc w:val="center"/>
              <w:rPr>
                <w:rFonts w:hint="eastAsia" w:ascii="宋体" w:hAnsi="宋体" w:eastAsia="宋体" w:cs="宋体"/>
                <w:color w:val="auto"/>
                <w:sz w:val="24"/>
                <w:szCs w:val="24"/>
                <w:highlight w:val="none"/>
              </w:rPr>
            </w:pPr>
          </w:p>
        </w:tc>
      </w:tr>
      <w:tr>
        <w:tblPrEx>
          <w:tblCellMar>
            <w:top w:w="0" w:type="dxa"/>
            <w:left w:w="10" w:type="dxa"/>
            <w:bottom w:w="0" w:type="dxa"/>
            <w:right w:w="10" w:type="dxa"/>
          </w:tblCellMar>
        </w:tblPrEx>
        <w:trPr>
          <w:trHeight w:val="518" w:hRule="exact"/>
          <w:jc w:val="center"/>
        </w:trPr>
        <w:tc>
          <w:tcPr>
            <w:tcW w:w="867" w:type="dxa"/>
            <w:tcBorders>
              <w:top w:val="single" w:color="auto" w:sz="4" w:space="0"/>
              <w:left w:val="single" w:color="auto" w:sz="4" w:space="0"/>
            </w:tcBorders>
            <w:shd w:val="clear" w:color="auto" w:fill="FFFFFF"/>
            <w:vAlign w:val="center"/>
          </w:tcPr>
          <w:p>
            <w:pPr>
              <w:pageBreakBefore w:val="0"/>
              <w:kinsoku/>
              <w:overflowPunct/>
              <w:topLinePunct w:val="0"/>
              <w:bidi w:val="0"/>
              <w:snapToGrid/>
              <w:spacing w:line="360" w:lineRule="auto"/>
              <w:jc w:val="center"/>
              <w:rPr>
                <w:rFonts w:hint="eastAsia" w:ascii="宋体" w:hAnsi="宋体" w:eastAsia="宋体" w:cs="宋体"/>
                <w:color w:val="auto"/>
                <w:sz w:val="24"/>
                <w:szCs w:val="24"/>
                <w:highlight w:val="none"/>
              </w:rPr>
            </w:pPr>
          </w:p>
        </w:tc>
        <w:tc>
          <w:tcPr>
            <w:tcW w:w="1413" w:type="dxa"/>
            <w:tcBorders>
              <w:top w:val="single" w:color="auto" w:sz="4" w:space="0"/>
              <w:left w:val="single" w:color="auto" w:sz="4" w:space="0"/>
            </w:tcBorders>
            <w:shd w:val="clear" w:color="auto" w:fill="FFFFFF"/>
            <w:vAlign w:val="center"/>
          </w:tcPr>
          <w:p>
            <w:pPr>
              <w:pageBreakBefore w:val="0"/>
              <w:kinsoku/>
              <w:overflowPunct/>
              <w:topLinePunct w:val="0"/>
              <w:bidi w:val="0"/>
              <w:snapToGrid/>
              <w:spacing w:line="360" w:lineRule="auto"/>
              <w:jc w:val="center"/>
              <w:rPr>
                <w:rFonts w:hint="eastAsia" w:ascii="宋体" w:hAnsi="宋体" w:eastAsia="宋体" w:cs="宋体"/>
                <w:color w:val="auto"/>
                <w:sz w:val="24"/>
                <w:szCs w:val="24"/>
                <w:highlight w:val="none"/>
              </w:rPr>
            </w:pPr>
          </w:p>
        </w:tc>
        <w:tc>
          <w:tcPr>
            <w:tcW w:w="1413" w:type="dxa"/>
            <w:tcBorders>
              <w:top w:val="single" w:color="auto" w:sz="4" w:space="0"/>
              <w:left w:val="single" w:color="auto" w:sz="4" w:space="0"/>
            </w:tcBorders>
            <w:shd w:val="clear" w:color="auto" w:fill="FFFFFF"/>
            <w:vAlign w:val="center"/>
          </w:tcPr>
          <w:p>
            <w:pPr>
              <w:pageBreakBefore w:val="0"/>
              <w:kinsoku/>
              <w:overflowPunct/>
              <w:topLinePunct w:val="0"/>
              <w:bidi w:val="0"/>
              <w:snapToGrid/>
              <w:spacing w:line="360" w:lineRule="auto"/>
              <w:jc w:val="center"/>
              <w:rPr>
                <w:rFonts w:hint="eastAsia" w:ascii="宋体" w:hAnsi="宋体" w:eastAsia="宋体" w:cs="宋体"/>
                <w:color w:val="auto"/>
                <w:sz w:val="24"/>
                <w:szCs w:val="24"/>
                <w:highlight w:val="none"/>
              </w:rPr>
            </w:pPr>
          </w:p>
        </w:tc>
        <w:tc>
          <w:tcPr>
            <w:tcW w:w="1136" w:type="dxa"/>
            <w:tcBorders>
              <w:top w:val="single" w:color="auto" w:sz="4" w:space="0"/>
              <w:left w:val="single" w:color="auto" w:sz="4" w:space="0"/>
            </w:tcBorders>
            <w:shd w:val="clear" w:color="auto" w:fill="FFFFFF"/>
            <w:vAlign w:val="center"/>
          </w:tcPr>
          <w:p>
            <w:pPr>
              <w:pageBreakBefore w:val="0"/>
              <w:kinsoku/>
              <w:overflowPunct/>
              <w:topLinePunct w:val="0"/>
              <w:bidi w:val="0"/>
              <w:snapToGrid/>
              <w:spacing w:line="360" w:lineRule="auto"/>
              <w:jc w:val="center"/>
              <w:rPr>
                <w:rFonts w:hint="eastAsia" w:ascii="宋体" w:hAnsi="宋体" w:eastAsia="宋体" w:cs="宋体"/>
                <w:color w:val="auto"/>
                <w:sz w:val="24"/>
                <w:szCs w:val="24"/>
                <w:highlight w:val="none"/>
              </w:rPr>
            </w:pPr>
          </w:p>
        </w:tc>
        <w:tc>
          <w:tcPr>
            <w:tcW w:w="675" w:type="dxa"/>
            <w:tcBorders>
              <w:top w:val="single" w:color="auto" w:sz="4" w:space="0"/>
              <w:left w:val="single" w:color="auto" w:sz="4" w:space="0"/>
            </w:tcBorders>
            <w:shd w:val="clear" w:color="auto" w:fill="FFFFFF"/>
            <w:vAlign w:val="center"/>
          </w:tcPr>
          <w:p>
            <w:pPr>
              <w:pageBreakBefore w:val="0"/>
              <w:kinsoku/>
              <w:overflowPunct/>
              <w:topLinePunct w:val="0"/>
              <w:bidi w:val="0"/>
              <w:snapToGrid/>
              <w:spacing w:line="360" w:lineRule="auto"/>
              <w:jc w:val="center"/>
              <w:rPr>
                <w:rFonts w:hint="eastAsia" w:ascii="宋体" w:hAnsi="宋体" w:eastAsia="宋体" w:cs="宋体"/>
                <w:color w:val="auto"/>
                <w:sz w:val="24"/>
                <w:szCs w:val="24"/>
                <w:highlight w:val="none"/>
              </w:rPr>
            </w:pPr>
          </w:p>
        </w:tc>
        <w:tc>
          <w:tcPr>
            <w:tcW w:w="680" w:type="dxa"/>
            <w:tcBorders>
              <w:top w:val="single" w:color="auto" w:sz="4" w:space="0"/>
              <w:left w:val="single" w:color="auto" w:sz="4" w:space="0"/>
            </w:tcBorders>
            <w:shd w:val="clear" w:color="auto" w:fill="FFFFFF"/>
            <w:vAlign w:val="center"/>
          </w:tcPr>
          <w:p>
            <w:pPr>
              <w:pageBreakBefore w:val="0"/>
              <w:kinsoku/>
              <w:overflowPunct/>
              <w:topLinePunct w:val="0"/>
              <w:bidi w:val="0"/>
              <w:snapToGrid/>
              <w:spacing w:line="360" w:lineRule="auto"/>
              <w:jc w:val="center"/>
              <w:rPr>
                <w:rFonts w:hint="eastAsia" w:ascii="宋体" w:hAnsi="宋体" w:eastAsia="宋体" w:cs="宋体"/>
                <w:color w:val="auto"/>
                <w:sz w:val="24"/>
                <w:szCs w:val="24"/>
                <w:highlight w:val="none"/>
              </w:rPr>
            </w:pPr>
          </w:p>
        </w:tc>
        <w:tc>
          <w:tcPr>
            <w:tcW w:w="1240" w:type="dxa"/>
            <w:tcBorders>
              <w:top w:val="single" w:color="auto" w:sz="4" w:space="0"/>
              <w:left w:val="single" w:color="auto" w:sz="4" w:space="0"/>
            </w:tcBorders>
            <w:shd w:val="clear" w:color="auto" w:fill="FFFFFF"/>
            <w:vAlign w:val="center"/>
          </w:tcPr>
          <w:p>
            <w:pPr>
              <w:pageBreakBefore w:val="0"/>
              <w:kinsoku/>
              <w:overflowPunct/>
              <w:topLinePunct w:val="0"/>
              <w:bidi w:val="0"/>
              <w:snapToGrid/>
              <w:spacing w:line="360" w:lineRule="auto"/>
              <w:jc w:val="center"/>
              <w:rPr>
                <w:rFonts w:hint="eastAsia" w:ascii="宋体" w:hAnsi="宋体" w:eastAsia="宋体" w:cs="宋体"/>
                <w:color w:val="auto"/>
                <w:sz w:val="24"/>
                <w:szCs w:val="24"/>
                <w:highlight w:val="none"/>
              </w:rPr>
            </w:pPr>
          </w:p>
        </w:tc>
        <w:tc>
          <w:tcPr>
            <w:tcW w:w="852" w:type="dxa"/>
            <w:tcBorders>
              <w:top w:val="single" w:color="auto" w:sz="4" w:space="0"/>
              <w:left w:val="single" w:color="auto" w:sz="4" w:space="0"/>
            </w:tcBorders>
            <w:shd w:val="clear" w:color="auto" w:fill="FFFFFF"/>
            <w:vAlign w:val="center"/>
          </w:tcPr>
          <w:p>
            <w:pPr>
              <w:pageBreakBefore w:val="0"/>
              <w:kinsoku/>
              <w:overflowPunct/>
              <w:topLinePunct w:val="0"/>
              <w:bidi w:val="0"/>
              <w:snapToGrid/>
              <w:spacing w:line="360" w:lineRule="auto"/>
              <w:jc w:val="center"/>
              <w:rPr>
                <w:rFonts w:hint="eastAsia" w:ascii="宋体" w:hAnsi="宋体" w:eastAsia="宋体" w:cs="宋体"/>
                <w:color w:val="auto"/>
                <w:sz w:val="24"/>
                <w:szCs w:val="24"/>
                <w:highlight w:val="none"/>
              </w:rPr>
            </w:pPr>
          </w:p>
        </w:tc>
        <w:tc>
          <w:tcPr>
            <w:tcW w:w="849" w:type="dxa"/>
            <w:tcBorders>
              <w:top w:val="single" w:color="auto" w:sz="4" w:space="0"/>
              <w:left w:val="single" w:color="auto" w:sz="4" w:space="0"/>
            </w:tcBorders>
            <w:shd w:val="clear" w:color="auto" w:fill="FFFFFF"/>
            <w:vAlign w:val="center"/>
          </w:tcPr>
          <w:p>
            <w:pPr>
              <w:pageBreakBefore w:val="0"/>
              <w:kinsoku/>
              <w:overflowPunct/>
              <w:topLinePunct w:val="0"/>
              <w:bidi w:val="0"/>
              <w:snapToGrid/>
              <w:spacing w:line="360" w:lineRule="auto"/>
              <w:jc w:val="center"/>
              <w:rPr>
                <w:rFonts w:hint="eastAsia" w:ascii="宋体" w:hAnsi="宋体" w:eastAsia="宋体" w:cs="宋体"/>
                <w:color w:val="auto"/>
                <w:sz w:val="24"/>
                <w:szCs w:val="24"/>
                <w:highlight w:val="none"/>
              </w:rPr>
            </w:pPr>
          </w:p>
        </w:tc>
        <w:tc>
          <w:tcPr>
            <w:tcW w:w="1384" w:type="dxa"/>
            <w:tcBorders>
              <w:top w:val="single" w:color="auto" w:sz="4" w:space="0"/>
              <w:left w:val="single" w:color="auto" w:sz="4" w:space="0"/>
              <w:right w:val="single" w:color="auto" w:sz="4" w:space="0"/>
            </w:tcBorders>
            <w:shd w:val="clear" w:color="auto" w:fill="FFFFFF"/>
            <w:vAlign w:val="center"/>
          </w:tcPr>
          <w:p>
            <w:pPr>
              <w:pageBreakBefore w:val="0"/>
              <w:kinsoku/>
              <w:overflowPunct/>
              <w:topLinePunct w:val="0"/>
              <w:bidi w:val="0"/>
              <w:snapToGrid/>
              <w:spacing w:line="360" w:lineRule="auto"/>
              <w:jc w:val="center"/>
              <w:rPr>
                <w:rFonts w:hint="eastAsia" w:ascii="宋体" w:hAnsi="宋体" w:eastAsia="宋体" w:cs="宋体"/>
                <w:color w:val="auto"/>
                <w:sz w:val="24"/>
                <w:szCs w:val="24"/>
                <w:highlight w:val="none"/>
              </w:rPr>
            </w:pPr>
          </w:p>
        </w:tc>
      </w:tr>
      <w:tr>
        <w:tblPrEx>
          <w:tblCellMar>
            <w:top w:w="0" w:type="dxa"/>
            <w:left w:w="10" w:type="dxa"/>
            <w:bottom w:w="0" w:type="dxa"/>
            <w:right w:w="10" w:type="dxa"/>
          </w:tblCellMar>
        </w:tblPrEx>
        <w:trPr>
          <w:trHeight w:val="523" w:hRule="exact"/>
          <w:jc w:val="center"/>
        </w:trPr>
        <w:tc>
          <w:tcPr>
            <w:tcW w:w="867" w:type="dxa"/>
            <w:tcBorders>
              <w:top w:val="single" w:color="auto" w:sz="4" w:space="0"/>
              <w:left w:val="single" w:color="auto" w:sz="4" w:space="0"/>
            </w:tcBorders>
            <w:shd w:val="clear" w:color="auto" w:fill="FFFFFF"/>
            <w:vAlign w:val="center"/>
          </w:tcPr>
          <w:p>
            <w:pPr>
              <w:pageBreakBefore w:val="0"/>
              <w:kinsoku/>
              <w:overflowPunct/>
              <w:topLinePunct w:val="0"/>
              <w:bidi w:val="0"/>
              <w:snapToGrid/>
              <w:spacing w:line="360" w:lineRule="auto"/>
              <w:jc w:val="center"/>
              <w:rPr>
                <w:rFonts w:hint="eastAsia" w:ascii="宋体" w:hAnsi="宋体" w:eastAsia="宋体" w:cs="宋体"/>
                <w:color w:val="auto"/>
                <w:sz w:val="24"/>
                <w:szCs w:val="24"/>
                <w:highlight w:val="none"/>
              </w:rPr>
            </w:pPr>
          </w:p>
        </w:tc>
        <w:tc>
          <w:tcPr>
            <w:tcW w:w="1413" w:type="dxa"/>
            <w:tcBorders>
              <w:top w:val="single" w:color="auto" w:sz="4" w:space="0"/>
              <w:left w:val="single" w:color="auto" w:sz="4" w:space="0"/>
            </w:tcBorders>
            <w:shd w:val="clear" w:color="auto" w:fill="FFFFFF"/>
            <w:vAlign w:val="center"/>
          </w:tcPr>
          <w:p>
            <w:pPr>
              <w:pageBreakBefore w:val="0"/>
              <w:kinsoku/>
              <w:overflowPunct/>
              <w:topLinePunct w:val="0"/>
              <w:bidi w:val="0"/>
              <w:snapToGrid/>
              <w:spacing w:line="360" w:lineRule="auto"/>
              <w:jc w:val="center"/>
              <w:rPr>
                <w:rFonts w:hint="eastAsia" w:ascii="宋体" w:hAnsi="宋体" w:eastAsia="宋体" w:cs="宋体"/>
                <w:color w:val="auto"/>
                <w:sz w:val="24"/>
                <w:szCs w:val="24"/>
                <w:highlight w:val="none"/>
              </w:rPr>
            </w:pPr>
          </w:p>
        </w:tc>
        <w:tc>
          <w:tcPr>
            <w:tcW w:w="1413" w:type="dxa"/>
            <w:tcBorders>
              <w:top w:val="single" w:color="auto" w:sz="4" w:space="0"/>
              <w:left w:val="single" w:color="auto" w:sz="4" w:space="0"/>
            </w:tcBorders>
            <w:shd w:val="clear" w:color="auto" w:fill="FFFFFF"/>
            <w:vAlign w:val="center"/>
          </w:tcPr>
          <w:p>
            <w:pPr>
              <w:pageBreakBefore w:val="0"/>
              <w:kinsoku/>
              <w:overflowPunct/>
              <w:topLinePunct w:val="0"/>
              <w:bidi w:val="0"/>
              <w:snapToGrid/>
              <w:spacing w:line="360" w:lineRule="auto"/>
              <w:jc w:val="center"/>
              <w:rPr>
                <w:rFonts w:hint="eastAsia" w:ascii="宋体" w:hAnsi="宋体" w:eastAsia="宋体" w:cs="宋体"/>
                <w:color w:val="auto"/>
                <w:sz w:val="24"/>
                <w:szCs w:val="24"/>
                <w:highlight w:val="none"/>
              </w:rPr>
            </w:pPr>
          </w:p>
        </w:tc>
        <w:tc>
          <w:tcPr>
            <w:tcW w:w="1136" w:type="dxa"/>
            <w:tcBorders>
              <w:top w:val="single" w:color="auto" w:sz="4" w:space="0"/>
              <w:left w:val="single" w:color="auto" w:sz="4" w:space="0"/>
            </w:tcBorders>
            <w:shd w:val="clear" w:color="auto" w:fill="FFFFFF"/>
            <w:vAlign w:val="center"/>
          </w:tcPr>
          <w:p>
            <w:pPr>
              <w:pageBreakBefore w:val="0"/>
              <w:kinsoku/>
              <w:overflowPunct/>
              <w:topLinePunct w:val="0"/>
              <w:bidi w:val="0"/>
              <w:snapToGrid/>
              <w:spacing w:line="360" w:lineRule="auto"/>
              <w:jc w:val="center"/>
              <w:rPr>
                <w:rFonts w:hint="eastAsia" w:ascii="宋体" w:hAnsi="宋体" w:eastAsia="宋体" w:cs="宋体"/>
                <w:color w:val="auto"/>
                <w:sz w:val="24"/>
                <w:szCs w:val="24"/>
                <w:highlight w:val="none"/>
              </w:rPr>
            </w:pPr>
          </w:p>
        </w:tc>
        <w:tc>
          <w:tcPr>
            <w:tcW w:w="675" w:type="dxa"/>
            <w:tcBorders>
              <w:top w:val="single" w:color="auto" w:sz="4" w:space="0"/>
              <w:left w:val="single" w:color="auto" w:sz="4" w:space="0"/>
            </w:tcBorders>
            <w:shd w:val="clear" w:color="auto" w:fill="FFFFFF"/>
            <w:vAlign w:val="center"/>
          </w:tcPr>
          <w:p>
            <w:pPr>
              <w:pageBreakBefore w:val="0"/>
              <w:kinsoku/>
              <w:overflowPunct/>
              <w:topLinePunct w:val="0"/>
              <w:bidi w:val="0"/>
              <w:snapToGrid/>
              <w:spacing w:line="360" w:lineRule="auto"/>
              <w:jc w:val="center"/>
              <w:rPr>
                <w:rFonts w:hint="eastAsia" w:ascii="宋体" w:hAnsi="宋体" w:eastAsia="宋体" w:cs="宋体"/>
                <w:color w:val="auto"/>
                <w:sz w:val="24"/>
                <w:szCs w:val="24"/>
                <w:highlight w:val="none"/>
              </w:rPr>
            </w:pPr>
          </w:p>
        </w:tc>
        <w:tc>
          <w:tcPr>
            <w:tcW w:w="680" w:type="dxa"/>
            <w:tcBorders>
              <w:top w:val="single" w:color="auto" w:sz="4" w:space="0"/>
              <w:left w:val="single" w:color="auto" w:sz="4" w:space="0"/>
            </w:tcBorders>
            <w:shd w:val="clear" w:color="auto" w:fill="FFFFFF"/>
            <w:vAlign w:val="center"/>
          </w:tcPr>
          <w:p>
            <w:pPr>
              <w:pageBreakBefore w:val="0"/>
              <w:kinsoku/>
              <w:overflowPunct/>
              <w:topLinePunct w:val="0"/>
              <w:bidi w:val="0"/>
              <w:snapToGrid/>
              <w:spacing w:line="360" w:lineRule="auto"/>
              <w:jc w:val="center"/>
              <w:rPr>
                <w:rFonts w:hint="eastAsia" w:ascii="宋体" w:hAnsi="宋体" w:eastAsia="宋体" w:cs="宋体"/>
                <w:color w:val="auto"/>
                <w:sz w:val="24"/>
                <w:szCs w:val="24"/>
                <w:highlight w:val="none"/>
              </w:rPr>
            </w:pPr>
          </w:p>
        </w:tc>
        <w:tc>
          <w:tcPr>
            <w:tcW w:w="1240" w:type="dxa"/>
            <w:tcBorders>
              <w:top w:val="single" w:color="auto" w:sz="4" w:space="0"/>
              <w:left w:val="single" w:color="auto" w:sz="4" w:space="0"/>
            </w:tcBorders>
            <w:shd w:val="clear" w:color="auto" w:fill="FFFFFF"/>
            <w:vAlign w:val="center"/>
          </w:tcPr>
          <w:p>
            <w:pPr>
              <w:pageBreakBefore w:val="0"/>
              <w:kinsoku/>
              <w:overflowPunct/>
              <w:topLinePunct w:val="0"/>
              <w:bidi w:val="0"/>
              <w:snapToGrid/>
              <w:spacing w:line="360" w:lineRule="auto"/>
              <w:jc w:val="center"/>
              <w:rPr>
                <w:rFonts w:hint="eastAsia" w:ascii="宋体" w:hAnsi="宋体" w:eastAsia="宋体" w:cs="宋体"/>
                <w:color w:val="auto"/>
                <w:sz w:val="24"/>
                <w:szCs w:val="24"/>
                <w:highlight w:val="none"/>
              </w:rPr>
            </w:pPr>
          </w:p>
        </w:tc>
        <w:tc>
          <w:tcPr>
            <w:tcW w:w="852" w:type="dxa"/>
            <w:tcBorders>
              <w:top w:val="single" w:color="auto" w:sz="4" w:space="0"/>
              <w:left w:val="single" w:color="auto" w:sz="4" w:space="0"/>
            </w:tcBorders>
            <w:shd w:val="clear" w:color="auto" w:fill="FFFFFF"/>
            <w:vAlign w:val="center"/>
          </w:tcPr>
          <w:p>
            <w:pPr>
              <w:pageBreakBefore w:val="0"/>
              <w:kinsoku/>
              <w:overflowPunct/>
              <w:topLinePunct w:val="0"/>
              <w:bidi w:val="0"/>
              <w:snapToGrid/>
              <w:spacing w:line="360" w:lineRule="auto"/>
              <w:jc w:val="center"/>
              <w:rPr>
                <w:rFonts w:hint="eastAsia" w:ascii="宋体" w:hAnsi="宋体" w:eastAsia="宋体" w:cs="宋体"/>
                <w:color w:val="auto"/>
                <w:sz w:val="24"/>
                <w:szCs w:val="24"/>
                <w:highlight w:val="none"/>
              </w:rPr>
            </w:pPr>
          </w:p>
        </w:tc>
        <w:tc>
          <w:tcPr>
            <w:tcW w:w="849" w:type="dxa"/>
            <w:tcBorders>
              <w:top w:val="single" w:color="auto" w:sz="4" w:space="0"/>
              <w:left w:val="single" w:color="auto" w:sz="4" w:space="0"/>
            </w:tcBorders>
            <w:shd w:val="clear" w:color="auto" w:fill="FFFFFF"/>
            <w:vAlign w:val="center"/>
          </w:tcPr>
          <w:p>
            <w:pPr>
              <w:pageBreakBefore w:val="0"/>
              <w:kinsoku/>
              <w:overflowPunct/>
              <w:topLinePunct w:val="0"/>
              <w:bidi w:val="0"/>
              <w:snapToGrid/>
              <w:spacing w:line="360" w:lineRule="auto"/>
              <w:jc w:val="center"/>
              <w:rPr>
                <w:rFonts w:hint="eastAsia" w:ascii="宋体" w:hAnsi="宋体" w:eastAsia="宋体" w:cs="宋体"/>
                <w:color w:val="auto"/>
                <w:sz w:val="24"/>
                <w:szCs w:val="24"/>
                <w:highlight w:val="none"/>
              </w:rPr>
            </w:pPr>
          </w:p>
        </w:tc>
        <w:tc>
          <w:tcPr>
            <w:tcW w:w="1384" w:type="dxa"/>
            <w:tcBorders>
              <w:top w:val="single" w:color="auto" w:sz="4" w:space="0"/>
              <w:left w:val="single" w:color="auto" w:sz="4" w:space="0"/>
              <w:right w:val="single" w:color="auto" w:sz="4" w:space="0"/>
            </w:tcBorders>
            <w:shd w:val="clear" w:color="auto" w:fill="FFFFFF"/>
            <w:vAlign w:val="center"/>
          </w:tcPr>
          <w:p>
            <w:pPr>
              <w:pageBreakBefore w:val="0"/>
              <w:kinsoku/>
              <w:overflowPunct/>
              <w:topLinePunct w:val="0"/>
              <w:bidi w:val="0"/>
              <w:snapToGrid/>
              <w:spacing w:line="360" w:lineRule="auto"/>
              <w:jc w:val="center"/>
              <w:rPr>
                <w:rFonts w:hint="eastAsia" w:ascii="宋体" w:hAnsi="宋体" w:eastAsia="宋体" w:cs="宋体"/>
                <w:color w:val="auto"/>
                <w:sz w:val="24"/>
                <w:szCs w:val="24"/>
                <w:highlight w:val="none"/>
              </w:rPr>
            </w:pPr>
          </w:p>
        </w:tc>
      </w:tr>
      <w:tr>
        <w:tblPrEx>
          <w:tblCellMar>
            <w:top w:w="0" w:type="dxa"/>
            <w:left w:w="10" w:type="dxa"/>
            <w:bottom w:w="0" w:type="dxa"/>
            <w:right w:w="10" w:type="dxa"/>
          </w:tblCellMar>
        </w:tblPrEx>
        <w:trPr>
          <w:trHeight w:val="523" w:hRule="exact"/>
          <w:jc w:val="center"/>
        </w:trPr>
        <w:tc>
          <w:tcPr>
            <w:tcW w:w="867" w:type="dxa"/>
            <w:tcBorders>
              <w:top w:val="single" w:color="auto" w:sz="4" w:space="0"/>
              <w:left w:val="single" w:color="auto" w:sz="4" w:space="0"/>
            </w:tcBorders>
            <w:shd w:val="clear" w:color="auto" w:fill="FFFFFF"/>
            <w:vAlign w:val="center"/>
          </w:tcPr>
          <w:p>
            <w:pPr>
              <w:pageBreakBefore w:val="0"/>
              <w:kinsoku/>
              <w:overflowPunct/>
              <w:topLinePunct w:val="0"/>
              <w:bidi w:val="0"/>
              <w:snapToGrid/>
              <w:spacing w:line="360" w:lineRule="auto"/>
              <w:jc w:val="center"/>
              <w:rPr>
                <w:rFonts w:hint="eastAsia" w:ascii="宋体" w:hAnsi="宋体" w:eastAsia="宋体" w:cs="宋体"/>
                <w:color w:val="auto"/>
                <w:sz w:val="24"/>
                <w:szCs w:val="24"/>
                <w:highlight w:val="none"/>
              </w:rPr>
            </w:pPr>
          </w:p>
        </w:tc>
        <w:tc>
          <w:tcPr>
            <w:tcW w:w="1413" w:type="dxa"/>
            <w:tcBorders>
              <w:top w:val="single" w:color="auto" w:sz="4" w:space="0"/>
              <w:left w:val="single" w:color="auto" w:sz="4" w:space="0"/>
            </w:tcBorders>
            <w:shd w:val="clear" w:color="auto" w:fill="FFFFFF"/>
            <w:vAlign w:val="center"/>
          </w:tcPr>
          <w:p>
            <w:pPr>
              <w:pageBreakBefore w:val="0"/>
              <w:kinsoku/>
              <w:overflowPunct/>
              <w:topLinePunct w:val="0"/>
              <w:bidi w:val="0"/>
              <w:snapToGrid/>
              <w:spacing w:line="360" w:lineRule="auto"/>
              <w:jc w:val="center"/>
              <w:rPr>
                <w:rFonts w:hint="eastAsia" w:ascii="宋体" w:hAnsi="宋体" w:eastAsia="宋体" w:cs="宋体"/>
                <w:color w:val="auto"/>
                <w:sz w:val="24"/>
                <w:szCs w:val="24"/>
                <w:highlight w:val="none"/>
              </w:rPr>
            </w:pPr>
          </w:p>
        </w:tc>
        <w:tc>
          <w:tcPr>
            <w:tcW w:w="1413" w:type="dxa"/>
            <w:tcBorders>
              <w:top w:val="single" w:color="auto" w:sz="4" w:space="0"/>
              <w:left w:val="single" w:color="auto" w:sz="4" w:space="0"/>
            </w:tcBorders>
            <w:shd w:val="clear" w:color="auto" w:fill="FFFFFF"/>
            <w:vAlign w:val="center"/>
          </w:tcPr>
          <w:p>
            <w:pPr>
              <w:pageBreakBefore w:val="0"/>
              <w:kinsoku/>
              <w:overflowPunct/>
              <w:topLinePunct w:val="0"/>
              <w:bidi w:val="0"/>
              <w:snapToGrid/>
              <w:spacing w:line="360" w:lineRule="auto"/>
              <w:jc w:val="center"/>
              <w:rPr>
                <w:rFonts w:hint="eastAsia" w:ascii="宋体" w:hAnsi="宋体" w:eastAsia="宋体" w:cs="宋体"/>
                <w:color w:val="auto"/>
                <w:sz w:val="24"/>
                <w:szCs w:val="24"/>
                <w:highlight w:val="none"/>
              </w:rPr>
            </w:pPr>
          </w:p>
        </w:tc>
        <w:tc>
          <w:tcPr>
            <w:tcW w:w="1136" w:type="dxa"/>
            <w:tcBorders>
              <w:top w:val="single" w:color="auto" w:sz="4" w:space="0"/>
              <w:left w:val="single" w:color="auto" w:sz="4" w:space="0"/>
            </w:tcBorders>
            <w:shd w:val="clear" w:color="auto" w:fill="FFFFFF"/>
            <w:vAlign w:val="center"/>
          </w:tcPr>
          <w:p>
            <w:pPr>
              <w:pageBreakBefore w:val="0"/>
              <w:kinsoku/>
              <w:overflowPunct/>
              <w:topLinePunct w:val="0"/>
              <w:bidi w:val="0"/>
              <w:snapToGrid/>
              <w:spacing w:line="360" w:lineRule="auto"/>
              <w:jc w:val="center"/>
              <w:rPr>
                <w:rFonts w:hint="eastAsia" w:ascii="宋体" w:hAnsi="宋体" w:eastAsia="宋体" w:cs="宋体"/>
                <w:color w:val="auto"/>
                <w:sz w:val="24"/>
                <w:szCs w:val="24"/>
                <w:highlight w:val="none"/>
              </w:rPr>
            </w:pPr>
          </w:p>
        </w:tc>
        <w:tc>
          <w:tcPr>
            <w:tcW w:w="675" w:type="dxa"/>
            <w:tcBorders>
              <w:top w:val="single" w:color="auto" w:sz="4" w:space="0"/>
              <w:left w:val="single" w:color="auto" w:sz="4" w:space="0"/>
            </w:tcBorders>
            <w:shd w:val="clear" w:color="auto" w:fill="FFFFFF"/>
            <w:vAlign w:val="center"/>
          </w:tcPr>
          <w:p>
            <w:pPr>
              <w:pageBreakBefore w:val="0"/>
              <w:kinsoku/>
              <w:overflowPunct/>
              <w:topLinePunct w:val="0"/>
              <w:bidi w:val="0"/>
              <w:snapToGrid/>
              <w:spacing w:line="360" w:lineRule="auto"/>
              <w:jc w:val="center"/>
              <w:rPr>
                <w:rFonts w:hint="eastAsia" w:ascii="宋体" w:hAnsi="宋体" w:eastAsia="宋体" w:cs="宋体"/>
                <w:color w:val="auto"/>
                <w:sz w:val="24"/>
                <w:szCs w:val="24"/>
                <w:highlight w:val="none"/>
              </w:rPr>
            </w:pPr>
          </w:p>
        </w:tc>
        <w:tc>
          <w:tcPr>
            <w:tcW w:w="680" w:type="dxa"/>
            <w:tcBorders>
              <w:top w:val="single" w:color="auto" w:sz="4" w:space="0"/>
              <w:left w:val="single" w:color="auto" w:sz="4" w:space="0"/>
            </w:tcBorders>
            <w:shd w:val="clear" w:color="auto" w:fill="FFFFFF"/>
            <w:vAlign w:val="center"/>
          </w:tcPr>
          <w:p>
            <w:pPr>
              <w:pageBreakBefore w:val="0"/>
              <w:kinsoku/>
              <w:overflowPunct/>
              <w:topLinePunct w:val="0"/>
              <w:bidi w:val="0"/>
              <w:snapToGrid/>
              <w:spacing w:line="360" w:lineRule="auto"/>
              <w:jc w:val="center"/>
              <w:rPr>
                <w:rFonts w:hint="eastAsia" w:ascii="宋体" w:hAnsi="宋体" w:eastAsia="宋体" w:cs="宋体"/>
                <w:color w:val="auto"/>
                <w:sz w:val="24"/>
                <w:szCs w:val="24"/>
                <w:highlight w:val="none"/>
              </w:rPr>
            </w:pPr>
          </w:p>
        </w:tc>
        <w:tc>
          <w:tcPr>
            <w:tcW w:w="1240" w:type="dxa"/>
            <w:tcBorders>
              <w:top w:val="single" w:color="auto" w:sz="4" w:space="0"/>
              <w:left w:val="single" w:color="auto" w:sz="4" w:space="0"/>
            </w:tcBorders>
            <w:shd w:val="clear" w:color="auto" w:fill="FFFFFF"/>
            <w:vAlign w:val="center"/>
          </w:tcPr>
          <w:p>
            <w:pPr>
              <w:pageBreakBefore w:val="0"/>
              <w:kinsoku/>
              <w:overflowPunct/>
              <w:topLinePunct w:val="0"/>
              <w:bidi w:val="0"/>
              <w:snapToGrid/>
              <w:spacing w:line="360" w:lineRule="auto"/>
              <w:jc w:val="center"/>
              <w:rPr>
                <w:rFonts w:hint="eastAsia" w:ascii="宋体" w:hAnsi="宋体" w:eastAsia="宋体" w:cs="宋体"/>
                <w:color w:val="auto"/>
                <w:sz w:val="24"/>
                <w:szCs w:val="24"/>
                <w:highlight w:val="none"/>
              </w:rPr>
            </w:pPr>
          </w:p>
        </w:tc>
        <w:tc>
          <w:tcPr>
            <w:tcW w:w="852" w:type="dxa"/>
            <w:tcBorders>
              <w:top w:val="single" w:color="auto" w:sz="4" w:space="0"/>
              <w:left w:val="single" w:color="auto" w:sz="4" w:space="0"/>
            </w:tcBorders>
            <w:shd w:val="clear" w:color="auto" w:fill="FFFFFF"/>
            <w:vAlign w:val="center"/>
          </w:tcPr>
          <w:p>
            <w:pPr>
              <w:pageBreakBefore w:val="0"/>
              <w:kinsoku/>
              <w:overflowPunct/>
              <w:topLinePunct w:val="0"/>
              <w:bidi w:val="0"/>
              <w:snapToGrid/>
              <w:spacing w:line="360" w:lineRule="auto"/>
              <w:jc w:val="center"/>
              <w:rPr>
                <w:rFonts w:hint="eastAsia" w:ascii="宋体" w:hAnsi="宋体" w:eastAsia="宋体" w:cs="宋体"/>
                <w:color w:val="auto"/>
                <w:sz w:val="24"/>
                <w:szCs w:val="24"/>
                <w:highlight w:val="none"/>
              </w:rPr>
            </w:pPr>
          </w:p>
        </w:tc>
        <w:tc>
          <w:tcPr>
            <w:tcW w:w="849" w:type="dxa"/>
            <w:tcBorders>
              <w:top w:val="single" w:color="auto" w:sz="4" w:space="0"/>
              <w:left w:val="single" w:color="auto" w:sz="4" w:space="0"/>
            </w:tcBorders>
            <w:shd w:val="clear" w:color="auto" w:fill="FFFFFF"/>
            <w:vAlign w:val="center"/>
          </w:tcPr>
          <w:p>
            <w:pPr>
              <w:pageBreakBefore w:val="0"/>
              <w:kinsoku/>
              <w:overflowPunct/>
              <w:topLinePunct w:val="0"/>
              <w:bidi w:val="0"/>
              <w:snapToGrid/>
              <w:spacing w:line="360" w:lineRule="auto"/>
              <w:jc w:val="center"/>
              <w:rPr>
                <w:rFonts w:hint="eastAsia" w:ascii="宋体" w:hAnsi="宋体" w:eastAsia="宋体" w:cs="宋体"/>
                <w:color w:val="auto"/>
                <w:sz w:val="24"/>
                <w:szCs w:val="24"/>
                <w:highlight w:val="none"/>
              </w:rPr>
            </w:pPr>
          </w:p>
        </w:tc>
        <w:tc>
          <w:tcPr>
            <w:tcW w:w="1384" w:type="dxa"/>
            <w:tcBorders>
              <w:top w:val="single" w:color="auto" w:sz="4" w:space="0"/>
              <w:left w:val="single" w:color="auto" w:sz="4" w:space="0"/>
              <w:right w:val="single" w:color="auto" w:sz="4" w:space="0"/>
            </w:tcBorders>
            <w:shd w:val="clear" w:color="auto" w:fill="FFFFFF"/>
            <w:vAlign w:val="center"/>
          </w:tcPr>
          <w:p>
            <w:pPr>
              <w:pageBreakBefore w:val="0"/>
              <w:kinsoku/>
              <w:overflowPunct/>
              <w:topLinePunct w:val="0"/>
              <w:bidi w:val="0"/>
              <w:snapToGrid/>
              <w:spacing w:line="360" w:lineRule="auto"/>
              <w:jc w:val="center"/>
              <w:rPr>
                <w:rFonts w:hint="eastAsia" w:ascii="宋体" w:hAnsi="宋体" w:eastAsia="宋体" w:cs="宋体"/>
                <w:color w:val="auto"/>
                <w:sz w:val="24"/>
                <w:szCs w:val="24"/>
                <w:highlight w:val="none"/>
              </w:rPr>
            </w:pPr>
          </w:p>
        </w:tc>
      </w:tr>
      <w:tr>
        <w:tblPrEx>
          <w:tblCellMar>
            <w:top w:w="0" w:type="dxa"/>
            <w:left w:w="10" w:type="dxa"/>
            <w:bottom w:w="0" w:type="dxa"/>
            <w:right w:w="10" w:type="dxa"/>
          </w:tblCellMar>
        </w:tblPrEx>
        <w:trPr>
          <w:trHeight w:val="523" w:hRule="exact"/>
          <w:jc w:val="center"/>
        </w:trPr>
        <w:tc>
          <w:tcPr>
            <w:tcW w:w="867" w:type="dxa"/>
            <w:tcBorders>
              <w:top w:val="single" w:color="auto" w:sz="4" w:space="0"/>
              <w:left w:val="single" w:color="auto" w:sz="4" w:space="0"/>
            </w:tcBorders>
            <w:shd w:val="clear" w:color="auto" w:fill="FFFFFF"/>
            <w:vAlign w:val="center"/>
          </w:tcPr>
          <w:p>
            <w:pPr>
              <w:pageBreakBefore w:val="0"/>
              <w:kinsoku/>
              <w:overflowPunct/>
              <w:topLinePunct w:val="0"/>
              <w:bidi w:val="0"/>
              <w:snapToGrid/>
              <w:spacing w:line="360" w:lineRule="auto"/>
              <w:jc w:val="center"/>
              <w:rPr>
                <w:rFonts w:hint="eastAsia" w:ascii="宋体" w:hAnsi="宋体" w:eastAsia="宋体" w:cs="宋体"/>
                <w:color w:val="auto"/>
                <w:sz w:val="24"/>
                <w:szCs w:val="24"/>
                <w:highlight w:val="none"/>
              </w:rPr>
            </w:pPr>
          </w:p>
        </w:tc>
        <w:tc>
          <w:tcPr>
            <w:tcW w:w="1413" w:type="dxa"/>
            <w:tcBorders>
              <w:top w:val="single" w:color="auto" w:sz="4" w:space="0"/>
              <w:left w:val="single" w:color="auto" w:sz="4" w:space="0"/>
            </w:tcBorders>
            <w:shd w:val="clear" w:color="auto" w:fill="FFFFFF"/>
            <w:vAlign w:val="center"/>
          </w:tcPr>
          <w:p>
            <w:pPr>
              <w:pageBreakBefore w:val="0"/>
              <w:kinsoku/>
              <w:overflowPunct/>
              <w:topLinePunct w:val="0"/>
              <w:bidi w:val="0"/>
              <w:snapToGrid/>
              <w:spacing w:line="360" w:lineRule="auto"/>
              <w:jc w:val="center"/>
              <w:rPr>
                <w:rFonts w:hint="eastAsia" w:ascii="宋体" w:hAnsi="宋体" w:eastAsia="宋体" w:cs="宋体"/>
                <w:color w:val="auto"/>
                <w:sz w:val="24"/>
                <w:szCs w:val="24"/>
                <w:highlight w:val="none"/>
              </w:rPr>
            </w:pPr>
          </w:p>
        </w:tc>
        <w:tc>
          <w:tcPr>
            <w:tcW w:w="1413" w:type="dxa"/>
            <w:tcBorders>
              <w:top w:val="single" w:color="auto" w:sz="4" w:space="0"/>
              <w:left w:val="single" w:color="auto" w:sz="4" w:space="0"/>
            </w:tcBorders>
            <w:shd w:val="clear" w:color="auto" w:fill="FFFFFF"/>
            <w:vAlign w:val="center"/>
          </w:tcPr>
          <w:p>
            <w:pPr>
              <w:pageBreakBefore w:val="0"/>
              <w:kinsoku/>
              <w:overflowPunct/>
              <w:topLinePunct w:val="0"/>
              <w:bidi w:val="0"/>
              <w:snapToGrid/>
              <w:spacing w:line="360" w:lineRule="auto"/>
              <w:jc w:val="center"/>
              <w:rPr>
                <w:rFonts w:hint="eastAsia" w:ascii="宋体" w:hAnsi="宋体" w:eastAsia="宋体" w:cs="宋体"/>
                <w:color w:val="auto"/>
                <w:sz w:val="24"/>
                <w:szCs w:val="24"/>
                <w:highlight w:val="none"/>
              </w:rPr>
            </w:pPr>
          </w:p>
        </w:tc>
        <w:tc>
          <w:tcPr>
            <w:tcW w:w="1136" w:type="dxa"/>
            <w:tcBorders>
              <w:top w:val="single" w:color="auto" w:sz="4" w:space="0"/>
              <w:left w:val="single" w:color="auto" w:sz="4" w:space="0"/>
            </w:tcBorders>
            <w:shd w:val="clear" w:color="auto" w:fill="FFFFFF"/>
            <w:vAlign w:val="center"/>
          </w:tcPr>
          <w:p>
            <w:pPr>
              <w:pageBreakBefore w:val="0"/>
              <w:kinsoku/>
              <w:overflowPunct/>
              <w:topLinePunct w:val="0"/>
              <w:bidi w:val="0"/>
              <w:snapToGrid/>
              <w:spacing w:line="360" w:lineRule="auto"/>
              <w:jc w:val="center"/>
              <w:rPr>
                <w:rFonts w:hint="eastAsia" w:ascii="宋体" w:hAnsi="宋体" w:eastAsia="宋体" w:cs="宋体"/>
                <w:color w:val="auto"/>
                <w:sz w:val="24"/>
                <w:szCs w:val="24"/>
                <w:highlight w:val="none"/>
              </w:rPr>
            </w:pPr>
          </w:p>
        </w:tc>
        <w:tc>
          <w:tcPr>
            <w:tcW w:w="675" w:type="dxa"/>
            <w:tcBorders>
              <w:top w:val="single" w:color="auto" w:sz="4" w:space="0"/>
              <w:left w:val="single" w:color="auto" w:sz="4" w:space="0"/>
            </w:tcBorders>
            <w:shd w:val="clear" w:color="auto" w:fill="FFFFFF"/>
            <w:vAlign w:val="center"/>
          </w:tcPr>
          <w:p>
            <w:pPr>
              <w:pageBreakBefore w:val="0"/>
              <w:kinsoku/>
              <w:overflowPunct/>
              <w:topLinePunct w:val="0"/>
              <w:bidi w:val="0"/>
              <w:snapToGrid/>
              <w:spacing w:line="360" w:lineRule="auto"/>
              <w:jc w:val="center"/>
              <w:rPr>
                <w:rFonts w:hint="eastAsia" w:ascii="宋体" w:hAnsi="宋体" w:eastAsia="宋体" w:cs="宋体"/>
                <w:color w:val="auto"/>
                <w:sz w:val="24"/>
                <w:szCs w:val="24"/>
                <w:highlight w:val="none"/>
              </w:rPr>
            </w:pPr>
          </w:p>
        </w:tc>
        <w:tc>
          <w:tcPr>
            <w:tcW w:w="680" w:type="dxa"/>
            <w:tcBorders>
              <w:top w:val="single" w:color="auto" w:sz="4" w:space="0"/>
              <w:left w:val="single" w:color="auto" w:sz="4" w:space="0"/>
            </w:tcBorders>
            <w:shd w:val="clear" w:color="auto" w:fill="FFFFFF"/>
            <w:vAlign w:val="center"/>
          </w:tcPr>
          <w:p>
            <w:pPr>
              <w:pageBreakBefore w:val="0"/>
              <w:kinsoku/>
              <w:overflowPunct/>
              <w:topLinePunct w:val="0"/>
              <w:bidi w:val="0"/>
              <w:snapToGrid/>
              <w:spacing w:line="360" w:lineRule="auto"/>
              <w:jc w:val="center"/>
              <w:rPr>
                <w:rFonts w:hint="eastAsia" w:ascii="宋体" w:hAnsi="宋体" w:eastAsia="宋体" w:cs="宋体"/>
                <w:color w:val="auto"/>
                <w:sz w:val="24"/>
                <w:szCs w:val="24"/>
                <w:highlight w:val="none"/>
              </w:rPr>
            </w:pPr>
          </w:p>
        </w:tc>
        <w:tc>
          <w:tcPr>
            <w:tcW w:w="1240" w:type="dxa"/>
            <w:tcBorders>
              <w:top w:val="single" w:color="auto" w:sz="4" w:space="0"/>
              <w:left w:val="single" w:color="auto" w:sz="4" w:space="0"/>
            </w:tcBorders>
            <w:shd w:val="clear" w:color="auto" w:fill="FFFFFF"/>
            <w:vAlign w:val="center"/>
          </w:tcPr>
          <w:p>
            <w:pPr>
              <w:pageBreakBefore w:val="0"/>
              <w:kinsoku/>
              <w:overflowPunct/>
              <w:topLinePunct w:val="0"/>
              <w:bidi w:val="0"/>
              <w:snapToGrid/>
              <w:spacing w:line="360" w:lineRule="auto"/>
              <w:jc w:val="center"/>
              <w:rPr>
                <w:rFonts w:hint="eastAsia" w:ascii="宋体" w:hAnsi="宋体" w:eastAsia="宋体" w:cs="宋体"/>
                <w:color w:val="auto"/>
                <w:sz w:val="24"/>
                <w:szCs w:val="24"/>
                <w:highlight w:val="none"/>
              </w:rPr>
            </w:pPr>
          </w:p>
        </w:tc>
        <w:tc>
          <w:tcPr>
            <w:tcW w:w="852" w:type="dxa"/>
            <w:tcBorders>
              <w:top w:val="single" w:color="auto" w:sz="4" w:space="0"/>
              <w:left w:val="single" w:color="auto" w:sz="4" w:space="0"/>
            </w:tcBorders>
            <w:shd w:val="clear" w:color="auto" w:fill="FFFFFF"/>
            <w:vAlign w:val="center"/>
          </w:tcPr>
          <w:p>
            <w:pPr>
              <w:pageBreakBefore w:val="0"/>
              <w:kinsoku/>
              <w:overflowPunct/>
              <w:topLinePunct w:val="0"/>
              <w:bidi w:val="0"/>
              <w:snapToGrid/>
              <w:spacing w:line="360" w:lineRule="auto"/>
              <w:jc w:val="center"/>
              <w:rPr>
                <w:rFonts w:hint="eastAsia" w:ascii="宋体" w:hAnsi="宋体" w:eastAsia="宋体" w:cs="宋体"/>
                <w:color w:val="auto"/>
                <w:sz w:val="24"/>
                <w:szCs w:val="24"/>
                <w:highlight w:val="none"/>
              </w:rPr>
            </w:pPr>
          </w:p>
        </w:tc>
        <w:tc>
          <w:tcPr>
            <w:tcW w:w="849" w:type="dxa"/>
            <w:tcBorders>
              <w:top w:val="single" w:color="auto" w:sz="4" w:space="0"/>
              <w:left w:val="single" w:color="auto" w:sz="4" w:space="0"/>
            </w:tcBorders>
            <w:shd w:val="clear" w:color="auto" w:fill="FFFFFF"/>
            <w:vAlign w:val="center"/>
          </w:tcPr>
          <w:p>
            <w:pPr>
              <w:pageBreakBefore w:val="0"/>
              <w:kinsoku/>
              <w:overflowPunct/>
              <w:topLinePunct w:val="0"/>
              <w:bidi w:val="0"/>
              <w:snapToGrid/>
              <w:spacing w:line="360" w:lineRule="auto"/>
              <w:jc w:val="center"/>
              <w:rPr>
                <w:rFonts w:hint="eastAsia" w:ascii="宋体" w:hAnsi="宋体" w:eastAsia="宋体" w:cs="宋体"/>
                <w:color w:val="auto"/>
                <w:sz w:val="24"/>
                <w:szCs w:val="24"/>
                <w:highlight w:val="none"/>
              </w:rPr>
            </w:pPr>
          </w:p>
        </w:tc>
        <w:tc>
          <w:tcPr>
            <w:tcW w:w="1384" w:type="dxa"/>
            <w:tcBorders>
              <w:top w:val="single" w:color="auto" w:sz="4" w:space="0"/>
              <w:left w:val="single" w:color="auto" w:sz="4" w:space="0"/>
              <w:right w:val="single" w:color="auto" w:sz="4" w:space="0"/>
            </w:tcBorders>
            <w:shd w:val="clear" w:color="auto" w:fill="FFFFFF"/>
            <w:vAlign w:val="center"/>
          </w:tcPr>
          <w:p>
            <w:pPr>
              <w:pageBreakBefore w:val="0"/>
              <w:kinsoku/>
              <w:overflowPunct/>
              <w:topLinePunct w:val="0"/>
              <w:bidi w:val="0"/>
              <w:snapToGrid/>
              <w:spacing w:line="360" w:lineRule="auto"/>
              <w:jc w:val="center"/>
              <w:rPr>
                <w:rFonts w:hint="eastAsia" w:ascii="宋体" w:hAnsi="宋体" w:eastAsia="宋体" w:cs="宋体"/>
                <w:color w:val="auto"/>
                <w:sz w:val="24"/>
                <w:szCs w:val="24"/>
                <w:highlight w:val="none"/>
              </w:rPr>
            </w:pPr>
          </w:p>
        </w:tc>
      </w:tr>
      <w:tr>
        <w:tblPrEx>
          <w:tblCellMar>
            <w:top w:w="0" w:type="dxa"/>
            <w:left w:w="10" w:type="dxa"/>
            <w:bottom w:w="0" w:type="dxa"/>
            <w:right w:w="10" w:type="dxa"/>
          </w:tblCellMar>
        </w:tblPrEx>
        <w:trPr>
          <w:trHeight w:val="523" w:hRule="exact"/>
          <w:jc w:val="center"/>
        </w:trPr>
        <w:tc>
          <w:tcPr>
            <w:tcW w:w="867" w:type="dxa"/>
            <w:tcBorders>
              <w:top w:val="single" w:color="auto" w:sz="4" w:space="0"/>
              <w:left w:val="single" w:color="auto" w:sz="4" w:space="0"/>
            </w:tcBorders>
            <w:shd w:val="clear" w:color="auto" w:fill="FFFFFF"/>
            <w:vAlign w:val="center"/>
          </w:tcPr>
          <w:p>
            <w:pPr>
              <w:pageBreakBefore w:val="0"/>
              <w:kinsoku/>
              <w:overflowPunct/>
              <w:topLinePunct w:val="0"/>
              <w:bidi w:val="0"/>
              <w:snapToGrid/>
              <w:spacing w:line="360" w:lineRule="auto"/>
              <w:jc w:val="center"/>
              <w:rPr>
                <w:rFonts w:hint="eastAsia" w:ascii="宋体" w:hAnsi="宋体" w:eastAsia="宋体" w:cs="宋体"/>
                <w:color w:val="auto"/>
                <w:sz w:val="24"/>
                <w:szCs w:val="24"/>
                <w:highlight w:val="none"/>
              </w:rPr>
            </w:pPr>
          </w:p>
        </w:tc>
        <w:tc>
          <w:tcPr>
            <w:tcW w:w="1413" w:type="dxa"/>
            <w:tcBorders>
              <w:top w:val="single" w:color="auto" w:sz="4" w:space="0"/>
              <w:left w:val="single" w:color="auto" w:sz="4" w:space="0"/>
            </w:tcBorders>
            <w:shd w:val="clear" w:color="auto" w:fill="FFFFFF"/>
            <w:vAlign w:val="center"/>
          </w:tcPr>
          <w:p>
            <w:pPr>
              <w:pageBreakBefore w:val="0"/>
              <w:kinsoku/>
              <w:overflowPunct/>
              <w:topLinePunct w:val="0"/>
              <w:bidi w:val="0"/>
              <w:snapToGrid/>
              <w:spacing w:line="360" w:lineRule="auto"/>
              <w:jc w:val="center"/>
              <w:rPr>
                <w:rFonts w:hint="eastAsia" w:ascii="宋体" w:hAnsi="宋体" w:eastAsia="宋体" w:cs="宋体"/>
                <w:color w:val="auto"/>
                <w:sz w:val="24"/>
                <w:szCs w:val="24"/>
                <w:highlight w:val="none"/>
              </w:rPr>
            </w:pPr>
          </w:p>
        </w:tc>
        <w:tc>
          <w:tcPr>
            <w:tcW w:w="1413" w:type="dxa"/>
            <w:tcBorders>
              <w:top w:val="single" w:color="auto" w:sz="4" w:space="0"/>
              <w:left w:val="single" w:color="auto" w:sz="4" w:space="0"/>
            </w:tcBorders>
            <w:shd w:val="clear" w:color="auto" w:fill="FFFFFF"/>
            <w:vAlign w:val="center"/>
          </w:tcPr>
          <w:p>
            <w:pPr>
              <w:pageBreakBefore w:val="0"/>
              <w:kinsoku/>
              <w:overflowPunct/>
              <w:topLinePunct w:val="0"/>
              <w:bidi w:val="0"/>
              <w:snapToGrid/>
              <w:spacing w:line="360" w:lineRule="auto"/>
              <w:jc w:val="center"/>
              <w:rPr>
                <w:rFonts w:hint="eastAsia" w:ascii="宋体" w:hAnsi="宋体" w:eastAsia="宋体" w:cs="宋体"/>
                <w:color w:val="auto"/>
                <w:sz w:val="24"/>
                <w:szCs w:val="24"/>
                <w:highlight w:val="none"/>
              </w:rPr>
            </w:pPr>
          </w:p>
        </w:tc>
        <w:tc>
          <w:tcPr>
            <w:tcW w:w="1136" w:type="dxa"/>
            <w:tcBorders>
              <w:top w:val="single" w:color="auto" w:sz="4" w:space="0"/>
              <w:left w:val="single" w:color="auto" w:sz="4" w:space="0"/>
            </w:tcBorders>
            <w:shd w:val="clear" w:color="auto" w:fill="FFFFFF"/>
            <w:vAlign w:val="center"/>
          </w:tcPr>
          <w:p>
            <w:pPr>
              <w:pageBreakBefore w:val="0"/>
              <w:kinsoku/>
              <w:overflowPunct/>
              <w:topLinePunct w:val="0"/>
              <w:bidi w:val="0"/>
              <w:snapToGrid/>
              <w:spacing w:line="360" w:lineRule="auto"/>
              <w:jc w:val="center"/>
              <w:rPr>
                <w:rFonts w:hint="eastAsia" w:ascii="宋体" w:hAnsi="宋体" w:eastAsia="宋体" w:cs="宋体"/>
                <w:color w:val="auto"/>
                <w:sz w:val="24"/>
                <w:szCs w:val="24"/>
                <w:highlight w:val="none"/>
              </w:rPr>
            </w:pPr>
          </w:p>
        </w:tc>
        <w:tc>
          <w:tcPr>
            <w:tcW w:w="675" w:type="dxa"/>
            <w:tcBorders>
              <w:top w:val="single" w:color="auto" w:sz="4" w:space="0"/>
              <w:left w:val="single" w:color="auto" w:sz="4" w:space="0"/>
            </w:tcBorders>
            <w:shd w:val="clear" w:color="auto" w:fill="FFFFFF"/>
            <w:vAlign w:val="center"/>
          </w:tcPr>
          <w:p>
            <w:pPr>
              <w:pageBreakBefore w:val="0"/>
              <w:kinsoku/>
              <w:overflowPunct/>
              <w:topLinePunct w:val="0"/>
              <w:bidi w:val="0"/>
              <w:snapToGrid/>
              <w:spacing w:line="360" w:lineRule="auto"/>
              <w:jc w:val="center"/>
              <w:rPr>
                <w:rFonts w:hint="eastAsia" w:ascii="宋体" w:hAnsi="宋体" w:eastAsia="宋体" w:cs="宋体"/>
                <w:color w:val="auto"/>
                <w:sz w:val="24"/>
                <w:szCs w:val="24"/>
                <w:highlight w:val="none"/>
              </w:rPr>
            </w:pPr>
          </w:p>
        </w:tc>
        <w:tc>
          <w:tcPr>
            <w:tcW w:w="680" w:type="dxa"/>
            <w:tcBorders>
              <w:top w:val="single" w:color="auto" w:sz="4" w:space="0"/>
              <w:left w:val="single" w:color="auto" w:sz="4" w:space="0"/>
            </w:tcBorders>
            <w:shd w:val="clear" w:color="auto" w:fill="FFFFFF"/>
            <w:vAlign w:val="center"/>
          </w:tcPr>
          <w:p>
            <w:pPr>
              <w:pageBreakBefore w:val="0"/>
              <w:kinsoku/>
              <w:overflowPunct/>
              <w:topLinePunct w:val="0"/>
              <w:bidi w:val="0"/>
              <w:snapToGrid/>
              <w:spacing w:line="360" w:lineRule="auto"/>
              <w:jc w:val="center"/>
              <w:rPr>
                <w:rFonts w:hint="eastAsia" w:ascii="宋体" w:hAnsi="宋体" w:eastAsia="宋体" w:cs="宋体"/>
                <w:color w:val="auto"/>
                <w:sz w:val="24"/>
                <w:szCs w:val="24"/>
                <w:highlight w:val="none"/>
              </w:rPr>
            </w:pPr>
          </w:p>
        </w:tc>
        <w:tc>
          <w:tcPr>
            <w:tcW w:w="1240" w:type="dxa"/>
            <w:tcBorders>
              <w:top w:val="single" w:color="auto" w:sz="4" w:space="0"/>
              <w:left w:val="single" w:color="auto" w:sz="4" w:space="0"/>
            </w:tcBorders>
            <w:shd w:val="clear" w:color="auto" w:fill="FFFFFF"/>
            <w:vAlign w:val="center"/>
          </w:tcPr>
          <w:p>
            <w:pPr>
              <w:pageBreakBefore w:val="0"/>
              <w:kinsoku/>
              <w:overflowPunct/>
              <w:topLinePunct w:val="0"/>
              <w:bidi w:val="0"/>
              <w:snapToGrid/>
              <w:spacing w:line="360" w:lineRule="auto"/>
              <w:jc w:val="center"/>
              <w:rPr>
                <w:rFonts w:hint="eastAsia" w:ascii="宋体" w:hAnsi="宋体" w:eastAsia="宋体" w:cs="宋体"/>
                <w:color w:val="auto"/>
                <w:sz w:val="24"/>
                <w:szCs w:val="24"/>
                <w:highlight w:val="none"/>
              </w:rPr>
            </w:pPr>
          </w:p>
        </w:tc>
        <w:tc>
          <w:tcPr>
            <w:tcW w:w="852" w:type="dxa"/>
            <w:tcBorders>
              <w:top w:val="single" w:color="auto" w:sz="4" w:space="0"/>
              <w:left w:val="single" w:color="auto" w:sz="4" w:space="0"/>
            </w:tcBorders>
            <w:shd w:val="clear" w:color="auto" w:fill="FFFFFF"/>
            <w:vAlign w:val="center"/>
          </w:tcPr>
          <w:p>
            <w:pPr>
              <w:pageBreakBefore w:val="0"/>
              <w:kinsoku/>
              <w:overflowPunct/>
              <w:topLinePunct w:val="0"/>
              <w:bidi w:val="0"/>
              <w:snapToGrid/>
              <w:spacing w:line="360" w:lineRule="auto"/>
              <w:jc w:val="center"/>
              <w:rPr>
                <w:rFonts w:hint="eastAsia" w:ascii="宋体" w:hAnsi="宋体" w:eastAsia="宋体" w:cs="宋体"/>
                <w:color w:val="auto"/>
                <w:sz w:val="24"/>
                <w:szCs w:val="24"/>
                <w:highlight w:val="none"/>
              </w:rPr>
            </w:pPr>
          </w:p>
        </w:tc>
        <w:tc>
          <w:tcPr>
            <w:tcW w:w="849" w:type="dxa"/>
            <w:tcBorders>
              <w:top w:val="single" w:color="auto" w:sz="4" w:space="0"/>
              <w:left w:val="single" w:color="auto" w:sz="4" w:space="0"/>
            </w:tcBorders>
            <w:shd w:val="clear" w:color="auto" w:fill="FFFFFF"/>
            <w:vAlign w:val="center"/>
          </w:tcPr>
          <w:p>
            <w:pPr>
              <w:pageBreakBefore w:val="0"/>
              <w:kinsoku/>
              <w:overflowPunct/>
              <w:topLinePunct w:val="0"/>
              <w:bidi w:val="0"/>
              <w:snapToGrid/>
              <w:spacing w:line="360" w:lineRule="auto"/>
              <w:jc w:val="center"/>
              <w:rPr>
                <w:rFonts w:hint="eastAsia" w:ascii="宋体" w:hAnsi="宋体" w:eastAsia="宋体" w:cs="宋体"/>
                <w:color w:val="auto"/>
                <w:sz w:val="24"/>
                <w:szCs w:val="24"/>
                <w:highlight w:val="none"/>
              </w:rPr>
            </w:pPr>
          </w:p>
        </w:tc>
        <w:tc>
          <w:tcPr>
            <w:tcW w:w="1384" w:type="dxa"/>
            <w:tcBorders>
              <w:top w:val="single" w:color="auto" w:sz="4" w:space="0"/>
              <w:left w:val="single" w:color="auto" w:sz="4" w:space="0"/>
              <w:right w:val="single" w:color="auto" w:sz="4" w:space="0"/>
            </w:tcBorders>
            <w:shd w:val="clear" w:color="auto" w:fill="FFFFFF"/>
            <w:vAlign w:val="center"/>
          </w:tcPr>
          <w:p>
            <w:pPr>
              <w:pageBreakBefore w:val="0"/>
              <w:kinsoku/>
              <w:overflowPunct/>
              <w:topLinePunct w:val="0"/>
              <w:bidi w:val="0"/>
              <w:snapToGrid/>
              <w:spacing w:line="360" w:lineRule="auto"/>
              <w:jc w:val="center"/>
              <w:rPr>
                <w:rFonts w:hint="eastAsia" w:ascii="宋体" w:hAnsi="宋体" w:eastAsia="宋体" w:cs="宋体"/>
                <w:color w:val="auto"/>
                <w:sz w:val="24"/>
                <w:szCs w:val="24"/>
                <w:highlight w:val="none"/>
              </w:rPr>
            </w:pPr>
          </w:p>
        </w:tc>
      </w:tr>
      <w:tr>
        <w:tblPrEx>
          <w:tblCellMar>
            <w:top w:w="0" w:type="dxa"/>
            <w:left w:w="10" w:type="dxa"/>
            <w:bottom w:w="0" w:type="dxa"/>
            <w:right w:w="10" w:type="dxa"/>
          </w:tblCellMar>
        </w:tblPrEx>
        <w:trPr>
          <w:trHeight w:val="523" w:hRule="exact"/>
          <w:jc w:val="center"/>
        </w:trPr>
        <w:tc>
          <w:tcPr>
            <w:tcW w:w="867" w:type="dxa"/>
            <w:tcBorders>
              <w:top w:val="single" w:color="auto" w:sz="4" w:space="0"/>
              <w:left w:val="single" w:color="auto" w:sz="4" w:space="0"/>
            </w:tcBorders>
            <w:shd w:val="clear" w:color="auto" w:fill="FFFFFF"/>
            <w:vAlign w:val="center"/>
          </w:tcPr>
          <w:p>
            <w:pPr>
              <w:pageBreakBefore w:val="0"/>
              <w:kinsoku/>
              <w:overflowPunct/>
              <w:topLinePunct w:val="0"/>
              <w:bidi w:val="0"/>
              <w:snapToGrid/>
              <w:spacing w:line="360" w:lineRule="auto"/>
              <w:jc w:val="center"/>
              <w:rPr>
                <w:rFonts w:hint="eastAsia" w:ascii="宋体" w:hAnsi="宋体" w:eastAsia="宋体" w:cs="宋体"/>
                <w:color w:val="auto"/>
                <w:sz w:val="24"/>
                <w:szCs w:val="24"/>
                <w:highlight w:val="none"/>
              </w:rPr>
            </w:pPr>
          </w:p>
        </w:tc>
        <w:tc>
          <w:tcPr>
            <w:tcW w:w="1413" w:type="dxa"/>
            <w:tcBorders>
              <w:top w:val="single" w:color="auto" w:sz="4" w:space="0"/>
              <w:left w:val="single" w:color="auto" w:sz="4" w:space="0"/>
            </w:tcBorders>
            <w:shd w:val="clear" w:color="auto" w:fill="FFFFFF"/>
            <w:vAlign w:val="center"/>
          </w:tcPr>
          <w:p>
            <w:pPr>
              <w:pageBreakBefore w:val="0"/>
              <w:kinsoku/>
              <w:overflowPunct/>
              <w:topLinePunct w:val="0"/>
              <w:bidi w:val="0"/>
              <w:snapToGrid/>
              <w:spacing w:line="360" w:lineRule="auto"/>
              <w:jc w:val="center"/>
              <w:rPr>
                <w:rFonts w:hint="eastAsia" w:ascii="宋体" w:hAnsi="宋体" w:eastAsia="宋体" w:cs="宋体"/>
                <w:color w:val="auto"/>
                <w:sz w:val="24"/>
                <w:szCs w:val="24"/>
                <w:highlight w:val="none"/>
              </w:rPr>
            </w:pPr>
          </w:p>
        </w:tc>
        <w:tc>
          <w:tcPr>
            <w:tcW w:w="1413" w:type="dxa"/>
            <w:tcBorders>
              <w:top w:val="single" w:color="auto" w:sz="4" w:space="0"/>
              <w:left w:val="single" w:color="auto" w:sz="4" w:space="0"/>
            </w:tcBorders>
            <w:shd w:val="clear" w:color="auto" w:fill="FFFFFF"/>
            <w:vAlign w:val="center"/>
          </w:tcPr>
          <w:p>
            <w:pPr>
              <w:pageBreakBefore w:val="0"/>
              <w:kinsoku/>
              <w:overflowPunct/>
              <w:topLinePunct w:val="0"/>
              <w:bidi w:val="0"/>
              <w:snapToGrid/>
              <w:spacing w:line="360" w:lineRule="auto"/>
              <w:jc w:val="center"/>
              <w:rPr>
                <w:rFonts w:hint="eastAsia" w:ascii="宋体" w:hAnsi="宋体" w:eastAsia="宋体" w:cs="宋体"/>
                <w:color w:val="auto"/>
                <w:sz w:val="24"/>
                <w:szCs w:val="24"/>
                <w:highlight w:val="none"/>
              </w:rPr>
            </w:pPr>
          </w:p>
        </w:tc>
        <w:tc>
          <w:tcPr>
            <w:tcW w:w="1136" w:type="dxa"/>
            <w:tcBorders>
              <w:top w:val="single" w:color="auto" w:sz="4" w:space="0"/>
              <w:left w:val="single" w:color="auto" w:sz="4" w:space="0"/>
            </w:tcBorders>
            <w:shd w:val="clear" w:color="auto" w:fill="FFFFFF"/>
            <w:vAlign w:val="center"/>
          </w:tcPr>
          <w:p>
            <w:pPr>
              <w:pageBreakBefore w:val="0"/>
              <w:kinsoku/>
              <w:overflowPunct/>
              <w:topLinePunct w:val="0"/>
              <w:bidi w:val="0"/>
              <w:snapToGrid/>
              <w:spacing w:line="360" w:lineRule="auto"/>
              <w:jc w:val="center"/>
              <w:rPr>
                <w:rFonts w:hint="eastAsia" w:ascii="宋体" w:hAnsi="宋体" w:eastAsia="宋体" w:cs="宋体"/>
                <w:color w:val="auto"/>
                <w:sz w:val="24"/>
                <w:szCs w:val="24"/>
                <w:highlight w:val="none"/>
              </w:rPr>
            </w:pPr>
          </w:p>
        </w:tc>
        <w:tc>
          <w:tcPr>
            <w:tcW w:w="675" w:type="dxa"/>
            <w:tcBorders>
              <w:top w:val="single" w:color="auto" w:sz="4" w:space="0"/>
              <w:left w:val="single" w:color="auto" w:sz="4" w:space="0"/>
            </w:tcBorders>
            <w:shd w:val="clear" w:color="auto" w:fill="FFFFFF"/>
            <w:vAlign w:val="center"/>
          </w:tcPr>
          <w:p>
            <w:pPr>
              <w:pageBreakBefore w:val="0"/>
              <w:kinsoku/>
              <w:overflowPunct/>
              <w:topLinePunct w:val="0"/>
              <w:bidi w:val="0"/>
              <w:snapToGrid/>
              <w:spacing w:line="360" w:lineRule="auto"/>
              <w:jc w:val="center"/>
              <w:rPr>
                <w:rFonts w:hint="eastAsia" w:ascii="宋体" w:hAnsi="宋体" w:eastAsia="宋体" w:cs="宋体"/>
                <w:color w:val="auto"/>
                <w:sz w:val="24"/>
                <w:szCs w:val="24"/>
                <w:highlight w:val="none"/>
              </w:rPr>
            </w:pPr>
          </w:p>
        </w:tc>
        <w:tc>
          <w:tcPr>
            <w:tcW w:w="680" w:type="dxa"/>
            <w:tcBorders>
              <w:top w:val="single" w:color="auto" w:sz="4" w:space="0"/>
              <w:left w:val="single" w:color="auto" w:sz="4" w:space="0"/>
            </w:tcBorders>
            <w:shd w:val="clear" w:color="auto" w:fill="FFFFFF"/>
            <w:vAlign w:val="center"/>
          </w:tcPr>
          <w:p>
            <w:pPr>
              <w:pageBreakBefore w:val="0"/>
              <w:kinsoku/>
              <w:overflowPunct/>
              <w:topLinePunct w:val="0"/>
              <w:bidi w:val="0"/>
              <w:snapToGrid/>
              <w:spacing w:line="360" w:lineRule="auto"/>
              <w:jc w:val="center"/>
              <w:rPr>
                <w:rFonts w:hint="eastAsia" w:ascii="宋体" w:hAnsi="宋体" w:eastAsia="宋体" w:cs="宋体"/>
                <w:color w:val="auto"/>
                <w:sz w:val="24"/>
                <w:szCs w:val="24"/>
                <w:highlight w:val="none"/>
              </w:rPr>
            </w:pPr>
          </w:p>
        </w:tc>
        <w:tc>
          <w:tcPr>
            <w:tcW w:w="1240" w:type="dxa"/>
            <w:tcBorders>
              <w:top w:val="single" w:color="auto" w:sz="4" w:space="0"/>
              <w:left w:val="single" w:color="auto" w:sz="4" w:space="0"/>
            </w:tcBorders>
            <w:shd w:val="clear" w:color="auto" w:fill="FFFFFF"/>
            <w:vAlign w:val="center"/>
          </w:tcPr>
          <w:p>
            <w:pPr>
              <w:pageBreakBefore w:val="0"/>
              <w:kinsoku/>
              <w:overflowPunct/>
              <w:topLinePunct w:val="0"/>
              <w:bidi w:val="0"/>
              <w:snapToGrid/>
              <w:spacing w:line="360" w:lineRule="auto"/>
              <w:jc w:val="center"/>
              <w:rPr>
                <w:rFonts w:hint="eastAsia" w:ascii="宋体" w:hAnsi="宋体" w:eastAsia="宋体" w:cs="宋体"/>
                <w:color w:val="auto"/>
                <w:sz w:val="24"/>
                <w:szCs w:val="24"/>
                <w:highlight w:val="none"/>
              </w:rPr>
            </w:pPr>
          </w:p>
        </w:tc>
        <w:tc>
          <w:tcPr>
            <w:tcW w:w="852" w:type="dxa"/>
            <w:tcBorders>
              <w:top w:val="single" w:color="auto" w:sz="4" w:space="0"/>
              <w:left w:val="single" w:color="auto" w:sz="4" w:space="0"/>
            </w:tcBorders>
            <w:shd w:val="clear" w:color="auto" w:fill="FFFFFF"/>
            <w:vAlign w:val="center"/>
          </w:tcPr>
          <w:p>
            <w:pPr>
              <w:pageBreakBefore w:val="0"/>
              <w:kinsoku/>
              <w:overflowPunct/>
              <w:topLinePunct w:val="0"/>
              <w:bidi w:val="0"/>
              <w:snapToGrid/>
              <w:spacing w:line="360" w:lineRule="auto"/>
              <w:jc w:val="center"/>
              <w:rPr>
                <w:rFonts w:hint="eastAsia" w:ascii="宋体" w:hAnsi="宋体" w:eastAsia="宋体" w:cs="宋体"/>
                <w:color w:val="auto"/>
                <w:sz w:val="24"/>
                <w:szCs w:val="24"/>
                <w:highlight w:val="none"/>
              </w:rPr>
            </w:pPr>
          </w:p>
        </w:tc>
        <w:tc>
          <w:tcPr>
            <w:tcW w:w="849" w:type="dxa"/>
            <w:tcBorders>
              <w:top w:val="single" w:color="auto" w:sz="4" w:space="0"/>
              <w:left w:val="single" w:color="auto" w:sz="4" w:space="0"/>
            </w:tcBorders>
            <w:shd w:val="clear" w:color="auto" w:fill="FFFFFF"/>
            <w:vAlign w:val="center"/>
          </w:tcPr>
          <w:p>
            <w:pPr>
              <w:pageBreakBefore w:val="0"/>
              <w:kinsoku/>
              <w:overflowPunct/>
              <w:topLinePunct w:val="0"/>
              <w:bidi w:val="0"/>
              <w:snapToGrid/>
              <w:spacing w:line="360" w:lineRule="auto"/>
              <w:jc w:val="center"/>
              <w:rPr>
                <w:rFonts w:hint="eastAsia" w:ascii="宋体" w:hAnsi="宋体" w:eastAsia="宋体" w:cs="宋体"/>
                <w:color w:val="auto"/>
                <w:sz w:val="24"/>
                <w:szCs w:val="24"/>
                <w:highlight w:val="none"/>
              </w:rPr>
            </w:pPr>
          </w:p>
        </w:tc>
        <w:tc>
          <w:tcPr>
            <w:tcW w:w="1384" w:type="dxa"/>
            <w:tcBorders>
              <w:top w:val="single" w:color="auto" w:sz="4" w:space="0"/>
              <w:left w:val="single" w:color="auto" w:sz="4" w:space="0"/>
              <w:right w:val="single" w:color="auto" w:sz="4" w:space="0"/>
            </w:tcBorders>
            <w:shd w:val="clear" w:color="auto" w:fill="FFFFFF"/>
            <w:vAlign w:val="center"/>
          </w:tcPr>
          <w:p>
            <w:pPr>
              <w:pageBreakBefore w:val="0"/>
              <w:kinsoku/>
              <w:overflowPunct/>
              <w:topLinePunct w:val="0"/>
              <w:bidi w:val="0"/>
              <w:snapToGrid/>
              <w:spacing w:line="360" w:lineRule="auto"/>
              <w:jc w:val="center"/>
              <w:rPr>
                <w:rFonts w:hint="eastAsia" w:ascii="宋体" w:hAnsi="宋体" w:eastAsia="宋体" w:cs="宋体"/>
                <w:color w:val="auto"/>
                <w:sz w:val="24"/>
                <w:szCs w:val="24"/>
                <w:highlight w:val="none"/>
              </w:rPr>
            </w:pPr>
          </w:p>
        </w:tc>
      </w:tr>
      <w:tr>
        <w:tblPrEx>
          <w:tblCellMar>
            <w:top w:w="0" w:type="dxa"/>
            <w:left w:w="10" w:type="dxa"/>
            <w:bottom w:w="0" w:type="dxa"/>
            <w:right w:w="10" w:type="dxa"/>
          </w:tblCellMar>
        </w:tblPrEx>
        <w:trPr>
          <w:trHeight w:val="523" w:hRule="exact"/>
          <w:jc w:val="center"/>
        </w:trPr>
        <w:tc>
          <w:tcPr>
            <w:tcW w:w="867" w:type="dxa"/>
            <w:tcBorders>
              <w:top w:val="single" w:color="auto" w:sz="4" w:space="0"/>
              <w:left w:val="single" w:color="auto" w:sz="4" w:space="0"/>
            </w:tcBorders>
            <w:shd w:val="clear" w:color="auto" w:fill="FFFFFF"/>
            <w:vAlign w:val="center"/>
          </w:tcPr>
          <w:p>
            <w:pPr>
              <w:pageBreakBefore w:val="0"/>
              <w:kinsoku/>
              <w:overflowPunct/>
              <w:topLinePunct w:val="0"/>
              <w:bidi w:val="0"/>
              <w:snapToGrid/>
              <w:spacing w:line="360" w:lineRule="auto"/>
              <w:jc w:val="center"/>
              <w:rPr>
                <w:rFonts w:hint="eastAsia" w:ascii="宋体" w:hAnsi="宋体" w:eastAsia="宋体" w:cs="宋体"/>
                <w:color w:val="auto"/>
                <w:sz w:val="24"/>
                <w:szCs w:val="24"/>
                <w:highlight w:val="none"/>
              </w:rPr>
            </w:pPr>
          </w:p>
        </w:tc>
        <w:tc>
          <w:tcPr>
            <w:tcW w:w="1413" w:type="dxa"/>
            <w:tcBorders>
              <w:top w:val="single" w:color="auto" w:sz="4" w:space="0"/>
              <w:left w:val="single" w:color="auto" w:sz="4" w:space="0"/>
            </w:tcBorders>
            <w:shd w:val="clear" w:color="auto" w:fill="FFFFFF"/>
            <w:vAlign w:val="center"/>
          </w:tcPr>
          <w:p>
            <w:pPr>
              <w:pageBreakBefore w:val="0"/>
              <w:kinsoku/>
              <w:overflowPunct/>
              <w:topLinePunct w:val="0"/>
              <w:bidi w:val="0"/>
              <w:snapToGrid/>
              <w:spacing w:line="360" w:lineRule="auto"/>
              <w:jc w:val="center"/>
              <w:rPr>
                <w:rFonts w:hint="eastAsia" w:ascii="宋体" w:hAnsi="宋体" w:eastAsia="宋体" w:cs="宋体"/>
                <w:color w:val="auto"/>
                <w:sz w:val="24"/>
                <w:szCs w:val="24"/>
                <w:highlight w:val="none"/>
              </w:rPr>
            </w:pPr>
          </w:p>
        </w:tc>
        <w:tc>
          <w:tcPr>
            <w:tcW w:w="1413" w:type="dxa"/>
            <w:tcBorders>
              <w:top w:val="single" w:color="auto" w:sz="4" w:space="0"/>
              <w:left w:val="single" w:color="auto" w:sz="4" w:space="0"/>
            </w:tcBorders>
            <w:shd w:val="clear" w:color="auto" w:fill="FFFFFF"/>
            <w:vAlign w:val="center"/>
          </w:tcPr>
          <w:p>
            <w:pPr>
              <w:pageBreakBefore w:val="0"/>
              <w:kinsoku/>
              <w:overflowPunct/>
              <w:topLinePunct w:val="0"/>
              <w:bidi w:val="0"/>
              <w:snapToGrid/>
              <w:spacing w:line="360" w:lineRule="auto"/>
              <w:jc w:val="center"/>
              <w:rPr>
                <w:rFonts w:hint="eastAsia" w:ascii="宋体" w:hAnsi="宋体" w:eastAsia="宋体" w:cs="宋体"/>
                <w:color w:val="auto"/>
                <w:sz w:val="24"/>
                <w:szCs w:val="24"/>
                <w:highlight w:val="none"/>
              </w:rPr>
            </w:pPr>
          </w:p>
        </w:tc>
        <w:tc>
          <w:tcPr>
            <w:tcW w:w="1136" w:type="dxa"/>
            <w:tcBorders>
              <w:top w:val="single" w:color="auto" w:sz="4" w:space="0"/>
              <w:left w:val="single" w:color="auto" w:sz="4" w:space="0"/>
            </w:tcBorders>
            <w:shd w:val="clear" w:color="auto" w:fill="FFFFFF"/>
            <w:vAlign w:val="center"/>
          </w:tcPr>
          <w:p>
            <w:pPr>
              <w:pageBreakBefore w:val="0"/>
              <w:kinsoku/>
              <w:overflowPunct/>
              <w:topLinePunct w:val="0"/>
              <w:bidi w:val="0"/>
              <w:snapToGrid/>
              <w:spacing w:line="360" w:lineRule="auto"/>
              <w:jc w:val="center"/>
              <w:rPr>
                <w:rFonts w:hint="eastAsia" w:ascii="宋体" w:hAnsi="宋体" w:eastAsia="宋体" w:cs="宋体"/>
                <w:color w:val="auto"/>
                <w:sz w:val="24"/>
                <w:szCs w:val="24"/>
                <w:highlight w:val="none"/>
              </w:rPr>
            </w:pPr>
          </w:p>
        </w:tc>
        <w:tc>
          <w:tcPr>
            <w:tcW w:w="675" w:type="dxa"/>
            <w:tcBorders>
              <w:top w:val="single" w:color="auto" w:sz="4" w:space="0"/>
              <w:left w:val="single" w:color="auto" w:sz="4" w:space="0"/>
            </w:tcBorders>
            <w:shd w:val="clear" w:color="auto" w:fill="FFFFFF"/>
            <w:vAlign w:val="center"/>
          </w:tcPr>
          <w:p>
            <w:pPr>
              <w:pageBreakBefore w:val="0"/>
              <w:kinsoku/>
              <w:overflowPunct/>
              <w:topLinePunct w:val="0"/>
              <w:bidi w:val="0"/>
              <w:snapToGrid/>
              <w:spacing w:line="360" w:lineRule="auto"/>
              <w:jc w:val="center"/>
              <w:rPr>
                <w:rFonts w:hint="eastAsia" w:ascii="宋体" w:hAnsi="宋体" w:eastAsia="宋体" w:cs="宋体"/>
                <w:color w:val="auto"/>
                <w:sz w:val="24"/>
                <w:szCs w:val="24"/>
                <w:highlight w:val="none"/>
              </w:rPr>
            </w:pPr>
          </w:p>
        </w:tc>
        <w:tc>
          <w:tcPr>
            <w:tcW w:w="680" w:type="dxa"/>
            <w:tcBorders>
              <w:top w:val="single" w:color="auto" w:sz="4" w:space="0"/>
              <w:left w:val="single" w:color="auto" w:sz="4" w:space="0"/>
            </w:tcBorders>
            <w:shd w:val="clear" w:color="auto" w:fill="FFFFFF"/>
            <w:vAlign w:val="center"/>
          </w:tcPr>
          <w:p>
            <w:pPr>
              <w:pageBreakBefore w:val="0"/>
              <w:kinsoku/>
              <w:overflowPunct/>
              <w:topLinePunct w:val="0"/>
              <w:bidi w:val="0"/>
              <w:snapToGrid/>
              <w:spacing w:line="360" w:lineRule="auto"/>
              <w:jc w:val="center"/>
              <w:rPr>
                <w:rFonts w:hint="eastAsia" w:ascii="宋体" w:hAnsi="宋体" w:eastAsia="宋体" w:cs="宋体"/>
                <w:color w:val="auto"/>
                <w:sz w:val="24"/>
                <w:szCs w:val="24"/>
                <w:highlight w:val="none"/>
              </w:rPr>
            </w:pPr>
          </w:p>
        </w:tc>
        <w:tc>
          <w:tcPr>
            <w:tcW w:w="1240" w:type="dxa"/>
            <w:tcBorders>
              <w:top w:val="single" w:color="auto" w:sz="4" w:space="0"/>
              <w:left w:val="single" w:color="auto" w:sz="4" w:space="0"/>
            </w:tcBorders>
            <w:shd w:val="clear" w:color="auto" w:fill="FFFFFF"/>
            <w:vAlign w:val="center"/>
          </w:tcPr>
          <w:p>
            <w:pPr>
              <w:pageBreakBefore w:val="0"/>
              <w:kinsoku/>
              <w:overflowPunct/>
              <w:topLinePunct w:val="0"/>
              <w:bidi w:val="0"/>
              <w:snapToGrid/>
              <w:spacing w:line="360" w:lineRule="auto"/>
              <w:jc w:val="center"/>
              <w:rPr>
                <w:rFonts w:hint="eastAsia" w:ascii="宋体" w:hAnsi="宋体" w:eastAsia="宋体" w:cs="宋体"/>
                <w:color w:val="auto"/>
                <w:sz w:val="24"/>
                <w:szCs w:val="24"/>
                <w:highlight w:val="none"/>
              </w:rPr>
            </w:pPr>
          </w:p>
        </w:tc>
        <w:tc>
          <w:tcPr>
            <w:tcW w:w="852" w:type="dxa"/>
            <w:tcBorders>
              <w:top w:val="single" w:color="auto" w:sz="4" w:space="0"/>
              <w:left w:val="single" w:color="auto" w:sz="4" w:space="0"/>
            </w:tcBorders>
            <w:shd w:val="clear" w:color="auto" w:fill="FFFFFF"/>
            <w:vAlign w:val="center"/>
          </w:tcPr>
          <w:p>
            <w:pPr>
              <w:pageBreakBefore w:val="0"/>
              <w:kinsoku/>
              <w:overflowPunct/>
              <w:topLinePunct w:val="0"/>
              <w:bidi w:val="0"/>
              <w:snapToGrid/>
              <w:spacing w:line="360" w:lineRule="auto"/>
              <w:jc w:val="center"/>
              <w:rPr>
                <w:rFonts w:hint="eastAsia" w:ascii="宋体" w:hAnsi="宋体" w:eastAsia="宋体" w:cs="宋体"/>
                <w:color w:val="auto"/>
                <w:sz w:val="24"/>
                <w:szCs w:val="24"/>
                <w:highlight w:val="none"/>
              </w:rPr>
            </w:pPr>
          </w:p>
        </w:tc>
        <w:tc>
          <w:tcPr>
            <w:tcW w:w="849" w:type="dxa"/>
            <w:tcBorders>
              <w:top w:val="single" w:color="auto" w:sz="4" w:space="0"/>
              <w:left w:val="single" w:color="auto" w:sz="4" w:space="0"/>
            </w:tcBorders>
            <w:shd w:val="clear" w:color="auto" w:fill="FFFFFF"/>
            <w:vAlign w:val="center"/>
          </w:tcPr>
          <w:p>
            <w:pPr>
              <w:pageBreakBefore w:val="0"/>
              <w:kinsoku/>
              <w:overflowPunct/>
              <w:topLinePunct w:val="0"/>
              <w:bidi w:val="0"/>
              <w:snapToGrid/>
              <w:spacing w:line="360" w:lineRule="auto"/>
              <w:jc w:val="center"/>
              <w:rPr>
                <w:rFonts w:hint="eastAsia" w:ascii="宋体" w:hAnsi="宋体" w:eastAsia="宋体" w:cs="宋体"/>
                <w:color w:val="auto"/>
                <w:sz w:val="24"/>
                <w:szCs w:val="24"/>
                <w:highlight w:val="none"/>
              </w:rPr>
            </w:pPr>
          </w:p>
        </w:tc>
        <w:tc>
          <w:tcPr>
            <w:tcW w:w="1384" w:type="dxa"/>
            <w:tcBorders>
              <w:top w:val="single" w:color="auto" w:sz="4" w:space="0"/>
              <w:left w:val="single" w:color="auto" w:sz="4" w:space="0"/>
              <w:right w:val="single" w:color="auto" w:sz="4" w:space="0"/>
            </w:tcBorders>
            <w:shd w:val="clear" w:color="auto" w:fill="FFFFFF"/>
            <w:vAlign w:val="center"/>
          </w:tcPr>
          <w:p>
            <w:pPr>
              <w:pageBreakBefore w:val="0"/>
              <w:kinsoku/>
              <w:overflowPunct/>
              <w:topLinePunct w:val="0"/>
              <w:bidi w:val="0"/>
              <w:snapToGrid/>
              <w:spacing w:line="360" w:lineRule="auto"/>
              <w:jc w:val="center"/>
              <w:rPr>
                <w:rFonts w:hint="eastAsia" w:ascii="宋体" w:hAnsi="宋体" w:eastAsia="宋体" w:cs="宋体"/>
                <w:color w:val="auto"/>
                <w:sz w:val="24"/>
                <w:szCs w:val="24"/>
                <w:highlight w:val="none"/>
              </w:rPr>
            </w:pPr>
          </w:p>
        </w:tc>
      </w:tr>
      <w:tr>
        <w:tblPrEx>
          <w:tblCellMar>
            <w:top w:w="0" w:type="dxa"/>
            <w:left w:w="10" w:type="dxa"/>
            <w:bottom w:w="0" w:type="dxa"/>
            <w:right w:w="10" w:type="dxa"/>
          </w:tblCellMar>
        </w:tblPrEx>
        <w:trPr>
          <w:trHeight w:val="523" w:hRule="exact"/>
          <w:jc w:val="center"/>
        </w:trPr>
        <w:tc>
          <w:tcPr>
            <w:tcW w:w="867" w:type="dxa"/>
            <w:tcBorders>
              <w:top w:val="single" w:color="auto" w:sz="4" w:space="0"/>
              <w:left w:val="single" w:color="auto" w:sz="4" w:space="0"/>
            </w:tcBorders>
            <w:shd w:val="clear" w:color="auto" w:fill="FFFFFF"/>
            <w:vAlign w:val="center"/>
          </w:tcPr>
          <w:p>
            <w:pPr>
              <w:pageBreakBefore w:val="0"/>
              <w:kinsoku/>
              <w:overflowPunct/>
              <w:topLinePunct w:val="0"/>
              <w:bidi w:val="0"/>
              <w:snapToGrid/>
              <w:spacing w:line="360" w:lineRule="auto"/>
              <w:jc w:val="center"/>
              <w:rPr>
                <w:rFonts w:hint="eastAsia" w:ascii="宋体" w:hAnsi="宋体" w:eastAsia="宋体" w:cs="宋体"/>
                <w:color w:val="auto"/>
                <w:sz w:val="24"/>
                <w:szCs w:val="24"/>
                <w:highlight w:val="none"/>
              </w:rPr>
            </w:pPr>
          </w:p>
        </w:tc>
        <w:tc>
          <w:tcPr>
            <w:tcW w:w="1413" w:type="dxa"/>
            <w:tcBorders>
              <w:top w:val="single" w:color="auto" w:sz="4" w:space="0"/>
              <w:left w:val="single" w:color="auto" w:sz="4" w:space="0"/>
            </w:tcBorders>
            <w:shd w:val="clear" w:color="auto" w:fill="FFFFFF"/>
            <w:vAlign w:val="center"/>
          </w:tcPr>
          <w:p>
            <w:pPr>
              <w:pageBreakBefore w:val="0"/>
              <w:kinsoku/>
              <w:overflowPunct/>
              <w:topLinePunct w:val="0"/>
              <w:bidi w:val="0"/>
              <w:snapToGrid/>
              <w:spacing w:line="360" w:lineRule="auto"/>
              <w:jc w:val="center"/>
              <w:rPr>
                <w:rFonts w:hint="eastAsia" w:ascii="宋体" w:hAnsi="宋体" w:eastAsia="宋体" w:cs="宋体"/>
                <w:color w:val="auto"/>
                <w:sz w:val="24"/>
                <w:szCs w:val="24"/>
                <w:highlight w:val="none"/>
              </w:rPr>
            </w:pPr>
          </w:p>
        </w:tc>
        <w:tc>
          <w:tcPr>
            <w:tcW w:w="1413" w:type="dxa"/>
            <w:tcBorders>
              <w:top w:val="single" w:color="auto" w:sz="4" w:space="0"/>
              <w:left w:val="single" w:color="auto" w:sz="4" w:space="0"/>
            </w:tcBorders>
            <w:shd w:val="clear" w:color="auto" w:fill="FFFFFF"/>
            <w:vAlign w:val="center"/>
          </w:tcPr>
          <w:p>
            <w:pPr>
              <w:pageBreakBefore w:val="0"/>
              <w:kinsoku/>
              <w:overflowPunct/>
              <w:topLinePunct w:val="0"/>
              <w:bidi w:val="0"/>
              <w:snapToGrid/>
              <w:spacing w:line="360" w:lineRule="auto"/>
              <w:jc w:val="center"/>
              <w:rPr>
                <w:rFonts w:hint="eastAsia" w:ascii="宋体" w:hAnsi="宋体" w:eastAsia="宋体" w:cs="宋体"/>
                <w:color w:val="auto"/>
                <w:sz w:val="24"/>
                <w:szCs w:val="24"/>
                <w:highlight w:val="none"/>
              </w:rPr>
            </w:pPr>
          </w:p>
        </w:tc>
        <w:tc>
          <w:tcPr>
            <w:tcW w:w="1136" w:type="dxa"/>
            <w:tcBorders>
              <w:top w:val="single" w:color="auto" w:sz="4" w:space="0"/>
              <w:left w:val="single" w:color="auto" w:sz="4" w:space="0"/>
            </w:tcBorders>
            <w:shd w:val="clear" w:color="auto" w:fill="FFFFFF"/>
            <w:vAlign w:val="center"/>
          </w:tcPr>
          <w:p>
            <w:pPr>
              <w:pageBreakBefore w:val="0"/>
              <w:kinsoku/>
              <w:overflowPunct/>
              <w:topLinePunct w:val="0"/>
              <w:bidi w:val="0"/>
              <w:snapToGrid/>
              <w:spacing w:line="360" w:lineRule="auto"/>
              <w:jc w:val="center"/>
              <w:rPr>
                <w:rFonts w:hint="eastAsia" w:ascii="宋体" w:hAnsi="宋体" w:eastAsia="宋体" w:cs="宋体"/>
                <w:color w:val="auto"/>
                <w:sz w:val="24"/>
                <w:szCs w:val="24"/>
                <w:highlight w:val="none"/>
              </w:rPr>
            </w:pPr>
          </w:p>
        </w:tc>
        <w:tc>
          <w:tcPr>
            <w:tcW w:w="675" w:type="dxa"/>
            <w:tcBorders>
              <w:top w:val="single" w:color="auto" w:sz="4" w:space="0"/>
              <w:left w:val="single" w:color="auto" w:sz="4" w:space="0"/>
            </w:tcBorders>
            <w:shd w:val="clear" w:color="auto" w:fill="FFFFFF"/>
            <w:vAlign w:val="center"/>
          </w:tcPr>
          <w:p>
            <w:pPr>
              <w:pageBreakBefore w:val="0"/>
              <w:kinsoku/>
              <w:overflowPunct/>
              <w:topLinePunct w:val="0"/>
              <w:bidi w:val="0"/>
              <w:snapToGrid/>
              <w:spacing w:line="360" w:lineRule="auto"/>
              <w:jc w:val="center"/>
              <w:rPr>
                <w:rFonts w:hint="eastAsia" w:ascii="宋体" w:hAnsi="宋体" w:eastAsia="宋体" w:cs="宋体"/>
                <w:color w:val="auto"/>
                <w:sz w:val="24"/>
                <w:szCs w:val="24"/>
                <w:highlight w:val="none"/>
              </w:rPr>
            </w:pPr>
          </w:p>
        </w:tc>
        <w:tc>
          <w:tcPr>
            <w:tcW w:w="680" w:type="dxa"/>
            <w:tcBorders>
              <w:top w:val="single" w:color="auto" w:sz="4" w:space="0"/>
              <w:left w:val="single" w:color="auto" w:sz="4" w:space="0"/>
            </w:tcBorders>
            <w:shd w:val="clear" w:color="auto" w:fill="FFFFFF"/>
            <w:vAlign w:val="center"/>
          </w:tcPr>
          <w:p>
            <w:pPr>
              <w:pageBreakBefore w:val="0"/>
              <w:kinsoku/>
              <w:overflowPunct/>
              <w:topLinePunct w:val="0"/>
              <w:bidi w:val="0"/>
              <w:snapToGrid/>
              <w:spacing w:line="360" w:lineRule="auto"/>
              <w:jc w:val="center"/>
              <w:rPr>
                <w:rFonts w:hint="eastAsia" w:ascii="宋体" w:hAnsi="宋体" w:eastAsia="宋体" w:cs="宋体"/>
                <w:color w:val="auto"/>
                <w:sz w:val="24"/>
                <w:szCs w:val="24"/>
                <w:highlight w:val="none"/>
              </w:rPr>
            </w:pPr>
          </w:p>
        </w:tc>
        <w:tc>
          <w:tcPr>
            <w:tcW w:w="1240" w:type="dxa"/>
            <w:tcBorders>
              <w:top w:val="single" w:color="auto" w:sz="4" w:space="0"/>
              <w:left w:val="single" w:color="auto" w:sz="4" w:space="0"/>
            </w:tcBorders>
            <w:shd w:val="clear" w:color="auto" w:fill="FFFFFF"/>
            <w:vAlign w:val="center"/>
          </w:tcPr>
          <w:p>
            <w:pPr>
              <w:pageBreakBefore w:val="0"/>
              <w:kinsoku/>
              <w:overflowPunct/>
              <w:topLinePunct w:val="0"/>
              <w:bidi w:val="0"/>
              <w:snapToGrid/>
              <w:spacing w:line="360" w:lineRule="auto"/>
              <w:jc w:val="center"/>
              <w:rPr>
                <w:rFonts w:hint="eastAsia" w:ascii="宋体" w:hAnsi="宋体" w:eastAsia="宋体" w:cs="宋体"/>
                <w:color w:val="auto"/>
                <w:sz w:val="24"/>
                <w:szCs w:val="24"/>
                <w:highlight w:val="none"/>
              </w:rPr>
            </w:pPr>
          </w:p>
        </w:tc>
        <w:tc>
          <w:tcPr>
            <w:tcW w:w="852" w:type="dxa"/>
            <w:tcBorders>
              <w:top w:val="single" w:color="auto" w:sz="4" w:space="0"/>
              <w:left w:val="single" w:color="auto" w:sz="4" w:space="0"/>
            </w:tcBorders>
            <w:shd w:val="clear" w:color="auto" w:fill="FFFFFF"/>
            <w:vAlign w:val="center"/>
          </w:tcPr>
          <w:p>
            <w:pPr>
              <w:pageBreakBefore w:val="0"/>
              <w:kinsoku/>
              <w:overflowPunct/>
              <w:topLinePunct w:val="0"/>
              <w:bidi w:val="0"/>
              <w:snapToGrid/>
              <w:spacing w:line="360" w:lineRule="auto"/>
              <w:jc w:val="center"/>
              <w:rPr>
                <w:rFonts w:hint="eastAsia" w:ascii="宋体" w:hAnsi="宋体" w:eastAsia="宋体" w:cs="宋体"/>
                <w:color w:val="auto"/>
                <w:sz w:val="24"/>
                <w:szCs w:val="24"/>
                <w:highlight w:val="none"/>
              </w:rPr>
            </w:pPr>
          </w:p>
        </w:tc>
        <w:tc>
          <w:tcPr>
            <w:tcW w:w="849" w:type="dxa"/>
            <w:tcBorders>
              <w:top w:val="single" w:color="auto" w:sz="4" w:space="0"/>
              <w:left w:val="single" w:color="auto" w:sz="4" w:space="0"/>
            </w:tcBorders>
            <w:shd w:val="clear" w:color="auto" w:fill="FFFFFF"/>
            <w:vAlign w:val="center"/>
          </w:tcPr>
          <w:p>
            <w:pPr>
              <w:pageBreakBefore w:val="0"/>
              <w:kinsoku/>
              <w:overflowPunct/>
              <w:topLinePunct w:val="0"/>
              <w:bidi w:val="0"/>
              <w:snapToGrid/>
              <w:spacing w:line="360" w:lineRule="auto"/>
              <w:jc w:val="center"/>
              <w:rPr>
                <w:rFonts w:hint="eastAsia" w:ascii="宋体" w:hAnsi="宋体" w:eastAsia="宋体" w:cs="宋体"/>
                <w:color w:val="auto"/>
                <w:sz w:val="24"/>
                <w:szCs w:val="24"/>
                <w:highlight w:val="none"/>
              </w:rPr>
            </w:pPr>
          </w:p>
        </w:tc>
        <w:tc>
          <w:tcPr>
            <w:tcW w:w="1384" w:type="dxa"/>
            <w:tcBorders>
              <w:top w:val="single" w:color="auto" w:sz="4" w:space="0"/>
              <w:left w:val="single" w:color="auto" w:sz="4" w:space="0"/>
              <w:right w:val="single" w:color="auto" w:sz="4" w:space="0"/>
            </w:tcBorders>
            <w:shd w:val="clear" w:color="auto" w:fill="FFFFFF"/>
            <w:vAlign w:val="center"/>
          </w:tcPr>
          <w:p>
            <w:pPr>
              <w:pageBreakBefore w:val="0"/>
              <w:kinsoku/>
              <w:overflowPunct/>
              <w:topLinePunct w:val="0"/>
              <w:bidi w:val="0"/>
              <w:snapToGrid/>
              <w:spacing w:line="360" w:lineRule="auto"/>
              <w:jc w:val="center"/>
              <w:rPr>
                <w:rFonts w:hint="eastAsia" w:ascii="宋体" w:hAnsi="宋体" w:eastAsia="宋体" w:cs="宋体"/>
                <w:color w:val="auto"/>
                <w:sz w:val="24"/>
                <w:szCs w:val="24"/>
                <w:highlight w:val="none"/>
              </w:rPr>
            </w:pPr>
          </w:p>
        </w:tc>
      </w:tr>
      <w:tr>
        <w:tblPrEx>
          <w:tblCellMar>
            <w:top w:w="0" w:type="dxa"/>
            <w:left w:w="10" w:type="dxa"/>
            <w:bottom w:w="0" w:type="dxa"/>
            <w:right w:w="10" w:type="dxa"/>
          </w:tblCellMar>
        </w:tblPrEx>
        <w:trPr>
          <w:trHeight w:val="523" w:hRule="exact"/>
          <w:jc w:val="center"/>
        </w:trPr>
        <w:tc>
          <w:tcPr>
            <w:tcW w:w="867" w:type="dxa"/>
            <w:tcBorders>
              <w:top w:val="single" w:color="auto" w:sz="4" w:space="0"/>
              <w:left w:val="single" w:color="auto" w:sz="4" w:space="0"/>
            </w:tcBorders>
            <w:shd w:val="clear" w:color="auto" w:fill="FFFFFF"/>
            <w:vAlign w:val="center"/>
          </w:tcPr>
          <w:p>
            <w:pPr>
              <w:pageBreakBefore w:val="0"/>
              <w:kinsoku/>
              <w:overflowPunct/>
              <w:topLinePunct w:val="0"/>
              <w:bidi w:val="0"/>
              <w:snapToGrid/>
              <w:spacing w:line="360" w:lineRule="auto"/>
              <w:jc w:val="center"/>
              <w:rPr>
                <w:rFonts w:hint="eastAsia" w:ascii="宋体" w:hAnsi="宋体" w:eastAsia="宋体" w:cs="宋体"/>
                <w:color w:val="auto"/>
                <w:sz w:val="24"/>
                <w:szCs w:val="24"/>
                <w:highlight w:val="none"/>
              </w:rPr>
            </w:pPr>
          </w:p>
        </w:tc>
        <w:tc>
          <w:tcPr>
            <w:tcW w:w="1413" w:type="dxa"/>
            <w:tcBorders>
              <w:top w:val="single" w:color="auto" w:sz="4" w:space="0"/>
              <w:left w:val="single" w:color="auto" w:sz="4" w:space="0"/>
            </w:tcBorders>
            <w:shd w:val="clear" w:color="auto" w:fill="FFFFFF"/>
            <w:vAlign w:val="center"/>
          </w:tcPr>
          <w:p>
            <w:pPr>
              <w:pageBreakBefore w:val="0"/>
              <w:kinsoku/>
              <w:overflowPunct/>
              <w:topLinePunct w:val="0"/>
              <w:bidi w:val="0"/>
              <w:snapToGrid/>
              <w:spacing w:line="360" w:lineRule="auto"/>
              <w:jc w:val="center"/>
              <w:rPr>
                <w:rFonts w:hint="eastAsia" w:ascii="宋体" w:hAnsi="宋体" w:eastAsia="宋体" w:cs="宋体"/>
                <w:color w:val="auto"/>
                <w:sz w:val="24"/>
                <w:szCs w:val="24"/>
                <w:highlight w:val="none"/>
              </w:rPr>
            </w:pPr>
          </w:p>
        </w:tc>
        <w:tc>
          <w:tcPr>
            <w:tcW w:w="1413" w:type="dxa"/>
            <w:tcBorders>
              <w:top w:val="single" w:color="auto" w:sz="4" w:space="0"/>
              <w:left w:val="single" w:color="auto" w:sz="4" w:space="0"/>
            </w:tcBorders>
            <w:shd w:val="clear" w:color="auto" w:fill="FFFFFF"/>
            <w:vAlign w:val="center"/>
          </w:tcPr>
          <w:p>
            <w:pPr>
              <w:pageBreakBefore w:val="0"/>
              <w:kinsoku/>
              <w:overflowPunct/>
              <w:topLinePunct w:val="0"/>
              <w:bidi w:val="0"/>
              <w:snapToGrid/>
              <w:spacing w:line="360" w:lineRule="auto"/>
              <w:jc w:val="center"/>
              <w:rPr>
                <w:rFonts w:hint="eastAsia" w:ascii="宋体" w:hAnsi="宋体" w:eastAsia="宋体" w:cs="宋体"/>
                <w:color w:val="auto"/>
                <w:sz w:val="24"/>
                <w:szCs w:val="24"/>
                <w:highlight w:val="none"/>
              </w:rPr>
            </w:pPr>
          </w:p>
        </w:tc>
        <w:tc>
          <w:tcPr>
            <w:tcW w:w="1136" w:type="dxa"/>
            <w:tcBorders>
              <w:top w:val="single" w:color="auto" w:sz="4" w:space="0"/>
              <w:left w:val="single" w:color="auto" w:sz="4" w:space="0"/>
            </w:tcBorders>
            <w:shd w:val="clear" w:color="auto" w:fill="FFFFFF"/>
            <w:vAlign w:val="center"/>
          </w:tcPr>
          <w:p>
            <w:pPr>
              <w:pageBreakBefore w:val="0"/>
              <w:kinsoku/>
              <w:overflowPunct/>
              <w:topLinePunct w:val="0"/>
              <w:bidi w:val="0"/>
              <w:snapToGrid/>
              <w:spacing w:line="360" w:lineRule="auto"/>
              <w:jc w:val="center"/>
              <w:rPr>
                <w:rFonts w:hint="eastAsia" w:ascii="宋体" w:hAnsi="宋体" w:eastAsia="宋体" w:cs="宋体"/>
                <w:color w:val="auto"/>
                <w:sz w:val="24"/>
                <w:szCs w:val="24"/>
                <w:highlight w:val="none"/>
              </w:rPr>
            </w:pPr>
          </w:p>
        </w:tc>
        <w:tc>
          <w:tcPr>
            <w:tcW w:w="675" w:type="dxa"/>
            <w:tcBorders>
              <w:top w:val="single" w:color="auto" w:sz="4" w:space="0"/>
              <w:left w:val="single" w:color="auto" w:sz="4" w:space="0"/>
            </w:tcBorders>
            <w:shd w:val="clear" w:color="auto" w:fill="FFFFFF"/>
            <w:vAlign w:val="center"/>
          </w:tcPr>
          <w:p>
            <w:pPr>
              <w:pageBreakBefore w:val="0"/>
              <w:kinsoku/>
              <w:overflowPunct/>
              <w:topLinePunct w:val="0"/>
              <w:bidi w:val="0"/>
              <w:snapToGrid/>
              <w:spacing w:line="360" w:lineRule="auto"/>
              <w:jc w:val="center"/>
              <w:rPr>
                <w:rFonts w:hint="eastAsia" w:ascii="宋体" w:hAnsi="宋体" w:eastAsia="宋体" w:cs="宋体"/>
                <w:color w:val="auto"/>
                <w:sz w:val="24"/>
                <w:szCs w:val="24"/>
                <w:highlight w:val="none"/>
              </w:rPr>
            </w:pPr>
          </w:p>
        </w:tc>
        <w:tc>
          <w:tcPr>
            <w:tcW w:w="680" w:type="dxa"/>
            <w:tcBorders>
              <w:top w:val="single" w:color="auto" w:sz="4" w:space="0"/>
              <w:left w:val="single" w:color="auto" w:sz="4" w:space="0"/>
            </w:tcBorders>
            <w:shd w:val="clear" w:color="auto" w:fill="FFFFFF"/>
            <w:vAlign w:val="center"/>
          </w:tcPr>
          <w:p>
            <w:pPr>
              <w:pageBreakBefore w:val="0"/>
              <w:kinsoku/>
              <w:overflowPunct/>
              <w:topLinePunct w:val="0"/>
              <w:bidi w:val="0"/>
              <w:snapToGrid/>
              <w:spacing w:line="360" w:lineRule="auto"/>
              <w:jc w:val="center"/>
              <w:rPr>
                <w:rFonts w:hint="eastAsia" w:ascii="宋体" w:hAnsi="宋体" w:eastAsia="宋体" w:cs="宋体"/>
                <w:color w:val="auto"/>
                <w:sz w:val="24"/>
                <w:szCs w:val="24"/>
                <w:highlight w:val="none"/>
              </w:rPr>
            </w:pPr>
          </w:p>
        </w:tc>
        <w:tc>
          <w:tcPr>
            <w:tcW w:w="1240" w:type="dxa"/>
            <w:tcBorders>
              <w:top w:val="single" w:color="auto" w:sz="4" w:space="0"/>
              <w:left w:val="single" w:color="auto" w:sz="4" w:space="0"/>
            </w:tcBorders>
            <w:shd w:val="clear" w:color="auto" w:fill="FFFFFF"/>
            <w:vAlign w:val="center"/>
          </w:tcPr>
          <w:p>
            <w:pPr>
              <w:pageBreakBefore w:val="0"/>
              <w:kinsoku/>
              <w:overflowPunct/>
              <w:topLinePunct w:val="0"/>
              <w:bidi w:val="0"/>
              <w:snapToGrid/>
              <w:spacing w:line="360" w:lineRule="auto"/>
              <w:jc w:val="center"/>
              <w:rPr>
                <w:rFonts w:hint="eastAsia" w:ascii="宋体" w:hAnsi="宋体" w:eastAsia="宋体" w:cs="宋体"/>
                <w:color w:val="auto"/>
                <w:sz w:val="24"/>
                <w:szCs w:val="24"/>
                <w:highlight w:val="none"/>
              </w:rPr>
            </w:pPr>
          </w:p>
        </w:tc>
        <w:tc>
          <w:tcPr>
            <w:tcW w:w="852" w:type="dxa"/>
            <w:tcBorders>
              <w:top w:val="single" w:color="auto" w:sz="4" w:space="0"/>
              <w:left w:val="single" w:color="auto" w:sz="4" w:space="0"/>
            </w:tcBorders>
            <w:shd w:val="clear" w:color="auto" w:fill="FFFFFF"/>
            <w:vAlign w:val="center"/>
          </w:tcPr>
          <w:p>
            <w:pPr>
              <w:pageBreakBefore w:val="0"/>
              <w:kinsoku/>
              <w:overflowPunct/>
              <w:topLinePunct w:val="0"/>
              <w:bidi w:val="0"/>
              <w:snapToGrid/>
              <w:spacing w:line="360" w:lineRule="auto"/>
              <w:jc w:val="center"/>
              <w:rPr>
                <w:rFonts w:hint="eastAsia" w:ascii="宋体" w:hAnsi="宋体" w:eastAsia="宋体" w:cs="宋体"/>
                <w:color w:val="auto"/>
                <w:sz w:val="24"/>
                <w:szCs w:val="24"/>
                <w:highlight w:val="none"/>
              </w:rPr>
            </w:pPr>
          </w:p>
        </w:tc>
        <w:tc>
          <w:tcPr>
            <w:tcW w:w="849" w:type="dxa"/>
            <w:tcBorders>
              <w:top w:val="single" w:color="auto" w:sz="4" w:space="0"/>
              <w:left w:val="single" w:color="auto" w:sz="4" w:space="0"/>
            </w:tcBorders>
            <w:shd w:val="clear" w:color="auto" w:fill="FFFFFF"/>
            <w:vAlign w:val="center"/>
          </w:tcPr>
          <w:p>
            <w:pPr>
              <w:pageBreakBefore w:val="0"/>
              <w:kinsoku/>
              <w:overflowPunct/>
              <w:topLinePunct w:val="0"/>
              <w:bidi w:val="0"/>
              <w:snapToGrid/>
              <w:spacing w:line="360" w:lineRule="auto"/>
              <w:jc w:val="center"/>
              <w:rPr>
                <w:rFonts w:hint="eastAsia" w:ascii="宋体" w:hAnsi="宋体" w:eastAsia="宋体" w:cs="宋体"/>
                <w:color w:val="auto"/>
                <w:sz w:val="24"/>
                <w:szCs w:val="24"/>
                <w:highlight w:val="none"/>
              </w:rPr>
            </w:pPr>
          </w:p>
        </w:tc>
        <w:tc>
          <w:tcPr>
            <w:tcW w:w="1384" w:type="dxa"/>
            <w:tcBorders>
              <w:top w:val="single" w:color="auto" w:sz="4" w:space="0"/>
              <w:left w:val="single" w:color="auto" w:sz="4" w:space="0"/>
              <w:right w:val="single" w:color="auto" w:sz="4" w:space="0"/>
            </w:tcBorders>
            <w:shd w:val="clear" w:color="auto" w:fill="FFFFFF"/>
            <w:vAlign w:val="center"/>
          </w:tcPr>
          <w:p>
            <w:pPr>
              <w:pageBreakBefore w:val="0"/>
              <w:kinsoku/>
              <w:overflowPunct/>
              <w:topLinePunct w:val="0"/>
              <w:bidi w:val="0"/>
              <w:snapToGrid/>
              <w:spacing w:line="360" w:lineRule="auto"/>
              <w:jc w:val="center"/>
              <w:rPr>
                <w:rFonts w:hint="eastAsia" w:ascii="宋体" w:hAnsi="宋体" w:eastAsia="宋体" w:cs="宋体"/>
                <w:color w:val="auto"/>
                <w:sz w:val="24"/>
                <w:szCs w:val="24"/>
                <w:highlight w:val="none"/>
              </w:rPr>
            </w:pPr>
          </w:p>
        </w:tc>
      </w:tr>
      <w:tr>
        <w:tblPrEx>
          <w:tblCellMar>
            <w:top w:w="0" w:type="dxa"/>
            <w:left w:w="10" w:type="dxa"/>
            <w:bottom w:w="0" w:type="dxa"/>
            <w:right w:w="10" w:type="dxa"/>
          </w:tblCellMar>
        </w:tblPrEx>
        <w:trPr>
          <w:trHeight w:val="518" w:hRule="exact"/>
          <w:jc w:val="center"/>
        </w:trPr>
        <w:tc>
          <w:tcPr>
            <w:tcW w:w="867" w:type="dxa"/>
            <w:tcBorders>
              <w:top w:val="single" w:color="auto" w:sz="4" w:space="0"/>
              <w:left w:val="single" w:color="auto" w:sz="4" w:space="0"/>
            </w:tcBorders>
            <w:shd w:val="clear" w:color="auto" w:fill="FFFFFF"/>
            <w:vAlign w:val="center"/>
          </w:tcPr>
          <w:p>
            <w:pPr>
              <w:pageBreakBefore w:val="0"/>
              <w:kinsoku/>
              <w:overflowPunct/>
              <w:topLinePunct w:val="0"/>
              <w:bidi w:val="0"/>
              <w:snapToGrid/>
              <w:spacing w:line="360" w:lineRule="auto"/>
              <w:jc w:val="center"/>
              <w:rPr>
                <w:rFonts w:hint="eastAsia" w:ascii="宋体" w:hAnsi="宋体" w:eastAsia="宋体" w:cs="宋体"/>
                <w:color w:val="auto"/>
                <w:sz w:val="24"/>
                <w:szCs w:val="24"/>
                <w:highlight w:val="none"/>
              </w:rPr>
            </w:pPr>
          </w:p>
        </w:tc>
        <w:tc>
          <w:tcPr>
            <w:tcW w:w="1413" w:type="dxa"/>
            <w:tcBorders>
              <w:top w:val="single" w:color="auto" w:sz="4" w:space="0"/>
              <w:left w:val="single" w:color="auto" w:sz="4" w:space="0"/>
            </w:tcBorders>
            <w:shd w:val="clear" w:color="auto" w:fill="FFFFFF"/>
            <w:vAlign w:val="center"/>
          </w:tcPr>
          <w:p>
            <w:pPr>
              <w:pageBreakBefore w:val="0"/>
              <w:kinsoku/>
              <w:overflowPunct/>
              <w:topLinePunct w:val="0"/>
              <w:bidi w:val="0"/>
              <w:snapToGrid/>
              <w:spacing w:line="360" w:lineRule="auto"/>
              <w:jc w:val="center"/>
              <w:rPr>
                <w:rFonts w:hint="eastAsia" w:ascii="宋体" w:hAnsi="宋体" w:eastAsia="宋体" w:cs="宋体"/>
                <w:color w:val="auto"/>
                <w:sz w:val="24"/>
                <w:szCs w:val="24"/>
                <w:highlight w:val="none"/>
              </w:rPr>
            </w:pPr>
          </w:p>
        </w:tc>
        <w:tc>
          <w:tcPr>
            <w:tcW w:w="1413" w:type="dxa"/>
            <w:tcBorders>
              <w:top w:val="single" w:color="auto" w:sz="4" w:space="0"/>
              <w:left w:val="single" w:color="auto" w:sz="4" w:space="0"/>
            </w:tcBorders>
            <w:shd w:val="clear" w:color="auto" w:fill="FFFFFF"/>
            <w:vAlign w:val="center"/>
          </w:tcPr>
          <w:p>
            <w:pPr>
              <w:pageBreakBefore w:val="0"/>
              <w:kinsoku/>
              <w:overflowPunct/>
              <w:topLinePunct w:val="0"/>
              <w:bidi w:val="0"/>
              <w:snapToGrid/>
              <w:spacing w:line="360" w:lineRule="auto"/>
              <w:jc w:val="center"/>
              <w:rPr>
                <w:rFonts w:hint="eastAsia" w:ascii="宋体" w:hAnsi="宋体" w:eastAsia="宋体" w:cs="宋体"/>
                <w:color w:val="auto"/>
                <w:sz w:val="24"/>
                <w:szCs w:val="24"/>
                <w:highlight w:val="none"/>
              </w:rPr>
            </w:pPr>
          </w:p>
        </w:tc>
        <w:tc>
          <w:tcPr>
            <w:tcW w:w="1136" w:type="dxa"/>
            <w:tcBorders>
              <w:top w:val="single" w:color="auto" w:sz="4" w:space="0"/>
              <w:left w:val="single" w:color="auto" w:sz="4" w:space="0"/>
            </w:tcBorders>
            <w:shd w:val="clear" w:color="auto" w:fill="FFFFFF"/>
            <w:vAlign w:val="center"/>
          </w:tcPr>
          <w:p>
            <w:pPr>
              <w:pageBreakBefore w:val="0"/>
              <w:kinsoku/>
              <w:overflowPunct/>
              <w:topLinePunct w:val="0"/>
              <w:bidi w:val="0"/>
              <w:snapToGrid/>
              <w:spacing w:line="360" w:lineRule="auto"/>
              <w:jc w:val="center"/>
              <w:rPr>
                <w:rFonts w:hint="eastAsia" w:ascii="宋体" w:hAnsi="宋体" w:eastAsia="宋体" w:cs="宋体"/>
                <w:color w:val="auto"/>
                <w:sz w:val="24"/>
                <w:szCs w:val="24"/>
                <w:highlight w:val="none"/>
              </w:rPr>
            </w:pPr>
          </w:p>
        </w:tc>
        <w:tc>
          <w:tcPr>
            <w:tcW w:w="675" w:type="dxa"/>
            <w:tcBorders>
              <w:top w:val="single" w:color="auto" w:sz="4" w:space="0"/>
              <w:left w:val="single" w:color="auto" w:sz="4" w:space="0"/>
            </w:tcBorders>
            <w:shd w:val="clear" w:color="auto" w:fill="FFFFFF"/>
            <w:vAlign w:val="center"/>
          </w:tcPr>
          <w:p>
            <w:pPr>
              <w:pageBreakBefore w:val="0"/>
              <w:kinsoku/>
              <w:overflowPunct/>
              <w:topLinePunct w:val="0"/>
              <w:bidi w:val="0"/>
              <w:snapToGrid/>
              <w:spacing w:line="360" w:lineRule="auto"/>
              <w:jc w:val="center"/>
              <w:rPr>
                <w:rFonts w:hint="eastAsia" w:ascii="宋体" w:hAnsi="宋体" w:eastAsia="宋体" w:cs="宋体"/>
                <w:color w:val="auto"/>
                <w:sz w:val="24"/>
                <w:szCs w:val="24"/>
                <w:highlight w:val="none"/>
              </w:rPr>
            </w:pPr>
          </w:p>
        </w:tc>
        <w:tc>
          <w:tcPr>
            <w:tcW w:w="680" w:type="dxa"/>
            <w:tcBorders>
              <w:top w:val="single" w:color="auto" w:sz="4" w:space="0"/>
              <w:left w:val="single" w:color="auto" w:sz="4" w:space="0"/>
            </w:tcBorders>
            <w:shd w:val="clear" w:color="auto" w:fill="FFFFFF"/>
            <w:vAlign w:val="center"/>
          </w:tcPr>
          <w:p>
            <w:pPr>
              <w:pageBreakBefore w:val="0"/>
              <w:kinsoku/>
              <w:overflowPunct/>
              <w:topLinePunct w:val="0"/>
              <w:bidi w:val="0"/>
              <w:snapToGrid/>
              <w:spacing w:line="360" w:lineRule="auto"/>
              <w:jc w:val="center"/>
              <w:rPr>
                <w:rFonts w:hint="eastAsia" w:ascii="宋体" w:hAnsi="宋体" w:eastAsia="宋体" w:cs="宋体"/>
                <w:color w:val="auto"/>
                <w:sz w:val="24"/>
                <w:szCs w:val="24"/>
                <w:highlight w:val="none"/>
              </w:rPr>
            </w:pPr>
          </w:p>
        </w:tc>
        <w:tc>
          <w:tcPr>
            <w:tcW w:w="1240" w:type="dxa"/>
            <w:tcBorders>
              <w:top w:val="single" w:color="auto" w:sz="4" w:space="0"/>
              <w:left w:val="single" w:color="auto" w:sz="4" w:space="0"/>
            </w:tcBorders>
            <w:shd w:val="clear" w:color="auto" w:fill="FFFFFF"/>
            <w:vAlign w:val="center"/>
          </w:tcPr>
          <w:p>
            <w:pPr>
              <w:pageBreakBefore w:val="0"/>
              <w:kinsoku/>
              <w:overflowPunct/>
              <w:topLinePunct w:val="0"/>
              <w:bidi w:val="0"/>
              <w:snapToGrid/>
              <w:spacing w:line="360" w:lineRule="auto"/>
              <w:jc w:val="center"/>
              <w:rPr>
                <w:rFonts w:hint="eastAsia" w:ascii="宋体" w:hAnsi="宋体" w:eastAsia="宋体" w:cs="宋体"/>
                <w:color w:val="auto"/>
                <w:sz w:val="24"/>
                <w:szCs w:val="24"/>
                <w:highlight w:val="none"/>
              </w:rPr>
            </w:pPr>
          </w:p>
        </w:tc>
        <w:tc>
          <w:tcPr>
            <w:tcW w:w="852" w:type="dxa"/>
            <w:tcBorders>
              <w:top w:val="single" w:color="auto" w:sz="4" w:space="0"/>
              <w:left w:val="single" w:color="auto" w:sz="4" w:space="0"/>
            </w:tcBorders>
            <w:shd w:val="clear" w:color="auto" w:fill="FFFFFF"/>
            <w:vAlign w:val="center"/>
          </w:tcPr>
          <w:p>
            <w:pPr>
              <w:pageBreakBefore w:val="0"/>
              <w:kinsoku/>
              <w:overflowPunct/>
              <w:topLinePunct w:val="0"/>
              <w:bidi w:val="0"/>
              <w:snapToGrid/>
              <w:spacing w:line="360" w:lineRule="auto"/>
              <w:jc w:val="center"/>
              <w:rPr>
                <w:rFonts w:hint="eastAsia" w:ascii="宋体" w:hAnsi="宋体" w:eastAsia="宋体" w:cs="宋体"/>
                <w:color w:val="auto"/>
                <w:sz w:val="24"/>
                <w:szCs w:val="24"/>
                <w:highlight w:val="none"/>
              </w:rPr>
            </w:pPr>
          </w:p>
        </w:tc>
        <w:tc>
          <w:tcPr>
            <w:tcW w:w="849" w:type="dxa"/>
            <w:tcBorders>
              <w:top w:val="single" w:color="auto" w:sz="4" w:space="0"/>
              <w:left w:val="single" w:color="auto" w:sz="4" w:space="0"/>
            </w:tcBorders>
            <w:shd w:val="clear" w:color="auto" w:fill="FFFFFF"/>
            <w:vAlign w:val="center"/>
          </w:tcPr>
          <w:p>
            <w:pPr>
              <w:pageBreakBefore w:val="0"/>
              <w:kinsoku/>
              <w:overflowPunct/>
              <w:topLinePunct w:val="0"/>
              <w:bidi w:val="0"/>
              <w:snapToGrid/>
              <w:spacing w:line="360" w:lineRule="auto"/>
              <w:jc w:val="center"/>
              <w:rPr>
                <w:rFonts w:hint="eastAsia" w:ascii="宋体" w:hAnsi="宋体" w:eastAsia="宋体" w:cs="宋体"/>
                <w:color w:val="auto"/>
                <w:sz w:val="24"/>
                <w:szCs w:val="24"/>
                <w:highlight w:val="none"/>
              </w:rPr>
            </w:pPr>
          </w:p>
        </w:tc>
        <w:tc>
          <w:tcPr>
            <w:tcW w:w="1384" w:type="dxa"/>
            <w:tcBorders>
              <w:top w:val="single" w:color="auto" w:sz="4" w:space="0"/>
              <w:left w:val="single" w:color="auto" w:sz="4" w:space="0"/>
              <w:right w:val="single" w:color="auto" w:sz="4" w:space="0"/>
            </w:tcBorders>
            <w:shd w:val="clear" w:color="auto" w:fill="FFFFFF"/>
            <w:vAlign w:val="center"/>
          </w:tcPr>
          <w:p>
            <w:pPr>
              <w:pageBreakBefore w:val="0"/>
              <w:kinsoku/>
              <w:overflowPunct/>
              <w:topLinePunct w:val="0"/>
              <w:bidi w:val="0"/>
              <w:snapToGrid/>
              <w:spacing w:line="360" w:lineRule="auto"/>
              <w:jc w:val="center"/>
              <w:rPr>
                <w:rFonts w:hint="eastAsia" w:ascii="宋体" w:hAnsi="宋体" w:eastAsia="宋体" w:cs="宋体"/>
                <w:color w:val="auto"/>
                <w:sz w:val="24"/>
                <w:szCs w:val="24"/>
                <w:highlight w:val="none"/>
              </w:rPr>
            </w:pPr>
          </w:p>
        </w:tc>
      </w:tr>
      <w:tr>
        <w:tblPrEx>
          <w:tblCellMar>
            <w:top w:w="0" w:type="dxa"/>
            <w:left w:w="10" w:type="dxa"/>
            <w:bottom w:w="0" w:type="dxa"/>
            <w:right w:w="10" w:type="dxa"/>
          </w:tblCellMar>
        </w:tblPrEx>
        <w:trPr>
          <w:trHeight w:val="523" w:hRule="exact"/>
          <w:jc w:val="center"/>
        </w:trPr>
        <w:tc>
          <w:tcPr>
            <w:tcW w:w="867" w:type="dxa"/>
            <w:tcBorders>
              <w:top w:val="single" w:color="auto" w:sz="4" w:space="0"/>
              <w:left w:val="single" w:color="auto" w:sz="4" w:space="0"/>
            </w:tcBorders>
            <w:shd w:val="clear" w:color="auto" w:fill="FFFFFF"/>
            <w:vAlign w:val="center"/>
          </w:tcPr>
          <w:p>
            <w:pPr>
              <w:pageBreakBefore w:val="0"/>
              <w:kinsoku/>
              <w:overflowPunct/>
              <w:topLinePunct w:val="0"/>
              <w:bidi w:val="0"/>
              <w:snapToGrid/>
              <w:spacing w:line="360" w:lineRule="auto"/>
              <w:jc w:val="center"/>
              <w:rPr>
                <w:rFonts w:hint="eastAsia" w:ascii="宋体" w:hAnsi="宋体" w:eastAsia="宋体" w:cs="宋体"/>
                <w:color w:val="auto"/>
                <w:sz w:val="24"/>
                <w:szCs w:val="24"/>
                <w:highlight w:val="none"/>
              </w:rPr>
            </w:pPr>
          </w:p>
        </w:tc>
        <w:tc>
          <w:tcPr>
            <w:tcW w:w="1413" w:type="dxa"/>
            <w:tcBorders>
              <w:top w:val="single" w:color="auto" w:sz="4" w:space="0"/>
              <w:left w:val="single" w:color="auto" w:sz="4" w:space="0"/>
            </w:tcBorders>
            <w:shd w:val="clear" w:color="auto" w:fill="FFFFFF"/>
            <w:vAlign w:val="center"/>
          </w:tcPr>
          <w:p>
            <w:pPr>
              <w:pageBreakBefore w:val="0"/>
              <w:kinsoku/>
              <w:overflowPunct/>
              <w:topLinePunct w:val="0"/>
              <w:bidi w:val="0"/>
              <w:snapToGrid/>
              <w:spacing w:line="360" w:lineRule="auto"/>
              <w:jc w:val="center"/>
              <w:rPr>
                <w:rFonts w:hint="eastAsia" w:ascii="宋体" w:hAnsi="宋体" w:eastAsia="宋体" w:cs="宋体"/>
                <w:color w:val="auto"/>
                <w:sz w:val="24"/>
                <w:szCs w:val="24"/>
                <w:highlight w:val="none"/>
              </w:rPr>
            </w:pPr>
          </w:p>
        </w:tc>
        <w:tc>
          <w:tcPr>
            <w:tcW w:w="1413" w:type="dxa"/>
            <w:tcBorders>
              <w:top w:val="single" w:color="auto" w:sz="4" w:space="0"/>
              <w:left w:val="single" w:color="auto" w:sz="4" w:space="0"/>
            </w:tcBorders>
            <w:shd w:val="clear" w:color="auto" w:fill="FFFFFF"/>
            <w:vAlign w:val="center"/>
          </w:tcPr>
          <w:p>
            <w:pPr>
              <w:pageBreakBefore w:val="0"/>
              <w:kinsoku/>
              <w:overflowPunct/>
              <w:topLinePunct w:val="0"/>
              <w:bidi w:val="0"/>
              <w:snapToGrid/>
              <w:spacing w:line="360" w:lineRule="auto"/>
              <w:jc w:val="center"/>
              <w:rPr>
                <w:rFonts w:hint="eastAsia" w:ascii="宋体" w:hAnsi="宋体" w:eastAsia="宋体" w:cs="宋体"/>
                <w:color w:val="auto"/>
                <w:sz w:val="24"/>
                <w:szCs w:val="24"/>
                <w:highlight w:val="none"/>
              </w:rPr>
            </w:pPr>
          </w:p>
        </w:tc>
        <w:tc>
          <w:tcPr>
            <w:tcW w:w="1136" w:type="dxa"/>
            <w:tcBorders>
              <w:top w:val="single" w:color="auto" w:sz="4" w:space="0"/>
              <w:left w:val="single" w:color="auto" w:sz="4" w:space="0"/>
            </w:tcBorders>
            <w:shd w:val="clear" w:color="auto" w:fill="FFFFFF"/>
            <w:vAlign w:val="center"/>
          </w:tcPr>
          <w:p>
            <w:pPr>
              <w:pageBreakBefore w:val="0"/>
              <w:kinsoku/>
              <w:overflowPunct/>
              <w:topLinePunct w:val="0"/>
              <w:bidi w:val="0"/>
              <w:snapToGrid/>
              <w:spacing w:line="360" w:lineRule="auto"/>
              <w:jc w:val="center"/>
              <w:rPr>
                <w:rFonts w:hint="eastAsia" w:ascii="宋体" w:hAnsi="宋体" w:eastAsia="宋体" w:cs="宋体"/>
                <w:color w:val="auto"/>
                <w:sz w:val="24"/>
                <w:szCs w:val="24"/>
                <w:highlight w:val="none"/>
              </w:rPr>
            </w:pPr>
          </w:p>
        </w:tc>
        <w:tc>
          <w:tcPr>
            <w:tcW w:w="675" w:type="dxa"/>
            <w:tcBorders>
              <w:top w:val="single" w:color="auto" w:sz="4" w:space="0"/>
              <w:left w:val="single" w:color="auto" w:sz="4" w:space="0"/>
            </w:tcBorders>
            <w:shd w:val="clear" w:color="auto" w:fill="FFFFFF"/>
            <w:vAlign w:val="center"/>
          </w:tcPr>
          <w:p>
            <w:pPr>
              <w:pageBreakBefore w:val="0"/>
              <w:kinsoku/>
              <w:overflowPunct/>
              <w:topLinePunct w:val="0"/>
              <w:bidi w:val="0"/>
              <w:snapToGrid/>
              <w:spacing w:line="360" w:lineRule="auto"/>
              <w:jc w:val="center"/>
              <w:rPr>
                <w:rFonts w:hint="eastAsia" w:ascii="宋体" w:hAnsi="宋体" w:eastAsia="宋体" w:cs="宋体"/>
                <w:color w:val="auto"/>
                <w:sz w:val="24"/>
                <w:szCs w:val="24"/>
                <w:highlight w:val="none"/>
              </w:rPr>
            </w:pPr>
          </w:p>
        </w:tc>
        <w:tc>
          <w:tcPr>
            <w:tcW w:w="680" w:type="dxa"/>
            <w:tcBorders>
              <w:top w:val="single" w:color="auto" w:sz="4" w:space="0"/>
              <w:left w:val="single" w:color="auto" w:sz="4" w:space="0"/>
            </w:tcBorders>
            <w:shd w:val="clear" w:color="auto" w:fill="FFFFFF"/>
            <w:vAlign w:val="center"/>
          </w:tcPr>
          <w:p>
            <w:pPr>
              <w:pageBreakBefore w:val="0"/>
              <w:kinsoku/>
              <w:overflowPunct/>
              <w:topLinePunct w:val="0"/>
              <w:bidi w:val="0"/>
              <w:snapToGrid/>
              <w:spacing w:line="360" w:lineRule="auto"/>
              <w:jc w:val="center"/>
              <w:rPr>
                <w:rFonts w:hint="eastAsia" w:ascii="宋体" w:hAnsi="宋体" w:eastAsia="宋体" w:cs="宋体"/>
                <w:color w:val="auto"/>
                <w:sz w:val="24"/>
                <w:szCs w:val="24"/>
                <w:highlight w:val="none"/>
              </w:rPr>
            </w:pPr>
          </w:p>
        </w:tc>
        <w:tc>
          <w:tcPr>
            <w:tcW w:w="1240" w:type="dxa"/>
            <w:tcBorders>
              <w:top w:val="single" w:color="auto" w:sz="4" w:space="0"/>
              <w:left w:val="single" w:color="auto" w:sz="4" w:space="0"/>
            </w:tcBorders>
            <w:shd w:val="clear" w:color="auto" w:fill="FFFFFF"/>
            <w:vAlign w:val="center"/>
          </w:tcPr>
          <w:p>
            <w:pPr>
              <w:pageBreakBefore w:val="0"/>
              <w:kinsoku/>
              <w:overflowPunct/>
              <w:topLinePunct w:val="0"/>
              <w:bidi w:val="0"/>
              <w:snapToGrid/>
              <w:spacing w:line="360" w:lineRule="auto"/>
              <w:jc w:val="center"/>
              <w:rPr>
                <w:rFonts w:hint="eastAsia" w:ascii="宋体" w:hAnsi="宋体" w:eastAsia="宋体" w:cs="宋体"/>
                <w:color w:val="auto"/>
                <w:sz w:val="24"/>
                <w:szCs w:val="24"/>
                <w:highlight w:val="none"/>
              </w:rPr>
            </w:pPr>
          </w:p>
        </w:tc>
        <w:tc>
          <w:tcPr>
            <w:tcW w:w="852" w:type="dxa"/>
            <w:tcBorders>
              <w:top w:val="single" w:color="auto" w:sz="4" w:space="0"/>
              <w:left w:val="single" w:color="auto" w:sz="4" w:space="0"/>
            </w:tcBorders>
            <w:shd w:val="clear" w:color="auto" w:fill="FFFFFF"/>
            <w:vAlign w:val="center"/>
          </w:tcPr>
          <w:p>
            <w:pPr>
              <w:pageBreakBefore w:val="0"/>
              <w:kinsoku/>
              <w:overflowPunct/>
              <w:topLinePunct w:val="0"/>
              <w:bidi w:val="0"/>
              <w:snapToGrid/>
              <w:spacing w:line="360" w:lineRule="auto"/>
              <w:jc w:val="center"/>
              <w:rPr>
                <w:rFonts w:hint="eastAsia" w:ascii="宋体" w:hAnsi="宋体" w:eastAsia="宋体" w:cs="宋体"/>
                <w:color w:val="auto"/>
                <w:sz w:val="24"/>
                <w:szCs w:val="24"/>
                <w:highlight w:val="none"/>
              </w:rPr>
            </w:pPr>
          </w:p>
        </w:tc>
        <w:tc>
          <w:tcPr>
            <w:tcW w:w="849" w:type="dxa"/>
            <w:tcBorders>
              <w:top w:val="single" w:color="auto" w:sz="4" w:space="0"/>
              <w:left w:val="single" w:color="auto" w:sz="4" w:space="0"/>
            </w:tcBorders>
            <w:shd w:val="clear" w:color="auto" w:fill="FFFFFF"/>
            <w:vAlign w:val="center"/>
          </w:tcPr>
          <w:p>
            <w:pPr>
              <w:pageBreakBefore w:val="0"/>
              <w:kinsoku/>
              <w:overflowPunct/>
              <w:topLinePunct w:val="0"/>
              <w:bidi w:val="0"/>
              <w:snapToGrid/>
              <w:spacing w:line="360" w:lineRule="auto"/>
              <w:jc w:val="center"/>
              <w:rPr>
                <w:rFonts w:hint="eastAsia" w:ascii="宋体" w:hAnsi="宋体" w:eastAsia="宋体" w:cs="宋体"/>
                <w:color w:val="auto"/>
                <w:sz w:val="24"/>
                <w:szCs w:val="24"/>
                <w:highlight w:val="none"/>
              </w:rPr>
            </w:pPr>
          </w:p>
        </w:tc>
        <w:tc>
          <w:tcPr>
            <w:tcW w:w="1384" w:type="dxa"/>
            <w:tcBorders>
              <w:top w:val="single" w:color="auto" w:sz="4" w:space="0"/>
              <w:left w:val="single" w:color="auto" w:sz="4" w:space="0"/>
              <w:right w:val="single" w:color="auto" w:sz="4" w:space="0"/>
            </w:tcBorders>
            <w:shd w:val="clear" w:color="auto" w:fill="FFFFFF"/>
            <w:vAlign w:val="center"/>
          </w:tcPr>
          <w:p>
            <w:pPr>
              <w:pageBreakBefore w:val="0"/>
              <w:kinsoku/>
              <w:overflowPunct/>
              <w:topLinePunct w:val="0"/>
              <w:bidi w:val="0"/>
              <w:snapToGrid/>
              <w:spacing w:line="360" w:lineRule="auto"/>
              <w:jc w:val="center"/>
              <w:rPr>
                <w:rFonts w:hint="eastAsia" w:ascii="宋体" w:hAnsi="宋体" w:eastAsia="宋体" w:cs="宋体"/>
                <w:color w:val="auto"/>
                <w:sz w:val="24"/>
                <w:szCs w:val="24"/>
                <w:highlight w:val="none"/>
              </w:rPr>
            </w:pPr>
          </w:p>
        </w:tc>
      </w:tr>
      <w:tr>
        <w:tblPrEx>
          <w:tblCellMar>
            <w:top w:w="0" w:type="dxa"/>
            <w:left w:w="10" w:type="dxa"/>
            <w:bottom w:w="0" w:type="dxa"/>
            <w:right w:w="10" w:type="dxa"/>
          </w:tblCellMar>
        </w:tblPrEx>
        <w:trPr>
          <w:trHeight w:val="523" w:hRule="exact"/>
          <w:jc w:val="center"/>
        </w:trPr>
        <w:tc>
          <w:tcPr>
            <w:tcW w:w="867" w:type="dxa"/>
            <w:tcBorders>
              <w:top w:val="single" w:color="auto" w:sz="4" w:space="0"/>
              <w:left w:val="single" w:color="auto" w:sz="4" w:space="0"/>
            </w:tcBorders>
            <w:shd w:val="clear" w:color="auto" w:fill="FFFFFF"/>
            <w:vAlign w:val="center"/>
          </w:tcPr>
          <w:p>
            <w:pPr>
              <w:pageBreakBefore w:val="0"/>
              <w:kinsoku/>
              <w:overflowPunct/>
              <w:topLinePunct w:val="0"/>
              <w:bidi w:val="0"/>
              <w:snapToGrid/>
              <w:spacing w:line="360" w:lineRule="auto"/>
              <w:jc w:val="center"/>
              <w:rPr>
                <w:rFonts w:hint="eastAsia" w:ascii="宋体" w:hAnsi="宋体" w:eastAsia="宋体" w:cs="宋体"/>
                <w:color w:val="auto"/>
                <w:sz w:val="24"/>
                <w:szCs w:val="24"/>
                <w:highlight w:val="none"/>
              </w:rPr>
            </w:pPr>
          </w:p>
        </w:tc>
        <w:tc>
          <w:tcPr>
            <w:tcW w:w="1413" w:type="dxa"/>
            <w:tcBorders>
              <w:top w:val="single" w:color="auto" w:sz="4" w:space="0"/>
              <w:left w:val="single" w:color="auto" w:sz="4" w:space="0"/>
            </w:tcBorders>
            <w:shd w:val="clear" w:color="auto" w:fill="FFFFFF"/>
            <w:vAlign w:val="center"/>
          </w:tcPr>
          <w:p>
            <w:pPr>
              <w:pageBreakBefore w:val="0"/>
              <w:kinsoku/>
              <w:overflowPunct/>
              <w:topLinePunct w:val="0"/>
              <w:bidi w:val="0"/>
              <w:snapToGrid/>
              <w:spacing w:line="360" w:lineRule="auto"/>
              <w:jc w:val="center"/>
              <w:rPr>
                <w:rFonts w:hint="eastAsia" w:ascii="宋体" w:hAnsi="宋体" w:eastAsia="宋体" w:cs="宋体"/>
                <w:color w:val="auto"/>
                <w:sz w:val="24"/>
                <w:szCs w:val="24"/>
                <w:highlight w:val="none"/>
              </w:rPr>
            </w:pPr>
          </w:p>
        </w:tc>
        <w:tc>
          <w:tcPr>
            <w:tcW w:w="1413" w:type="dxa"/>
            <w:tcBorders>
              <w:top w:val="single" w:color="auto" w:sz="4" w:space="0"/>
              <w:left w:val="single" w:color="auto" w:sz="4" w:space="0"/>
            </w:tcBorders>
            <w:shd w:val="clear" w:color="auto" w:fill="FFFFFF"/>
            <w:vAlign w:val="center"/>
          </w:tcPr>
          <w:p>
            <w:pPr>
              <w:pageBreakBefore w:val="0"/>
              <w:kinsoku/>
              <w:overflowPunct/>
              <w:topLinePunct w:val="0"/>
              <w:bidi w:val="0"/>
              <w:snapToGrid/>
              <w:spacing w:line="360" w:lineRule="auto"/>
              <w:jc w:val="center"/>
              <w:rPr>
                <w:rFonts w:hint="eastAsia" w:ascii="宋体" w:hAnsi="宋体" w:eastAsia="宋体" w:cs="宋体"/>
                <w:color w:val="auto"/>
                <w:sz w:val="24"/>
                <w:szCs w:val="24"/>
                <w:highlight w:val="none"/>
              </w:rPr>
            </w:pPr>
          </w:p>
        </w:tc>
        <w:tc>
          <w:tcPr>
            <w:tcW w:w="1136" w:type="dxa"/>
            <w:tcBorders>
              <w:top w:val="single" w:color="auto" w:sz="4" w:space="0"/>
              <w:left w:val="single" w:color="auto" w:sz="4" w:space="0"/>
            </w:tcBorders>
            <w:shd w:val="clear" w:color="auto" w:fill="FFFFFF"/>
            <w:vAlign w:val="center"/>
          </w:tcPr>
          <w:p>
            <w:pPr>
              <w:pageBreakBefore w:val="0"/>
              <w:kinsoku/>
              <w:overflowPunct/>
              <w:topLinePunct w:val="0"/>
              <w:bidi w:val="0"/>
              <w:snapToGrid/>
              <w:spacing w:line="360" w:lineRule="auto"/>
              <w:jc w:val="center"/>
              <w:rPr>
                <w:rFonts w:hint="eastAsia" w:ascii="宋体" w:hAnsi="宋体" w:eastAsia="宋体" w:cs="宋体"/>
                <w:color w:val="auto"/>
                <w:sz w:val="24"/>
                <w:szCs w:val="24"/>
                <w:highlight w:val="none"/>
              </w:rPr>
            </w:pPr>
          </w:p>
        </w:tc>
        <w:tc>
          <w:tcPr>
            <w:tcW w:w="675" w:type="dxa"/>
            <w:tcBorders>
              <w:top w:val="single" w:color="auto" w:sz="4" w:space="0"/>
              <w:left w:val="single" w:color="auto" w:sz="4" w:space="0"/>
            </w:tcBorders>
            <w:shd w:val="clear" w:color="auto" w:fill="FFFFFF"/>
            <w:vAlign w:val="center"/>
          </w:tcPr>
          <w:p>
            <w:pPr>
              <w:pageBreakBefore w:val="0"/>
              <w:kinsoku/>
              <w:overflowPunct/>
              <w:topLinePunct w:val="0"/>
              <w:bidi w:val="0"/>
              <w:snapToGrid/>
              <w:spacing w:line="360" w:lineRule="auto"/>
              <w:jc w:val="center"/>
              <w:rPr>
                <w:rFonts w:hint="eastAsia" w:ascii="宋体" w:hAnsi="宋体" w:eastAsia="宋体" w:cs="宋体"/>
                <w:color w:val="auto"/>
                <w:sz w:val="24"/>
                <w:szCs w:val="24"/>
                <w:highlight w:val="none"/>
              </w:rPr>
            </w:pPr>
          </w:p>
        </w:tc>
        <w:tc>
          <w:tcPr>
            <w:tcW w:w="680" w:type="dxa"/>
            <w:tcBorders>
              <w:top w:val="single" w:color="auto" w:sz="4" w:space="0"/>
              <w:left w:val="single" w:color="auto" w:sz="4" w:space="0"/>
            </w:tcBorders>
            <w:shd w:val="clear" w:color="auto" w:fill="FFFFFF"/>
            <w:vAlign w:val="center"/>
          </w:tcPr>
          <w:p>
            <w:pPr>
              <w:pageBreakBefore w:val="0"/>
              <w:kinsoku/>
              <w:overflowPunct/>
              <w:topLinePunct w:val="0"/>
              <w:bidi w:val="0"/>
              <w:snapToGrid/>
              <w:spacing w:line="360" w:lineRule="auto"/>
              <w:jc w:val="center"/>
              <w:rPr>
                <w:rFonts w:hint="eastAsia" w:ascii="宋体" w:hAnsi="宋体" w:eastAsia="宋体" w:cs="宋体"/>
                <w:color w:val="auto"/>
                <w:sz w:val="24"/>
                <w:szCs w:val="24"/>
                <w:highlight w:val="none"/>
              </w:rPr>
            </w:pPr>
          </w:p>
        </w:tc>
        <w:tc>
          <w:tcPr>
            <w:tcW w:w="1240" w:type="dxa"/>
            <w:tcBorders>
              <w:top w:val="single" w:color="auto" w:sz="4" w:space="0"/>
              <w:left w:val="single" w:color="auto" w:sz="4" w:space="0"/>
            </w:tcBorders>
            <w:shd w:val="clear" w:color="auto" w:fill="FFFFFF"/>
            <w:vAlign w:val="center"/>
          </w:tcPr>
          <w:p>
            <w:pPr>
              <w:pageBreakBefore w:val="0"/>
              <w:kinsoku/>
              <w:overflowPunct/>
              <w:topLinePunct w:val="0"/>
              <w:bidi w:val="0"/>
              <w:snapToGrid/>
              <w:spacing w:line="360" w:lineRule="auto"/>
              <w:jc w:val="center"/>
              <w:rPr>
                <w:rFonts w:hint="eastAsia" w:ascii="宋体" w:hAnsi="宋体" w:eastAsia="宋体" w:cs="宋体"/>
                <w:color w:val="auto"/>
                <w:sz w:val="24"/>
                <w:szCs w:val="24"/>
                <w:highlight w:val="none"/>
              </w:rPr>
            </w:pPr>
          </w:p>
        </w:tc>
        <w:tc>
          <w:tcPr>
            <w:tcW w:w="852" w:type="dxa"/>
            <w:tcBorders>
              <w:top w:val="single" w:color="auto" w:sz="4" w:space="0"/>
              <w:left w:val="single" w:color="auto" w:sz="4" w:space="0"/>
            </w:tcBorders>
            <w:shd w:val="clear" w:color="auto" w:fill="FFFFFF"/>
            <w:vAlign w:val="center"/>
          </w:tcPr>
          <w:p>
            <w:pPr>
              <w:pageBreakBefore w:val="0"/>
              <w:kinsoku/>
              <w:overflowPunct/>
              <w:topLinePunct w:val="0"/>
              <w:bidi w:val="0"/>
              <w:snapToGrid/>
              <w:spacing w:line="360" w:lineRule="auto"/>
              <w:jc w:val="center"/>
              <w:rPr>
                <w:rFonts w:hint="eastAsia" w:ascii="宋体" w:hAnsi="宋体" w:eastAsia="宋体" w:cs="宋体"/>
                <w:color w:val="auto"/>
                <w:sz w:val="24"/>
                <w:szCs w:val="24"/>
                <w:highlight w:val="none"/>
              </w:rPr>
            </w:pPr>
          </w:p>
        </w:tc>
        <w:tc>
          <w:tcPr>
            <w:tcW w:w="849" w:type="dxa"/>
            <w:tcBorders>
              <w:top w:val="single" w:color="auto" w:sz="4" w:space="0"/>
              <w:left w:val="single" w:color="auto" w:sz="4" w:space="0"/>
            </w:tcBorders>
            <w:shd w:val="clear" w:color="auto" w:fill="FFFFFF"/>
            <w:vAlign w:val="center"/>
          </w:tcPr>
          <w:p>
            <w:pPr>
              <w:pageBreakBefore w:val="0"/>
              <w:kinsoku/>
              <w:overflowPunct/>
              <w:topLinePunct w:val="0"/>
              <w:bidi w:val="0"/>
              <w:snapToGrid/>
              <w:spacing w:line="360" w:lineRule="auto"/>
              <w:jc w:val="center"/>
              <w:rPr>
                <w:rFonts w:hint="eastAsia" w:ascii="宋体" w:hAnsi="宋体" w:eastAsia="宋体" w:cs="宋体"/>
                <w:color w:val="auto"/>
                <w:sz w:val="24"/>
                <w:szCs w:val="24"/>
                <w:highlight w:val="none"/>
              </w:rPr>
            </w:pPr>
          </w:p>
        </w:tc>
        <w:tc>
          <w:tcPr>
            <w:tcW w:w="1384" w:type="dxa"/>
            <w:tcBorders>
              <w:top w:val="single" w:color="auto" w:sz="4" w:space="0"/>
              <w:left w:val="single" w:color="auto" w:sz="4" w:space="0"/>
              <w:right w:val="single" w:color="auto" w:sz="4" w:space="0"/>
            </w:tcBorders>
            <w:shd w:val="clear" w:color="auto" w:fill="FFFFFF"/>
            <w:vAlign w:val="center"/>
          </w:tcPr>
          <w:p>
            <w:pPr>
              <w:pageBreakBefore w:val="0"/>
              <w:kinsoku/>
              <w:overflowPunct/>
              <w:topLinePunct w:val="0"/>
              <w:bidi w:val="0"/>
              <w:snapToGrid/>
              <w:spacing w:line="360" w:lineRule="auto"/>
              <w:jc w:val="center"/>
              <w:rPr>
                <w:rFonts w:hint="eastAsia" w:ascii="宋体" w:hAnsi="宋体" w:eastAsia="宋体" w:cs="宋体"/>
                <w:color w:val="auto"/>
                <w:sz w:val="24"/>
                <w:szCs w:val="24"/>
                <w:highlight w:val="none"/>
              </w:rPr>
            </w:pPr>
          </w:p>
        </w:tc>
      </w:tr>
      <w:tr>
        <w:tblPrEx>
          <w:tblCellMar>
            <w:top w:w="0" w:type="dxa"/>
            <w:left w:w="10" w:type="dxa"/>
            <w:bottom w:w="0" w:type="dxa"/>
            <w:right w:w="10" w:type="dxa"/>
          </w:tblCellMar>
        </w:tblPrEx>
        <w:trPr>
          <w:trHeight w:val="523" w:hRule="exact"/>
          <w:jc w:val="center"/>
        </w:trPr>
        <w:tc>
          <w:tcPr>
            <w:tcW w:w="867" w:type="dxa"/>
            <w:tcBorders>
              <w:top w:val="single" w:color="auto" w:sz="4" w:space="0"/>
              <w:left w:val="single" w:color="auto" w:sz="4" w:space="0"/>
            </w:tcBorders>
            <w:shd w:val="clear" w:color="auto" w:fill="FFFFFF"/>
            <w:vAlign w:val="center"/>
          </w:tcPr>
          <w:p>
            <w:pPr>
              <w:pageBreakBefore w:val="0"/>
              <w:kinsoku/>
              <w:overflowPunct/>
              <w:topLinePunct w:val="0"/>
              <w:bidi w:val="0"/>
              <w:snapToGrid/>
              <w:spacing w:line="360" w:lineRule="auto"/>
              <w:jc w:val="center"/>
              <w:rPr>
                <w:rFonts w:hint="eastAsia" w:ascii="宋体" w:hAnsi="宋体" w:eastAsia="宋体" w:cs="宋体"/>
                <w:color w:val="auto"/>
                <w:sz w:val="24"/>
                <w:szCs w:val="24"/>
                <w:highlight w:val="none"/>
              </w:rPr>
            </w:pPr>
          </w:p>
        </w:tc>
        <w:tc>
          <w:tcPr>
            <w:tcW w:w="1413" w:type="dxa"/>
            <w:tcBorders>
              <w:top w:val="single" w:color="auto" w:sz="4" w:space="0"/>
              <w:left w:val="single" w:color="auto" w:sz="4" w:space="0"/>
            </w:tcBorders>
            <w:shd w:val="clear" w:color="auto" w:fill="FFFFFF"/>
            <w:vAlign w:val="center"/>
          </w:tcPr>
          <w:p>
            <w:pPr>
              <w:pageBreakBefore w:val="0"/>
              <w:kinsoku/>
              <w:overflowPunct/>
              <w:topLinePunct w:val="0"/>
              <w:bidi w:val="0"/>
              <w:snapToGrid/>
              <w:spacing w:line="360" w:lineRule="auto"/>
              <w:jc w:val="center"/>
              <w:rPr>
                <w:rFonts w:hint="eastAsia" w:ascii="宋体" w:hAnsi="宋体" w:eastAsia="宋体" w:cs="宋体"/>
                <w:color w:val="auto"/>
                <w:sz w:val="24"/>
                <w:szCs w:val="24"/>
                <w:highlight w:val="none"/>
              </w:rPr>
            </w:pPr>
          </w:p>
        </w:tc>
        <w:tc>
          <w:tcPr>
            <w:tcW w:w="1413" w:type="dxa"/>
            <w:tcBorders>
              <w:top w:val="single" w:color="auto" w:sz="4" w:space="0"/>
              <w:left w:val="single" w:color="auto" w:sz="4" w:space="0"/>
            </w:tcBorders>
            <w:shd w:val="clear" w:color="auto" w:fill="FFFFFF"/>
            <w:vAlign w:val="center"/>
          </w:tcPr>
          <w:p>
            <w:pPr>
              <w:pageBreakBefore w:val="0"/>
              <w:kinsoku/>
              <w:overflowPunct/>
              <w:topLinePunct w:val="0"/>
              <w:bidi w:val="0"/>
              <w:snapToGrid/>
              <w:spacing w:line="360" w:lineRule="auto"/>
              <w:jc w:val="center"/>
              <w:rPr>
                <w:rFonts w:hint="eastAsia" w:ascii="宋体" w:hAnsi="宋体" w:eastAsia="宋体" w:cs="宋体"/>
                <w:color w:val="auto"/>
                <w:sz w:val="24"/>
                <w:szCs w:val="24"/>
                <w:highlight w:val="none"/>
              </w:rPr>
            </w:pPr>
          </w:p>
        </w:tc>
        <w:tc>
          <w:tcPr>
            <w:tcW w:w="1136" w:type="dxa"/>
            <w:tcBorders>
              <w:top w:val="single" w:color="auto" w:sz="4" w:space="0"/>
              <w:left w:val="single" w:color="auto" w:sz="4" w:space="0"/>
            </w:tcBorders>
            <w:shd w:val="clear" w:color="auto" w:fill="FFFFFF"/>
            <w:vAlign w:val="center"/>
          </w:tcPr>
          <w:p>
            <w:pPr>
              <w:pageBreakBefore w:val="0"/>
              <w:kinsoku/>
              <w:overflowPunct/>
              <w:topLinePunct w:val="0"/>
              <w:bidi w:val="0"/>
              <w:snapToGrid/>
              <w:spacing w:line="360" w:lineRule="auto"/>
              <w:jc w:val="center"/>
              <w:rPr>
                <w:rFonts w:hint="eastAsia" w:ascii="宋体" w:hAnsi="宋体" w:eastAsia="宋体" w:cs="宋体"/>
                <w:color w:val="auto"/>
                <w:sz w:val="24"/>
                <w:szCs w:val="24"/>
                <w:highlight w:val="none"/>
              </w:rPr>
            </w:pPr>
          </w:p>
        </w:tc>
        <w:tc>
          <w:tcPr>
            <w:tcW w:w="675" w:type="dxa"/>
            <w:tcBorders>
              <w:top w:val="single" w:color="auto" w:sz="4" w:space="0"/>
              <w:left w:val="single" w:color="auto" w:sz="4" w:space="0"/>
            </w:tcBorders>
            <w:shd w:val="clear" w:color="auto" w:fill="FFFFFF"/>
            <w:vAlign w:val="center"/>
          </w:tcPr>
          <w:p>
            <w:pPr>
              <w:pageBreakBefore w:val="0"/>
              <w:kinsoku/>
              <w:overflowPunct/>
              <w:topLinePunct w:val="0"/>
              <w:bidi w:val="0"/>
              <w:snapToGrid/>
              <w:spacing w:line="360" w:lineRule="auto"/>
              <w:jc w:val="center"/>
              <w:rPr>
                <w:rFonts w:hint="eastAsia" w:ascii="宋体" w:hAnsi="宋体" w:eastAsia="宋体" w:cs="宋体"/>
                <w:color w:val="auto"/>
                <w:sz w:val="24"/>
                <w:szCs w:val="24"/>
                <w:highlight w:val="none"/>
              </w:rPr>
            </w:pPr>
          </w:p>
        </w:tc>
        <w:tc>
          <w:tcPr>
            <w:tcW w:w="680" w:type="dxa"/>
            <w:tcBorders>
              <w:top w:val="single" w:color="auto" w:sz="4" w:space="0"/>
              <w:left w:val="single" w:color="auto" w:sz="4" w:space="0"/>
            </w:tcBorders>
            <w:shd w:val="clear" w:color="auto" w:fill="FFFFFF"/>
            <w:vAlign w:val="center"/>
          </w:tcPr>
          <w:p>
            <w:pPr>
              <w:pageBreakBefore w:val="0"/>
              <w:kinsoku/>
              <w:overflowPunct/>
              <w:topLinePunct w:val="0"/>
              <w:bidi w:val="0"/>
              <w:snapToGrid/>
              <w:spacing w:line="360" w:lineRule="auto"/>
              <w:jc w:val="center"/>
              <w:rPr>
                <w:rFonts w:hint="eastAsia" w:ascii="宋体" w:hAnsi="宋体" w:eastAsia="宋体" w:cs="宋体"/>
                <w:color w:val="auto"/>
                <w:sz w:val="24"/>
                <w:szCs w:val="24"/>
                <w:highlight w:val="none"/>
              </w:rPr>
            </w:pPr>
          </w:p>
        </w:tc>
        <w:tc>
          <w:tcPr>
            <w:tcW w:w="1240" w:type="dxa"/>
            <w:tcBorders>
              <w:top w:val="single" w:color="auto" w:sz="4" w:space="0"/>
              <w:left w:val="single" w:color="auto" w:sz="4" w:space="0"/>
            </w:tcBorders>
            <w:shd w:val="clear" w:color="auto" w:fill="FFFFFF"/>
            <w:vAlign w:val="center"/>
          </w:tcPr>
          <w:p>
            <w:pPr>
              <w:pageBreakBefore w:val="0"/>
              <w:kinsoku/>
              <w:overflowPunct/>
              <w:topLinePunct w:val="0"/>
              <w:bidi w:val="0"/>
              <w:snapToGrid/>
              <w:spacing w:line="360" w:lineRule="auto"/>
              <w:jc w:val="center"/>
              <w:rPr>
                <w:rFonts w:hint="eastAsia" w:ascii="宋体" w:hAnsi="宋体" w:eastAsia="宋体" w:cs="宋体"/>
                <w:color w:val="auto"/>
                <w:sz w:val="24"/>
                <w:szCs w:val="24"/>
                <w:highlight w:val="none"/>
              </w:rPr>
            </w:pPr>
          </w:p>
        </w:tc>
        <w:tc>
          <w:tcPr>
            <w:tcW w:w="852" w:type="dxa"/>
            <w:tcBorders>
              <w:top w:val="single" w:color="auto" w:sz="4" w:space="0"/>
              <w:left w:val="single" w:color="auto" w:sz="4" w:space="0"/>
            </w:tcBorders>
            <w:shd w:val="clear" w:color="auto" w:fill="FFFFFF"/>
            <w:vAlign w:val="center"/>
          </w:tcPr>
          <w:p>
            <w:pPr>
              <w:pageBreakBefore w:val="0"/>
              <w:kinsoku/>
              <w:overflowPunct/>
              <w:topLinePunct w:val="0"/>
              <w:bidi w:val="0"/>
              <w:snapToGrid/>
              <w:spacing w:line="360" w:lineRule="auto"/>
              <w:jc w:val="center"/>
              <w:rPr>
                <w:rFonts w:hint="eastAsia" w:ascii="宋体" w:hAnsi="宋体" w:eastAsia="宋体" w:cs="宋体"/>
                <w:color w:val="auto"/>
                <w:sz w:val="24"/>
                <w:szCs w:val="24"/>
                <w:highlight w:val="none"/>
              </w:rPr>
            </w:pPr>
          </w:p>
        </w:tc>
        <w:tc>
          <w:tcPr>
            <w:tcW w:w="849" w:type="dxa"/>
            <w:tcBorders>
              <w:top w:val="single" w:color="auto" w:sz="4" w:space="0"/>
              <w:left w:val="single" w:color="auto" w:sz="4" w:space="0"/>
            </w:tcBorders>
            <w:shd w:val="clear" w:color="auto" w:fill="FFFFFF"/>
            <w:vAlign w:val="center"/>
          </w:tcPr>
          <w:p>
            <w:pPr>
              <w:pageBreakBefore w:val="0"/>
              <w:kinsoku/>
              <w:overflowPunct/>
              <w:topLinePunct w:val="0"/>
              <w:bidi w:val="0"/>
              <w:snapToGrid/>
              <w:spacing w:line="360" w:lineRule="auto"/>
              <w:jc w:val="center"/>
              <w:rPr>
                <w:rFonts w:hint="eastAsia" w:ascii="宋体" w:hAnsi="宋体" w:eastAsia="宋体" w:cs="宋体"/>
                <w:color w:val="auto"/>
                <w:sz w:val="24"/>
                <w:szCs w:val="24"/>
                <w:highlight w:val="none"/>
              </w:rPr>
            </w:pPr>
          </w:p>
        </w:tc>
        <w:tc>
          <w:tcPr>
            <w:tcW w:w="1384" w:type="dxa"/>
            <w:tcBorders>
              <w:top w:val="single" w:color="auto" w:sz="4" w:space="0"/>
              <w:left w:val="single" w:color="auto" w:sz="4" w:space="0"/>
              <w:right w:val="single" w:color="auto" w:sz="4" w:space="0"/>
            </w:tcBorders>
            <w:shd w:val="clear" w:color="auto" w:fill="FFFFFF"/>
            <w:vAlign w:val="center"/>
          </w:tcPr>
          <w:p>
            <w:pPr>
              <w:pageBreakBefore w:val="0"/>
              <w:kinsoku/>
              <w:overflowPunct/>
              <w:topLinePunct w:val="0"/>
              <w:bidi w:val="0"/>
              <w:snapToGrid/>
              <w:spacing w:line="360" w:lineRule="auto"/>
              <w:jc w:val="center"/>
              <w:rPr>
                <w:rFonts w:hint="eastAsia" w:ascii="宋体" w:hAnsi="宋体" w:eastAsia="宋体" w:cs="宋体"/>
                <w:color w:val="auto"/>
                <w:sz w:val="24"/>
                <w:szCs w:val="24"/>
                <w:highlight w:val="none"/>
              </w:rPr>
            </w:pPr>
          </w:p>
        </w:tc>
      </w:tr>
      <w:tr>
        <w:tblPrEx>
          <w:tblCellMar>
            <w:top w:w="0" w:type="dxa"/>
            <w:left w:w="10" w:type="dxa"/>
            <w:bottom w:w="0" w:type="dxa"/>
            <w:right w:w="10" w:type="dxa"/>
          </w:tblCellMar>
        </w:tblPrEx>
        <w:trPr>
          <w:trHeight w:val="602" w:hRule="exact"/>
          <w:jc w:val="center"/>
        </w:trPr>
        <w:tc>
          <w:tcPr>
            <w:tcW w:w="867" w:type="dxa"/>
            <w:tcBorders>
              <w:top w:val="single" w:color="auto" w:sz="4" w:space="0"/>
              <w:left w:val="single" w:color="auto" w:sz="4" w:space="0"/>
              <w:bottom w:val="single" w:color="auto" w:sz="4" w:space="0"/>
            </w:tcBorders>
            <w:shd w:val="clear" w:color="auto" w:fill="FFFFFF"/>
            <w:vAlign w:val="center"/>
          </w:tcPr>
          <w:p>
            <w:pPr>
              <w:pageBreakBefore w:val="0"/>
              <w:kinsoku/>
              <w:overflowPunct/>
              <w:topLinePunct w:val="0"/>
              <w:bidi w:val="0"/>
              <w:snapToGrid/>
              <w:spacing w:line="360" w:lineRule="auto"/>
              <w:jc w:val="center"/>
              <w:rPr>
                <w:rFonts w:hint="eastAsia" w:ascii="宋体" w:hAnsi="宋体" w:eastAsia="宋体" w:cs="宋体"/>
                <w:color w:val="auto"/>
                <w:sz w:val="24"/>
                <w:szCs w:val="24"/>
                <w:highlight w:val="none"/>
              </w:rPr>
            </w:pPr>
          </w:p>
        </w:tc>
        <w:tc>
          <w:tcPr>
            <w:tcW w:w="1413" w:type="dxa"/>
            <w:tcBorders>
              <w:top w:val="single" w:color="auto" w:sz="4" w:space="0"/>
              <w:left w:val="single" w:color="auto" w:sz="4" w:space="0"/>
              <w:bottom w:val="single" w:color="auto" w:sz="4" w:space="0"/>
            </w:tcBorders>
            <w:shd w:val="clear" w:color="auto" w:fill="FFFFFF"/>
            <w:vAlign w:val="center"/>
          </w:tcPr>
          <w:p>
            <w:pPr>
              <w:pageBreakBefore w:val="0"/>
              <w:kinsoku/>
              <w:overflowPunct/>
              <w:topLinePunct w:val="0"/>
              <w:bidi w:val="0"/>
              <w:snapToGrid/>
              <w:spacing w:line="360" w:lineRule="auto"/>
              <w:jc w:val="center"/>
              <w:rPr>
                <w:rFonts w:hint="eastAsia" w:ascii="宋体" w:hAnsi="宋体" w:eastAsia="宋体" w:cs="宋体"/>
                <w:color w:val="auto"/>
                <w:sz w:val="24"/>
                <w:szCs w:val="24"/>
                <w:highlight w:val="none"/>
              </w:rPr>
            </w:pPr>
          </w:p>
        </w:tc>
        <w:tc>
          <w:tcPr>
            <w:tcW w:w="1413" w:type="dxa"/>
            <w:tcBorders>
              <w:top w:val="single" w:color="auto" w:sz="4" w:space="0"/>
              <w:left w:val="single" w:color="auto" w:sz="4" w:space="0"/>
              <w:bottom w:val="single" w:color="auto" w:sz="4" w:space="0"/>
            </w:tcBorders>
            <w:shd w:val="clear" w:color="auto" w:fill="FFFFFF"/>
            <w:vAlign w:val="center"/>
          </w:tcPr>
          <w:p>
            <w:pPr>
              <w:pageBreakBefore w:val="0"/>
              <w:kinsoku/>
              <w:overflowPunct/>
              <w:topLinePunct w:val="0"/>
              <w:bidi w:val="0"/>
              <w:snapToGrid/>
              <w:spacing w:line="360" w:lineRule="auto"/>
              <w:jc w:val="center"/>
              <w:rPr>
                <w:rFonts w:hint="eastAsia" w:ascii="宋体" w:hAnsi="宋体" w:eastAsia="宋体" w:cs="宋体"/>
                <w:color w:val="auto"/>
                <w:sz w:val="24"/>
                <w:szCs w:val="24"/>
                <w:highlight w:val="none"/>
              </w:rPr>
            </w:pPr>
          </w:p>
        </w:tc>
        <w:tc>
          <w:tcPr>
            <w:tcW w:w="1136" w:type="dxa"/>
            <w:tcBorders>
              <w:top w:val="single" w:color="auto" w:sz="4" w:space="0"/>
              <w:left w:val="single" w:color="auto" w:sz="4" w:space="0"/>
              <w:bottom w:val="single" w:color="auto" w:sz="4" w:space="0"/>
            </w:tcBorders>
            <w:shd w:val="clear" w:color="auto" w:fill="FFFFFF"/>
            <w:vAlign w:val="center"/>
          </w:tcPr>
          <w:p>
            <w:pPr>
              <w:pageBreakBefore w:val="0"/>
              <w:kinsoku/>
              <w:overflowPunct/>
              <w:topLinePunct w:val="0"/>
              <w:bidi w:val="0"/>
              <w:snapToGrid/>
              <w:spacing w:line="360" w:lineRule="auto"/>
              <w:jc w:val="center"/>
              <w:rPr>
                <w:rFonts w:hint="eastAsia" w:ascii="宋体" w:hAnsi="宋体" w:eastAsia="宋体" w:cs="宋体"/>
                <w:color w:val="auto"/>
                <w:sz w:val="24"/>
                <w:szCs w:val="24"/>
                <w:highlight w:val="none"/>
              </w:rPr>
            </w:pPr>
          </w:p>
        </w:tc>
        <w:tc>
          <w:tcPr>
            <w:tcW w:w="675" w:type="dxa"/>
            <w:tcBorders>
              <w:top w:val="single" w:color="auto" w:sz="4" w:space="0"/>
              <w:left w:val="single" w:color="auto" w:sz="4" w:space="0"/>
              <w:bottom w:val="single" w:color="auto" w:sz="4" w:space="0"/>
            </w:tcBorders>
            <w:shd w:val="clear" w:color="auto" w:fill="FFFFFF"/>
            <w:vAlign w:val="center"/>
          </w:tcPr>
          <w:p>
            <w:pPr>
              <w:pageBreakBefore w:val="0"/>
              <w:kinsoku/>
              <w:overflowPunct/>
              <w:topLinePunct w:val="0"/>
              <w:bidi w:val="0"/>
              <w:snapToGrid/>
              <w:spacing w:line="360" w:lineRule="auto"/>
              <w:jc w:val="center"/>
              <w:rPr>
                <w:rFonts w:hint="eastAsia" w:ascii="宋体" w:hAnsi="宋体" w:eastAsia="宋体" w:cs="宋体"/>
                <w:color w:val="auto"/>
                <w:sz w:val="24"/>
                <w:szCs w:val="24"/>
                <w:highlight w:val="none"/>
              </w:rPr>
            </w:pPr>
          </w:p>
        </w:tc>
        <w:tc>
          <w:tcPr>
            <w:tcW w:w="680" w:type="dxa"/>
            <w:tcBorders>
              <w:top w:val="single" w:color="auto" w:sz="4" w:space="0"/>
              <w:left w:val="single" w:color="auto" w:sz="4" w:space="0"/>
              <w:bottom w:val="single" w:color="auto" w:sz="4" w:space="0"/>
            </w:tcBorders>
            <w:shd w:val="clear" w:color="auto" w:fill="FFFFFF"/>
            <w:vAlign w:val="center"/>
          </w:tcPr>
          <w:p>
            <w:pPr>
              <w:pageBreakBefore w:val="0"/>
              <w:kinsoku/>
              <w:overflowPunct/>
              <w:topLinePunct w:val="0"/>
              <w:bidi w:val="0"/>
              <w:snapToGrid/>
              <w:spacing w:line="360" w:lineRule="auto"/>
              <w:jc w:val="center"/>
              <w:rPr>
                <w:rFonts w:hint="eastAsia" w:ascii="宋体" w:hAnsi="宋体" w:eastAsia="宋体" w:cs="宋体"/>
                <w:color w:val="auto"/>
                <w:sz w:val="24"/>
                <w:szCs w:val="24"/>
                <w:highlight w:val="none"/>
              </w:rPr>
            </w:pPr>
          </w:p>
        </w:tc>
        <w:tc>
          <w:tcPr>
            <w:tcW w:w="1240" w:type="dxa"/>
            <w:tcBorders>
              <w:top w:val="single" w:color="auto" w:sz="4" w:space="0"/>
              <w:left w:val="single" w:color="auto" w:sz="4" w:space="0"/>
              <w:bottom w:val="single" w:color="auto" w:sz="4" w:space="0"/>
            </w:tcBorders>
            <w:shd w:val="clear" w:color="auto" w:fill="FFFFFF"/>
            <w:vAlign w:val="center"/>
          </w:tcPr>
          <w:p>
            <w:pPr>
              <w:pageBreakBefore w:val="0"/>
              <w:kinsoku/>
              <w:overflowPunct/>
              <w:topLinePunct w:val="0"/>
              <w:bidi w:val="0"/>
              <w:snapToGrid/>
              <w:spacing w:line="360" w:lineRule="auto"/>
              <w:jc w:val="center"/>
              <w:rPr>
                <w:rFonts w:hint="eastAsia" w:ascii="宋体" w:hAnsi="宋体" w:eastAsia="宋体" w:cs="宋体"/>
                <w:color w:val="auto"/>
                <w:sz w:val="24"/>
                <w:szCs w:val="24"/>
                <w:highlight w:val="none"/>
              </w:rPr>
            </w:pPr>
          </w:p>
        </w:tc>
        <w:tc>
          <w:tcPr>
            <w:tcW w:w="852" w:type="dxa"/>
            <w:tcBorders>
              <w:top w:val="single" w:color="auto" w:sz="4" w:space="0"/>
              <w:left w:val="single" w:color="auto" w:sz="4" w:space="0"/>
              <w:bottom w:val="single" w:color="auto" w:sz="4" w:space="0"/>
            </w:tcBorders>
            <w:shd w:val="clear" w:color="auto" w:fill="FFFFFF"/>
            <w:vAlign w:val="center"/>
          </w:tcPr>
          <w:p>
            <w:pPr>
              <w:pageBreakBefore w:val="0"/>
              <w:kinsoku/>
              <w:overflowPunct/>
              <w:topLinePunct w:val="0"/>
              <w:bidi w:val="0"/>
              <w:snapToGrid/>
              <w:spacing w:line="360" w:lineRule="auto"/>
              <w:jc w:val="center"/>
              <w:rPr>
                <w:rFonts w:hint="eastAsia" w:ascii="宋体" w:hAnsi="宋体" w:eastAsia="宋体" w:cs="宋体"/>
                <w:color w:val="auto"/>
                <w:sz w:val="24"/>
                <w:szCs w:val="24"/>
                <w:highlight w:val="none"/>
              </w:rPr>
            </w:pPr>
          </w:p>
        </w:tc>
        <w:tc>
          <w:tcPr>
            <w:tcW w:w="849" w:type="dxa"/>
            <w:tcBorders>
              <w:top w:val="single" w:color="auto" w:sz="4" w:space="0"/>
              <w:left w:val="single" w:color="auto" w:sz="4" w:space="0"/>
              <w:bottom w:val="single" w:color="auto" w:sz="4" w:space="0"/>
            </w:tcBorders>
            <w:shd w:val="clear" w:color="auto" w:fill="FFFFFF"/>
            <w:vAlign w:val="center"/>
          </w:tcPr>
          <w:p>
            <w:pPr>
              <w:pageBreakBefore w:val="0"/>
              <w:kinsoku/>
              <w:overflowPunct/>
              <w:topLinePunct w:val="0"/>
              <w:bidi w:val="0"/>
              <w:snapToGrid/>
              <w:spacing w:line="360" w:lineRule="auto"/>
              <w:jc w:val="center"/>
              <w:rPr>
                <w:rFonts w:hint="eastAsia" w:ascii="宋体" w:hAnsi="宋体" w:eastAsia="宋体" w:cs="宋体"/>
                <w:color w:val="auto"/>
                <w:sz w:val="24"/>
                <w:szCs w:val="24"/>
                <w:highlight w:val="none"/>
              </w:rPr>
            </w:pPr>
          </w:p>
        </w:tc>
        <w:tc>
          <w:tcPr>
            <w:tcW w:w="1384" w:type="dxa"/>
            <w:tcBorders>
              <w:top w:val="single" w:color="auto" w:sz="4" w:space="0"/>
              <w:left w:val="single" w:color="auto" w:sz="4" w:space="0"/>
              <w:bottom w:val="single" w:color="auto" w:sz="4" w:space="0"/>
              <w:right w:val="single" w:color="auto" w:sz="4" w:space="0"/>
            </w:tcBorders>
            <w:shd w:val="clear" w:color="auto" w:fill="FFFFFF"/>
            <w:vAlign w:val="center"/>
          </w:tcPr>
          <w:p>
            <w:pPr>
              <w:pageBreakBefore w:val="0"/>
              <w:kinsoku/>
              <w:overflowPunct/>
              <w:topLinePunct w:val="0"/>
              <w:bidi w:val="0"/>
              <w:snapToGrid/>
              <w:spacing w:line="360" w:lineRule="auto"/>
              <w:jc w:val="center"/>
              <w:rPr>
                <w:rFonts w:hint="eastAsia" w:ascii="宋体" w:hAnsi="宋体" w:eastAsia="宋体" w:cs="宋体"/>
                <w:color w:val="auto"/>
                <w:sz w:val="24"/>
                <w:szCs w:val="24"/>
                <w:highlight w:val="none"/>
              </w:rPr>
            </w:pPr>
          </w:p>
        </w:tc>
      </w:tr>
    </w:tbl>
    <w:p>
      <w:pPr>
        <w:pStyle w:val="6"/>
        <w:pageBreakBefore w:val="0"/>
        <w:kinsoku/>
        <w:overflowPunct/>
        <w:topLinePunct w:val="0"/>
        <w:bidi w:val="0"/>
        <w:snapToGrid/>
        <w:spacing w:line="360" w:lineRule="auto"/>
        <w:ind w:firstLine="2650" w:firstLineChars="1100"/>
        <w:rPr>
          <w:rFonts w:hint="eastAsia" w:ascii="宋体" w:hAnsi="宋体" w:eastAsia="宋体" w:cs="宋体"/>
          <w:color w:val="auto"/>
          <w:highlight w:val="none"/>
        </w:rPr>
      </w:pPr>
      <w:bookmarkStart w:id="401" w:name="_Toc30521"/>
      <w:bookmarkStart w:id="402" w:name="_Toc1004"/>
      <w:r>
        <w:rPr>
          <w:rFonts w:hint="eastAsia" w:ascii="宋体" w:hAnsi="宋体" w:eastAsia="宋体" w:cs="宋体"/>
          <w:color w:val="auto"/>
          <w:highlight w:val="none"/>
        </w:rPr>
        <w:t>（五）主要人员简历表</w:t>
      </w:r>
      <w:bookmarkEnd w:id="401"/>
      <w:bookmarkEnd w:id="402"/>
    </w:p>
    <w:tbl>
      <w:tblPr>
        <w:tblStyle w:val="19"/>
        <w:tblW w:w="10116" w:type="dxa"/>
        <w:jc w:val="center"/>
        <w:tblLayout w:type="fixed"/>
        <w:tblCellMar>
          <w:top w:w="0" w:type="dxa"/>
          <w:left w:w="10" w:type="dxa"/>
          <w:bottom w:w="0" w:type="dxa"/>
          <w:right w:w="10" w:type="dxa"/>
        </w:tblCellMar>
      </w:tblPr>
      <w:tblGrid>
        <w:gridCol w:w="1355"/>
        <w:gridCol w:w="378"/>
        <w:gridCol w:w="791"/>
        <w:gridCol w:w="1063"/>
        <w:gridCol w:w="1174"/>
        <w:gridCol w:w="753"/>
        <w:gridCol w:w="1393"/>
        <w:gridCol w:w="476"/>
        <w:gridCol w:w="2733"/>
      </w:tblGrid>
      <w:tr>
        <w:tblPrEx>
          <w:tblCellMar>
            <w:top w:w="0" w:type="dxa"/>
            <w:left w:w="10" w:type="dxa"/>
            <w:bottom w:w="0" w:type="dxa"/>
            <w:right w:w="10" w:type="dxa"/>
          </w:tblCellMar>
        </w:tblPrEx>
        <w:trPr>
          <w:trHeight w:val="887" w:hRule="exact"/>
          <w:jc w:val="center"/>
        </w:trPr>
        <w:tc>
          <w:tcPr>
            <w:tcW w:w="1355" w:type="dxa"/>
            <w:tcBorders>
              <w:top w:val="single" w:color="auto" w:sz="4" w:space="0"/>
              <w:left w:val="single" w:color="auto" w:sz="4" w:space="0"/>
            </w:tcBorders>
            <w:shd w:val="clear" w:color="auto" w:fill="FFFFFF"/>
            <w:vAlign w:val="center"/>
          </w:tcPr>
          <w:p>
            <w:pPr>
              <w:pStyle w:val="31"/>
              <w:pageBreakBefore w:val="0"/>
              <w:kinsoku/>
              <w:overflowPunct/>
              <w:topLinePunct w:val="0"/>
              <w:bidi w:val="0"/>
              <w:snapToGrid/>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姓名</w:t>
            </w:r>
          </w:p>
        </w:tc>
        <w:tc>
          <w:tcPr>
            <w:tcW w:w="1169" w:type="dxa"/>
            <w:gridSpan w:val="2"/>
            <w:tcBorders>
              <w:top w:val="single" w:color="auto" w:sz="4" w:space="0"/>
              <w:left w:val="single" w:color="auto" w:sz="4" w:space="0"/>
            </w:tcBorders>
            <w:shd w:val="clear" w:color="auto" w:fill="FFFFFF"/>
            <w:vAlign w:val="center"/>
          </w:tcPr>
          <w:p>
            <w:pPr>
              <w:pageBreakBefore w:val="0"/>
              <w:kinsoku/>
              <w:overflowPunct/>
              <w:topLinePunct w:val="0"/>
              <w:bidi w:val="0"/>
              <w:snapToGrid/>
              <w:spacing w:line="360" w:lineRule="auto"/>
              <w:jc w:val="center"/>
              <w:rPr>
                <w:rFonts w:hint="eastAsia" w:ascii="宋体" w:hAnsi="宋体" w:eastAsia="宋体" w:cs="宋体"/>
                <w:color w:val="auto"/>
                <w:sz w:val="24"/>
                <w:szCs w:val="24"/>
                <w:highlight w:val="none"/>
              </w:rPr>
            </w:pPr>
          </w:p>
        </w:tc>
        <w:tc>
          <w:tcPr>
            <w:tcW w:w="1063" w:type="dxa"/>
            <w:tcBorders>
              <w:top w:val="single" w:color="auto" w:sz="4" w:space="0"/>
              <w:left w:val="single" w:color="auto" w:sz="4" w:space="0"/>
            </w:tcBorders>
            <w:shd w:val="clear" w:color="auto" w:fill="FFFFFF"/>
            <w:vAlign w:val="center"/>
          </w:tcPr>
          <w:p>
            <w:pPr>
              <w:pStyle w:val="31"/>
              <w:pageBreakBefore w:val="0"/>
              <w:kinsoku/>
              <w:overflowPunct/>
              <w:topLinePunct w:val="0"/>
              <w:bidi w:val="0"/>
              <w:snapToGrid/>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年龄</w:t>
            </w:r>
          </w:p>
        </w:tc>
        <w:tc>
          <w:tcPr>
            <w:tcW w:w="1174" w:type="dxa"/>
            <w:tcBorders>
              <w:top w:val="single" w:color="auto" w:sz="4" w:space="0"/>
              <w:left w:val="single" w:color="auto" w:sz="4" w:space="0"/>
            </w:tcBorders>
            <w:shd w:val="clear" w:color="auto" w:fill="FFFFFF"/>
            <w:vAlign w:val="center"/>
          </w:tcPr>
          <w:p>
            <w:pPr>
              <w:pageBreakBefore w:val="0"/>
              <w:kinsoku/>
              <w:overflowPunct/>
              <w:topLinePunct w:val="0"/>
              <w:bidi w:val="0"/>
              <w:snapToGrid/>
              <w:spacing w:line="360" w:lineRule="auto"/>
              <w:jc w:val="center"/>
              <w:rPr>
                <w:rFonts w:hint="eastAsia" w:ascii="宋体" w:hAnsi="宋体" w:eastAsia="宋体" w:cs="宋体"/>
                <w:color w:val="auto"/>
                <w:sz w:val="24"/>
                <w:szCs w:val="24"/>
                <w:highlight w:val="none"/>
              </w:rPr>
            </w:pPr>
          </w:p>
        </w:tc>
        <w:tc>
          <w:tcPr>
            <w:tcW w:w="2622" w:type="dxa"/>
            <w:gridSpan w:val="3"/>
            <w:tcBorders>
              <w:top w:val="single" w:color="auto" w:sz="4" w:space="0"/>
              <w:left w:val="single" w:color="auto" w:sz="4" w:space="0"/>
            </w:tcBorders>
            <w:shd w:val="clear" w:color="auto" w:fill="FFFFFF"/>
            <w:vAlign w:val="center"/>
          </w:tcPr>
          <w:p>
            <w:pPr>
              <w:pStyle w:val="31"/>
              <w:pageBreakBefore w:val="0"/>
              <w:kinsoku/>
              <w:overflowPunct/>
              <w:topLinePunct w:val="0"/>
              <w:bidi w:val="0"/>
              <w:snapToGrid/>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执业或职业</w:t>
            </w:r>
          </w:p>
          <w:p>
            <w:pPr>
              <w:pStyle w:val="31"/>
              <w:pageBreakBefore w:val="0"/>
              <w:kinsoku/>
              <w:overflowPunct/>
              <w:topLinePunct w:val="0"/>
              <w:bidi w:val="0"/>
              <w:snapToGrid/>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资格证书名称</w:t>
            </w:r>
          </w:p>
        </w:tc>
        <w:tc>
          <w:tcPr>
            <w:tcW w:w="2733" w:type="dxa"/>
            <w:tcBorders>
              <w:top w:val="single" w:color="auto" w:sz="4" w:space="0"/>
              <w:left w:val="single" w:color="auto" w:sz="4" w:space="0"/>
              <w:right w:val="single" w:color="auto" w:sz="4" w:space="0"/>
            </w:tcBorders>
            <w:shd w:val="clear" w:color="auto" w:fill="FFFFFF"/>
            <w:vAlign w:val="center"/>
          </w:tcPr>
          <w:p>
            <w:pPr>
              <w:pageBreakBefore w:val="0"/>
              <w:kinsoku/>
              <w:overflowPunct/>
              <w:topLinePunct w:val="0"/>
              <w:bidi w:val="0"/>
              <w:snapToGrid/>
              <w:spacing w:line="360" w:lineRule="auto"/>
              <w:jc w:val="center"/>
              <w:rPr>
                <w:rFonts w:hint="eastAsia" w:ascii="宋体" w:hAnsi="宋体" w:eastAsia="宋体" w:cs="宋体"/>
                <w:color w:val="auto"/>
                <w:sz w:val="24"/>
                <w:szCs w:val="24"/>
                <w:highlight w:val="none"/>
              </w:rPr>
            </w:pPr>
          </w:p>
        </w:tc>
      </w:tr>
      <w:tr>
        <w:tblPrEx>
          <w:tblCellMar>
            <w:top w:w="0" w:type="dxa"/>
            <w:left w:w="10" w:type="dxa"/>
            <w:bottom w:w="0" w:type="dxa"/>
            <w:right w:w="10" w:type="dxa"/>
          </w:tblCellMar>
        </w:tblPrEx>
        <w:trPr>
          <w:trHeight w:val="872" w:hRule="exact"/>
          <w:jc w:val="center"/>
        </w:trPr>
        <w:tc>
          <w:tcPr>
            <w:tcW w:w="1355" w:type="dxa"/>
            <w:tcBorders>
              <w:top w:val="single" w:color="auto" w:sz="4" w:space="0"/>
              <w:left w:val="single" w:color="auto" w:sz="4" w:space="0"/>
            </w:tcBorders>
            <w:shd w:val="clear" w:color="auto" w:fill="FFFFFF"/>
            <w:vAlign w:val="center"/>
          </w:tcPr>
          <w:p>
            <w:pPr>
              <w:pStyle w:val="31"/>
              <w:pageBreakBefore w:val="0"/>
              <w:kinsoku/>
              <w:overflowPunct/>
              <w:topLinePunct w:val="0"/>
              <w:bidi w:val="0"/>
              <w:snapToGrid/>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职称</w:t>
            </w:r>
          </w:p>
        </w:tc>
        <w:tc>
          <w:tcPr>
            <w:tcW w:w="1169" w:type="dxa"/>
            <w:gridSpan w:val="2"/>
            <w:tcBorders>
              <w:top w:val="single" w:color="auto" w:sz="4" w:space="0"/>
              <w:left w:val="single" w:color="auto" w:sz="4" w:space="0"/>
            </w:tcBorders>
            <w:shd w:val="clear" w:color="auto" w:fill="FFFFFF"/>
            <w:vAlign w:val="center"/>
          </w:tcPr>
          <w:p>
            <w:pPr>
              <w:pageBreakBefore w:val="0"/>
              <w:kinsoku/>
              <w:overflowPunct/>
              <w:topLinePunct w:val="0"/>
              <w:bidi w:val="0"/>
              <w:snapToGrid/>
              <w:spacing w:line="360" w:lineRule="auto"/>
              <w:jc w:val="center"/>
              <w:rPr>
                <w:rFonts w:hint="eastAsia" w:ascii="宋体" w:hAnsi="宋体" w:eastAsia="宋体" w:cs="宋体"/>
                <w:color w:val="auto"/>
                <w:sz w:val="24"/>
                <w:szCs w:val="24"/>
                <w:highlight w:val="none"/>
              </w:rPr>
            </w:pPr>
          </w:p>
        </w:tc>
        <w:tc>
          <w:tcPr>
            <w:tcW w:w="1063" w:type="dxa"/>
            <w:tcBorders>
              <w:top w:val="single" w:color="auto" w:sz="4" w:space="0"/>
              <w:left w:val="single" w:color="auto" w:sz="4" w:space="0"/>
            </w:tcBorders>
            <w:shd w:val="clear" w:color="auto" w:fill="FFFFFF"/>
            <w:vAlign w:val="center"/>
          </w:tcPr>
          <w:p>
            <w:pPr>
              <w:pStyle w:val="31"/>
              <w:pageBreakBefore w:val="0"/>
              <w:kinsoku/>
              <w:overflowPunct/>
              <w:topLinePunct w:val="0"/>
              <w:bidi w:val="0"/>
              <w:snapToGrid/>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学历</w:t>
            </w:r>
          </w:p>
        </w:tc>
        <w:tc>
          <w:tcPr>
            <w:tcW w:w="1174" w:type="dxa"/>
            <w:tcBorders>
              <w:top w:val="single" w:color="auto" w:sz="4" w:space="0"/>
              <w:left w:val="single" w:color="auto" w:sz="4" w:space="0"/>
            </w:tcBorders>
            <w:shd w:val="clear" w:color="auto" w:fill="FFFFFF"/>
            <w:vAlign w:val="center"/>
          </w:tcPr>
          <w:p>
            <w:pPr>
              <w:pageBreakBefore w:val="0"/>
              <w:kinsoku/>
              <w:overflowPunct/>
              <w:topLinePunct w:val="0"/>
              <w:bidi w:val="0"/>
              <w:snapToGrid/>
              <w:spacing w:line="360" w:lineRule="auto"/>
              <w:jc w:val="center"/>
              <w:rPr>
                <w:rFonts w:hint="eastAsia" w:ascii="宋体" w:hAnsi="宋体" w:eastAsia="宋体" w:cs="宋体"/>
                <w:color w:val="auto"/>
                <w:sz w:val="24"/>
                <w:szCs w:val="24"/>
                <w:highlight w:val="none"/>
              </w:rPr>
            </w:pPr>
          </w:p>
        </w:tc>
        <w:tc>
          <w:tcPr>
            <w:tcW w:w="2622" w:type="dxa"/>
            <w:gridSpan w:val="3"/>
            <w:tcBorders>
              <w:top w:val="single" w:color="auto" w:sz="4" w:space="0"/>
              <w:left w:val="single" w:color="auto" w:sz="4" w:space="0"/>
            </w:tcBorders>
            <w:shd w:val="clear" w:color="auto" w:fill="FFFFFF"/>
            <w:vAlign w:val="center"/>
          </w:tcPr>
          <w:p>
            <w:pPr>
              <w:pStyle w:val="31"/>
              <w:pageBreakBefore w:val="0"/>
              <w:kinsoku/>
              <w:overflowPunct/>
              <w:topLinePunct w:val="0"/>
              <w:bidi w:val="0"/>
              <w:snapToGrid/>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拟在本项目任职</w:t>
            </w:r>
          </w:p>
        </w:tc>
        <w:tc>
          <w:tcPr>
            <w:tcW w:w="2733" w:type="dxa"/>
            <w:tcBorders>
              <w:top w:val="single" w:color="auto" w:sz="4" w:space="0"/>
              <w:left w:val="single" w:color="auto" w:sz="4" w:space="0"/>
              <w:right w:val="single" w:color="auto" w:sz="4" w:space="0"/>
            </w:tcBorders>
            <w:shd w:val="clear" w:color="auto" w:fill="FFFFFF"/>
            <w:vAlign w:val="center"/>
          </w:tcPr>
          <w:p>
            <w:pPr>
              <w:pageBreakBefore w:val="0"/>
              <w:kinsoku/>
              <w:overflowPunct/>
              <w:topLinePunct w:val="0"/>
              <w:bidi w:val="0"/>
              <w:snapToGrid/>
              <w:spacing w:line="360" w:lineRule="auto"/>
              <w:jc w:val="center"/>
              <w:rPr>
                <w:rFonts w:hint="eastAsia" w:ascii="宋体" w:hAnsi="宋体" w:eastAsia="宋体" w:cs="宋体"/>
                <w:color w:val="auto"/>
                <w:sz w:val="24"/>
                <w:szCs w:val="24"/>
                <w:highlight w:val="none"/>
              </w:rPr>
            </w:pPr>
          </w:p>
        </w:tc>
      </w:tr>
      <w:tr>
        <w:tblPrEx>
          <w:tblCellMar>
            <w:top w:w="0" w:type="dxa"/>
            <w:left w:w="10" w:type="dxa"/>
            <w:bottom w:w="0" w:type="dxa"/>
            <w:right w:w="10" w:type="dxa"/>
          </w:tblCellMar>
        </w:tblPrEx>
        <w:trPr>
          <w:trHeight w:val="877" w:hRule="exact"/>
          <w:jc w:val="center"/>
        </w:trPr>
        <w:tc>
          <w:tcPr>
            <w:tcW w:w="1355" w:type="dxa"/>
            <w:tcBorders>
              <w:top w:val="single" w:color="auto" w:sz="4" w:space="0"/>
              <w:left w:val="single" w:color="auto" w:sz="4" w:space="0"/>
            </w:tcBorders>
            <w:shd w:val="clear" w:color="auto" w:fill="FFFFFF"/>
            <w:vAlign w:val="center"/>
          </w:tcPr>
          <w:p>
            <w:pPr>
              <w:pStyle w:val="31"/>
              <w:pageBreakBefore w:val="0"/>
              <w:kinsoku/>
              <w:overflowPunct/>
              <w:topLinePunct w:val="0"/>
              <w:bidi w:val="0"/>
              <w:snapToGrid/>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工作年限</w:t>
            </w:r>
          </w:p>
        </w:tc>
        <w:tc>
          <w:tcPr>
            <w:tcW w:w="3406" w:type="dxa"/>
            <w:gridSpan w:val="4"/>
            <w:tcBorders>
              <w:top w:val="single" w:color="auto" w:sz="4" w:space="0"/>
              <w:left w:val="single" w:color="auto" w:sz="4" w:space="0"/>
            </w:tcBorders>
            <w:shd w:val="clear" w:color="auto" w:fill="FFFFFF"/>
            <w:vAlign w:val="center"/>
          </w:tcPr>
          <w:p>
            <w:pPr>
              <w:pageBreakBefore w:val="0"/>
              <w:kinsoku/>
              <w:overflowPunct/>
              <w:topLinePunct w:val="0"/>
              <w:bidi w:val="0"/>
              <w:snapToGrid/>
              <w:spacing w:line="360" w:lineRule="auto"/>
              <w:jc w:val="center"/>
              <w:rPr>
                <w:rFonts w:hint="eastAsia" w:ascii="宋体" w:hAnsi="宋体" w:eastAsia="宋体" w:cs="宋体"/>
                <w:color w:val="auto"/>
                <w:sz w:val="24"/>
                <w:szCs w:val="24"/>
                <w:highlight w:val="none"/>
              </w:rPr>
            </w:pPr>
          </w:p>
        </w:tc>
        <w:tc>
          <w:tcPr>
            <w:tcW w:w="2622" w:type="dxa"/>
            <w:gridSpan w:val="3"/>
            <w:tcBorders>
              <w:top w:val="single" w:color="auto" w:sz="4" w:space="0"/>
              <w:left w:val="single" w:color="auto" w:sz="4" w:space="0"/>
            </w:tcBorders>
            <w:shd w:val="clear" w:color="auto" w:fill="FFFFFF"/>
            <w:vAlign w:val="center"/>
          </w:tcPr>
          <w:p>
            <w:pPr>
              <w:pStyle w:val="31"/>
              <w:pageBreakBefore w:val="0"/>
              <w:kinsoku/>
              <w:overflowPunct/>
              <w:topLinePunct w:val="0"/>
              <w:bidi w:val="0"/>
              <w:snapToGrid/>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从事类似工作年限</w:t>
            </w:r>
          </w:p>
        </w:tc>
        <w:tc>
          <w:tcPr>
            <w:tcW w:w="2733" w:type="dxa"/>
            <w:tcBorders>
              <w:top w:val="single" w:color="auto" w:sz="4" w:space="0"/>
              <w:left w:val="single" w:color="auto" w:sz="4" w:space="0"/>
              <w:right w:val="single" w:color="auto" w:sz="4" w:space="0"/>
            </w:tcBorders>
            <w:shd w:val="clear" w:color="auto" w:fill="FFFFFF"/>
            <w:vAlign w:val="center"/>
          </w:tcPr>
          <w:p>
            <w:pPr>
              <w:pageBreakBefore w:val="0"/>
              <w:kinsoku/>
              <w:overflowPunct/>
              <w:topLinePunct w:val="0"/>
              <w:bidi w:val="0"/>
              <w:snapToGrid/>
              <w:spacing w:line="360" w:lineRule="auto"/>
              <w:jc w:val="center"/>
              <w:rPr>
                <w:rFonts w:hint="eastAsia" w:ascii="宋体" w:hAnsi="宋体" w:eastAsia="宋体" w:cs="宋体"/>
                <w:color w:val="auto"/>
                <w:sz w:val="24"/>
                <w:szCs w:val="24"/>
                <w:highlight w:val="none"/>
              </w:rPr>
            </w:pPr>
          </w:p>
        </w:tc>
      </w:tr>
      <w:tr>
        <w:tblPrEx>
          <w:tblCellMar>
            <w:top w:w="0" w:type="dxa"/>
            <w:left w:w="10" w:type="dxa"/>
            <w:bottom w:w="0" w:type="dxa"/>
            <w:right w:w="10" w:type="dxa"/>
          </w:tblCellMar>
        </w:tblPrEx>
        <w:trPr>
          <w:trHeight w:val="872" w:hRule="exact"/>
          <w:jc w:val="center"/>
        </w:trPr>
        <w:tc>
          <w:tcPr>
            <w:tcW w:w="1355" w:type="dxa"/>
            <w:tcBorders>
              <w:top w:val="single" w:color="auto" w:sz="4" w:space="0"/>
              <w:left w:val="single" w:color="auto" w:sz="4" w:space="0"/>
            </w:tcBorders>
            <w:shd w:val="clear" w:color="auto" w:fill="FFFFFF"/>
            <w:vAlign w:val="center"/>
          </w:tcPr>
          <w:p>
            <w:pPr>
              <w:pStyle w:val="31"/>
              <w:pageBreakBefore w:val="0"/>
              <w:kinsoku/>
              <w:overflowPunct/>
              <w:topLinePunct w:val="0"/>
              <w:bidi w:val="0"/>
              <w:snapToGrid/>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毕业学校</w:t>
            </w:r>
          </w:p>
        </w:tc>
        <w:tc>
          <w:tcPr>
            <w:tcW w:w="8761" w:type="dxa"/>
            <w:gridSpan w:val="8"/>
            <w:tcBorders>
              <w:top w:val="single" w:color="auto" w:sz="4" w:space="0"/>
              <w:left w:val="single" w:color="auto" w:sz="4" w:space="0"/>
              <w:right w:val="single" w:color="auto" w:sz="4" w:space="0"/>
            </w:tcBorders>
            <w:shd w:val="clear" w:color="auto" w:fill="FFFFFF"/>
            <w:vAlign w:val="center"/>
          </w:tcPr>
          <w:p>
            <w:pPr>
              <w:pStyle w:val="31"/>
              <w:pageBreakBefore w:val="0"/>
              <w:tabs>
                <w:tab w:val="left" w:pos="2021"/>
                <w:tab w:val="left" w:pos="3341"/>
              </w:tabs>
              <w:kinsoku/>
              <w:overflowPunct/>
              <w:topLinePunct w:val="0"/>
              <w:bidi w:val="0"/>
              <w:snapToGrid/>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年毕业于</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学校</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专业</w:t>
            </w:r>
          </w:p>
        </w:tc>
      </w:tr>
      <w:tr>
        <w:tblPrEx>
          <w:tblCellMar>
            <w:top w:w="0" w:type="dxa"/>
            <w:left w:w="10" w:type="dxa"/>
            <w:bottom w:w="0" w:type="dxa"/>
            <w:right w:w="10" w:type="dxa"/>
          </w:tblCellMar>
        </w:tblPrEx>
        <w:trPr>
          <w:trHeight w:val="872" w:hRule="exact"/>
          <w:jc w:val="center"/>
        </w:trPr>
        <w:tc>
          <w:tcPr>
            <w:tcW w:w="10116" w:type="dxa"/>
            <w:gridSpan w:val="9"/>
            <w:tcBorders>
              <w:top w:val="single" w:color="auto" w:sz="4" w:space="0"/>
              <w:left w:val="single" w:color="auto" w:sz="4" w:space="0"/>
              <w:right w:val="single" w:color="auto" w:sz="4" w:space="0"/>
            </w:tcBorders>
            <w:shd w:val="clear" w:color="auto" w:fill="FFFFFF"/>
            <w:vAlign w:val="center"/>
          </w:tcPr>
          <w:p>
            <w:pPr>
              <w:pStyle w:val="31"/>
              <w:pageBreakBefore w:val="0"/>
              <w:kinsoku/>
              <w:overflowPunct/>
              <w:topLinePunct w:val="0"/>
              <w:bidi w:val="0"/>
              <w:snapToGrid/>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主要工作经历</w:t>
            </w:r>
          </w:p>
        </w:tc>
      </w:tr>
      <w:tr>
        <w:tblPrEx>
          <w:tblCellMar>
            <w:top w:w="0" w:type="dxa"/>
            <w:left w:w="10" w:type="dxa"/>
            <w:bottom w:w="0" w:type="dxa"/>
            <w:right w:w="10" w:type="dxa"/>
          </w:tblCellMar>
        </w:tblPrEx>
        <w:trPr>
          <w:trHeight w:val="872" w:hRule="exact"/>
          <w:jc w:val="center"/>
        </w:trPr>
        <w:tc>
          <w:tcPr>
            <w:tcW w:w="1733" w:type="dxa"/>
            <w:gridSpan w:val="2"/>
            <w:tcBorders>
              <w:top w:val="single" w:color="auto" w:sz="4" w:space="0"/>
              <w:left w:val="single" w:color="auto" w:sz="4" w:space="0"/>
            </w:tcBorders>
            <w:shd w:val="clear" w:color="auto" w:fill="FFFFFF"/>
            <w:vAlign w:val="center"/>
          </w:tcPr>
          <w:p>
            <w:pPr>
              <w:pStyle w:val="31"/>
              <w:pageBreakBefore w:val="0"/>
              <w:kinsoku/>
              <w:overflowPunct/>
              <w:topLinePunct w:val="0"/>
              <w:bidi w:val="0"/>
              <w:snapToGrid/>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时间</w:t>
            </w:r>
          </w:p>
        </w:tc>
        <w:tc>
          <w:tcPr>
            <w:tcW w:w="3781" w:type="dxa"/>
            <w:gridSpan w:val="4"/>
            <w:tcBorders>
              <w:top w:val="single" w:color="auto" w:sz="4" w:space="0"/>
              <w:left w:val="single" w:color="auto" w:sz="4" w:space="0"/>
            </w:tcBorders>
            <w:shd w:val="clear" w:color="auto" w:fill="FFFFFF"/>
            <w:vAlign w:val="center"/>
          </w:tcPr>
          <w:p>
            <w:pPr>
              <w:pStyle w:val="31"/>
              <w:pageBreakBefore w:val="0"/>
              <w:kinsoku/>
              <w:overflowPunct/>
              <w:topLinePunct w:val="0"/>
              <w:bidi w:val="0"/>
              <w:snapToGrid/>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参加过的类似项目</w:t>
            </w:r>
          </w:p>
        </w:tc>
        <w:tc>
          <w:tcPr>
            <w:tcW w:w="1393" w:type="dxa"/>
            <w:tcBorders>
              <w:top w:val="single" w:color="auto" w:sz="4" w:space="0"/>
              <w:left w:val="single" w:color="auto" w:sz="4" w:space="0"/>
            </w:tcBorders>
            <w:shd w:val="clear" w:color="auto" w:fill="FFFFFF"/>
            <w:vAlign w:val="center"/>
          </w:tcPr>
          <w:p>
            <w:pPr>
              <w:pStyle w:val="31"/>
              <w:pageBreakBefore w:val="0"/>
              <w:kinsoku/>
              <w:overflowPunct/>
              <w:topLinePunct w:val="0"/>
              <w:bidi w:val="0"/>
              <w:snapToGrid/>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担任职务</w:t>
            </w:r>
          </w:p>
        </w:tc>
        <w:tc>
          <w:tcPr>
            <w:tcW w:w="3209" w:type="dxa"/>
            <w:gridSpan w:val="2"/>
            <w:tcBorders>
              <w:top w:val="single" w:color="auto" w:sz="4" w:space="0"/>
              <w:left w:val="single" w:color="auto" w:sz="4" w:space="0"/>
              <w:right w:val="single" w:color="auto" w:sz="4" w:space="0"/>
            </w:tcBorders>
            <w:shd w:val="clear" w:color="auto" w:fill="FFFFFF"/>
            <w:vAlign w:val="center"/>
          </w:tcPr>
          <w:p>
            <w:pPr>
              <w:pStyle w:val="31"/>
              <w:pageBreakBefore w:val="0"/>
              <w:kinsoku/>
              <w:overflowPunct/>
              <w:topLinePunct w:val="0"/>
              <w:bidi w:val="0"/>
              <w:snapToGrid/>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发包人及联系电话</w:t>
            </w:r>
          </w:p>
        </w:tc>
      </w:tr>
      <w:tr>
        <w:tblPrEx>
          <w:tblCellMar>
            <w:top w:w="0" w:type="dxa"/>
            <w:left w:w="10" w:type="dxa"/>
            <w:bottom w:w="0" w:type="dxa"/>
            <w:right w:w="10" w:type="dxa"/>
          </w:tblCellMar>
        </w:tblPrEx>
        <w:trPr>
          <w:trHeight w:val="872" w:hRule="exact"/>
          <w:jc w:val="center"/>
        </w:trPr>
        <w:tc>
          <w:tcPr>
            <w:tcW w:w="1733" w:type="dxa"/>
            <w:gridSpan w:val="2"/>
            <w:tcBorders>
              <w:top w:val="single" w:color="auto" w:sz="4" w:space="0"/>
              <w:left w:val="single" w:color="auto" w:sz="4" w:space="0"/>
            </w:tcBorders>
            <w:shd w:val="clear" w:color="auto" w:fill="FFFFFF"/>
            <w:vAlign w:val="center"/>
          </w:tcPr>
          <w:p>
            <w:pPr>
              <w:pageBreakBefore w:val="0"/>
              <w:kinsoku/>
              <w:overflowPunct/>
              <w:topLinePunct w:val="0"/>
              <w:bidi w:val="0"/>
              <w:snapToGrid/>
              <w:spacing w:line="360" w:lineRule="auto"/>
              <w:jc w:val="center"/>
              <w:rPr>
                <w:rFonts w:hint="eastAsia" w:ascii="宋体" w:hAnsi="宋体" w:eastAsia="宋体" w:cs="宋体"/>
                <w:color w:val="auto"/>
                <w:sz w:val="24"/>
                <w:szCs w:val="24"/>
                <w:highlight w:val="none"/>
              </w:rPr>
            </w:pPr>
          </w:p>
        </w:tc>
        <w:tc>
          <w:tcPr>
            <w:tcW w:w="3781" w:type="dxa"/>
            <w:gridSpan w:val="4"/>
            <w:tcBorders>
              <w:top w:val="single" w:color="auto" w:sz="4" w:space="0"/>
              <w:left w:val="single" w:color="auto" w:sz="4" w:space="0"/>
            </w:tcBorders>
            <w:shd w:val="clear" w:color="auto" w:fill="FFFFFF"/>
            <w:vAlign w:val="center"/>
          </w:tcPr>
          <w:p>
            <w:pPr>
              <w:pageBreakBefore w:val="0"/>
              <w:kinsoku/>
              <w:overflowPunct/>
              <w:topLinePunct w:val="0"/>
              <w:bidi w:val="0"/>
              <w:snapToGrid/>
              <w:spacing w:line="360" w:lineRule="auto"/>
              <w:jc w:val="center"/>
              <w:rPr>
                <w:rFonts w:hint="eastAsia" w:ascii="宋体" w:hAnsi="宋体" w:eastAsia="宋体" w:cs="宋体"/>
                <w:color w:val="auto"/>
                <w:sz w:val="24"/>
                <w:szCs w:val="24"/>
                <w:highlight w:val="none"/>
              </w:rPr>
            </w:pPr>
          </w:p>
        </w:tc>
        <w:tc>
          <w:tcPr>
            <w:tcW w:w="1393" w:type="dxa"/>
            <w:tcBorders>
              <w:top w:val="single" w:color="auto" w:sz="4" w:space="0"/>
              <w:left w:val="single" w:color="auto" w:sz="4" w:space="0"/>
            </w:tcBorders>
            <w:shd w:val="clear" w:color="auto" w:fill="FFFFFF"/>
            <w:vAlign w:val="center"/>
          </w:tcPr>
          <w:p>
            <w:pPr>
              <w:pageBreakBefore w:val="0"/>
              <w:kinsoku/>
              <w:overflowPunct/>
              <w:topLinePunct w:val="0"/>
              <w:bidi w:val="0"/>
              <w:snapToGrid/>
              <w:spacing w:line="360" w:lineRule="auto"/>
              <w:jc w:val="center"/>
              <w:rPr>
                <w:rFonts w:hint="eastAsia" w:ascii="宋体" w:hAnsi="宋体" w:eastAsia="宋体" w:cs="宋体"/>
                <w:color w:val="auto"/>
                <w:sz w:val="24"/>
                <w:szCs w:val="24"/>
                <w:highlight w:val="none"/>
              </w:rPr>
            </w:pPr>
          </w:p>
        </w:tc>
        <w:tc>
          <w:tcPr>
            <w:tcW w:w="3209" w:type="dxa"/>
            <w:gridSpan w:val="2"/>
            <w:tcBorders>
              <w:top w:val="single" w:color="auto" w:sz="4" w:space="0"/>
              <w:left w:val="single" w:color="auto" w:sz="4" w:space="0"/>
              <w:right w:val="single" w:color="auto" w:sz="4" w:space="0"/>
            </w:tcBorders>
            <w:shd w:val="clear" w:color="auto" w:fill="FFFFFF"/>
            <w:vAlign w:val="center"/>
          </w:tcPr>
          <w:p>
            <w:pPr>
              <w:pageBreakBefore w:val="0"/>
              <w:kinsoku/>
              <w:overflowPunct/>
              <w:topLinePunct w:val="0"/>
              <w:bidi w:val="0"/>
              <w:snapToGrid/>
              <w:spacing w:line="360" w:lineRule="auto"/>
              <w:jc w:val="center"/>
              <w:rPr>
                <w:rFonts w:hint="eastAsia" w:ascii="宋体" w:hAnsi="宋体" w:eastAsia="宋体" w:cs="宋体"/>
                <w:color w:val="auto"/>
                <w:sz w:val="24"/>
                <w:szCs w:val="24"/>
                <w:highlight w:val="none"/>
              </w:rPr>
            </w:pPr>
          </w:p>
        </w:tc>
      </w:tr>
      <w:tr>
        <w:tblPrEx>
          <w:tblCellMar>
            <w:top w:w="0" w:type="dxa"/>
            <w:left w:w="10" w:type="dxa"/>
            <w:bottom w:w="0" w:type="dxa"/>
            <w:right w:w="10" w:type="dxa"/>
          </w:tblCellMar>
        </w:tblPrEx>
        <w:trPr>
          <w:trHeight w:val="868" w:hRule="exact"/>
          <w:jc w:val="center"/>
        </w:trPr>
        <w:tc>
          <w:tcPr>
            <w:tcW w:w="1733" w:type="dxa"/>
            <w:gridSpan w:val="2"/>
            <w:tcBorders>
              <w:top w:val="single" w:color="auto" w:sz="4" w:space="0"/>
              <w:left w:val="single" w:color="auto" w:sz="4" w:space="0"/>
            </w:tcBorders>
            <w:shd w:val="clear" w:color="auto" w:fill="FFFFFF"/>
            <w:vAlign w:val="center"/>
          </w:tcPr>
          <w:p>
            <w:pPr>
              <w:pageBreakBefore w:val="0"/>
              <w:kinsoku/>
              <w:overflowPunct/>
              <w:topLinePunct w:val="0"/>
              <w:bidi w:val="0"/>
              <w:snapToGrid/>
              <w:spacing w:line="360" w:lineRule="auto"/>
              <w:jc w:val="center"/>
              <w:rPr>
                <w:rFonts w:hint="eastAsia" w:ascii="宋体" w:hAnsi="宋体" w:eastAsia="宋体" w:cs="宋体"/>
                <w:color w:val="auto"/>
                <w:sz w:val="24"/>
                <w:szCs w:val="24"/>
                <w:highlight w:val="none"/>
              </w:rPr>
            </w:pPr>
          </w:p>
        </w:tc>
        <w:tc>
          <w:tcPr>
            <w:tcW w:w="3781" w:type="dxa"/>
            <w:gridSpan w:val="4"/>
            <w:tcBorders>
              <w:top w:val="single" w:color="auto" w:sz="4" w:space="0"/>
              <w:left w:val="single" w:color="auto" w:sz="4" w:space="0"/>
            </w:tcBorders>
            <w:shd w:val="clear" w:color="auto" w:fill="FFFFFF"/>
            <w:vAlign w:val="center"/>
          </w:tcPr>
          <w:p>
            <w:pPr>
              <w:pageBreakBefore w:val="0"/>
              <w:kinsoku/>
              <w:overflowPunct/>
              <w:topLinePunct w:val="0"/>
              <w:bidi w:val="0"/>
              <w:snapToGrid/>
              <w:spacing w:line="360" w:lineRule="auto"/>
              <w:jc w:val="center"/>
              <w:rPr>
                <w:rFonts w:hint="eastAsia" w:ascii="宋体" w:hAnsi="宋体" w:eastAsia="宋体" w:cs="宋体"/>
                <w:color w:val="auto"/>
                <w:sz w:val="24"/>
                <w:szCs w:val="24"/>
                <w:highlight w:val="none"/>
              </w:rPr>
            </w:pPr>
          </w:p>
        </w:tc>
        <w:tc>
          <w:tcPr>
            <w:tcW w:w="1393" w:type="dxa"/>
            <w:tcBorders>
              <w:top w:val="single" w:color="auto" w:sz="4" w:space="0"/>
              <w:left w:val="single" w:color="auto" w:sz="4" w:space="0"/>
            </w:tcBorders>
            <w:shd w:val="clear" w:color="auto" w:fill="FFFFFF"/>
            <w:vAlign w:val="center"/>
          </w:tcPr>
          <w:p>
            <w:pPr>
              <w:pageBreakBefore w:val="0"/>
              <w:kinsoku/>
              <w:overflowPunct/>
              <w:topLinePunct w:val="0"/>
              <w:bidi w:val="0"/>
              <w:snapToGrid/>
              <w:spacing w:line="360" w:lineRule="auto"/>
              <w:jc w:val="center"/>
              <w:rPr>
                <w:rFonts w:hint="eastAsia" w:ascii="宋体" w:hAnsi="宋体" w:eastAsia="宋体" w:cs="宋体"/>
                <w:color w:val="auto"/>
                <w:sz w:val="24"/>
                <w:szCs w:val="24"/>
                <w:highlight w:val="none"/>
              </w:rPr>
            </w:pPr>
          </w:p>
        </w:tc>
        <w:tc>
          <w:tcPr>
            <w:tcW w:w="3209" w:type="dxa"/>
            <w:gridSpan w:val="2"/>
            <w:tcBorders>
              <w:top w:val="single" w:color="auto" w:sz="4" w:space="0"/>
              <w:left w:val="single" w:color="auto" w:sz="4" w:space="0"/>
              <w:right w:val="single" w:color="auto" w:sz="4" w:space="0"/>
            </w:tcBorders>
            <w:shd w:val="clear" w:color="auto" w:fill="FFFFFF"/>
            <w:vAlign w:val="center"/>
          </w:tcPr>
          <w:p>
            <w:pPr>
              <w:pageBreakBefore w:val="0"/>
              <w:kinsoku/>
              <w:overflowPunct/>
              <w:topLinePunct w:val="0"/>
              <w:bidi w:val="0"/>
              <w:snapToGrid/>
              <w:spacing w:line="360" w:lineRule="auto"/>
              <w:jc w:val="center"/>
              <w:rPr>
                <w:rFonts w:hint="eastAsia" w:ascii="宋体" w:hAnsi="宋体" w:eastAsia="宋体" w:cs="宋体"/>
                <w:color w:val="auto"/>
                <w:sz w:val="24"/>
                <w:szCs w:val="24"/>
                <w:highlight w:val="none"/>
              </w:rPr>
            </w:pPr>
          </w:p>
        </w:tc>
      </w:tr>
      <w:tr>
        <w:tblPrEx>
          <w:tblCellMar>
            <w:top w:w="0" w:type="dxa"/>
            <w:left w:w="10" w:type="dxa"/>
            <w:bottom w:w="0" w:type="dxa"/>
            <w:right w:w="10" w:type="dxa"/>
          </w:tblCellMar>
        </w:tblPrEx>
        <w:trPr>
          <w:trHeight w:val="872" w:hRule="exact"/>
          <w:jc w:val="center"/>
        </w:trPr>
        <w:tc>
          <w:tcPr>
            <w:tcW w:w="1733" w:type="dxa"/>
            <w:gridSpan w:val="2"/>
            <w:tcBorders>
              <w:top w:val="single" w:color="auto" w:sz="4" w:space="0"/>
              <w:left w:val="single" w:color="auto" w:sz="4" w:space="0"/>
            </w:tcBorders>
            <w:shd w:val="clear" w:color="auto" w:fill="FFFFFF"/>
            <w:vAlign w:val="center"/>
          </w:tcPr>
          <w:p>
            <w:pPr>
              <w:pageBreakBefore w:val="0"/>
              <w:kinsoku/>
              <w:overflowPunct/>
              <w:topLinePunct w:val="0"/>
              <w:bidi w:val="0"/>
              <w:snapToGrid/>
              <w:spacing w:line="360" w:lineRule="auto"/>
              <w:jc w:val="center"/>
              <w:rPr>
                <w:rFonts w:hint="eastAsia" w:ascii="宋体" w:hAnsi="宋体" w:eastAsia="宋体" w:cs="宋体"/>
                <w:color w:val="auto"/>
                <w:sz w:val="24"/>
                <w:szCs w:val="24"/>
                <w:highlight w:val="none"/>
              </w:rPr>
            </w:pPr>
          </w:p>
        </w:tc>
        <w:tc>
          <w:tcPr>
            <w:tcW w:w="3781" w:type="dxa"/>
            <w:gridSpan w:val="4"/>
            <w:tcBorders>
              <w:top w:val="single" w:color="auto" w:sz="4" w:space="0"/>
              <w:left w:val="single" w:color="auto" w:sz="4" w:space="0"/>
            </w:tcBorders>
            <w:shd w:val="clear" w:color="auto" w:fill="FFFFFF"/>
            <w:vAlign w:val="center"/>
          </w:tcPr>
          <w:p>
            <w:pPr>
              <w:pageBreakBefore w:val="0"/>
              <w:kinsoku/>
              <w:overflowPunct/>
              <w:topLinePunct w:val="0"/>
              <w:bidi w:val="0"/>
              <w:snapToGrid/>
              <w:spacing w:line="360" w:lineRule="auto"/>
              <w:jc w:val="center"/>
              <w:rPr>
                <w:rFonts w:hint="eastAsia" w:ascii="宋体" w:hAnsi="宋体" w:eastAsia="宋体" w:cs="宋体"/>
                <w:color w:val="auto"/>
                <w:sz w:val="24"/>
                <w:szCs w:val="24"/>
                <w:highlight w:val="none"/>
              </w:rPr>
            </w:pPr>
          </w:p>
        </w:tc>
        <w:tc>
          <w:tcPr>
            <w:tcW w:w="1393" w:type="dxa"/>
            <w:tcBorders>
              <w:top w:val="single" w:color="auto" w:sz="4" w:space="0"/>
              <w:left w:val="single" w:color="auto" w:sz="4" w:space="0"/>
            </w:tcBorders>
            <w:shd w:val="clear" w:color="auto" w:fill="FFFFFF"/>
            <w:vAlign w:val="center"/>
          </w:tcPr>
          <w:p>
            <w:pPr>
              <w:pageBreakBefore w:val="0"/>
              <w:kinsoku/>
              <w:overflowPunct/>
              <w:topLinePunct w:val="0"/>
              <w:bidi w:val="0"/>
              <w:snapToGrid/>
              <w:spacing w:line="360" w:lineRule="auto"/>
              <w:jc w:val="center"/>
              <w:rPr>
                <w:rFonts w:hint="eastAsia" w:ascii="宋体" w:hAnsi="宋体" w:eastAsia="宋体" w:cs="宋体"/>
                <w:color w:val="auto"/>
                <w:sz w:val="24"/>
                <w:szCs w:val="24"/>
                <w:highlight w:val="none"/>
              </w:rPr>
            </w:pPr>
          </w:p>
        </w:tc>
        <w:tc>
          <w:tcPr>
            <w:tcW w:w="3209" w:type="dxa"/>
            <w:gridSpan w:val="2"/>
            <w:tcBorders>
              <w:top w:val="single" w:color="auto" w:sz="4" w:space="0"/>
              <w:left w:val="single" w:color="auto" w:sz="4" w:space="0"/>
              <w:right w:val="single" w:color="auto" w:sz="4" w:space="0"/>
            </w:tcBorders>
            <w:shd w:val="clear" w:color="auto" w:fill="FFFFFF"/>
            <w:vAlign w:val="center"/>
          </w:tcPr>
          <w:p>
            <w:pPr>
              <w:pageBreakBefore w:val="0"/>
              <w:kinsoku/>
              <w:overflowPunct/>
              <w:topLinePunct w:val="0"/>
              <w:bidi w:val="0"/>
              <w:snapToGrid/>
              <w:spacing w:line="360" w:lineRule="auto"/>
              <w:jc w:val="center"/>
              <w:rPr>
                <w:rFonts w:hint="eastAsia" w:ascii="宋体" w:hAnsi="宋体" w:eastAsia="宋体" w:cs="宋体"/>
                <w:color w:val="auto"/>
                <w:sz w:val="24"/>
                <w:szCs w:val="24"/>
                <w:highlight w:val="none"/>
              </w:rPr>
            </w:pPr>
          </w:p>
        </w:tc>
      </w:tr>
      <w:tr>
        <w:tblPrEx>
          <w:tblCellMar>
            <w:top w:w="0" w:type="dxa"/>
            <w:left w:w="10" w:type="dxa"/>
            <w:bottom w:w="0" w:type="dxa"/>
            <w:right w:w="10" w:type="dxa"/>
          </w:tblCellMar>
        </w:tblPrEx>
        <w:trPr>
          <w:trHeight w:val="872" w:hRule="exact"/>
          <w:jc w:val="center"/>
        </w:trPr>
        <w:tc>
          <w:tcPr>
            <w:tcW w:w="1733" w:type="dxa"/>
            <w:gridSpan w:val="2"/>
            <w:tcBorders>
              <w:top w:val="single" w:color="auto" w:sz="4" w:space="0"/>
              <w:left w:val="single" w:color="auto" w:sz="4" w:space="0"/>
            </w:tcBorders>
            <w:shd w:val="clear" w:color="auto" w:fill="FFFFFF"/>
            <w:vAlign w:val="center"/>
          </w:tcPr>
          <w:p>
            <w:pPr>
              <w:pageBreakBefore w:val="0"/>
              <w:kinsoku/>
              <w:overflowPunct/>
              <w:topLinePunct w:val="0"/>
              <w:bidi w:val="0"/>
              <w:snapToGrid/>
              <w:spacing w:line="360" w:lineRule="auto"/>
              <w:jc w:val="center"/>
              <w:rPr>
                <w:rFonts w:hint="eastAsia" w:ascii="宋体" w:hAnsi="宋体" w:eastAsia="宋体" w:cs="宋体"/>
                <w:color w:val="auto"/>
                <w:sz w:val="24"/>
                <w:szCs w:val="24"/>
                <w:highlight w:val="none"/>
              </w:rPr>
            </w:pPr>
          </w:p>
        </w:tc>
        <w:tc>
          <w:tcPr>
            <w:tcW w:w="3781" w:type="dxa"/>
            <w:gridSpan w:val="4"/>
            <w:tcBorders>
              <w:top w:val="single" w:color="auto" w:sz="4" w:space="0"/>
              <w:left w:val="single" w:color="auto" w:sz="4" w:space="0"/>
            </w:tcBorders>
            <w:shd w:val="clear" w:color="auto" w:fill="FFFFFF"/>
            <w:vAlign w:val="center"/>
          </w:tcPr>
          <w:p>
            <w:pPr>
              <w:pageBreakBefore w:val="0"/>
              <w:kinsoku/>
              <w:overflowPunct/>
              <w:topLinePunct w:val="0"/>
              <w:bidi w:val="0"/>
              <w:snapToGrid/>
              <w:spacing w:line="360" w:lineRule="auto"/>
              <w:jc w:val="center"/>
              <w:rPr>
                <w:rFonts w:hint="eastAsia" w:ascii="宋体" w:hAnsi="宋体" w:eastAsia="宋体" w:cs="宋体"/>
                <w:color w:val="auto"/>
                <w:sz w:val="24"/>
                <w:szCs w:val="24"/>
                <w:highlight w:val="none"/>
              </w:rPr>
            </w:pPr>
          </w:p>
        </w:tc>
        <w:tc>
          <w:tcPr>
            <w:tcW w:w="1393" w:type="dxa"/>
            <w:tcBorders>
              <w:top w:val="single" w:color="auto" w:sz="4" w:space="0"/>
              <w:left w:val="single" w:color="auto" w:sz="4" w:space="0"/>
            </w:tcBorders>
            <w:shd w:val="clear" w:color="auto" w:fill="FFFFFF"/>
            <w:vAlign w:val="center"/>
          </w:tcPr>
          <w:p>
            <w:pPr>
              <w:pageBreakBefore w:val="0"/>
              <w:kinsoku/>
              <w:overflowPunct/>
              <w:topLinePunct w:val="0"/>
              <w:bidi w:val="0"/>
              <w:snapToGrid/>
              <w:spacing w:line="360" w:lineRule="auto"/>
              <w:jc w:val="center"/>
              <w:rPr>
                <w:rFonts w:hint="eastAsia" w:ascii="宋体" w:hAnsi="宋体" w:eastAsia="宋体" w:cs="宋体"/>
                <w:color w:val="auto"/>
                <w:sz w:val="24"/>
                <w:szCs w:val="24"/>
                <w:highlight w:val="none"/>
              </w:rPr>
            </w:pPr>
          </w:p>
        </w:tc>
        <w:tc>
          <w:tcPr>
            <w:tcW w:w="3209" w:type="dxa"/>
            <w:gridSpan w:val="2"/>
            <w:tcBorders>
              <w:top w:val="single" w:color="auto" w:sz="4" w:space="0"/>
              <w:left w:val="single" w:color="auto" w:sz="4" w:space="0"/>
              <w:right w:val="single" w:color="auto" w:sz="4" w:space="0"/>
            </w:tcBorders>
            <w:shd w:val="clear" w:color="auto" w:fill="FFFFFF"/>
            <w:vAlign w:val="center"/>
          </w:tcPr>
          <w:p>
            <w:pPr>
              <w:pageBreakBefore w:val="0"/>
              <w:kinsoku/>
              <w:overflowPunct/>
              <w:topLinePunct w:val="0"/>
              <w:bidi w:val="0"/>
              <w:snapToGrid/>
              <w:spacing w:line="360" w:lineRule="auto"/>
              <w:jc w:val="center"/>
              <w:rPr>
                <w:rFonts w:hint="eastAsia" w:ascii="宋体" w:hAnsi="宋体" w:eastAsia="宋体" w:cs="宋体"/>
                <w:color w:val="auto"/>
                <w:sz w:val="24"/>
                <w:szCs w:val="24"/>
                <w:highlight w:val="none"/>
              </w:rPr>
            </w:pPr>
          </w:p>
        </w:tc>
      </w:tr>
      <w:tr>
        <w:tblPrEx>
          <w:tblCellMar>
            <w:top w:w="0" w:type="dxa"/>
            <w:left w:w="10" w:type="dxa"/>
            <w:bottom w:w="0" w:type="dxa"/>
            <w:right w:w="10" w:type="dxa"/>
          </w:tblCellMar>
        </w:tblPrEx>
        <w:trPr>
          <w:trHeight w:val="872" w:hRule="exact"/>
          <w:jc w:val="center"/>
        </w:trPr>
        <w:tc>
          <w:tcPr>
            <w:tcW w:w="1733" w:type="dxa"/>
            <w:gridSpan w:val="2"/>
            <w:tcBorders>
              <w:top w:val="single" w:color="auto" w:sz="4" w:space="0"/>
              <w:left w:val="single" w:color="auto" w:sz="4" w:space="0"/>
            </w:tcBorders>
            <w:shd w:val="clear" w:color="auto" w:fill="FFFFFF"/>
            <w:vAlign w:val="center"/>
          </w:tcPr>
          <w:p>
            <w:pPr>
              <w:pageBreakBefore w:val="0"/>
              <w:kinsoku/>
              <w:overflowPunct/>
              <w:topLinePunct w:val="0"/>
              <w:bidi w:val="0"/>
              <w:snapToGrid/>
              <w:spacing w:line="360" w:lineRule="auto"/>
              <w:jc w:val="center"/>
              <w:rPr>
                <w:rFonts w:hint="eastAsia" w:ascii="宋体" w:hAnsi="宋体" w:eastAsia="宋体" w:cs="宋体"/>
                <w:color w:val="auto"/>
                <w:sz w:val="24"/>
                <w:szCs w:val="24"/>
                <w:highlight w:val="none"/>
              </w:rPr>
            </w:pPr>
          </w:p>
        </w:tc>
        <w:tc>
          <w:tcPr>
            <w:tcW w:w="3781" w:type="dxa"/>
            <w:gridSpan w:val="4"/>
            <w:tcBorders>
              <w:top w:val="single" w:color="auto" w:sz="4" w:space="0"/>
              <w:left w:val="single" w:color="auto" w:sz="4" w:space="0"/>
            </w:tcBorders>
            <w:shd w:val="clear" w:color="auto" w:fill="FFFFFF"/>
            <w:vAlign w:val="center"/>
          </w:tcPr>
          <w:p>
            <w:pPr>
              <w:pageBreakBefore w:val="0"/>
              <w:kinsoku/>
              <w:overflowPunct/>
              <w:topLinePunct w:val="0"/>
              <w:bidi w:val="0"/>
              <w:snapToGrid/>
              <w:spacing w:line="360" w:lineRule="auto"/>
              <w:jc w:val="center"/>
              <w:rPr>
                <w:rFonts w:hint="eastAsia" w:ascii="宋体" w:hAnsi="宋体" w:eastAsia="宋体" w:cs="宋体"/>
                <w:color w:val="auto"/>
                <w:sz w:val="24"/>
                <w:szCs w:val="24"/>
                <w:highlight w:val="none"/>
              </w:rPr>
            </w:pPr>
          </w:p>
        </w:tc>
        <w:tc>
          <w:tcPr>
            <w:tcW w:w="1393" w:type="dxa"/>
            <w:tcBorders>
              <w:top w:val="single" w:color="auto" w:sz="4" w:space="0"/>
              <w:left w:val="single" w:color="auto" w:sz="4" w:space="0"/>
            </w:tcBorders>
            <w:shd w:val="clear" w:color="auto" w:fill="FFFFFF"/>
            <w:vAlign w:val="center"/>
          </w:tcPr>
          <w:p>
            <w:pPr>
              <w:pageBreakBefore w:val="0"/>
              <w:kinsoku/>
              <w:overflowPunct/>
              <w:topLinePunct w:val="0"/>
              <w:bidi w:val="0"/>
              <w:snapToGrid/>
              <w:spacing w:line="360" w:lineRule="auto"/>
              <w:jc w:val="center"/>
              <w:rPr>
                <w:rFonts w:hint="eastAsia" w:ascii="宋体" w:hAnsi="宋体" w:eastAsia="宋体" w:cs="宋体"/>
                <w:color w:val="auto"/>
                <w:sz w:val="24"/>
                <w:szCs w:val="24"/>
                <w:highlight w:val="none"/>
              </w:rPr>
            </w:pPr>
          </w:p>
        </w:tc>
        <w:tc>
          <w:tcPr>
            <w:tcW w:w="3209" w:type="dxa"/>
            <w:gridSpan w:val="2"/>
            <w:tcBorders>
              <w:top w:val="single" w:color="auto" w:sz="4" w:space="0"/>
              <w:left w:val="single" w:color="auto" w:sz="4" w:space="0"/>
              <w:right w:val="single" w:color="auto" w:sz="4" w:space="0"/>
            </w:tcBorders>
            <w:shd w:val="clear" w:color="auto" w:fill="FFFFFF"/>
            <w:vAlign w:val="center"/>
          </w:tcPr>
          <w:p>
            <w:pPr>
              <w:pageBreakBefore w:val="0"/>
              <w:kinsoku/>
              <w:overflowPunct/>
              <w:topLinePunct w:val="0"/>
              <w:bidi w:val="0"/>
              <w:snapToGrid/>
              <w:spacing w:line="360" w:lineRule="auto"/>
              <w:jc w:val="center"/>
              <w:rPr>
                <w:rFonts w:hint="eastAsia" w:ascii="宋体" w:hAnsi="宋体" w:eastAsia="宋体" w:cs="宋体"/>
                <w:color w:val="auto"/>
                <w:sz w:val="24"/>
                <w:szCs w:val="24"/>
                <w:highlight w:val="none"/>
              </w:rPr>
            </w:pPr>
          </w:p>
        </w:tc>
      </w:tr>
      <w:tr>
        <w:tblPrEx>
          <w:tblCellMar>
            <w:top w:w="0" w:type="dxa"/>
            <w:left w:w="10" w:type="dxa"/>
            <w:bottom w:w="0" w:type="dxa"/>
            <w:right w:w="10" w:type="dxa"/>
          </w:tblCellMar>
        </w:tblPrEx>
        <w:trPr>
          <w:trHeight w:val="872" w:hRule="exact"/>
          <w:jc w:val="center"/>
        </w:trPr>
        <w:tc>
          <w:tcPr>
            <w:tcW w:w="1733" w:type="dxa"/>
            <w:gridSpan w:val="2"/>
            <w:tcBorders>
              <w:top w:val="single" w:color="auto" w:sz="4" w:space="0"/>
              <w:left w:val="single" w:color="auto" w:sz="4" w:space="0"/>
            </w:tcBorders>
            <w:shd w:val="clear" w:color="auto" w:fill="FFFFFF"/>
            <w:vAlign w:val="center"/>
          </w:tcPr>
          <w:p>
            <w:pPr>
              <w:pageBreakBefore w:val="0"/>
              <w:kinsoku/>
              <w:overflowPunct/>
              <w:topLinePunct w:val="0"/>
              <w:bidi w:val="0"/>
              <w:snapToGrid/>
              <w:spacing w:line="360" w:lineRule="auto"/>
              <w:jc w:val="center"/>
              <w:rPr>
                <w:rFonts w:hint="eastAsia" w:ascii="宋体" w:hAnsi="宋体" w:eastAsia="宋体" w:cs="宋体"/>
                <w:color w:val="auto"/>
                <w:sz w:val="24"/>
                <w:szCs w:val="24"/>
                <w:highlight w:val="none"/>
              </w:rPr>
            </w:pPr>
          </w:p>
        </w:tc>
        <w:tc>
          <w:tcPr>
            <w:tcW w:w="3781" w:type="dxa"/>
            <w:gridSpan w:val="4"/>
            <w:tcBorders>
              <w:top w:val="single" w:color="auto" w:sz="4" w:space="0"/>
              <w:left w:val="single" w:color="auto" w:sz="4" w:space="0"/>
            </w:tcBorders>
            <w:shd w:val="clear" w:color="auto" w:fill="FFFFFF"/>
            <w:vAlign w:val="center"/>
          </w:tcPr>
          <w:p>
            <w:pPr>
              <w:pageBreakBefore w:val="0"/>
              <w:kinsoku/>
              <w:overflowPunct/>
              <w:topLinePunct w:val="0"/>
              <w:bidi w:val="0"/>
              <w:snapToGrid/>
              <w:spacing w:line="360" w:lineRule="auto"/>
              <w:jc w:val="center"/>
              <w:rPr>
                <w:rFonts w:hint="eastAsia" w:ascii="宋体" w:hAnsi="宋体" w:eastAsia="宋体" w:cs="宋体"/>
                <w:color w:val="auto"/>
                <w:sz w:val="24"/>
                <w:szCs w:val="24"/>
                <w:highlight w:val="none"/>
              </w:rPr>
            </w:pPr>
          </w:p>
        </w:tc>
        <w:tc>
          <w:tcPr>
            <w:tcW w:w="1393" w:type="dxa"/>
            <w:tcBorders>
              <w:top w:val="single" w:color="auto" w:sz="4" w:space="0"/>
              <w:left w:val="single" w:color="auto" w:sz="4" w:space="0"/>
            </w:tcBorders>
            <w:shd w:val="clear" w:color="auto" w:fill="FFFFFF"/>
            <w:vAlign w:val="center"/>
          </w:tcPr>
          <w:p>
            <w:pPr>
              <w:pageBreakBefore w:val="0"/>
              <w:kinsoku/>
              <w:overflowPunct/>
              <w:topLinePunct w:val="0"/>
              <w:bidi w:val="0"/>
              <w:snapToGrid/>
              <w:spacing w:line="360" w:lineRule="auto"/>
              <w:jc w:val="center"/>
              <w:rPr>
                <w:rFonts w:hint="eastAsia" w:ascii="宋体" w:hAnsi="宋体" w:eastAsia="宋体" w:cs="宋体"/>
                <w:color w:val="auto"/>
                <w:sz w:val="24"/>
                <w:szCs w:val="24"/>
                <w:highlight w:val="none"/>
              </w:rPr>
            </w:pPr>
          </w:p>
        </w:tc>
        <w:tc>
          <w:tcPr>
            <w:tcW w:w="3209" w:type="dxa"/>
            <w:gridSpan w:val="2"/>
            <w:tcBorders>
              <w:top w:val="single" w:color="auto" w:sz="4" w:space="0"/>
              <w:left w:val="single" w:color="auto" w:sz="4" w:space="0"/>
              <w:right w:val="single" w:color="auto" w:sz="4" w:space="0"/>
            </w:tcBorders>
            <w:shd w:val="clear" w:color="auto" w:fill="FFFFFF"/>
            <w:vAlign w:val="center"/>
          </w:tcPr>
          <w:p>
            <w:pPr>
              <w:pageBreakBefore w:val="0"/>
              <w:kinsoku/>
              <w:overflowPunct/>
              <w:topLinePunct w:val="0"/>
              <w:bidi w:val="0"/>
              <w:snapToGrid/>
              <w:spacing w:line="360" w:lineRule="auto"/>
              <w:jc w:val="center"/>
              <w:rPr>
                <w:rFonts w:hint="eastAsia" w:ascii="宋体" w:hAnsi="宋体" w:eastAsia="宋体" w:cs="宋体"/>
                <w:color w:val="auto"/>
                <w:sz w:val="24"/>
                <w:szCs w:val="24"/>
                <w:highlight w:val="none"/>
              </w:rPr>
            </w:pPr>
          </w:p>
        </w:tc>
      </w:tr>
      <w:tr>
        <w:tblPrEx>
          <w:tblCellMar>
            <w:top w:w="0" w:type="dxa"/>
            <w:left w:w="10" w:type="dxa"/>
            <w:bottom w:w="0" w:type="dxa"/>
            <w:right w:w="10" w:type="dxa"/>
          </w:tblCellMar>
        </w:tblPrEx>
        <w:trPr>
          <w:trHeight w:val="915" w:hRule="exact"/>
          <w:jc w:val="center"/>
        </w:trPr>
        <w:tc>
          <w:tcPr>
            <w:tcW w:w="1733" w:type="dxa"/>
            <w:gridSpan w:val="2"/>
            <w:tcBorders>
              <w:top w:val="single" w:color="auto" w:sz="4" w:space="0"/>
              <w:left w:val="single" w:color="auto" w:sz="4" w:space="0"/>
              <w:bottom w:val="single" w:color="auto" w:sz="4" w:space="0"/>
            </w:tcBorders>
            <w:shd w:val="clear" w:color="auto" w:fill="FFFFFF"/>
            <w:vAlign w:val="center"/>
          </w:tcPr>
          <w:p>
            <w:pPr>
              <w:pageBreakBefore w:val="0"/>
              <w:kinsoku/>
              <w:overflowPunct/>
              <w:topLinePunct w:val="0"/>
              <w:bidi w:val="0"/>
              <w:snapToGrid/>
              <w:spacing w:line="360" w:lineRule="auto"/>
              <w:jc w:val="center"/>
              <w:rPr>
                <w:rFonts w:hint="eastAsia" w:ascii="宋体" w:hAnsi="宋体" w:eastAsia="宋体" w:cs="宋体"/>
                <w:color w:val="auto"/>
                <w:sz w:val="24"/>
                <w:szCs w:val="24"/>
                <w:highlight w:val="none"/>
              </w:rPr>
            </w:pPr>
          </w:p>
        </w:tc>
        <w:tc>
          <w:tcPr>
            <w:tcW w:w="3781" w:type="dxa"/>
            <w:gridSpan w:val="4"/>
            <w:tcBorders>
              <w:top w:val="single" w:color="auto" w:sz="4" w:space="0"/>
              <w:left w:val="single" w:color="auto" w:sz="4" w:space="0"/>
              <w:bottom w:val="single" w:color="auto" w:sz="4" w:space="0"/>
            </w:tcBorders>
            <w:shd w:val="clear" w:color="auto" w:fill="FFFFFF"/>
            <w:vAlign w:val="center"/>
          </w:tcPr>
          <w:p>
            <w:pPr>
              <w:pageBreakBefore w:val="0"/>
              <w:kinsoku/>
              <w:overflowPunct/>
              <w:topLinePunct w:val="0"/>
              <w:bidi w:val="0"/>
              <w:snapToGrid/>
              <w:spacing w:line="360" w:lineRule="auto"/>
              <w:jc w:val="center"/>
              <w:rPr>
                <w:rFonts w:hint="eastAsia" w:ascii="宋体" w:hAnsi="宋体" w:eastAsia="宋体" w:cs="宋体"/>
                <w:color w:val="auto"/>
                <w:sz w:val="24"/>
                <w:szCs w:val="24"/>
                <w:highlight w:val="none"/>
              </w:rPr>
            </w:pPr>
          </w:p>
        </w:tc>
        <w:tc>
          <w:tcPr>
            <w:tcW w:w="1393" w:type="dxa"/>
            <w:tcBorders>
              <w:top w:val="single" w:color="auto" w:sz="4" w:space="0"/>
              <w:left w:val="single" w:color="auto" w:sz="4" w:space="0"/>
              <w:bottom w:val="single" w:color="auto" w:sz="4" w:space="0"/>
            </w:tcBorders>
            <w:shd w:val="clear" w:color="auto" w:fill="FFFFFF"/>
            <w:vAlign w:val="center"/>
          </w:tcPr>
          <w:p>
            <w:pPr>
              <w:pageBreakBefore w:val="0"/>
              <w:kinsoku/>
              <w:overflowPunct/>
              <w:topLinePunct w:val="0"/>
              <w:bidi w:val="0"/>
              <w:snapToGrid/>
              <w:spacing w:line="360" w:lineRule="auto"/>
              <w:jc w:val="center"/>
              <w:rPr>
                <w:rFonts w:hint="eastAsia" w:ascii="宋体" w:hAnsi="宋体" w:eastAsia="宋体" w:cs="宋体"/>
                <w:color w:val="auto"/>
                <w:sz w:val="24"/>
                <w:szCs w:val="24"/>
                <w:highlight w:val="none"/>
              </w:rPr>
            </w:pPr>
          </w:p>
        </w:tc>
        <w:tc>
          <w:tcPr>
            <w:tcW w:w="3209" w:type="dxa"/>
            <w:gridSpan w:val="2"/>
            <w:tcBorders>
              <w:top w:val="single" w:color="auto" w:sz="4" w:space="0"/>
              <w:left w:val="single" w:color="auto" w:sz="4" w:space="0"/>
              <w:bottom w:val="single" w:color="auto" w:sz="4" w:space="0"/>
              <w:right w:val="single" w:color="auto" w:sz="4" w:space="0"/>
            </w:tcBorders>
            <w:shd w:val="clear" w:color="auto" w:fill="FFFFFF"/>
            <w:vAlign w:val="center"/>
          </w:tcPr>
          <w:p>
            <w:pPr>
              <w:pageBreakBefore w:val="0"/>
              <w:kinsoku/>
              <w:overflowPunct/>
              <w:topLinePunct w:val="0"/>
              <w:bidi w:val="0"/>
              <w:snapToGrid/>
              <w:spacing w:line="360" w:lineRule="auto"/>
              <w:jc w:val="center"/>
              <w:rPr>
                <w:rFonts w:hint="eastAsia" w:ascii="宋体" w:hAnsi="宋体" w:eastAsia="宋体" w:cs="宋体"/>
                <w:color w:val="auto"/>
                <w:sz w:val="24"/>
                <w:szCs w:val="24"/>
                <w:highlight w:val="none"/>
              </w:rPr>
            </w:pPr>
          </w:p>
        </w:tc>
      </w:tr>
    </w:tbl>
    <w:p>
      <w:pPr>
        <w:pageBreakBefore w:val="0"/>
        <w:kinsoku/>
        <w:overflowPunct/>
        <w:topLinePunct w:val="0"/>
        <w:bidi w:val="0"/>
        <w:snapToGrid/>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注：</w:t>
      </w:r>
      <w:r>
        <w:rPr>
          <w:rFonts w:hint="eastAsia" w:ascii="宋体" w:hAnsi="宋体" w:eastAsia="宋体" w:cs="宋体"/>
          <w:color w:val="auto"/>
          <w:szCs w:val="21"/>
          <w:highlight w:val="none"/>
          <w:lang w:eastAsia="zh-CN"/>
        </w:rPr>
        <w:t>询比响应人</w:t>
      </w:r>
      <w:r>
        <w:rPr>
          <w:rFonts w:hint="eastAsia" w:ascii="宋体" w:hAnsi="宋体" w:eastAsia="宋体" w:cs="宋体"/>
          <w:color w:val="auto"/>
          <w:szCs w:val="21"/>
          <w:highlight w:val="none"/>
        </w:rPr>
        <w:t>应根据</w:t>
      </w:r>
      <w:r>
        <w:rPr>
          <w:rFonts w:hint="eastAsia" w:ascii="宋体" w:hAnsi="宋体" w:eastAsia="宋体" w:cs="宋体"/>
          <w:color w:val="auto"/>
          <w:szCs w:val="21"/>
          <w:highlight w:val="none"/>
          <w:lang w:eastAsia="zh-CN"/>
        </w:rPr>
        <w:t>询比响应人</w:t>
      </w:r>
      <w:r>
        <w:rPr>
          <w:rFonts w:hint="eastAsia" w:ascii="宋体" w:hAnsi="宋体" w:eastAsia="宋体" w:cs="宋体"/>
          <w:color w:val="auto"/>
          <w:szCs w:val="21"/>
          <w:highlight w:val="none"/>
        </w:rPr>
        <w:t>须知前附表第3.5(6)项的要求在本表后附相关证明材料。</w:t>
      </w:r>
      <w:bookmarkStart w:id="403" w:name="bookmark614"/>
      <w:bookmarkStart w:id="404" w:name="bookmark613"/>
      <w:bookmarkStart w:id="405" w:name="bookmark612"/>
    </w:p>
    <w:p>
      <w:pPr>
        <w:pageBreakBefore w:val="0"/>
        <w:kinsoku/>
        <w:overflowPunct/>
        <w:topLinePunct w:val="0"/>
        <w:bidi w:val="0"/>
        <w:snapToGrid/>
        <w:spacing w:line="360" w:lineRule="auto"/>
        <w:rPr>
          <w:rFonts w:hint="eastAsia" w:ascii="宋体" w:hAnsi="宋体" w:eastAsia="宋体" w:cs="宋体"/>
          <w:color w:val="auto"/>
          <w:highlight w:val="none"/>
        </w:rPr>
      </w:pPr>
    </w:p>
    <w:bookmarkEnd w:id="403"/>
    <w:bookmarkEnd w:id="404"/>
    <w:bookmarkEnd w:id="405"/>
    <w:p>
      <w:pPr>
        <w:pageBreakBefore w:val="0"/>
        <w:kinsoku/>
        <w:overflowPunct/>
        <w:topLinePunct w:val="0"/>
        <w:bidi w:val="0"/>
        <w:snapToGrid/>
        <w:spacing w:line="360" w:lineRule="auto"/>
        <w:rPr>
          <w:rFonts w:hint="eastAsia" w:ascii="宋体" w:hAnsi="宋体" w:eastAsia="宋体" w:cs="宋体"/>
          <w:color w:val="auto"/>
          <w:sz w:val="32"/>
          <w:szCs w:val="32"/>
          <w:highlight w:val="none"/>
        </w:rPr>
      </w:pPr>
      <w:bookmarkStart w:id="406" w:name="bookmark625"/>
      <w:bookmarkStart w:id="407" w:name="bookmark626"/>
      <w:bookmarkStart w:id="408" w:name="bookmark624"/>
    </w:p>
    <w:p>
      <w:pPr>
        <w:pStyle w:val="4"/>
        <w:pageBreakBefore w:val="0"/>
        <w:kinsoku/>
        <w:overflowPunct/>
        <w:topLinePunct w:val="0"/>
        <w:bidi w:val="0"/>
        <w:snapToGrid/>
        <w:spacing w:line="360" w:lineRule="auto"/>
        <w:rPr>
          <w:rFonts w:hint="eastAsia" w:ascii="宋体" w:hAnsi="宋体" w:eastAsia="宋体" w:cs="宋体"/>
          <w:color w:val="auto"/>
          <w:highlight w:val="none"/>
        </w:rPr>
      </w:pPr>
      <w:bookmarkStart w:id="409" w:name="_Toc11362"/>
      <w:bookmarkStart w:id="410" w:name="_Toc30828"/>
      <w:r>
        <w:rPr>
          <w:rFonts w:hint="eastAsia" w:ascii="宋体" w:hAnsi="宋体" w:eastAsia="宋体" w:cs="宋体"/>
          <w:color w:val="auto"/>
          <w:highlight w:val="none"/>
        </w:rPr>
        <w:t>八、响应方案（A）</w:t>
      </w:r>
      <w:bookmarkEnd w:id="406"/>
      <w:bookmarkEnd w:id="407"/>
      <w:bookmarkEnd w:id="408"/>
      <w:bookmarkEnd w:id="409"/>
      <w:bookmarkEnd w:id="410"/>
    </w:p>
    <w:p>
      <w:pPr>
        <w:pStyle w:val="69"/>
        <w:jc w:val="left"/>
        <w:outlineLvl w:val="1"/>
        <w:rPr>
          <w:rStyle w:val="21"/>
          <w:rFonts w:ascii="Times New Roman" w:hAnsi="Times New Roman" w:eastAsia="Times New Roman" w:cs="Times New Roman"/>
          <w:color w:val="auto"/>
          <w:highlight w:val="none"/>
        </w:rPr>
      </w:pPr>
      <w:bookmarkStart w:id="411" w:name="_Toc21707"/>
      <w:bookmarkStart w:id="412" w:name="_Toc7416"/>
      <w:bookmarkStart w:id="413" w:name="_Toc443467015"/>
      <w:r>
        <w:rPr>
          <w:rStyle w:val="21"/>
          <w:rFonts w:hint="eastAsia" w:ascii="黑体" w:hAnsi="黑体" w:eastAsia="黑体" w:cs="黑体"/>
          <w:b/>
          <w:color w:val="auto"/>
          <w:sz w:val="32"/>
          <w:highlight w:val="none"/>
          <w:lang w:eastAsia="zh-CN"/>
        </w:rPr>
        <w:t>八</w:t>
      </w:r>
      <w:r>
        <w:rPr>
          <w:rStyle w:val="21"/>
          <w:rFonts w:ascii="黑体" w:hAnsi="黑体" w:eastAsia="黑体" w:cs="黑体"/>
          <w:b/>
          <w:color w:val="auto"/>
          <w:sz w:val="32"/>
          <w:highlight w:val="none"/>
        </w:rPr>
        <w:t>、施工组织设计</w:t>
      </w:r>
      <w:bookmarkEnd w:id="411"/>
      <w:bookmarkEnd w:id="412"/>
    </w:p>
    <w:p>
      <w:pPr>
        <w:pStyle w:val="70"/>
        <w:rPr>
          <w:rStyle w:val="21"/>
          <w:rFonts w:hint="eastAsia" w:ascii="Calibri" w:hAnsi="Calibri" w:eastAsia="宋体" w:cs="Times New Roman"/>
          <w:color w:val="auto"/>
          <w:highlight w:val="none"/>
        </w:rPr>
      </w:pPr>
    </w:p>
    <w:p>
      <w:pPr>
        <w:pStyle w:val="70"/>
        <w:spacing w:line="360" w:lineRule="auto"/>
        <w:rPr>
          <w:rStyle w:val="21"/>
          <w:rFonts w:ascii="Calibri" w:hAnsi="Calibri" w:eastAsia="宋体" w:cs="Times New Roman"/>
          <w:color w:val="auto"/>
          <w:sz w:val="24"/>
          <w:highlight w:val="none"/>
        </w:rPr>
      </w:pPr>
      <w:r>
        <w:rPr>
          <w:rStyle w:val="21"/>
          <w:rFonts w:hint="eastAsia" w:ascii="Calibri" w:hAnsi="Calibri" w:eastAsia="宋体" w:cs="Times New Roman"/>
          <w:color w:val="auto"/>
          <w:sz w:val="24"/>
          <w:highlight w:val="none"/>
        </w:rPr>
        <w:t>1.投标人编制施工组织设计时应采用文字并结合图表形式说明工程的施工组织、施工方法、技术组织措施，同时应对关键工序、复杂环节重点提出相应技术措施，如冬雨季施工技术、减少噪音、降低环境污染、地下管线及其它地上地下设施的保护加固措施等。施工组织设计还应结合工程特点提出切实可行的工程质量、工程进度、安全生产、防汛度汛、文明施工、水土保持、环境保护管理方案。</w:t>
      </w:r>
    </w:p>
    <w:p>
      <w:pPr>
        <w:pStyle w:val="70"/>
        <w:spacing w:line="360" w:lineRule="auto"/>
        <w:rPr>
          <w:rStyle w:val="21"/>
          <w:rFonts w:ascii="黑体" w:hAnsi="黑体" w:eastAsia="黑体" w:cs="Times New Roman"/>
          <w:color w:val="auto"/>
          <w:sz w:val="28"/>
          <w:szCs w:val="28"/>
          <w:highlight w:val="none"/>
        </w:rPr>
      </w:pPr>
      <w:r>
        <w:rPr>
          <w:rStyle w:val="21"/>
          <w:rFonts w:hint="eastAsia" w:ascii="黑体" w:hAnsi="黑体" w:eastAsia="黑体" w:cs="Times New Roman"/>
          <w:color w:val="auto"/>
          <w:sz w:val="28"/>
          <w:szCs w:val="28"/>
          <w:highlight w:val="none"/>
        </w:rPr>
        <w:t>施工组织设计应附的文字说明及附图见下表(不限于，仅供参考)：</w:t>
      </w:r>
    </w:p>
    <w:tbl>
      <w:tblPr>
        <w:tblStyle w:val="19"/>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709"/>
        <w:gridCol w:w="5948"/>
        <w:gridCol w:w="2415"/>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709" w:type="dxa"/>
            <w:noWrap w:val="0"/>
            <w:vAlign w:val="center"/>
          </w:tcPr>
          <w:p>
            <w:pPr>
              <w:pStyle w:val="70"/>
              <w:widowControl w:val="0"/>
              <w:spacing w:line="360" w:lineRule="auto"/>
              <w:jc w:val="center"/>
              <w:rPr>
                <w:rStyle w:val="21"/>
                <w:rFonts w:hint="eastAsia" w:ascii="Calibri" w:hAnsi="Calibri" w:eastAsia="宋体" w:cs="Times New Roman"/>
                <w:color w:val="auto"/>
                <w:kern w:val="2"/>
                <w:sz w:val="24"/>
                <w:szCs w:val="22"/>
                <w:highlight w:val="none"/>
                <w:lang w:val="en-US" w:eastAsia="zh-CN" w:bidi="ar-SA"/>
              </w:rPr>
            </w:pPr>
            <w:r>
              <w:rPr>
                <w:rStyle w:val="21"/>
                <w:rFonts w:hint="eastAsia" w:ascii="Calibri" w:hAnsi="Calibri" w:eastAsia="宋体" w:cs="Times New Roman"/>
                <w:color w:val="auto"/>
                <w:kern w:val="2"/>
                <w:sz w:val="24"/>
                <w:szCs w:val="22"/>
                <w:highlight w:val="none"/>
                <w:lang w:val="en-US" w:eastAsia="zh-CN" w:bidi="ar-SA"/>
              </w:rPr>
              <w:t>序号</w:t>
            </w:r>
          </w:p>
        </w:tc>
        <w:tc>
          <w:tcPr>
            <w:tcW w:w="5948" w:type="dxa"/>
            <w:noWrap w:val="0"/>
            <w:vAlign w:val="center"/>
          </w:tcPr>
          <w:p>
            <w:pPr>
              <w:pStyle w:val="70"/>
              <w:widowControl w:val="0"/>
              <w:spacing w:line="360" w:lineRule="auto"/>
              <w:jc w:val="center"/>
              <w:rPr>
                <w:rStyle w:val="21"/>
                <w:rFonts w:hint="eastAsia" w:ascii="Calibri" w:hAnsi="Calibri" w:eastAsia="宋体" w:cs="Times New Roman"/>
                <w:color w:val="auto"/>
                <w:kern w:val="2"/>
                <w:sz w:val="24"/>
                <w:szCs w:val="22"/>
                <w:highlight w:val="none"/>
                <w:lang w:val="en-US" w:eastAsia="zh-CN" w:bidi="ar-SA"/>
              </w:rPr>
            </w:pPr>
            <w:r>
              <w:rPr>
                <w:rStyle w:val="21"/>
                <w:rFonts w:hint="eastAsia" w:ascii="Calibri" w:hAnsi="Calibri" w:eastAsia="宋体" w:cs="Times New Roman"/>
                <w:color w:val="auto"/>
                <w:kern w:val="2"/>
                <w:sz w:val="24"/>
                <w:szCs w:val="22"/>
                <w:highlight w:val="none"/>
                <w:lang w:val="en-US" w:eastAsia="zh-CN" w:bidi="ar-SA"/>
              </w:rPr>
              <w:t>名称</w:t>
            </w:r>
          </w:p>
        </w:tc>
        <w:tc>
          <w:tcPr>
            <w:tcW w:w="2415" w:type="dxa"/>
            <w:noWrap w:val="0"/>
            <w:vAlign w:val="center"/>
          </w:tcPr>
          <w:p>
            <w:pPr>
              <w:pStyle w:val="70"/>
              <w:widowControl w:val="0"/>
              <w:spacing w:line="360" w:lineRule="auto"/>
              <w:jc w:val="center"/>
              <w:rPr>
                <w:rStyle w:val="21"/>
                <w:rFonts w:ascii="Calibri" w:hAnsi="Calibri" w:eastAsia="宋体" w:cs="Times New Roman"/>
                <w:color w:val="auto"/>
                <w:kern w:val="2"/>
                <w:sz w:val="24"/>
                <w:szCs w:val="22"/>
                <w:highlight w:val="none"/>
                <w:lang w:val="en-US" w:eastAsia="zh-CN" w:bidi="ar-SA"/>
              </w:rPr>
            </w:pPr>
            <w:r>
              <w:rPr>
                <w:rStyle w:val="21"/>
                <w:rFonts w:hint="eastAsia" w:ascii="Calibri" w:hAnsi="Calibri" w:eastAsia="宋体" w:cs="Times New Roman"/>
                <w:color w:val="auto"/>
                <w:kern w:val="2"/>
                <w:sz w:val="24"/>
                <w:szCs w:val="22"/>
                <w:highlight w:val="none"/>
                <w:lang w:val="en-US" w:eastAsia="zh-CN" w:bidi="ar-SA"/>
              </w:rPr>
              <w:t>备注</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709" w:type="dxa"/>
            <w:noWrap w:val="0"/>
            <w:vAlign w:val="center"/>
          </w:tcPr>
          <w:p>
            <w:pPr>
              <w:pStyle w:val="70"/>
              <w:widowControl w:val="0"/>
              <w:spacing w:line="360" w:lineRule="auto"/>
              <w:jc w:val="center"/>
              <w:rPr>
                <w:rStyle w:val="21"/>
                <w:rFonts w:hint="eastAsia" w:ascii="Calibri" w:hAnsi="Calibri" w:eastAsia="宋体" w:cs="Times New Roman"/>
                <w:color w:val="auto"/>
                <w:kern w:val="2"/>
                <w:sz w:val="24"/>
                <w:szCs w:val="22"/>
                <w:highlight w:val="none"/>
                <w:lang w:val="en-US" w:eastAsia="zh-CN" w:bidi="ar-SA"/>
              </w:rPr>
            </w:pPr>
            <w:r>
              <w:rPr>
                <w:rStyle w:val="21"/>
                <w:rFonts w:hint="eastAsia" w:ascii="Calibri" w:hAnsi="Calibri" w:eastAsia="宋体" w:cs="Times New Roman"/>
                <w:color w:val="auto"/>
                <w:kern w:val="2"/>
                <w:sz w:val="24"/>
                <w:szCs w:val="22"/>
                <w:highlight w:val="none"/>
                <w:lang w:val="en-US" w:eastAsia="zh-CN" w:bidi="ar-SA"/>
              </w:rPr>
              <w:t>1</w:t>
            </w:r>
          </w:p>
        </w:tc>
        <w:tc>
          <w:tcPr>
            <w:tcW w:w="5948" w:type="dxa"/>
            <w:noWrap w:val="0"/>
            <w:vAlign w:val="top"/>
          </w:tcPr>
          <w:p>
            <w:pPr>
              <w:pStyle w:val="70"/>
              <w:widowControl w:val="0"/>
              <w:spacing w:line="360" w:lineRule="auto"/>
              <w:jc w:val="both"/>
              <w:rPr>
                <w:rStyle w:val="21"/>
                <w:rFonts w:hint="eastAsia" w:ascii="Calibri" w:hAnsi="Calibri" w:eastAsia="宋体" w:cs="Times New Roman"/>
                <w:color w:val="auto"/>
                <w:kern w:val="2"/>
                <w:sz w:val="24"/>
                <w:szCs w:val="22"/>
                <w:highlight w:val="none"/>
                <w:lang w:val="en-US" w:eastAsia="zh-CN" w:bidi="ar-SA"/>
              </w:rPr>
            </w:pPr>
            <w:r>
              <w:rPr>
                <w:rStyle w:val="21"/>
                <w:rFonts w:hint="eastAsia" w:ascii="Calibri" w:hAnsi="Calibri" w:eastAsia="宋体" w:cs="Times New Roman"/>
                <w:color w:val="auto"/>
                <w:kern w:val="2"/>
                <w:sz w:val="24"/>
                <w:szCs w:val="22"/>
                <w:highlight w:val="none"/>
                <w:lang w:val="en-US" w:eastAsia="zh-CN" w:bidi="ar-SA"/>
              </w:rPr>
              <w:t>施工围堰设计</w:t>
            </w:r>
            <w:r>
              <w:rPr>
                <w:rStyle w:val="21"/>
                <w:rFonts w:hint="eastAsia" w:ascii="宋体" w:hAnsi="宋体" w:eastAsia="宋体" w:cs="Times New Roman"/>
                <w:color w:val="auto"/>
                <w:kern w:val="2"/>
                <w:sz w:val="24"/>
                <w:szCs w:val="22"/>
                <w:highlight w:val="none"/>
                <w:lang w:val="en-US" w:eastAsia="zh-CN" w:bidi="ar-SA"/>
              </w:rPr>
              <w:t>说明书及附图(包括加高、维护、拆除)</w:t>
            </w:r>
          </w:p>
        </w:tc>
        <w:tc>
          <w:tcPr>
            <w:tcW w:w="2415" w:type="dxa"/>
            <w:noWrap w:val="0"/>
            <w:vAlign w:val="top"/>
          </w:tcPr>
          <w:p>
            <w:pPr>
              <w:pStyle w:val="70"/>
              <w:widowControl w:val="0"/>
              <w:spacing w:line="360" w:lineRule="auto"/>
              <w:jc w:val="both"/>
              <w:rPr>
                <w:rStyle w:val="21"/>
                <w:rFonts w:hint="eastAsia" w:ascii="Calibri" w:hAnsi="Calibri" w:eastAsia="宋体" w:cs="Times New Roman"/>
                <w:color w:val="auto"/>
                <w:kern w:val="2"/>
                <w:sz w:val="24"/>
                <w:szCs w:val="22"/>
                <w:highlight w:val="none"/>
                <w:lang w:val="en-US" w:eastAsia="zh-CN" w:bidi="ar-SA"/>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709" w:type="dxa"/>
            <w:noWrap w:val="0"/>
            <w:vAlign w:val="center"/>
          </w:tcPr>
          <w:p>
            <w:pPr>
              <w:pStyle w:val="70"/>
              <w:widowControl w:val="0"/>
              <w:spacing w:line="360" w:lineRule="auto"/>
              <w:jc w:val="center"/>
              <w:rPr>
                <w:rStyle w:val="21"/>
                <w:rFonts w:hint="eastAsia" w:ascii="Calibri" w:hAnsi="Calibri" w:eastAsia="宋体" w:cs="Times New Roman"/>
                <w:color w:val="auto"/>
                <w:kern w:val="2"/>
                <w:sz w:val="24"/>
                <w:szCs w:val="22"/>
                <w:highlight w:val="none"/>
                <w:lang w:val="en-US" w:eastAsia="zh-CN" w:bidi="ar-SA"/>
              </w:rPr>
            </w:pPr>
            <w:r>
              <w:rPr>
                <w:rStyle w:val="21"/>
                <w:rFonts w:hint="eastAsia" w:ascii="Calibri" w:hAnsi="Calibri" w:eastAsia="宋体" w:cs="Times New Roman"/>
                <w:color w:val="auto"/>
                <w:kern w:val="2"/>
                <w:sz w:val="24"/>
                <w:szCs w:val="22"/>
                <w:highlight w:val="none"/>
                <w:lang w:val="en-US" w:eastAsia="zh-CN" w:bidi="ar-SA"/>
              </w:rPr>
              <w:t>2</w:t>
            </w:r>
          </w:p>
        </w:tc>
        <w:tc>
          <w:tcPr>
            <w:tcW w:w="5948" w:type="dxa"/>
            <w:noWrap w:val="0"/>
            <w:vAlign w:val="top"/>
          </w:tcPr>
          <w:p>
            <w:pPr>
              <w:pStyle w:val="70"/>
              <w:widowControl w:val="0"/>
              <w:spacing w:line="360" w:lineRule="auto"/>
              <w:jc w:val="both"/>
              <w:rPr>
                <w:rStyle w:val="21"/>
                <w:rFonts w:hint="eastAsia" w:ascii="Calibri" w:hAnsi="Calibri" w:eastAsia="宋体" w:cs="Times New Roman"/>
                <w:color w:val="auto"/>
                <w:kern w:val="2"/>
                <w:sz w:val="24"/>
                <w:szCs w:val="22"/>
                <w:highlight w:val="none"/>
                <w:lang w:val="en-US" w:eastAsia="zh-CN" w:bidi="ar-SA"/>
              </w:rPr>
            </w:pPr>
            <w:r>
              <w:rPr>
                <w:rStyle w:val="21"/>
                <w:rFonts w:hint="eastAsia" w:ascii="Calibri" w:hAnsi="Calibri" w:eastAsia="宋体" w:cs="Times New Roman"/>
                <w:color w:val="auto"/>
                <w:kern w:val="2"/>
                <w:sz w:val="24"/>
                <w:szCs w:val="22"/>
                <w:highlight w:val="none"/>
                <w:lang w:val="en-US" w:eastAsia="zh-CN" w:bidi="ar-SA"/>
              </w:rPr>
              <w:t>施工排水设计说明书</w:t>
            </w:r>
            <w:r>
              <w:rPr>
                <w:rStyle w:val="21"/>
                <w:rFonts w:hint="eastAsia" w:ascii="宋体" w:hAnsi="宋体" w:eastAsia="宋体" w:cs="Times New Roman"/>
                <w:color w:val="auto"/>
                <w:kern w:val="2"/>
                <w:sz w:val="24"/>
                <w:szCs w:val="22"/>
                <w:highlight w:val="none"/>
                <w:lang w:val="en-US" w:eastAsia="zh-CN" w:bidi="ar-SA"/>
              </w:rPr>
              <w:t>及附图(包括降水方案、场地排水等)</w:t>
            </w:r>
          </w:p>
        </w:tc>
        <w:tc>
          <w:tcPr>
            <w:tcW w:w="2415" w:type="dxa"/>
            <w:noWrap w:val="0"/>
            <w:vAlign w:val="top"/>
          </w:tcPr>
          <w:p>
            <w:pPr>
              <w:pStyle w:val="70"/>
              <w:widowControl w:val="0"/>
              <w:spacing w:line="360" w:lineRule="auto"/>
              <w:jc w:val="both"/>
              <w:rPr>
                <w:rStyle w:val="21"/>
                <w:rFonts w:hint="eastAsia" w:ascii="Calibri" w:hAnsi="Calibri" w:eastAsia="宋体" w:cs="Times New Roman"/>
                <w:color w:val="auto"/>
                <w:kern w:val="2"/>
                <w:sz w:val="24"/>
                <w:szCs w:val="22"/>
                <w:highlight w:val="none"/>
                <w:lang w:val="en-US" w:eastAsia="zh-CN" w:bidi="ar-SA"/>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709" w:type="dxa"/>
            <w:noWrap w:val="0"/>
            <w:vAlign w:val="center"/>
          </w:tcPr>
          <w:p>
            <w:pPr>
              <w:pStyle w:val="70"/>
              <w:widowControl w:val="0"/>
              <w:spacing w:line="360" w:lineRule="auto"/>
              <w:jc w:val="center"/>
              <w:rPr>
                <w:rStyle w:val="21"/>
                <w:rFonts w:hint="eastAsia" w:ascii="Calibri" w:hAnsi="Calibri" w:eastAsia="宋体" w:cs="Times New Roman"/>
                <w:color w:val="auto"/>
                <w:kern w:val="2"/>
                <w:sz w:val="24"/>
                <w:szCs w:val="22"/>
                <w:highlight w:val="none"/>
                <w:lang w:val="en-US" w:eastAsia="zh-CN" w:bidi="ar-SA"/>
              </w:rPr>
            </w:pPr>
            <w:r>
              <w:rPr>
                <w:rStyle w:val="21"/>
                <w:rFonts w:hint="eastAsia" w:ascii="Calibri" w:hAnsi="Calibri" w:eastAsia="宋体" w:cs="Times New Roman"/>
                <w:color w:val="auto"/>
                <w:kern w:val="2"/>
                <w:sz w:val="24"/>
                <w:szCs w:val="22"/>
                <w:highlight w:val="none"/>
                <w:lang w:val="en-US" w:eastAsia="zh-CN" w:bidi="ar-SA"/>
              </w:rPr>
              <w:t>3</w:t>
            </w:r>
          </w:p>
        </w:tc>
        <w:tc>
          <w:tcPr>
            <w:tcW w:w="5948" w:type="dxa"/>
            <w:noWrap w:val="0"/>
            <w:vAlign w:val="top"/>
          </w:tcPr>
          <w:p>
            <w:pPr>
              <w:pStyle w:val="70"/>
              <w:widowControl w:val="0"/>
              <w:spacing w:line="360" w:lineRule="auto"/>
              <w:jc w:val="both"/>
              <w:rPr>
                <w:rStyle w:val="21"/>
                <w:rFonts w:hint="eastAsia" w:ascii="Calibri" w:hAnsi="Calibri" w:eastAsia="宋体" w:cs="Times New Roman"/>
                <w:color w:val="auto"/>
                <w:kern w:val="2"/>
                <w:sz w:val="24"/>
                <w:szCs w:val="22"/>
                <w:highlight w:val="none"/>
                <w:lang w:val="en-US" w:eastAsia="zh-CN" w:bidi="ar-SA"/>
              </w:rPr>
            </w:pPr>
            <w:r>
              <w:rPr>
                <w:rStyle w:val="21"/>
                <w:rFonts w:hint="eastAsia" w:ascii="Calibri" w:hAnsi="Calibri" w:eastAsia="宋体" w:cs="Times New Roman"/>
                <w:color w:val="auto"/>
                <w:kern w:val="2"/>
                <w:sz w:val="24"/>
                <w:szCs w:val="22"/>
                <w:highlight w:val="none"/>
                <w:lang w:val="en-US" w:eastAsia="zh-CN" w:bidi="ar-SA"/>
              </w:rPr>
              <w:t>材料采</w:t>
            </w:r>
            <w:r>
              <w:rPr>
                <w:rStyle w:val="21"/>
                <w:rFonts w:hint="eastAsia" w:ascii="宋体" w:hAnsi="宋体" w:eastAsia="宋体" w:cs="Times New Roman"/>
                <w:color w:val="auto"/>
                <w:kern w:val="2"/>
                <w:sz w:val="24"/>
                <w:szCs w:val="22"/>
                <w:highlight w:val="none"/>
                <w:lang w:val="en-US" w:eastAsia="zh-CN" w:bidi="ar-SA"/>
              </w:rPr>
              <w:t>购(黄砂、碎石、块石的产地、矿名等均应明示，钢材、水泥的生产厂家，转运方案：卸料、短驳、运输、道路维护等)</w:t>
            </w:r>
          </w:p>
        </w:tc>
        <w:tc>
          <w:tcPr>
            <w:tcW w:w="2415" w:type="dxa"/>
            <w:noWrap w:val="0"/>
            <w:vAlign w:val="top"/>
          </w:tcPr>
          <w:p>
            <w:pPr>
              <w:pStyle w:val="70"/>
              <w:widowControl w:val="0"/>
              <w:spacing w:line="360" w:lineRule="auto"/>
              <w:jc w:val="both"/>
              <w:rPr>
                <w:rStyle w:val="21"/>
                <w:rFonts w:hint="eastAsia" w:ascii="Calibri" w:hAnsi="Calibri" w:eastAsia="宋体" w:cs="Times New Roman"/>
                <w:color w:val="auto"/>
                <w:kern w:val="2"/>
                <w:sz w:val="24"/>
                <w:szCs w:val="22"/>
                <w:highlight w:val="none"/>
                <w:lang w:val="en-US" w:eastAsia="zh-CN" w:bidi="ar-SA"/>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709" w:type="dxa"/>
            <w:noWrap w:val="0"/>
            <w:vAlign w:val="center"/>
          </w:tcPr>
          <w:p>
            <w:pPr>
              <w:pStyle w:val="70"/>
              <w:widowControl w:val="0"/>
              <w:spacing w:line="360" w:lineRule="auto"/>
              <w:jc w:val="center"/>
              <w:rPr>
                <w:rStyle w:val="21"/>
                <w:rFonts w:hint="eastAsia" w:ascii="Calibri" w:hAnsi="Calibri" w:eastAsia="宋体" w:cs="Times New Roman"/>
                <w:color w:val="auto"/>
                <w:kern w:val="2"/>
                <w:sz w:val="24"/>
                <w:szCs w:val="22"/>
                <w:highlight w:val="none"/>
                <w:lang w:val="en-US" w:eastAsia="zh-CN" w:bidi="ar-SA"/>
              </w:rPr>
            </w:pPr>
            <w:r>
              <w:rPr>
                <w:rStyle w:val="21"/>
                <w:rFonts w:hint="eastAsia" w:ascii="Calibri" w:hAnsi="Calibri" w:eastAsia="宋体" w:cs="Times New Roman"/>
                <w:color w:val="auto"/>
                <w:kern w:val="2"/>
                <w:sz w:val="24"/>
                <w:szCs w:val="22"/>
                <w:highlight w:val="none"/>
                <w:lang w:val="en-US" w:eastAsia="zh-CN" w:bidi="ar-SA"/>
              </w:rPr>
              <w:t>4</w:t>
            </w:r>
          </w:p>
        </w:tc>
        <w:tc>
          <w:tcPr>
            <w:tcW w:w="5948" w:type="dxa"/>
            <w:noWrap w:val="0"/>
            <w:vAlign w:val="top"/>
          </w:tcPr>
          <w:p>
            <w:pPr>
              <w:pStyle w:val="70"/>
              <w:widowControl w:val="0"/>
              <w:spacing w:line="360" w:lineRule="auto"/>
              <w:jc w:val="both"/>
              <w:rPr>
                <w:rStyle w:val="21"/>
                <w:rFonts w:hint="eastAsia" w:ascii="Calibri" w:hAnsi="Calibri" w:eastAsia="宋体" w:cs="Times New Roman"/>
                <w:color w:val="auto"/>
                <w:kern w:val="2"/>
                <w:sz w:val="24"/>
                <w:szCs w:val="22"/>
                <w:highlight w:val="none"/>
                <w:lang w:val="en-US" w:eastAsia="zh-CN" w:bidi="ar-SA"/>
              </w:rPr>
            </w:pPr>
            <w:r>
              <w:rPr>
                <w:rStyle w:val="21"/>
                <w:rFonts w:hint="eastAsia" w:ascii="Calibri" w:hAnsi="Calibri" w:eastAsia="宋体" w:cs="Times New Roman"/>
                <w:color w:val="auto"/>
                <w:kern w:val="2"/>
                <w:sz w:val="24"/>
                <w:szCs w:val="22"/>
                <w:highlight w:val="none"/>
                <w:lang w:val="en-US" w:eastAsia="zh-CN" w:bidi="ar-SA"/>
              </w:rPr>
              <w:t>土方工程施工说明书及附</w:t>
            </w:r>
            <w:r>
              <w:rPr>
                <w:rStyle w:val="21"/>
                <w:rFonts w:hint="eastAsia" w:ascii="宋体" w:hAnsi="宋体" w:eastAsia="宋体" w:cs="Times New Roman"/>
                <w:color w:val="auto"/>
                <w:kern w:val="2"/>
                <w:sz w:val="24"/>
                <w:szCs w:val="22"/>
                <w:highlight w:val="none"/>
                <w:lang w:val="en-US" w:eastAsia="zh-CN" w:bidi="ar-SA"/>
              </w:rPr>
              <w:t>图(施工工艺及质量保证措施和有关试验要求，施工进度工期计划等)</w:t>
            </w:r>
          </w:p>
        </w:tc>
        <w:tc>
          <w:tcPr>
            <w:tcW w:w="2415" w:type="dxa"/>
            <w:noWrap w:val="0"/>
            <w:vAlign w:val="top"/>
          </w:tcPr>
          <w:p>
            <w:pPr>
              <w:pStyle w:val="70"/>
              <w:widowControl w:val="0"/>
              <w:spacing w:line="360" w:lineRule="auto"/>
              <w:jc w:val="both"/>
              <w:rPr>
                <w:rStyle w:val="21"/>
                <w:rFonts w:hint="eastAsia" w:ascii="Calibri" w:hAnsi="Calibri" w:eastAsia="宋体" w:cs="Times New Roman"/>
                <w:color w:val="auto"/>
                <w:kern w:val="2"/>
                <w:sz w:val="24"/>
                <w:szCs w:val="22"/>
                <w:highlight w:val="none"/>
                <w:lang w:val="en-US" w:eastAsia="zh-CN" w:bidi="ar-SA"/>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709" w:type="dxa"/>
            <w:noWrap w:val="0"/>
            <w:vAlign w:val="center"/>
          </w:tcPr>
          <w:p>
            <w:pPr>
              <w:pStyle w:val="70"/>
              <w:widowControl w:val="0"/>
              <w:spacing w:line="360" w:lineRule="auto"/>
              <w:jc w:val="center"/>
              <w:rPr>
                <w:rStyle w:val="21"/>
                <w:rFonts w:hint="eastAsia" w:ascii="Calibri" w:hAnsi="Calibri" w:eastAsia="宋体" w:cs="Times New Roman"/>
                <w:color w:val="auto"/>
                <w:kern w:val="2"/>
                <w:sz w:val="24"/>
                <w:szCs w:val="22"/>
                <w:highlight w:val="none"/>
                <w:lang w:val="en-US" w:eastAsia="zh-CN" w:bidi="ar-SA"/>
              </w:rPr>
            </w:pPr>
            <w:r>
              <w:rPr>
                <w:rStyle w:val="21"/>
                <w:rFonts w:hint="eastAsia" w:ascii="Calibri" w:hAnsi="Calibri" w:eastAsia="宋体" w:cs="Times New Roman"/>
                <w:color w:val="auto"/>
                <w:kern w:val="2"/>
                <w:sz w:val="24"/>
                <w:szCs w:val="22"/>
                <w:highlight w:val="none"/>
                <w:lang w:val="en-US" w:eastAsia="zh-CN" w:bidi="ar-SA"/>
              </w:rPr>
              <w:t>5</w:t>
            </w:r>
          </w:p>
        </w:tc>
        <w:tc>
          <w:tcPr>
            <w:tcW w:w="5948" w:type="dxa"/>
            <w:noWrap w:val="0"/>
            <w:vAlign w:val="top"/>
          </w:tcPr>
          <w:p>
            <w:pPr>
              <w:pStyle w:val="70"/>
              <w:widowControl w:val="0"/>
              <w:spacing w:line="360" w:lineRule="auto"/>
              <w:jc w:val="both"/>
              <w:rPr>
                <w:rStyle w:val="21"/>
                <w:rFonts w:hint="eastAsia" w:ascii="宋体" w:hAnsi="宋体" w:eastAsia="宋体" w:cs="Times New Roman"/>
                <w:color w:val="auto"/>
                <w:kern w:val="2"/>
                <w:sz w:val="24"/>
                <w:szCs w:val="22"/>
                <w:highlight w:val="none"/>
                <w:lang w:val="en-US" w:eastAsia="zh-CN" w:bidi="ar-SA"/>
              </w:rPr>
            </w:pPr>
            <w:r>
              <w:rPr>
                <w:rStyle w:val="21"/>
                <w:rFonts w:hint="eastAsia" w:ascii="宋体" w:hAnsi="宋体" w:eastAsia="宋体" w:cs="Times New Roman"/>
                <w:color w:val="auto"/>
                <w:kern w:val="2"/>
                <w:sz w:val="24"/>
                <w:szCs w:val="22"/>
                <w:highlight w:val="none"/>
                <w:lang w:val="en-US" w:eastAsia="zh-CN" w:bidi="ar-SA"/>
              </w:rPr>
              <w:t>基坑支护、地基加固工程施工说明书及附图(施工工艺及质量保证措施和有关试验要求，施工进度工期计划等)</w:t>
            </w:r>
          </w:p>
        </w:tc>
        <w:tc>
          <w:tcPr>
            <w:tcW w:w="2415" w:type="dxa"/>
            <w:noWrap w:val="0"/>
            <w:vAlign w:val="top"/>
          </w:tcPr>
          <w:p>
            <w:pPr>
              <w:pStyle w:val="70"/>
              <w:widowControl w:val="0"/>
              <w:spacing w:line="360" w:lineRule="auto"/>
              <w:jc w:val="both"/>
              <w:rPr>
                <w:rStyle w:val="21"/>
                <w:rFonts w:hint="eastAsia" w:ascii="Calibri" w:hAnsi="Calibri" w:eastAsia="宋体" w:cs="Times New Roman"/>
                <w:color w:val="auto"/>
                <w:kern w:val="2"/>
                <w:sz w:val="24"/>
                <w:szCs w:val="22"/>
                <w:highlight w:val="none"/>
                <w:lang w:val="en-US" w:eastAsia="zh-CN" w:bidi="ar-SA"/>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709" w:type="dxa"/>
            <w:noWrap w:val="0"/>
            <w:vAlign w:val="center"/>
          </w:tcPr>
          <w:p>
            <w:pPr>
              <w:pStyle w:val="70"/>
              <w:widowControl w:val="0"/>
              <w:spacing w:line="360" w:lineRule="auto"/>
              <w:jc w:val="center"/>
              <w:rPr>
                <w:rStyle w:val="21"/>
                <w:rFonts w:hint="eastAsia" w:ascii="Calibri" w:hAnsi="Calibri" w:eastAsia="宋体" w:cs="Times New Roman"/>
                <w:color w:val="auto"/>
                <w:kern w:val="2"/>
                <w:sz w:val="24"/>
                <w:szCs w:val="22"/>
                <w:highlight w:val="none"/>
                <w:lang w:val="en-US" w:eastAsia="zh-CN" w:bidi="ar-SA"/>
              </w:rPr>
            </w:pPr>
            <w:r>
              <w:rPr>
                <w:rStyle w:val="21"/>
                <w:rFonts w:hint="eastAsia" w:ascii="Calibri" w:hAnsi="Calibri" w:eastAsia="宋体" w:cs="Times New Roman"/>
                <w:color w:val="auto"/>
                <w:kern w:val="2"/>
                <w:sz w:val="24"/>
                <w:szCs w:val="22"/>
                <w:highlight w:val="none"/>
                <w:lang w:val="en-US" w:eastAsia="zh-CN" w:bidi="ar-SA"/>
              </w:rPr>
              <w:t>6</w:t>
            </w:r>
          </w:p>
        </w:tc>
        <w:tc>
          <w:tcPr>
            <w:tcW w:w="5948" w:type="dxa"/>
            <w:noWrap w:val="0"/>
            <w:vAlign w:val="top"/>
          </w:tcPr>
          <w:p>
            <w:pPr>
              <w:pStyle w:val="70"/>
              <w:widowControl w:val="0"/>
              <w:spacing w:line="360" w:lineRule="auto"/>
              <w:jc w:val="both"/>
              <w:rPr>
                <w:rStyle w:val="21"/>
                <w:rFonts w:hint="eastAsia" w:ascii="宋体" w:hAnsi="宋体" w:eastAsia="宋体" w:cs="Times New Roman"/>
                <w:color w:val="auto"/>
                <w:kern w:val="2"/>
                <w:sz w:val="24"/>
                <w:szCs w:val="22"/>
                <w:highlight w:val="none"/>
                <w:lang w:val="en-US" w:eastAsia="zh-CN" w:bidi="ar-SA"/>
              </w:rPr>
            </w:pPr>
            <w:r>
              <w:rPr>
                <w:rStyle w:val="21"/>
                <w:rFonts w:hint="eastAsia" w:ascii="宋体" w:hAnsi="宋体" w:eastAsia="宋体" w:cs="Times New Roman"/>
                <w:color w:val="auto"/>
                <w:kern w:val="2"/>
                <w:sz w:val="24"/>
                <w:szCs w:val="22"/>
                <w:highlight w:val="none"/>
                <w:lang w:val="en-US" w:eastAsia="zh-CN" w:bidi="ar-SA"/>
              </w:rPr>
              <w:t>主体建筑物工程施工说明书及附图(施工工艺及质量保证措施和有关试验要求，施工进度工期计划等)</w:t>
            </w:r>
          </w:p>
        </w:tc>
        <w:tc>
          <w:tcPr>
            <w:tcW w:w="2415" w:type="dxa"/>
            <w:noWrap w:val="0"/>
            <w:vAlign w:val="top"/>
          </w:tcPr>
          <w:p>
            <w:pPr>
              <w:pStyle w:val="70"/>
              <w:widowControl w:val="0"/>
              <w:spacing w:line="360" w:lineRule="auto"/>
              <w:jc w:val="both"/>
              <w:rPr>
                <w:rStyle w:val="21"/>
                <w:rFonts w:hint="eastAsia" w:ascii="Calibri" w:hAnsi="Calibri" w:eastAsia="宋体" w:cs="Times New Roman"/>
                <w:color w:val="auto"/>
                <w:kern w:val="2"/>
                <w:sz w:val="24"/>
                <w:szCs w:val="22"/>
                <w:highlight w:val="none"/>
                <w:lang w:val="en-US" w:eastAsia="zh-CN" w:bidi="ar-SA"/>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709" w:type="dxa"/>
            <w:noWrap w:val="0"/>
            <w:vAlign w:val="center"/>
          </w:tcPr>
          <w:p>
            <w:pPr>
              <w:pStyle w:val="70"/>
              <w:widowControl w:val="0"/>
              <w:spacing w:line="360" w:lineRule="auto"/>
              <w:jc w:val="center"/>
              <w:rPr>
                <w:rStyle w:val="21"/>
                <w:rFonts w:hint="eastAsia" w:ascii="Calibri" w:hAnsi="Calibri" w:eastAsia="宋体" w:cs="Times New Roman"/>
                <w:color w:val="auto"/>
                <w:kern w:val="2"/>
                <w:sz w:val="24"/>
                <w:szCs w:val="22"/>
                <w:highlight w:val="none"/>
                <w:lang w:val="en-US" w:eastAsia="zh-CN" w:bidi="ar-SA"/>
              </w:rPr>
            </w:pPr>
            <w:r>
              <w:rPr>
                <w:rStyle w:val="21"/>
                <w:rFonts w:hint="eastAsia" w:ascii="Calibri" w:hAnsi="Calibri" w:eastAsia="宋体" w:cs="Times New Roman"/>
                <w:color w:val="auto"/>
                <w:kern w:val="2"/>
                <w:sz w:val="24"/>
                <w:szCs w:val="22"/>
                <w:highlight w:val="none"/>
                <w:lang w:val="en-US" w:eastAsia="zh-CN" w:bidi="ar-SA"/>
              </w:rPr>
              <w:t>7</w:t>
            </w:r>
          </w:p>
        </w:tc>
        <w:tc>
          <w:tcPr>
            <w:tcW w:w="5948" w:type="dxa"/>
            <w:noWrap w:val="0"/>
            <w:vAlign w:val="top"/>
          </w:tcPr>
          <w:p>
            <w:pPr>
              <w:pStyle w:val="70"/>
              <w:widowControl w:val="0"/>
              <w:spacing w:line="360" w:lineRule="auto"/>
              <w:jc w:val="both"/>
              <w:rPr>
                <w:rStyle w:val="21"/>
                <w:rFonts w:hint="eastAsia" w:ascii="Calibri" w:hAnsi="Calibri" w:eastAsia="宋体" w:cs="Times New Roman"/>
                <w:color w:val="auto"/>
                <w:kern w:val="2"/>
                <w:sz w:val="24"/>
                <w:szCs w:val="22"/>
                <w:highlight w:val="none"/>
                <w:lang w:val="en-US" w:eastAsia="zh-CN" w:bidi="ar-SA"/>
              </w:rPr>
            </w:pPr>
            <w:r>
              <w:rPr>
                <w:rStyle w:val="21"/>
                <w:rFonts w:hint="eastAsia" w:ascii="Calibri" w:hAnsi="Calibri" w:eastAsia="宋体" w:cs="Times New Roman"/>
                <w:color w:val="auto"/>
                <w:kern w:val="2"/>
                <w:sz w:val="24"/>
                <w:szCs w:val="22"/>
                <w:highlight w:val="none"/>
                <w:lang w:val="en-US" w:eastAsia="zh-CN" w:bidi="ar-SA"/>
              </w:rPr>
              <w:t>金属结构制造和安装计划、措施及附图</w:t>
            </w:r>
          </w:p>
        </w:tc>
        <w:tc>
          <w:tcPr>
            <w:tcW w:w="2415" w:type="dxa"/>
            <w:noWrap w:val="0"/>
            <w:vAlign w:val="top"/>
          </w:tcPr>
          <w:p>
            <w:pPr>
              <w:pStyle w:val="70"/>
              <w:widowControl w:val="0"/>
              <w:spacing w:line="360" w:lineRule="auto"/>
              <w:jc w:val="both"/>
              <w:rPr>
                <w:rStyle w:val="21"/>
                <w:rFonts w:hint="eastAsia" w:ascii="Calibri" w:hAnsi="Calibri" w:eastAsia="宋体" w:cs="Times New Roman"/>
                <w:color w:val="auto"/>
                <w:kern w:val="2"/>
                <w:sz w:val="24"/>
                <w:szCs w:val="22"/>
                <w:highlight w:val="none"/>
                <w:lang w:val="en-US" w:eastAsia="zh-CN" w:bidi="ar-SA"/>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709" w:type="dxa"/>
            <w:noWrap w:val="0"/>
            <w:vAlign w:val="center"/>
          </w:tcPr>
          <w:p>
            <w:pPr>
              <w:pStyle w:val="70"/>
              <w:widowControl w:val="0"/>
              <w:spacing w:line="360" w:lineRule="auto"/>
              <w:jc w:val="center"/>
              <w:rPr>
                <w:rStyle w:val="21"/>
                <w:rFonts w:hint="eastAsia" w:ascii="Calibri" w:hAnsi="Calibri" w:eastAsia="宋体" w:cs="Times New Roman"/>
                <w:color w:val="auto"/>
                <w:kern w:val="2"/>
                <w:sz w:val="24"/>
                <w:szCs w:val="22"/>
                <w:highlight w:val="none"/>
                <w:lang w:val="en-US" w:eastAsia="zh-CN" w:bidi="ar-SA"/>
              </w:rPr>
            </w:pPr>
            <w:r>
              <w:rPr>
                <w:rStyle w:val="21"/>
                <w:rFonts w:hint="eastAsia" w:ascii="Calibri" w:hAnsi="Calibri" w:eastAsia="宋体" w:cs="Times New Roman"/>
                <w:color w:val="auto"/>
                <w:kern w:val="2"/>
                <w:sz w:val="24"/>
                <w:szCs w:val="22"/>
                <w:highlight w:val="none"/>
                <w:lang w:val="en-US" w:eastAsia="zh-CN" w:bidi="ar-SA"/>
              </w:rPr>
              <w:t>8</w:t>
            </w:r>
          </w:p>
        </w:tc>
        <w:tc>
          <w:tcPr>
            <w:tcW w:w="5948" w:type="dxa"/>
            <w:noWrap w:val="0"/>
            <w:vAlign w:val="top"/>
          </w:tcPr>
          <w:p>
            <w:pPr>
              <w:pStyle w:val="70"/>
              <w:widowControl w:val="0"/>
              <w:spacing w:line="360" w:lineRule="auto"/>
              <w:jc w:val="both"/>
              <w:rPr>
                <w:rStyle w:val="21"/>
                <w:rFonts w:hint="eastAsia" w:ascii="Calibri" w:hAnsi="Calibri" w:eastAsia="宋体" w:cs="Times New Roman"/>
                <w:color w:val="auto"/>
                <w:kern w:val="2"/>
                <w:sz w:val="24"/>
                <w:szCs w:val="22"/>
                <w:highlight w:val="none"/>
                <w:lang w:val="en-US" w:eastAsia="zh-CN" w:bidi="ar-SA"/>
              </w:rPr>
            </w:pPr>
            <w:r>
              <w:rPr>
                <w:rStyle w:val="21"/>
                <w:rFonts w:hint="eastAsia" w:ascii="Calibri" w:hAnsi="Calibri" w:eastAsia="宋体" w:cs="Times New Roman"/>
                <w:color w:val="auto"/>
                <w:kern w:val="2"/>
                <w:sz w:val="24"/>
                <w:szCs w:val="22"/>
                <w:highlight w:val="none"/>
                <w:lang w:val="en-US" w:eastAsia="zh-CN" w:bidi="ar-SA"/>
              </w:rPr>
              <w:t>机电设备安装、调试方案、施工进度计划说明书</w:t>
            </w:r>
          </w:p>
        </w:tc>
        <w:tc>
          <w:tcPr>
            <w:tcW w:w="2415" w:type="dxa"/>
            <w:noWrap w:val="0"/>
            <w:vAlign w:val="top"/>
          </w:tcPr>
          <w:p>
            <w:pPr>
              <w:pStyle w:val="70"/>
              <w:widowControl w:val="0"/>
              <w:spacing w:line="360" w:lineRule="auto"/>
              <w:jc w:val="both"/>
              <w:rPr>
                <w:rStyle w:val="21"/>
                <w:rFonts w:hint="eastAsia" w:ascii="Calibri" w:hAnsi="Calibri" w:eastAsia="宋体" w:cs="Times New Roman"/>
                <w:color w:val="auto"/>
                <w:kern w:val="2"/>
                <w:sz w:val="24"/>
                <w:szCs w:val="22"/>
                <w:highlight w:val="none"/>
                <w:lang w:val="en-US" w:eastAsia="zh-CN" w:bidi="ar-SA"/>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709" w:type="dxa"/>
            <w:noWrap w:val="0"/>
            <w:vAlign w:val="center"/>
          </w:tcPr>
          <w:p>
            <w:pPr>
              <w:pStyle w:val="70"/>
              <w:widowControl w:val="0"/>
              <w:spacing w:line="360" w:lineRule="auto"/>
              <w:jc w:val="center"/>
              <w:rPr>
                <w:rStyle w:val="21"/>
                <w:rFonts w:hint="eastAsia" w:ascii="Calibri" w:hAnsi="Calibri" w:eastAsia="宋体" w:cs="Times New Roman"/>
                <w:color w:val="auto"/>
                <w:kern w:val="2"/>
                <w:sz w:val="24"/>
                <w:szCs w:val="22"/>
                <w:highlight w:val="none"/>
                <w:lang w:val="en-US" w:eastAsia="zh-CN" w:bidi="ar-SA"/>
              </w:rPr>
            </w:pPr>
            <w:r>
              <w:rPr>
                <w:rStyle w:val="21"/>
                <w:rFonts w:hint="eastAsia" w:ascii="Calibri" w:hAnsi="Calibri" w:eastAsia="宋体" w:cs="Times New Roman"/>
                <w:color w:val="auto"/>
                <w:kern w:val="2"/>
                <w:sz w:val="24"/>
                <w:szCs w:val="22"/>
                <w:highlight w:val="none"/>
                <w:lang w:val="en-US" w:eastAsia="zh-CN" w:bidi="ar-SA"/>
              </w:rPr>
              <w:t>9</w:t>
            </w:r>
          </w:p>
        </w:tc>
        <w:tc>
          <w:tcPr>
            <w:tcW w:w="5948" w:type="dxa"/>
            <w:noWrap w:val="0"/>
            <w:vAlign w:val="top"/>
          </w:tcPr>
          <w:p>
            <w:pPr>
              <w:pStyle w:val="70"/>
              <w:widowControl w:val="0"/>
              <w:spacing w:line="360" w:lineRule="auto"/>
              <w:jc w:val="both"/>
              <w:rPr>
                <w:rStyle w:val="21"/>
                <w:rFonts w:hint="eastAsia" w:ascii="Calibri" w:hAnsi="Calibri" w:eastAsia="宋体" w:cs="Times New Roman"/>
                <w:color w:val="auto"/>
                <w:kern w:val="2"/>
                <w:sz w:val="24"/>
                <w:szCs w:val="22"/>
                <w:highlight w:val="none"/>
                <w:lang w:val="en-US" w:eastAsia="zh-CN" w:bidi="ar-SA"/>
              </w:rPr>
            </w:pPr>
            <w:r>
              <w:rPr>
                <w:rStyle w:val="21"/>
                <w:rFonts w:hint="eastAsia" w:ascii="Calibri" w:hAnsi="Calibri" w:eastAsia="宋体" w:cs="Times New Roman"/>
                <w:color w:val="auto"/>
                <w:kern w:val="2"/>
                <w:sz w:val="24"/>
                <w:szCs w:val="22"/>
                <w:highlight w:val="none"/>
                <w:lang w:val="en-US" w:eastAsia="zh-CN" w:bidi="ar-SA"/>
              </w:rPr>
              <w:t>建</w:t>
            </w:r>
            <w:r>
              <w:rPr>
                <w:rStyle w:val="21"/>
                <w:rFonts w:hint="eastAsia" w:ascii="宋体" w:hAnsi="宋体" w:eastAsia="宋体" w:cs="Times New Roman"/>
                <w:color w:val="auto"/>
                <w:kern w:val="2"/>
                <w:sz w:val="24"/>
                <w:szCs w:val="22"/>
                <w:highlight w:val="none"/>
                <w:lang w:val="en-US" w:eastAsia="zh-CN" w:bidi="ar-SA"/>
              </w:rPr>
              <w:t>筑与装修工程施工说明书(施工工艺及质量保证措施，施工进度工期计划等)</w:t>
            </w:r>
          </w:p>
        </w:tc>
        <w:tc>
          <w:tcPr>
            <w:tcW w:w="2415" w:type="dxa"/>
            <w:noWrap w:val="0"/>
            <w:vAlign w:val="top"/>
          </w:tcPr>
          <w:p>
            <w:pPr>
              <w:pStyle w:val="70"/>
              <w:widowControl w:val="0"/>
              <w:spacing w:line="360" w:lineRule="auto"/>
              <w:jc w:val="both"/>
              <w:rPr>
                <w:rStyle w:val="21"/>
                <w:rFonts w:hint="eastAsia" w:ascii="Calibri" w:hAnsi="Calibri" w:eastAsia="宋体" w:cs="Times New Roman"/>
                <w:color w:val="auto"/>
                <w:kern w:val="2"/>
                <w:sz w:val="24"/>
                <w:szCs w:val="22"/>
                <w:highlight w:val="none"/>
                <w:lang w:val="en-US" w:eastAsia="zh-CN" w:bidi="ar-SA"/>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709" w:type="dxa"/>
            <w:noWrap w:val="0"/>
            <w:vAlign w:val="center"/>
          </w:tcPr>
          <w:p>
            <w:pPr>
              <w:pStyle w:val="70"/>
              <w:widowControl w:val="0"/>
              <w:spacing w:line="360" w:lineRule="auto"/>
              <w:jc w:val="center"/>
              <w:rPr>
                <w:rStyle w:val="21"/>
                <w:rFonts w:hint="eastAsia" w:ascii="Calibri" w:hAnsi="Calibri" w:eastAsia="宋体" w:cs="Times New Roman"/>
                <w:color w:val="auto"/>
                <w:kern w:val="2"/>
                <w:sz w:val="24"/>
                <w:szCs w:val="22"/>
                <w:highlight w:val="none"/>
                <w:lang w:val="en-US" w:eastAsia="zh-CN" w:bidi="ar-SA"/>
              </w:rPr>
            </w:pPr>
            <w:r>
              <w:rPr>
                <w:rStyle w:val="21"/>
                <w:rFonts w:hint="eastAsia" w:ascii="Calibri" w:hAnsi="Calibri" w:eastAsia="宋体" w:cs="Times New Roman"/>
                <w:color w:val="auto"/>
                <w:kern w:val="2"/>
                <w:sz w:val="24"/>
                <w:szCs w:val="22"/>
                <w:highlight w:val="none"/>
                <w:lang w:val="en-US" w:eastAsia="zh-CN" w:bidi="ar-SA"/>
              </w:rPr>
              <w:t>10</w:t>
            </w:r>
          </w:p>
        </w:tc>
        <w:tc>
          <w:tcPr>
            <w:tcW w:w="5948" w:type="dxa"/>
            <w:noWrap w:val="0"/>
            <w:vAlign w:val="top"/>
          </w:tcPr>
          <w:p>
            <w:pPr>
              <w:pStyle w:val="70"/>
              <w:widowControl w:val="0"/>
              <w:spacing w:line="360" w:lineRule="auto"/>
              <w:jc w:val="both"/>
              <w:rPr>
                <w:rStyle w:val="21"/>
                <w:rFonts w:hint="eastAsia" w:ascii="Calibri" w:hAnsi="Calibri" w:eastAsia="宋体" w:cs="Times New Roman"/>
                <w:color w:val="auto"/>
                <w:kern w:val="2"/>
                <w:sz w:val="24"/>
                <w:szCs w:val="22"/>
                <w:highlight w:val="none"/>
                <w:lang w:val="en-US" w:eastAsia="zh-CN" w:bidi="ar-SA"/>
              </w:rPr>
            </w:pPr>
            <w:r>
              <w:rPr>
                <w:rStyle w:val="21"/>
                <w:rFonts w:hint="eastAsia" w:ascii="Calibri" w:hAnsi="Calibri" w:eastAsia="宋体" w:cs="Times New Roman"/>
                <w:color w:val="auto"/>
                <w:kern w:val="2"/>
                <w:sz w:val="24"/>
                <w:szCs w:val="22"/>
                <w:highlight w:val="none"/>
                <w:lang w:val="en-US" w:eastAsia="zh-CN" w:bidi="ar-SA"/>
              </w:rPr>
              <w:t>工程质量管理方案</w:t>
            </w:r>
          </w:p>
        </w:tc>
        <w:tc>
          <w:tcPr>
            <w:tcW w:w="2415" w:type="dxa"/>
            <w:noWrap w:val="0"/>
            <w:vAlign w:val="top"/>
          </w:tcPr>
          <w:p>
            <w:pPr>
              <w:pStyle w:val="70"/>
              <w:widowControl w:val="0"/>
              <w:spacing w:line="360" w:lineRule="auto"/>
              <w:jc w:val="both"/>
              <w:rPr>
                <w:rStyle w:val="21"/>
                <w:rFonts w:hint="eastAsia" w:ascii="Calibri" w:hAnsi="Calibri" w:eastAsia="宋体" w:cs="Times New Roman"/>
                <w:color w:val="auto"/>
                <w:kern w:val="2"/>
                <w:sz w:val="24"/>
                <w:szCs w:val="22"/>
                <w:highlight w:val="none"/>
                <w:lang w:val="en-US" w:eastAsia="zh-CN" w:bidi="ar-SA"/>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709" w:type="dxa"/>
            <w:noWrap w:val="0"/>
            <w:vAlign w:val="center"/>
          </w:tcPr>
          <w:p>
            <w:pPr>
              <w:pStyle w:val="70"/>
              <w:widowControl w:val="0"/>
              <w:spacing w:line="360" w:lineRule="auto"/>
              <w:jc w:val="center"/>
              <w:rPr>
                <w:rStyle w:val="21"/>
                <w:rFonts w:hint="eastAsia" w:ascii="Calibri" w:hAnsi="Calibri" w:eastAsia="宋体" w:cs="Times New Roman"/>
                <w:color w:val="auto"/>
                <w:kern w:val="2"/>
                <w:sz w:val="24"/>
                <w:szCs w:val="22"/>
                <w:highlight w:val="none"/>
                <w:lang w:val="en-US" w:eastAsia="zh-CN" w:bidi="ar-SA"/>
              </w:rPr>
            </w:pPr>
            <w:r>
              <w:rPr>
                <w:rStyle w:val="21"/>
                <w:rFonts w:hint="eastAsia" w:ascii="Calibri" w:hAnsi="Calibri" w:eastAsia="宋体" w:cs="Times New Roman"/>
                <w:color w:val="auto"/>
                <w:kern w:val="2"/>
                <w:sz w:val="24"/>
                <w:szCs w:val="22"/>
                <w:highlight w:val="none"/>
                <w:lang w:val="en-US" w:eastAsia="zh-CN" w:bidi="ar-SA"/>
              </w:rPr>
              <w:t>11</w:t>
            </w:r>
          </w:p>
        </w:tc>
        <w:tc>
          <w:tcPr>
            <w:tcW w:w="5948" w:type="dxa"/>
            <w:noWrap w:val="0"/>
            <w:vAlign w:val="top"/>
          </w:tcPr>
          <w:p>
            <w:pPr>
              <w:pStyle w:val="70"/>
              <w:widowControl w:val="0"/>
              <w:spacing w:line="360" w:lineRule="auto"/>
              <w:jc w:val="both"/>
              <w:rPr>
                <w:rStyle w:val="21"/>
                <w:rFonts w:hint="eastAsia" w:ascii="Calibri" w:hAnsi="Calibri" w:eastAsia="宋体" w:cs="Times New Roman"/>
                <w:color w:val="auto"/>
                <w:kern w:val="2"/>
                <w:sz w:val="24"/>
                <w:szCs w:val="22"/>
                <w:highlight w:val="none"/>
                <w:lang w:val="en-US" w:eastAsia="zh-CN" w:bidi="ar-SA"/>
              </w:rPr>
            </w:pPr>
            <w:r>
              <w:rPr>
                <w:rStyle w:val="21"/>
                <w:rFonts w:hint="eastAsia" w:ascii="Calibri" w:hAnsi="Calibri" w:eastAsia="宋体" w:cs="Times New Roman"/>
                <w:color w:val="auto"/>
                <w:kern w:val="2"/>
                <w:sz w:val="24"/>
                <w:szCs w:val="22"/>
                <w:highlight w:val="none"/>
                <w:lang w:val="en-US" w:eastAsia="zh-CN" w:bidi="ar-SA"/>
              </w:rPr>
              <w:t>安全生产管理方案</w:t>
            </w:r>
          </w:p>
        </w:tc>
        <w:tc>
          <w:tcPr>
            <w:tcW w:w="2415" w:type="dxa"/>
            <w:noWrap w:val="0"/>
            <w:vAlign w:val="top"/>
          </w:tcPr>
          <w:p>
            <w:pPr>
              <w:pStyle w:val="70"/>
              <w:widowControl w:val="0"/>
              <w:spacing w:line="360" w:lineRule="auto"/>
              <w:jc w:val="both"/>
              <w:rPr>
                <w:rStyle w:val="21"/>
                <w:rFonts w:hint="eastAsia" w:ascii="Calibri" w:hAnsi="Calibri" w:eastAsia="宋体" w:cs="Times New Roman"/>
                <w:color w:val="auto"/>
                <w:kern w:val="2"/>
                <w:sz w:val="24"/>
                <w:szCs w:val="22"/>
                <w:highlight w:val="none"/>
                <w:lang w:val="en-US" w:eastAsia="zh-CN" w:bidi="ar-SA"/>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709" w:type="dxa"/>
            <w:noWrap w:val="0"/>
            <w:vAlign w:val="center"/>
          </w:tcPr>
          <w:p>
            <w:pPr>
              <w:pStyle w:val="70"/>
              <w:widowControl w:val="0"/>
              <w:spacing w:line="360" w:lineRule="auto"/>
              <w:jc w:val="center"/>
              <w:rPr>
                <w:rStyle w:val="21"/>
                <w:rFonts w:hint="eastAsia" w:ascii="Calibri" w:hAnsi="Calibri" w:eastAsia="宋体" w:cs="Times New Roman"/>
                <w:color w:val="auto"/>
                <w:kern w:val="2"/>
                <w:sz w:val="24"/>
                <w:szCs w:val="22"/>
                <w:highlight w:val="none"/>
                <w:lang w:val="en-US" w:eastAsia="zh-CN" w:bidi="ar-SA"/>
              </w:rPr>
            </w:pPr>
            <w:r>
              <w:rPr>
                <w:rStyle w:val="21"/>
                <w:rFonts w:hint="eastAsia" w:ascii="Calibri" w:hAnsi="Calibri" w:eastAsia="宋体" w:cs="Times New Roman"/>
                <w:color w:val="auto"/>
                <w:kern w:val="2"/>
                <w:sz w:val="24"/>
                <w:szCs w:val="22"/>
                <w:highlight w:val="none"/>
                <w:lang w:val="en-US" w:eastAsia="zh-CN" w:bidi="ar-SA"/>
              </w:rPr>
              <w:t>12</w:t>
            </w:r>
          </w:p>
        </w:tc>
        <w:tc>
          <w:tcPr>
            <w:tcW w:w="5948" w:type="dxa"/>
            <w:noWrap w:val="0"/>
            <w:vAlign w:val="top"/>
          </w:tcPr>
          <w:p>
            <w:pPr>
              <w:pStyle w:val="70"/>
              <w:widowControl w:val="0"/>
              <w:spacing w:line="360" w:lineRule="auto"/>
              <w:jc w:val="both"/>
              <w:rPr>
                <w:rStyle w:val="21"/>
                <w:rFonts w:hint="eastAsia" w:ascii="Calibri" w:hAnsi="Calibri" w:eastAsia="宋体" w:cs="Times New Roman"/>
                <w:color w:val="auto"/>
                <w:kern w:val="2"/>
                <w:sz w:val="24"/>
                <w:szCs w:val="22"/>
                <w:highlight w:val="none"/>
                <w:lang w:val="en-US" w:eastAsia="zh-CN" w:bidi="ar-SA"/>
              </w:rPr>
            </w:pPr>
            <w:r>
              <w:rPr>
                <w:rStyle w:val="21"/>
                <w:rFonts w:hint="eastAsia" w:ascii="Calibri" w:hAnsi="Calibri" w:eastAsia="宋体" w:cs="Times New Roman"/>
                <w:color w:val="auto"/>
                <w:kern w:val="2"/>
                <w:sz w:val="24"/>
                <w:szCs w:val="22"/>
                <w:highlight w:val="none"/>
                <w:lang w:val="en-US" w:eastAsia="zh-CN" w:bidi="ar-SA"/>
              </w:rPr>
              <w:t>防汛度汛</w:t>
            </w:r>
          </w:p>
        </w:tc>
        <w:tc>
          <w:tcPr>
            <w:tcW w:w="2415" w:type="dxa"/>
            <w:noWrap w:val="0"/>
            <w:vAlign w:val="top"/>
          </w:tcPr>
          <w:p>
            <w:pPr>
              <w:pStyle w:val="70"/>
              <w:widowControl w:val="0"/>
              <w:spacing w:line="360" w:lineRule="auto"/>
              <w:jc w:val="both"/>
              <w:rPr>
                <w:rStyle w:val="21"/>
                <w:rFonts w:hint="eastAsia" w:ascii="Calibri" w:hAnsi="Calibri" w:eastAsia="宋体" w:cs="Times New Roman"/>
                <w:color w:val="auto"/>
                <w:kern w:val="2"/>
                <w:sz w:val="24"/>
                <w:szCs w:val="22"/>
                <w:highlight w:val="none"/>
                <w:lang w:val="en-US" w:eastAsia="zh-CN" w:bidi="ar-SA"/>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709" w:type="dxa"/>
            <w:noWrap w:val="0"/>
            <w:vAlign w:val="center"/>
          </w:tcPr>
          <w:p>
            <w:pPr>
              <w:pStyle w:val="70"/>
              <w:widowControl w:val="0"/>
              <w:spacing w:line="360" w:lineRule="auto"/>
              <w:jc w:val="center"/>
              <w:rPr>
                <w:rStyle w:val="21"/>
                <w:rFonts w:hint="eastAsia" w:ascii="Calibri" w:hAnsi="Calibri" w:eastAsia="宋体" w:cs="Times New Roman"/>
                <w:color w:val="auto"/>
                <w:kern w:val="2"/>
                <w:sz w:val="24"/>
                <w:szCs w:val="22"/>
                <w:highlight w:val="none"/>
                <w:lang w:val="en-US" w:eastAsia="zh-CN" w:bidi="ar-SA"/>
              </w:rPr>
            </w:pPr>
            <w:r>
              <w:rPr>
                <w:rStyle w:val="21"/>
                <w:rFonts w:hint="eastAsia" w:ascii="Calibri" w:hAnsi="Calibri" w:eastAsia="宋体" w:cs="Times New Roman"/>
                <w:color w:val="auto"/>
                <w:kern w:val="2"/>
                <w:sz w:val="24"/>
                <w:szCs w:val="22"/>
                <w:highlight w:val="none"/>
                <w:lang w:val="en-US" w:eastAsia="zh-CN" w:bidi="ar-SA"/>
              </w:rPr>
              <w:t>13</w:t>
            </w:r>
          </w:p>
        </w:tc>
        <w:tc>
          <w:tcPr>
            <w:tcW w:w="5948" w:type="dxa"/>
            <w:noWrap w:val="0"/>
            <w:vAlign w:val="top"/>
          </w:tcPr>
          <w:p>
            <w:pPr>
              <w:pStyle w:val="70"/>
              <w:widowControl w:val="0"/>
              <w:spacing w:line="360" w:lineRule="auto"/>
              <w:jc w:val="both"/>
              <w:rPr>
                <w:rStyle w:val="21"/>
                <w:rFonts w:hint="eastAsia" w:ascii="Calibri" w:hAnsi="Calibri" w:eastAsia="宋体" w:cs="Times New Roman"/>
                <w:color w:val="auto"/>
                <w:kern w:val="2"/>
                <w:sz w:val="24"/>
                <w:szCs w:val="22"/>
                <w:highlight w:val="none"/>
                <w:lang w:val="en-US" w:eastAsia="zh-CN" w:bidi="ar-SA"/>
              </w:rPr>
            </w:pPr>
            <w:r>
              <w:rPr>
                <w:rStyle w:val="21"/>
                <w:rFonts w:hint="eastAsia" w:ascii="Calibri" w:hAnsi="Calibri" w:eastAsia="宋体" w:cs="Times New Roman"/>
                <w:color w:val="auto"/>
                <w:kern w:val="2"/>
                <w:sz w:val="24"/>
                <w:szCs w:val="22"/>
                <w:highlight w:val="none"/>
                <w:lang w:val="en-US" w:eastAsia="zh-CN" w:bidi="ar-SA"/>
              </w:rPr>
              <w:t>文明工地建设措施，为其它承包人提供方便的措施等</w:t>
            </w:r>
          </w:p>
        </w:tc>
        <w:tc>
          <w:tcPr>
            <w:tcW w:w="2415" w:type="dxa"/>
            <w:noWrap w:val="0"/>
            <w:vAlign w:val="top"/>
          </w:tcPr>
          <w:p>
            <w:pPr>
              <w:pStyle w:val="70"/>
              <w:widowControl w:val="0"/>
              <w:spacing w:line="360" w:lineRule="auto"/>
              <w:jc w:val="both"/>
              <w:rPr>
                <w:rStyle w:val="21"/>
                <w:rFonts w:hint="eastAsia" w:ascii="Calibri" w:hAnsi="Calibri" w:eastAsia="宋体" w:cs="Times New Roman"/>
                <w:color w:val="auto"/>
                <w:kern w:val="2"/>
                <w:sz w:val="24"/>
                <w:szCs w:val="22"/>
                <w:highlight w:val="none"/>
                <w:lang w:val="en-US" w:eastAsia="zh-CN" w:bidi="ar-SA"/>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709" w:type="dxa"/>
            <w:noWrap w:val="0"/>
            <w:vAlign w:val="center"/>
          </w:tcPr>
          <w:p>
            <w:pPr>
              <w:pStyle w:val="70"/>
              <w:widowControl w:val="0"/>
              <w:spacing w:line="360" w:lineRule="auto"/>
              <w:jc w:val="center"/>
              <w:rPr>
                <w:rStyle w:val="21"/>
                <w:rFonts w:hint="eastAsia" w:ascii="Calibri" w:hAnsi="Calibri" w:eastAsia="宋体" w:cs="Times New Roman"/>
                <w:color w:val="auto"/>
                <w:kern w:val="2"/>
                <w:sz w:val="24"/>
                <w:szCs w:val="22"/>
                <w:highlight w:val="none"/>
                <w:lang w:val="en-US" w:eastAsia="zh-CN" w:bidi="ar-SA"/>
              </w:rPr>
            </w:pPr>
            <w:r>
              <w:rPr>
                <w:rStyle w:val="21"/>
                <w:rFonts w:hint="eastAsia" w:ascii="Calibri" w:hAnsi="Calibri" w:eastAsia="宋体" w:cs="Times New Roman"/>
                <w:color w:val="auto"/>
                <w:kern w:val="2"/>
                <w:sz w:val="24"/>
                <w:szCs w:val="22"/>
                <w:highlight w:val="none"/>
                <w:lang w:val="en-US" w:eastAsia="zh-CN" w:bidi="ar-SA"/>
              </w:rPr>
              <w:t>14</w:t>
            </w:r>
          </w:p>
        </w:tc>
        <w:tc>
          <w:tcPr>
            <w:tcW w:w="5948" w:type="dxa"/>
            <w:noWrap w:val="0"/>
            <w:vAlign w:val="top"/>
          </w:tcPr>
          <w:p>
            <w:pPr>
              <w:pStyle w:val="70"/>
              <w:widowControl w:val="0"/>
              <w:spacing w:line="360" w:lineRule="auto"/>
              <w:jc w:val="both"/>
              <w:rPr>
                <w:rStyle w:val="21"/>
                <w:rFonts w:hint="eastAsia" w:ascii="Calibri" w:hAnsi="Calibri" w:eastAsia="宋体" w:cs="Times New Roman"/>
                <w:color w:val="auto"/>
                <w:kern w:val="2"/>
                <w:sz w:val="24"/>
                <w:szCs w:val="22"/>
                <w:highlight w:val="none"/>
                <w:lang w:val="en-US" w:eastAsia="zh-CN" w:bidi="ar-SA"/>
              </w:rPr>
            </w:pPr>
            <w:r>
              <w:rPr>
                <w:rStyle w:val="21"/>
                <w:rFonts w:hint="eastAsia" w:ascii="Calibri" w:hAnsi="Calibri" w:eastAsia="宋体" w:cs="Times New Roman"/>
                <w:color w:val="auto"/>
                <w:kern w:val="2"/>
                <w:sz w:val="24"/>
                <w:szCs w:val="22"/>
                <w:highlight w:val="none"/>
                <w:lang w:val="en-US" w:eastAsia="zh-CN" w:bidi="ar-SA"/>
              </w:rPr>
              <w:t>水土保持、环境保护管理方案</w:t>
            </w:r>
          </w:p>
        </w:tc>
        <w:tc>
          <w:tcPr>
            <w:tcW w:w="2415" w:type="dxa"/>
            <w:noWrap w:val="0"/>
            <w:vAlign w:val="top"/>
          </w:tcPr>
          <w:p>
            <w:pPr>
              <w:pStyle w:val="70"/>
              <w:widowControl w:val="0"/>
              <w:spacing w:line="360" w:lineRule="auto"/>
              <w:jc w:val="both"/>
              <w:rPr>
                <w:rStyle w:val="21"/>
                <w:rFonts w:hint="eastAsia" w:ascii="Calibri" w:hAnsi="Calibri" w:eastAsia="宋体" w:cs="Times New Roman"/>
                <w:color w:val="auto"/>
                <w:kern w:val="2"/>
                <w:sz w:val="24"/>
                <w:szCs w:val="22"/>
                <w:highlight w:val="none"/>
                <w:lang w:val="en-US" w:eastAsia="zh-CN" w:bidi="ar-SA"/>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709" w:type="dxa"/>
            <w:noWrap w:val="0"/>
            <w:vAlign w:val="center"/>
          </w:tcPr>
          <w:p>
            <w:pPr>
              <w:pStyle w:val="70"/>
              <w:widowControl w:val="0"/>
              <w:spacing w:line="360" w:lineRule="auto"/>
              <w:jc w:val="center"/>
              <w:rPr>
                <w:rStyle w:val="21"/>
                <w:rFonts w:hint="eastAsia" w:ascii="Calibri" w:hAnsi="Calibri" w:eastAsia="宋体" w:cs="Times New Roman"/>
                <w:color w:val="auto"/>
                <w:kern w:val="2"/>
                <w:sz w:val="24"/>
                <w:szCs w:val="22"/>
                <w:highlight w:val="none"/>
                <w:lang w:val="en-US" w:eastAsia="zh-CN" w:bidi="ar-SA"/>
              </w:rPr>
            </w:pPr>
            <w:r>
              <w:rPr>
                <w:rStyle w:val="21"/>
                <w:rFonts w:hint="eastAsia" w:ascii="Calibri" w:hAnsi="Calibri" w:eastAsia="宋体" w:cs="Times New Roman"/>
                <w:color w:val="auto"/>
                <w:kern w:val="2"/>
                <w:sz w:val="24"/>
                <w:szCs w:val="22"/>
                <w:highlight w:val="none"/>
                <w:lang w:val="en-US" w:eastAsia="zh-CN" w:bidi="ar-SA"/>
              </w:rPr>
              <w:t>15</w:t>
            </w:r>
          </w:p>
        </w:tc>
        <w:tc>
          <w:tcPr>
            <w:tcW w:w="5948" w:type="dxa"/>
            <w:noWrap w:val="0"/>
            <w:vAlign w:val="top"/>
          </w:tcPr>
          <w:p>
            <w:pPr>
              <w:pStyle w:val="70"/>
              <w:widowControl w:val="0"/>
              <w:spacing w:line="360" w:lineRule="auto"/>
              <w:jc w:val="both"/>
              <w:rPr>
                <w:rStyle w:val="21"/>
                <w:rFonts w:hint="eastAsia" w:ascii="Calibri" w:hAnsi="Calibri" w:eastAsia="宋体" w:cs="Times New Roman"/>
                <w:color w:val="auto"/>
                <w:kern w:val="2"/>
                <w:sz w:val="24"/>
                <w:szCs w:val="22"/>
                <w:highlight w:val="none"/>
                <w:lang w:val="en-US" w:eastAsia="zh-CN" w:bidi="ar-SA"/>
              </w:rPr>
            </w:pPr>
            <w:r>
              <w:rPr>
                <w:rStyle w:val="21"/>
                <w:rFonts w:hint="eastAsia" w:ascii="Calibri" w:hAnsi="Calibri" w:eastAsia="宋体" w:cs="Times New Roman"/>
                <w:color w:val="auto"/>
                <w:kern w:val="2"/>
                <w:sz w:val="24"/>
                <w:szCs w:val="22"/>
                <w:highlight w:val="none"/>
                <w:lang w:val="en-US" w:eastAsia="zh-CN" w:bidi="ar-SA"/>
              </w:rPr>
              <w:t>其它有关工程的施工工艺及进度计划</w:t>
            </w:r>
          </w:p>
        </w:tc>
        <w:tc>
          <w:tcPr>
            <w:tcW w:w="2415" w:type="dxa"/>
            <w:noWrap w:val="0"/>
            <w:vAlign w:val="top"/>
          </w:tcPr>
          <w:p>
            <w:pPr>
              <w:pStyle w:val="70"/>
              <w:widowControl w:val="0"/>
              <w:spacing w:line="360" w:lineRule="auto"/>
              <w:jc w:val="both"/>
              <w:rPr>
                <w:rStyle w:val="21"/>
                <w:rFonts w:hint="eastAsia" w:ascii="Calibri" w:hAnsi="Calibri" w:eastAsia="宋体" w:cs="Times New Roman"/>
                <w:color w:val="auto"/>
                <w:kern w:val="2"/>
                <w:sz w:val="24"/>
                <w:szCs w:val="22"/>
                <w:highlight w:val="none"/>
                <w:lang w:val="en-US" w:eastAsia="zh-CN" w:bidi="ar-SA"/>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709" w:type="dxa"/>
            <w:noWrap w:val="0"/>
            <w:vAlign w:val="center"/>
          </w:tcPr>
          <w:p>
            <w:pPr>
              <w:pStyle w:val="70"/>
              <w:widowControl w:val="0"/>
              <w:spacing w:line="360" w:lineRule="auto"/>
              <w:jc w:val="center"/>
              <w:rPr>
                <w:rStyle w:val="21"/>
                <w:rFonts w:hint="eastAsia" w:ascii="Calibri" w:hAnsi="Calibri" w:eastAsia="宋体" w:cs="Times New Roman"/>
                <w:color w:val="auto"/>
                <w:kern w:val="2"/>
                <w:sz w:val="24"/>
                <w:szCs w:val="22"/>
                <w:highlight w:val="none"/>
                <w:lang w:val="en-US" w:eastAsia="zh-CN" w:bidi="ar-SA"/>
              </w:rPr>
            </w:pPr>
            <w:r>
              <w:rPr>
                <w:rStyle w:val="21"/>
                <w:rFonts w:hint="eastAsia" w:ascii="Calibri" w:hAnsi="Calibri" w:eastAsia="宋体" w:cs="Times New Roman"/>
                <w:color w:val="auto"/>
                <w:kern w:val="2"/>
                <w:sz w:val="24"/>
                <w:szCs w:val="22"/>
                <w:highlight w:val="none"/>
                <w:lang w:val="en-US" w:eastAsia="zh-CN" w:bidi="ar-SA"/>
              </w:rPr>
              <w:t>16</w:t>
            </w:r>
          </w:p>
        </w:tc>
        <w:tc>
          <w:tcPr>
            <w:tcW w:w="5948" w:type="dxa"/>
            <w:noWrap w:val="0"/>
            <w:vAlign w:val="top"/>
          </w:tcPr>
          <w:p>
            <w:pPr>
              <w:pStyle w:val="70"/>
              <w:widowControl w:val="0"/>
              <w:spacing w:line="360" w:lineRule="auto"/>
              <w:jc w:val="both"/>
              <w:rPr>
                <w:rStyle w:val="21"/>
                <w:rFonts w:hint="eastAsia" w:ascii="Calibri" w:hAnsi="Calibri" w:eastAsia="宋体" w:cs="Times New Roman"/>
                <w:color w:val="auto"/>
                <w:kern w:val="2"/>
                <w:sz w:val="24"/>
                <w:szCs w:val="22"/>
                <w:highlight w:val="none"/>
                <w:lang w:val="en-US" w:eastAsia="zh-CN" w:bidi="ar-SA"/>
              </w:rPr>
            </w:pPr>
            <w:r>
              <w:rPr>
                <w:rStyle w:val="21"/>
                <w:rFonts w:hint="eastAsia" w:ascii="Calibri" w:hAnsi="Calibri" w:eastAsia="宋体" w:cs="Times New Roman"/>
                <w:color w:val="auto"/>
                <w:kern w:val="2"/>
                <w:sz w:val="24"/>
                <w:szCs w:val="22"/>
                <w:highlight w:val="none"/>
                <w:lang w:val="en-US" w:eastAsia="zh-CN" w:bidi="ar-SA"/>
              </w:rPr>
              <w:t>有关施工建议</w:t>
            </w:r>
          </w:p>
        </w:tc>
        <w:tc>
          <w:tcPr>
            <w:tcW w:w="2415" w:type="dxa"/>
            <w:noWrap w:val="0"/>
            <w:vAlign w:val="top"/>
          </w:tcPr>
          <w:p>
            <w:pPr>
              <w:pStyle w:val="70"/>
              <w:widowControl w:val="0"/>
              <w:spacing w:line="360" w:lineRule="auto"/>
              <w:jc w:val="both"/>
              <w:rPr>
                <w:rStyle w:val="21"/>
                <w:rFonts w:hint="eastAsia" w:ascii="Calibri" w:hAnsi="Calibri" w:eastAsia="宋体" w:cs="Times New Roman"/>
                <w:color w:val="auto"/>
                <w:kern w:val="2"/>
                <w:sz w:val="24"/>
                <w:szCs w:val="22"/>
                <w:highlight w:val="none"/>
                <w:lang w:val="en-US" w:eastAsia="zh-CN" w:bidi="ar-SA"/>
              </w:rPr>
            </w:pPr>
          </w:p>
        </w:tc>
      </w:tr>
    </w:tbl>
    <w:p>
      <w:pPr>
        <w:pStyle w:val="70"/>
        <w:spacing w:line="360" w:lineRule="auto"/>
        <w:rPr>
          <w:rStyle w:val="21"/>
          <w:rFonts w:ascii="Calibri" w:hAnsi="Calibri" w:eastAsia="宋体" w:cs="Times New Roman"/>
          <w:color w:val="auto"/>
          <w:sz w:val="24"/>
          <w:highlight w:val="none"/>
        </w:rPr>
      </w:pPr>
      <w:r>
        <w:rPr>
          <w:rStyle w:val="21"/>
          <w:rFonts w:hint="eastAsia" w:ascii="Calibri" w:hAnsi="Calibri" w:eastAsia="宋体" w:cs="Times New Roman"/>
          <w:color w:val="auto"/>
          <w:sz w:val="24"/>
          <w:highlight w:val="none"/>
        </w:rPr>
        <w:t>2.施工组织设计除采用文字表述外应附下列图表，图表及格式要求附后。</w:t>
      </w:r>
    </w:p>
    <w:p>
      <w:pPr>
        <w:pStyle w:val="70"/>
        <w:spacing w:line="360" w:lineRule="auto"/>
        <w:rPr>
          <w:rStyle w:val="21"/>
          <w:rFonts w:ascii="Calibri" w:hAnsi="Calibri" w:eastAsia="宋体" w:cs="Times New Roman"/>
          <w:color w:val="auto"/>
          <w:sz w:val="24"/>
          <w:highlight w:val="none"/>
        </w:rPr>
      </w:pPr>
      <w:r>
        <w:rPr>
          <w:rStyle w:val="21"/>
          <w:rFonts w:hint="eastAsia" w:ascii="Calibri" w:hAnsi="Calibri" w:eastAsia="宋体" w:cs="Times New Roman"/>
          <w:color w:val="auto"/>
          <w:sz w:val="24"/>
          <w:highlight w:val="none"/>
        </w:rPr>
        <w:t>附件一：拟投入本标段的主要施工设备表</w:t>
      </w:r>
    </w:p>
    <w:p>
      <w:pPr>
        <w:pStyle w:val="70"/>
        <w:spacing w:line="360" w:lineRule="auto"/>
        <w:rPr>
          <w:rStyle w:val="21"/>
          <w:rFonts w:ascii="Calibri" w:hAnsi="Calibri" w:eastAsia="宋体" w:cs="Times New Roman"/>
          <w:color w:val="auto"/>
          <w:sz w:val="24"/>
          <w:highlight w:val="none"/>
        </w:rPr>
      </w:pPr>
      <w:r>
        <w:rPr>
          <w:rStyle w:val="21"/>
          <w:rFonts w:hint="eastAsia" w:ascii="Calibri" w:hAnsi="Calibri" w:eastAsia="宋体" w:cs="Times New Roman"/>
          <w:color w:val="auto"/>
          <w:sz w:val="24"/>
          <w:highlight w:val="none"/>
        </w:rPr>
        <w:t>附件二：拟投入本标段的试验和检测仪器设备表</w:t>
      </w:r>
    </w:p>
    <w:p>
      <w:pPr>
        <w:pStyle w:val="70"/>
        <w:spacing w:line="360" w:lineRule="auto"/>
        <w:rPr>
          <w:rStyle w:val="21"/>
          <w:rFonts w:ascii="Calibri" w:hAnsi="Calibri" w:eastAsia="宋体" w:cs="Times New Roman"/>
          <w:color w:val="auto"/>
          <w:sz w:val="24"/>
          <w:highlight w:val="none"/>
        </w:rPr>
      </w:pPr>
      <w:r>
        <w:rPr>
          <w:rStyle w:val="21"/>
          <w:rFonts w:hint="eastAsia" w:ascii="Calibri" w:hAnsi="Calibri" w:eastAsia="宋体" w:cs="Times New Roman"/>
          <w:color w:val="auto"/>
          <w:sz w:val="24"/>
          <w:highlight w:val="none"/>
        </w:rPr>
        <w:t>附件三：拟投入本标段的劳动力计划表</w:t>
      </w:r>
    </w:p>
    <w:p>
      <w:pPr>
        <w:pStyle w:val="70"/>
        <w:spacing w:line="360" w:lineRule="auto"/>
        <w:rPr>
          <w:rStyle w:val="21"/>
          <w:rFonts w:ascii="Calibri" w:hAnsi="Calibri" w:eastAsia="宋体" w:cs="Times New Roman"/>
          <w:color w:val="auto"/>
          <w:sz w:val="24"/>
          <w:highlight w:val="none"/>
        </w:rPr>
      </w:pPr>
      <w:r>
        <w:rPr>
          <w:rStyle w:val="21"/>
          <w:rFonts w:hint="eastAsia" w:ascii="Calibri" w:hAnsi="Calibri" w:eastAsia="宋体" w:cs="Times New Roman"/>
          <w:color w:val="auto"/>
          <w:sz w:val="24"/>
          <w:highlight w:val="none"/>
        </w:rPr>
        <w:t>附件四：计划开工日期、完工日期和施工进度网络图</w:t>
      </w:r>
    </w:p>
    <w:p>
      <w:pPr>
        <w:pStyle w:val="70"/>
        <w:spacing w:line="360" w:lineRule="auto"/>
        <w:rPr>
          <w:rStyle w:val="21"/>
          <w:rFonts w:ascii="Calibri" w:hAnsi="Calibri" w:eastAsia="宋体" w:cs="Times New Roman"/>
          <w:color w:val="auto"/>
          <w:sz w:val="24"/>
          <w:highlight w:val="none"/>
        </w:rPr>
      </w:pPr>
      <w:r>
        <w:rPr>
          <w:rStyle w:val="21"/>
          <w:rFonts w:hint="eastAsia" w:ascii="Calibri" w:hAnsi="Calibri" w:eastAsia="宋体" w:cs="Times New Roman"/>
          <w:color w:val="auto"/>
          <w:sz w:val="24"/>
          <w:highlight w:val="none"/>
        </w:rPr>
        <w:t>附件五：施工总平面图</w:t>
      </w:r>
    </w:p>
    <w:p>
      <w:pPr>
        <w:pStyle w:val="70"/>
        <w:spacing w:line="360" w:lineRule="auto"/>
        <w:rPr>
          <w:rStyle w:val="21"/>
          <w:rFonts w:ascii="Calibri" w:hAnsi="Calibri" w:eastAsia="宋体" w:cs="Times New Roman"/>
          <w:color w:val="auto"/>
          <w:sz w:val="24"/>
          <w:highlight w:val="none"/>
        </w:rPr>
      </w:pPr>
      <w:r>
        <w:rPr>
          <w:rStyle w:val="21"/>
          <w:rFonts w:hint="eastAsia" w:ascii="Calibri" w:hAnsi="Calibri" w:eastAsia="宋体" w:cs="Times New Roman"/>
          <w:color w:val="auto"/>
          <w:sz w:val="24"/>
          <w:highlight w:val="none"/>
        </w:rPr>
        <w:t>附件六：临时用地表</w:t>
      </w:r>
    </w:p>
    <w:bookmarkEnd w:id="413"/>
    <w:p>
      <w:pPr>
        <w:pStyle w:val="70"/>
        <w:rPr>
          <w:rStyle w:val="21"/>
          <w:rFonts w:hint="eastAsia" w:ascii="黑体" w:hAnsi="黑体" w:eastAsia="黑体" w:cs="Times New Roman"/>
          <w:color w:val="auto"/>
          <w:sz w:val="28"/>
          <w:szCs w:val="28"/>
          <w:highlight w:val="none"/>
        </w:rPr>
      </w:pPr>
    </w:p>
    <w:p>
      <w:pPr>
        <w:pStyle w:val="70"/>
        <w:rPr>
          <w:rStyle w:val="21"/>
          <w:rFonts w:hint="eastAsia" w:ascii="黑体" w:hAnsi="黑体" w:eastAsia="黑体" w:cs="Times New Roman"/>
          <w:color w:val="auto"/>
          <w:sz w:val="28"/>
          <w:szCs w:val="28"/>
          <w:highlight w:val="none"/>
        </w:rPr>
      </w:pPr>
      <w:r>
        <w:rPr>
          <w:rStyle w:val="21"/>
          <w:rFonts w:hint="eastAsia" w:ascii="黑体" w:hAnsi="黑体" w:eastAsia="黑体" w:cs="Times New Roman"/>
          <w:color w:val="auto"/>
          <w:sz w:val="28"/>
          <w:szCs w:val="28"/>
          <w:highlight w:val="none"/>
        </w:rPr>
        <w:t>附件一：</w:t>
      </w:r>
    </w:p>
    <w:p>
      <w:pPr>
        <w:pStyle w:val="70"/>
        <w:spacing w:line="360" w:lineRule="auto"/>
        <w:jc w:val="center"/>
        <w:rPr>
          <w:rStyle w:val="21"/>
          <w:rFonts w:ascii="黑体" w:hAnsi="黑体" w:eastAsia="黑体" w:cs="Times New Roman"/>
          <w:color w:val="auto"/>
          <w:sz w:val="28"/>
          <w:szCs w:val="28"/>
          <w:highlight w:val="none"/>
        </w:rPr>
      </w:pPr>
      <w:r>
        <w:rPr>
          <w:rStyle w:val="21"/>
          <w:rFonts w:hint="eastAsia" w:ascii="黑体" w:hAnsi="黑体" w:eastAsia="黑体" w:cs="Times New Roman"/>
          <w:color w:val="auto"/>
          <w:sz w:val="28"/>
          <w:szCs w:val="28"/>
          <w:highlight w:val="none"/>
        </w:rPr>
        <w:t>拟投入本标段的主要施工设备表</w:t>
      </w:r>
    </w:p>
    <w:tbl>
      <w:tblPr>
        <w:tblStyle w:val="19"/>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733"/>
        <w:gridCol w:w="733"/>
        <w:gridCol w:w="733"/>
        <w:gridCol w:w="1551"/>
        <w:gridCol w:w="965"/>
        <w:gridCol w:w="965"/>
        <w:gridCol w:w="965"/>
        <w:gridCol w:w="966"/>
        <w:gridCol w:w="966"/>
        <w:gridCol w:w="798"/>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88" w:hRule="atLeast"/>
        </w:trPr>
        <w:tc>
          <w:tcPr>
            <w:tcW w:w="733" w:type="dxa"/>
            <w:noWrap w:val="0"/>
            <w:vAlign w:val="center"/>
          </w:tcPr>
          <w:p>
            <w:pPr>
              <w:pStyle w:val="70"/>
              <w:widowControl w:val="0"/>
              <w:spacing w:line="360" w:lineRule="auto"/>
              <w:jc w:val="center"/>
              <w:rPr>
                <w:rStyle w:val="21"/>
                <w:rFonts w:hint="eastAsia" w:ascii="Calibri" w:hAnsi="Calibri" w:eastAsia="宋体" w:cs="Times New Roman"/>
                <w:color w:val="auto"/>
                <w:kern w:val="2"/>
                <w:sz w:val="21"/>
                <w:szCs w:val="22"/>
                <w:highlight w:val="none"/>
                <w:lang w:val="en-US" w:eastAsia="zh-CN" w:bidi="ar-SA"/>
              </w:rPr>
            </w:pPr>
            <w:r>
              <w:rPr>
                <w:rStyle w:val="21"/>
                <w:rFonts w:hint="eastAsia" w:ascii="Calibri" w:hAnsi="Calibri" w:eastAsia="宋体" w:cs="Times New Roman"/>
                <w:color w:val="auto"/>
                <w:kern w:val="2"/>
                <w:sz w:val="21"/>
                <w:szCs w:val="22"/>
                <w:highlight w:val="none"/>
                <w:lang w:val="en-US" w:eastAsia="zh-CN" w:bidi="ar-SA"/>
              </w:rPr>
              <w:t>序号</w:t>
            </w:r>
          </w:p>
        </w:tc>
        <w:tc>
          <w:tcPr>
            <w:tcW w:w="733" w:type="dxa"/>
            <w:noWrap w:val="0"/>
            <w:vAlign w:val="center"/>
          </w:tcPr>
          <w:p>
            <w:pPr>
              <w:pStyle w:val="70"/>
              <w:widowControl w:val="0"/>
              <w:spacing w:line="360" w:lineRule="auto"/>
              <w:jc w:val="center"/>
              <w:rPr>
                <w:rStyle w:val="21"/>
                <w:rFonts w:hint="eastAsia" w:ascii="Calibri" w:hAnsi="Calibri" w:eastAsia="宋体" w:cs="Times New Roman"/>
                <w:color w:val="auto"/>
                <w:kern w:val="2"/>
                <w:sz w:val="21"/>
                <w:szCs w:val="22"/>
                <w:highlight w:val="none"/>
                <w:lang w:val="en-US" w:eastAsia="zh-CN" w:bidi="ar-SA"/>
              </w:rPr>
            </w:pPr>
            <w:r>
              <w:rPr>
                <w:rStyle w:val="21"/>
                <w:rFonts w:hint="eastAsia" w:ascii="Calibri" w:hAnsi="Calibri" w:eastAsia="宋体" w:cs="Times New Roman"/>
                <w:color w:val="auto"/>
                <w:kern w:val="2"/>
                <w:sz w:val="21"/>
                <w:szCs w:val="22"/>
                <w:highlight w:val="none"/>
                <w:lang w:val="en-US" w:eastAsia="zh-CN" w:bidi="ar-SA"/>
              </w:rPr>
              <w:t>设备名称</w:t>
            </w:r>
          </w:p>
        </w:tc>
        <w:tc>
          <w:tcPr>
            <w:tcW w:w="733" w:type="dxa"/>
            <w:noWrap w:val="0"/>
            <w:vAlign w:val="center"/>
          </w:tcPr>
          <w:p>
            <w:pPr>
              <w:pStyle w:val="70"/>
              <w:widowControl w:val="0"/>
              <w:spacing w:line="360" w:lineRule="auto"/>
              <w:jc w:val="center"/>
              <w:rPr>
                <w:rStyle w:val="21"/>
                <w:rFonts w:hint="eastAsia" w:ascii="Calibri" w:hAnsi="Calibri" w:eastAsia="宋体" w:cs="Times New Roman"/>
                <w:color w:val="auto"/>
                <w:kern w:val="2"/>
                <w:sz w:val="21"/>
                <w:szCs w:val="22"/>
                <w:highlight w:val="none"/>
                <w:lang w:val="en-US" w:eastAsia="zh-CN" w:bidi="ar-SA"/>
              </w:rPr>
            </w:pPr>
            <w:r>
              <w:rPr>
                <w:rStyle w:val="21"/>
                <w:rFonts w:hint="eastAsia" w:ascii="Calibri" w:hAnsi="Calibri" w:eastAsia="宋体" w:cs="Times New Roman"/>
                <w:color w:val="auto"/>
                <w:kern w:val="2"/>
                <w:sz w:val="21"/>
                <w:szCs w:val="22"/>
                <w:highlight w:val="none"/>
                <w:lang w:val="en-US" w:eastAsia="zh-CN" w:bidi="ar-SA"/>
              </w:rPr>
              <w:t>型号规格</w:t>
            </w:r>
          </w:p>
        </w:tc>
        <w:tc>
          <w:tcPr>
            <w:tcW w:w="1551" w:type="dxa"/>
            <w:noWrap w:val="0"/>
            <w:vAlign w:val="center"/>
          </w:tcPr>
          <w:p>
            <w:pPr>
              <w:pStyle w:val="70"/>
              <w:widowControl w:val="0"/>
              <w:spacing w:line="360" w:lineRule="auto"/>
              <w:jc w:val="center"/>
              <w:rPr>
                <w:rStyle w:val="21"/>
                <w:rFonts w:hint="eastAsia" w:ascii="Calibri" w:hAnsi="Calibri" w:eastAsia="宋体" w:cs="Times New Roman"/>
                <w:color w:val="auto"/>
                <w:kern w:val="2"/>
                <w:sz w:val="21"/>
                <w:szCs w:val="22"/>
                <w:highlight w:val="none"/>
                <w:lang w:val="en-US" w:eastAsia="zh-CN" w:bidi="ar-SA"/>
              </w:rPr>
            </w:pPr>
            <w:r>
              <w:rPr>
                <w:rStyle w:val="21"/>
                <w:rFonts w:hint="eastAsia" w:ascii="Calibri" w:hAnsi="Calibri" w:eastAsia="宋体" w:cs="Times New Roman"/>
                <w:color w:val="auto"/>
                <w:kern w:val="2"/>
                <w:sz w:val="21"/>
                <w:szCs w:val="22"/>
                <w:highlight w:val="none"/>
                <w:lang w:val="en-US" w:eastAsia="zh-CN" w:bidi="ar-SA"/>
              </w:rPr>
              <w:t>数量</w:t>
            </w:r>
          </w:p>
        </w:tc>
        <w:tc>
          <w:tcPr>
            <w:tcW w:w="965" w:type="dxa"/>
            <w:noWrap w:val="0"/>
            <w:vAlign w:val="center"/>
          </w:tcPr>
          <w:p>
            <w:pPr>
              <w:pStyle w:val="70"/>
              <w:widowControl w:val="0"/>
              <w:spacing w:line="360" w:lineRule="auto"/>
              <w:jc w:val="center"/>
              <w:rPr>
                <w:rStyle w:val="21"/>
                <w:rFonts w:hint="eastAsia" w:ascii="Calibri" w:hAnsi="Calibri" w:eastAsia="宋体" w:cs="Times New Roman"/>
                <w:color w:val="auto"/>
                <w:kern w:val="2"/>
                <w:sz w:val="21"/>
                <w:szCs w:val="22"/>
                <w:highlight w:val="none"/>
                <w:lang w:val="en-US" w:eastAsia="zh-CN" w:bidi="ar-SA"/>
              </w:rPr>
            </w:pPr>
            <w:r>
              <w:rPr>
                <w:rStyle w:val="21"/>
                <w:rFonts w:hint="eastAsia" w:ascii="Calibri" w:hAnsi="Calibri" w:eastAsia="宋体" w:cs="Times New Roman"/>
                <w:color w:val="auto"/>
                <w:kern w:val="2"/>
                <w:sz w:val="21"/>
                <w:szCs w:val="22"/>
                <w:highlight w:val="none"/>
                <w:lang w:val="en-US" w:eastAsia="zh-CN" w:bidi="ar-SA"/>
              </w:rPr>
              <w:t>国别产地</w:t>
            </w:r>
          </w:p>
        </w:tc>
        <w:tc>
          <w:tcPr>
            <w:tcW w:w="965" w:type="dxa"/>
            <w:noWrap w:val="0"/>
            <w:vAlign w:val="center"/>
          </w:tcPr>
          <w:p>
            <w:pPr>
              <w:pStyle w:val="70"/>
              <w:widowControl w:val="0"/>
              <w:spacing w:line="360" w:lineRule="auto"/>
              <w:jc w:val="center"/>
              <w:rPr>
                <w:rStyle w:val="21"/>
                <w:rFonts w:hint="eastAsia" w:ascii="Calibri" w:hAnsi="Calibri" w:eastAsia="宋体" w:cs="Times New Roman"/>
                <w:color w:val="auto"/>
                <w:kern w:val="2"/>
                <w:sz w:val="21"/>
                <w:szCs w:val="22"/>
                <w:highlight w:val="none"/>
                <w:lang w:val="en-US" w:eastAsia="zh-CN" w:bidi="ar-SA"/>
              </w:rPr>
            </w:pPr>
            <w:r>
              <w:rPr>
                <w:rStyle w:val="21"/>
                <w:rFonts w:hint="eastAsia" w:ascii="Calibri" w:hAnsi="Calibri" w:eastAsia="宋体" w:cs="Times New Roman"/>
                <w:color w:val="auto"/>
                <w:kern w:val="2"/>
                <w:sz w:val="21"/>
                <w:szCs w:val="22"/>
                <w:highlight w:val="none"/>
                <w:lang w:val="en-US" w:eastAsia="zh-CN" w:bidi="ar-SA"/>
              </w:rPr>
              <w:t>制造年份</w:t>
            </w:r>
          </w:p>
        </w:tc>
        <w:tc>
          <w:tcPr>
            <w:tcW w:w="965" w:type="dxa"/>
            <w:noWrap w:val="0"/>
            <w:vAlign w:val="center"/>
          </w:tcPr>
          <w:p>
            <w:pPr>
              <w:pStyle w:val="70"/>
              <w:widowControl w:val="0"/>
              <w:spacing w:line="360" w:lineRule="auto"/>
              <w:jc w:val="center"/>
              <w:rPr>
                <w:rStyle w:val="21"/>
                <w:rFonts w:hint="eastAsia" w:ascii="Calibri" w:hAnsi="Calibri" w:eastAsia="宋体" w:cs="Times New Roman"/>
                <w:color w:val="auto"/>
                <w:kern w:val="2"/>
                <w:sz w:val="21"/>
                <w:szCs w:val="22"/>
                <w:highlight w:val="none"/>
                <w:lang w:val="en-US" w:eastAsia="zh-CN" w:bidi="ar-SA"/>
              </w:rPr>
            </w:pPr>
            <w:r>
              <w:rPr>
                <w:rStyle w:val="21"/>
                <w:rFonts w:hint="eastAsia" w:ascii="Calibri" w:hAnsi="Calibri" w:eastAsia="宋体" w:cs="Times New Roman"/>
                <w:color w:val="auto"/>
                <w:kern w:val="2"/>
                <w:sz w:val="21"/>
                <w:szCs w:val="22"/>
                <w:highlight w:val="none"/>
                <w:lang w:val="en-US" w:eastAsia="zh-CN" w:bidi="ar-SA"/>
              </w:rPr>
              <w:t>额定功率(kW)</w:t>
            </w:r>
          </w:p>
        </w:tc>
        <w:tc>
          <w:tcPr>
            <w:tcW w:w="966" w:type="dxa"/>
            <w:noWrap w:val="0"/>
            <w:vAlign w:val="center"/>
          </w:tcPr>
          <w:p>
            <w:pPr>
              <w:pStyle w:val="70"/>
              <w:widowControl w:val="0"/>
              <w:spacing w:line="360" w:lineRule="auto"/>
              <w:jc w:val="center"/>
              <w:rPr>
                <w:rStyle w:val="21"/>
                <w:rFonts w:hint="eastAsia" w:ascii="Calibri" w:hAnsi="Calibri" w:eastAsia="宋体" w:cs="Times New Roman"/>
                <w:color w:val="auto"/>
                <w:kern w:val="2"/>
                <w:sz w:val="21"/>
                <w:szCs w:val="22"/>
                <w:highlight w:val="none"/>
                <w:lang w:val="en-US" w:eastAsia="zh-CN" w:bidi="ar-SA"/>
              </w:rPr>
            </w:pPr>
            <w:r>
              <w:rPr>
                <w:rStyle w:val="21"/>
                <w:rFonts w:hint="eastAsia" w:ascii="Calibri" w:hAnsi="Calibri" w:eastAsia="宋体" w:cs="Times New Roman"/>
                <w:color w:val="auto"/>
                <w:kern w:val="2"/>
                <w:sz w:val="21"/>
                <w:szCs w:val="22"/>
                <w:highlight w:val="none"/>
                <w:lang w:val="en-US" w:eastAsia="zh-CN" w:bidi="ar-SA"/>
              </w:rPr>
              <w:t>生产能力</w:t>
            </w:r>
          </w:p>
        </w:tc>
        <w:tc>
          <w:tcPr>
            <w:tcW w:w="966" w:type="dxa"/>
            <w:noWrap w:val="0"/>
            <w:vAlign w:val="center"/>
          </w:tcPr>
          <w:p>
            <w:pPr>
              <w:pStyle w:val="70"/>
              <w:widowControl w:val="0"/>
              <w:spacing w:line="360" w:lineRule="auto"/>
              <w:jc w:val="center"/>
              <w:rPr>
                <w:rStyle w:val="21"/>
                <w:rFonts w:hint="eastAsia" w:ascii="Calibri" w:hAnsi="Calibri" w:eastAsia="宋体" w:cs="Times New Roman"/>
                <w:color w:val="auto"/>
                <w:kern w:val="2"/>
                <w:sz w:val="21"/>
                <w:szCs w:val="22"/>
                <w:highlight w:val="none"/>
                <w:lang w:val="en-US" w:eastAsia="zh-CN" w:bidi="ar-SA"/>
              </w:rPr>
            </w:pPr>
            <w:r>
              <w:rPr>
                <w:rStyle w:val="21"/>
                <w:rFonts w:hint="eastAsia" w:ascii="Calibri" w:hAnsi="Calibri" w:eastAsia="宋体" w:cs="Times New Roman"/>
                <w:color w:val="auto"/>
                <w:kern w:val="2"/>
                <w:sz w:val="21"/>
                <w:szCs w:val="22"/>
                <w:highlight w:val="none"/>
                <w:lang w:val="en-US" w:eastAsia="zh-CN" w:bidi="ar-SA"/>
              </w:rPr>
              <w:t>用于施工部位</w:t>
            </w:r>
          </w:p>
        </w:tc>
        <w:tc>
          <w:tcPr>
            <w:tcW w:w="798" w:type="dxa"/>
            <w:noWrap w:val="0"/>
            <w:vAlign w:val="center"/>
          </w:tcPr>
          <w:p>
            <w:pPr>
              <w:pStyle w:val="70"/>
              <w:widowControl w:val="0"/>
              <w:spacing w:line="360" w:lineRule="auto"/>
              <w:jc w:val="center"/>
              <w:rPr>
                <w:rStyle w:val="21"/>
                <w:rFonts w:ascii="Calibri" w:hAnsi="Calibri" w:eastAsia="宋体" w:cs="Times New Roman"/>
                <w:color w:val="auto"/>
                <w:kern w:val="2"/>
                <w:sz w:val="21"/>
                <w:szCs w:val="22"/>
                <w:highlight w:val="none"/>
                <w:lang w:val="en-US" w:eastAsia="zh-CN" w:bidi="ar-SA"/>
              </w:rPr>
            </w:pPr>
            <w:r>
              <w:rPr>
                <w:rStyle w:val="21"/>
                <w:rFonts w:hint="eastAsia" w:ascii="Calibri" w:hAnsi="Calibri" w:eastAsia="宋体" w:cs="Times New Roman"/>
                <w:color w:val="auto"/>
                <w:kern w:val="2"/>
                <w:sz w:val="21"/>
                <w:szCs w:val="22"/>
                <w:highlight w:val="none"/>
                <w:lang w:val="en-US" w:eastAsia="zh-CN" w:bidi="ar-SA"/>
              </w:rPr>
              <w:t>备注</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9" w:hRule="atLeast"/>
        </w:trPr>
        <w:tc>
          <w:tcPr>
            <w:tcW w:w="733" w:type="dxa"/>
            <w:noWrap w:val="0"/>
            <w:vAlign w:val="center"/>
          </w:tcPr>
          <w:p>
            <w:pPr>
              <w:pStyle w:val="70"/>
              <w:widowControl w:val="0"/>
              <w:spacing w:line="360" w:lineRule="auto"/>
              <w:jc w:val="center"/>
              <w:rPr>
                <w:rStyle w:val="21"/>
                <w:rFonts w:hint="eastAsia" w:ascii="Calibri" w:hAnsi="Calibri" w:eastAsia="宋体" w:cs="Times New Roman"/>
                <w:color w:val="auto"/>
                <w:kern w:val="2"/>
                <w:sz w:val="21"/>
                <w:szCs w:val="22"/>
                <w:highlight w:val="none"/>
                <w:lang w:val="en-US" w:eastAsia="zh-CN" w:bidi="ar-SA"/>
              </w:rPr>
            </w:pPr>
          </w:p>
        </w:tc>
        <w:tc>
          <w:tcPr>
            <w:tcW w:w="733" w:type="dxa"/>
            <w:noWrap w:val="0"/>
            <w:vAlign w:val="center"/>
          </w:tcPr>
          <w:p>
            <w:pPr>
              <w:pStyle w:val="70"/>
              <w:widowControl w:val="0"/>
              <w:spacing w:line="360" w:lineRule="auto"/>
              <w:jc w:val="center"/>
              <w:rPr>
                <w:rStyle w:val="21"/>
                <w:rFonts w:hint="eastAsia" w:ascii="Calibri" w:hAnsi="Calibri" w:eastAsia="宋体" w:cs="Times New Roman"/>
                <w:color w:val="auto"/>
                <w:kern w:val="2"/>
                <w:sz w:val="21"/>
                <w:szCs w:val="22"/>
                <w:highlight w:val="none"/>
                <w:lang w:val="en-US" w:eastAsia="zh-CN" w:bidi="ar-SA"/>
              </w:rPr>
            </w:pPr>
          </w:p>
        </w:tc>
        <w:tc>
          <w:tcPr>
            <w:tcW w:w="733" w:type="dxa"/>
            <w:noWrap w:val="0"/>
            <w:vAlign w:val="center"/>
          </w:tcPr>
          <w:p>
            <w:pPr>
              <w:pStyle w:val="70"/>
              <w:widowControl w:val="0"/>
              <w:spacing w:line="360" w:lineRule="auto"/>
              <w:jc w:val="center"/>
              <w:rPr>
                <w:rStyle w:val="21"/>
                <w:rFonts w:hint="eastAsia" w:ascii="Calibri" w:hAnsi="Calibri" w:eastAsia="宋体" w:cs="Times New Roman"/>
                <w:color w:val="auto"/>
                <w:kern w:val="2"/>
                <w:sz w:val="21"/>
                <w:szCs w:val="22"/>
                <w:highlight w:val="none"/>
                <w:lang w:val="en-US" w:eastAsia="zh-CN" w:bidi="ar-SA"/>
              </w:rPr>
            </w:pPr>
          </w:p>
        </w:tc>
        <w:tc>
          <w:tcPr>
            <w:tcW w:w="1551" w:type="dxa"/>
            <w:noWrap w:val="0"/>
            <w:vAlign w:val="center"/>
          </w:tcPr>
          <w:p>
            <w:pPr>
              <w:pStyle w:val="70"/>
              <w:widowControl w:val="0"/>
              <w:spacing w:line="360" w:lineRule="auto"/>
              <w:jc w:val="center"/>
              <w:rPr>
                <w:rStyle w:val="21"/>
                <w:rFonts w:hint="eastAsia" w:ascii="Calibri" w:hAnsi="Calibri" w:eastAsia="宋体" w:cs="Times New Roman"/>
                <w:color w:val="auto"/>
                <w:kern w:val="2"/>
                <w:sz w:val="21"/>
                <w:szCs w:val="22"/>
                <w:highlight w:val="none"/>
                <w:lang w:val="en-US" w:eastAsia="zh-CN" w:bidi="ar-SA"/>
              </w:rPr>
            </w:pPr>
          </w:p>
        </w:tc>
        <w:tc>
          <w:tcPr>
            <w:tcW w:w="965" w:type="dxa"/>
            <w:noWrap w:val="0"/>
            <w:vAlign w:val="center"/>
          </w:tcPr>
          <w:p>
            <w:pPr>
              <w:pStyle w:val="70"/>
              <w:widowControl w:val="0"/>
              <w:spacing w:line="360" w:lineRule="auto"/>
              <w:jc w:val="center"/>
              <w:rPr>
                <w:rStyle w:val="21"/>
                <w:rFonts w:hint="eastAsia" w:ascii="Calibri" w:hAnsi="Calibri" w:eastAsia="宋体" w:cs="Times New Roman"/>
                <w:color w:val="auto"/>
                <w:kern w:val="2"/>
                <w:sz w:val="21"/>
                <w:szCs w:val="22"/>
                <w:highlight w:val="none"/>
                <w:lang w:val="en-US" w:eastAsia="zh-CN" w:bidi="ar-SA"/>
              </w:rPr>
            </w:pPr>
          </w:p>
        </w:tc>
        <w:tc>
          <w:tcPr>
            <w:tcW w:w="965" w:type="dxa"/>
            <w:noWrap w:val="0"/>
            <w:vAlign w:val="center"/>
          </w:tcPr>
          <w:p>
            <w:pPr>
              <w:pStyle w:val="70"/>
              <w:widowControl w:val="0"/>
              <w:spacing w:line="360" w:lineRule="auto"/>
              <w:jc w:val="center"/>
              <w:rPr>
                <w:rStyle w:val="21"/>
                <w:rFonts w:hint="eastAsia" w:ascii="Calibri" w:hAnsi="Calibri" w:eastAsia="宋体" w:cs="Times New Roman"/>
                <w:color w:val="auto"/>
                <w:kern w:val="2"/>
                <w:sz w:val="21"/>
                <w:szCs w:val="22"/>
                <w:highlight w:val="none"/>
                <w:lang w:val="en-US" w:eastAsia="zh-CN" w:bidi="ar-SA"/>
              </w:rPr>
            </w:pPr>
          </w:p>
        </w:tc>
        <w:tc>
          <w:tcPr>
            <w:tcW w:w="965" w:type="dxa"/>
            <w:noWrap w:val="0"/>
            <w:vAlign w:val="center"/>
          </w:tcPr>
          <w:p>
            <w:pPr>
              <w:pStyle w:val="70"/>
              <w:widowControl w:val="0"/>
              <w:spacing w:line="360" w:lineRule="auto"/>
              <w:jc w:val="center"/>
              <w:rPr>
                <w:rStyle w:val="21"/>
                <w:rFonts w:hint="eastAsia" w:ascii="Calibri" w:hAnsi="Calibri" w:eastAsia="宋体" w:cs="Times New Roman"/>
                <w:color w:val="auto"/>
                <w:kern w:val="2"/>
                <w:sz w:val="21"/>
                <w:szCs w:val="22"/>
                <w:highlight w:val="none"/>
                <w:lang w:val="en-US" w:eastAsia="zh-CN" w:bidi="ar-SA"/>
              </w:rPr>
            </w:pPr>
          </w:p>
        </w:tc>
        <w:tc>
          <w:tcPr>
            <w:tcW w:w="966" w:type="dxa"/>
            <w:noWrap w:val="0"/>
            <w:vAlign w:val="center"/>
          </w:tcPr>
          <w:p>
            <w:pPr>
              <w:pStyle w:val="70"/>
              <w:widowControl w:val="0"/>
              <w:spacing w:line="360" w:lineRule="auto"/>
              <w:jc w:val="center"/>
              <w:rPr>
                <w:rStyle w:val="21"/>
                <w:rFonts w:hint="eastAsia" w:ascii="Calibri" w:hAnsi="Calibri" w:eastAsia="宋体" w:cs="Times New Roman"/>
                <w:color w:val="auto"/>
                <w:kern w:val="2"/>
                <w:sz w:val="21"/>
                <w:szCs w:val="22"/>
                <w:highlight w:val="none"/>
                <w:lang w:val="en-US" w:eastAsia="zh-CN" w:bidi="ar-SA"/>
              </w:rPr>
            </w:pPr>
          </w:p>
        </w:tc>
        <w:tc>
          <w:tcPr>
            <w:tcW w:w="966" w:type="dxa"/>
            <w:noWrap w:val="0"/>
            <w:vAlign w:val="center"/>
          </w:tcPr>
          <w:p>
            <w:pPr>
              <w:pStyle w:val="70"/>
              <w:widowControl w:val="0"/>
              <w:spacing w:line="360" w:lineRule="auto"/>
              <w:jc w:val="center"/>
              <w:rPr>
                <w:rStyle w:val="21"/>
                <w:rFonts w:hint="eastAsia" w:ascii="Calibri" w:hAnsi="Calibri" w:eastAsia="宋体" w:cs="Times New Roman"/>
                <w:color w:val="auto"/>
                <w:kern w:val="2"/>
                <w:sz w:val="21"/>
                <w:szCs w:val="22"/>
                <w:highlight w:val="none"/>
                <w:lang w:val="en-US" w:eastAsia="zh-CN" w:bidi="ar-SA"/>
              </w:rPr>
            </w:pPr>
          </w:p>
        </w:tc>
        <w:tc>
          <w:tcPr>
            <w:tcW w:w="798" w:type="dxa"/>
            <w:noWrap w:val="0"/>
            <w:vAlign w:val="center"/>
          </w:tcPr>
          <w:p>
            <w:pPr>
              <w:pStyle w:val="70"/>
              <w:widowControl w:val="0"/>
              <w:spacing w:line="360" w:lineRule="auto"/>
              <w:jc w:val="center"/>
              <w:rPr>
                <w:rStyle w:val="21"/>
                <w:rFonts w:hint="eastAsia" w:ascii="Calibri" w:hAnsi="Calibri" w:eastAsia="宋体" w:cs="Times New Roman"/>
                <w:color w:val="auto"/>
                <w:kern w:val="2"/>
                <w:sz w:val="21"/>
                <w:szCs w:val="22"/>
                <w:highlight w:val="none"/>
                <w:lang w:val="en-US" w:eastAsia="zh-CN" w:bidi="ar-SA"/>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0" w:hRule="atLeast"/>
        </w:trPr>
        <w:tc>
          <w:tcPr>
            <w:tcW w:w="733" w:type="dxa"/>
            <w:noWrap w:val="0"/>
            <w:vAlign w:val="center"/>
          </w:tcPr>
          <w:p>
            <w:pPr>
              <w:pStyle w:val="70"/>
              <w:widowControl w:val="0"/>
              <w:spacing w:line="360" w:lineRule="auto"/>
              <w:jc w:val="center"/>
              <w:rPr>
                <w:rStyle w:val="21"/>
                <w:rFonts w:hint="eastAsia" w:ascii="Calibri" w:hAnsi="Calibri" w:eastAsia="宋体" w:cs="Times New Roman"/>
                <w:color w:val="auto"/>
                <w:kern w:val="2"/>
                <w:sz w:val="21"/>
                <w:szCs w:val="22"/>
                <w:highlight w:val="none"/>
                <w:lang w:val="en-US" w:eastAsia="zh-CN" w:bidi="ar-SA"/>
              </w:rPr>
            </w:pPr>
          </w:p>
        </w:tc>
        <w:tc>
          <w:tcPr>
            <w:tcW w:w="733" w:type="dxa"/>
            <w:noWrap w:val="0"/>
            <w:vAlign w:val="center"/>
          </w:tcPr>
          <w:p>
            <w:pPr>
              <w:pStyle w:val="70"/>
              <w:widowControl w:val="0"/>
              <w:spacing w:line="360" w:lineRule="auto"/>
              <w:jc w:val="center"/>
              <w:rPr>
                <w:rStyle w:val="21"/>
                <w:rFonts w:hint="eastAsia" w:ascii="Calibri" w:hAnsi="Calibri" w:eastAsia="宋体" w:cs="Times New Roman"/>
                <w:color w:val="auto"/>
                <w:kern w:val="2"/>
                <w:sz w:val="21"/>
                <w:szCs w:val="22"/>
                <w:highlight w:val="none"/>
                <w:lang w:val="en-US" w:eastAsia="zh-CN" w:bidi="ar-SA"/>
              </w:rPr>
            </w:pPr>
          </w:p>
        </w:tc>
        <w:tc>
          <w:tcPr>
            <w:tcW w:w="733" w:type="dxa"/>
            <w:noWrap w:val="0"/>
            <w:vAlign w:val="center"/>
          </w:tcPr>
          <w:p>
            <w:pPr>
              <w:pStyle w:val="70"/>
              <w:widowControl w:val="0"/>
              <w:spacing w:line="360" w:lineRule="auto"/>
              <w:jc w:val="center"/>
              <w:rPr>
                <w:rStyle w:val="21"/>
                <w:rFonts w:hint="eastAsia" w:ascii="Calibri" w:hAnsi="Calibri" w:eastAsia="宋体" w:cs="Times New Roman"/>
                <w:color w:val="auto"/>
                <w:kern w:val="2"/>
                <w:sz w:val="21"/>
                <w:szCs w:val="22"/>
                <w:highlight w:val="none"/>
                <w:lang w:val="en-US" w:eastAsia="zh-CN" w:bidi="ar-SA"/>
              </w:rPr>
            </w:pPr>
          </w:p>
        </w:tc>
        <w:tc>
          <w:tcPr>
            <w:tcW w:w="1551" w:type="dxa"/>
            <w:noWrap w:val="0"/>
            <w:vAlign w:val="center"/>
          </w:tcPr>
          <w:p>
            <w:pPr>
              <w:pStyle w:val="70"/>
              <w:widowControl w:val="0"/>
              <w:spacing w:line="360" w:lineRule="auto"/>
              <w:jc w:val="center"/>
              <w:rPr>
                <w:rStyle w:val="21"/>
                <w:rFonts w:hint="eastAsia" w:ascii="Calibri" w:hAnsi="Calibri" w:eastAsia="宋体" w:cs="Times New Roman"/>
                <w:color w:val="auto"/>
                <w:kern w:val="2"/>
                <w:sz w:val="21"/>
                <w:szCs w:val="22"/>
                <w:highlight w:val="none"/>
                <w:lang w:val="en-US" w:eastAsia="zh-CN" w:bidi="ar-SA"/>
              </w:rPr>
            </w:pPr>
          </w:p>
        </w:tc>
        <w:tc>
          <w:tcPr>
            <w:tcW w:w="965" w:type="dxa"/>
            <w:noWrap w:val="0"/>
            <w:vAlign w:val="center"/>
          </w:tcPr>
          <w:p>
            <w:pPr>
              <w:pStyle w:val="70"/>
              <w:widowControl w:val="0"/>
              <w:spacing w:line="360" w:lineRule="auto"/>
              <w:jc w:val="center"/>
              <w:rPr>
                <w:rStyle w:val="21"/>
                <w:rFonts w:hint="eastAsia" w:ascii="Calibri" w:hAnsi="Calibri" w:eastAsia="宋体" w:cs="Times New Roman"/>
                <w:color w:val="auto"/>
                <w:kern w:val="2"/>
                <w:sz w:val="21"/>
                <w:szCs w:val="22"/>
                <w:highlight w:val="none"/>
                <w:lang w:val="en-US" w:eastAsia="zh-CN" w:bidi="ar-SA"/>
              </w:rPr>
            </w:pPr>
          </w:p>
        </w:tc>
        <w:tc>
          <w:tcPr>
            <w:tcW w:w="965" w:type="dxa"/>
            <w:noWrap w:val="0"/>
            <w:vAlign w:val="center"/>
          </w:tcPr>
          <w:p>
            <w:pPr>
              <w:pStyle w:val="70"/>
              <w:widowControl w:val="0"/>
              <w:spacing w:line="360" w:lineRule="auto"/>
              <w:jc w:val="center"/>
              <w:rPr>
                <w:rStyle w:val="21"/>
                <w:rFonts w:hint="eastAsia" w:ascii="Calibri" w:hAnsi="Calibri" w:eastAsia="宋体" w:cs="Times New Roman"/>
                <w:color w:val="auto"/>
                <w:kern w:val="2"/>
                <w:sz w:val="21"/>
                <w:szCs w:val="22"/>
                <w:highlight w:val="none"/>
                <w:lang w:val="en-US" w:eastAsia="zh-CN" w:bidi="ar-SA"/>
              </w:rPr>
            </w:pPr>
          </w:p>
        </w:tc>
        <w:tc>
          <w:tcPr>
            <w:tcW w:w="965" w:type="dxa"/>
            <w:noWrap w:val="0"/>
            <w:vAlign w:val="center"/>
          </w:tcPr>
          <w:p>
            <w:pPr>
              <w:pStyle w:val="70"/>
              <w:widowControl w:val="0"/>
              <w:spacing w:line="360" w:lineRule="auto"/>
              <w:jc w:val="center"/>
              <w:rPr>
                <w:rStyle w:val="21"/>
                <w:rFonts w:hint="eastAsia" w:ascii="Calibri" w:hAnsi="Calibri" w:eastAsia="宋体" w:cs="Times New Roman"/>
                <w:color w:val="auto"/>
                <w:kern w:val="2"/>
                <w:sz w:val="21"/>
                <w:szCs w:val="22"/>
                <w:highlight w:val="none"/>
                <w:lang w:val="en-US" w:eastAsia="zh-CN" w:bidi="ar-SA"/>
              </w:rPr>
            </w:pPr>
          </w:p>
        </w:tc>
        <w:tc>
          <w:tcPr>
            <w:tcW w:w="966" w:type="dxa"/>
            <w:noWrap w:val="0"/>
            <w:vAlign w:val="center"/>
          </w:tcPr>
          <w:p>
            <w:pPr>
              <w:pStyle w:val="70"/>
              <w:widowControl w:val="0"/>
              <w:spacing w:line="360" w:lineRule="auto"/>
              <w:jc w:val="center"/>
              <w:rPr>
                <w:rStyle w:val="21"/>
                <w:rFonts w:hint="eastAsia" w:ascii="Calibri" w:hAnsi="Calibri" w:eastAsia="宋体" w:cs="Times New Roman"/>
                <w:color w:val="auto"/>
                <w:kern w:val="2"/>
                <w:sz w:val="21"/>
                <w:szCs w:val="22"/>
                <w:highlight w:val="none"/>
                <w:lang w:val="en-US" w:eastAsia="zh-CN" w:bidi="ar-SA"/>
              </w:rPr>
            </w:pPr>
          </w:p>
        </w:tc>
        <w:tc>
          <w:tcPr>
            <w:tcW w:w="966" w:type="dxa"/>
            <w:noWrap w:val="0"/>
            <w:vAlign w:val="center"/>
          </w:tcPr>
          <w:p>
            <w:pPr>
              <w:pStyle w:val="70"/>
              <w:widowControl w:val="0"/>
              <w:spacing w:line="360" w:lineRule="auto"/>
              <w:jc w:val="center"/>
              <w:rPr>
                <w:rStyle w:val="21"/>
                <w:rFonts w:hint="eastAsia" w:ascii="Calibri" w:hAnsi="Calibri" w:eastAsia="宋体" w:cs="Times New Roman"/>
                <w:color w:val="auto"/>
                <w:kern w:val="2"/>
                <w:sz w:val="21"/>
                <w:szCs w:val="22"/>
                <w:highlight w:val="none"/>
                <w:lang w:val="en-US" w:eastAsia="zh-CN" w:bidi="ar-SA"/>
              </w:rPr>
            </w:pPr>
          </w:p>
        </w:tc>
        <w:tc>
          <w:tcPr>
            <w:tcW w:w="798" w:type="dxa"/>
            <w:noWrap w:val="0"/>
            <w:vAlign w:val="center"/>
          </w:tcPr>
          <w:p>
            <w:pPr>
              <w:pStyle w:val="70"/>
              <w:widowControl w:val="0"/>
              <w:spacing w:line="360" w:lineRule="auto"/>
              <w:jc w:val="center"/>
              <w:rPr>
                <w:rStyle w:val="21"/>
                <w:rFonts w:hint="eastAsia" w:ascii="Calibri" w:hAnsi="Calibri" w:eastAsia="宋体" w:cs="Times New Roman"/>
                <w:color w:val="auto"/>
                <w:kern w:val="2"/>
                <w:sz w:val="21"/>
                <w:szCs w:val="22"/>
                <w:highlight w:val="none"/>
                <w:lang w:val="en-US" w:eastAsia="zh-CN" w:bidi="ar-SA"/>
              </w:rPr>
            </w:pPr>
          </w:p>
        </w:tc>
      </w:tr>
    </w:tbl>
    <w:p>
      <w:pPr>
        <w:pStyle w:val="70"/>
        <w:spacing w:line="360" w:lineRule="auto"/>
        <w:rPr>
          <w:rStyle w:val="21"/>
          <w:rFonts w:hint="eastAsia" w:ascii="Calibri" w:hAnsi="Calibri" w:eastAsia="宋体" w:cs="Times New Roman"/>
          <w:color w:val="auto"/>
          <w:highlight w:val="none"/>
        </w:rPr>
      </w:pPr>
    </w:p>
    <w:p>
      <w:pPr>
        <w:pStyle w:val="70"/>
        <w:rPr>
          <w:rStyle w:val="21"/>
          <w:rFonts w:hint="eastAsia" w:ascii="黑体" w:hAnsi="黑体" w:eastAsia="黑体" w:cs="Times New Roman"/>
          <w:color w:val="auto"/>
          <w:sz w:val="28"/>
          <w:szCs w:val="28"/>
          <w:highlight w:val="none"/>
        </w:rPr>
      </w:pPr>
      <w:r>
        <w:rPr>
          <w:rStyle w:val="21"/>
          <w:rFonts w:hint="eastAsia" w:ascii="黑体" w:hAnsi="黑体" w:eastAsia="黑体" w:cs="Times New Roman"/>
          <w:color w:val="auto"/>
          <w:sz w:val="28"/>
          <w:szCs w:val="28"/>
          <w:highlight w:val="none"/>
        </w:rPr>
        <w:t>附件二：</w:t>
      </w:r>
    </w:p>
    <w:p>
      <w:pPr>
        <w:pStyle w:val="70"/>
        <w:spacing w:line="360" w:lineRule="auto"/>
        <w:rPr>
          <w:rStyle w:val="21"/>
          <w:rFonts w:ascii="黑体" w:hAnsi="黑体" w:eastAsia="黑体" w:cs="Times New Roman"/>
          <w:color w:val="auto"/>
          <w:sz w:val="28"/>
          <w:szCs w:val="28"/>
          <w:highlight w:val="none"/>
        </w:rPr>
      </w:pPr>
    </w:p>
    <w:p>
      <w:pPr>
        <w:pStyle w:val="70"/>
        <w:spacing w:line="360" w:lineRule="auto"/>
        <w:jc w:val="center"/>
        <w:rPr>
          <w:rStyle w:val="21"/>
          <w:rFonts w:ascii="黑体" w:hAnsi="黑体" w:eastAsia="黑体" w:cs="Times New Roman"/>
          <w:color w:val="auto"/>
          <w:sz w:val="28"/>
          <w:szCs w:val="28"/>
          <w:highlight w:val="none"/>
        </w:rPr>
      </w:pPr>
      <w:r>
        <w:rPr>
          <w:rStyle w:val="21"/>
          <w:rFonts w:hint="eastAsia" w:ascii="黑体" w:hAnsi="黑体" w:eastAsia="黑体" w:cs="Times New Roman"/>
          <w:color w:val="auto"/>
          <w:sz w:val="28"/>
          <w:szCs w:val="28"/>
          <w:highlight w:val="none"/>
        </w:rPr>
        <w:t>拟投入本标段的试验和检测仪器设备表</w:t>
      </w:r>
    </w:p>
    <w:tbl>
      <w:tblPr>
        <w:tblStyle w:val="19"/>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709"/>
        <w:gridCol w:w="1259"/>
        <w:gridCol w:w="1293"/>
        <w:gridCol w:w="783"/>
        <w:gridCol w:w="1343"/>
        <w:gridCol w:w="1134"/>
        <w:gridCol w:w="992"/>
        <w:gridCol w:w="683"/>
        <w:gridCol w:w="876"/>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709" w:type="dxa"/>
            <w:noWrap w:val="0"/>
            <w:vAlign w:val="center"/>
          </w:tcPr>
          <w:p>
            <w:pPr>
              <w:pStyle w:val="70"/>
              <w:widowControl w:val="0"/>
              <w:spacing w:line="360" w:lineRule="auto"/>
              <w:jc w:val="center"/>
              <w:rPr>
                <w:rStyle w:val="21"/>
                <w:rFonts w:hint="eastAsia" w:ascii="Calibri" w:hAnsi="Calibri" w:eastAsia="宋体" w:cs="Times New Roman"/>
                <w:color w:val="auto"/>
                <w:kern w:val="2"/>
                <w:sz w:val="21"/>
                <w:szCs w:val="22"/>
                <w:highlight w:val="none"/>
                <w:lang w:val="en-US" w:eastAsia="zh-CN" w:bidi="ar-SA"/>
              </w:rPr>
            </w:pPr>
            <w:r>
              <w:rPr>
                <w:rStyle w:val="21"/>
                <w:rFonts w:hint="eastAsia" w:ascii="Calibri" w:hAnsi="Calibri" w:eastAsia="宋体" w:cs="Times New Roman"/>
                <w:color w:val="auto"/>
                <w:kern w:val="2"/>
                <w:sz w:val="21"/>
                <w:szCs w:val="22"/>
                <w:highlight w:val="none"/>
                <w:lang w:val="en-US" w:eastAsia="zh-CN" w:bidi="ar-SA"/>
              </w:rPr>
              <w:t>序号</w:t>
            </w:r>
          </w:p>
        </w:tc>
        <w:tc>
          <w:tcPr>
            <w:tcW w:w="1259" w:type="dxa"/>
            <w:noWrap w:val="0"/>
            <w:vAlign w:val="center"/>
          </w:tcPr>
          <w:p>
            <w:pPr>
              <w:pStyle w:val="70"/>
              <w:widowControl w:val="0"/>
              <w:spacing w:line="360" w:lineRule="auto"/>
              <w:jc w:val="center"/>
              <w:rPr>
                <w:rStyle w:val="21"/>
                <w:rFonts w:hint="eastAsia" w:ascii="Calibri" w:hAnsi="Calibri" w:eastAsia="宋体" w:cs="Times New Roman"/>
                <w:color w:val="auto"/>
                <w:kern w:val="2"/>
                <w:sz w:val="21"/>
                <w:szCs w:val="22"/>
                <w:highlight w:val="none"/>
                <w:lang w:val="en-US" w:eastAsia="zh-CN" w:bidi="ar-SA"/>
              </w:rPr>
            </w:pPr>
            <w:r>
              <w:rPr>
                <w:rStyle w:val="21"/>
                <w:rFonts w:hint="eastAsia" w:ascii="Calibri" w:hAnsi="Calibri" w:eastAsia="宋体" w:cs="Times New Roman"/>
                <w:color w:val="auto"/>
                <w:kern w:val="2"/>
                <w:sz w:val="21"/>
                <w:szCs w:val="22"/>
                <w:highlight w:val="none"/>
                <w:lang w:val="en-US" w:eastAsia="zh-CN" w:bidi="ar-SA"/>
              </w:rPr>
              <w:t>仪器设备名称</w:t>
            </w:r>
          </w:p>
        </w:tc>
        <w:tc>
          <w:tcPr>
            <w:tcW w:w="1293" w:type="dxa"/>
            <w:noWrap w:val="0"/>
            <w:vAlign w:val="center"/>
          </w:tcPr>
          <w:p>
            <w:pPr>
              <w:pStyle w:val="70"/>
              <w:widowControl w:val="0"/>
              <w:spacing w:line="360" w:lineRule="auto"/>
              <w:jc w:val="center"/>
              <w:rPr>
                <w:rStyle w:val="21"/>
                <w:rFonts w:hint="eastAsia" w:ascii="Calibri" w:hAnsi="Calibri" w:eastAsia="宋体" w:cs="Times New Roman"/>
                <w:color w:val="auto"/>
                <w:kern w:val="2"/>
                <w:sz w:val="21"/>
                <w:szCs w:val="22"/>
                <w:highlight w:val="none"/>
                <w:lang w:val="en-US" w:eastAsia="zh-CN" w:bidi="ar-SA"/>
              </w:rPr>
            </w:pPr>
            <w:r>
              <w:rPr>
                <w:rStyle w:val="21"/>
                <w:rFonts w:hint="eastAsia" w:ascii="Calibri" w:hAnsi="Calibri" w:eastAsia="宋体" w:cs="Times New Roman"/>
                <w:color w:val="auto"/>
                <w:kern w:val="2"/>
                <w:sz w:val="21"/>
                <w:szCs w:val="22"/>
                <w:highlight w:val="none"/>
                <w:lang w:val="en-US" w:eastAsia="zh-CN" w:bidi="ar-SA"/>
              </w:rPr>
              <w:t>型号规格</w:t>
            </w:r>
          </w:p>
        </w:tc>
        <w:tc>
          <w:tcPr>
            <w:tcW w:w="783" w:type="dxa"/>
            <w:noWrap w:val="0"/>
            <w:vAlign w:val="center"/>
          </w:tcPr>
          <w:p>
            <w:pPr>
              <w:pStyle w:val="70"/>
              <w:widowControl w:val="0"/>
              <w:spacing w:line="360" w:lineRule="auto"/>
              <w:jc w:val="center"/>
              <w:rPr>
                <w:rStyle w:val="21"/>
                <w:rFonts w:hint="eastAsia" w:ascii="Calibri" w:hAnsi="Calibri" w:eastAsia="宋体" w:cs="Times New Roman"/>
                <w:color w:val="auto"/>
                <w:kern w:val="2"/>
                <w:sz w:val="21"/>
                <w:szCs w:val="22"/>
                <w:highlight w:val="none"/>
                <w:lang w:val="en-US" w:eastAsia="zh-CN" w:bidi="ar-SA"/>
              </w:rPr>
            </w:pPr>
            <w:r>
              <w:rPr>
                <w:rStyle w:val="21"/>
                <w:rFonts w:hint="eastAsia" w:ascii="Calibri" w:hAnsi="Calibri" w:eastAsia="宋体" w:cs="Times New Roman"/>
                <w:color w:val="auto"/>
                <w:kern w:val="2"/>
                <w:sz w:val="21"/>
                <w:szCs w:val="22"/>
                <w:highlight w:val="none"/>
                <w:lang w:val="en-US" w:eastAsia="zh-CN" w:bidi="ar-SA"/>
              </w:rPr>
              <w:t>数量</w:t>
            </w:r>
          </w:p>
        </w:tc>
        <w:tc>
          <w:tcPr>
            <w:tcW w:w="1343" w:type="dxa"/>
            <w:noWrap w:val="0"/>
            <w:vAlign w:val="center"/>
          </w:tcPr>
          <w:p>
            <w:pPr>
              <w:pStyle w:val="70"/>
              <w:widowControl w:val="0"/>
              <w:spacing w:line="360" w:lineRule="auto"/>
              <w:jc w:val="center"/>
              <w:rPr>
                <w:rStyle w:val="21"/>
                <w:rFonts w:hint="eastAsia" w:ascii="Calibri" w:hAnsi="Calibri" w:eastAsia="宋体" w:cs="Times New Roman"/>
                <w:color w:val="auto"/>
                <w:kern w:val="2"/>
                <w:sz w:val="21"/>
                <w:szCs w:val="22"/>
                <w:highlight w:val="none"/>
                <w:lang w:val="en-US" w:eastAsia="zh-CN" w:bidi="ar-SA"/>
              </w:rPr>
            </w:pPr>
            <w:r>
              <w:rPr>
                <w:rStyle w:val="21"/>
                <w:rFonts w:hint="eastAsia" w:ascii="Calibri" w:hAnsi="Calibri" w:eastAsia="宋体" w:cs="Times New Roman"/>
                <w:color w:val="auto"/>
                <w:kern w:val="2"/>
                <w:sz w:val="21"/>
                <w:szCs w:val="22"/>
                <w:highlight w:val="none"/>
                <w:lang w:val="en-US" w:eastAsia="zh-CN" w:bidi="ar-SA"/>
              </w:rPr>
              <w:t>国别产地</w:t>
            </w:r>
          </w:p>
        </w:tc>
        <w:tc>
          <w:tcPr>
            <w:tcW w:w="1134" w:type="dxa"/>
            <w:noWrap w:val="0"/>
            <w:vAlign w:val="center"/>
          </w:tcPr>
          <w:p>
            <w:pPr>
              <w:pStyle w:val="70"/>
              <w:widowControl w:val="0"/>
              <w:spacing w:line="360" w:lineRule="auto"/>
              <w:jc w:val="center"/>
              <w:rPr>
                <w:rStyle w:val="21"/>
                <w:rFonts w:hint="eastAsia" w:ascii="Calibri" w:hAnsi="Calibri" w:eastAsia="宋体" w:cs="Times New Roman"/>
                <w:color w:val="auto"/>
                <w:kern w:val="2"/>
                <w:sz w:val="21"/>
                <w:szCs w:val="22"/>
                <w:highlight w:val="none"/>
                <w:lang w:val="en-US" w:eastAsia="zh-CN" w:bidi="ar-SA"/>
              </w:rPr>
            </w:pPr>
            <w:r>
              <w:rPr>
                <w:rStyle w:val="21"/>
                <w:rFonts w:hint="eastAsia" w:ascii="Calibri" w:hAnsi="Calibri" w:eastAsia="宋体" w:cs="Times New Roman"/>
                <w:color w:val="auto"/>
                <w:kern w:val="2"/>
                <w:sz w:val="21"/>
                <w:szCs w:val="22"/>
                <w:highlight w:val="none"/>
                <w:lang w:val="en-US" w:eastAsia="zh-CN" w:bidi="ar-SA"/>
              </w:rPr>
              <w:t>制造年份</w:t>
            </w:r>
          </w:p>
        </w:tc>
        <w:tc>
          <w:tcPr>
            <w:tcW w:w="992" w:type="dxa"/>
            <w:noWrap w:val="0"/>
            <w:vAlign w:val="center"/>
          </w:tcPr>
          <w:p>
            <w:pPr>
              <w:pStyle w:val="70"/>
              <w:widowControl w:val="0"/>
              <w:spacing w:line="360" w:lineRule="auto"/>
              <w:jc w:val="center"/>
              <w:rPr>
                <w:rStyle w:val="21"/>
                <w:rFonts w:hint="eastAsia" w:ascii="Calibri" w:hAnsi="Calibri" w:eastAsia="宋体" w:cs="Times New Roman"/>
                <w:color w:val="auto"/>
                <w:kern w:val="2"/>
                <w:sz w:val="21"/>
                <w:szCs w:val="22"/>
                <w:highlight w:val="none"/>
                <w:lang w:val="en-US" w:eastAsia="zh-CN" w:bidi="ar-SA"/>
              </w:rPr>
            </w:pPr>
            <w:r>
              <w:rPr>
                <w:rStyle w:val="21"/>
                <w:rFonts w:hint="eastAsia" w:ascii="Calibri" w:hAnsi="Calibri" w:eastAsia="宋体" w:cs="Times New Roman"/>
                <w:color w:val="auto"/>
                <w:kern w:val="2"/>
                <w:sz w:val="21"/>
                <w:szCs w:val="22"/>
                <w:highlight w:val="none"/>
                <w:lang w:val="en-US" w:eastAsia="zh-CN" w:bidi="ar-SA"/>
              </w:rPr>
              <w:t>已使用台时数</w:t>
            </w:r>
          </w:p>
        </w:tc>
        <w:tc>
          <w:tcPr>
            <w:tcW w:w="683" w:type="dxa"/>
            <w:noWrap w:val="0"/>
            <w:vAlign w:val="center"/>
          </w:tcPr>
          <w:p>
            <w:pPr>
              <w:pStyle w:val="70"/>
              <w:widowControl w:val="0"/>
              <w:spacing w:line="360" w:lineRule="auto"/>
              <w:jc w:val="center"/>
              <w:rPr>
                <w:rStyle w:val="21"/>
                <w:rFonts w:hint="eastAsia" w:ascii="Calibri" w:hAnsi="Calibri" w:eastAsia="宋体" w:cs="Times New Roman"/>
                <w:color w:val="auto"/>
                <w:kern w:val="2"/>
                <w:sz w:val="21"/>
                <w:szCs w:val="22"/>
                <w:highlight w:val="none"/>
                <w:lang w:val="en-US" w:eastAsia="zh-CN" w:bidi="ar-SA"/>
              </w:rPr>
            </w:pPr>
            <w:r>
              <w:rPr>
                <w:rStyle w:val="21"/>
                <w:rFonts w:hint="eastAsia" w:ascii="Calibri" w:hAnsi="Calibri" w:eastAsia="宋体" w:cs="Times New Roman"/>
                <w:color w:val="auto"/>
                <w:kern w:val="2"/>
                <w:sz w:val="21"/>
                <w:szCs w:val="22"/>
                <w:highlight w:val="none"/>
                <w:lang w:val="en-US" w:eastAsia="zh-CN" w:bidi="ar-SA"/>
              </w:rPr>
              <w:t>用途</w:t>
            </w:r>
          </w:p>
        </w:tc>
        <w:tc>
          <w:tcPr>
            <w:tcW w:w="876" w:type="dxa"/>
            <w:noWrap w:val="0"/>
            <w:vAlign w:val="center"/>
          </w:tcPr>
          <w:p>
            <w:pPr>
              <w:pStyle w:val="70"/>
              <w:widowControl w:val="0"/>
              <w:spacing w:line="360" w:lineRule="auto"/>
              <w:jc w:val="center"/>
              <w:rPr>
                <w:rStyle w:val="21"/>
                <w:rFonts w:ascii="Calibri" w:hAnsi="Calibri" w:eastAsia="宋体" w:cs="Times New Roman"/>
                <w:color w:val="auto"/>
                <w:kern w:val="2"/>
                <w:sz w:val="21"/>
                <w:szCs w:val="22"/>
                <w:highlight w:val="none"/>
                <w:lang w:val="en-US" w:eastAsia="zh-CN" w:bidi="ar-SA"/>
              </w:rPr>
            </w:pPr>
            <w:r>
              <w:rPr>
                <w:rStyle w:val="21"/>
                <w:rFonts w:hint="eastAsia" w:ascii="Calibri" w:hAnsi="Calibri" w:eastAsia="宋体" w:cs="Times New Roman"/>
                <w:color w:val="auto"/>
                <w:kern w:val="2"/>
                <w:sz w:val="21"/>
                <w:szCs w:val="22"/>
                <w:highlight w:val="none"/>
                <w:lang w:val="en-US" w:eastAsia="zh-CN" w:bidi="ar-SA"/>
              </w:rPr>
              <w:t>备注</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709" w:type="dxa"/>
            <w:noWrap w:val="0"/>
            <w:vAlign w:val="center"/>
          </w:tcPr>
          <w:p>
            <w:pPr>
              <w:pStyle w:val="70"/>
              <w:widowControl w:val="0"/>
              <w:spacing w:line="360" w:lineRule="auto"/>
              <w:jc w:val="center"/>
              <w:rPr>
                <w:rStyle w:val="21"/>
                <w:rFonts w:hint="eastAsia" w:ascii="Calibri" w:hAnsi="Calibri" w:eastAsia="宋体" w:cs="Times New Roman"/>
                <w:color w:val="auto"/>
                <w:kern w:val="2"/>
                <w:sz w:val="21"/>
                <w:szCs w:val="22"/>
                <w:highlight w:val="none"/>
                <w:lang w:val="en-US" w:eastAsia="zh-CN" w:bidi="ar-SA"/>
              </w:rPr>
            </w:pPr>
          </w:p>
        </w:tc>
        <w:tc>
          <w:tcPr>
            <w:tcW w:w="1259" w:type="dxa"/>
            <w:noWrap w:val="0"/>
            <w:vAlign w:val="center"/>
          </w:tcPr>
          <w:p>
            <w:pPr>
              <w:pStyle w:val="70"/>
              <w:widowControl w:val="0"/>
              <w:spacing w:line="360" w:lineRule="auto"/>
              <w:jc w:val="center"/>
              <w:rPr>
                <w:rStyle w:val="21"/>
                <w:rFonts w:hint="eastAsia" w:ascii="Calibri" w:hAnsi="Calibri" w:eastAsia="宋体" w:cs="Times New Roman"/>
                <w:color w:val="auto"/>
                <w:kern w:val="2"/>
                <w:sz w:val="21"/>
                <w:szCs w:val="22"/>
                <w:highlight w:val="none"/>
                <w:lang w:val="en-US" w:eastAsia="zh-CN" w:bidi="ar-SA"/>
              </w:rPr>
            </w:pPr>
          </w:p>
        </w:tc>
        <w:tc>
          <w:tcPr>
            <w:tcW w:w="1293" w:type="dxa"/>
            <w:noWrap w:val="0"/>
            <w:vAlign w:val="center"/>
          </w:tcPr>
          <w:p>
            <w:pPr>
              <w:pStyle w:val="70"/>
              <w:widowControl w:val="0"/>
              <w:spacing w:line="360" w:lineRule="auto"/>
              <w:jc w:val="center"/>
              <w:rPr>
                <w:rStyle w:val="21"/>
                <w:rFonts w:hint="eastAsia" w:ascii="Calibri" w:hAnsi="Calibri" w:eastAsia="宋体" w:cs="Times New Roman"/>
                <w:color w:val="auto"/>
                <w:kern w:val="2"/>
                <w:sz w:val="21"/>
                <w:szCs w:val="22"/>
                <w:highlight w:val="none"/>
                <w:lang w:val="en-US" w:eastAsia="zh-CN" w:bidi="ar-SA"/>
              </w:rPr>
            </w:pPr>
          </w:p>
        </w:tc>
        <w:tc>
          <w:tcPr>
            <w:tcW w:w="783" w:type="dxa"/>
            <w:noWrap w:val="0"/>
            <w:vAlign w:val="center"/>
          </w:tcPr>
          <w:p>
            <w:pPr>
              <w:pStyle w:val="70"/>
              <w:widowControl w:val="0"/>
              <w:spacing w:line="360" w:lineRule="auto"/>
              <w:jc w:val="center"/>
              <w:rPr>
                <w:rStyle w:val="21"/>
                <w:rFonts w:hint="eastAsia" w:ascii="Calibri" w:hAnsi="Calibri" w:eastAsia="宋体" w:cs="Times New Roman"/>
                <w:color w:val="auto"/>
                <w:kern w:val="2"/>
                <w:sz w:val="21"/>
                <w:szCs w:val="22"/>
                <w:highlight w:val="none"/>
                <w:lang w:val="en-US" w:eastAsia="zh-CN" w:bidi="ar-SA"/>
              </w:rPr>
            </w:pPr>
          </w:p>
        </w:tc>
        <w:tc>
          <w:tcPr>
            <w:tcW w:w="1343" w:type="dxa"/>
            <w:noWrap w:val="0"/>
            <w:vAlign w:val="center"/>
          </w:tcPr>
          <w:p>
            <w:pPr>
              <w:pStyle w:val="70"/>
              <w:widowControl w:val="0"/>
              <w:spacing w:line="360" w:lineRule="auto"/>
              <w:jc w:val="center"/>
              <w:rPr>
                <w:rStyle w:val="21"/>
                <w:rFonts w:hint="eastAsia" w:ascii="Calibri" w:hAnsi="Calibri" w:eastAsia="宋体" w:cs="Times New Roman"/>
                <w:color w:val="auto"/>
                <w:kern w:val="2"/>
                <w:sz w:val="21"/>
                <w:szCs w:val="22"/>
                <w:highlight w:val="none"/>
                <w:lang w:val="en-US" w:eastAsia="zh-CN" w:bidi="ar-SA"/>
              </w:rPr>
            </w:pPr>
          </w:p>
        </w:tc>
        <w:tc>
          <w:tcPr>
            <w:tcW w:w="1134" w:type="dxa"/>
            <w:noWrap w:val="0"/>
            <w:vAlign w:val="center"/>
          </w:tcPr>
          <w:p>
            <w:pPr>
              <w:pStyle w:val="70"/>
              <w:widowControl w:val="0"/>
              <w:spacing w:line="360" w:lineRule="auto"/>
              <w:jc w:val="center"/>
              <w:rPr>
                <w:rStyle w:val="21"/>
                <w:rFonts w:hint="eastAsia" w:ascii="Calibri" w:hAnsi="Calibri" w:eastAsia="宋体" w:cs="Times New Roman"/>
                <w:color w:val="auto"/>
                <w:kern w:val="2"/>
                <w:sz w:val="21"/>
                <w:szCs w:val="22"/>
                <w:highlight w:val="none"/>
                <w:lang w:val="en-US" w:eastAsia="zh-CN" w:bidi="ar-SA"/>
              </w:rPr>
            </w:pPr>
          </w:p>
        </w:tc>
        <w:tc>
          <w:tcPr>
            <w:tcW w:w="992" w:type="dxa"/>
            <w:noWrap w:val="0"/>
            <w:vAlign w:val="center"/>
          </w:tcPr>
          <w:p>
            <w:pPr>
              <w:pStyle w:val="70"/>
              <w:widowControl w:val="0"/>
              <w:spacing w:line="360" w:lineRule="auto"/>
              <w:jc w:val="center"/>
              <w:rPr>
                <w:rStyle w:val="21"/>
                <w:rFonts w:hint="eastAsia" w:ascii="Calibri" w:hAnsi="Calibri" w:eastAsia="宋体" w:cs="Times New Roman"/>
                <w:color w:val="auto"/>
                <w:kern w:val="2"/>
                <w:sz w:val="21"/>
                <w:szCs w:val="22"/>
                <w:highlight w:val="none"/>
                <w:lang w:val="en-US" w:eastAsia="zh-CN" w:bidi="ar-SA"/>
              </w:rPr>
            </w:pPr>
          </w:p>
        </w:tc>
        <w:tc>
          <w:tcPr>
            <w:tcW w:w="683" w:type="dxa"/>
            <w:noWrap w:val="0"/>
            <w:vAlign w:val="center"/>
          </w:tcPr>
          <w:p>
            <w:pPr>
              <w:pStyle w:val="70"/>
              <w:widowControl w:val="0"/>
              <w:spacing w:line="360" w:lineRule="auto"/>
              <w:jc w:val="center"/>
              <w:rPr>
                <w:rStyle w:val="21"/>
                <w:rFonts w:hint="eastAsia" w:ascii="Calibri" w:hAnsi="Calibri" w:eastAsia="宋体" w:cs="Times New Roman"/>
                <w:color w:val="auto"/>
                <w:kern w:val="2"/>
                <w:sz w:val="21"/>
                <w:szCs w:val="22"/>
                <w:highlight w:val="none"/>
                <w:lang w:val="en-US" w:eastAsia="zh-CN" w:bidi="ar-SA"/>
              </w:rPr>
            </w:pPr>
          </w:p>
        </w:tc>
        <w:tc>
          <w:tcPr>
            <w:tcW w:w="876" w:type="dxa"/>
            <w:noWrap w:val="0"/>
            <w:vAlign w:val="center"/>
          </w:tcPr>
          <w:p>
            <w:pPr>
              <w:pStyle w:val="70"/>
              <w:widowControl w:val="0"/>
              <w:spacing w:line="360" w:lineRule="auto"/>
              <w:jc w:val="center"/>
              <w:rPr>
                <w:rStyle w:val="21"/>
                <w:rFonts w:hint="eastAsia" w:ascii="Calibri" w:hAnsi="Calibri" w:eastAsia="宋体" w:cs="Times New Roman"/>
                <w:color w:val="auto"/>
                <w:kern w:val="2"/>
                <w:sz w:val="21"/>
                <w:szCs w:val="22"/>
                <w:highlight w:val="none"/>
                <w:lang w:val="en-US" w:eastAsia="zh-CN" w:bidi="ar-SA"/>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709" w:type="dxa"/>
            <w:noWrap w:val="0"/>
            <w:vAlign w:val="center"/>
          </w:tcPr>
          <w:p>
            <w:pPr>
              <w:pStyle w:val="70"/>
              <w:widowControl w:val="0"/>
              <w:spacing w:line="360" w:lineRule="auto"/>
              <w:jc w:val="center"/>
              <w:rPr>
                <w:rStyle w:val="21"/>
                <w:rFonts w:hint="eastAsia" w:ascii="Calibri" w:hAnsi="Calibri" w:eastAsia="宋体" w:cs="Times New Roman"/>
                <w:color w:val="auto"/>
                <w:kern w:val="2"/>
                <w:sz w:val="21"/>
                <w:szCs w:val="22"/>
                <w:highlight w:val="none"/>
                <w:lang w:val="en-US" w:eastAsia="zh-CN" w:bidi="ar-SA"/>
              </w:rPr>
            </w:pPr>
          </w:p>
        </w:tc>
        <w:tc>
          <w:tcPr>
            <w:tcW w:w="1259" w:type="dxa"/>
            <w:noWrap w:val="0"/>
            <w:vAlign w:val="center"/>
          </w:tcPr>
          <w:p>
            <w:pPr>
              <w:pStyle w:val="70"/>
              <w:widowControl w:val="0"/>
              <w:spacing w:line="360" w:lineRule="auto"/>
              <w:jc w:val="center"/>
              <w:rPr>
                <w:rStyle w:val="21"/>
                <w:rFonts w:hint="eastAsia" w:ascii="Calibri" w:hAnsi="Calibri" w:eastAsia="宋体" w:cs="Times New Roman"/>
                <w:color w:val="auto"/>
                <w:kern w:val="2"/>
                <w:sz w:val="21"/>
                <w:szCs w:val="22"/>
                <w:highlight w:val="none"/>
                <w:lang w:val="en-US" w:eastAsia="zh-CN" w:bidi="ar-SA"/>
              </w:rPr>
            </w:pPr>
          </w:p>
        </w:tc>
        <w:tc>
          <w:tcPr>
            <w:tcW w:w="1293" w:type="dxa"/>
            <w:noWrap w:val="0"/>
            <w:vAlign w:val="center"/>
          </w:tcPr>
          <w:p>
            <w:pPr>
              <w:pStyle w:val="70"/>
              <w:widowControl w:val="0"/>
              <w:spacing w:line="360" w:lineRule="auto"/>
              <w:jc w:val="center"/>
              <w:rPr>
                <w:rStyle w:val="21"/>
                <w:rFonts w:hint="eastAsia" w:ascii="Calibri" w:hAnsi="Calibri" w:eastAsia="宋体" w:cs="Times New Roman"/>
                <w:color w:val="auto"/>
                <w:kern w:val="2"/>
                <w:sz w:val="21"/>
                <w:szCs w:val="22"/>
                <w:highlight w:val="none"/>
                <w:lang w:val="en-US" w:eastAsia="zh-CN" w:bidi="ar-SA"/>
              </w:rPr>
            </w:pPr>
          </w:p>
        </w:tc>
        <w:tc>
          <w:tcPr>
            <w:tcW w:w="783" w:type="dxa"/>
            <w:noWrap w:val="0"/>
            <w:vAlign w:val="center"/>
          </w:tcPr>
          <w:p>
            <w:pPr>
              <w:pStyle w:val="70"/>
              <w:widowControl w:val="0"/>
              <w:spacing w:line="360" w:lineRule="auto"/>
              <w:jc w:val="center"/>
              <w:rPr>
                <w:rStyle w:val="21"/>
                <w:rFonts w:hint="eastAsia" w:ascii="Calibri" w:hAnsi="Calibri" w:eastAsia="宋体" w:cs="Times New Roman"/>
                <w:color w:val="auto"/>
                <w:kern w:val="2"/>
                <w:sz w:val="21"/>
                <w:szCs w:val="22"/>
                <w:highlight w:val="none"/>
                <w:lang w:val="en-US" w:eastAsia="zh-CN" w:bidi="ar-SA"/>
              </w:rPr>
            </w:pPr>
          </w:p>
        </w:tc>
        <w:tc>
          <w:tcPr>
            <w:tcW w:w="1343" w:type="dxa"/>
            <w:noWrap w:val="0"/>
            <w:vAlign w:val="center"/>
          </w:tcPr>
          <w:p>
            <w:pPr>
              <w:pStyle w:val="70"/>
              <w:widowControl w:val="0"/>
              <w:spacing w:line="360" w:lineRule="auto"/>
              <w:jc w:val="center"/>
              <w:rPr>
                <w:rStyle w:val="21"/>
                <w:rFonts w:hint="eastAsia" w:ascii="Calibri" w:hAnsi="Calibri" w:eastAsia="宋体" w:cs="Times New Roman"/>
                <w:color w:val="auto"/>
                <w:kern w:val="2"/>
                <w:sz w:val="21"/>
                <w:szCs w:val="22"/>
                <w:highlight w:val="none"/>
                <w:lang w:val="en-US" w:eastAsia="zh-CN" w:bidi="ar-SA"/>
              </w:rPr>
            </w:pPr>
          </w:p>
        </w:tc>
        <w:tc>
          <w:tcPr>
            <w:tcW w:w="1134" w:type="dxa"/>
            <w:noWrap w:val="0"/>
            <w:vAlign w:val="center"/>
          </w:tcPr>
          <w:p>
            <w:pPr>
              <w:pStyle w:val="70"/>
              <w:widowControl w:val="0"/>
              <w:spacing w:line="360" w:lineRule="auto"/>
              <w:jc w:val="center"/>
              <w:rPr>
                <w:rStyle w:val="21"/>
                <w:rFonts w:hint="eastAsia" w:ascii="Calibri" w:hAnsi="Calibri" w:eastAsia="宋体" w:cs="Times New Roman"/>
                <w:color w:val="auto"/>
                <w:kern w:val="2"/>
                <w:sz w:val="21"/>
                <w:szCs w:val="22"/>
                <w:highlight w:val="none"/>
                <w:lang w:val="en-US" w:eastAsia="zh-CN" w:bidi="ar-SA"/>
              </w:rPr>
            </w:pPr>
          </w:p>
        </w:tc>
        <w:tc>
          <w:tcPr>
            <w:tcW w:w="992" w:type="dxa"/>
            <w:noWrap w:val="0"/>
            <w:vAlign w:val="center"/>
          </w:tcPr>
          <w:p>
            <w:pPr>
              <w:pStyle w:val="70"/>
              <w:widowControl w:val="0"/>
              <w:spacing w:line="360" w:lineRule="auto"/>
              <w:jc w:val="center"/>
              <w:rPr>
                <w:rStyle w:val="21"/>
                <w:rFonts w:hint="eastAsia" w:ascii="Calibri" w:hAnsi="Calibri" w:eastAsia="宋体" w:cs="Times New Roman"/>
                <w:color w:val="auto"/>
                <w:kern w:val="2"/>
                <w:sz w:val="21"/>
                <w:szCs w:val="22"/>
                <w:highlight w:val="none"/>
                <w:lang w:val="en-US" w:eastAsia="zh-CN" w:bidi="ar-SA"/>
              </w:rPr>
            </w:pPr>
          </w:p>
        </w:tc>
        <w:tc>
          <w:tcPr>
            <w:tcW w:w="683" w:type="dxa"/>
            <w:noWrap w:val="0"/>
            <w:vAlign w:val="center"/>
          </w:tcPr>
          <w:p>
            <w:pPr>
              <w:pStyle w:val="70"/>
              <w:widowControl w:val="0"/>
              <w:spacing w:line="360" w:lineRule="auto"/>
              <w:jc w:val="center"/>
              <w:rPr>
                <w:rStyle w:val="21"/>
                <w:rFonts w:hint="eastAsia" w:ascii="Calibri" w:hAnsi="Calibri" w:eastAsia="宋体" w:cs="Times New Roman"/>
                <w:color w:val="auto"/>
                <w:kern w:val="2"/>
                <w:sz w:val="21"/>
                <w:szCs w:val="22"/>
                <w:highlight w:val="none"/>
                <w:lang w:val="en-US" w:eastAsia="zh-CN" w:bidi="ar-SA"/>
              </w:rPr>
            </w:pPr>
          </w:p>
        </w:tc>
        <w:tc>
          <w:tcPr>
            <w:tcW w:w="876" w:type="dxa"/>
            <w:noWrap w:val="0"/>
            <w:vAlign w:val="center"/>
          </w:tcPr>
          <w:p>
            <w:pPr>
              <w:pStyle w:val="70"/>
              <w:widowControl w:val="0"/>
              <w:spacing w:line="360" w:lineRule="auto"/>
              <w:jc w:val="center"/>
              <w:rPr>
                <w:rStyle w:val="21"/>
                <w:rFonts w:hint="eastAsia" w:ascii="Calibri" w:hAnsi="Calibri" w:eastAsia="宋体" w:cs="Times New Roman"/>
                <w:color w:val="auto"/>
                <w:kern w:val="2"/>
                <w:sz w:val="21"/>
                <w:szCs w:val="22"/>
                <w:highlight w:val="none"/>
                <w:lang w:val="en-US" w:eastAsia="zh-CN" w:bidi="ar-SA"/>
              </w:rPr>
            </w:pPr>
          </w:p>
        </w:tc>
      </w:tr>
    </w:tbl>
    <w:p>
      <w:pPr>
        <w:pStyle w:val="70"/>
        <w:spacing w:line="360" w:lineRule="auto"/>
        <w:rPr>
          <w:rStyle w:val="21"/>
          <w:rFonts w:hint="eastAsia" w:ascii="Calibri" w:hAnsi="Calibri" w:eastAsia="宋体" w:cs="Times New Roman"/>
          <w:color w:val="auto"/>
          <w:highlight w:val="none"/>
        </w:rPr>
      </w:pPr>
    </w:p>
    <w:p>
      <w:pPr>
        <w:pStyle w:val="70"/>
        <w:rPr>
          <w:rStyle w:val="21"/>
          <w:rFonts w:hint="eastAsia" w:ascii="黑体" w:hAnsi="黑体" w:eastAsia="黑体" w:cs="Times New Roman"/>
          <w:color w:val="auto"/>
          <w:sz w:val="28"/>
          <w:szCs w:val="28"/>
          <w:highlight w:val="none"/>
        </w:rPr>
      </w:pPr>
      <w:r>
        <w:rPr>
          <w:rStyle w:val="21"/>
          <w:rFonts w:hint="eastAsia" w:ascii="黑体" w:hAnsi="黑体" w:eastAsia="黑体" w:cs="Times New Roman"/>
          <w:color w:val="auto"/>
          <w:sz w:val="28"/>
          <w:szCs w:val="28"/>
          <w:highlight w:val="none"/>
        </w:rPr>
        <w:t>附件三：</w:t>
      </w:r>
    </w:p>
    <w:p>
      <w:pPr>
        <w:pStyle w:val="70"/>
        <w:spacing w:line="360" w:lineRule="auto"/>
        <w:rPr>
          <w:rStyle w:val="21"/>
          <w:rFonts w:ascii="黑体" w:hAnsi="黑体" w:eastAsia="黑体" w:cs="Times New Roman"/>
          <w:color w:val="auto"/>
          <w:sz w:val="28"/>
          <w:szCs w:val="28"/>
          <w:highlight w:val="none"/>
        </w:rPr>
      </w:pPr>
    </w:p>
    <w:p>
      <w:pPr>
        <w:pStyle w:val="70"/>
        <w:spacing w:line="360" w:lineRule="auto"/>
        <w:jc w:val="center"/>
        <w:rPr>
          <w:rStyle w:val="21"/>
          <w:rFonts w:ascii="黑体" w:hAnsi="黑体" w:eastAsia="黑体" w:cs="Times New Roman"/>
          <w:color w:val="auto"/>
          <w:sz w:val="28"/>
          <w:szCs w:val="28"/>
          <w:highlight w:val="none"/>
        </w:rPr>
      </w:pPr>
      <w:r>
        <w:rPr>
          <w:rStyle w:val="21"/>
          <w:rFonts w:hint="eastAsia" w:ascii="黑体" w:hAnsi="黑体" w:eastAsia="黑体" w:cs="Times New Roman"/>
          <w:color w:val="auto"/>
          <w:sz w:val="28"/>
          <w:szCs w:val="28"/>
          <w:highlight w:val="none"/>
        </w:rPr>
        <w:t>拟投入本标段的劳动力计划表</w:t>
      </w:r>
    </w:p>
    <w:p>
      <w:pPr>
        <w:pStyle w:val="70"/>
        <w:spacing w:line="360" w:lineRule="auto"/>
        <w:ind w:right="420"/>
        <w:jc w:val="right"/>
        <w:rPr>
          <w:rStyle w:val="21"/>
          <w:rFonts w:ascii="Calibri" w:hAnsi="Calibri" w:eastAsia="宋体" w:cs="Times New Roman"/>
          <w:color w:val="auto"/>
          <w:highlight w:val="none"/>
        </w:rPr>
      </w:pPr>
      <w:r>
        <w:rPr>
          <w:rStyle w:val="21"/>
          <w:rFonts w:hint="eastAsia" w:ascii="Calibri" w:hAnsi="Calibri" w:eastAsia="宋体" w:cs="Times New Roman"/>
          <w:color w:val="auto"/>
          <w:highlight w:val="none"/>
        </w:rPr>
        <w:t>单位：人</w:t>
      </w:r>
    </w:p>
    <w:tbl>
      <w:tblPr>
        <w:tblStyle w:val="19"/>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1059"/>
        <w:gridCol w:w="1168"/>
        <w:gridCol w:w="1168"/>
        <w:gridCol w:w="1168"/>
        <w:gridCol w:w="1168"/>
        <w:gridCol w:w="1168"/>
        <w:gridCol w:w="1168"/>
        <w:gridCol w:w="1005"/>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059" w:type="dxa"/>
            <w:noWrap w:val="0"/>
            <w:vAlign w:val="center"/>
          </w:tcPr>
          <w:p>
            <w:pPr>
              <w:pStyle w:val="70"/>
              <w:widowControl w:val="0"/>
              <w:spacing w:line="360" w:lineRule="auto"/>
              <w:jc w:val="center"/>
              <w:rPr>
                <w:rStyle w:val="21"/>
                <w:rFonts w:hint="eastAsia" w:ascii="Calibri" w:hAnsi="Calibri" w:eastAsia="宋体" w:cs="Times New Roman"/>
                <w:color w:val="auto"/>
                <w:kern w:val="2"/>
                <w:sz w:val="21"/>
                <w:szCs w:val="22"/>
                <w:highlight w:val="none"/>
                <w:lang w:val="en-US" w:eastAsia="zh-CN" w:bidi="ar-SA"/>
              </w:rPr>
            </w:pPr>
            <w:r>
              <w:rPr>
                <w:rStyle w:val="21"/>
                <w:rFonts w:hint="eastAsia" w:ascii="Calibri" w:hAnsi="Calibri" w:eastAsia="宋体" w:cs="Times New Roman"/>
                <w:color w:val="auto"/>
                <w:kern w:val="2"/>
                <w:sz w:val="21"/>
                <w:szCs w:val="22"/>
                <w:highlight w:val="none"/>
                <w:lang w:val="en-US" w:eastAsia="zh-CN" w:bidi="ar-SA"/>
              </w:rPr>
              <w:t>工种</w:t>
            </w:r>
          </w:p>
        </w:tc>
        <w:tc>
          <w:tcPr>
            <w:tcW w:w="8013" w:type="dxa"/>
            <w:gridSpan w:val="7"/>
            <w:noWrap w:val="0"/>
            <w:vAlign w:val="center"/>
          </w:tcPr>
          <w:p>
            <w:pPr>
              <w:pStyle w:val="70"/>
              <w:widowControl w:val="0"/>
              <w:spacing w:line="360" w:lineRule="auto"/>
              <w:jc w:val="center"/>
              <w:rPr>
                <w:rStyle w:val="21"/>
                <w:rFonts w:hint="eastAsia" w:ascii="Calibri" w:hAnsi="Calibri" w:eastAsia="宋体" w:cs="Times New Roman"/>
                <w:color w:val="auto"/>
                <w:kern w:val="2"/>
                <w:sz w:val="21"/>
                <w:szCs w:val="22"/>
                <w:highlight w:val="none"/>
                <w:lang w:val="en-US" w:eastAsia="zh-CN" w:bidi="ar-SA"/>
              </w:rPr>
            </w:pPr>
            <w:r>
              <w:rPr>
                <w:rStyle w:val="21"/>
                <w:rFonts w:hint="eastAsia" w:ascii="Calibri" w:hAnsi="Calibri" w:eastAsia="宋体" w:cs="Times New Roman"/>
                <w:color w:val="auto"/>
                <w:kern w:val="2"/>
                <w:sz w:val="21"/>
                <w:szCs w:val="22"/>
                <w:highlight w:val="none"/>
                <w:lang w:val="en-US" w:eastAsia="zh-CN" w:bidi="ar-SA"/>
              </w:rPr>
              <w:t>按工程施工阶段投入劳动力情况</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059" w:type="dxa"/>
            <w:noWrap w:val="0"/>
            <w:vAlign w:val="center"/>
          </w:tcPr>
          <w:p>
            <w:pPr>
              <w:pStyle w:val="70"/>
              <w:widowControl w:val="0"/>
              <w:spacing w:line="360" w:lineRule="auto"/>
              <w:jc w:val="center"/>
              <w:rPr>
                <w:rStyle w:val="21"/>
                <w:rFonts w:hint="eastAsia" w:ascii="Calibri" w:hAnsi="Calibri" w:eastAsia="宋体" w:cs="Times New Roman"/>
                <w:color w:val="auto"/>
                <w:kern w:val="2"/>
                <w:sz w:val="21"/>
                <w:szCs w:val="22"/>
                <w:highlight w:val="none"/>
                <w:lang w:val="en-US" w:eastAsia="zh-CN" w:bidi="ar-SA"/>
              </w:rPr>
            </w:pPr>
          </w:p>
        </w:tc>
        <w:tc>
          <w:tcPr>
            <w:tcW w:w="1168" w:type="dxa"/>
            <w:noWrap w:val="0"/>
            <w:vAlign w:val="center"/>
          </w:tcPr>
          <w:p>
            <w:pPr>
              <w:pStyle w:val="70"/>
              <w:widowControl w:val="0"/>
              <w:spacing w:line="360" w:lineRule="auto"/>
              <w:jc w:val="center"/>
              <w:rPr>
                <w:rStyle w:val="21"/>
                <w:rFonts w:hint="eastAsia" w:ascii="Calibri" w:hAnsi="Calibri" w:eastAsia="宋体" w:cs="Times New Roman"/>
                <w:color w:val="auto"/>
                <w:kern w:val="2"/>
                <w:sz w:val="21"/>
                <w:szCs w:val="22"/>
                <w:highlight w:val="none"/>
                <w:lang w:val="en-US" w:eastAsia="zh-CN" w:bidi="ar-SA"/>
              </w:rPr>
            </w:pPr>
          </w:p>
        </w:tc>
        <w:tc>
          <w:tcPr>
            <w:tcW w:w="1168" w:type="dxa"/>
            <w:noWrap w:val="0"/>
            <w:vAlign w:val="center"/>
          </w:tcPr>
          <w:p>
            <w:pPr>
              <w:pStyle w:val="70"/>
              <w:widowControl w:val="0"/>
              <w:spacing w:line="360" w:lineRule="auto"/>
              <w:jc w:val="center"/>
              <w:rPr>
                <w:rStyle w:val="21"/>
                <w:rFonts w:hint="eastAsia" w:ascii="Calibri" w:hAnsi="Calibri" w:eastAsia="宋体" w:cs="Times New Roman"/>
                <w:color w:val="auto"/>
                <w:kern w:val="2"/>
                <w:sz w:val="21"/>
                <w:szCs w:val="22"/>
                <w:highlight w:val="none"/>
                <w:lang w:val="en-US" w:eastAsia="zh-CN" w:bidi="ar-SA"/>
              </w:rPr>
            </w:pPr>
          </w:p>
        </w:tc>
        <w:tc>
          <w:tcPr>
            <w:tcW w:w="1168" w:type="dxa"/>
            <w:noWrap w:val="0"/>
            <w:vAlign w:val="center"/>
          </w:tcPr>
          <w:p>
            <w:pPr>
              <w:pStyle w:val="70"/>
              <w:widowControl w:val="0"/>
              <w:spacing w:line="360" w:lineRule="auto"/>
              <w:jc w:val="center"/>
              <w:rPr>
                <w:rStyle w:val="21"/>
                <w:rFonts w:hint="eastAsia" w:ascii="Calibri" w:hAnsi="Calibri" w:eastAsia="宋体" w:cs="Times New Roman"/>
                <w:color w:val="auto"/>
                <w:kern w:val="2"/>
                <w:sz w:val="21"/>
                <w:szCs w:val="22"/>
                <w:highlight w:val="none"/>
                <w:lang w:val="en-US" w:eastAsia="zh-CN" w:bidi="ar-SA"/>
              </w:rPr>
            </w:pPr>
          </w:p>
        </w:tc>
        <w:tc>
          <w:tcPr>
            <w:tcW w:w="1168" w:type="dxa"/>
            <w:noWrap w:val="0"/>
            <w:vAlign w:val="center"/>
          </w:tcPr>
          <w:p>
            <w:pPr>
              <w:pStyle w:val="70"/>
              <w:widowControl w:val="0"/>
              <w:spacing w:line="360" w:lineRule="auto"/>
              <w:jc w:val="center"/>
              <w:rPr>
                <w:rStyle w:val="21"/>
                <w:rFonts w:hint="eastAsia" w:ascii="Calibri" w:hAnsi="Calibri" w:eastAsia="宋体" w:cs="Times New Roman"/>
                <w:color w:val="auto"/>
                <w:kern w:val="2"/>
                <w:sz w:val="21"/>
                <w:szCs w:val="22"/>
                <w:highlight w:val="none"/>
                <w:lang w:val="en-US" w:eastAsia="zh-CN" w:bidi="ar-SA"/>
              </w:rPr>
            </w:pPr>
          </w:p>
        </w:tc>
        <w:tc>
          <w:tcPr>
            <w:tcW w:w="1168" w:type="dxa"/>
            <w:noWrap w:val="0"/>
            <w:vAlign w:val="center"/>
          </w:tcPr>
          <w:p>
            <w:pPr>
              <w:pStyle w:val="70"/>
              <w:widowControl w:val="0"/>
              <w:spacing w:line="360" w:lineRule="auto"/>
              <w:jc w:val="center"/>
              <w:rPr>
                <w:rStyle w:val="21"/>
                <w:rFonts w:hint="eastAsia" w:ascii="Calibri" w:hAnsi="Calibri" w:eastAsia="宋体" w:cs="Times New Roman"/>
                <w:color w:val="auto"/>
                <w:kern w:val="2"/>
                <w:sz w:val="21"/>
                <w:szCs w:val="22"/>
                <w:highlight w:val="none"/>
                <w:lang w:val="en-US" w:eastAsia="zh-CN" w:bidi="ar-SA"/>
              </w:rPr>
            </w:pPr>
          </w:p>
        </w:tc>
        <w:tc>
          <w:tcPr>
            <w:tcW w:w="1168" w:type="dxa"/>
            <w:noWrap w:val="0"/>
            <w:vAlign w:val="center"/>
          </w:tcPr>
          <w:p>
            <w:pPr>
              <w:pStyle w:val="70"/>
              <w:widowControl w:val="0"/>
              <w:spacing w:line="360" w:lineRule="auto"/>
              <w:jc w:val="center"/>
              <w:rPr>
                <w:rStyle w:val="21"/>
                <w:rFonts w:hint="eastAsia" w:ascii="Calibri" w:hAnsi="Calibri" w:eastAsia="宋体" w:cs="Times New Roman"/>
                <w:color w:val="auto"/>
                <w:kern w:val="2"/>
                <w:sz w:val="21"/>
                <w:szCs w:val="22"/>
                <w:highlight w:val="none"/>
                <w:lang w:val="en-US" w:eastAsia="zh-CN" w:bidi="ar-SA"/>
              </w:rPr>
            </w:pPr>
          </w:p>
        </w:tc>
        <w:tc>
          <w:tcPr>
            <w:tcW w:w="1005" w:type="dxa"/>
            <w:noWrap w:val="0"/>
            <w:vAlign w:val="center"/>
          </w:tcPr>
          <w:p>
            <w:pPr>
              <w:pStyle w:val="70"/>
              <w:widowControl w:val="0"/>
              <w:spacing w:line="360" w:lineRule="auto"/>
              <w:jc w:val="center"/>
              <w:rPr>
                <w:rStyle w:val="21"/>
                <w:rFonts w:hint="eastAsia" w:ascii="Calibri" w:hAnsi="Calibri" w:eastAsia="宋体" w:cs="Times New Roman"/>
                <w:color w:val="auto"/>
                <w:kern w:val="2"/>
                <w:sz w:val="21"/>
                <w:szCs w:val="22"/>
                <w:highlight w:val="none"/>
                <w:lang w:val="en-US" w:eastAsia="zh-CN" w:bidi="ar-SA"/>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059" w:type="dxa"/>
            <w:noWrap w:val="0"/>
            <w:vAlign w:val="center"/>
          </w:tcPr>
          <w:p>
            <w:pPr>
              <w:pStyle w:val="70"/>
              <w:widowControl w:val="0"/>
              <w:spacing w:line="360" w:lineRule="auto"/>
              <w:jc w:val="center"/>
              <w:rPr>
                <w:rStyle w:val="21"/>
                <w:rFonts w:hint="eastAsia" w:ascii="Calibri" w:hAnsi="Calibri" w:eastAsia="宋体" w:cs="Times New Roman"/>
                <w:color w:val="auto"/>
                <w:kern w:val="2"/>
                <w:sz w:val="21"/>
                <w:szCs w:val="22"/>
                <w:highlight w:val="none"/>
                <w:lang w:val="en-US" w:eastAsia="zh-CN" w:bidi="ar-SA"/>
              </w:rPr>
            </w:pPr>
          </w:p>
        </w:tc>
        <w:tc>
          <w:tcPr>
            <w:tcW w:w="1168" w:type="dxa"/>
            <w:noWrap w:val="0"/>
            <w:vAlign w:val="center"/>
          </w:tcPr>
          <w:p>
            <w:pPr>
              <w:pStyle w:val="70"/>
              <w:widowControl w:val="0"/>
              <w:spacing w:line="360" w:lineRule="auto"/>
              <w:jc w:val="center"/>
              <w:rPr>
                <w:rStyle w:val="21"/>
                <w:rFonts w:hint="eastAsia" w:ascii="Calibri" w:hAnsi="Calibri" w:eastAsia="宋体" w:cs="Times New Roman"/>
                <w:color w:val="auto"/>
                <w:kern w:val="2"/>
                <w:sz w:val="21"/>
                <w:szCs w:val="22"/>
                <w:highlight w:val="none"/>
                <w:lang w:val="en-US" w:eastAsia="zh-CN" w:bidi="ar-SA"/>
              </w:rPr>
            </w:pPr>
          </w:p>
        </w:tc>
        <w:tc>
          <w:tcPr>
            <w:tcW w:w="1168" w:type="dxa"/>
            <w:noWrap w:val="0"/>
            <w:vAlign w:val="center"/>
          </w:tcPr>
          <w:p>
            <w:pPr>
              <w:pStyle w:val="70"/>
              <w:widowControl w:val="0"/>
              <w:spacing w:line="360" w:lineRule="auto"/>
              <w:jc w:val="center"/>
              <w:rPr>
                <w:rStyle w:val="21"/>
                <w:rFonts w:hint="eastAsia" w:ascii="Calibri" w:hAnsi="Calibri" w:eastAsia="宋体" w:cs="Times New Roman"/>
                <w:color w:val="auto"/>
                <w:kern w:val="2"/>
                <w:sz w:val="21"/>
                <w:szCs w:val="22"/>
                <w:highlight w:val="none"/>
                <w:lang w:val="en-US" w:eastAsia="zh-CN" w:bidi="ar-SA"/>
              </w:rPr>
            </w:pPr>
          </w:p>
        </w:tc>
        <w:tc>
          <w:tcPr>
            <w:tcW w:w="1168" w:type="dxa"/>
            <w:noWrap w:val="0"/>
            <w:vAlign w:val="center"/>
          </w:tcPr>
          <w:p>
            <w:pPr>
              <w:pStyle w:val="70"/>
              <w:widowControl w:val="0"/>
              <w:spacing w:line="360" w:lineRule="auto"/>
              <w:jc w:val="center"/>
              <w:rPr>
                <w:rStyle w:val="21"/>
                <w:rFonts w:hint="eastAsia" w:ascii="Calibri" w:hAnsi="Calibri" w:eastAsia="宋体" w:cs="Times New Roman"/>
                <w:color w:val="auto"/>
                <w:kern w:val="2"/>
                <w:sz w:val="21"/>
                <w:szCs w:val="22"/>
                <w:highlight w:val="none"/>
                <w:lang w:val="en-US" w:eastAsia="zh-CN" w:bidi="ar-SA"/>
              </w:rPr>
            </w:pPr>
          </w:p>
        </w:tc>
        <w:tc>
          <w:tcPr>
            <w:tcW w:w="1168" w:type="dxa"/>
            <w:noWrap w:val="0"/>
            <w:vAlign w:val="center"/>
          </w:tcPr>
          <w:p>
            <w:pPr>
              <w:pStyle w:val="70"/>
              <w:widowControl w:val="0"/>
              <w:spacing w:line="360" w:lineRule="auto"/>
              <w:jc w:val="center"/>
              <w:rPr>
                <w:rStyle w:val="21"/>
                <w:rFonts w:hint="eastAsia" w:ascii="Calibri" w:hAnsi="Calibri" w:eastAsia="宋体" w:cs="Times New Roman"/>
                <w:color w:val="auto"/>
                <w:kern w:val="2"/>
                <w:sz w:val="21"/>
                <w:szCs w:val="22"/>
                <w:highlight w:val="none"/>
                <w:lang w:val="en-US" w:eastAsia="zh-CN" w:bidi="ar-SA"/>
              </w:rPr>
            </w:pPr>
          </w:p>
        </w:tc>
        <w:tc>
          <w:tcPr>
            <w:tcW w:w="1168" w:type="dxa"/>
            <w:noWrap w:val="0"/>
            <w:vAlign w:val="center"/>
          </w:tcPr>
          <w:p>
            <w:pPr>
              <w:pStyle w:val="70"/>
              <w:widowControl w:val="0"/>
              <w:spacing w:line="360" w:lineRule="auto"/>
              <w:jc w:val="center"/>
              <w:rPr>
                <w:rStyle w:val="21"/>
                <w:rFonts w:hint="eastAsia" w:ascii="Calibri" w:hAnsi="Calibri" w:eastAsia="宋体" w:cs="Times New Roman"/>
                <w:color w:val="auto"/>
                <w:kern w:val="2"/>
                <w:sz w:val="21"/>
                <w:szCs w:val="22"/>
                <w:highlight w:val="none"/>
                <w:lang w:val="en-US" w:eastAsia="zh-CN" w:bidi="ar-SA"/>
              </w:rPr>
            </w:pPr>
          </w:p>
        </w:tc>
        <w:tc>
          <w:tcPr>
            <w:tcW w:w="1168" w:type="dxa"/>
            <w:noWrap w:val="0"/>
            <w:vAlign w:val="center"/>
          </w:tcPr>
          <w:p>
            <w:pPr>
              <w:pStyle w:val="70"/>
              <w:widowControl w:val="0"/>
              <w:spacing w:line="360" w:lineRule="auto"/>
              <w:jc w:val="center"/>
              <w:rPr>
                <w:rStyle w:val="21"/>
                <w:rFonts w:hint="eastAsia" w:ascii="Calibri" w:hAnsi="Calibri" w:eastAsia="宋体" w:cs="Times New Roman"/>
                <w:color w:val="auto"/>
                <w:kern w:val="2"/>
                <w:sz w:val="21"/>
                <w:szCs w:val="22"/>
                <w:highlight w:val="none"/>
                <w:lang w:val="en-US" w:eastAsia="zh-CN" w:bidi="ar-SA"/>
              </w:rPr>
            </w:pPr>
          </w:p>
        </w:tc>
        <w:tc>
          <w:tcPr>
            <w:tcW w:w="1005" w:type="dxa"/>
            <w:noWrap w:val="0"/>
            <w:vAlign w:val="center"/>
          </w:tcPr>
          <w:p>
            <w:pPr>
              <w:pStyle w:val="70"/>
              <w:widowControl w:val="0"/>
              <w:spacing w:line="360" w:lineRule="auto"/>
              <w:jc w:val="center"/>
              <w:rPr>
                <w:rStyle w:val="21"/>
                <w:rFonts w:hint="eastAsia" w:ascii="Calibri" w:hAnsi="Calibri" w:eastAsia="宋体" w:cs="Times New Roman"/>
                <w:color w:val="auto"/>
                <w:kern w:val="2"/>
                <w:sz w:val="21"/>
                <w:szCs w:val="22"/>
                <w:highlight w:val="none"/>
                <w:lang w:val="en-US" w:eastAsia="zh-CN" w:bidi="ar-SA"/>
              </w:rPr>
            </w:pPr>
          </w:p>
        </w:tc>
      </w:tr>
    </w:tbl>
    <w:p>
      <w:pPr>
        <w:pStyle w:val="70"/>
        <w:spacing w:line="360" w:lineRule="auto"/>
        <w:rPr>
          <w:rStyle w:val="21"/>
          <w:rFonts w:hint="eastAsia" w:ascii="Calibri" w:hAnsi="Calibri" w:eastAsia="宋体" w:cs="Times New Roman"/>
          <w:color w:val="auto"/>
          <w:highlight w:val="none"/>
        </w:rPr>
      </w:pPr>
    </w:p>
    <w:p>
      <w:pPr>
        <w:pStyle w:val="70"/>
        <w:spacing w:line="360" w:lineRule="auto"/>
        <w:rPr>
          <w:rStyle w:val="21"/>
          <w:rFonts w:hint="eastAsia" w:ascii="Calibri" w:hAnsi="Calibri" w:eastAsia="宋体" w:cs="Times New Roman"/>
          <w:color w:val="auto"/>
          <w:highlight w:val="none"/>
        </w:rPr>
      </w:pPr>
    </w:p>
    <w:p>
      <w:pPr>
        <w:pStyle w:val="70"/>
        <w:spacing w:line="360" w:lineRule="auto"/>
        <w:rPr>
          <w:rStyle w:val="21"/>
          <w:rFonts w:hint="eastAsia" w:ascii="Calibri" w:hAnsi="Calibri" w:eastAsia="宋体" w:cs="Times New Roman"/>
          <w:color w:val="auto"/>
          <w:highlight w:val="none"/>
        </w:rPr>
      </w:pPr>
    </w:p>
    <w:p>
      <w:pPr>
        <w:pStyle w:val="70"/>
        <w:rPr>
          <w:rStyle w:val="21"/>
          <w:rFonts w:hint="eastAsia" w:ascii="黑体" w:hAnsi="黑体" w:eastAsia="黑体" w:cs="Times New Roman"/>
          <w:color w:val="auto"/>
          <w:sz w:val="28"/>
          <w:szCs w:val="28"/>
          <w:highlight w:val="none"/>
        </w:rPr>
      </w:pPr>
      <w:r>
        <w:rPr>
          <w:rStyle w:val="21"/>
          <w:rFonts w:hint="eastAsia" w:ascii="黑体" w:hAnsi="黑体" w:eastAsia="黑体" w:cs="Times New Roman"/>
          <w:color w:val="auto"/>
          <w:sz w:val="28"/>
          <w:szCs w:val="28"/>
          <w:highlight w:val="none"/>
        </w:rPr>
        <w:t>附件四：</w:t>
      </w:r>
    </w:p>
    <w:p>
      <w:pPr>
        <w:pStyle w:val="70"/>
        <w:spacing w:line="360" w:lineRule="auto"/>
        <w:rPr>
          <w:rStyle w:val="21"/>
          <w:rFonts w:ascii="黑体" w:hAnsi="黑体" w:eastAsia="黑体" w:cs="Times New Roman"/>
          <w:color w:val="auto"/>
          <w:sz w:val="28"/>
          <w:szCs w:val="28"/>
          <w:highlight w:val="none"/>
        </w:rPr>
      </w:pPr>
    </w:p>
    <w:p>
      <w:pPr>
        <w:pStyle w:val="70"/>
        <w:spacing w:line="360" w:lineRule="auto"/>
        <w:jc w:val="center"/>
        <w:rPr>
          <w:rStyle w:val="21"/>
          <w:rFonts w:ascii="黑体" w:hAnsi="黑体" w:eastAsia="黑体" w:cs="Times New Roman"/>
          <w:color w:val="auto"/>
          <w:sz w:val="28"/>
          <w:szCs w:val="28"/>
          <w:highlight w:val="none"/>
        </w:rPr>
      </w:pPr>
      <w:r>
        <w:rPr>
          <w:rStyle w:val="21"/>
          <w:rFonts w:hint="eastAsia" w:ascii="黑体" w:hAnsi="黑体" w:eastAsia="黑体" w:cs="Times New Roman"/>
          <w:color w:val="auto"/>
          <w:sz w:val="28"/>
          <w:szCs w:val="28"/>
          <w:highlight w:val="none"/>
        </w:rPr>
        <w:t>计划开工日期、完工日期和施工进度网络图</w:t>
      </w:r>
    </w:p>
    <w:p>
      <w:pPr>
        <w:pStyle w:val="70"/>
        <w:spacing w:line="360" w:lineRule="auto"/>
        <w:rPr>
          <w:rStyle w:val="21"/>
          <w:rFonts w:ascii="Calibri" w:hAnsi="Calibri" w:eastAsia="宋体" w:cs="Times New Roman"/>
          <w:color w:val="auto"/>
          <w:sz w:val="24"/>
          <w:highlight w:val="none"/>
        </w:rPr>
      </w:pPr>
      <w:r>
        <w:rPr>
          <w:rStyle w:val="21"/>
          <w:rFonts w:hint="eastAsia" w:ascii="Calibri" w:hAnsi="Calibri" w:eastAsia="宋体" w:cs="Times New Roman"/>
          <w:color w:val="auto"/>
          <w:highlight w:val="none"/>
        </w:rPr>
        <w:t xml:space="preserve">  </w:t>
      </w:r>
      <w:r>
        <w:rPr>
          <w:rStyle w:val="21"/>
          <w:rFonts w:hint="eastAsia" w:ascii="Calibri" w:hAnsi="Calibri" w:eastAsia="宋体" w:cs="Times New Roman"/>
          <w:color w:val="auto"/>
          <w:sz w:val="24"/>
          <w:highlight w:val="none"/>
        </w:rPr>
        <w:t>1.投标人应递交施工进度网络图或施工进度表，说明按招标文件要求的计划工期进行施工的各个关键日期。</w:t>
      </w:r>
    </w:p>
    <w:p>
      <w:pPr>
        <w:pStyle w:val="70"/>
        <w:spacing w:line="360" w:lineRule="auto"/>
        <w:rPr>
          <w:rStyle w:val="21"/>
          <w:rFonts w:ascii="Calibri" w:hAnsi="Calibri" w:eastAsia="宋体" w:cs="Times New Roman"/>
          <w:color w:val="auto"/>
          <w:sz w:val="24"/>
          <w:highlight w:val="none"/>
        </w:rPr>
      </w:pPr>
      <w:r>
        <w:rPr>
          <w:rStyle w:val="21"/>
          <w:rFonts w:hint="eastAsia" w:ascii="Calibri" w:hAnsi="Calibri" w:eastAsia="宋体" w:cs="Times New Roman"/>
          <w:color w:val="auto"/>
          <w:sz w:val="24"/>
          <w:highlight w:val="none"/>
        </w:rPr>
        <w:t>2.施工进度表可采用网络图(或横道图)表示。</w:t>
      </w:r>
    </w:p>
    <w:p>
      <w:pPr>
        <w:pStyle w:val="70"/>
        <w:spacing w:line="360" w:lineRule="auto"/>
        <w:rPr>
          <w:rStyle w:val="21"/>
          <w:rFonts w:hint="eastAsia" w:ascii="Calibri" w:hAnsi="Calibri" w:eastAsia="宋体" w:cs="Times New Roman"/>
          <w:color w:val="auto"/>
          <w:highlight w:val="none"/>
        </w:rPr>
      </w:pPr>
    </w:p>
    <w:p>
      <w:pPr>
        <w:pStyle w:val="70"/>
        <w:rPr>
          <w:rStyle w:val="21"/>
          <w:rFonts w:ascii="黑体" w:hAnsi="黑体" w:eastAsia="黑体" w:cs="Times New Roman"/>
          <w:color w:val="auto"/>
          <w:sz w:val="28"/>
          <w:szCs w:val="28"/>
          <w:highlight w:val="none"/>
        </w:rPr>
      </w:pPr>
      <w:r>
        <w:rPr>
          <w:rStyle w:val="21"/>
          <w:rFonts w:hint="eastAsia" w:ascii="黑体" w:hAnsi="黑体" w:eastAsia="黑体" w:cs="Times New Roman"/>
          <w:color w:val="auto"/>
          <w:sz w:val="28"/>
          <w:szCs w:val="28"/>
          <w:highlight w:val="none"/>
        </w:rPr>
        <w:t>附件五：</w:t>
      </w:r>
    </w:p>
    <w:p>
      <w:pPr>
        <w:pStyle w:val="70"/>
        <w:spacing w:line="360" w:lineRule="auto"/>
        <w:jc w:val="center"/>
        <w:rPr>
          <w:rStyle w:val="21"/>
          <w:rFonts w:ascii="黑体" w:hAnsi="黑体" w:eastAsia="黑体" w:cs="Times New Roman"/>
          <w:color w:val="auto"/>
          <w:sz w:val="28"/>
          <w:szCs w:val="28"/>
          <w:highlight w:val="none"/>
        </w:rPr>
      </w:pPr>
      <w:r>
        <w:rPr>
          <w:rStyle w:val="21"/>
          <w:rFonts w:hint="eastAsia" w:ascii="黑体" w:hAnsi="黑体" w:eastAsia="黑体" w:cs="Times New Roman"/>
          <w:color w:val="auto"/>
          <w:sz w:val="28"/>
          <w:szCs w:val="28"/>
          <w:highlight w:val="none"/>
        </w:rPr>
        <w:t>施工总平面图</w:t>
      </w:r>
    </w:p>
    <w:p>
      <w:pPr>
        <w:pStyle w:val="70"/>
        <w:spacing w:line="360" w:lineRule="auto"/>
        <w:rPr>
          <w:rStyle w:val="21"/>
          <w:rFonts w:ascii="Calibri" w:hAnsi="Calibri" w:eastAsia="宋体" w:cs="Times New Roman"/>
          <w:color w:val="auto"/>
          <w:sz w:val="24"/>
          <w:highlight w:val="none"/>
        </w:rPr>
      </w:pPr>
      <w:r>
        <w:rPr>
          <w:rStyle w:val="21"/>
          <w:rFonts w:hint="eastAsia" w:ascii="Calibri" w:hAnsi="Calibri" w:eastAsia="宋体" w:cs="Times New Roman"/>
          <w:color w:val="auto"/>
          <w:highlight w:val="none"/>
        </w:rPr>
        <w:t xml:space="preserve">   </w:t>
      </w:r>
      <w:r>
        <w:rPr>
          <w:rStyle w:val="21"/>
          <w:rFonts w:hint="eastAsia" w:ascii="Calibri" w:hAnsi="Calibri" w:eastAsia="宋体" w:cs="Times New Roman"/>
          <w:color w:val="auto"/>
          <w:sz w:val="24"/>
          <w:highlight w:val="none"/>
        </w:rPr>
        <w:t>投标人应递交一份施工总平面图，绘出现场临时设施布置图及表并附文字说明，说明临时设施、加工车间、现场办公、设备及仓储、供电、供水、卫生、生活、道路、消防等设施的情况和布置。</w:t>
      </w:r>
    </w:p>
    <w:p>
      <w:pPr>
        <w:pStyle w:val="70"/>
        <w:spacing w:line="360" w:lineRule="auto"/>
        <w:rPr>
          <w:rStyle w:val="21"/>
          <w:rFonts w:hint="eastAsia" w:ascii="Calibri" w:hAnsi="Calibri" w:eastAsia="宋体" w:cs="Times New Roman"/>
          <w:color w:val="auto"/>
          <w:highlight w:val="none"/>
        </w:rPr>
      </w:pPr>
    </w:p>
    <w:p>
      <w:pPr>
        <w:pStyle w:val="70"/>
        <w:rPr>
          <w:rStyle w:val="21"/>
          <w:rFonts w:ascii="黑体" w:hAnsi="黑体" w:eastAsia="黑体" w:cs="Times New Roman"/>
          <w:color w:val="auto"/>
          <w:sz w:val="28"/>
          <w:szCs w:val="28"/>
          <w:highlight w:val="none"/>
        </w:rPr>
      </w:pPr>
      <w:r>
        <w:rPr>
          <w:rStyle w:val="21"/>
          <w:rFonts w:hint="eastAsia" w:ascii="黑体" w:hAnsi="黑体" w:eastAsia="黑体" w:cs="Times New Roman"/>
          <w:color w:val="auto"/>
          <w:sz w:val="28"/>
          <w:szCs w:val="28"/>
          <w:highlight w:val="none"/>
        </w:rPr>
        <w:t>附件六：</w:t>
      </w:r>
    </w:p>
    <w:p>
      <w:pPr>
        <w:pStyle w:val="70"/>
        <w:spacing w:line="360" w:lineRule="auto"/>
        <w:jc w:val="center"/>
        <w:rPr>
          <w:rStyle w:val="21"/>
          <w:rFonts w:ascii="黑体" w:hAnsi="黑体" w:eastAsia="黑体" w:cs="Times New Roman"/>
          <w:color w:val="auto"/>
          <w:sz w:val="28"/>
          <w:szCs w:val="28"/>
          <w:highlight w:val="none"/>
        </w:rPr>
      </w:pPr>
      <w:r>
        <w:rPr>
          <w:rStyle w:val="21"/>
          <w:rFonts w:hint="eastAsia" w:ascii="黑体" w:hAnsi="黑体" w:eastAsia="黑体" w:cs="Times New Roman"/>
          <w:color w:val="auto"/>
          <w:sz w:val="28"/>
          <w:szCs w:val="28"/>
          <w:highlight w:val="none"/>
        </w:rPr>
        <w:t>临时用地表</w:t>
      </w:r>
    </w:p>
    <w:tbl>
      <w:tblPr>
        <w:tblStyle w:val="19"/>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2227"/>
        <w:gridCol w:w="2336"/>
        <w:gridCol w:w="2336"/>
        <w:gridCol w:w="2173"/>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227" w:type="dxa"/>
            <w:noWrap w:val="0"/>
            <w:vAlign w:val="center"/>
          </w:tcPr>
          <w:p>
            <w:pPr>
              <w:pStyle w:val="70"/>
              <w:spacing w:line="360" w:lineRule="auto"/>
              <w:jc w:val="center"/>
              <w:rPr>
                <w:rStyle w:val="21"/>
                <w:rFonts w:hint="eastAsia" w:ascii="Calibri" w:hAnsi="Calibri" w:eastAsia="宋体" w:cs="Times New Roman"/>
                <w:color w:val="auto"/>
                <w:sz w:val="24"/>
                <w:highlight w:val="none"/>
                <w:lang w:val="en-US" w:eastAsia="zh-CN"/>
              </w:rPr>
            </w:pPr>
            <w:r>
              <w:rPr>
                <w:rStyle w:val="21"/>
                <w:rFonts w:hint="eastAsia" w:ascii="Calibri" w:hAnsi="Calibri" w:eastAsia="宋体" w:cs="Times New Roman"/>
                <w:color w:val="auto"/>
                <w:sz w:val="24"/>
                <w:highlight w:val="none"/>
                <w:lang w:val="en-US" w:eastAsia="zh-CN"/>
              </w:rPr>
              <w:t>用途</w:t>
            </w:r>
          </w:p>
        </w:tc>
        <w:tc>
          <w:tcPr>
            <w:tcW w:w="2336" w:type="dxa"/>
            <w:noWrap w:val="0"/>
            <w:vAlign w:val="center"/>
          </w:tcPr>
          <w:p>
            <w:pPr>
              <w:pStyle w:val="70"/>
              <w:spacing w:line="360" w:lineRule="auto"/>
              <w:jc w:val="center"/>
              <w:rPr>
                <w:rStyle w:val="21"/>
                <w:rFonts w:hint="eastAsia" w:ascii="Calibri" w:hAnsi="Calibri" w:eastAsia="宋体" w:cs="Times New Roman"/>
                <w:color w:val="auto"/>
                <w:sz w:val="24"/>
                <w:highlight w:val="none"/>
                <w:lang w:val="en-US" w:eastAsia="zh-CN"/>
              </w:rPr>
            </w:pPr>
            <w:r>
              <w:rPr>
                <w:rStyle w:val="21"/>
                <w:rFonts w:hint="eastAsia" w:ascii="Calibri" w:hAnsi="Calibri" w:eastAsia="宋体" w:cs="Times New Roman"/>
                <w:color w:val="auto"/>
                <w:sz w:val="24"/>
                <w:highlight w:val="none"/>
                <w:lang w:val="en-US" w:eastAsia="zh-CN"/>
              </w:rPr>
              <w:t>面积(m2)</w:t>
            </w:r>
          </w:p>
        </w:tc>
        <w:tc>
          <w:tcPr>
            <w:tcW w:w="2336" w:type="dxa"/>
            <w:noWrap w:val="0"/>
            <w:vAlign w:val="center"/>
          </w:tcPr>
          <w:p>
            <w:pPr>
              <w:pStyle w:val="70"/>
              <w:spacing w:line="360" w:lineRule="auto"/>
              <w:jc w:val="center"/>
              <w:rPr>
                <w:rStyle w:val="21"/>
                <w:rFonts w:hint="eastAsia" w:ascii="Calibri" w:hAnsi="Calibri" w:eastAsia="宋体" w:cs="Times New Roman"/>
                <w:color w:val="auto"/>
                <w:sz w:val="24"/>
                <w:highlight w:val="none"/>
                <w:lang w:val="en-US" w:eastAsia="zh-CN"/>
              </w:rPr>
            </w:pPr>
            <w:r>
              <w:rPr>
                <w:rStyle w:val="21"/>
                <w:rFonts w:hint="eastAsia" w:ascii="Calibri" w:hAnsi="Calibri" w:eastAsia="宋体" w:cs="Times New Roman"/>
                <w:color w:val="auto"/>
                <w:sz w:val="24"/>
                <w:highlight w:val="none"/>
                <w:lang w:val="en-US" w:eastAsia="zh-CN"/>
              </w:rPr>
              <w:t>位置</w:t>
            </w:r>
          </w:p>
        </w:tc>
        <w:tc>
          <w:tcPr>
            <w:tcW w:w="2173" w:type="dxa"/>
            <w:noWrap w:val="0"/>
            <w:vAlign w:val="center"/>
          </w:tcPr>
          <w:p>
            <w:pPr>
              <w:pStyle w:val="70"/>
              <w:spacing w:line="360" w:lineRule="auto"/>
              <w:jc w:val="center"/>
              <w:rPr>
                <w:rStyle w:val="21"/>
                <w:rFonts w:hint="eastAsia" w:ascii="Calibri" w:hAnsi="Calibri" w:eastAsia="宋体" w:cs="Times New Roman"/>
                <w:color w:val="auto"/>
                <w:sz w:val="24"/>
                <w:highlight w:val="none"/>
                <w:lang w:val="en-US" w:eastAsia="zh-CN"/>
              </w:rPr>
            </w:pPr>
            <w:r>
              <w:rPr>
                <w:rStyle w:val="21"/>
                <w:rFonts w:hint="eastAsia" w:ascii="Calibri" w:hAnsi="Calibri" w:eastAsia="宋体" w:cs="Times New Roman"/>
                <w:color w:val="auto"/>
                <w:sz w:val="24"/>
                <w:highlight w:val="none"/>
                <w:lang w:val="en-US" w:eastAsia="zh-CN"/>
              </w:rPr>
              <w:t>需用时间</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227" w:type="dxa"/>
            <w:noWrap w:val="0"/>
            <w:vAlign w:val="center"/>
          </w:tcPr>
          <w:p>
            <w:pPr>
              <w:pStyle w:val="70"/>
              <w:widowControl w:val="0"/>
              <w:spacing w:line="360" w:lineRule="auto"/>
              <w:jc w:val="center"/>
              <w:rPr>
                <w:rStyle w:val="21"/>
                <w:rFonts w:hint="eastAsia" w:ascii="Calibri" w:hAnsi="Calibri" w:eastAsia="宋体" w:cs="Times New Roman"/>
                <w:color w:val="auto"/>
                <w:kern w:val="2"/>
                <w:sz w:val="21"/>
                <w:szCs w:val="22"/>
                <w:highlight w:val="none"/>
                <w:lang w:val="en-US" w:eastAsia="zh-CN" w:bidi="ar-SA"/>
              </w:rPr>
            </w:pPr>
          </w:p>
        </w:tc>
        <w:tc>
          <w:tcPr>
            <w:tcW w:w="2336" w:type="dxa"/>
            <w:noWrap w:val="0"/>
            <w:vAlign w:val="center"/>
          </w:tcPr>
          <w:p>
            <w:pPr>
              <w:pStyle w:val="70"/>
              <w:widowControl w:val="0"/>
              <w:spacing w:line="360" w:lineRule="auto"/>
              <w:jc w:val="center"/>
              <w:rPr>
                <w:rStyle w:val="21"/>
                <w:rFonts w:hint="eastAsia" w:ascii="Calibri" w:hAnsi="Calibri" w:eastAsia="宋体" w:cs="Times New Roman"/>
                <w:color w:val="auto"/>
                <w:kern w:val="2"/>
                <w:sz w:val="21"/>
                <w:szCs w:val="22"/>
                <w:highlight w:val="none"/>
                <w:lang w:val="en-US" w:eastAsia="zh-CN" w:bidi="ar-SA"/>
              </w:rPr>
            </w:pPr>
          </w:p>
        </w:tc>
        <w:tc>
          <w:tcPr>
            <w:tcW w:w="2336" w:type="dxa"/>
            <w:noWrap w:val="0"/>
            <w:vAlign w:val="center"/>
          </w:tcPr>
          <w:p>
            <w:pPr>
              <w:pStyle w:val="70"/>
              <w:widowControl w:val="0"/>
              <w:spacing w:line="360" w:lineRule="auto"/>
              <w:jc w:val="center"/>
              <w:rPr>
                <w:rStyle w:val="21"/>
                <w:rFonts w:hint="eastAsia" w:ascii="Calibri" w:hAnsi="Calibri" w:eastAsia="宋体" w:cs="Times New Roman"/>
                <w:color w:val="auto"/>
                <w:kern w:val="2"/>
                <w:sz w:val="21"/>
                <w:szCs w:val="22"/>
                <w:highlight w:val="none"/>
                <w:lang w:val="en-US" w:eastAsia="zh-CN" w:bidi="ar-SA"/>
              </w:rPr>
            </w:pPr>
          </w:p>
        </w:tc>
        <w:tc>
          <w:tcPr>
            <w:tcW w:w="2173" w:type="dxa"/>
            <w:noWrap w:val="0"/>
            <w:vAlign w:val="center"/>
          </w:tcPr>
          <w:p>
            <w:pPr>
              <w:pStyle w:val="70"/>
              <w:widowControl w:val="0"/>
              <w:spacing w:line="360" w:lineRule="auto"/>
              <w:jc w:val="center"/>
              <w:rPr>
                <w:rStyle w:val="21"/>
                <w:rFonts w:hint="eastAsia" w:ascii="Calibri" w:hAnsi="Calibri" w:eastAsia="宋体" w:cs="Times New Roman"/>
                <w:color w:val="auto"/>
                <w:kern w:val="2"/>
                <w:sz w:val="21"/>
                <w:szCs w:val="22"/>
                <w:highlight w:val="none"/>
                <w:lang w:val="en-US" w:eastAsia="zh-CN" w:bidi="ar-SA"/>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227" w:type="dxa"/>
            <w:noWrap w:val="0"/>
            <w:vAlign w:val="center"/>
          </w:tcPr>
          <w:p>
            <w:pPr>
              <w:pStyle w:val="70"/>
              <w:widowControl w:val="0"/>
              <w:spacing w:line="360" w:lineRule="auto"/>
              <w:jc w:val="center"/>
              <w:rPr>
                <w:rStyle w:val="21"/>
                <w:rFonts w:hint="eastAsia" w:ascii="Calibri" w:hAnsi="Calibri" w:eastAsia="宋体" w:cs="Times New Roman"/>
                <w:color w:val="auto"/>
                <w:kern w:val="2"/>
                <w:sz w:val="21"/>
                <w:szCs w:val="22"/>
                <w:highlight w:val="none"/>
                <w:lang w:val="en-US" w:eastAsia="zh-CN" w:bidi="ar-SA"/>
              </w:rPr>
            </w:pPr>
          </w:p>
        </w:tc>
        <w:tc>
          <w:tcPr>
            <w:tcW w:w="2336" w:type="dxa"/>
            <w:noWrap w:val="0"/>
            <w:vAlign w:val="center"/>
          </w:tcPr>
          <w:p>
            <w:pPr>
              <w:pStyle w:val="70"/>
              <w:widowControl w:val="0"/>
              <w:spacing w:line="360" w:lineRule="auto"/>
              <w:jc w:val="center"/>
              <w:rPr>
                <w:rStyle w:val="21"/>
                <w:rFonts w:hint="eastAsia" w:ascii="Calibri" w:hAnsi="Calibri" w:eastAsia="宋体" w:cs="Times New Roman"/>
                <w:color w:val="auto"/>
                <w:kern w:val="2"/>
                <w:sz w:val="21"/>
                <w:szCs w:val="22"/>
                <w:highlight w:val="none"/>
                <w:lang w:val="en-US" w:eastAsia="zh-CN" w:bidi="ar-SA"/>
              </w:rPr>
            </w:pPr>
          </w:p>
        </w:tc>
        <w:tc>
          <w:tcPr>
            <w:tcW w:w="2336" w:type="dxa"/>
            <w:noWrap w:val="0"/>
            <w:vAlign w:val="center"/>
          </w:tcPr>
          <w:p>
            <w:pPr>
              <w:pStyle w:val="70"/>
              <w:widowControl w:val="0"/>
              <w:spacing w:line="360" w:lineRule="auto"/>
              <w:jc w:val="center"/>
              <w:rPr>
                <w:rStyle w:val="21"/>
                <w:rFonts w:hint="eastAsia" w:ascii="Calibri" w:hAnsi="Calibri" w:eastAsia="宋体" w:cs="Times New Roman"/>
                <w:color w:val="auto"/>
                <w:kern w:val="2"/>
                <w:sz w:val="21"/>
                <w:szCs w:val="22"/>
                <w:highlight w:val="none"/>
                <w:lang w:val="en-US" w:eastAsia="zh-CN" w:bidi="ar-SA"/>
              </w:rPr>
            </w:pPr>
          </w:p>
        </w:tc>
        <w:tc>
          <w:tcPr>
            <w:tcW w:w="2173" w:type="dxa"/>
            <w:noWrap w:val="0"/>
            <w:vAlign w:val="center"/>
          </w:tcPr>
          <w:p>
            <w:pPr>
              <w:pStyle w:val="70"/>
              <w:widowControl w:val="0"/>
              <w:spacing w:line="360" w:lineRule="auto"/>
              <w:jc w:val="center"/>
              <w:rPr>
                <w:rStyle w:val="21"/>
                <w:rFonts w:hint="eastAsia" w:ascii="Calibri" w:hAnsi="Calibri" w:eastAsia="宋体" w:cs="Times New Roman"/>
                <w:color w:val="auto"/>
                <w:kern w:val="2"/>
                <w:sz w:val="21"/>
                <w:szCs w:val="22"/>
                <w:highlight w:val="none"/>
                <w:lang w:val="en-US" w:eastAsia="zh-CN" w:bidi="ar-SA"/>
              </w:rPr>
            </w:pPr>
          </w:p>
        </w:tc>
      </w:tr>
    </w:tbl>
    <w:p>
      <w:pPr>
        <w:pStyle w:val="35"/>
        <w:pageBreakBefore w:val="0"/>
        <w:kinsoku/>
        <w:overflowPunct/>
        <w:topLinePunct w:val="0"/>
        <w:bidi w:val="0"/>
        <w:snapToGrid/>
        <w:spacing w:line="360" w:lineRule="auto"/>
        <w:rPr>
          <w:rFonts w:hint="eastAsia" w:ascii="宋体" w:hAnsi="宋体" w:eastAsia="宋体" w:cs="宋体"/>
          <w:color w:val="auto"/>
          <w:sz w:val="24"/>
          <w:highlight w:val="none"/>
        </w:rPr>
      </w:pPr>
    </w:p>
    <w:p>
      <w:pPr>
        <w:rPr>
          <w:rFonts w:hint="eastAsia" w:ascii="宋体" w:hAnsi="宋体" w:eastAsia="宋体" w:cs="宋体"/>
          <w:color w:val="auto"/>
          <w:highlight w:val="none"/>
        </w:rPr>
      </w:pPr>
      <w:bookmarkStart w:id="414" w:name="_Toc13280"/>
      <w:r>
        <w:rPr>
          <w:rFonts w:hint="eastAsia" w:ascii="宋体" w:hAnsi="宋体" w:eastAsia="宋体" w:cs="宋体"/>
          <w:color w:val="auto"/>
          <w:highlight w:val="none"/>
        </w:rPr>
        <w:br w:type="page"/>
      </w:r>
    </w:p>
    <w:p>
      <w:pPr>
        <w:pStyle w:val="6"/>
        <w:pageBreakBefore w:val="0"/>
        <w:kinsoku/>
        <w:overflowPunct/>
        <w:topLinePunct w:val="0"/>
        <w:bidi w:val="0"/>
        <w:snapToGrid/>
        <w:spacing w:line="360" w:lineRule="auto"/>
        <w:ind w:firstLine="2650" w:firstLineChars="1100"/>
        <w:rPr>
          <w:rFonts w:hint="eastAsia" w:ascii="宋体" w:hAnsi="宋体" w:eastAsia="宋体" w:cs="宋体"/>
          <w:color w:val="auto"/>
          <w:highlight w:val="none"/>
        </w:rPr>
      </w:pPr>
      <w:bookmarkStart w:id="415" w:name="_Toc17499"/>
      <w:r>
        <w:rPr>
          <w:rFonts w:hint="eastAsia" w:ascii="宋体" w:hAnsi="宋体" w:eastAsia="宋体" w:cs="宋体"/>
          <w:color w:val="auto"/>
          <w:highlight w:val="none"/>
          <w:lang w:eastAsia="zh-CN"/>
        </w:rPr>
        <w:t>八</w:t>
      </w:r>
      <w:r>
        <w:rPr>
          <w:rFonts w:hint="eastAsia" w:ascii="宋体" w:hAnsi="宋体" w:eastAsia="宋体" w:cs="宋体"/>
          <w:color w:val="auto"/>
          <w:highlight w:val="none"/>
          <w:lang w:val="en-US" w:eastAsia="zh-CN"/>
        </w:rPr>
        <w:t>.</w:t>
      </w:r>
      <w:r>
        <w:rPr>
          <w:rFonts w:hint="eastAsia" w:ascii="宋体" w:hAnsi="宋体" w:eastAsia="宋体" w:cs="宋体"/>
          <w:color w:val="auto"/>
          <w:highlight w:val="none"/>
        </w:rPr>
        <w:t>（二）拟分包项目情况表</w:t>
      </w:r>
      <w:bookmarkEnd w:id="414"/>
      <w:bookmarkEnd w:id="415"/>
    </w:p>
    <w:tbl>
      <w:tblPr>
        <w:tblStyle w:val="20"/>
        <w:tblW w:w="101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535"/>
        <w:gridCol w:w="2535"/>
        <w:gridCol w:w="2535"/>
        <w:gridCol w:w="253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jc w:val="center"/>
        </w:trPr>
        <w:tc>
          <w:tcPr>
            <w:tcW w:w="2535" w:type="dxa"/>
            <w:vAlign w:val="center"/>
          </w:tcPr>
          <w:p>
            <w:pPr>
              <w:pageBreakBefore w:val="0"/>
              <w:kinsoku/>
              <w:overflowPunct/>
              <w:topLinePunct w:val="0"/>
              <w:bidi w:val="0"/>
              <w:snapToGrid/>
              <w:spacing w:line="360" w:lineRule="auto"/>
              <w:jc w:val="center"/>
              <w:rPr>
                <w:rFonts w:hint="eastAsia" w:ascii="宋体" w:hAnsi="宋体" w:eastAsia="宋体" w:cs="宋体"/>
                <w:color w:val="auto"/>
                <w:szCs w:val="21"/>
                <w:highlight w:val="none"/>
                <w:lang w:bidi="en-US"/>
              </w:rPr>
            </w:pPr>
            <w:r>
              <w:rPr>
                <w:rFonts w:hint="eastAsia" w:ascii="宋体" w:hAnsi="宋体" w:eastAsia="宋体" w:cs="宋体"/>
                <w:color w:val="auto"/>
                <w:szCs w:val="21"/>
                <w:highlight w:val="none"/>
                <w:lang w:bidi="en-US"/>
              </w:rPr>
              <w:t>分包</w:t>
            </w:r>
            <w:r>
              <w:rPr>
                <w:rFonts w:hint="eastAsia" w:ascii="宋体" w:hAnsi="宋体" w:eastAsia="宋体" w:cs="宋体"/>
                <w:color w:val="auto"/>
                <w:szCs w:val="21"/>
                <w:highlight w:val="none"/>
                <w:lang w:eastAsia="zh-CN" w:bidi="en-US"/>
              </w:rPr>
              <w:t>询比响应人</w:t>
            </w:r>
            <w:r>
              <w:rPr>
                <w:rFonts w:hint="eastAsia" w:ascii="宋体" w:hAnsi="宋体" w:eastAsia="宋体" w:cs="宋体"/>
                <w:color w:val="auto"/>
                <w:szCs w:val="21"/>
                <w:highlight w:val="none"/>
                <w:lang w:bidi="en-US"/>
              </w:rPr>
              <w:t>名称</w:t>
            </w:r>
          </w:p>
        </w:tc>
        <w:tc>
          <w:tcPr>
            <w:tcW w:w="2535" w:type="dxa"/>
            <w:vAlign w:val="center"/>
          </w:tcPr>
          <w:p>
            <w:pPr>
              <w:pageBreakBefore w:val="0"/>
              <w:kinsoku/>
              <w:overflowPunct/>
              <w:topLinePunct w:val="0"/>
              <w:bidi w:val="0"/>
              <w:snapToGrid/>
              <w:spacing w:line="360" w:lineRule="auto"/>
              <w:jc w:val="center"/>
              <w:rPr>
                <w:rFonts w:hint="eastAsia" w:ascii="宋体" w:hAnsi="宋体" w:eastAsia="宋体" w:cs="宋体"/>
                <w:color w:val="auto"/>
                <w:szCs w:val="21"/>
                <w:highlight w:val="none"/>
                <w:lang w:bidi="en-US"/>
              </w:rPr>
            </w:pPr>
          </w:p>
        </w:tc>
        <w:tc>
          <w:tcPr>
            <w:tcW w:w="2535" w:type="dxa"/>
            <w:vAlign w:val="center"/>
          </w:tcPr>
          <w:p>
            <w:pPr>
              <w:pageBreakBefore w:val="0"/>
              <w:kinsoku/>
              <w:overflowPunct/>
              <w:topLinePunct w:val="0"/>
              <w:bidi w:val="0"/>
              <w:snapToGrid/>
              <w:spacing w:line="360" w:lineRule="auto"/>
              <w:jc w:val="center"/>
              <w:rPr>
                <w:rFonts w:hint="eastAsia" w:ascii="宋体" w:hAnsi="宋体" w:eastAsia="宋体" w:cs="宋体"/>
                <w:color w:val="auto"/>
                <w:szCs w:val="21"/>
                <w:highlight w:val="none"/>
                <w:lang w:bidi="en-US"/>
              </w:rPr>
            </w:pPr>
            <w:r>
              <w:rPr>
                <w:rFonts w:hint="eastAsia" w:ascii="宋体" w:hAnsi="宋体" w:eastAsia="宋体" w:cs="宋体"/>
                <w:color w:val="auto"/>
                <w:szCs w:val="21"/>
                <w:highlight w:val="none"/>
                <w:lang w:bidi="en-US"/>
              </w:rPr>
              <w:t>地址</w:t>
            </w:r>
          </w:p>
        </w:tc>
        <w:tc>
          <w:tcPr>
            <w:tcW w:w="2535" w:type="dxa"/>
            <w:vAlign w:val="center"/>
          </w:tcPr>
          <w:p>
            <w:pPr>
              <w:pageBreakBefore w:val="0"/>
              <w:kinsoku/>
              <w:overflowPunct/>
              <w:topLinePunct w:val="0"/>
              <w:bidi w:val="0"/>
              <w:snapToGrid/>
              <w:spacing w:line="360" w:lineRule="auto"/>
              <w:jc w:val="center"/>
              <w:rPr>
                <w:rFonts w:hint="eastAsia" w:ascii="宋体" w:hAnsi="宋体" w:eastAsia="宋体" w:cs="宋体"/>
                <w:color w:val="auto"/>
                <w:szCs w:val="21"/>
                <w:highlight w:val="none"/>
                <w:lang w:bidi="en-U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jc w:val="center"/>
        </w:trPr>
        <w:tc>
          <w:tcPr>
            <w:tcW w:w="2535" w:type="dxa"/>
            <w:vAlign w:val="center"/>
          </w:tcPr>
          <w:p>
            <w:pPr>
              <w:pageBreakBefore w:val="0"/>
              <w:kinsoku/>
              <w:overflowPunct/>
              <w:topLinePunct w:val="0"/>
              <w:bidi w:val="0"/>
              <w:snapToGrid/>
              <w:spacing w:line="360" w:lineRule="auto"/>
              <w:jc w:val="center"/>
              <w:rPr>
                <w:rFonts w:hint="eastAsia" w:ascii="宋体" w:hAnsi="宋体" w:eastAsia="宋体" w:cs="宋体"/>
                <w:color w:val="auto"/>
                <w:szCs w:val="21"/>
                <w:highlight w:val="none"/>
                <w:lang w:bidi="en-US"/>
              </w:rPr>
            </w:pPr>
            <w:r>
              <w:rPr>
                <w:rFonts w:hint="eastAsia" w:ascii="宋体" w:hAnsi="宋体" w:eastAsia="宋体" w:cs="宋体"/>
                <w:color w:val="auto"/>
                <w:szCs w:val="21"/>
                <w:highlight w:val="none"/>
                <w:lang w:bidi="en-US"/>
              </w:rPr>
              <w:t>法定代表人</w:t>
            </w:r>
          </w:p>
        </w:tc>
        <w:tc>
          <w:tcPr>
            <w:tcW w:w="2535" w:type="dxa"/>
            <w:vAlign w:val="center"/>
          </w:tcPr>
          <w:p>
            <w:pPr>
              <w:pageBreakBefore w:val="0"/>
              <w:kinsoku/>
              <w:overflowPunct/>
              <w:topLinePunct w:val="0"/>
              <w:bidi w:val="0"/>
              <w:snapToGrid/>
              <w:spacing w:line="360" w:lineRule="auto"/>
              <w:jc w:val="center"/>
              <w:rPr>
                <w:rFonts w:hint="eastAsia" w:ascii="宋体" w:hAnsi="宋体" w:eastAsia="宋体" w:cs="宋体"/>
                <w:color w:val="auto"/>
                <w:szCs w:val="21"/>
                <w:highlight w:val="none"/>
                <w:lang w:bidi="en-US"/>
              </w:rPr>
            </w:pPr>
          </w:p>
        </w:tc>
        <w:tc>
          <w:tcPr>
            <w:tcW w:w="2535" w:type="dxa"/>
            <w:vAlign w:val="center"/>
          </w:tcPr>
          <w:p>
            <w:pPr>
              <w:pageBreakBefore w:val="0"/>
              <w:kinsoku/>
              <w:overflowPunct/>
              <w:topLinePunct w:val="0"/>
              <w:bidi w:val="0"/>
              <w:snapToGrid/>
              <w:spacing w:line="360" w:lineRule="auto"/>
              <w:jc w:val="center"/>
              <w:rPr>
                <w:rFonts w:hint="eastAsia" w:ascii="宋体" w:hAnsi="宋体" w:eastAsia="宋体" w:cs="宋体"/>
                <w:color w:val="auto"/>
                <w:szCs w:val="21"/>
                <w:highlight w:val="none"/>
                <w:lang w:bidi="en-US"/>
              </w:rPr>
            </w:pPr>
            <w:r>
              <w:rPr>
                <w:rFonts w:hint="eastAsia" w:ascii="宋体" w:hAnsi="宋体" w:eastAsia="宋体" w:cs="宋体"/>
                <w:color w:val="auto"/>
                <w:szCs w:val="21"/>
                <w:highlight w:val="none"/>
                <w:lang w:bidi="en-US"/>
              </w:rPr>
              <w:t>电话</w:t>
            </w:r>
          </w:p>
        </w:tc>
        <w:tc>
          <w:tcPr>
            <w:tcW w:w="2535" w:type="dxa"/>
            <w:vAlign w:val="center"/>
          </w:tcPr>
          <w:p>
            <w:pPr>
              <w:pageBreakBefore w:val="0"/>
              <w:kinsoku/>
              <w:overflowPunct/>
              <w:topLinePunct w:val="0"/>
              <w:bidi w:val="0"/>
              <w:snapToGrid/>
              <w:spacing w:line="360" w:lineRule="auto"/>
              <w:jc w:val="center"/>
              <w:rPr>
                <w:rFonts w:hint="eastAsia" w:ascii="宋体" w:hAnsi="宋体" w:eastAsia="宋体" w:cs="宋体"/>
                <w:color w:val="auto"/>
                <w:szCs w:val="21"/>
                <w:highlight w:val="none"/>
                <w:lang w:bidi="en-U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jc w:val="center"/>
        </w:trPr>
        <w:tc>
          <w:tcPr>
            <w:tcW w:w="2535" w:type="dxa"/>
            <w:vAlign w:val="center"/>
          </w:tcPr>
          <w:p>
            <w:pPr>
              <w:pageBreakBefore w:val="0"/>
              <w:kinsoku/>
              <w:overflowPunct/>
              <w:topLinePunct w:val="0"/>
              <w:bidi w:val="0"/>
              <w:snapToGrid/>
              <w:spacing w:line="360" w:lineRule="auto"/>
              <w:jc w:val="center"/>
              <w:rPr>
                <w:rFonts w:hint="eastAsia" w:ascii="宋体" w:hAnsi="宋体" w:eastAsia="宋体" w:cs="宋体"/>
                <w:color w:val="auto"/>
                <w:szCs w:val="21"/>
                <w:highlight w:val="none"/>
                <w:lang w:bidi="en-US"/>
              </w:rPr>
            </w:pPr>
            <w:r>
              <w:rPr>
                <w:rFonts w:hint="eastAsia" w:ascii="宋体" w:hAnsi="宋体" w:eastAsia="宋体" w:cs="宋体"/>
                <w:color w:val="auto"/>
                <w:szCs w:val="21"/>
                <w:highlight w:val="none"/>
                <w:lang w:bidi="en-US"/>
              </w:rPr>
              <w:t>营业执照号码</w:t>
            </w:r>
          </w:p>
        </w:tc>
        <w:tc>
          <w:tcPr>
            <w:tcW w:w="2535" w:type="dxa"/>
            <w:vAlign w:val="center"/>
          </w:tcPr>
          <w:p>
            <w:pPr>
              <w:pageBreakBefore w:val="0"/>
              <w:kinsoku/>
              <w:overflowPunct/>
              <w:topLinePunct w:val="0"/>
              <w:bidi w:val="0"/>
              <w:snapToGrid/>
              <w:spacing w:line="360" w:lineRule="auto"/>
              <w:jc w:val="center"/>
              <w:rPr>
                <w:rFonts w:hint="eastAsia" w:ascii="宋体" w:hAnsi="宋体" w:eastAsia="宋体" w:cs="宋体"/>
                <w:color w:val="auto"/>
                <w:szCs w:val="21"/>
                <w:highlight w:val="none"/>
                <w:lang w:bidi="en-US"/>
              </w:rPr>
            </w:pPr>
          </w:p>
        </w:tc>
        <w:tc>
          <w:tcPr>
            <w:tcW w:w="2535" w:type="dxa"/>
            <w:vAlign w:val="center"/>
          </w:tcPr>
          <w:p>
            <w:pPr>
              <w:pageBreakBefore w:val="0"/>
              <w:kinsoku/>
              <w:overflowPunct/>
              <w:topLinePunct w:val="0"/>
              <w:bidi w:val="0"/>
              <w:snapToGrid/>
              <w:spacing w:line="360" w:lineRule="auto"/>
              <w:jc w:val="center"/>
              <w:rPr>
                <w:rFonts w:hint="eastAsia" w:ascii="宋体" w:hAnsi="宋体" w:eastAsia="宋体" w:cs="宋体"/>
                <w:color w:val="auto"/>
                <w:szCs w:val="21"/>
                <w:highlight w:val="none"/>
                <w:lang w:bidi="en-US"/>
              </w:rPr>
            </w:pPr>
            <w:r>
              <w:rPr>
                <w:rFonts w:hint="eastAsia" w:ascii="宋体" w:hAnsi="宋体" w:eastAsia="宋体" w:cs="宋体"/>
                <w:color w:val="auto"/>
                <w:szCs w:val="21"/>
                <w:highlight w:val="none"/>
                <w:lang w:bidi="en-US"/>
              </w:rPr>
              <w:t>资质等级</w:t>
            </w:r>
          </w:p>
        </w:tc>
        <w:tc>
          <w:tcPr>
            <w:tcW w:w="2535" w:type="dxa"/>
            <w:vAlign w:val="center"/>
          </w:tcPr>
          <w:p>
            <w:pPr>
              <w:pageBreakBefore w:val="0"/>
              <w:kinsoku/>
              <w:overflowPunct/>
              <w:topLinePunct w:val="0"/>
              <w:bidi w:val="0"/>
              <w:snapToGrid/>
              <w:spacing w:line="360" w:lineRule="auto"/>
              <w:jc w:val="center"/>
              <w:rPr>
                <w:rFonts w:hint="eastAsia" w:ascii="宋体" w:hAnsi="宋体" w:eastAsia="宋体" w:cs="宋体"/>
                <w:color w:val="auto"/>
                <w:szCs w:val="21"/>
                <w:highlight w:val="none"/>
                <w:lang w:bidi="en-U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jc w:val="center"/>
        </w:trPr>
        <w:tc>
          <w:tcPr>
            <w:tcW w:w="2535" w:type="dxa"/>
            <w:vAlign w:val="center"/>
          </w:tcPr>
          <w:p>
            <w:pPr>
              <w:pageBreakBefore w:val="0"/>
              <w:kinsoku/>
              <w:overflowPunct/>
              <w:topLinePunct w:val="0"/>
              <w:bidi w:val="0"/>
              <w:snapToGrid/>
              <w:spacing w:line="360" w:lineRule="auto"/>
              <w:jc w:val="center"/>
              <w:rPr>
                <w:rFonts w:hint="eastAsia" w:ascii="宋体" w:hAnsi="宋体" w:eastAsia="宋体" w:cs="宋体"/>
                <w:color w:val="auto"/>
                <w:szCs w:val="21"/>
                <w:highlight w:val="none"/>
                <w:lang w:bidi="en-US"/>
              </w:rPr>
            </w:pPr>
            <w:r>
              <w:rPr>
                <w:rFonts w:hint="eastAsia" w:ascii="宋体" w:hAnsi="宋体" w:eastAsia="宋体" w:cs="宋体"/>
                <w:color w:val="auto"/>
                <w:szCs w:val="21"/>
                <w:highlight w:val="none"/>
                <w:lang w:bidi="en-US"/>
              </w:rPr>
              <w:t>拟分包的工程项目</w:t>
            </w:r>
          </w:p>
        </w:tc>
        <w:tc>
          <w:tcPr>
            <w:tcW w:w="2535" w:type="dxa"/>
            <w:vAlign w:val="center"/>
          </w:tcPr>
          <w:p>
            <w:pPr>
              <w:pageBreakBefore w:val="0"/>
              <w:kinsoku/>
              <w:overflowPunct/>
              <w:topLinePunct w:val="0"/>
              <w:bidi w:val="0"/>
              <w:snapToGrid/>
              <w:spacing w:line="360" w:lineRule="auto"/>
              <w:jc w:val="center"/>
              <w:rPr>
                <w:rFonts w:hint="eastAsia" w:ascii="宋体" w:hAnsi="宋体" w:eastAsia="宋体" w:cs="宋体"/>
                <w:color w:val="auto"/>
                <w:szCs w:val="21"/>
                <w:highlight w:val="none"/>
                <w:lang w:bidi="en-US"/>
              </w:rPr>
            </w:pPr>
            <w:r>
              <w:rPr>
                <w:rFonts w:hint="eastAsia" w:ascii="宋体" w:hAnsi="宋体" w:eastAsia="宋体" w:cs="宋体"/>
                <w:color w:val="auto"/>
                <w:szCs w:val="21"/>
                <w:highlight w:val="none"/>
                <w:lang w:bidi="en-US"/>
              </w:rPr>
              <w:t>主 要 内 容</w:t>
            </w:r>
          </w:p>
        </w:tc>
        <w:tc>
          <w:tcPr>
            <w:tcW w:w="2535" w:type="dxa"/>
            <w:vAlign w:val="center"/>
          </w:tcPr>
          <w:p>
            <w:pPr>
              <w:pageBreakBefore w:val="0"/>
              <w:kinsoku/>
              <w:overflowPunct/>
              <w:topLinePunct w:val="0"/>
              <w:bidi w:val="0"/>
              <w:snapToGrid/>
              <w:spacing w:line="360" w:lineRule="auto"/>
              <w:jc w:val="center"/>
              <w:rPr>
                <w:rFonts w:hint="eastAsia" w:ascii="宋体" w:hAnsi="宋体" w:eastAsia="宋体" w:cs="宋体"/>
                <w:color w:val="auto"/>
                <w:szCs w:val="21"/>
                <w:highlight w:val="none"/>
                <w:lang w:bidi="en-US"/>
              </w:rPr>
            </w:pPr>
            <w:r>
              <w:rPr>
                <w:rFonts w:hint="eastAsia" w:ascii="宋体" w:hAnsi="宋体" w:eastAsia="宋体" w:cs="宋体"/>
                <w:color w:val="auto"/>
                <w:szCs w:val="21"/>
                <w:highlight w:val="none"/>
                <w:lang w:bidi="en-US"/>
              </w:rPr>
              <w:t>预计造价（万元）</w:t>
            </w:r>
          </w:p>
        </w:tc>
        <w:tc>
          <w:tcPr>
            <w:tcW w:w="2535" w:type="dxa"/>
            <w:vAlign w:val="center"/>
          </w:tcPr>
          <w:p>
            <w:pPr>
              <w:pageBreakBefore w:val="0"/>
              <w:kinsoku/>
              <w:overflowPunct/>
              <w:topLinePunct w:val="0"/>
              <w:bidi w:val="0"/>
              <w:snapToGrid/>
              <w:spacing w:line="360" w:lineRule="auto"/>
              <w:jc w:val="center"/>
              <w:rPr>
                <w:rFonts w:hint="eastAsia" w:ascii="宋体" w:hAnsi="宋体" w:eastAsia="宋体" w:cs="宋体"/>
                <w:color w:val="auto"/>
                <w:szCs w:val="21"/>
                <w:highlight w:val="none"/>
                <w:lang w:bidi="en-US"/>
              </w:rPr>
            </w:pPr>
            <w:r>
              <w:rPr>
                <w:rFonts w:hint="eastAsia" w:ascii="宋体" w:hAnsi="宋体" w:eastAsia="宋体" w:cs="宋体"/>
                <w:color w:val="auto"/>
                <w:szCs w:val="21"/>
                <w:highlight w:val="none"/>
                <w:lang w:bidi="en-US"/>
              </w:rPr>
              <w:t>已经做过的类似工具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jc w:val="center"/>
        </w:trPr>
        <w:tc>
          <w:tcPr>
            <w:tcW w:w="2535" w:type="dxa"/>
            <w:vAlign w:val="center"/>
          </w:tcPr>
          <w:p>
            <w:pPr>
              <w:pageBreakBefore w:val="0"/>
              <w:kinsoku/>
              <w:overflowPunct/>
              <w:topLinePunct w:val="0"/>
              <w:bidi w:val="0"/>
              <w:snapToGrid/>
              <w:spacing w:line="360" w:lineRule="auto"/>
              <w:jc w:val="center"/>
              <w:rPr>
                <w:rFonts w:hint="eastAsia" w:ascii="宋体" w:hAnsi="宋体" w:eastAsia="宋体" w:cs="宋体"/>
                <w:color w:val="auto"/>
                <w:szCs w:val="21"/>
                <w:highlight w:val="none"/>
                <w:lang w:bidi="en-US"/>
              </w:rPr>
            </w:pPr>
          </w:p>
        </w:tc>
        <w:tc>
          <w:tcPr>
            <w:tcW w:w="2535" w:type="dxa"/>
            <w:vAlign w:val="center"/>
          </w:tcPr>
          <w:p>
            <w:pPr>
              <w:pageBreakBefore w:val="0"/>
              <w:kinsoku/>
              <w:overflowPunct/>
              <w:topLinePunct w:val="0"/>
              <w:bidi w:val="0"/>
              <w:snapToGrid/>
              <w:spacing w:line="360" w:lineRule="auto"/>
              <w:jc w:val="center"/>
              <w:rPr>
                <w:rFonts w:hint="eastAsia" w:ascii="宋体" w:hAnsi="宋体" w:eastAsia="宋体" w:cs="宋体"/>
                <w:color w:val="auto"/>
                <w:szCs w:val="21"/>
                <w:highlight w:val="none"/>
                <w:lang w:bidi="en-US"/>
              </w:rPr>
            </w:pPr>
          </w:p>
        </w:tc>
        <w:tc>
          <w:tcPr>
            <w:tcW w:w="2535" w:type="dxa"/>
            <w:vAlign w:val="center"/>
          </w:tcPr>
          <w:p>
            <w:pPr>
              <w:pageBreakBefore w:val="0"/>
              <w:kinsoku/>
              <w:overflowPunct/>
              <w:topLinePunct w:val="0"/>
              <w:bidi w:val="0"/>
              <w:snapToGrid/>
              <w:spacing w:line="360" w:lineRule="auto"/>
              <w:jc w:val="center"/>
              <w:rPr>
                <w:rFonts w:hint="eastAsia" w:ascii="宋体" w:hAnsi="宋体" w:eastAsia="宋体" w:cs="宋体"/>
                <w:color w:val="auto"/>
                <w:szCs w:val="21"/>
                <w:highlight w:val="none"/>
                <w:lang w:bidi="en-US"/>
              </w:rPr>
            </w:pPr>
          </w:p>
        </w:tc>
        <w:tc>
          <w:tcPr>
            <w:tcW w:w="2535" w:type="dxa"/>
            <w:vAlign w:val="center"/>
          </w:tcPr>
          <w:p>
            <w:pPr>
              <w:pageBreakBefore w:val="0"/>
              <w:kinsoku/>
              <w:overflowPunct/>
              <w:topLinePunct w:val="0"/>
              <w:bidi w:val="0"/>
              <w:snapToGrid/>
              <w:spacing w:line="360" w:lineRule="auto"/>
              <w:jc w:val="center"/>
              <w:rPr>
                <w:rFonts w:hint="eastAsia" w:ascii="宋体" w:hAnsi="宋体" w:eastAsia="宋体" w:cs="宋体"/>
                <w:color w:val="auto"/>
                <w:szCs w:val="21"/>
                <w:highlight w:val="none"/>
                <w:lang w:bidi="en-U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jc w:val="center"/>
        </w:trPr>
        <w:tc>
          <w:tcPr>
            <w:tcW w:w="2535" w:type="dxa"/>
            <w:vAlign w:val="center"/>
          </w:tcPr>
          <w:p>
            <w:pPr>
              <w:pageBreakBefore w:val="0"/>
              <w:kinsoku/>
              <w:overflowPunct/>
              <w:topLinePunct w:val="0"/>
              <w:bidi w:val="0"/>
              <w:snapToGrid/>
              <w:spacing w:line="360" w:lineRule="auto"/>
              <w:jc w:val="center"/>
              <w:rPr>
                <w:rFonts w:hint="eastAsia" w:ascii="宋体" w:hAnsi="宋体" w:eastAsia="宋体" w:cs="宋体"/>
                <w:color w:val="auto"/>
                <w:szCs w:val="21"/>
                <w:highlight w:val="none"/>
                <w:lang w:bidi="en-US"/>
              </w:rPr>
            </w:pPr>
          </w:p>
        </w:tc>
        <w:tc>
          <w:tcPr>
            <w:tcW w:w="2535" w:type="dxa"/>
            <w:vAlign w:val="center"/>
          </w:tcPr>
          <w:p>
            <w:pPr>
              <w:pageBreakBefore w:val="0"/>
              <w:kinsoku/>
              <w:overflowPunct/>
              <w:topLinePunct w:val="0"/>
              <w:bidi w:val="0"/>
              <w:snapToGrid/>
              <w:spacing w:line="360" w:lineRule="auto"/>
              <w:jc w:val="center"/>
              <w:rPr>
                <w:rFonts w:hint="eastAsia" w:ascii="宋体" w:hAnsi="宋体" w:eastAsia="宋体" w:cs="宋体"/>
                <w:color w:val="auto"/>
                <w:szCs w:val="21"/>
                <w:highlight w:val="none"/>
                <w:lang w:bidi="en-US"/>
              </w:rPr>
            </w:pPr>
          </w:p>
        </w:tc>
        <w:tc>
          <w:tcPr>
            <w:tcW w:w="2535" w:type="dxa"/>
            <w:vAlign w:val="center"/>
          </w:tcPr>
          <w:p>
            <w:pPr>
              <w:pageBreakBefore w:val="0"/>
              <w:kinsoku/>
              <w:overflowPunct/>
              <w:topLinePunct w:val="0"/>
              <w:bidi w:val="0"/>
              <w:snapToGrid/>
              <w:spacing w:line="360" w:lineRule="auto"/>
              <w:jc w:val="center"/>
              <w:rPr>
                <w:rFonts w:hint="eastAsia" w:ascii="宋体" w:hAnsi="宋体" w:eastAsia="宋体" w:cs="宋体"/>
                <w:color w:val="auto"/>
                <w:szCs w:val="21"/>
                <w:highlight w:val="none"/>
                <w:lang w:bidi="en-US"/>
              </w:rPr>
            </w:pPr>
          </w:p>
        </w:tc>
        <w:tc>
          <w:tcPr>
            <w:tcW w:w="2535" w:type="dxa"/>
            <w:vAlign w:val="center"/>
          </w:tcPr>
          <w:p>
            <w:pPr>
              <w:pageBreakBefore w:val="0"/>
              <w:kinsoku/>
              <w:overflowPunct/>
              <w:topLinePunct w:val="0"/>
              <w:bidi w:val="0"/>
              <w:snapToGrid/>
              <w:spacing w:line="360" w:lineRule="auto"/>
              <w:jc w:val="center"/>
              <w:rPr>
                <w:rFonts w:hint="eastAsia" w:ascii="宋体" w:hAnsi="宋体" w:eastAsia="宋体" w:cs="宋体"/>
                <w:color w:val="auto"/>
                <w:szCs w:val="21"/>
                <w:highlight w:val="none"/>
                <w:lang w:bidi="en-U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jc w:val="center"/>
        </w:trPr>
        <w:tc>
          <w:tcPr>
            <w:tcW w:w="2535" w:type="dxa"/>
            <w:vAlign w:val="center"/>
          </w:tcPr>
          <w:p>
            <w:pPr>
              <w:pageBreakBefore w:val="0"/>
              <w:kinsoku/>
              <w:overflowPunct/>
              <w:topLinePunct w:val="0"/>
              <w:bidi w:val="0"/>
              <w:snapToGrid/>
              <w:spacing w:line="360" w:lineRule="auto"/>
              <w:jc w:val="center"/>
              <w:rPr>
                <w:rFonts w:hint="eastAsia" w:ascii="宋体" w:hAnsi="宋体" w:eastAsia="宋体" w:cs="宋体"/>
                <w:color w:val="auto"/>
                <w:szCs w:val="21"/>
                <w:highlight w:val="none"/>
                <w:lang w:bidi="en-US"/>
              </w:rPr>
            </w:pPr>
          </w:p>
        </w:tc>
        <w:tc>
          <w:tcPr>
            <w:tcW w:w="2535" w:type="dxa"/>
            <w:vAlign w:val="center"/>
          </w:tcPr>
          <w:p>
            <w:pPr>
              <w:pageBreakBefore w:val="0"/>
              <w:kinsoku/>
              <w:overflowPunct/>
              <w:topLinePunct w:val="0"/>
              <w:bidi w:val="0"/>
              <w:snapToGrid/>
              <w:spacing w:line="360" w:lineRule="auto"/>
              <w:jc w:val="center"/>
              <w:rPr>
                <w:rFonts w:hint="eastAsia" w:ascii="宋体" w:hAnsi="宋体" w:eastAsia="宋体" w:cs="宋体"/>
                <w:color w:val="auto"/>
                <w:szCs w:val="21"/>
                <w:highlight w:val="none"/>
                <w:lang w:bidi="en-US"/>
              </w:rPr>
            </w:pPr>
          </w:p>
        </w:tc>
        <w:tc>
          <w:tcPr>
            <w:tcW w:w="2535" w:type="dxa"/>
            <w:vAlign w:val="center"/>
          </w:tcPr>
          <w:p>
            <w:pPr>
              <w:pageBreakBefore w:val="0"/>
              <w:kinsoku/>
              <w:overflowPunct/>
              <w:topLinePunct w:val="0"/>
              <w:bidi w:val="0"/>
              <w:snapToGrid/>
              <w:spacing w:line="360" w:lineRule="auto"/>
              <w:jc w:val="center"/>
              <w:rPr>
                <w:rFonts w:hint="eastAsia" w:ascii="宋体" w:hAnsi="宋体" w:eastAsia="宋体" w:cs="宋体"/>
                <w:color w:val="auto"/>
                <w:szCs w:val="21"/>
                <w:highlight w:val="none"/>
                <w:lang w:bidi="en-US"/>
              </w:rPr>
            </w:pPr>
          </w:p>
        </w:tc>
        <w:tc>
          <w:tcPr>
            <w:tcW w:w="2535" w:type="dxa"/>
            <w:vAlign w:val="center"/>
          </w:tcPr>
          <w:p>
            <w:pPr>
              <w:pageBreakBefore w:val="0"/>
              <w:kinsoku/>
              <w:overflowPunct/>
              <w:topLinePunct w:val="0"/>
              <w:bidi w:val="0"/>
              <w:snapToGrid/>
              <w:spacing w:line="360" w:lineRule="auto"/>
              <w:jc w:val="center"/>
              <w:rPr>
                <w:rFonts w:hint="eastAsia" w:ascii="宋体" w:hAnsi="宋体" w:eastAsia="宋体" w:cs="宋体"/>
                <w:color w:val="auto"/>
                <w:szCs w:val="21"/>
                <w:highlight w:val="none"/>
                <w:lang w:bidi="en-U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jc w:val="center"/>
        </w:trPr>
        <w:tc>
          <w:tcPr>
            <w:tcW w:w="2535" w:type="dxa"/>
            <w:vAlign w:val="center"/>
          </w:tcPr>
          <w:p>
            <w:pPr>
              <w:pageBreakBefore w:val="0"/>
              <w:kinsoku/>
              <w:overflowPunct/>
              <w:topLinePunct w:val="0"/>
              <w:bidi w:val="0"/>
              <w:snapToGrid/>
              <w:spacing w:line="360" w:lineRule="auto"/>
              <w:jc w:val="center"/>
              <w:rPr>
                <w:rFonts w:hint="eastAsia" w:ascii="宋体" w:hAnsi="宋体" w:eastAsia="宋体" w:cs="宋体"/>
                <w:color w:val="auto"/>
                <w:szCs w:val="21"/>
                <w:highlight w:val="none"/>
                <w:lang w:bidi="en-US"/>
              </w:rPr>
            </w:pPr>
          </w:p>
        </w:tc>
        <w:tc>
          <w:tcPr>
            <w:tcW w:w="2535" w:type="dxa"/>
            <w:vAlign w:val="center"/>
          </w:tcPr>
          <w:p>
            <w:pPr>
              <w:pageBreakBefore w:val="0"/>
              <w:kinsoku/>
              <w:overflowPunct/>
              <w:topLinePunct w:val="0"/>
              <w:bidi w:val="0"/>
              <w:snapToGrid/>
              <w:spacing w:line="360" w:lineRule="auto"/>
              <w:jc w:val="center"/>
              <w:rPr>
                <w:rFonts w:hint="eastAsia" w:ascii="宋体" w:hAnsi="宋体" w:eastAsia="宋体" w:cs="宋体"/>
                <w:color w:val="auto"/>
                <w:szCs w:val="21"/>
                <w:highlight w:val="none"/>
                <w:lang w:bidi="en-US"/>
              </w:rPr>
            </w:pPr>
          </w:p>
        </w:tc>
        <w:tc>
          <w:tcPr>
            <w:tcW w:w="2535" w:type="dxa"/>
            <w:vAlign w:val="center"/>
          </w:tcPr>
          <w:p>
            <w:pPr>
              <w:pageBreakBefore w:val="0"/>
              <w:kinsoku/>
              <w:overflowPunct/>
              <w:topLinePunct w:val="0"/>
              <w:bidi w:val="0"/>
              <w:snapToGrid/>
              <w:spacing w:line="360" w:lineRule="auto"/>
              <w:jc w:val="center"/>
              <w:rPr>
                <w:rFonts w:hint="eastAsia" w:ascii="宋体" w:hAnsi="宋体" w:eastAsia="宋体" w:cs="宋体"/>
                <w:color w:val="auto"/>
                <w:szCs w:val="21"/>
                <w:highlight w:val="none"/>
                <w:lang w:bidi="en-US"/>
              </w:rPr>
            </w:pPr>
          </w:p>
        </w:tc>
        <w:tc>
          <w:tcPr>
            <w:tcW w:w="2535" w:type="dxa"/>
            <w:vAlign w:val="center"/>
          </w:tcPr>
          <w:p>
            <w:pPr>
              <w:pageBreakBefore w:val="0"/>
              <w:kinsoku/>
              <w:overflowPunct/>
              <w:topLinePunct w:val="0"/>
              <w:bidi w:val="0"/>
              <w:snapToGrid/>
              <w:spacing w:line="360" w:lineRule="auto"/>
              <w:jc w:val="center"/>
              <w:rPr>
                <w:rFonts w:hint="eastAsia" w:ascii="宋体" w:hAnsi="宋体" w:eastAsia="宋体" w:cs="宋体"/>
                <w:color w:val="auto"/>
                <w:szCs w:val="21"/>
                <w:highlight w:val="none"/>
                <w:lang w:bidi="en-U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jc w:val="center"/>
        </w:trPr>
        <w:tc>
          <w:tcPr>
            <w:tcW w:w="2535" w:type="dxa"/>
            <w:vAlign w:val="center"/>
          </w:tcPr>
          <w:p>
            <w:pPr>
              <w:pageBreakBefore w:val="0"/>
              <w:kinsoku/>
              <w:overflowPunct/>
              <w:topLinePunct w:val="0"/>
              <w:bidi w:val="0"/>
              <w:snapToGrid/>
              <w:spacing w:line="360" w:lineRule="auto"/>
              <w:jc w:val="center"/>
              <w:rPr>
                <w:rFonts w:hint="eastAsia" w:ascii="宋体" w:hAnsi="宋体" w:eastAsia="宋体" w:cs="宋体"/>
                <w:color w:val="auto"/>
                <w:szCs w:val="21"/>
                <w:highlight w:val="none"/>
                <w:lang w:bidi="en-US"/>
              </w:rPr>
            </w:pPr>
          </w:p>
        </w:tc>
        <w:tc>
          <w:tcPr>
            <w:tcW w:w="2535" w:type="dxa"/>
            <w:vAlign w:val="center"/>
          </w:tcPr>
          <w:p>
            <w:pPr>
              <w:pageBreakBefore w:val="0"/>
              <w:kinsoku/>
              <w:overflowPunct/>
              <w:topLinePunct w:val="0"/>
              <w:bidi w:val="0"/>
              <w:snapToGrid/>
              <w:spacing w:line="360" w:lineRule="auto"/>
              <w:jc w:val="center"/>
              <w:rPr>
                <w:rFonts w:hint="eastAsia" w:ascii="宋体" w:hAnsi="宋体" w:eastAsia="宋体" w:cs="宋体"/>
                <w:color w:val="auto"/>
                <w:szCs w:val="21"/>
                <w:highlight w:val="none"/>
                <w:lang w:bidi="en-US"/>
              </w:rPr>
            </w:pPr>
          </w:p>
        </w:tc>
        <w:tc>
          <w:tcPr>
            <w:tcW w:w="2535" w:type="dxa"/>
            <w:vAlign w:val="center"/>
          </w:tcPr>
          <w:p>
            <w:pPr>
              <w:pageBreakBefore w:val="0"/>
              <w:kinsoku/>
              <w:overflowPunct/>
              <w:topLinePunct w:val="0"/>
              <w:bidi w:val="0"/>
              <w:snapToGrid/>
              <w:spacing w:line="360" w:lineRule="auto"/>
              <w:jc w:val="center"/>
              <w:rPr>
                <w:rFonts w:hint="eastAsia" w:ascii="宋体" w:hAnsi="宋体" w:eastAsia="宋体" w:cs="宋体"/>
                <w:color w:val="auto"/>
                <w:szCs w:val="21"/>
                <w:highlight w:val="none"/>
                <w:lang w:bidi="en-US"/>
              </w:rPr>
            </w:pPr>
          </w:p>
        </w:tc>
        <w:tc>
          <w:tcPr>
            <w:tcW w:w="2535" w:type="dxa"/>
            <w:vAlign w:val="center"/>
          </w:tcPr>
          <w:p>
            <w:pPr>
              <w:pageBreakBefore w:val="0"/>
              <w:kinsoku/>
              <w:overflowPunct/>
              <w:topLinePunct w:val="0"/>
              <w:bidi w:val="0"/>
              <w:snapToGrid/>
              <w:spacing w:line="360" w:lineRule="auto"/>
              <w:jc w:val="center"/>
              <w:rPr>
                <w:rFonts w:hint="eastAsia" w:ascii="宋体" w:hAnsi="宋体" w:eastAsia="宋体" w:cs="宋体"/>
                <w:color w:val="auto"/>
                <w:szCs w:val="21"/>
                <w:highlight w:val="none"/>
                <w:lang w:bidi="en-U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jc w:val="center"/>
        </w:trPr>
        <w:tc>
          <w:tcPr>
            <w:tcW w:w="2535" w:type="dxa"/>
            <w:vAlign w:val="center"/>
          </w:tcPr>
          <w:p>
            <w:pPr>
              <w:pageBreakBefore w:val="0"/>
              <w:kinsoku/>
              <w:overflowPunct/>
              <w:topLinePunct w:val="0"/>
              <w:bidi w:val="0"/>
              <w:snapToGrid/>
              <w:spacing w:line="360" w:lineRule="auto"/>
              <w:jc w:val="center"/>
              <w:rPr>
                <w:rFonts w:hint="eastAsia" w:ascii="宋体" w:hAnsi="宋体" w:eastAsia="宋体" w:cs="宋体"/>
                <w:color w:val="auto"/>
                <w:szCs w:val="21"/>
                <w:highlight w:val="none"/>
                <w:lang w:bidi="en-US"/>
              </w:rPr>
            </w:pPr>
          </w:p>
        </w:tc>
        <w:tc>
          <w:tcPr>
            <w:tcW w:w="2535" w:type="dxa"/>
            <w:vAlign w:val="center"/>
          </w:tcPr>
          <w:p>
            <w:pPr>
              <w:pageBreakBefore w:val="0"/>
              <w:kinsoku/>
              <w:overflowPunct/>
              <w:topLinePunct w:val="0"/>
              <w:bidi w:val="0"/>
              <w:snapToGrid/>
              <w:spacing w:line="360" w:lineRule="auto"/>
              <w:jc w:val="center"/>
              <w:rPr>
                <w:rFonts w:hint="eastAsia" w:ascii="宋体" w:hAnsi="宋体" w:eastAsia="宋体" w:cs="宋体"/>
                <w:color w:val="auto"/>
                <w:szCs w:val="21"/>
                <w:highlight w:val="none"/>
                <w:lang w:bidi="en-US"/>
              </w:rPr>
            </w:pPr>
          </w:p>
        </w:tc>
        <w:tc>
          <w:tcPr>
            <w:tcW w:w="2535" w:type="dxa"/>
            <w:vAlign w:val="center"/>
          </w:tcPr>
          <w:p>
            <w:pPr>
              <w:pageBreakBefore w:val="0"/>
              <w:kinsoku/>
              <w:overflowPunct/>
              <w:topLinePunct w:val="0"/>
              <w:bidi w:val="0"/>
              <w:snapToGrid/>
              <w:spacing w:line="360" w:lineRule="auto"/>
              <w:jc w:val="center"/>
              <w:rPr>
                <w:rFonts w:hint="eastAsia" w:ascii="宋体" w:hAnsi="宋体" w:eastAsia="宋体" w:cs="宋体"/>
                <w:color w:val="auto"/>
                <w:szCs w:val="21"/>
                <w:highlight w:val="none"/>
                <w:lang w:bidi="en-US"/>
              </w:rPr>
            </w:pPr>
          </w:p>
        </w:tc>
        <w:tc>
          <w:tcPr>
            <w:tcW w:w="2535" w:type="dxa"/>
            <w:vAlign w:val="center"/>
          </w:tcPr>
          <w:p>
            <w:pPr>
              <w:pageBreakBefore w:val="0"/>
              <w:kinsoku/>
              <w:overflowPunct/>
              <w:topLinePunct w:val="0"/>
              <w:bidi w:val="0"/>
              <w:snapToGrid/>
              <w:spacing w:line="360" w:lineRule="auto"/>
              <w:jc w:val="center"/>
              <w:rPr>
                <w:rFonts w:hint="eastAsia" w:ascii="宋体" w:hAnsi="宋体" w:eastAsia="宋体" w:cs="宋体"/>
                <w:color w:val="auto"/>
                <w:szCs w:val="21"/>
                <w:highlight w:val="none"/>
                <w:lang w:bidi="en-U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jc w:val="center"/>
        </w:trPr>
        <w:tc>
          <w:tcPr>
            <w:tcW w:w="2535" w:type="dxa"/>
            <w:vAlign w:val="center"/>
          </w:tcPr>
          <w:p>
            <w:pPr>
              <w:pageBreakBefore w:val="0"/>
              <w:kinsoku/>
              <w:overflowPunct/>
              <w:topLinePunct w:val="0"/>
              <w:bidi w:val="0"/>
              <w:snapToGrid/>
              <w:spacing w:line="360" w:lineRule="auto"/>
              <w:jc w:val="center"/>
              <w:rPr>
                <w:rFonts w:hint="eastAsia" w:ascii="宋体" w:hAnsi="宋体" w:eastAsia="宋体" w:cs="宋体"/>
                <w:color w:val="auto"/>
                <w:szCs w:val="21"/>
                <w:highlight w:val="none"/>
                <w:lang w:bidi="en-US"/>
              </w:rPr>
            </w:pPr>
          </w:p>
        </w:tc>
        <w:tc>
          <w:tcPr>
            <w:tcW w:w="2535" w:type="dxa"/>
            <w:vAlign w:val="center"/>
          </w:tcPr>
          <w:p>
            <w:pPr>
              <w:pageBreakBefore w:val="0"/>
              <w:kinsoku/>
              <w:overflowPunct/>
              <w:topLinePunct w:val="0"/>
              <w:bidi w:val="0"/>
              <w:snapToGrid/>
              <w:spacing w:line="360" w:lineRule="auto"/>
              <w:jc w:val="center"/>
              <w:rPr>
                <w:rFonts w:hint="eastAsia" w:ascii="宋体" w:hAnsi="宋体" w:eastAsia="宋体" w:cs="宋体"/>
                <w:color w:val="auto"/>
                <w:szCs w:val="21"/>
                <w:highlight w:val="none"/>
                <w:lang w:bidi="en-US"/>
              </w:rPr>
            </w:pPr>
          </w:p>
        </w:tc>
        <w:tc>
          <w:tcPr>
            <w:tcW w:w="2535" w:type="dxa"/>
            <w:vAlign w:val="center"/>
          </w:tcPr>
          <w:p>
            <w:pPr>
              <w:pageBreakBefore w:val="0"/>
              <w:kinsoku/>
              <w:overflowPunct/>
              <w:topLinePunct w:val="0"/>
              <w:bidi w:val="0"/>
              <w:snapToGrid/>
              <w:spacing w:line="360" w:lineRule="auto"/>
              <w:jc w:val="center"/>
              <w:rPr>
                <w:rFonts w:hint="eastAsia" w:ascii="宋体" w:hAnsi="宋体" w:eastAsia="宋体" w:cs="宋体"/>
                <w:color w:val="auto"/>
                <w:szCs w:val="21"/>
                <w:highlight w:val="none"/>
                <w:lang w:bidi="en-US"/>
              </w:rPr>
            </w:pPr>
          </w:p>
        </w:tc>
        <w:tc>
          <w:tcPr>
            <w:tcW w:w="2535" w:type="dxa"/>
            <w:vAlign w:val="center"/>
          </w:tcPr>
          <w:p>
            <w:pPr>
              <w:pageBreakBefore w:val="0"/>
              <w:kinsoku/>
              <w:overflowPunct/>
              <w:topLinePunct w:val="0"/>
              <w:bidi w:val="0"/>
              <w:snapToGrid/>
              <w:spacing w:line="360" w:lineRule="auto"/>
              <w:jc w:val="center"/>
              <w:rPr>
                <w:rFonts w:hint="eastAsia" w:ascii="宋体" w:hAnsi="宋体" w:eastAsia="宋体" w:cs="宋体"/>
                <w:color w:val="auto"/>
                <w:szCs w:val="21"/>
                <w:highlight w:val="none"/>
                <w:lang w:bidi="en-U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jc w:val="center"/>
        </w:trPr>
        <w:tc>
          <w:tcPr>
            <w:tcW w:w="2535" w:type="dxa"/>
            <w:vAlign w:val="center"/>
          </w:tcPr>
          <w:p>
            <w:pPr>
              <w:pageBreakBefore w:val="0"/>
              <w:kinsoku/>
              <w:overflowPunct/>
              <w:topLinePunct w:val="0"/>
              <w:bidi w:val="0"/>
              <w:snapToGrid/>
              <w:spacing w:line="360" w:lineRule="auto"/>
              <w:jc w:val="center"/>
              <w:rPr>
                <w:rFonts w:hint="eastAsia" w:ascii="宋体" w:hAnsi="宋体" w:eastAsia="宋体" w:cs="宋体"/>
                <w:color w:val="auto"/>
                <w:szCs w:val="21"/>
                <w:highlight w:val="none"/>
                <w:lang w:bidi="en-US"/>
              </w:rPr>
            </w:pPr>
          </w:p>
        </w:tc>
        <w:tc>
          <w:tcPr>
            <w:tcW w:w="2535" w:type="dxa"/>
            <w:vAlign w:val="center"/>
          </w:tcPr>
          <w:p>
            <w:pPr>
              <w:pageBreakBefore w:val="0"/>
              <w:kinsoku/>
              <w:overflowPunct/>
              <w:topLinePunct w:val="0"/>
              <w:bidi w:val="0"/>
              <w:snapToGrid/>
              <w:spacing w:line="360" w:lineRule="auto"/>
              <w:jc w:val="center"/>
              <w:rPr>
                <w:rFonts w:hint="eastAsia" w:ascii="宋体" w:hAnsi="宋体" w:eastAsia="宋体" w:cs="宋体"/>
                <w:color w:val="auto"/>
                <w:szCs w:val="21"/>
                <w:highlight w:val="none"/>
                <w:lang w:bidi="en-US"/>
              </w:rPr>
            </w:pPr>
          </w:p>
        </w:tc>
        <w:tc>
          <w:tcPr>
            <w:tcW w:w="2535" w:type="dxa"/>
            <w:vAlign w:val="center"/>
          </w:tcPr>
          <w:p>
            <w:pPr>
              <w:pageBreakBefore w:val="0"/>
              <w:kinsoku/>
              <w:overflowPunct/>
              <w:topLinePunct w:val="0"/>
              <w:bidi w:val="0"/>
              <w:snapToGrid/>
              <w:spacing w:line="360" w:lineRule="auto"/>
              <w:jc w:val="center"/>
              <w:rPr>
                <w:rFonts w:hint="eastAsia" w:ascii="宋体" w:hAnsi="宋体" w:eastAsia="宋体" w:cs="宋体"/>
                <w:color w:val="auto"/>
                <w:szCs w:val="21"/>
                <w:highlight w:val="none"/>
                <w:lang w:bidi="en-US"/>
              </w:rPr>
            </w:pPr>
          </w:p>
        </w:tc>
        <w:tc>
          <w:tcPr>
            <w:tcW w:w="2535" w:type="dxa"/>
            <w:vAlign w:val="center"/>
          </w:tcPr>
          <w:p>
            <w:pPr>
              <w:pageBreakBefore w:val="0"/>
              <w:kinsoku/>
              <w:overflowPunct/>
              <w:topLinePunct w:val="0"/>
              <w:bidi w:val="0"/>
              <w:snapToGrid/>
              <w:spacing w:line="360" w:lineRule="auto"/>
              <w:jc w:val="center"/>
              <w:rPr>
                <w:rFonts w:hint="eastAsia" w:ascii="宋体" w:hAnsi="宋体" w:eastAsia="宋体" w:cs="宋体"/>
                <w:color w:val="auto"/>
                <w:szCs w:val="21"/>
                <w:highlight w:val="none"/>
                <w:lang w:bidi="en-U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jc w:val="center"/>
        </w:trPr>
        <w:tc>
          <w:tcPr>
            <w:tcW w:w="2535" w:type="dxa"/>
            <w:vAlign w:val="center"/>
          </w:tcPr>
          <w:p>
            <w:pPr>
              <w:pageBreakBefore w:val="0"/>
              <w:kinsoku/>
              <w:overflowPunct/>
              <w:topLinePunct w:val="0"/>
              <w:bidi w:val="0"/>
              <w:snapToGrid/>
              <w:spacing w:line="360" w:lineRule="auto"/>
              <w:jc w:val="center"/>
              <w:rPr>
                <w:rFonts w:hint="eastAsia" w:ascii="宋体" w:hAnsi="宋体" w:eastAsia="宋体" w:cs="宋体"/>
                <w:color w:val="auto"/>
                <w:szCs w:val="21"/>
                <w:highlight w:val="none"/>
                <w:lang w:bidi="en-US"/>
              </w:rPr>
            </w:pPr>
          </w:p>
        </w:tc>
        <w:tc>
          <w:tcPr>
            <w:tcW w:w="2535" w:type="dxa"/>
            <w:vAlign w:val="center"/>
          </w:tcPr>
          <w:p>
            <w:pPr>
              <w:pageBreakBefore w:val="0"/>
              <w:kinsoku/>
              <w:overflowPunct/>
              <w:topLinePunct w:val="0"/>
              <w:bidi w:val="0"/>
              <w:snapToGrid/>
              <w:spacing w:line="360" w:lineRule="auto"/>
              <w:jc w:val="center"/>
              <w:rPr>
                <w:rFonts w:hint="eastAsia" w:ascii="宋体" w:hAnsi="宋体" w:eastAsia="宋体" w:cs="宋体"/>
                <w:color w:val="auto"/>
                <w:szCs w:val="21"/>
                <w:highlight w:val="none"/>
                <w:lang w:bidi="en-US"/>
              </w:rPr>
            </w:pPr>
          </w:p>
        </w:tc>
        <w:tc>
          <w:tcPr>
            <w:tcW w:w="2535" w:type="dxa"/>
            <w:vAlign w:val="center"/>
          </w:tcPr>
          <w:p>
            <w:pPr>
              <w:pageBreakBefore w:val="0"/>
              <w:kinsoku/>
              <w:overflowPunct/>
              <w:topLinePunct w:val="0"/>
              <w:bidi w:val="0"/>
              <w:snapToGrid/>
              <w:spacing w:line="360" w:lineRule="auto"/>
              <w:jc w:val="center"/>
              <w:rPr>
                <w:rFonts w:hint="eastAsia" w:ascii="宋体" w:hAnsi="宋体" w:eastAsia="宋体" w:cs="宋体"/>
                <w:color w:val="auto"/>
                <w:szCs w:val="21"/>
                <w:highlight w:val="none"/>
                <w:lang w:bidi="en-US"/>
              </w:rPr>
            </w:pPr>
          </w:p>
        </w:tc>
        <w:tc>
          <w:tcPr>
            <w:tcW w:w="2535" w:type="dxa"/>
            <w:vAlign w:val="center"/>
          </w:tcPr>
          <w:p>
            <w:pPr>
              <w:pageBreakBefore w:val="0"/>
              <w:kinsoku/>
              <w:overflowPunct/>
              <w:topLinePunct w:val="0"/>
              <w:bidi w:val="0"/>
              <w:snapToGrid/>
              <w:spacing w:line="360" w:lineRule="auto"/>
              <w:jc w:val="center"/>
              <w:rPr>
                <w:rFonts w:hint="eastAsia" w:ascii="宋体" w:hAnsi="宋体" w:eastAsia="宋体" w:cs="宋体"/>
                <w:color w:val="auto"/>
                <w:szCs w:val="21"/>
                <w:highlight w:val="none"/>
                <w:lang w:bidi="en-U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jc w:val="center"/>
        </w:trPr>
        <w:tc>
          <w:tcPr>
            <w:tcW w:w="2535" w:type="dxa"/>
            <w:vAlign w:val="center"/>
          </w:tcPr>
          <w:p>
            <w:pPr>
              <w:pageBreakBefore w:val="0"/>
              <w:kinsoku/>
              <w:overflowPunct/>
              <w:topLinePunct w:val="0"/>
              <w:bidi w:val="0"/>
              <w:snapToGrid/>
              <w:spacing w:line="360" w:lineRule="auto"/>
              <w:jc w:val="center"/>
              <w:rPr>
                <w:rFonts w:hint="eastAsia" w:ascii="宋体" w:hAnsi="宋体" w:eastAsia="宋体" w:cs="宋体"/>
                <w:color w:val="auto"/>
                <w:szCs w:val="21"/>
                <w:highlight w:val="none"/>
                <w:lang w:bidi="en-US"/>
              </w:rPr>
            </w:pPr>
          </w:p>
        </w:tc>
        <w:tc>
          <w:tcPr>
            <w:tcW w:w="2535" w:type="dxa"/>
            <w:vAlign w:val="center"/>
          </w:tcPr>
          <w:p>
            <w:pPr>
              <w:pageBreakBefore w:val="0"/>
              <w:kinsoku/>
              <w:overflowPunct/>
              <w:topLinePunct w:val="0"/>
              <w:bidi w:val="0"/>
              <w:snapToGrid/>
              <w:spacing w:line="360" w:lineRule="auto"/>
              <w:jc w:val="center"/>
              <w:rPr>
                <w:rFonts w:hint="eastAsia" w:ascii="宋体" w:hAnsi="宋体" w:eastAsia="宋体" w:cs="宋体"/>
                <w:color w:val="auto"/>
                <w:szCs w:val="21"/>
                <w:highlight w:val="none"/>
                <w:lang w:bidi="en-US"/>
              </w:rPr>
            </w:pPr>
          </w:p>
        </w:tc>
        <w:tc>
          <w:tcPr>
            <w:tcW w:w="2535" w:type="dxa"/>
            <w:vAlign w:val="center"/>
          </w:tcPr>
          <w:p>
            <w:pPr>
              <w:pageBreakBefore w:val="0"/>
              <w:kinsoku/>
              <w:overflowPunct/>
              <w:topLinePunct w:val="0"/>
              <w:bidi w:val="0"/>
              <w:snapToGrid/>
              <w:spacing w:line="360" w:lineRule="auto"/>
              <w:jc w:val="center"/>
              <w:rPr>
                <w:rFonts w:hint="eastAsia" w:ascii="宋体" w:hAnsi="宋体" w:eastAsia="宋体" w:cs="宋体"/>
                <w:color w:val="auto"/>
                <w:szCs w:val="21"/>
                <w:highlight w:val="none"/>
                <w:lang w:bidi="en-US"/>
              </w:rPr>
            </w:pPr>
          </w:p>
        </w:tc>
        <w:tc>
          <w:tcPr>
            <w:tcW w:w="2535" w:type="dxa"/>
            <w:vAlign w:val="center"/>
          </w:tcPr>
          <w:p>
            <w:pPr>
              <w:pageBreakBefore w:val="0"/>
              <w:kinsoku/>
              <w:overflowPunct/>
              <w:topLinePunct w:val="0"/>
              <w:bidi w:val="0"/>
              <w:snapToGrid/>
              <w:spacing w:line="360" w:lineRule="auto"/>
              <w:jc w:val="center"/>
              <w:rPr>
                <w:rFonts w:hint="eastAsia" w:ascii="宋体" w:hAnsi="宋体" w:eastAsia="宋体" w:cs="宋体"/>
                <w:color w:val="auto"/>
                <w:szCs w:val="21"/>
                <w:highlight w:val="none"/>
                <w:lang w:bidi="en-U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jc w:val="center"/>
        </w:trPr>
        <w:tc>
          <w:tcPr>
            <w:tcW w:w="2535" w:type="dxa"/>
            <w:vAlign w:val="center"/>
          </w:tcPr>
          <w:p>
            <w:pPr>
              <w:pageBreakBefore w:val="0"/>
              <w:kinsoku/>
              <w:overflowPunct/>
              <w:topLinePunct w:val="0"/>
              <w:bidi w:val="0"/>
              <w:snapToGrid/>
              <w:spacing w:line="360" w:lineRule="auto"/>
              <w:jc w:val="center"/>
              <w:rPr>
                <w:rFonts w:hint="eastAsia" w:ascii="宋体" w:hAnsi="宋体" w:eastAsia="宋体" w:cs="宋体"/>
                <w:color w:val="auto"/>
                <w:szCs w:val="21"/>
                <w:highlight w:val="none"/>
                <w:lang w:bidi="en-US"/>
              </w:rPr>
            </w:pPr>
          </w:p>
        </w:tc>
        <w:tc>
          <w:tcPr>
            <w:tcW w:w="2535" w:type="dxa"/>
            <w:vAlign w:val="center"/>
          </w:tcPr>
          <w:p>
            <w:pPr>
              <w:pageBreakBefore w:val="0"/>
              <w:kinsoku/>
              <w:overflowPunct/>
              <w:topLinePunct w:val="0"/>
              <w:bidi w:val="0"/>
              <w:snapToGrid/>
              <w:spacing w:line="360" w:lineRule="auto"/>
              <w:jc w:val="center"/>
              <w:rPr>
                <w:rFonts w:hint="eastAsia" w:ascii="宋体" w:hAnsi="宋体" w:eastAsia="宋体" w:cs="宋体"/>
                <w:color w:val="auto"/>
                <w:szCs w:val="21"/>
                <w:highlight w:val="none"/>
                <w:lang w:bidi="en-US"/>
              </w:rPr>
            </w:pPr>
          </w:p>
        </w:tc>
        <w:tc>
          <w:tcPr>
            <w:tcW w:w="2535" w:type="dxa"/>
            <w:vAlign w:val="center"/>
          </w:tcPr>
          <w:p>
            <w:pPr>
              <w:pageBreakBefore w:val="0"/>
              <w:kinsoku/>
              <w:overflowPunct/>
              <w:topLinePunct w:val="0"/>
              <w:bidi w:val="0"/>
              <w:snapToGrid/>
              <w:spacing w:line="360" w:lineRule="auto"/>
              <w:jc w:val="center"/>
              <w:rPr>
                <w:rFonts w:hint="eastAsia" w:ascii="宋体" w:hAnsi="宋体" w:eastAsia="宋体" w:cs="宋体"/>
                <w:color w:val="auto"/>
                <w:szCs w:val="21"/>
                <w:highlight w:val="none"/>
                <w:lang w:bidi="en-US"/>
              </w:rPr>
            </w:pPr>
          </w:p>
        </w:tc>
        <w:tc>
          <w:tcPr>
            <w:tcW w:w="2535" w:type="dxa"/>
            <w:vAlign w:val="center"/>
          </w:tcPr>
          <w:p>
            <w:pPr>
              <w:pageBreakBefore w:val="0"/>
              <w:kinsoku/>
              <w:overflowPunct/>
              <w:topLinePunct w:val="0"/>
              <w:bidi w:val="0"/>
              <w:snapToGrid/>
              <w:spacing w:line="360" w:lineRule="auto"/>
              <w:jc w:val="center"/>
              <w:rPr>
                <w:rFonts w:hint="eastAsia" w:ascii="宋体" w:hAnsi="宋体" w:eastAsia="宋体" w:cs="宋体"/>
                <w:color w:val="auto"/>
                <w:szCs w:val="21"/>
                <w:highlight w:val="none"/>
                <w:lang w:bidi="en-U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0" w:hRule="atLeast"/>
          <w:jc w:val="center"/>
        </w:trPr>
        <w:tc>
          <w:tcPr>
            <w:tcW w:w="2535" w:type="dxa"/>
            <w:vAlign w:val="center"/>
          </w:tcPr>
          <w:p>
            <w:pPr>
              <w:pageBreakBefore w:val="0"/>
              <w:kinsoku/>
              <w:overflowPunct/>
              <w:topLinePunct w:val="0"/>
              <w:bidi w:val="0"/>
              <w:snapToGrid/>
              <w:spacing w:line="360" w:lineRule="auto"/>
              <w:jc w:val="center"/>
              <w:rPr>
                <w:rFonts w:hint="eastAsia" w:ascii="宋体" w:hAnsi="宋体" w:eastAsia="宋体" w:cs="宋体"/>
                <w:color w:val="auto"/>
                <w:szCs w:val="21"/>
                <w:highlight w:val="none"/>
                <w:lang w:bidi="en-US"/>
              </w:rPr>
            </w:pPr>
          </w:p>
        </w:tc>
        <w:tc>
          <w:tcPr>
            <w:tcW w:w="2535" w:type="dxa"/>
            <w:vAlign w:val="center"/>
          </w:tcPr>
          <w:p>
            <w:pPr>
              <w:pageBreakBefore w:val="0"/>
              <w:kinsoku/>
              <w:overflowPunct/>
              <w:topLinePunct w:val="0"/>
              <w:bidi w:val="0"/>
              <w:snapToGrid/>
              <w:spacing w:line="360" w:lineRule="auto"/>
              <w:jc w:val="center"/>
              <w:rPr>
                <w:rFonts w:hint="eastAsia" w:ascii="宋体" w:hAnsi="宋体" w:eastAsia="宋体" w:cs="宋体"/>
                <w:color w:val="auto"/>
                <w:szCs w:val="21"/>
                <w:highlight w:val="none"/>
                <w:lang w:bidi="en-US"/>
              </w:rPr>
            </w:pPr>
          </w:p>
        </w:tc>
        <w:tc>
          <w:tcPr>
            <w:tcW w:w="2535" w:type="dxa"/>
            <w:vAlign w:val="center"/>
          </w:tcPr>
          <w:p>
            <w:pPr>
              <w:pageBreakBefore w:val="0"/>
              <w:kinsoku/>
              <w:overflowPunct/>
              <w:topLinePunct w:val="0"/>
              <w:bidi w:val="0"/>
              <w:snapToGrid/>
              <w:spacing w:line="360" w:lineRule="auto"/>
              <w:jc w:val="center"/>
              <w:rPr>
                <w:rFonts w:hint="eastAsia" w:ascii="宋体" w:hAnsi="宋体" w:eastAsia="宋体" w:cs="宋体"/>
                <w:color w:val="auto"/>
                <w:szCs w:val="21"/>
                <w:highlight w:val="none"/>
                <w:lang w:bidi="en-US"/>
              </w:rPr>
            </w:pPr>
          </w:p>
        </w:tc>
        <w:tc>
          <w:tcPr>
            <w:tcW w:w="2535" w:type="dxa"/>
            <w:vAlign w:val="center"/>
          </w:tcPr>
          <w:p>
            <w:pPr>
              <w:pageBreakBefore w:val="0"/>
              <w:kinsoku/>
              <w:overflowPunct/>
              <w:topLinePunct w:val="0"/>
              <w:bidi w:val="0"/>
              <w:snapToGrid/>
              <w:spacing w:line="360" w:lineRule="auto"/>
              <w:jc w:val="center"/>
              <w:rPr>
                <w:rFonts w:hint="eastAsia" w:ascii="宋体" w:hAnsi="宋体" w:eastAsia="宋体" w:cs="宋体"/>
                <w:color w:val="auto"/>
                <w:szCs w:val="21"/>
                <w:highlight w:val="none"/>
                <w:lang w:bidi="en-US"/>
              </w:rPr>
            </w:pPr>
          </w:p>
        </w:tc>
      </w:tr>
    </w:tbl>
    <w:p>
      <w:pPr>
        <w:pageBreakBefore w:val="0"/>
        <w:kinsoku/>
        <w:overflowPunct/>
        <w:topLinePunct w:val="0"/>
        <w:bidi w:val="0"/>
        <w:snapToGrid/>
        <w:spacing w:line="360" w:lineRule="auto"/>
        <w:jc w:val="center"/>
        <w:rPr>
          <w:rFonts w:hint="eastAsia" w:ascii="宋体" w:hAnsi="宋体" w:eastAsia="宋体" w:cs="宋体"/>
          <w:color w:val="auto"/>
          <w:sz w:val="36"/>
          <w:szCs w:val="36"/>
          <w:highlight w:val="none"/>
        </w:rPr>
      </w:pPr>
      <w:bookmarkStart w:id="416" w:name="bookmark629"/>
      <w:bookmarkStart w:id="417" w:name="bookmark627"/>
      <w:bookmarkStart w:id="418" w:name="bookmark628"/>
    </w:p>
    <w:bookmarkEnd w:id="416"/>
    <w:bookmarkEnd w:id="417"/>
    <w:bookmarkEnd w:id="418"/>
    <w:p>
      <w:pPr>
        <w:pageBreakBefore w:val="0"/>
        <w:kinsoku/>
        <w:overflowPunct/>
        <w:topLinePunct w:val="0"/>
        <w:bidi w:val="0"/>
        <w:snapToGrid/>
        <w:spacing w:line="360" w:lineRule="auto"/>
        <w:rPr>
          <w:rFonts w:hint="eastAsia" w:ascii="宋体" w:hAnsi="宋体" w:eastAsia="宋体" w:cs="宋体"/>
          <w:color w:val="auto"/>
          <w:sz w:val="36"/>
          <w:szCs w:val="36"/>
          <w:highlight w:val="none"/>
        </w:rPr>
      </w:pPr>
      <w:bookmarkStart w:id="419" w:name="bookmark647"/>
      <w:bookmarkStart w:id="420" w:name="bookmark646"/>
      <w:bookmarkStart w:id="421" w:name="bookmark645"/>
      <w:r>
        <w:rPr>
          <w:rFonts w:hint="eastAsia" w:ascii="宋体" w:hAnsi="宋体" w:eastAsia="宋体" w:cs="宋体"/>
          <w:color w:val="auto"/>
          <w:sz w:val="36"/>
          <w:szCs w:val="36"/>
          <w:highlight w:val="none"/>
        </w:rPr>
        <w:br w:type="page"/>
      </w:r>
    </w:p>
    <w:p>
      <w:pPr>
        <w:pStyle w:val="18"/>
        <w:pageBreakBefore w:val="0"/>
        <w:kinsoku/>
        <w:overflowPunct/>
        <w:topLinePunct w:val="0"/>
        <w:bidi w:val="0"/>
        <w:snapToGrid/>
        <w:spacing w:line="360" w:lineRule="auto"/>
        <w:rPr>
          <w:rFonts w:hint="eastAsia" w:ascii="宋体" w:hAnsi="宋体" w:eastAsia="宋体" w:cs="宋体"/>
          <w:color w:val="auto"/>
          <w:highlight w:val="none"/>
        </w:rPr>
      </w:pPr>
    </w:p>
    <w:p>
      <w:pPr>
        <w:pStyle w:val="4"/>
        <w:pageBreakBefore w:val="0"/>
        <w:kinsoku/>
        <w:overflowPunct/>
        <w:topLinePunct w:val="0"/>
        <w:bidi w:val="0"/>
        <w:snapToGrid/>
        <w:spacing w:line="360" w:lineRule="auto"/>
        <w:rPr>
          <w:rFonts w:hint="eastAsia" w:ascii="宋体" w:hAnsi="宋体" w:eastAsia="宋体" w:cs="宋体"/>
          <w:color w:val="auto"/>
          <w:highlight w:val="none"/>
        </w:rPr>
      </w:pPr>
      <w:bookmarkStart w:id="422" w:name="_Toc30324"/>
      <w:bookmarkStart w:id="423" w:name="_Toc32136"/>
      <w:r>
        <w:rPr>
          <w:rFonts w:hint="eastAsia" w:ascii="宋体" w:hAnsi="宋体" w:eastAsia="宋体" w:cs="宋体"/>
          <w:color w:val="auto"/>
          <w:highlight w:val="none"/>
        </w:rPr>
        <w:t>九、其他资料</w:t>
      </w:r>
      <w:bookmarkEnd w:id="419"/>
      <w:bookmarkEnd w:id="420"/>
      <w:bookmarkEnd w:id="421"/>
      <w:bookmarkEnd w:id="422"/>
      <w:bookmarkEnd w:id="423"/>
    </w:p>
    <w:p>
      <w:pPr>
        <w:pStyle w:val="35"/>
        <w:pageBreakBefore w:val="0"/>
        <w:tabs>
          <w:tab w:val="left" w:pos="1371"/>
        </w:tabs>
        <w:kinsoku/>
        <w:overflowPunct/>
        <w:topLinePunct w:val="0"/>
        <w:bidi w:val="0"/>
        <w:snapToGrid/>
        <w:spacing w:after="80" w:line="360" w:lineRule="auto"/>
        <w:ind w:left="840"/>
        <w:jc w:val="left"/>
        <w:rPr>
          <w:rFonts w:hint="eastAsia" w:ascii="宋体" w:hAnsi="宋体" w:eastAsia="宋体" w:cs="宋体"/>
          <w:color w:val="auto"/>
          <w:sz w:val="24"/>
          <w:highlight w:val="none"/>
        </w:rPr>
      </w:pPr>
    </w:p>
    <w:p>
      <w:pPr>
        <w:pStyle w:val="35"/>
        <w:pageBreakBefore w:val="0"/>
        <w:tabs>
          <w:tab w:val="left" w:pos="1371"/>
        </w:tabs>
        <w:kinsoku/>
        <w:overflowPunct/>
        <w:topLinePunct w:val="0"/>
        <w:bidi w:val="0"/>
        <w:snapToGrid/>
        <w:spacing w:after="80" w:line="360" w:lineRule="auto"/>
        <w:ind w:left="840"/>
        <w:jc w:val="lef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eastAsia="zh-CN"/>
        </w:rPr>
        <w:t>询比响应人</w:t>
      </w:r>
      <w:r>
        <w:rPr>
          <w:rFonts w:hint="eastAsia" w:ascii="宋体" w:hAnsi="宋体" w:eastAsia="宋体" w:cs="宋体"/>
          <w:color w:val="auto"/>
          <w:sz w:val="24"/>
          <w:highlight w:val="none"/>
        </w:rPr>
        <w:t>需提交的其他资料。</w:t>
      </w:r>
    </w:p>
    <w:sectPr>
      <w:pgSz w:w="11906" w:h="16838"/>
      <w:pgMar w:top="1440" w:right="1080" w:bottom="1440" w:left="1080" w:header="851" w:footer="992" w:gutter="0"/>
      <w:pgBorders w:offsetFrom="page">
        <w:top w:val="single" w:color="808080" w:sz="18" w:space="24"/>
        <w:left w:val="single" w:color="808080" w:sz="18" w:space="24"/>
        <w:bottom w:val="single" w:color="808080" w:sz="18" w:space="24"/>
        <w:right w:val="single" w:color="808080" w:sz="18" w:space="24"/>
      </w:pgBorders>
      <w:pgNumType w:fmt="decimal"/>
      <w:cols w:space="0" w:num="1"/>
      <w:docGrid w:type="lines" w:linePitch="319"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AFF" w:usb1="C0007841" w:usb2="00000009" w:usb3="00000000" w:csb0="400001FF" w:csb1="FFFF0000"/>
  </w:font>
  <w:font w:name="宋体">
    <w:panose1 w:val="02010600030101010101"/>
    <w:charset w:val="7A"/>
    <w:family w:val="modern"/>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embedRegular r:id="rId1" w:fontKey="{0E779482-6096-4B79-BFE1-313B64B40E2C}"/>
  </w:font>
  <w:font w:name="Arial">
    <w:panose1 w:val="020B0604020202020204"/>
    <w:charset w:val="01"/>
    <w:family w:val="swiss"/>
    <w:pitch w:val="default"/>
    <w:sig w:usb0="E0002AFF" w:usb1="C0007843" w:usb2="00000009" w:usb3="00000000" w:csb0="400001FF" w:csb1="FFFF0000"/>
    <w:embedRegular r:id="rId2" w:fontKey="{E66D4571-6815-47C0-8405-1628D2BF5B33}"/>
  </w:font>
  <w:font w:name="黑体">
    <w:panose1 w:val="02010609060101010101"/>
    <w:charset w:val="86"/>
    <w:family w:val="auto"/>
    <w:pitch w:val="default"/>
    <w:sig w:usb0="800002BF" w:usb1="38CF7CFA" w:usb2="00000016" w:usb3="00000000" w:csb0="00040001" w:csb1="00000000"/>
    <w:embedRegular r:id="rId3" w:fontKey="{96214E5B-6D0B-49F5-93F5-7D3FC1C9EF07}"/>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embedRegular r:id="rId4" w:fontKey="{72E08C5A-4801-41E3-9D9C-7919F0B755EC}"/>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Wingdings 2">
    <w:panose1 w:val="05020102010507070707"/>
    <w:charset w:val="02"/>
    <w:family w:val="roman"/>
    <w:pitch w:val="default"/>
    <w:sig w:usb0="00000000" w:usb1="00000000" w:usb2="00000000" w:usb3="00000000" w:csb0="80000000" w:csb1="00000000"/>
    <w:embedRegular r:id="rId5" w:fontKey="{8104EB29-6150-4DCB-A726-D4D96DD496C0}"/>
  </w:font>
  <w:font w:name="微软雅黑">
    <w:panose1 w:val="020B0503020204020204"/>
    <w:charset w:val="86"/>
    <w:family w:val="auto"/>
    <w:pitch w:val="default"/>
    <w:sig w:usb0="80000287" w:usb1="280F3C52"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1"/>
    </w:pPr>
    <w:r>
      <w:rPr>
        <w:sz w:val="18"/>
      </w:rPr>
      <mc:AlternateContent>
        <mc:Choice Requires="wps">
          <w:drawing>
            <wp:anchor distT="0" distB="0" distL="114300" distR="114300" simplePos="0" relativeHeight="251662336" behindDoc="0" locked="0" layoutInCell="1" allowOverlap="1">
              <wp:simplePos x="0" y="0"/>
              <wp:positionH relativeFrom="margin">
                <wp:posOffset>2604135</wp:posOffset>
              </wp:positionH>
              <wp:positionV relativeFrom="paragraph">
                <wp:posOffset>0</wp:posOffset>
              </wp:positionV>
              <wp:extent cx="1828800" cy="1828800"/>
              <wp:effectExtent l="0" t="0" r="0" b="0"/>
              <wp:wrapNone/>
              <wp:docPr id="11" name="文本框 1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
                          </w:pPr>
                          <w:r>
                            <w:t xml:space="preserve">第 </w:t>
                          </w:r>
                          <w:r>
                            <w:fldChar w:fldCharType="begin"/>
                          </w:r>
                          <w:r>
                            <w:instrText xml:space="preserve"> PAGE  \* MERGEFORMAT </w:instrText>
                          </w:r>
                          <w:r>
                            <w:fldChar w:fldCharType="separate"/>
                          </w:r>
                          <w:r>
                            <w:t>7</w:t>
                          </w:r>
                          <w:r>
                            <w:fldChar w:fldCharType="end"/>
                          </w:r>
                          <w:r>
                            <w:t xml:space="preserve"> 页 共 </w:t>
                          </w:r>
                          <w:r>
                            <w:fldChar w:fldCharType="begin"/>
                          </w:r>
                          <w:r>
                            <w:instrText xml:space="preserve"> NUMPAGES  \* MERGEFORMAT </w:instrText>
                          </w:r>
                          <w:r>
                            <w:fldChar w:fldCharType="separate"/>
                          </w:r>
                          <w:r>
                            <w:t>134</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left:205.05pt;margin-top:0pt;height:144pt;width:144pt;mso-position-horizontal-relative:margin;mso-wrap-style:none;z-index:251662336;mso-width-relative:page;mso-height-relative:page;" filled="f" stroked="f" coordsize="21600,21600" o:gfxdata="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">
              <v:fill on="f" focussize="0,0"/>
              <v:stroke on="f" weight="0.5pt"/>
              <v:imagedata o:title=""/>
              <o:lock v:ext="edit" aspectratio="f"/>
              <v:textbox inset="0mm,0mm,0mm,0mm" style="mso-fit-shape-to-text:t;">
                <w:txbxContent>
                  <w:p>
                    <w:pPr>
                      <w:pStyle w:val="11"/>
                    </w:pPr>
                    <w:r>
                      <w:t xml:space="preserve">第 </w:t>
                    </w:r>
                    <w:r>
                      <w:fldChar w:fldCharType="begin"/>
                    </w:r>
                    <w:r>
                      <w:instrText xml:space="preserve"> PAGE  \* MERGEFORMAT </w:instrText>
                    </w:r>
                    <w:r>
                      <w:fldChar w:fldCharType="separate"/>
                    </w:r>
                    <w:r>
                      <w:t>7</w:t>
                    </w:r>
                    <w:r>
                      <w:fldChar w:fldCharType="end"/>
                    </w:r>
                    <w:r>
                      <w:t xml:space="preserve"> 页 共 </w:t>
                    </w:r>
                    <w:r>
                      <w:fldChar w:fldCharType="begin"/>
                    </w:r>
                    <w:r>
                      <w:instrText xml:space="preserve"> NUMPAGES  \* MERGEFORMAT </w:instrText>
                    </w:r>
                    <w:r>
                      <w:fldChar w:fldCharType="separate"/>
                    </w:r>
                    <w:r>
                      <w:t>134</w:t>
                    </w:r>
                    <w:r>
                      <w:fldChar w:fldCharType="end"/>
                    </w:r>
                    <w:r>
                      <w:t xml:space="preserve"> 页</w:t>
                    </w:r>
                  </w:p>
                </w:txbxContent>
              </v:textbox>
            </v:shape>
          </w:pict>
        </mc:Fallback>
      </mc:AlternateContent>
    </w:r>
    <w:r>
      <w:rPr>
        <w:sz w:val="18"/>
      </w:rPr>
      <w:drawing>
        <wp:inline distT="0" distB="0" distL="114300" distR="114300">
          <wp:extent cx="2123440" cy="225425"/>
          <wp:effectExtent l="0" t="0" r="10160" b="3175"/>
          <wp:docPr id="12" name="图片 12" descr="4c6f7556df56fc2ddbe1987f1b87c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12" descr="4c6f7556df56fc2ddbe1987f1b87c40"/>
                  <pic:cNvPicPr>
                    <a:picLocks noChangeAspect="1"/>
                  </pic:cNvPicPr>
                </pic:nvPicPr>
                <pic:blipFill>
                  <a:blip r:embed="rId1"/>
                  <a:stretch>
                    <a:fillRect/>
                  </a:stretch>
                </pic:blipFill>
                <pic:spPr>
                  <a:xfrm>
                    <a:off x="0" y="0"/>
                    <a:ext cx="2123440" cy="225425"/>
                  </a:xfrm>
                  <a:prstGeom prst="rect">
                    <a:avLst/>
                  </a:prstGeom>
                </pic:spPr>
              </pic:pic>
            </a:graphicData>
          </a:graphic>
        </wp:inline>
      </w:drawing>
    </w:r>
  </w:p>
  <w:p>
    <w:pPr>
      <w:pStyle w:val="11"/>
      <w:tabs>
        <w:tab w:val="left" w:pos="4881"/>
        <w:tab w:val="clear" w:pos="8306"/>
      </w:tabs>
      <w:jc w:val="both"/>
    </w:pPr>
    <w:r>
      <w:rPr>
        <w:rFonts w:hint="eastAsia"/>
        <w:sz w:val="18"/>
        <w:lang w:eastAsia="zh-CN"/>
      </w:rPr>
      <w:tab/>
    </w:r>
    <w:r>
      <w:rPr>
        <w:rFonts w:hint="eastAsia"/>
        <w:sz w:val="18"/>
        <w:lang w:eastAsia="zh-CN"/>
      </w:rPr>
      <w:tab/>
    </w:r>
    <w:r>
      <w:rPr>
        <w:rFonts w:hint="eastAsia"/>
        <w:sz w:val="18"/>
        <w:lang w:eastAsia="zh-CN"/>
      </w:rPr>
      <w:tab/>
    </w:r>
    <w:r>
      <w:rPr>
        <w:rFonts w:hint="eastAsia"/>
        <w:sz w:val="18"/>
        <w:lang w:eastAsia="zh-CN"/>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1"/>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文本框 1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
                          </w:pPr>
                          <w:r>
                            <w:t xml:space="preserve">第 </w:t>
                          </w:r>
                          <w:r>
                            <w:fldChar w:fldCharType="begin"/>
                          </w:r>
                          <w:r>
                            <w:instrText xml:space="preserve"> PAGE  \* MERGEFORMAT </w:instrText>
                          </w:r>
                          <w:r>
                            <w:fldChar w:fldCharType="separate"/>
                          </w:r>
                          <w:r>
                            <w:t>7</w:t>
                          </w:r>
                          <w:r>
                            <w:fldChar w:fldCharType="end"/>
                          </w:r>
                          <w:r>
                            <w:t xml:space="preserve"> 页 共 </w:t>
                          </w:r>
                          <w:r>
                            <w:fldChar w:fldCharType="begin"/>
                          </w:r>
                          <w:r>
                            <w:instrText xml:space="preserve"> NUMPAGES  \* MERGEFORMAT </w:instrText>
                          </w:r>
                          <w:r>
                            <w:fldChar w:fldCharType="separate"/>
                          </w:r>
                          <w:r>
                            <w:t>134</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mor5Ux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CpqK+VMQIAAGMEAAAOAAAAAAAAAAEAIAAAAB8BAABkcnMvZTJvRG9jLnhtbFBLBQYA&#10;AAAABgAGAFkBAADCBQAAAAA=&#10;">
              <v:fill on="f" focussize="0,0"/>
              <v:stroke on="f" weight="0.5pt"/>
              <v:imagedata o:title=""/>
              <o:lock v:ext="edit" aspectratio="f"/>
              <v:textbox inset="0mm,0mm,0mm,0mm" style="mso-fit-shape-to-text:t;">
                <w:txbxContent>
                  <w:p>
                    <w:pPr>
                      <w:pStyle w:val="11"/>
                    </w:pPr>
                    <w:r>
                      <w:t xml:space="preserve">第 </w:t>
                    </w:r>
                    <w:r>
                      <w:fldChar w:fldCharType="begin"/>
                    </w:r>
                    <w:r>
                      <w:instrText xml:space="preserve"> PAGE  \* MERGEFORMAT </w:instrText>
                    </w:r>
                    <w:r>
                      <w:fldChar w:fldCharType="separate"/>
                    </w:r>
                    <w:r>
                      <w:t>7</w:t>
                    </w:r>
                    <w:r>
                      <w:fldChar w:fldCharType="end"/>
                    </w:r>
                    <w:r>
                      <w:t xml:space="preserve"> 页 共 </w:t>
                    </w:r>
                    <w:r>
                      <w:fldChar w:fldCharType="begin"/>
                    </w:r>
                    <w:r>
                      <w:instrText xml:space="preserve"> NUMPAGES  \* MERGEFORMAT </w:instrText>
                    </w:r>
                    <w:r>
                      <w:fldChar w:fldCharType="separate"/>
                    </w:r>
                    <w:r>
                      <w:t>134</w:t>
                    </w:r>
                    <w:r>
                      <w:fldChar w:fldCharType="end"/>
                    </w:r>
                    <w:r>
                      <w:t xml:space="preserve"> 页</w:t>
                    </w:r>
                  </w:p>
                </w:txbxContent>
              </v:textbox>
            </v:shape>
          </w:pict>
        </mc:Fallback>
      </mc:AlternateContent>
    </w:r>
    <w:r>
      <w:rPr>
        <w:sz w:val="18"/>
      </w:rPr>
      <w:drawing>
        <wp:inline distT="0" distB="0" distL="114300" distR="114300">
          <wp:extent cx="2123440" cy="225425"/>
          <wp:effectExtent l="0" t="0" r="10160" b="3175"/>
          <wp:docPr id="20" name="图片 20" descr="4c6f7556df56fc2ddbe1987f1b87c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图片 20" descr="4c6f7556df56fc2ddbe1987f1b87c40"/>
                  <pic:cNvPicPr>
                    <a:picLocks noChangeAspect="1"/>
                  </pic:cNvPicPr>
                </pic:nvPicPr>
                <pic:blipFill>
                  <a:blip r:embed="rId1"/>
                  <a:stretch>
                    <a:fillRect/>
                  </a:stretch>
                </pic:blipFill>
                <pic:spPr>
                  <a:xfrm>
                    <a:off x="0" y="0"/>
                    <a:ext cx="2123440" cy="225425"/>
                  </a:xfrm>
                  <a:prstGeom prst="rect">
                    <a:avLst/>
                  </a:prstGeom>
                </pic:spPr>
              </pic:pic>
            </a:graphicData>
          </a:graphic>
        </wp:inline>
      </w:drawing>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ind w:left="8610" w:leftChars="100" w:hanging="8400" w:hangingChars="4000"/>
    </w:pPr>
    <w:r>
      <w:rPr>
        <w:rFonts w:hint="eastAsia" w:ascii="宋体" w:hAnsi="宋体"/>
        <w:szCs w:val="21"/>
        <w:u w:val="single"/>
        <w:lang w:val="en-US" w:eastAsia="zh-CN"/>
      </w:rPr>
      <w:t>关于文实校区白杨公寓安装直饮水机项目</w:t>
    </w:r>
    <w:r>
      <w:rPr>
        <w:rFonts w:hint="eastAsia" w:ascii="宋体" w:hAnsi="宋体"/>
        <w:szCs w:val="21"/>
        <w:u w:val="single"/>
      </w:rPr>
      <w:t xml:space="preserve">  </w:t>
    </w:r>
    <w:r>
      <w:rPr>
        <w:rFonts w:hint="eastAsia" w:ascii="宋体" w:hAnsi="宋体"/>
        <w:szCs w:val="21"/>
        <w:u w:val="single"/>
        <w:lang w:val="en-US" w:eastAsia="zh-CN"/>
      </w:rPr>
      <w:t xml:space="preserve">                                        询比采购文件</w:t>
    </w:r>
    <w:r>
      <w:rPr>
        <w:sz w:val="18"/>
      </w:rPr>
      <w:pict>
        <v:shape id="PowerPlusWaterMarkObject102197" o:spid="_x0000_s4101" o:spt="136" type="#_x0000_t136" style="position:absolute;left:0pt;height:130.15pt;width:457.1pt;mso-position-horizontal:center;mso-position-horizontal-relative:margin;mso-position-vertical:center;mso-position-vertical-relative:margin;rotation:-2949120f;z-index:-251657216;mso-width-relative:page;mso-height-relative:page;" fillcolor="#C0C0C0" filled="t" stroked="f" coordsize="21600,21600" adj="10800">
          <v:path/>
          <v:fill on="t" opacity="32768f" focussize="0,0"/>
          <v:stroke on="f"/>
          <v:imagedata o:title=""/>
          <o:lock v:ext="edit" aspectratio="t"/>
          <v:textpath on="t" fitshape="t" fitpath="t" trim="t" xscale="f" string="容基招标" style="font-family:宋体;font-size:36pt;v-same-letter-heights:f;v-text-align:center;"/>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r>
      <w:rPr>
        <w:rFonts w:hint="eastAsia" w:ascii="宋体" w:hAnsi="宋体"/>
        <w:szCs w:val="21"/>
        <w:u w:val="single"/>
        <w:lang w:val="en-US" w:eastAsia="zh-CN"/>
      </w:rPr>
      <w:t>关于文实校区白杨公寓安装直饮水机项目</w:t>
    </w:r>
    <w:r>
      <w:rPr>
        <w:rFonts w:hint="eastAsia" w:ascii="宋体" w:hAnsi="宋体"/>
        <w:szCs w:val="21"/>
        <w:u w:val="single"/>
      </w:rPr>
      <w:t xml:space="preserve">  </w:t>
    </w:r>
    <w:r>
      <w:rPr>
        <w:rFonts w:hint="eastAsia" w:ascii="宋体" w:hAnsi="宋体"/>
        <w:szCs w:val="21"/>
        <w:u w:val="single"/>
        <w:lang w:val="en-US" w:eastAsia="zh-CN"/>
      </w:rPr>
      <w:t xml:space="preserve">                                          </w:t>
    </w:r>
    <w:r>
      <w:rPr>
        <w:rFonts w:hint="eastAsia" w:ascii="宋体" w:hAnsi="宋体"/>
        <w:szCs w:val="21"/>
        <w:u w:val="single"/>
      </w:rPr>
      <w:t>询比采购文件</w:t>
    </w:r>
  </w:p>
  <w:p/>
  <w:p>
    <w:pPr>
      <w:pStyle w:val="12"/>
    </w:pPr>
    <w:r>
      <w:rPr>
        <w:sz w:val="18"/>
      </w:rPr>
      <w:pict>
        <v:shape id="_x0000_s4102" o:spid="_x0000_s4102" o:spt="136" type="#_x0000_t136" style="position:absolute;left:0pt;height:130.15pt;width:457.1pt;mso-position-horizontal:center;mso-position-horizontal-relative:margin;mso-position-vertical:center;mso-position-vertical-relative:margin;rotation:-2949120f;z-index:-251656192;mso-width-relative:page;mso-height-relative:page;" fillcolor="#C0C0C0" filled="t" stroked="f" coordsize="21600,21600" adj="10800">
          <v:path/>
          <v:fill on="t" opacity="32768f" focussize="0,0"/>
          <v:stroke on="f"/>
          <v:imagedata o:title=""/>
          <o:lock v:ext="edit" aspectratio="t"/>
          <v:textpath on="t" fitshape="t" fitpath="t" trim="t" xscale="f" string="容基招标" style="font-family:宋体;font-size:36pt;v-same-letter-heights:f;v-text-align:center;"/>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12A4DE4"/>
    <w:multiLevelType w:val="singleLevel"/>
    <w:tmpl w:val="912A4DE4"/>
    <w:lvl w:ilvl="0" w:tentative="0">
      <w:start w:val="1"/>
      <w:numFmt w:val="decimal"/>
      <w:suff w:val="nothing"/>
      <w:lvlText w:val="（%1）"/>
      <w:lvlJc w:val="left"/>
    </w:lvl>
  </w:abstractNum>
  <w:abstractNum w:abstractNumId="1">
    <w:nsid w:val="9B19875F"/>
    <w:multiLevelType w:val="singleLevel"/>
    <w:tmpl w:val="9B19875F"/>
    <w:lvl w:ilvl="0" w:tentative="0">
      <w:start w:val="1"/>
      <w:numFmt w:val="decimal"/>
      <w:suff w:val="nothing"/>
      <w:lvlText w:val="（%1）"/>
      <w:lvlJc w:val="left"/>
    </w:lvl>
  </w:abstractNum>
  <w:abstractNum w:abstractNumId="2">
    <w:nsid w:val="C84F8956"/>
    <w:multiLevelType w:val="singleLevel"/>
    <w:tmpl w:val="C84F8956"/>
    <w:lvl w:ilvl="0" w:tentative="0">
      <w:start w:val="1"/>
      <w:numFmt w:val="decimal"/>
      <w:suff w:val="nothing"/>
      <w:lvlText w:val="（%1）"/>
      <w:lvlJc w:val="left"/>
    </w:lvl>
  </w:abstractNum>
  <w:abstractNum w:abstractNumId="3">
    <w:nsid w:val="EF0F09DC"/>
    <w:multiLevelType w:val="singleLevel"/>
    <w:tmpl w:val="EF0F09DC"/>
    <w:lvl w:ilvl="0" w:tentative="0">
      <w:start w:val="1"/>
      <w:numFmt w:val="decimal"/>
      <w:suff w:val="nothing"/>
      <w:lvlText w:val="（%1）"/>
      <w:lvlJc w:val="left"/>
    </w:lvl>
  </w:abstractNum>
  <w:abstractNum w:abstractNumId="4">
    <w:nsid w:val="F1B3E80B"/>
    <w:multiLevelType w:val="singleLevel"/>
    <w:tmpl w:val="F1B3E80B"/>
    <w:lvl w:ilvl="0" w:tentative="0">
      <w:start w:val="5"/>
      <w:numFmt w:val="decimal"/>
      <w:suff w:val="nothing"/>
      <w:lvlText w:val="（%1）"/>
      <w:lvlJc w:val="left"/>
    </w:lvl>
  </w:abstractNum>
  <w:abstractNum w:abstractNumId="5">
    <w:nsid w:val="58946D50"/>
    <w:multiLevelType w:val="multilevel"/>
    <w:tmpl w:val="58946D50"/>
    <w:lvl w:ilvl="0" w:tentative="0">
      <w:start w:val="1"/>
      <w:numFmt w:val="chineseCountingThousand"/>
      <w:suff w:val="space"/>
      <w:lvlText w:val="%1. "/>
      <w:lvlJc w:val="left"/>
      <w:pPr>
        <w:ind w:left="907" w:hanging="907"/>
      </w:pPr>
      <w:rPr>
        <w:rFonts w:hint="eastAsia"/>
      </w:rPr>
    </w:lvl>
    <w:lvl w:ilvl="1" w:tentative="0">
      <w:start w:val="1"/>
      <w:numFmt w:val="decimal"/>
      <w:isLgl/>
      <w:suff w:val="space"/>
      <w:lvlText w:val="%1.%2 "/>
      <w:lvlJc w:val="left"/>
      <w:pPr>
        <w:ind w:left="794" w:hanging="794"/>
      </w:pPr>
    </w:lvl>
    <w:lvl w:ilvl="2" w:tentative="0">
      <w:start w:val="0"/>
      <w:numFmt w:val="none"/>
      <w:lvlText w:val=""/>
      <w:lvlJc w:val="left"/>
      <w:pPr>
        <w:tabs>
          <w:tab w:val="left" w:pos="360"/>
        </w:tabs>
      </w:pPr>
      <w:rPr>
        <w:rFonts w:cs="Times New Roman"/>
      </w:rPr>
    </w:lvl>
    <w:lvl w:ilvl="3" w:tentative="0">
      <w:start w:val="0"/>
      <w:numFmt w:val="none"/>
      <w:lvlText w:val=""/>
      <w:lvlJc w:val="left"/>
      <w:pPr>
        <w:tabs>
          <w:tab w:val="left" w:pos="360"/>
        </w:tabs>
      </w:pPr>
      <w:rPr>
        <w:rFonts w:cs="Times New Roman"/>
      </w:rPr>
    </w:lvl>
    <w:lvl w:ilvl="4" w:tentative="0">
      <w:start w:val="0"/>
      <w:numFmt w:val="decimal"/>
      <w:pStyle w:val="28"/>
      <w:lvlText w:val=""/>
      <w:lvlJc w:val="left"/>
      <w:rPr>
        <w:rFonts w:cs="Times New Roman"/>
      </w:rPr>
    </w:lvl>
    <w:lvl w:ilvl="5" w:tentative="0">
      <w:start w:val="0"/>
      <w:numFmt w:val="decimal"/>
      <w:lvlText w:val=""/>
      <w:lvlJc w:val="left"/>
      <w:rPr>
        <w:rFonts w:cs="Times New Roman"/>
      </w:rPr>
    </w:lvl>
    <w:lvl w:ilvl="6" w:tentative="0">
      <w:start w:val="0"/>
      <w:numFmt w:val="decimal"/>
      <w:lvlText w:val=""/>
      <w:lvlJc w:val="left"/>
      <w:rPr>
        <w:rFonts w:cs="Times New Roman"/>
      </w:rPr>
    </w:lvl>
    <w:lvl w:ilvl="7" w:tentative="0">
      <w:start w:val="0"/>
      <w:numFmt w:val="decimal"/>
      <w:lvlText w:val=""/>
      <w:lvlJc w:val="left"/>
      <w:rPr>
        <w:rFonts w:cs="Times New Roman"/>
      </w:rPr>
    </w:lvl>
    <w:lvl w:ilvl="8" w:tentative="0">
      <w:start w:val="0"/>
      <w:numFmt w:val="decimal"/>
      <w:lvlText w:val=""/>
      <w:lvlJc w:val="left"/>
      <w:rPr>
        <w:rFonts w:cs="Times New Roman"/>
      </w:rPr>
    </w:lvl>
  </w:abstractNum>
  <w:num w:numId="1">
    <w:abstractNumId w:val="5"/>
  </w:num>
  <w:num w:numId="2">
    <w:abstractNumId w:val="4"/>
  </w:num>
  <w:num w:numId="3">
    <w:abstractNumId w:val="3"/>
  </w:num>
  <w:num w:numId="4">
    <w:abstractNumId w:val="1"/>
  </w:num>
  <w:num w:numId="5">
    <w:abstractNumId w:val="0"/>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8"/>
  <w:embedTrueTypeFonts/>
  <w:saveSubsetFonts/>
  <w:bordersDoNotSurroundHeader w:val="0"/>
  <w:bordersDoNotSurroundFooter w:val="0"/>
  <w:hideSpellingErrors/>
  <w:documentProtection w:enforcement="0"/>
  <w:defaultTabStop w:val="420"/>
  <w:drawingGridVerticalSpacing w:val="159"/>
  <w:displayHorizontalDrawingGridEvery w:val="1"/>
  <w:displayVerticalDrawingGridEvery w:val="1"/>
  <w:noPunctuationKerning w:val="1"/>
  <w:characterSpacingControl w:val="compressPunctuation"/>
  <w:hdrShapeDefaults>
    <o:shapelayout v:ext="edit">
      <o:idmap v:ext="edit" data="1,3,4"/>
    </o:shapelayout>
  </w:hdrShapeDefaults>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mE3YmNkYWQwYjUwNjZlNDk4NWFlNDE5OGJiNTEyODAifQ=="/>
  </w:docVars>
  <w:rsids>
    <w:rsidRoot w:val="326937DF"/>
    <w:rsid w:val="00243536"/>
    <w:rsid w:val="002918E6"/>
    <w:rsid w:val="005841A8"/>
    <w:rsid w:val="00642454"/>
    <w:rsid w:val="00950240"/>
    <w:rsid w:val="00982B18"/>
    <w:rsid w:val="00B50C1D"/>
    <w:rsid w:val="00C345A9"/>
    <w:rsid w:val="00D140D4"/>
    <w:rsid w:val="01216CAC"/>
    <w:rsid w:val="015D01D8"/>
    <w:rsid w:val="0161191E"/>
    <w:rsid w:val="016F2EE7"/>
    <w:rsid w:val="01777D14"/>
    <w:rsid w:val="018F6A3E"/>
    <w:rsid w:val="02077FB9"/>
    <w:rsid w:val="021806C0"/>
    <w:rsid w:val="02416349"/>
    <w:rsid w:val="02714FFB"/>
    <w:rsid w:val="02775E4F"/>
    <w:rsid w:val="02904EB1"/>
    <w:rsid w:val="029C3A54"/>
    <w:rsid w:val="02CD70D6"/>
    <w:rsid w:val="02D71A23"/>
    <w:rsid w:val="030D1B0E"/>
    <w:rsid w:val="032D650E"/>
    <w:rsid w:val="036B4ED3"/>
    <w:rsid w:val="039B60D8"/>
    <w:rsid w:val="044537D3"/>
    <w:rsid w:val="047C1BC9"/>
    <w:rsid w:val="04834CDF"/>
    <w:rsid w:val="049A7BD3"/>
    <w:rsid w:val="04C90953"/>
    <w:rsid w:val="04F97BAD"/>
    <w:rsid w:val="050520CB"/>
    <w:rsid w:val="05666B5C"/>
    <w:rsid w:val="05C95480"/>
    <w:rsid w:val="05F74066"/>
    <w:rsid w:val="060A3737"/>
    <w:rsid w:val="0623568E"/>
    <w:rsid w:val="067108C0"/>
    <w:rsid w:val="069F1849"/>
    <w:rsid w:val="06C62C56"/>
    <w:rsid w:val="06E674CA"/>
    <w:rsid w:val="06E8112B"/>
    <w:rsid w:val="07302A71"/>
    <w:rsid w:val="076661F7"/>
    <w:rsid w:val="078909BF"/>
    <w:rsid w:val="07BD02A3"/>
    <w:rsid w:val="07CE55BF"/>
    <w:rsid w:val="08245424"/>
    <w:rsid w:val="08273E74"/>
    <w:rsid w:val="08311D88"/>
    <w:rsid w:val="084C2220"/>
    <w:rsid w:val="08551B9A"/>
    <w:rsid w:val="08650951"/>
    <w:rsid w:val="086D30AE"/>
    <w:rsid w:val="0882490B"/>
    <w:rsid w:val="08C769C6"/>
    <w:rsid w:val="08F20AED"/>
    <w:rsid w:val="09420839"/>
    <w:rsid w:val="096C38BB"/>
    <w:rsid w:val="09AF3899"/>
    <w:rsid w:val="09CF3DFE"/>
    <w:rsid w:val="09E3188B"/>
    <w:rsid w:val="09FE4BFA"/>
    <w:rsid w:val="0A262284"/>
    <w:rsid w:val="0A92134D"/>
    <w:rsid w:val="0B013906"/>
    <w:rsid w:val="0B607DBE"/>
    <w:rsid w:val="0BD460C1"/>
    <w:rsid w:val="0BF47912"/>
    <w:rsid w:val="0C4455FF"/>
    <w:rsid w:val="0C5646C5"/>
    <w:rsid w:val="0C7E7DE5"/>
    <w:rsid w:val="0CD07820"/>
    <w:rsid w:val="0D273641"/>
    <w:rsid w:val="0D6861FC"/>
    <w:rsid w:val="0D8D1522"/>
    <w:rsid w:val="0DA8151A"/>
    <w:rsid w:val="0DCE08EE"/>
    <w:rsid w:val="0E074D2D"/>
    <w:rsid w:val="0E0C321B"/>
    <w:rsid w:val="0E4C2418"/>
    <w:rsid w:val="0E644D6F"/>
    <w:rsid w:val="0E7F141F"/>
    <w:rsid w:val="0F211C8E"/>
    <w:rsid w:val="0F710825"/>
    <w:rsid w:val="0FAA0053"/>
    <w:rsid w:val="0FDD39E7"/>
    <w:rsid w:val="102B20B8"/>
    <w:rsid w:val="102E3371"/>
    <w:rsid w:val="104715F7"/>
    <w:rsid w:val="10801CE2"/>
    <w:rsid w:val="109D70D2"/>
    <w:rsid w:val="109F2611"/>
    <w:rsid w:val="110961A7"/>
    <w:rsid w:val="11C03BEE"/>
    <w:rsid w:val="11F30F1D"/>
    <w:rsid w:val="12045226"/>
    <w:rsid w:val="1255782F"/>
    <w:rsid w:val="127808FC"/>
    <w:rsid w:val="12C153F0"/>
    <w:rsid w:val="12DB37E2"/>
    <w:rsid w:val="12FB2185"/>
    <w:rsid w:val="130B37E1"/>
    <w:rsid w:val="134018B1"/>
    <w:rsid w:val="13826402"/>
    <w:rsid w:val="13B81EC7"/>
    <w:rsid w:val="141B2416"/>
    <w:rsid w:val="146F7F9B"/>
    <w:rsid w:val="147D5213"/>
    <w:rsid w:val="14B545B5"/>
    <w:rsid w:val="14D62EA9"/>
    <w:rsid w:val="15174B89"/>
    <w:rsid w:val="15626554"/>
    <w:rsid w:val="156F5FC8"/>
    <w:rsid w:val="1623413D"/>
    <w:rsid w:val="1645729B"/>
    <w:rsid w:val="164F35E5"/>
    <w:rsid w:val="16CF4F12"/>
    <w:rsid w:val="16F2389F"/>
    <w:rsid w:val="171C2870"/>
    <w:rsid w:val="175037E8"/>
    <w:rsid w:val="1792505A"/>
    <w:rsid w:val="17C52D61"/>
    <w:rsid w:val="17C7298E"/>
    <w:rsid w:val="182E0CF1"/>
    <w:rsid w:val="184F3F17"/>
    <w:rsid w:val="18576070"/>
    <w:rsid w:val="18C1613C"/>
    <w:rsid w:val="18D416ED"/>
    <w:rsid w:val="19143DDE"/>
    <w:rsid w:val="19235F91"/>
    <w:rsid w:val="19600F94"/>
    <w:rsid w:val="196958C6"/>
    <w:rsid w:val="19757AB0"/>
    <w:rsid w:val="19F45B80"/>
    <w:rsid w:val="1A0B151B"/>
    <w:rsid w:val="1A420699"/>
    <w:rsid w:val="1A6A3334"/>
    <w:rsid w:val="1AB50CF8"/>
    <w:rsid w:val="1AD377DB"/>
    <w:rsid w:val="1AE70A7C"/>
    <w:rsid w:val="1B090C0D"/>
    <w:rsid w:val="1B0A33EF"/>
    <w:rsid w:val="1B171E65"/>
    <w:rsid w:val="1B2828A3"/>
    <w:rsid w:val="1B291DFC"/>
    <w:rsid w:val="1B4339BF"/>
    <w:rsid w:val="1B6355E6"/>
    <w:rsid w:val="1B6A0A74"/>
    <w:rsid w:val="1B721452"/>
    <w:rsid w:val="1B8D1798"/>
    <w:rsid w:val="1BC7793A"/>
    <w:rsid w:val="1C057BD0"/>
    <w:rsid w:val="1C07705F"/>
    <w:rsid w:val="1C0F6CA1"/>
    <w:rsid w:val="1C444D0B"/>
    <w:rsid w:val="1C6E1238"/>
    <w:rsid w:val="1C9B0535"/>
    <w:rsid w:val="1CA319A1"/>
    <w:rsid w:val="1CAC3887"/>
    <w:rsid w:val="1CB62D07"/>
    <w:rsid w:val="1D064402"/>
    <w:rsid w:val="1D0E51AB"/>
    <w:rsid w:val="1D1722B1"/>
    <w:rsid w:val="1D183E5B"/>
    <w:rsid w:val="1D214F47"/>
    <w:rsid w:val="1D346263"/>
    <w:rsid w:val="1D3C5874"/>
    <w:rsid w:val="1D464BB5"/>
    <w:rsid w:val="1D503C9E"/>
    <w:rsid w:val="1DCE1B38"/>
    <w:rsid w:val="1DEA1774"/>
    <w:rsid w:val="1E042876"/>
    <w:rsid w:val="1E377D8D"/>
    <w:rsid w:val="1E531E93"/>
    <w:rsid w:val="1ED16F5F"/>
    <w:rsid w:val="1EEB57A3"/>
    <w:rsid w:val="1F064C32"/>
    <w:rsid w:val="1FAC7D1C"/>
    <w:rsid w:val="20091B1B"/>
    <w:rsid w:val="203E21B1"/>
    <w:rsid w:val="20672B58"/>
    <w:rsid w:val="208048FB"/>
    <w:rsid w:val="2085394B"/>
    <w:rsid w:val="20985306"/>
    <w:rsid w:val="20AC2D10"/>
    <w:rsid w:val="21345B55"/>
    <w:rsid w:val="213A5C45"/>
    <w:rsid w:val="2150290B"/>
    <w:rsid w:val="21BB7B13"/>
    <w:rsid w:val="21FA31EA"/>
    <w:rsid w:val="22607C56"/>
    <w:rsid w:val="22621E76"/>
    <w:rsid w:val="227422FB"/>
    <w:rsid w:val="22982545"/>
    <w:rsid w:val="22C8411F"/>
    <w:rsid w:val="22D503C0"/>
    <w:rsid w:val="22F6436E"/>
    <w:rsid w:val="22F97D63"/>
    <w:rsid w:val="23143753"/>
    <w:rsid w:val="236F0600"/>
    <w:rsid w:val="23B34F7C"/>
    <w:rsid w:val="2408466E"/>
    <w:rsid w:val="241F2D38"/>
    <w:rsid w:val="24214C86"/>
    <w:rsid w:val="245B6F27"/>
    <w:rsid w:val="247131E6"/>
    <w:rsid w:val="249E623F"/>
    <w:rsid w:val="24CC140D"/>
    <w:rsid w:val="24DF254A"/>
    <w:rsid w:val="24EA4F11"/>
    <w:rsid w:val="25280912"/>
    <w:rsid w:val="253415C0"/>
    <w:rsid w:val="259E4566"/>
    <w:rsid w:val="25A94A26"/>
    <w:rsid w:val="25FD4CE8"/>
    <w:rsid w:val="267A0C68"/>
    <w:rsid w:val="26873D6D"/>
    <w:rsid w:val="26C9489D"/>
    <w:rsid w:val="26FC1B5B"/>
    <w:rsid w:val="270D12C7"/>
    <w:rsid w:val="270E25B0"/>
    <w:rsid w:val="272F2685"/>
    <w:rsid w:val="275F6D2E"/>
    <w:rsid w:val="27C8417C"/>
    <w:rsid w:val="27EC7EB1"/>
    <w:rsid w:val="28062690"/>
    <w:rsid w:val="2837470D"/>
    <w:rsid w:val="283A2338"/>
    <w:rsid w:val="28697ADE"/>
    <w:rsid w:val="288B77C8"/>
    <w:rsid w:val="28AD374E"/>
    <w:rsid w:val="28CA2040"/>
    <w:rsid w:val="28CD696D"/>
    <w:rsid w:val="28D017B1"/>
    <w:rsid w:val="28ED0AF8"/>
    <w:rsid w:val="294C3DAC"/>
    <w:rsid w:val="296B0A44"/>
    <w:rsid w:val="29E84696"/>
    <w:rsid w:val="29F95519"/>
    <w:rsid w:val="2A003411"/>
    <w:rsid w:val="2A09628A"/>
    <w:rsid w:val="2A782386"/>
    <w:rsid w:val="2AC37D83"/>
    <w:rsid w:val="2B3A1F37"/>
    <w:rsid w:val="2B54022C"/>
    <w:rsid w:val="2B61117A"/>
    <w:rsid w:val="2BC5737C"/>
    <w:rsid w:val="2BDA054C"/>
    <w:rsid w:val="2BEB77FE"/>
    <w:rsid w:val="2C2C209B"/>
    <w:rsid w:val="2C396E86"/>
    <w:rsid w:val="2C3A5674"/>
    <w:rsid w:val="2C427C43"/>
    <w:rsid w:val="2C8D2B31"/>
    <w:rsid w:val="2C913B8F"/>
    <w:rsid w:val="2CB43FEC"/>
    <w:rsid w:val="2CB45F5B"/>
    <w:rsid w:val="2CBD70ED"/>
    <w:rsid w:val="2D3159AF"/>
    <w:rsid w:val="2D43485A"/>
    <w:rsid w:val="2D870EEB"/>
    <w:rsid w:val="2DAD14A5"/>
    <w:rsid w:val="2DCF3263"/>
    <w:rsid w:val="2DEF3D03"/>
    <w:rsid w:val="2E4C2BCD"/>
    <w:rsid w:val="2E7F7F75"/>
    <w:rsid w:val="2EC61441"/>
    <w:rsid w:val="2EE55878"/>
    <w:rsid w:val="2F9B12AC"/>
    <w:rsid w:val="2FA51251"/>
    <w:rsid w:val="2FDD4C94"/>
    <w:rsid w:val="2FF721E3"/>
    <w:rsid w:val="3061698D"/>
    <w:rsid w:val="31685020"/>
    <w:rsid w:val="31CD40BC"/>
    <w:rsid w:val="324D1A85"/>
    <w:rsid w:val="324F174E"/>
    <w:rsid w:val="326937DF"/>
    <w:rsid w:val="32880B1E"/>
    <w:rsid w:val="32BB5035"/>
    <w:rsid w:val="32CB413A"/>
    <w:rsid w:val="32EC51EE"/>
    <w:rsid w:val="334620AA"/>
    <w:rsid w:val="338203EF"/>
    <w:rsid w:val="33B51A8F"/>
    <w:rsid w:val="33E4470D"/>
    <w:rsid w:val="33E97DB1"/>
    <w:rsid w:val="33F21E25"/>
    <w:rsid w:val="33FA50F2"/>
    <w:rsid w:val="34381A05"/>
    <w:rsid w:val="34390907"/>
    <w:rsid w:val="343C0327"/>
    <w:rsid w:val="34865E11"/>
    <w:rsid w:val="348F22D5"/>
    <w:rsid w:val="34BB5894"/>
    <w:rsid w:val="34C03EC9"/>
    <w:rsid w:val="34E85FA8"/>
    <w:rsid w:val="35443C19"/>
    <w:rsid w:val="354C5A21"/>
    <w:rsid w:val="35571045"/>
    <w:rsid w:val="3566572C"/>
    <w:rsid w:val="359256E3"/>
    <w:rsid w:val="35F04FF6"/>
    <w:rsid w:val="36196DA8"/>
    <w:rsid w:val="362D1DA6"/>
    <w:rsid w:val="36343134"/>
    <w:rsid w:val="365769B0"/>
    <w:rsid w:val="36825355"/>
    <w:rsid w:val="36B874EF"/>
    <w:rsid w:val="36E91604"/>
    <w:rsid w:val="36FD79CA"/>
    <w:rsid w:val="37246F21"/>
    <w:rsid w:val="3749673C"/>
    <w:rsid w:val="3751701C"/>
    <w:rsid w:val="37D37248"/>
    <w:rsid w:val="37D56B99"/>
    <w:rsid w:val="37EA2F93"/>
    <w:rsid w:val="38843971"/>
    <w:rsid w:val="38AC3DFC"/>
    <w:rsid w:val="3928606A"/>
    <w:rsid w:val="39331AF2"/>
    <w:rsid w:val="39BB6131"/>
    <w:rsid w:val="39E0097B"/>
    <w:rsid w:val="3A5E1852"/>
    <w:rsid w:val="3A717D75"/>
    <w:rsid w:val="3A8303D3"/>
    <w:rsid w:val="3A9A6FBB"/>
    <w:rsid w:val="3AAD6319"/>
    <w:rsid w:val="3AB2460B"/>
    <w:rsid w:val="3AE274F9"/>
    <w:rsid w:val="3B2133EF"/>
    <w:rsid w:val="3B2D6862"/>
    <w:rsid w:val="3B37429D"/>
    <w:rsid w:val="3B4004F0"/>
    <w:rsid w:val="3B6345BC"/>
    <w:rsid w:val="3B7F2727"/>
    <w:rsid w:val="3B844B5E"/>
    <w:rsid w:val="3B8E3B7A"/>
    <w:rsid w:val="3B9627AA"/>
    <w:rsid w:val="3C042D8C"/>
    <w:rsid w:val="3C8446EA"/>
    <w:rsid w:val="3D141097"/>
    <w:rsid w:val="3D627CB3"/>
    <w:rsid w:val="3D772F97"/>
    <w:rsid w:val="3DE3521F"/>
    <w:rsid w:val="3E033172"/>
    <w:rsid w:val="3E404F7C"/>
    <w:rsid w:val="3E725142"/>
    <w:rsid w:val="3E8427D7"/>
    <w:rsid w:val="3EBC2C9C"/>
    <w:rsid w:val="3F201D65"/>
    <w:rsid w:val="3FA34DD2"/>
    <w:rsid w:val="401365BF"/>
    <w:rsid w:val="401E438F"/>
    <w:rsid w:val="402B55A8"/>
    <w:rsid w:val="409D5D7A"/>
    <w:rsid w:val="40B76E3C"/>
    <w:rsid w:val="40CA2AE6"/>
    <w:rsid w:val="41207B37"/>
    <w:rsid w:val="4195725C"/>
    <w:rsid w:val="41EC107D"/>
    <w:rsid w:val="41F978EA"/>
    <w:rsid w:val="41FA5FDC"/>
    <w:rsid w:val="423E0A0A"/>
    <w:rsid w:val="42995928"/>
    <w:rsid w:val="42996042"/>
    <w:rsid w:val="42A7459C"/>
    <w:rsid w:val="42BE45CD"/>
    <w:rsid w:val="42C43C59"/>
    <w:rsid w:val="43001BC9"/>
    <w:rsid w:val="431332AD"/>
    <w:rsid w:val="436036E6"/>
    <w:rsid w:val="43C00036"/>
    <w:rsid w:val="43CC2BFE"/>
    <w:rsid w:val="43E149BA"/>
    <w:rsid w:val="441E2CB4"/>
    <w:rsid w:val="44A771C7"/>
    <w:rsid w:val="44B61383"/>
    <w:rsid w:val="44C81F32"/>
    <w:rsid w:val="453624B9"/>
    <w:rsid w:val="45432BE4"/>
    <w:rsid w:val="45551365"/>
    <w:rsid w:val="45A56DDB"/>
    <w:rsid w:val="46492C2C"/>
    <w:rsid w:val="46672303"/>
    <w:rsid w:val="47213261"/>
    <w:rsid w:val="47906638"/>
    <w:rsid w:val="47AC26EA"/>
    <w:rsid w:val="47E463C2"/>
    <w:rsid w:val="47ED3A8B"/>
    <w:rsid w:val="483D231C"/>
    <w:rsid w:val="486518B6"/>
    <w:rsid w:val="486B52B3"/>
    <w:rsid w:val="48745380"/>
    <w:rsid w:val="48A8310A"/>
    <w:rsid w:val="48AA6C93"/>
    <w:rsid w:val="493B29B5"/>
    <w:rsid w:val="495D7988"/>
    <w:rsid w:val="497954A0"/>
    <w:rsid w:val="497D27FB"/>
    <w:rsid w:val="49A06ABD"/>
    <w:rsid w:val="49A16C44"/>
    <w:rsid w:val="49A646F9"/>
    <w:rsid w:val="49EC0244"/>
    <w:rsid w:val="4A064990"/>
    <w:rsid w:val="4A14292E"/>
    <w:rsid w:val="4A214391"/>
    <w:rsid w:val="4A812A4B"/>
    <w:rsid w:val="4ADF0A51"/>
    <w:rsid w:val="4B0F3F87"/>
    <w:rsid w:val="4B28079C"/>
    <w:rsid w:val="4B4F5A9A"/>
    <w:rsid w:val="4B595532"/>
    <w:rsid w:val="4BD869FA"/>
    <w:rsid w:val="4BDB1A5F"/>
    <w:rsid w:val="4BDB2578"/>
    <w:rsid w:val="4C2E37C9"/>
    <w:rsid w:val="4C44766F"/>
    <w:rsid w:val="4C9B1D07"/>
    <w:rsid w:val="4CEF795D"/>
    <w:rsid w:val="4D0273C0"/>
    <w:rsid w:val="4D3A0827"/>
    <w:rsid w:val="4D626381"/>
    <w:rsid w:val="4D6F2A67"/>
    <w:rsid w:val="4DE5442E"/>
    <w:rsid w:val="4E336021"/>
    <w:rsid w:val="4E713B4F"/>
    <w:rsid w:val="4E7E2E20"/>
    <w:rsid w:val="4E956555"/>
    <w:rsid w:val="4E9904C8"/>
    <w:rsid w:val="4EB8151C"/>
    <w:rsid w:val="4EBF7F7F"/>
    <w:rsid w:val="4EFD32F1"/>
    <w:rsid w:val="4F1B2C8C"/>
    <w:rsid w:val="4F1B4A08"/>
    <w:rsid w:val="4F2E3FC6"/>
    <w:rsid w:val="4F371A84"/>
    <w:rsid w:val="4FA445E2"/>
    <w:rsid w:val="500A6243"/>
    <w:rsid w:val="502F0608"/>
    <w:rsid w:val="50483F54"/>
    <w:rsid w:val="505205C4"/>
    <w:rsid w:val="50586592"/>
    <w:rsid w:val="507D4340"/>
    <w:rsid w:val="50CC23D3"/>
    <w:rsid w:val="50E60CA6"/>
    <w:rsid w:val="51505F79"/>
    <w:rsid w:val="51860CBD"/>
    <w:rsid w:val="51A94C73"/>
    <w:rsid w:val="51D7565F"/>
    <w:rsid w:val="51F11C34"/>
    <w:rsid w:val="523C1194"/>
    <w:rsid w:val="52727AEE"/>
    <w:rsid w:val="527923FA"/>
    <w:rsid w:val="52AB3BC8"/>
    <w:rsid w:val="52B24867"/>
    <w:rsid w:val="53492CD2"/>
    <w:rsid w:val="534A6576"/>
    <w:rsid w:val="538C2FA4"/>
    <w:rsid w:val="53B51A1E"/>
    <w:rsid w:val="53D32FE0"/>
    <w:rsid w:val="543F185E"/>
    <w:rsid w:val="547B3FFD"/>
    <w:rsid w:val="553700F3"/>
    <w:rsid w:val="55774994"/>
    <w:rsid w:val="55C32F6A"/>
    <w:rsid w:val="55D72065"/>
    <w:rsid w:val="55F1624E"/>
    <w:rsid w:val="564C39AA"/>
    <w:rsid w:val="565576BA"/>
    <w:rsid w:val="5679005C"/>
    <w:rsid w:val="568C76D1"/>
    <w:rsid w:val="56A03A70"/>
    <w:rsid w:val="579C51F7"/>
    <w:rsid w:val="57F66044"/>
    <w:rsid w:val="581D3817"/>
    <w:rsid w:val="583E150B"/>
    <w:rsid w:val="58727DC0"/>
    <w:rsid w:val="588F6556"/>
    <w:rsid w:val="589E5E08"/>
    <w:rsid w:val="58AC2BA6"/>
    <w:rsid w:val="58CC2424"/>
    <w:rsid w:val="59004AD6"/>
    <w:rsid w:val="59A044B9"/>
    <w:rsid w:val="59AB4517"/>
    <w:rsid w:val="59E2697A"/>
    <w:rsid w:val="59E720E8"/>
    <w:rsid w:val="59F644A5"/>
    <w:rsid w:val="59FA456F"/>
    <w:rsid w:val="5A414811"/>
    <w:rsid w:val="5A742F69"/>
    <w:rsid w:val="5A947870"/>
    <w:rsid w:val="5B60691A"/>
    <w:rsid w:val="5B8674BA"/>
    <w:rsid w:val="5BC412D8"/>
    <w:rsid w:val="5BCE2AEF"/>
    <w:rsid w:val="5BE10DB9"/>
    <w:rsid w:val="5C2515ED"/>
    <w:rsid w:val="5C402CD1"/>
    <w:rsid w:val="5C606182"/>
    <w:rsid w:val="5C626D14"/>
    <w:rsid w:val="5C966047"/>
    <w:rsid w:val="5CD7228E"/>
    <w:rsid w:val="5D035769"/>
    <w:rsid w:val="5D201571"/>
    <w:rsid w:val="5D4C4866"/>
    <w:rsid w:val="5D610403"/>
    <w:rsid w:val="5D992E9E"/>
    <w:rsid w:val="5E1C432A"/>
    <w:rsid w:val="5E5808EB"/>
    <w:rsid w:val="5E8E6FD6"/>
    <w:rsid w:val="5EAA5D3D"/>
    <w:rsid w:val="5EE528FE"/>
    <w:rsid w:val="5EFD5959"/>
    <w:rsid w:val="5F08322C"/>
    <w:rsid w:val="5F0F068F"/>
    <w:rsid w:val="5F3B4FD2"/>
    <w:rsid w:val="5F443B74"/>
    <w:rsid w:val="5F81706A"/>
    <w:rsid w:val="5FA15417"/>
    <w:rsid w:val="5FC452B9"/>
    <w:rsid w:val="5FDD7CD1"/>
    <w:rsid w:val="5FF840C4"/>
    <w:rsid w:val="5FFB4966"/>
    <w:rsid w:val="60F0737E"/>
    <w:rsid w:val="60FD4484"/>
    <w:rsid w:val="61143680"/>
    <w:rsid w:val="6117701C"/>
    <w:rsid w:val="61414714"/>
    <w:rsid w:val="61687A23"/>
    <w:rsid w:val="61733AD5"/>
    <w:rsid w:val="617A768C"/>
    <w:rsid w:val="61944F55"/>
    <w:rsid w:val="62ED171D"/>
    <w:rsid w:val="62FD7BDB"/>
    <w:rsid w:val="637E2DCE"/>
    <w:rsid w:val="64336097"/>
    <w:rsid w:val="646C35BE"/>
    <w:rsid w:val="647157FA"/>
    <w:rsid w:val="64BB44E2"/>
    <w:rsid w:val="652C1110"/>
    <w:rsid w:val="65311F86"/>
    <w:rsid w:val="653B2CF7"/>
    <w:rsid w:val="653F2FC9"/>
    <w:rsid w:val="65795D5C"/>
    <w:rsid w:val="65887C03"/>
    <w:rsid w:val="65AA302A"/>
    <w:rsid w:val="65AC5032"/>
    <w:rsid w:val="65BA7182"/>
    <w:rsid w:val="65CA1663"/>
    <w:rsid w:val="66074602"/>
    <w:rsid w:val="663963B3"/>
    <w:rsid w:val="6663343E"/>
    <w:rsid w:val="67332942"/>
    <w:rsid w:val="67386679"/>
    <w:rsid w:val="67637417"/>
    <w:rsid w:val="679D2A9C"/>
    <w:rsid w:val="67FD76C1"/>
    <w:rsid w:val="67FE2104"/>
    <w:rsid w:val="682A7CFE"/>
    <w:rsid w:val="686B1367"/>
    <w:rsid w:val="689E7730"/>
    <w:rsid w:val="68A815DC"/>
    <w:rsid w:val="68BF2482"/>
    <w:rsid w:val="68D75F7A"/>
    <w:rsid w:val="68E47B11"/>
    <w:rsid w:val="68E72104"/>
    <w:rsid w:val="690A194F"/>
    <w:rsid w:val="69112CDD"/>
    <w:rsid w:val="69531548"/>
    <w:rsid w:val="697D4817"/>
    <w:rsid w:val="69DA7573"/>
    <w:rsid w:val="6A90499C"/>
    <w:rsid w:val="6A9670A5"/>
    <w:rsid w:val="6A9978C4"/>
    <w:rsid w:val="6AE66396"/>
    <w:rsid w:val="6AEC028B"/>
    <w:rsid w:val="6AED726A"/>
    <w:rsid w:val="6BD02668"/>
    <w:rsid w:val="6C105E30"/>
    <w:rsid w:val="6C123478"/>
    <w:rsid w:val="6C3A6DA7"/>
    <w:rsid w:val="6C504FFA"/>
    <w:rsid w:val="6C5B0E67"/>
    <w:rsid w:val="6C8D4EC9"/>
    <w:rsid w:val="6C982CC9"/>
    <w:rsid w:val="6CD3284B"/>
    <w:rsid w:val="6CE81422"/>
    <w:rsid w:val="6D4050B5"/>
    <w:rsid w:val="6D4318D3"/>
    <w:rsid w:val="6D6F091A"/>
    <w:rsid w:val="6D92580E"/>
    <w:rsid w:val="6DC14F34"/>
    <w:rsid w:val="6E381F33"/>
    <w:rsid w:val="6E387FF3"/>
    <w:rsid w:val="6E7F4B8D"/>
    <w:rsid w:val="6E886222"/>
    <w:rsid w:val="6E8A0820"/>
    <w:rsid w:val="6E9A427C"/>
    <w:rsid w:val="6EB81C75"/>
    <w:rsid w:val="6F133311"/>
    <w:rsid w:val="6F1A6131"/>
    <w:rsid w:val="6F6A33C5"/>
    <w:rsid w:val="6F6E496B"/>
    <w:rsid w:val="6F771D08"/>
    <w:rsid w:val="70476E2D"/>
    <w:rsid w:val="704A1B36"/>
    <w:rsid w:val="70705223"/>
    <w:rsid w:val="709470C4"/>
    <w:rsid w:val="70EE693E"/>
    <w:rsid w:val="710F10E3"/>
    <w:rsid w:val="71102DBE"/>
    <w:rsid w:val="71257DC2"/>
    <w:rsid w:val="718C6765"/>
    <w:rsid w:val="71AA6394"/>
    <w:rsid w:val="71C07EC7"/>
    <w:rsid w:val="72323886"/>
    <w:rsid w:val="723863FD"/>
    <w:rsid w:val="72412BBE"/>
    <w:rsid w:val="72451D88"/>
    <w:rsid w:val="72813B9A"/>
    <w:rsid w:val="7289154B"/>
    <w:rsid w:val="72DC1391"/>
    <w:rsid w:val="73312E2A"/>
    <w:rsid w:val="733E61BE"/>
    <w:rsid w:val="735A4A78"/>
    <w:rsid w:val="73820344"/>
    <w:rsid w:val="73BD7CB9"/>
    <w:rsid w:val="74066306"/>
    <w:rsid w:val="74281CB7"/>
    <w:rsid w:val="74343D24"/>
    <w:rsid w:val="74BF64E8"/>
    <w:rsid w:val="752263F0"/>
    <w:rsid w:val="754E0E15"/>
    <w:rsid w:val="75726C53"/>
    <w:rsid w:val="75753A4C"/>
    <w:rsid w:val="75B4357D"/>
    <w:rsid w:val="75C35CA4"/>
    <w:rsid w:val="762A29A9"/>
    <w:rsid w:val="76490480"/>
    <w:rsid w:val="7649286D"/>
    <w:rsid w:val="76493333"/>
    <w:rsid w:val="768B600E"/>
    <w:rsid w:val="76DF266D"/>
    <w:rsid w:val="776330BD"/>
    <w:rsid w:val="77693C30"/>
    <w:rsid w:val="77E13964"/>
    <w:rsid w:val="77EF7591"/>
    <w:rsid w:val="77F9775E"/>
    <w:rsid w:val="780A4E71"/>
    <w:rsid w:val="78285DCC"/>
    <w:rsid w:val="782D11B6"/>
    <w:rsid w:val="78A36506"/>
    <w:rsid w:val="78A7540C"/>
    <w:rsid w:val="796F3B6D"/>
    <w:rsid w:val="79952EC6"/>
    <w:rsid w:val="79A05AEA"/>
    <w:rsid w:val="79B90C7E"/>
    <w:rsid w:val="7A121799"/>
    <w:rsid w:val="7A401F6B"/>
    <w:rsid w:val="7A40590F"/>
    <w:rsid w:val="7A4D1FE3"/>
    <w:rsid w:val="7ADC3876"/>
    <w:rsid w:val="7AEA0881"/>
    <w:rsid w:val="7AF54F33"/>
    <w:rsid w:val="7B3E54A4"/>
    <w:rsid w:val="7B464FD9"/>
    <w:rsid w:val="7B536CA4"/>
    <w:rsid w:val="7BAE1B6F"/>
    <w:rsid w:val="7BE966D7"/>
    <w:rsid w:val="7BF158FB"/>
    <w:rsid w:val="7C142F7F"/>
    <w:rsid w:val="7C5E5E52"/>
    <w:rsid w:val="7C7223C7"/>
    <w:rsid w:val="7C946168"/>
    <w:rsid w:val="7CA12488"/>
    <w:rsid w:val="7CC7607D"/>
    <w:rsid w:val="7CE866DE"/>
    <w:rsid w:val="7D287743"/>
    <w:rsid w:val="7D6D41F8"/>
    <w:rsid w:val="7DAA5057"/>
    <w:rsid w:val="7DBD4D8A"/>
    <w:rsid w:val="7DCD391B"/>
    <w:rsid w:val="7DD530D2"/>
    <w:rsid w:val="7DF91572"/>
    <w:rsid w:val="7E015CAE"/>
    <w:rsid w:val="7E10135E"/>
    <w:rsid w:val="7E1B3C0A"/>
    <w:rsid w:val="7E3018DD"/>
    <w:rsid w:val="7E5B7281"/>
    <w:rsid w:val="7E971A7F"/>
    <w:rsid w:val="7E9E1E5B"/>
    <w:rsid w:val="7EBA77D8"/>
    <w:rsid w:val="7EF618DD"/>
    <w:rsid w:val="7FA501CC"/>
    <w:rsid w:val="7FF712D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qFormat="1" w:unhideWhenUsed="0" w:uiPriority="0" w:semiHidden="0" w:name="toc 3"/>
    <w:lsdException w:qFormat="1"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iPriority="99" w:semiHidden="0" w:name="Body Text"/>
    <w:lsdException w:qFormat="1"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qFormat="1"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3">
    <w:name w:val="heading 1"/>
    <w:basedOn w:val="1"/>
    <w:next w:val="1"/>
    <w:qFormat/>
    <w:uiPriority w:val="0"/>
    <w:pPr>
      <w:keepNext/>
      <w:keepLines/>
      <w:spacing w:line="576" w:lineRule="auto"/>
      <w:outlineLvl w:val="0"/>
    </w:pPr>
    <w:rPr>
      <w:b/>
      <w:kern w:val="44"/>
      <w:sz w:val="44"/>
    </w:rPr>
  </w:style>
  <w:style w:type="paragraph" w:styleId="4">
    <w:name w:val="heading 2"/>
    <w:basedOn w:val="1"/>
    <w:next w:val="5"/>
    <w:unhideWhenUsed/>
    <w:qFormat/>
    <w:uiPriority w:val="0"/>
    <w:pPr>
      <w:keepNext/>
      <w:keepLines/>
      <w:spacing w:line="413" w:lineRule="auto"/>
      <w:jc w:val="center"/>
      <w:outlineLvl w:val="1"/>
    </w:pPr>
    <w:rPr>
      <w:rFonts w:ascii="Arial" w:hAnsi="Arial" w:eastAsia="宋体"/>
      <w:b/>
      <w:sz w:val="28"/>
    </w:rPr>
  </w:style>
  <w:style w:type="paragraph" w:styleId="6">
    <w:name w:val="heading 3"/>
    <w:basedOn w:val="1"/>
    <w:next w:val="1"/>
    <w:unhideWhenUsed/>
    <w:qFormat/>
    <w:uiPriority w:val="0"/>
    <w:pPr>
      <w:keepNext/>
      <w:keepLines/>
      <w:spacing w:line="413" w:lineRule="auto"/>
      <w:outlineLvl w:val="2"/>
    </w:pPr>
    <w:rPr>
      <w:b/>
      <w:sz w:val="24"/>
    </w:rPr>
  </w:style>
  <w:style w:type="character" w:default="1" w:styleId="21">
    <w:name w:val="Default Paragraph Font"/>
    <w:semiHidden/>
    <w:unhideWhenUsed/>
    <w:qFormat/>
    <w:uiPriority w:val="1"/>
  </w:style>
  <w:style w:type="table" w:default="1" w:styleId="19">
    <w:name w:val="Normal Table"/>
    <w:semiHidden/>
    <w:unhideWhenUsed/>
    <w:qFormat/>
    <w:uiPriority w:val="99"/>
    <w:tblPr>
      <w:tblCellMar>
        <w:top w:w="0" w:type="dxa"/>
        <w:left w:w="108" w:type="dxa"/>
        <w:bottom w:w="0" w:type="dxa"/>
        <w:right w:w="108" w:type="dxa"/>
      </w:tblCellMar>
    </w:tblPr>
  </w:style>
  <w:style w:type="paragraph" w:styleId="2">
    <w:name w:val="Body Text"/>
    <w:basedOn w:val="1"/>
    <w:next w:val="1"/>
    <w:unhideWhenUsed/>
    <w:qFormat/>
    <w:uiPriority w:val="99"/>
    <w:pPr>
      <w:spacing w:after="120"/>
    </w:pPr>
  </w:style>
  <w:style w:type="paragraph" w:styleId="5">
    <w:name w:val="Normal Indent"/>
    <w:basedOn w:val="1"/>
    <w:qFormat/>
    <w:uiPriority w:val="0"/>
    <w:pPr>
      <w:ind w:firstLine="420" w:firstLineChars="200"/>
    </w:pPr>
  </w:style>
  <w:style w:type="paragraph" w:styleId="7">
    <w:name w:val="annotation text"/>
    <w:basedOn w:val="1"/>
    <w:qFormat/>
    <w:uiPriority w:val="0"/>
    <w:pPr>
      <w:jc w:val="left"/>
    </w:pPr>
  </w:style>
  <w:style w:type="paragraph" w:styleId="8">
    <w:name w:val="Body Text Indent"/>
    <w:basedOn w:val="1"/>
    <w:unhideWhenUsed/>
    <w:qFormat/>
    <w:uiPriority w:val="99"/>
    <w:pPr>
      <w:spacing w:after="120"/>
      <w:ind w:left="420" w:leftChars="200"/>
    </w:pPr>
  </w:style>
  <w:style w:type="paragraph" w:styleId="9">
    <w:name w:val="toc 3"/>
    <w:basedOn w:val="1"/>
    <w:next w:val="1"/>
    <w:qFormat/>
    <w:uiPriority w:val="0"/>
    <w:pPr>
      <w:ind w:left="840" w:leftChars="400"/>
    </w:pPr>
  </w:style>
  <w:style w:type="paragraph" w:styleId="10">
    <w:name w:val="Balloon Text"/>
    <w:basedOn w:val="1"/>
    <w:link w:val="53"/>
    <w:qFormat/>
    <w:uiPriority w:val="0"/>
    <w:rPr>
      <w:sz w:val="18"/>
      <w:szCs w:val="18"/>
    </w:rPr>
  </w:style>
  <w:style w:type="paragraph" w:styleId="11">
    <w:name w:val="footer"/>
    <w:basedOn w:val="1"/>
    <w:qFormat/>
    <w:uiPriority w:val="0"/>
    <w:pPr>
      <w:tabs>
        <w:tab w:val="center" w:pos="4153"/>
        <w:tab w:val="right" w:pos="8306"/>
      </w:tabs>
      <w:snapToGrid w:val="0"/>
      <w:jc w:val="left"/>
    </w:pPr>
    <w:rPr>
      <w:sz w:val="18"/>
    </w:rPr>
  </w:style>
  <w:style w:type="paragraph" w:styleId="12">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paragraph" w:styleId="13">
    <w:name w:val="toc 1"/>
    <w:basedOn w:val="1"/>
    <w:next w:val="1"/>
    <w:qFormat/>
    <w:uiPriority w:val="0"/>
  </w:style>
  <w:style w:type="paragraph" w:styleId="14">
    <w:name w:val="toc 4"/>
    <w:basedOn w:val="1"/>
    <w:next w:val="1"/>
    <w:qFormat/>
    <w:uiPriority w:val="0"/>
    <w:pPr>
      <w:ind w:left="1260" w:leftChars="600"/>
    </w:pPr>
  </w:style>
  <w:style w:type="paragraph" w:styleId="15">
    <w:name w:val="toc 2"/>
    <w:basedOn w:val="1"/>
    <w:next w:val="1"/>
    <w:qFormat/>
    <w:uiPriority w:val="0"/>
    <w:pPr>
      <w:ind w:left="420" w:leftChars="200"/>
    </w:pPr>
  </w:style>
  <w:style w:type="paragraph" w:styleId="16">
    <w:name w:val="Normal (Web)"/>
    <w:basedOn w:val="1"/>
    <w:next w:val="2"/>
    <w:qFormat/>
    <w:uiPriority w:val="0"/>
    <w:pPr>
      <w:spacing w:beforeAutospacing="1" w:afterAutospacing="1"/>
      <w:jc w:val="left"/>
    </w:pPr>
    <w:rPr>
      <w:rFonts w:cs="Times New Roman"/>
      <w:kern w:val="0"/>
      <w:sz w:val="24"/>
    </w:rPr>
  </w:style>
  <w:style w:type="paragraph" w:styleId="17">
    <w:name w:val="Body Text First Indent"/>
    <w:basedOn w:val="2"/>
    <w:qFormat/>
    <w:uiPriority w:val="0"/>
    <w:pPr>
      <w:ind w:firstLine="420" w:firstLineChars="100"/>
    </w:pPr>
  </w:style>
  <w:style w:type="paragraph" w:styleId="18">
    <w:name w:val="Body Text First Indent 2"/>
    <w:basedOn w:val="2"/>
    <w:qFormat/>
    <w:uiPriority w:val="0"/>
    <w:pPr>
      <w:ind w:firstLine="420" w:firstLineChars="200"/>
    </w:pPr>
    <w:rPr>
      <w:rFonts w:ascii="Times New Roman" w:hAnsi="Times New Roman" w:eastAsia="仿宋_GB2312" w:cs="Times New Roman"/>
      <w:sz w:val="32"/>
      <w:szCs w:val="22"/>
    </w:rPr>
  </w:style>
  <w:style w:type="table" w:styleId="20">
    <w:name w:val="Table Grid"/>
    <w:basedOn w:val="19"/>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22">
    <w:name w:val="FollowedHyperlink"/>
    <w:basedOn w:val="21"/>
    <w:qFormat/>
    <w:uiPriority w:val="0"/>
    <w:rPr>
      <w:color w:val="000000"/>
      <w:u w:val="none"/>
    </w:rPr>
  </w:style>
  <w:style w:type="character" w:styleId="23">
    <w:name w:val="Hyperlink"/>
    <w:basedOn w:val="21"/>
    <w:qFormat/>
    <w:uiPriority w:val="0"/>
    <w:rPr>
      <w:color w:val="000000"/>
      <w:u w:val="none"/>
    </w:rPr>
  </w:style>
  <w:style w:type="character" w:styleId="24">
    <w:name w:val="HTML Cite"/>
    <w:basedOn w:val="21"/>
    <w:qFormat/>
    <w:uiPriority w:val="0"/>
  </w:style>
  <w:style w:type="paragraph" w:customStyle="1" w:styleId="25">
    <w:name w:val="一级条标题"/>
    <w:basedOn w:val="26"/>
    <w:next w:val="27"/>
    <w:qFormat/>
    <w:uiPriority w:val="0"/>
    <w:pPr>
      <w:spacing w:line="240" w:lineRule="auto"/>
      <w:ind w:left="420"/>
      <w:outlineLvl w:val="2"/>
    </w:pPr>
  </w:style>
  <w:style w:type="paragraph" w:customStyle="1" w:styleId="26">
    <w:name w:val="章标题"/>
    <w:next w:val="1"/>
    <w:qFormat/>
    <w:uiPriority w:val="0"/>
    <w:pPr>
      <w:spacing w:line="360" w:lineRule="auto"/>
      <w:jc w:val="both"/>
      <w:outlineLvl w:val="1"/>
    </w:pPr>
    <w:rPr>
      <w:rFonts w:ascii="黑体" w:hAnsi="Calibri" w:eastAsia="黑体" w:cs="黑体"/>
      <w:sz w:val="21"/>
      <w:szCs w:val="21"/>
      <w:lang w:val="en-US" w:eastAsia="zh-CN" w:bidi="ar-SA"/>
    </w:rPr>
  </w:style>
  <w:style w:type="paragraph" w:customStyle="1" w:styleId="27">
    <w:name w:val="段"/>
    <w:next w:val="1"/>
    <w:qFormat/>
    <w:uiPriority w:val="0"/>
    <w:pPr>
      <w:autoSpaceDE w:val="0"/>
      <w:autoSpaceDN w:val="0"/>
      <w:ind w:firstLine="200" w:firstLineChars="200"/>
      <w:jc w:val="both"/>
    </w:pPr>
    <w:rPr>
      <w:rFonts w:ascii="宋体" w:hAnsi="Calibri" w:eastAsia="宋体" w:cs="宋体"/>
      <w:sz w:val="21"/>
      <w:szCs w:val="21"/>
      <w:lang w:val="en-US" w:eastAsia="zh-CN" w:bidi="ar-SA"/>
    </w:rPr>
  </w:style>
  <w:style w:type="paragraph" w:customStyle="1" w:styleId="28">
    <w:name w:val="标题 5（有编号）（绿盟科技）"/>
    <w:basedOn w:val="1"/>
    <w:next w:val="29"/>
    <w:qFormat/>
    <w:uiPriority w:val="0"/>
    <w:pPr>
      <w:keepNext/>
      <w:keepLines/>
      <w:numPr>
        <w:ilvl w:val="4"/>
        <w:numId w:val="1"/>
      </w:numPr>
      <w:spacing w:before="280" w:after="156" w:line="377" w:lineRule="auto"/>
      <w:outlineLvl w:val="4"/>
    </w:pPr>
    <w:rPr>
      <w:rFonts w:eastAsia="黑体"/>
      <w:b/>
      <w:szCs w:val="28"/>
    </w:rPr>
  </w:style>
  <w:style w:type="paragraph" w:customStyle="1" w:styleId="29">
    <w:name w:val="正文（绿盟科技）"/>
    <w:next w:val="28"/>
    <w:qFormat/>
    <w:uiPriority w:val="0"/>
    <w:pPr>
      <w:spacing w:line="300" w:lineRule="auto"/>
    </w:pPr>
    <w:rPr>
      <w:rFonts w:ascii="Times New Roman" w:hAnsi="Times New Roman" w:eastAsia="宋体" w:cs="黑体"/>
      <w:sz w:val="21"/>
      <w:szCs w:val="21"/>
      <w:lang w:val="en-US" w:eastAsia="zh-CN" w:bidi="ar-SA"/>
    </w:rPr>
  </w:style>
  <w:style w:type="paragraph" w:customStyle="1" w:styleId="30">
    <w:name w:val="Heading #2|1"/>
    <w:basedOn w:val="1"/>
    <w:qFormat/>
    <w:uiPriority w:val="0"/>
    <w:pPr>
      <w:spacing w:before="600" w:after="500"/>
      <w:jc w:val="center"/>
      <w:outlineLvl w:val="1"/>
    </w:pPr>
    <w:rPr>
      <w:rFonts w:ascii="宋体" w:hAnsi="宋体" w:eastAsia="宋体" w:cs="宋体"/>
      <w:sz w:val="32"/>
      <w:szCs w:val="32"/>
      <w:lang w:val="zh-TW" w:eastAsia="zh-TW" w:bidi="zh-TW"/>
    </w:rPr>
  </w:style>
  <w:style w:type="paragraph" w:customStyle="1" w:styleId="31">
    <w:name w:val="Other|1"/>
    <w:basedOn w:val="1"/>
    <w:qFormat/>
    <w:uiPriority w:val="0"/>
    <w:pPr>
      <w:spacing w:line="334" w:lineRule="auto"/>
    </w:pPr>
    <w:rPr>
      <w:rFonts w:ascii="宋体" w:hAnsi="宋体" w:eastAsia="宋体" w:cs="宋体"/>
      <w:lang w:val="zh-TW" w:eastAsia="zh-TW" w:bidi="zh-TW"/>
    </w:rPr>
  </w:style>
  <w:style w:type="paragraph" w:customStyle="1" w:styleId="32">
    <w:name w:val="Header or footer|1"/>
    <w:basedOn w:val="1"/>
    <w:qFormat/>
    <w:uiPriority w:val="0"/>
    <w:rPr>
      <w:lang w:val="zh-TW" w:eastAsia="zh-TW" w:bidi="zh-TW"/>
    </w:rPr>
  </w:style>
  <w:style w:type="paragraph" w:customStyle="1" w:styleId="33">
    <w:name w:val="Table caption|1"/>
    <w:basedOn w:val="1"/>
    <w:qFormat/>
    <w:uiPriority w:val="0"/>
    <w:pPr>
      <w:jc w:val="center"/>
    </w:pPr>
    <w:rPr>
      <w:rFonts w:ascii="宋体" w:hAnsi="宋体" w:eastAsia="宋体" w:cs="宋体"/>
      <w:b/>
      <w:bCs/>
      <w:sz w:val="20"/>
      <w:szCs w:val="20"/>
      <w:lang w:val="zh-TW" w:eastAsia="zh-TW" w:bidi="zh-TW"/>
    </w:rPr>
  </w:style>
  <w:style w:type="paragraph" w:customStyle="1" w:styleId="34">
    <w:name w:val="Heading #3|1"/>
    <w:basedOn w:val="1"/>
    <w:qFormat/>
    <w:uiPriority w:val="0"/>
    <w:pPr>
      <w:spacing w:after="160"/>
      <w:outlineLvl w:val="2"/>
    </w:pPr>
    <w:rPr>
      <w:rFonts w:ascii="宋体" w:hAnsi="宋体" w:eastAsia="宋体" w:cs="宋体"/>
      <w:sz w:val="26"/>
      <w:szCs w:val="26"/>
      <w:lang w:val="zh-TW" w:eastAsia="zh-TW" w:bidi="zh-TW"/>
    </w:rPr>
  </w:style>
  <w:style w:type="paragraph" w:customStyle="1" w:styleId="35">
    <w:name w:val="Body text|1"/>
    <w:basedOn w:val="1"/>
    <w:qFormat/>
    <w:uiPriority w:val="0"/>
    <w:pPr>
      <w:spacing w:line="334" w:lineRule="auto"/>
    </w:pPr>
    <w:rPr>
      <w:rFonts w:ascii="宋体" w:hAnsi="宋体" w:eastAsia="宋体" w:cs="宋体"/>
      <w:lang w:val="zh-TW" w:eastAsia="zh-TW" w:bidi="zh-TW"/>
    </w:rPr>
  </w:style>
  <w:style w:type="paragraph" w:customStyle="1" w:styleId="36">
    <w:name w:val="Body text|2"/>
    <w:basedOn w:val="1"/>
    <w:qFormat/>
    <w:uiPriority w:val="0"/>
    <w:pPr>
      <w:spacing w:after="130" w:line="307" w:lineRule="exact"/>
      <w:ind w:firstLine="470"/>
    </w:pPr>
    <w:rPr>
      <w:rFonts w:ascii="宋体" w:hAnsi="宋体" w:eastAsia="宋体" w:cs="宋体"/>
      <w:sz w:val="18"/>
      <w:szCs w:val="18"/>
      <w:lang w:val="zh-TW" w:eastAsia="zh-TW" w:bidi="zh-TW"/>
    </w:rPr>
  </w:style>
  <w:style w:type="paragraph" w:customStyle="1" w:styleId="37">
    <w:name w:val="Heading #4|1"/>
    <w:basedOn w:val="1"/>
    <w:qFormat/>
    <w:uiPriority w:val="0"/>
    <w:pPr>
      <w:spacing w:after="570"/>
      <w:jc w:val="center"/>
      <w:outlineLvl w:val="3"/>
    </w:pPr>
    <w:rPr>
      <w:rFonts w:ascii="宋体" w:hAnsi="宋体" w:eastAsia="宋体" w:cs="宋体"/>
      <w:sz w:val="32"/>
      <w:szCs w:val="32"/>
      <w:lang w:val="zh-TW" w:eastAsia="zh-TW" w:bidi="zh-TW"/>
    </w:rPr>
  </w:style>
  <w:style w:type="paragraph" w:customStyle="1" w:styleId="38">
    <w:name w:val="Body text|3"/>
    <w:basedOn w:val="1"/>
    <w:qFormat/>
    <w:uiPriority w:val="0"/>
    <w:pPr>
      <w:spacing w:after="230"/>
      <w:jc w:val="center"/>
    </w:pPr>
    <w:rPr>
      <w:rFonts w:ascii="宋体" w:hAnsi="宋体" w:eastAsia="宋体" w:cs="宋体"/>
      <w:sz w:val="30"/>
      <w:szCs w:val="30"/>
      <w:lang w:val="zh-TW" w:eastAsia="zh-TW" w:bidi="zh-TW"/>
    </w:rPr>
  </w:style>
  <w:style w:type="paragraph" w:customStyle="1" w:styleId="39">
    <w:name w:val="Heading #5|1"/>
    <w:basedOn w:val="1"/>
    <w:qFormat/>
    <w:uiPriority w:val="0"/>
    <w:pPr>
      <w:spacing w:after="40" w:line="385" w:lineRule="exact"/>
      <w:ind w:firstLine="280"/>
      <w:outlineLvl w:val="4"/>
    </w:pPr>
    <w:rPr>
      <w:rFonts w:ascii="宋体" w:hAnsi="宋体" w:eastAsia="宋体" w:cs="宋体"/>
      <w:sz w:val="26"/>
      <w:szCs w:val="26"/>
      <w:lang w:val="zh-TW" w:eastAsia="zh-TW" w:bidi="zh-TW"/>
    </w:rPr>
  </w:style>
  <w:style w:type="character" w:customStyle="1" w:styleId="40">
    <w:name w:val="font31"/>
    <w:basedOn w:val="21"/>
    <w:qFormat/>
    <w:uiPriority w:val="0"/>
    <w:rPr>
      <w:rFonts w:hint="eastAsia" w:ascii="宋体" w:hAnsi="宋体" w:eastAsia="宋体" w:cs="宋体"/>
      <w:color w:val="000000"/>
      <w:sz w:val="24"/>
      <w:szCs w:val="24"/>
      <w:u w:val="none"/>
    </w:rPr>
  </w:style>
  <w:style w:type="character" w:customStyle="1" w:styleId="41">
    <w:name w:val="font71"/>
    <w:basedOn w:val="21"/>
    <w:qFormat/>
    <w:uiPriority w:val="0"/>
    <w:rPr>
      <w:rFonts w:hint="eastAsia" w:ascii="宋体" w:hAnsi="宋体" w:eastAsia="宋体" w:cs="宋体"/>
      <w:color w:val="000000"/>
      <w:sz w:val="24"/>
      <w:szCs w:val="24"/>
      <w:u w:val="single"/>
    </w:rPr>
  </w:style>
  <w:style w:type="character" w:customStyle="1" w:styleId="42">
    <w:name w:val="font01"/>
    <w:basedOn w:val="21"/>
    <w:qFormat/>
    <w:uiPriority w:val="0"/>
    <w:rPr>
      <w:rFonts w:hint="default" w:ascii="Arial" w:hAnsi="Arial" w:cs="Arial"/>
      <w:color w:val="000000"/>
      <w:sz w:val="24"/>
      <w:szCs w:val="24"/>
      <w:u w:val="none"/>
    </w:rPr>
  </w:style>
  <w:style w:type="character" w:customStyle="1" w:styleId="43">
    <w:name w:val="font21"/>
    <w:basedOn w:val="21"/>
    <w:qFormat/>
    <w:uiPriority w:val="0"/>
    <w:rPr>
      <w:rFonts w:hint="default" w:ascii="Arial" w:hAnsi="Arial" w:cs="Arial"/>
      <w:color w:val="000000"/>
      <w:sz w:val="24"/>
      <w:szCs w:val="24"/>
      <w:u w:val="single"/>
    </w:rPr>
  </w:style>
  <w:style w:type="paragraph" w:customStyle="1" w:styleId="44">
    <w:name w:val="正文_1"/>
    <w:qFormat/>
    <w:uiPriority w:val="0"/>
    <w:pPr>
      <w:widowControl w:val="0"/>
      <w:jc w:val="both"/>
    </w:pPr>
    <w:rPr>
      <w:rFonts w:ascii="Calibri" w:hAnsi="Calibri" w:eastAsia="宋体" w:cs="Times New Roman"/>
      <w:kern w:val="2"/>
      <w:sz w:val="28"/>
      <w:lang w:val="en-US" w:eastAsia="zh-CN" w:bidi="ar-SA"/>
    </w:rPr>
  </w:style>
  <w:style w:type="paragraph" w:customStyle="1" w:styleId="45">
    <w:name w:val="TOC 标题_0"/>
    <w:basedOn w:val="46"/>
    <w:next w:val="44"/>
    <w:qFormat/>
    <w:uiPriority w:val="39"/>
    <w:pPr>
      <w:spacing w:line="576" w:lineRule="auto"/>
      <w:outlineLvl w:val="9"/>
    </w:pPr>
  </w:style>
  <w:style w:type="paragraph" w:customStyle="1" w:styleId="46">
    <w:name w:val="标题 1_0"/>
    <w:basedOn w:val="44"/>
    <w:next w:val="44"/>
    <w:qFormat/>
    <w:uiPriority w:val="0"/>
    <w:pPr>
      <w:keepNext/>
      <w:keepLines/>
      <w:spacing w:before="340" w:after="330" w:line="578" w:lineRule="auto"/>
      <w:outlineLvl w:val="0"/>
    </w:pPr>
    <w:rPr>
      <w:b/>
      <w:bCs/>
      <w:kern w:val="44"/>
      <w:sz w:val="44"/>
      <w:szCs w:val="44"/>
    </w:rPr>
  </w:style>
  <w:style w:type="paragraph" w:customStyle="1" w:styleId="47">
    <w:name w:val="标题 3_0"/>
    <w:basedOn w:val="44"/>
    <w:next w:val="44"/>
    <w:link w:val="49"/>
    <w:qFormat/>
    <w:uiPriority w:val="0"/>
    <w:pPr>
      <w:keepNext/>
      <w:keepLines/>
      <w:spacing w:before="260" w:after="260" w:line="416" w:lineRule="auto"/>
      <w:outlineLvl w:val="2"/>
    </w:pPr>
    <w:rPr>
      <w:b/>
      <w:bCs/>
      <w:kern w:val="0"/>
      <w:sz w:val="32"/>
      <w:szCs w:val="32"/>
    </w:rPr>
  </w:style>
  <w:style w:type="paragraph" w:customStyle="1" w:styleId="48">
    <w:name w:val="标题 4_0"/>
    <w:basedOn w:val="44"/>
    <w:next w:val="44"/>
    <w:qFormat/>
    <w:uiPriority w:val="0"/>
    <w:pPr>
      <w:keepNext/>
      <w:keepLines/>
      <w:adjustRightInd w:val="0"/>
      <w:spacing w:before="280" w:after="290" w:line="376" w:lineRule="atLeast"/>
      <w:textAlignment w:val="baseline"/>
      <w:outlineLvl w:val="3"/>
    </w:pPr>
    <w:rPr>
      <w:rFonts w:ascii="Arial" w:hAnsi="Arial" w:eastAsia="黑体"/>
      <w:b/>
      <w:kern w:val="0"/>
    </w:rPr>
  </w:style>
  <w:style w:type="character" w:customStyle="1" w:styleId="49">
    <w:name w:val="标题 3_0 Char"/>
    <w:link w:val="47"/>
    <w:qFormat/>
    <w:uiPriority w:val="0"/>
    <w:rPr>
      <w:b/>
      <w:bCs/>
      <w:kern w:val="0"/>
      <w:sz w:val="32"/>
      <w:szCs w:val="32"/>
    </w:rPr>
  </w:style>
  <w:style w:type="paragraph" w:customStyle="1" w:styleId="50">
    <w:name w:val="标题 2_0"/>
    <w:basedOn w:val="44"/>
    <w:next w:val="44"/>
    <w:qFormat/>
    <w:uiPriority w:val="0"/>
    <w:pPr>
      <w:keepNext/>
      <w:keepLines/>
      <w:spacing w:before="260" w:after="260" w:line="416" w:lineRule="auto"/>
      <w:outlineLvl w:val="1"/>
    </w:pPr>
    <w:rPr>
      <w:rFonts w:ascii="Arial" w:hAnsi="Arial" w:eastAsia="黑体"/>
      <w:b/>
      <w:bCs/>
      <w:sz w:val="32"/>
      <w:szCs w:val="32"/>
    </w:rPr>
  </w:style>
  <w:style w:type="paragraph" w:customStyle="1" w:styleId="51">
    <w:name w:val="正文文本_0"/>
    <w:basedOn w:val="44"/>
    <w:qFormat/>
    <w:uiPriority w:val="0"/>
    <w:rPr>
      <w:rFonts w:eastAsia="黑体"/>
      <w:sz w:val="36"/>
      <w:szCs w:val="24"/>
    </w:rPr>
  </w:style>
  <w:style w:type="paragraph" w:customStyle="1" w:styleId="52">
    <w:name w:val="正文文本缩进_0"/>
    <w:basedOn w:val="44"/>
    <w:qFormat/>
    <w:uiPriority w:val="0"/>
    <w:pPr>
      <w:spacing w:line="360" w:lineRule="auto"/>
      <w:ind w:firstLine="570"/>
    </w:pPr>
    <w:rPr>
      <w:rFonts w:ascii="宋体" w:hAnsi="宋体"/>
      <w:i/>
      <w:iCs/>
    </w:rPr>
  </w:style>
  <w:style w:type="character" w:customStyle="1" w:styleId="53">
    <w:name w:val="批注框文本 Char"/>
    <w:basedOn w:val="21"/>
    <w:link w:val="10"/>
    <w:qFormat/>
    <w:uiPriority w:val="0"/>
    <w:rPr>
      <w:rFonts w:asciiTheme="minorHAnsi" w:hAnsiTheme="minorHAnsi" w:cstheme="minorBidi"/>
      <w:kern w:val="2"/>
      <w:sz w:val="18"/>
      <w:szCs w:val="18"/>
    </w:rPr>
  </w:style>
  <w:style w:type="character" w:customStyle="1" w:styleId="54">
    <w:name w:val="blue"/>
    <w:basedOn w:val="21"/>
    <w:qFormat/>
    <w:uiPriority w:val="0"/>
    <w:rPr>
      <w:shd w:val="clear" w:fill="53A7FF"/>
    </w:rPr>
  </w:style>
  <w:style w:type="character" w:customStyle="1" w:styleId="55">
    <w:name w:val="green"/>
    <w:basedOn w:val="21"/>
    <w:qFormat/>
    <w:uiPriority w:val="0"/>
    <w:rPr>
      <w:shd w:val="clear" w:fill="71C033"/>
    </w:rPr>
  </w:style>
  <w:style w:type="character" w:customStyle="1" w:styleId="56">
    <w:name w:val="disabled"/>
    <w:basedOn w:val="21"/>
    <w:qFormat/>
    <w:uiPriority w:val="0"/>
    <w:rPr>
      <w:color w:val="DDDDDD"/>
      <w:bdr w:val="single" w:color="EEEEEE" w:sz="4" w:space="0"/>
    </w:rPr>
  </w:style>
  <w:style w:type="character" w:customStyle="1" w:styleId="57">
    <w:name w:val="red"/>
    <w:basedOn w:val="21"/>
    <w:qFormat/>
    <w:uiPriority w:val="0"/>
    <w:rPr>
      <w:shd w:val="clear" w:fill="EA5954"/>
    </w:rPr>
  </w:style>
  <w:style w:type="character" w:customStyle="1" w:styleId="58">
    <w:name w:val="yellow"/>
    <w:basedOn w:val="21"/>
    <w:qFormat/>
    <w:uiPriority w:val="0"/>
    <w:rPr>
      <w:shd w:val="clear" w:fill="F58F00"/>
    </w:rPr>
  </w:style>
  <w:style w:type="paragraph" w:customStyle="1" w:styleId="59">
    <w:name w:val="标题 3_1"/>
    <w:basedOn w:val="44"/>
    <w:next w:val="44"/>
    <w:qFormat/>
    <w:uiPriority w:val="0"/>
    <w:pPr>
      <w:keepNext/>
      <w:keepLines/>
      <w:spacing w:before="260" w:after="260" w:line="416" w:lineRule="auto"/>
      <w:outlineLvl w:val="2"/>
    </w:pPr>
    <w:rPr>
      <w:rFonts w:ascii="Times New Roman" w:hAnsi="Times New Roman"/>
      <w:b/>
      <w:sz w:val="32"/>
      <w:szCs w:val="20"/>
    </w:rPr>
  </w:style>
  <w:style w:type="paragraph" w:customStyle="1" w:styleId="60">
    <w:name w:val="标题 3_2"/>
    <w:basedOn w:val="61"/>
    <w:next w:val="62"/>
    <w:qFormat/>
    <w:uiPriority w:val="0"/>
    <w:pPr>
      <w:keepNext/>
      <w:keepLines/>
      <w:spacing w:before="260" w:after="260" w:line="412" w:lineRule="auto"/>
      <w:outlineLvl w:val="2"/>
    </w:pPr>
    <w:rPr>
      <w:rFonts w:ascii="Calibri" w:hAnsi="Calibri" w:eastAsia="黑体"/>
      <w:bCs/>
      <w:sz w:val="28"/>
      <w:szCs w:val="32"/>
    </w:rPr>
  </w:style>
  <w:style w:type="paragraph" w:customStyle="1" w:styleId="61">
    <w:name w:val="正文_3"/>
    <w:qFormat/>
    <w:uiPriority w:val="0"/>
    <w:pPr>
      <w:widowControl w:val="0"/>
      <w:jc w:val="both"/>
    </w:pPr>
    <w:rPr>
      <w:rFonts w:ascii="Calibri" w:hAnsi="Calibri" w:eastAsia="宋体" w:cs="Times New Roman"/>
      <w:kern w:val="2"/>
      <w:sz w:val="21"/>
      <w:szCs w:val="22"/>
      <w:lang w:val="en-US" w:eastAsia="zh-CN" w:bidi="ar-SA"/>
    </w:rPr>
  </w:style>
  <w:style w:type="paragraph" w:customStyle="1" w:styleId="62">
    <w:name w:val="标题 4_1"/>
    <w:basedOn w:val="61"/>
    <w:next w:val="61"/>
    <w:qFormat/>
    <w:uiPriority w:val="0"/>
    <w:pPr>
      <w:keepNext/>
      <w:keepLines/>
      <w:spacing w:line="360" w:lineRule="auto"/>
      <w:outlineLvl w:val="3"/>
    </w:pPr>
    <w:rPr>
      <w:rFonts w:ascii="Arial" w:hAnsi="Arial" w:eastAsia="黑体"/>
      <w:bCs/>
      <w:sz w:val="24"/>
      <w:szCs w:val="28"/>
    </w:rPr>
  </w:style>
  <w:style w:type="paragraph" w:customStyle="1" w:styleId="63">
    <w:name w:val="Normal_2"/>
    <w:qFormat/>
    <w:uiPriority w:val="0"/>
    <w:rPr>
      <w:rFonts w:ascii="Times New Roman" w:hAnsi="Times New Roman" w:eastAsia="Times New Roman" w:cs="Times New Roman"/>
      <w:sz w:val="24"/>
      <w:szCs w:val="24"/>
    </w:rPr>
  </w:style>
  <w:style w:type="paragraph" w:customStyle="1" w:styleId="64">
    <w:name w:val="Heading 3"/>
    <w:basedOn w:val="65"/>
    <w:next w:val="66"/>
    <w:qFormat/>
    <w:uiPriority w:val="0"/>
    <w:pPr>
      <w:keepNext/>
      <w:keepLines/>
      <w:spacing w:before="260" w:after="260" w:line="412" w:lineRule="auto"/>
      <w:outlineLvl w:val="2"/>
    </w:pPr>
    <w:rPr>
      <w:rFonts w:ascii="Times New Roman" w:hAnsi="Times New Roman" w:eastAsia="宋体" w:cs="Times New Roman"/>
      <w:b/>
      <w:bCs/>
      <w:sz w:val="32"/>
      <w:szCs w:val="32"/>
    </w:rPr>
  </w:style>
  <w:style w:type="paragraph" w:customStyle="1" w:styleId="65">
    <w:name w:val="Normal_0"/>
    <w:qFormat/>
    <w:uiPriority w:val="0"/>
    <w:pPr>
      <w:widowControl w:val="0"/>
      <w:jc w:val="both"/>
    </w:pPr>
    <w:rPr>
      <w:rFonts w:ascii="Calibri" w:hAnsi="Calibri" w:eastAsia="宋体" w:cs="Times New Roman"/>
    </w:rPr>
  </w:style>
  <w:style w:type="paragraph" w:customStyle="1" w:styleId="66">
    <w:name w:val="Heading 4"/>
    <w:basedOn w:val="65"/>
    <w:next w:val="65"/>
    <w:qFormat/>
    <w:uiPriority w:val="0"/>
    <w:pPr>
      <w:keepNext/>
      <w:keepLines/>
      <w:spacing w:before="280" w:after="290" w:line="372" w:lineRule="auto"/>
      <w:outlineLvl w:val="3"/>
    </w:pPr>
    <w:rPr>
      <w:rFonts w:ascii="Arial" w:hAnsi="Arial" w:eastAsia="黑体" w:cs="Times New Roman"/>
      <w:b/>
      <w:bCs/>
      <w:sz w:val="28"/>
      <w:szCs w:val="28"/>
    </w:rPr>
  </w:style>
  <w:style w:type="paragraph" w:customStyle="1" w:styleId="67">
    <w:name w:val="Normal_0_0"/>
    <w:qFormat/>
    <w:uiPriority w:val="0"/>
    <w:rPr>
      <w:rFonts w:ascii="Times New Roman" w:hAnsi="Times New Roman" w:eastAsia="Times New Roman" w:cs="Times New Roman"/>
      <w:sz w:val="24"/>
      <w:szCs w:val="24"/>
    </w:rPr>
  </w:style>
  <w:style w:type="paragraph" w:customStyle="1" w:styleId="68">
    <w:name w:val="正文_2"/>
    <w:qFormat/>
    <w:uiPriority w:val="0"/>
    <w:pPr>
      <w:widowControl w:val="0"/>
      <w:jc w:val="both"/>
    </w:pPr>
    <w:rPr>
      <w:rFonts w:ascii="Calibri" w:hAnsi="Calibri" w:eastAsia="宋体" w:cs="Times New Roman"/>
      <w:kern w:val="2"/>
      <w:sz w:val="21"/>
      <w:szCs w:val="22"/>
      <w:lang w:val="en-US" w:eastAsia="zh-CN" w:bidi="ar-SA"/>
    </w:rPr>
  </w:style>
  <w:style w:type="paragraph" w:customStyle="1" w:styleId="69">
    <w:name w:val="Normal_6"/>
    <w:qFormat/>
    <w:uiPriority w:val="0"/>
    <w:rPr>
      <w:rFonts w:ascii="Times New Roman" w:hAnsi="Times New Roman" w:eastAsia="Times New Roman" w:cs="Times New Roman"/>
      <w:sz w:val="24"/>
      <w:szCs w:val="24"/>
    </w:rPr>
  </w:style>
  <w:style w:type="paragraph" w:customStyle="1" w:styleId="70">
    <w:name w:val="正文_4"/>
    <w:qFormat/>
    <w:uiPriority w:val="0"/>
    <w:pPr>
      <w:widowControl w:val="0"/>
      <w:jc w:val="both"/>
    </w:pPr>
    <w:rPr>
      <w:rFonts w:ascii="Calibri" w:hAnsi="Calibri" w:eastAsia="宋体" w:cs="Times New Roman"/>
      <w:kern w:val="2"/>
      <w:sz w:val="21"/>
      <w:szCs w:val="22"/>
      <w:lang w:val="en-US" w:eastAsia="zh-CN" w:bidi="ar-SA"/>
    </w:rPr>
  </w:style>
  <w:style w:type="paragraph" w:customStyle="1" w:styleId="71">
    <w:name w:val="表格文字"/>
    <w:basedOn w:val="1"/>
    <w:qFormat/>
    <w:uiPriority w:val="99"/>
    <w:pPr>
      <w:spacing w:before="25" w:after="25"/>
    </w:pPr>
    <w:rPr>
      <w:rFonts w:ascii="Times New Roman" w:hAnsi="Times New Roman"/>
      <w:bCs/>
      <w:spacing w:val="10"/>
      <w:sz w:val="24"/>
      <w:szCs w:val="20"/>
    </w:rPr>
  </w:style>
</w:styles>
</file>

<file path=word/_rels/document.xml.rels><?xml version="1.0" encoding="UTF-8" standalone="yes"?>
<Relationships xmlns="http://schemas.openxmlformats.org/package/2006/relationships"><Relationship Id="rId9" Type="http://schemas.openxmlformats.org/officeDocument/2006/relationships/image" Target="media/image3.png"/><Relationship Id="rId8" Type="http://schemas.openxmlformats.org/officeDocument/2006/relationships/image" Target="media/image2.jpeg"/><Relationship Id="rId7" Type="http://schemas.openxmlformats.org/officeDocument/2006/relationships/theme" Target="theme/theme1.xml"/><Relationship Id="rId6" Type="http://schemas.openxmlformats.org/officeDocument/2006/relationships/footer" Target="footer2.xml"/><Relationship Id="rId5" Type="http://schemas.openxmlformats.org/officeDocument/2006/relationships/header" Target="header2.xml"/><Relationship Id="rId4" Type="http://schemas.openxmlformats.org/officeDocument/2006/relationships/footer" Target="footer1.xml"/><Relationship Id="rId3" Type="http://schemas.openxmlformats.org/officeDocument/2006/relationships/header" Target="header1.xml"/><Relationship Id="rId22" Type="http://schemas.openxmlformats.org/officeDocument/2006/relationships/fontTable" Target="fontTable.xml"/><Relationship Id="rId21" Type="http://schemas.openxmlformats.org/officeDocument/2006/relationships/numbering" Target="numbering.xml"/><Relationship Id="rId20" Type="http://schemas.openxmlformats.org/officeDocument/2006/relationships/customXml" Target="../customXml/item1.xml"/><Relationship Id="rId2" Type="http://schemas.openxmlformats.org/officeDocument/2006/relationships/settings" Target="settings.xml"/><Relationship Id="rId19" Type="http://schemas.openxmlformats.org/officeDocument/2006/relationships/image" Target="media/image13.jpeg"/><Relationship Id="rId18" Type="http://schemas.openxmlformats.org/officeDocument/2006/relationships/image" Target="media/image12.jpeg"/><Relationship Id="rId17" Type="http://schemas.openxmlformats.org/officeDocument/2006/relationships/image" Target="media/image11.jpeg"/><Relationship Id="rId16" Type="http://schemas.openxmlformats.org/officeDocument/2006/relationships/image" Target="media/image10.jpeg"/><Relationship Id="rId15" Type="http://schemas.openxmlformats.org/officeDocument/2006/relationships/image" Target="media/image9.jpeg"/><Relationship Id="rId14" Type="http://schemas.openxmlformats.org/officeDocument/2006/relationships/image" Target="media/image8.jpeg"/><Relationship Id="rId13" Type="http://schemas.openxmlformats.org/officeDocument/2006/relationships/image" Target="media/image7.jpeg"/><Relationship Id="rId12" Type="http://schemas.openxmlformats.org/officeDocument/2006/relationships/image" Target="media/image6.jpeg"/><Relationship Id="rId11" Type="http://schemas.openxmlformats.org/officeDocument/2006/relationships/image" Target="media/image5.jpeg"/><Relationship Id="rId10" Type="http://schemas.openxmlformats.org/officeDocument/2006/relationships/image" Target="media/image4.jpeg"/><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_rels/footer1.xml.rels><?xml version="1.0" encoding="UTF-8" standalone="yes"?>
<Relationships xmlns="http://schemas.openxmlformats.org/package/2006/relationships"><Relationship Id="rId1" Type="http://schemas.openxmlformats.org/officeDocument/2006/relationships/image" Target="media/image1.jpeg"/></Relationships>
</file>

<file path=word/_rels/foot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4101"/>
    <customShpInfo spid="_x0000_s1026" textRotate="1"/>
    <customShpInfo spid="_x0000_s4102"/>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134</Pages>
  <Words>62122</Words>
  <Characters>66815</Characters>
  <Lines>501</Lines>
  <Paragraphs>141</Paragraphs>
  <TotalTime>0</TotalTime>
  <ScaleCrop>false</ScaleCrop>
  <LinksUpToDate>false</LinksUpToDate>
  <CharactersWithSpaces>71682</CharactersWithSpaces>
  <Application>WPS Office_11.1.0.11875_F1E327BC-269C-435d-A152-05C5408002CA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2020-07-20T08:13:00Z</dcterms:created>
  <dc:creator>太子弹琴</dc:creator>
  <cp:lastModifiedBy>Administrator</cp:lastModifiedBy>
  <cp:lastPrinted>2022-03-10T02:07:00Z</cp:lastPrinted>
  <dcterms:modified xsi:type="dcterms:W3CDTF">2022-07-21T00:32:28Z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2052-11.1.0.11875</vt:lpwstr>
  </property>
  <property fmtid="{D5CDD505-2E9C-101B-9397-08002B2CF9AE}" pid="3" name="ICV">
    <vt:lpwstr>2D5760FDF3D2491BB8FAC1E420249079</vt:lpwstr>
  </property>
</Properties>
</file>