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exact"/>
        <w:ind w:left="0" w:right="0" w:firstLine="281" w:firstLineChars="100"/>
        <w:jc w:val="center"/>
        <w:outlineLvl w:val="0"/>
        <w:rPr>
          <w:rFonts w:hint="eastAsia" w:ascii="黑体" w:hAnsi="宋体" w:eastAsia="黑体" w:cs="黑体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  <w:lang w:val="zh-CN" w:eastAsia="zh-CN"/>
        </w:rPr>
        <w:t>海东市大气污染精准管控和预警会商项目</w:t>
      </w: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  <w:lang w:eastAsia="zh-CN"/>
        </w:rPr>
        <w:t>变更公告</w:t>
      </w:r>
    </w:p>
    <w:tbl>
      <w:tblPr>
        <w:tblStyle w:val="10"/>
        <w:tblW w:w="87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0"/>
        <w:gridCol w:w="65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采购项目编号</w:t>
            </w:r>
          </w:p>
        </w:tc>
        <w:tc>
          <w:tcPr>
            <w:tcW w:w="6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建青公招（货物）2020-002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采购项目名称</w:t>
            </w:r>
          </w:p>
        </w:tc>
        <w:tc>
          <w:tcPr>
            <w:tcW w:w="6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/>
              </w:rPr>
              <w:t>海东市大气污染精准管控和预警会商项目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采购方式</w:t>
            </w:r>
          </w:p>
        </w:tc>
        <w:tc>
          <w:tcPr>
            <w:tcW w:w="6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公开招标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采购预算控制额度</w:t>
            </w:r>
          </w:p>
        </w:tc>
        <w:tc>
          <w:tcPr>
            <w:tcW w:w="6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1322万元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zh-CN" w:eastAsia="zh-CN" w:bidi="ar"/>
              </w:rPr>
              <w:t>项目分包个数</w:t>
            </w:r>
          </w:p>
        </w:tc>
        <w:tc>
          <w:tcPr>
            <w:tcW w:w="6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3个包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zh-CN"/>
              </w:rPr>
              <w:t>最高限价</w:t>
            </w:r>
          </w:p>
        </w:tc>
        <w:tc>
          <w:tcPr>
            <w:tcW w:w="6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zh-CN" w:eastAsia="zh-CN"/>
              </w:rPr>
              <w:t>包一：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875万元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包二：192万元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包三：255万元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公告发布时间</w:t>
            </w:r>
          </w:p>
        </w:tc>
        <w:tc>
          <w:tcPr>
            <w:tcW w:w="6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2020年10月12日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0" w:hRule="atLeast"/>
          <w:jc w:val="center"/>
        </w:trPr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right="0"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更正事项</w:t>
            </w:r>
          </w:p>
        </w:tc>
        <w:tc>
          <w:tcPr>
            <w:tcW w:w="6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right="0" w:rightChars="0"/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一、1、原（包一）招标文件评分办法部分“履约能力”中类似业绩情况：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提供投标截止日近3年的投标人或生产厂商相关类似有效业绩证明材料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的（2018年-至今）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。每提供1项得1分,满分3分；不提供不得分。（需提供包含合同首页、标的及金额所在页、供货合同签字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盖章页（扫描件或复印件））；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right="0" w:rightChars="0" w:firstLine="482" w:firstLineChars="200"/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现变更为：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提供投标截止日近3年的投标人相关类似有效业绩证明材料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的（2018年-至今）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。每提供1项得1分,满分3分；不提供不得分。（需提供包含合同首页、标的及金额所在页、供货合同签字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盖章页（扫描件或复印件））；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right="0" w:rightChars="0" w:firstLine="482" w:firstLineChars="200"/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原（包一）招标文件第五部分采购项目要求及技术参数部分，项目需求及技术要求：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项目总体要求及配置：2.1小型站：小型空气质量自动监测站技术参数要求：9）一体化集成户外机柜要求：（5）机柜生产厂家需通过 ISO9001 认证。（6）采样总管设计须获得相关专利，提供专利证书；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right="0" w:rightChars="0" w:firstLine="482" w:firstLineChars="200"/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现变更为：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将此内容予以删除；</w:t>
            </w:r>
          </w:p>
          <w:p>
            <w:pPr>
              <w:spacing w:line="360" w:lineRule="auto"/>
              <w:ind w:firstLine="482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3、原（包一）招标文件第五部分采购项目要求及技术参数部分，项目需求及技术要求：第2.2 条六参标准站第5）小项（颗粒物监测仪）：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★测量方法：在各种环境温度下，连续实时进行颗粒物的采集和质量测量，采用β射线吸收检测技术。</w:t>
            </w: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样系统和智能加热系统：旋风式采样头符合行业标准的采样头和切割器；采样管具备温度动态调整，能够保持受测量气流的湿度相对稳定在合适测量水平，最大限度减少对颗粒物监测的影响。配置智能加热系统，可设置恒温加热和动态加热模式，能有效地控制样品的温度和湿度，提供环保部环境监测仪器质量监督检验中心的适用性检测报告及CCEP证书复印件并加盖生产厂家公章。</w:t>
            </w: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测量量程：0-0.1,1.0,2.0,3.0,5.0,10.0mg/m3</w:t>
            </w: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最低检测限：＜4μg/m3 (1小时)；＜1μg/m3 (24小时)</w:t>
            </w: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测量小时精度：±3μg/m3&lt;80μg/m3,4-5μg/m3&gt;80μg/m3</w:t>
            </w: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准确度：±5%（使用 NIST 可溯源标准膜片） </w:t>
            </w: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采样流量：采用亚音速小孔精确控制流量，16.7 升/分钟±2.5%</w:t>
            </w:r>
          </w:p>
          <w:p>
            <w:pPr>
              <w:spacing w:line="360" w:lineRule="auto"/>
              <w:ind w:firstLine="240" w:firstLineChars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流量精度：±2%测量值 </w:t>
            </w: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检测器源：β射线源采用小于 100µCi 的碳-14 </w:t>
            </w: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平行性：≤5</w:t>
            </w: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数据输出频率：1秒</w:t>
            </w: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仪器的质量浓度时间周期：60到3600秒和24 小时（可设）</w:t>
            </w: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★数据变化：为便于精准管控的需要，仪器设备须满足实时采样，数据每分钟都有变化的数据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360" w:lineRule="auto"/>
              <w:ind w:firstLine="482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现变更为：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为了排除PM10、PM2.5监测仪采样系统的相互干扰、符合标准空气监测站相关技术规范要求，并与项目立项方案要求相一致，更好的进行项目实施，现将颗粒物监测仪（PM10、PM2.5）分别设定。具体参数详见《青海省政府采购网》变更文件.</w:t>
            </w:r>
          </w:p>
          <w:p>
            <w:pPr>
              <w:pStyle w:val="2"/>
              <w:numPr>
                <w:ilvl w:val="0"/>
                <w:numId w:val="2"/>
              </w:numPr>
              <w:spacing w:line="360" w:lineRule="auto"/>
              <w:ind w:left="0" w:leftChars="0" w:firstLine="482" w:firstLineChars="200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原（包一）招标文件第五部分，原采购项目要求及技术参数第（二）项第2.7 小项人员驻场内容中：</w:t>
            </w:r>
          </w:p>
          <w:tbl>
            <w:tblPr>
              <w:tblStyle w:val="11"/>
              <w:tblW w:w="6169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left w:w="108" w:type="dxa"/>
                <w:right w:w="108" w:type="dxa"/>
              </w:tblCellMar>
            </w:tblPr>
            <w:tblGrid>
              <w:gridCol w:w="1178"/>
              <w:gridCol w:w="695"/>
              <w:gridCol w:w="4296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178" w:type="dxa"/>
                  <w:vAlign w:val="center"/>
                </w:tcPr>
                <w:p>
                  <w:pPr>
                    <w:spacing w:line="360" w:lineRule="auto"/>
                    <w:rPr>
                      <w:rFonts w:hint="eastAsia"/>
                      <w:vertAlign w:val="baseline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人员</w:t>
                  </w:r>
                </w:p>
              </w:tc>
              <w:tc>
                <w:tcPr>
                  <w:tcW w:w="695" w:type="dxa"/>
                  <w:vAlign w:val="center"/>
                </w:tcPr>
                <w:p>
                  <w:pPr>
                    <w:spacing w:line="360" w:lineRule="auto"/>
                    <w:rPr>
                      <w:rFonts w:hint="eastAsia"/>
                      <w:vertAlign w:val="baseline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数量</w:t>
                  </w:r>
                </w:p>
              </w:tc>
              <w:tc>
                <w:tcPr>
                  <w:tcW w:w="4296" w:type="dxa"/>
                  <w:vAlign w:val="center"/>
                </w:tcPr>
                <w:p>
                  <w:pPr>
                    <w:spacing w:line="360" w:lineRule="auto"/>
                    <w:rPr>
                      <w:rFonts w:hint="eastAsia"/>
                      <w:vertAlign w:val="baseline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岗位职责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178" w:type="dxa"/>
                  <w:vAlign w:val="center"/>
                </w:tcPr>
                <w:p>
                  <w:pPr>
                    <w:spacing w:line="360" w:lineRule="auto"/>
                    <w:rPr>
                      <w:rFonts w:hint="eastAsia"/>
                      <w:vertAlign w:val="baseline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项目负责人</w:t>
                  </w:r>
                </w:p>
              </w:tc>
              <w:tc>
                <w:tcPr>
                  <w:tcW w:w="695" w:type="dxa"/>
                  <w:vAlign w:val="center"/>
                </w:tcPr>
                <w:p>
                  <w:pPr>
                    <w:spacing w:line="360" w:lineRule="auto"/>
                    <w:rPr>
                      <w:rFonts w:hint="eastAsia"/>
                      <w:vertAlign w:val="baseline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296" w:type="dxa"/>
                  <w:vAlign w:val="top"/>
                </w:tcPr>
                <w:p>
                  <w:pPr>
                    <w:spacing w:line="360" w:lineRule="auto"/>
                    <w:rPr>
                      <w:rFonts w:hint="eastAsia"/>
                      <w:vertAlign w:val="baseline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负责对项目日常管理以及与城市大气办及相关部门进行对接，配合政府组织并参加大气污染防治研判及专家讨论等会议，并调度相关资源提供技术支持。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178" w:type="dxa"/>
                  <w:vAlign w:val="center"/>
                </w:tcPr>
                <w:p>
                  <w:pPr>
                    <w:spacing w:line="360" w:lineRule="auto"/>
                    <w:rPr>
                      <w:rFonts w:hint="eastAsia"/>
                      <w:vertAlign w:val="baseline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环境数据分析员</w:t>
                  </w:r>
                </w:p>
              </w:tc>
              <w:tc>
                <w:tcPr>
                  <w:tcW w:w="695" w:type="dxa"/>
                  <w:vAlign w:val="center"/>
                </w:tcPr>
                <w:p>
                  <w:pPr>
                    <w:spacing w:line="360" w:lineRule="auto"/>
                    <w:rPr>
                      <w:rFonts w:hint="eastAsia"/>
                      <w:vertAlign w:val="baseline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2-3</w:t>
                  </w:r>
                </w:p>
              </w:tc>
              <w:tc>
                <w:tcPr>
                  <w:tcW w:w="4296" w:type="dxa"/>
                  <w:vAlign w:val="top"/>
                </w:tcPr>
                <w:p>
                  <w:pPr>
                    <w:spacing w:line="360" w:lineRule="auto"/>
                    <w:rPr>
                      <w:rFonts w:hint="eastAsia"/>
                      <w:vertAlign w:val="baseline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结合国/省控空气站、在线污染源、小型站监测、气象等数据进行整合分析，对城市空气质量进行分析及研判，提出环境管控建议并提供相应专用报告。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178" w:type="dxa"/>
                  <w:vAlign w:val="center"/>
                </w:tcPr>
                <w:p>
                  <w:pPr>
                    <w:spacing w:line="360" w:lineRule="auto"/>
                    <w:rPr>
                      <w:rFonts w:hint="eastAsia"/>
                      <w:vertAlign w:val="baseline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巡查人员</w:t>
                  </w:r>
                </w:p>
              </w:tc>
              <w:tc>
                <w:tcPr>
                  <w:tcW w:w="695" w:type="dxa"/>
                  <w:vAlign w:val="center"/>
                </w:tcPr>
                <w:p>
                  <w:pPr>
                    <w:spacing w:line="360" w:lineRule="auto"/>
                    <w:rPr>
                      <w:rFonts w:hint="eastAsia"/>
                      <w:vertAlign w:val="baseline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2-3</w:t>
                  </w:r>
                </w:p>
              </w:tc>
              <w:tc>
                <w:tcPr>
                  <w:tcW w:w="4296" w:type="dxa"/>
                  <w:vAlign w:val="top"/>
                </w:tcPr>
                <w:p>
                  <w:pPr>
                    <w:spacing w:line="360" w:lineRule="auto"/>
                    <w:rPr>
                      <w:rFonts w:hint="eastAsia"/>
                      <w:vertAlign w:val="baseline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完成日常及特殊污染事件巡查任务，对现场进行拍照取证并提交巡查报告。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178" w:type="dxa"/>
                  <w:vAlign w:val="center"/>
                </w:tcPr>
                <w:p>
                  <w:pPr>
                    <w:spacing w:line="360" w:lineRule="auto"/>
                    <w:rPr>
                      <w:rFonts w:hint="eastAsia"/>
                      <w:vertAlign w:val="baseline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平台服务人员(非驻场人员）</w:t>
                  </w:r>
                </w:p>
              </w:tc>
              <w:tc>
                <w:tcPr>
                  <w:tcW w:w="695" w:type="dxa"/>
                  <w:vAlign w:val="center"/>
                </w:tcPr>
                <w:p>
                  <w:pPr>
                    <w:spacing w:line="360" w:lineRule="auto"/>
                    <w:rPr>
                      <w:rFonts w:hint="eastAsia"/>
                      <w:vertAlign w:val="baseline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4296" w:type="dxa"/>
                  <w:vAlign w:val="top"/>
                </w:tcPr>
                <w:p>
                  <w:pPr>
                    <w:spacing w:line="360" w:lineRule="auto"/>
                    <w:rPr>
                      <w:rFonts w:hint="eastAsia"/>
                      <w:vertAlign w:val="baseline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完成平台的建设、运行及维护，针对客户需求，拓展相关品台功能及业务。</w:t>
                  </w:r>
                </w:p>
              </w:tc>
            </w:tr>
          </w:tbl>
          <w:p>
            <w:pPr>
              <w:pStyle w:val="4"/>
              <w:numPr>
                <w:numId w:val="0"/>
              </w:numPr>
              <w:ind w:leftChars="200"/>
              <w:rPr>
                <w:rFonts w:hint="eastAsia"/>
                <w:lang w:val="zh-CN" w:eastAsia="zh-CN"/>
              </w:rPr>
            </w:pPr>
            <w:bookmarkStart w:id="0" w:name="_GoBack"/>
            <w:bookmarkEnd w:id="0"/>
          </w:p>
          <w:p>
            <w:pPr>
              <w:pStyle w:val="2"/>
              <w:numPr>
                <w:ilvl w:val="0"/>
                <w:numId w:val="0"/>
              </w:numPr>
              <w:ind w:leftChars="20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zh-CN" w:eastAsia="zh-CN"/>
              </w:rPr>
              <w:t>现变更为：</w:t>
            </w:r>
          </w:p>
          <w:tbl>
            <w:tblPr>
              <w:tblStyle w:val="11"/>
              <w:tblW w:w="6199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78"/>
              <w:gridCol w:w="695"/>
              <w:gridCol w:w="4326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6" w:hRule="atLeast"/>
              </w:trPr>
              <w:tc>
                <w:tcPr>
                  <w:tcW w:w="1178" w:type="dxa"/>
                  <w:vAlign w:val="center"/>
                </w:tcPr>
                <w:p>
                  <w:pPr>
                    <w:spacing w:line="360" w:lineRule="auto"/>
                    <w:rPr>
                      <w:rFonts w:hint="eastAsia" w:ascii="宋体" w:hAnsi="宋体" w:eastAsia="宋体" w:cs="宋体"/>
                      <w:sz w:val="24"/>
                      <w:szCs w:val="24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人员</w:t>
                  </w:r>
                </w:p>
              </w:tc>
              <w:tc>
                <w:tcPr>
                  <w:tcW w:w="695" w:type="dxa"/>
                  <w:vAlign w:val="center"/>
                </w:tcPr>
                <w:p>
                  <w:pPr>
                    <w:spacing w:line="360" w:lineRule="auto"/>
                    <w:rPr>
                      <w:rFonts w:hint="eastAsia" w:ascii="宋体" w:hAnsi="宋体" w:eastAsia="宋体" w:cs="宋体"/>
                      <w:sz w:val="24"/>
                      <w:szCs w:val="24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数量</w:t>
                  </w:r>
                </w:p>
              </w:tc>
              <w:tc>
                <w:tcPr>
                  <w:tcW w:w="4326" w:type="dxa"/>
                  <w:vAlign w:val="center"/>
                </w:tcPr>
                <w:p>
                  <w:pPr>
                    <w:spacing w:line="360" w:lineRule="auto"/>
                    <w:rPr>
                      <w:rFonts w:hint="eastAsia" w:ascii="宋体" w:hAnsi="宋体" w:eastAsia="宋体" w:cs="宋体"/>
                      <w:sz w:val="24"/>
                      <w:szCs w:val="24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岗位职责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191" w:hRule="atLeast"/>
              </w:trPr>
              <w:tc>
                <w:tcPr>
                  <w:tcW w:w="1178" w:type="dxa"/>
                  <w:vAlign w:val="center"/>
                </w:tcPr>
                <w:p>
                  <w:pPr>
                    <w:spacing w:line="360" w:lineRule="auto"/>
                    <w:rPr>
                      <w:rFonts w:hint="eastAsia" w:ascii="宋体" w:hAnsi="宋体" w:eastAsia="宋体" w:cs="宋体"/>
                      <w:sz w:val="24"/>
                      <w:szCs w:val="24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项目负责人</w:t>
                  </w:r>
                </w:p>
              </w:tc>
              <w:tc>
                <w:tcPr>
                  <w:tcW w:w="695" w:type="dxa"/>
                  <w:vAlign w:val="center"/>
                </w:tcPr>
                <w:p>
                  <w:pPr>
                    <w:spacing w:line="360" w:lineRule="auto"/>
                    <w:rPr>
                      <w:rFonts w:hint="eastAsia" w:ascii="宋体" w:hAnsi="宋体" w:eastAsia="宋体" w:cs="宋体"/>
                      <w:sz w:val="24"/>
                      <w:szCs w:val="24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26" w:type="dxa"/>
                  <w:vAlign w:val="top"/>
                </w:tcPr>
                <w:p>
                  <w:pPr>
                    <w:spacing w:line="360" w:lineRule="auto"/>
                    <w:rPr>
                      <w:rFonts w:hint="eastAsia" w:ascii="宋体" w:hAnsi="宋体" w:eastAsia="宋体" w:cs="宋体"/>
                      <w:sz w:val="24"/>
                      <w:szCs w:val="24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val="zh-CN"/>
                    </w:rPr>
                    <w:t>负责对项目日常管理以及与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城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val="zh-CN"/>
                    </w:rPr>
                    <w:t>市大气办及相关部门进行对接，配合政府组织并参加大气污染防治研判及专家讨论等会议，并调度相关资源提供技术支持。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（环境类专业本科学历及以上学历）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191" w:hRule="atLeast"/>
              </w:trPr>
              <w:tc>
                <w:tcPr>
                  <w:tcW w:w="1178" w:type="dxa"/>
                  <w:vAlign w:val="center"/>
                </w:tcPr>
                <w:p>
                  <w:pPr>
                    <w:spacing w:line="360" w:lineRule="auto"/>
                    <w:rPr>
                      <w:rFonts w:hint="eastAsia" w:ascii="宋体" w:hAnsi="宋体" w:eastAsia="宋体" w:cs="宋体"/>
                      <w:sz w:val="24"/>
                      <w:szCs w:val="24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环境数据分析员</w:t>
                  </w:r>
                </w:p>
              </w:tc>
              <w:tc>
                <w:tcPr>
                  <w:tcW w:w="695" w:type="dxa"/>
                  <w:vAlign w:val="center"/>
                </w:tcPr>
                <w:p>
                  <w:pPr>
                    <w:spacing w:line="360" w:lineRule="auto"/>
                    <w:rPr>
                      <w:rFonts w:hint="eastAsia" w:ascii="宋体" w:hAnsi="宋体" w:eastAsia="宋体" w:cs="宋体"/>
                      <w:sz w:val="24"/>
                      <w:szCs w:val="24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val="zh-CN"/>
                    </w:rPr>
                    <w:t>2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-3</w:t>
                  </w:r>
                </w:p>
              </w:tc>
              <w:tc>
                <w:tcPr>
                  <w:tcW w:w="4326" w:type="dxa"/>
                  <w:vAlign w:val="top"/>
                </w:tcPr>
                <w:p>
                  <w:pPr>
                    <w:spacing w:line="360" w:lineRule="auto"/>
                    <w:rPr>
                      <w:rFonts w:hint="eastAsia" w:ascii="宋体" w:hAnsi="宋体" w:eastAsia="宋体" w:cs="宋体"/>
                      <w:sz w:val="24"/>
                      <w:szCs w:val="24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结合国/省控空气站、在线污染源、网格化监测、气象等数据进行整合分析，对城市空气质量进行分析及研判，提出环境管控建议并提供相应专用报告。（环境类专业本科学历及以上学历）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8" w:hRule="atLeast"/>
              </w:trPr>
              <w:tc>
                <w:tcPr>
                  <w:tcW w:w="1178" w:type="dxa"/>
                  <w:vAlign w:val="center"/>
                </w:tcPr>
                <w:p>
                  <w:pPr>
                    <w:spacing w:line="360" w:lineRule="auto"/>
                    <w:rPr>
                      <w:rFonts w:hint="eastAsia" w:ascii="宋体" w:hAnsi="宋体" w:eastAsia="宋体" w:cs="宋体"/>
                      <w:sz w:val="24"/>
                      <w:szCs w:val="24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巡查人员</w:t>
                  </w:r>
                </w:p>
              </w:tc>
              <w:tc>
                <w:tcPr>
                  <w:tcW w:w="695" w:type="dxa"/>
                  <w:vAlign w:val="center"/>
                </w:tcPr>
                <w:p>
                  <w:pPr>
                    <w:spacing w:line="360" w:lineRule="auto"/>
                    <w:rPr>
                      <w:rFonts w:hint="eastAsia" w:ascii="宋体" w:hAnsi="宋体" w:eastAsia="宋体" w:cs="宋体"/>
                      <w:sz w:val="24"/>
                      <w:szCs w:val="24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val="zh-CN"/>
                    </w:rPr>
                    <w:t>2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-3</w:t>
                  </w:r>
                </w:p>
              </w:tc>
              <w:tc>
                <w:tcPr>
                  <w:tcW w:w="4326" w:type="dxa"/>
                  <w:vAlign w:val="top"/>
                </w:tcPr>
                <w:p>
                  <w:pPr>
                    <w:spacing w:line="360" w:lineRule="auto"/>
                    <w:rPr>
                      <w:rFonts w:hint="eastAsia" w:ascii="宋体" w:hAnsi="宋体" w:eastAsia="宋体" w:cs="宋体"/>
                      <w:sz w:val="24"/>
                      <w:szCs w:val="24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完成日常及特殊污染事件巡查任务，对现场进行拍照取证并提交巡查报告。（环境类专业本科学历及以上学历）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28" w:hRule="atLeast"/>
              </w:trPr>
              <w:tc>
                <w:tcPr>
                  <w:tcW w:w="1178" w:type="dxa"/>
                  <w:vAlign w:val="center"/>
                </w:tcPr>
                <w:p>
                  <w:pPr>
                    <w:spacing w:line="360" w:lineRule="auto"/>
                    <w:rPr>
                      <w:rFonts w:hint="eastAsia" w:ascii="宋体" w:hAnsi="宋体" w:eastAsia="宋体" w:cs="宋体"/>
                      <w:sz w:val="24"/>
                      <w:szCs w:val="24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平台服务人员(非驻场人员）</w:t>
                  </w:r>
                </w:p>
              </w:tc>
              <w:tc>
                <w:tcPr>
                  <w:tcW w:w="695" w:type="dxa"/>
                  <w:vAlign w:val="center"/>
                </w:tcPr>
                <w:p>
                  <w:pPr>
                    <w:spacing w:line="360" w:lineRule="auto"/>
                    <w:rPr>
                      <w:rFonts w:hint="eastAsia" w:ascii="宋体" w:hAnsi="宋体" w:eastAsia="宋体" w:cs="宋体"/>
                      <w:sz w:val="24"/>
                      <w:szCs w:val="24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4326" w:type="dxa"/>
                  <w:vAlign w:val="top"/>
                </w:tcPr>
                <w:p>
                  <w:pPr>
                    <w:spacing w:line="360" w:lineRule="auto"/>
                    <w:rPr>
                      <w:rFonts w:hint="eastAsia" w:ascii="宋体" w:hAnsi="宋体" w:eastAsia="宋体" w:cs="宋体"/>
                      <w:sz w:val="24"/>
                      <w:szCs w:val="24"/>
                      <w:lang w:val="zh-CN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完成平台的建设、运行及维护，针对客户需求，拓展相关品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台功能及业务。（环境类专业本科学历及以上学历）</w:t>
                  </w:r>
                </w:p>
              </w:tc>
            </w:tr>
          </w:tbl>
          <w:p>
            <w:pPr>
              <w:pStyle w:val="2"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zh-CN" w:eastAsia="zh-CN"/>
              </w:rPr>
            </w:pPr>
          </w:p>
          <w:p>
            <w:pPr>
              <w:pStyle w:val="2"/>
              <w:numPr>
                <w:ilvl w:val="0"/>
                <w:numId w:val="3"/>
              </w:numPr>
              <w:spacing w:line="360" w:lineRule="auto"/>
              <w:ind w:firstLine="482" w:firstLineChars="20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原（包一）招标文件第五部分采购项目要求及技术参数部分，项目需求及技术要求：第2.2 条六参标准站第21）小项（站房建设（含配电箱、桌椅、文件柜等辅件））：</w:t>
            </w:r>
          </w:p>
          <w:p>
            <w:pPr>
              <w:pStyle w:val="2"/>
              <w:numPr>
                <w:ilvl w:val="0"/>
                <w:numId w:val="0"/>
              </w:num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（1）站房尺寸：5000mm（长）*6000mm（宽）*2600（高）</w:t>
            </w:r>
          </w:p>
          <w:p>
            <w:pPr>
              <w:pStyle w:val="4"/>
              <w:numPr>
                <w:ilvl w:val="0"/>
                <w:numId w:val="0"/>
              </w:numPr>
              <w:ind w:firstLine="482" w:firstLineChars="200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现变更为：</w:t>
            </w:r>
          </w:p>
          <w:p>
            <w:pPr>
              <w:pStyle w:val="4"/>
              <w:numPr>
                <w:ilvl w:val="0"/>
                <w:numId w:val="0"/>
              </w:numPr>
              <w:ind w:firstLine="480" w:firstLineChars="200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（1）站房尺寸：4000mm（长）*5000mm（宽）*2600（高）</w:t>
            </w:r>
          </w:p>
          <w:p>
            <w:pPr>
              <w:pStyle w:val="2"/>
              <w:numPr>
                <w:ilvl w:val="0"/>
                <w:numId w:val="0"/>
              </w:numPr>
              <w:ind w:firstLine="482" w:firstLineChars="200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6、原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zh-CN" w:eastAsia="zh-CN"/>
              </w:rPr>
              <w:t>投标截止及开标时间：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zh-CN" w:eastAsia="zh-CN"/>
              </w:rPr>
              <w:t>20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zh-CN" w:eastAsia="zh-CN"/>
              </w:rPr>
              <w:t>年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zh-CN" w:eastAsia="zh-CN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zh-CN" w:eastAsia="zh-CN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zh-CN" w:eastAsia="zh-CN"/>
              </w:rPr>
              <w:t>时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00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zh-CN" w:eastAsia="zh-CN"/>
              </w:rPr>
              <w:t>分（北京时间）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left="0" w:right="0" w:firstLine="482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现变更为：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zh-CN" w:eastAsia="zh-CN"/>
              </w:rPr>
              <w:t>投标截止及开标时间为20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zh-CN" w:eastAsia="zh-CN"/>
              </w:rPr>
              <w:t>年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zh-CN" w:eastAsia="zh-CN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17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zh-CN" w:eastAsia="zh-CN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zh-CN" w:eastAsia="zh-CN"/>
              </w:rPr>
              <w:t>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zh-CN" w:eastAsia="zh-CN"/>
              </w:rPr>
              <w:t>分（北京时间）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left="0" w:right="0" w:firstLine="482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7、原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zh-CN" w:eastAsia="zh-CN"/>
              </w:rPr>
              <w:t>投标及开标地点：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zh-CN" w:eastAsia="zh-CN"/>
              </w:rPr>
              <w:t>海东市政务服务监督管理局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3号开标室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left="0" w:right="0" w:firstLine="482" w:firstLineChars="20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现变更为：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zh-CN" w:eastAsia="zh-CN"/>
              </w:rPr>
              <w:t>投标及开标地点为海东市政务服务监督管理局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3号开标室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二、其余事项不变。具体（包一）变更文件以《青海省政府采购网》附件为主。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  <w:jc w:val="center"/>
        </w:trPr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采购代理机构及联系人电话</w:t>
            </w:r>
          </w:p>
        </w:tc>
        <w:tc>
          <w:tcPr>
            <w:tcW w:w="6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zh-CN"/>
              </w:rPr>
              <w:t>采购代理机构:青海建青招标代理有限公司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zh-CN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zh-CN"/>
              </w:rPr>
              <w:t>联系人：陆先生</w:t>
            </w:r>
          </w:p>
          <w:p>
            <w:pPr>
              <w:pStyle w:val="7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zh-CN"/>
              </w:rPr>
              <w:t>电话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：0971-8588381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zh-CN"/>
              </w:rPr>
              <w:t>邮箱地址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：qhjqzbdlyxgs@126.com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zh-CN"/>
              </w:rPr>
              <w:t>联系地址：西宁市城西区西川南路76号万达中心4号楼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12204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zh-CN"/>
              </w:rPr>
              <w:t>室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  <w:jc w:val="center"/>
        </w:trPr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exact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采购单位及联系人电话</w:t>
            </w:r>
          </w:p>
        </w:tc>
        <w:tc>
          <w:tcPr>
            <w:tcW w:w="6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zh-CN"/>
              </w:rPr>
              <w:t>采购单位：海东市生态环境局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zh-CN"/>
              </w:rPr>
              <w:t>联系人：陈女士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zh-CN"/>
              </w:rPr>
              <w:t xml:space="preserve">联系电话：0972-8615030 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zh-CN"/>
              </w:rPr>
              <w:t>联系地址：青海省海东市平安县</w:t>
            </w:r>
          </w:p>
        </w:tc>
      </w:tr>
    </w:tbl>
    <w:p>
      <w:pP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"/>
        </w:rPr>
      </w:pPr>
    </w:p>
    <w:p>
      <w:pPr>
        <w:tabs>
          <w:tab w:val="left" w:pos="6820"/>
        </w:tabs>
        <w:jc w:val="left"/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"/>
        </w:rPr>
        <w:tab/>
      </w: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jc w:val="center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BAE182"/>
    <w:multiLevelType w:val="singleLevel"/>
    <w:tmpl w:val="81BAE182"/>
    <w:lvl w:ilvl="0" w:tentative="0">
      <w:start w:val="5"/>
      <w:numFmt w:val="decimal"/>
      <w:suff w:val="nothing"/>
      <w:lvlText w:val="%1、"/>
      <w:lvlJc w:val="left"/>
    </w:lvl>
  </w:abstractNum>
  <w:abstractNum w:abstractNumId="1">
    <w:nsid w:val="2E9ED243"/>
    <w:multiLevelType w:val="singleLevel"/>
    <w:tmpl w:val="2E9ED243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31C56AB"/>
    <w:multiLevelType w:val="multilevel"/>
    <w:tmpl w:val="731C56AB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6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7F3FA0"/>
    <w:rsid w:val="018D5916"/>
    <w:rsid w:val="01E72907"/>
    <w:rsid w:val="059A62AE"/>
    <w:rsid w:val="073D2A8F"/>
    <w:rsid w:val="07531AA2"/>
    <w:rsid w:val="08946C99"/>
    <w:rsid w:val="0A1D1AD6"/>
    <w:rsid w:val="0AE54F8F"/>
    <w:rsid w:val="0B4B5E38"/>
    <w:rsid w:val="0C9B7F3B"/>
    <w:rsid w:val="0CEE7116"/>
    <w:rsid w:val="0DC52DF3"/>
    <w:rsid w:val="0DE00B2C"/>
    <w:rsid w:val="0F50582F"/>
    <w:rsid w:val="1463125B"/>
    <w:rsid w:val="15262DDC"/>
    <w:rsid w:val="16005504"/>
    <w:rsid w:val="17B36813"/>
    <w:rsid w:val="19EF33C2"/>
    <w:rsid w:val="1A5903F4"/>
    <w:rsid w:val="1BAE64A2"/>
    <w:rsid w:val="1D0B6494"/>
    <w:rsid w:val="1D6B5CAB"/>
    <w:rsid w:val="1DB60CDF"/>
    <w:rsid w:val="1DDF25D4"/>
    <w:rsid w:val="1E506F03"/>
    <w:rsid w:val="1F4B3FB7"/>
    <w:rsid w:val="204E182F"/>
    <w:rsid w:val="2127213A"/>
    <w:rsid w:val="229854BF"/>
    <w:rsid w:val="22A618D2"/>
    <w:rsid w:val="22B054DB"/>
    <w:rsid w:val="22B735EB"/>
    <w:rsid w:val="22DB121B"/>
    <w:rsid w:val="240B0B17"/>
    <w:rsid w:val="246D3CCE"/>
    <w:rsid w:val="24B1466B"/>
    <w:rsid w:val="24CF294D"/>
    <w:rsid w:val="258652DF"/>
    <w:rsid w:val="27662616"/>
    <w:rsid w:val="27B368D2"/>
    <w:rsid w:val="29111ACA"/>
    <w:rsid w:val="2A3146E8"/>
    <w:rsid w:val="2B3E2D43"/>
    <w:rsid w:val="2B3F649F"/>
    <w:rsid w:val="2CA70A7A"/>
    <w:rsid w:val="2EA36630"/>
    <w:rsid w:val="2FF96576"/>
    <w:rsid w:val="359F73B4"/>
    <w:rsid w:val="360D1AA5"/>
    <w:rsid w:val="3618239E"/>
    <w:rsid w:val="362470AE"/>
    <w:rsid w:val="374A5C4C"/>
    <w:rsid w:val="384B08C6"/>
    <w:rsid w:val="39EF637D"/>
    <w:rsid w:val="3B303E16"/>
    <w:rsid w:val="3B520AE0"/>
    <w:rsid w:val="3BA71C16"/>
    <w:rsid w:val="3D756DA9"/>
    <w:rsid w:val="3DA609F0"/>
    <w:rsid w:val="3E84500D"/>
    <w:rsid w:val="3EBC1A3C"/>
    <w:rsid w:val="3FF7237F"/>
    <w:rsid w:val="415852E6"/>
    <w:rsid w:val="41A65F0D"/>
    <w:rsid w:val="41CF04F8"/>
    <w:rsid w:val="41E43F73"/>
    <w:rsid w:val="431246CF"/>
    <w:rsid w:val="438646C3"/>
    <w:rsid w:val="43FA3BF4"/>
    <w:rsid w:val="4585445A"/>
    <w:rsid w:val="476C624A"/>
    <w:rsid w:val="484A0330"/>
    <w:rsid w:val="490C13FF"/>
    <w:rsid w:val="4B271D91"/>
    <w:rsid w:val="4E8058FB"/>
    <w:rsid w:val="4FB4720B"/>
    <w:rsid w:val="4FEA1BE2"/>
    <w:rsid w:val="521F54BC"/>
    <w:rsid w:val="52305356"/>
    <w:rsid w:val="52322075"/>
    <w:rsid w:val="526D1D2D"/>
    <w:rsid w:val="52F7447C"/>
    <w:rsid w:val="546E75FD"/>
    <w:rsid w:val="573F1A4B"/>
    <w:rsid w:val="575A28C8"/>
    <w:rsid w:val="59764320"/>
    <w:rsid w:val="5A9609EE"/>
    <w:rsid w:val="5B1B06E0"/>
    <w:rsid w:val="5BE629EC"/>
    <w:rsid w:val="5C7D7C46"/>
    <w:rsid w:val="5CA65341"/>
    <w:rsid w:val="5D8B0C5D"/>
    <w:rsid w:val="5DE41E97"/>
    <w:rsid w:val="5FC0080D"/>
    <w:rsid w:val="60052386"/>
    <w:rsid w:val="605B131C"/>
    <w:rsid w:val="60933C15"/>
    <w:rsid w:val="60DE325D"/>
    <w:rsid w:val="624B3D6D"/>
    <w:rsid w:val="62675F3C"/>
    <w:rsid w:val="662832B2"/>
    <w:rsid w:val="677F440D"/>
    <w:rsid w:val="699B69B3"/>
    <w:rsid w:val="69D121DD"/>
    <w:rsid w:val="6B957920"/>
    <w:rsid w:val="6BBC01F4"/>
    <w:rsid w:val="6C6A4E49"/>
    <w:rsid w:val="6D41699E"/>
    <w:rsid w:val="6DD41D14"/>
    <w:rsid w:val="713D5095"/>
    <w:rsid w:val="744D707E"/>
    <w:rsid w:val="74A41AEC"/>
    <w:rsid w:val="75B9400F"/>
    <w:rsid w:val="771565AA"/>
    <w:rsid w:val="773F5418"/>
    <w:rsid w:val="77960227"/>
    <w:rsid w:val="79204380"/>
    <w:rsid w:val="794504DD"/>
    <w:rsid w:val="79842A7B"/>
    <w:rsid w:val="7A7F3FA0"/>
    <w:rsid w:val="7A9905BB"/>
    <w:rsid w:val="7B066A0D"/>
    <w:rsid w:val="7B472A8D"/>
    <w:rsid w:val="7CE57436"/>
    <w:rsid w:val="7E5546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line="360" w:lineRule="auto"/>
      <w:ind w:firstLine="402"/>
      <w:jc w:val="center"/>
      <w:outlineLvl w:val="3"/>
    </w:pPr>
    <w:rPr>
      <w:rFonts w:ascii="Times New Roman" w:hAnsi="Times New Roman" w:eastAsia="宋体" w:cs="Times New Roman"/>
      <w:b/>
      <w:bCs/>
      <w:sz w:val="28"/>
      <w:szCs w:val="28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qFormat/>
    <w:uiPriority w:val="0"/>
    <w:pPr>
      <w:ind w:firstLine="420" w:firstLineChars="100"/>
    </w:pPr>
    <w:rPr>
      <w:rFonts w:ascii="Times New Roman" w:hAnsi="Times New Roman"/>
    </w:rPr>
  </w:style>
  <w:style w:type="paragraph" w:styleId="3">
    <w:name w:val="Body Text"/>
    <w:basedOn w:val="1"/>
    <w:next w:val="2"/>
    <w:unhideWhenUsed/>
    <w:qFormat/>
    <w:uiPriority w:val="0"/>
    <w:pPr>
      <w:spacing w:after="120"/>
    </w:pPr>
  </w:style>
  <w:style w:type="paragraph" w:styleId="4">
    <w:name w:val="Body Text First Indent 2"/>
    <w:basedOn w:val="5"/>
    <w:unhideWhenUsed/>
    <w:qFormat/>
    <w:uiPriority w:val="0"/>
    <w:pPr>
      <w:ind w:firstLine="420" w:firstLineChars="200"/>
    </w:p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  <w:rPr>
      <w:sz w:val="21"/>
    </w:r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qFormat/>
    <w:uiPriority w:val="0"/>
    <w:rPr>
      <w:color w:val="0000FF"/>
      <w:u w:val="single"/>
    </w:rPr>
  </w:style>
  <w:style w:type="paragraph" w:customStyle="1" w:styleId="14">
    <w:name w:val="表格文字"/>
    <w:basedOn w:val="1"/>
    <w:qFormat/>
    <w:uiPriority w:val="99"/>
    <w:pPr>
      <w:spacing w:before="25" w:after="25"/>
    </w:pPr>
    <w:rPr>
      <w:bCs/>
      <w:spacing w:val="1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2017-05-03T00:40:00Z</dcterms:created>
  <dc:creator>Administrator</dc:creator>
  <cp:lastModifiedBy>Administrator</cp:lastModifiedBy>
  <cp:lastPrinted>2017-10-24T01:53:00Z</cp:lastPrinted>
  <dcterms:modified xsi:type="dcterms:W3CDTF">2020-10-30T09:23:28Z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