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2072"/>
          <w:tab w:val="center" w:pos="9227"/>
        </w:tabs>
        <w:spacing w:line="360" w:lineRule="auto"/>
        <w:jc w:val="left"/>
        <w:rPr>
          <w:rFonts w:ascii="宋体" w:hAnsi="宋体" w:cs="宋体"/>
          <w:b/>
          <w:color w:val="000000"/>
          <w:sz w:val="40"/>
          <w:szCs w:val="36"/>
        </w:rPr>
      </w:pPr>
      <w:r>
        <w:rPr>
          <w:rFonts w:hint="eastAsia" w:ascii="宋体" w:hAnsi="宋体" w:cs="宋体"/>
          <w:b/>
          <w:color w:val="000000"/>
          <w:sz w:val="40"/>
          <w:szCs w:val="36"/>
        </w:rPr>
        <w:tab/>
      </w:r>
      <w:r>
        <w:rPr>
          <w:rFonts w:hint="eastAsia" w:ascii="宋体" w:hAnsi="宋体" w:cs="宋体"/>
          <w:b/>
          <w:color w:val="000000"/>
          <w:sz w:val="40"/>
          <w:szCs w:val="36"/>
        </w:rPr>
        <w:tab/>
      </w: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jc w:val="center"/>
        <w:rPr>
          <w:rFonts w:ascii="宋体" w:hAnsi="宋体" w:cs="宋体"/>
          <w:b/>
          <w:color w:val="000000"/>
          <w:sz w:val="84"/>
          <w:szCs w:val="84"/>
        </w:rPr>
      </w:pPr>
    </w:p>
    <w:p>
      <w:pPr>
        <w:spacing w:line="360" w:lineRule="auto"/>
        <w:jc w:val="center"/>
        <w:rPr>
          <w:rFonts w:ascii="宋体" w:hAnsi="宋体" w:cs="宋体"/>
          <w:b/>
          <w:color w:val="000000"/>
          <w:sz w:val="84"/>
          <w:szCs w:val="84"/>
        </w:rPr>
      </w:pPr>
      <w:r>
        <w:rPr>
          <w:rFonts w:hint="eastAsia" w:ascii="宋体" w:hAnsi="宋体" w:cs="宋体"/>
          <w:b/>
          <w:color w:val="000000"/>
          <w:sz w:val="72"/>
          <w:szCs w:val="72"/>
        </w:rPr>
        <w:t>竞争性磋商文件</w:t>
      </w:r>
    </w:p>
    <w:p>
      <w:pPr>
        <w:spacing w:line="360" w:lineRule="auto"/>
        <w:jc w:val="center"/>
        <w:rPr>
          <w:rFonts w:ascii="宋体" w:hAnsi="宋体" w:cs="宋体"/>
          <w:b/>
          <w:color w:val="000000"/>
          <w:sz w:val="56"/>
          <w:szCs w:val="52"/>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600" w:lineRule="auto"/>
        <w:ind w:left="2249" w:hanging="2249" w:hangingChars="700"/>
        <w:jc w:val="left"/>
        <w:rPr>
          <w:rFonts w:hint="eastAsia" w:ascii="宋体" w:hAnsi="宋体" w:eastAsia="宋体" w:cs="宋体"/>
          <w:b/>
          <w:color w:val="000000"/>
          <w:sz w:val="32"/>
          <w:szCs w:val="36"/>
          <w:lang w:eastAsia="zh-CN"/>
        </w:rPr>
      </w:pPr>
      <w:r>
        <w:rPr>
          <w:rFonts w:hint="eastAsia" w:ascii="宋体" w:hAnsi="宋体" w:cs="宋体"/>
          <w:b/>
          <w:bCs/>
          <w:color w:val="000000"/>
          <w:sz w:val="32"/>
          <w:szCs w:val="36"/>
        </w:rPr>
        <w:t>采购项目名称：</w:t>
      </w:r>
      <w:r>
        <w:rPr>
          <w:rFonts w:hint="eastAsia" w:ascii="宋体" w:hAnsi="宋体" w:cs="宋体"/>
          <w:b/>
          <w:color w:val="000000"/>
          <w:sz w:val="32"/>
          <w:szCs w:val="36"/>
          <w:lang w:eastAsia="zh-CN"/>
        </w:rPr>
        <w:t>宏觉寺街街景整治项目</w:t>
      </w:r>
    </w:p>
    <w:p>
      <w:pPr>
        <w:spacing w:line="600" w:lineRule="auto"/>
        <w:jc w:val="left"/>
        <w:rPr>
          <w:rFonts w:ascii="宋体" w:hAnsi="宋体" w:cs="宋体"/>
          <w:b/>
          <w:color w:val="000000"/>
          <w:sz w:val="32"/>
          <w:szCs w:val="36"/>
        </w:rPr>
      </w:pPr>
      <w:r>
        <w:rPr>
          <w:rFonts w:hint="eastAsia" w:ascii="宋体" w:hAnsi="宋体" w:cs="宋体"/>
          <w:b/>
          <w:bCs/>
          <w:color w:val="000000"/>
          <w:sz w:val="32"/>
          <w:szCs w:val="36"/>
        </w:rPr>
        <w:t>采购项目编号：青海恒诚竞磋（工程）2021-009</w:t>
      </w:r>
    </w:p>
    <w:p>
      <w:pPr>
        <w:spacing w:line="600" w:lineRule="auto"/>
        <w:jc w:val="left"/>
        <w:rPr>
          <w:rFonts w:ascii="宋体" w:hAnsi="宋体" w:cs="宋体"/>
          <w:b/>
          <w:bCs/>
          <w:color w:val="000000"/>
          <w:sz w:val="32"/>
          <w:szCs w:val="36"/>
        </w:rPr>
      </w:pPr>
      <w:r>
        <w:rPr>
          <w:rFonts w:hint="eastAsia" w:ascii="宋体" w:hAnsi="宋体" w:cs="宋体"/>
          <w:b/>
          <w:bCs/>
          <w:color w:val="000000"/>
          <w:sz w:val="32"/>
          <w:szCs w:val="36"/>
        </w:rPr>
        <w:t>采 购 单 位：西宁市城中区人民政府仓门街街道办事处</w:t>
      </w: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sz w:val="28"/>
          <w:szCs w:val="32"/>
        </w:rPr>
      </w:pPr>
      <w:r>
        <w:rPr>
          <w:rFonts w:hint="eastAsia" w:ascii="宋体" w:hAnsi="宋体" w:cs="宋体"/>
          <w:b/>
          <w:bCs/>
          <w:color w:val="000000"/>
          <w:sz w:val="32"/>
          <w:szCs w:val="36"/>
        </w:rPr>
        <w:t>采购代理机构：青海恒诚工程项目管理有限公司</w:t>
      </w:r>
    </w:p>
    <w:p>
      <w:pPr>
        <w:spacing w:line="360" w:lineRule="auto"/>
        <w:jc w:val="center"/>
        <w:rPr>
          <w:rFonts w:ascii="宋体" w:hAnsi="宋体" w:cs="宋体"/>
          <w:b/>
          <w:bCs/>
          <w:sz w:val="28"/>
          <w:szCs w:val="32"/>
        </w:rPr>
      </w:pPr>
      <w:r>
        <w:rPr>
          <w:rFonts w:hint="eastAsia" w:ascii="宋体" w:hAnsi="宋体" w:cs="宋体"/>
          <w:b/>
          <w:bCs/>
          <w:sz w:val="28"/>
          <w:szCs w:val="32"/>
        </w:rPr>
        <w:t>2021年03月</w:t>
      </w:r>
    </w:p>
    <w:p>
      <w:pPr>
        <w:spacing w:line="360" w:lineRule="auto"/>
        <w:ind w:firstLine="3914" w:firstLineChars="886"/>
        <w:rPr>
          <w:rFonts w:ascii="宋体" w:hAnsi="宋体" w:cs="宋体"/>
          <w:b/>
          <w:bCs/>
          <w:color w:val="000000"/>
          <w:sz w:val="44"/>
          <w:szCs w:val="36"/>
        </w:rPr>
      </w:pPr>
      <w:r>
        <w:rPr>
          <w:rFonts w:hint="eastAsia" w:ascii="宋体" w:hAnsi="宋体" w:cs="宋体"/>
          <w:b/>
          <w:bCs/>
          <w:color w:val="000000"/>
          <w:sz w:val="44"/>
          <w:szCs w:val="36"/>
        </w:rPr>
        <w:t>目　录</w:t>
      </w:r>
    </w:p>
    <w:p>
      <w:pPr>
        <w:pStyle w:val="28"/>
        <w:tabs>
          <w:tab w:val="right" w:leader="dot" w:pos="8100"/>
        </w:tabs>
        <w:spacing w:line="360" w:lineRule="auto"/>
      </w:pPr>
      <w:r>
        <w:rPr>
          <w:rFonts w:hint="eastAsia" w:ascii="宋体" w:hAnsi="宋体" w:cs="宋体"/>
          <w:color w:val="000000"/>
        </w:rPr>
        <w:fldChar w:fldCharType="begin"/>
      </w:r>
      <w:r>
        <w:rPr>
          <w:rFonts w:hint="eastAsia" w:ascii="宋体" w:hAnsi="宋体" w:cs="宋体"/>
          <w:color w:val="000000"/>
        </w:rPr>
        <w:instrText xml:space="preserve"> TOC \o "1-2" \h \z \u </w:instrText>
      </w:r>
      <w:r>
        <w:rPr>
          <w:rFonts w:hint="eastAsia" w:ascii="宋体" w:hAnsi="宋体" w:cs="宋体"/>
          <w:color w:val="000000"/>
        </w:rPr>
        <w:fldChar w:fldCharType="separate"/>
      </w:r>
      <w:r>
        <w:fldChar w:fldCharType="begin"/>
      </w:r>
      <w:r>
        <w:instrText xml:space="preserve"> HYPERLINK \l "_Toc6679" </w:instrText>
      </w:r>
      <w:r>
        <w:fldChar w:fldCharType="separate"/>
      </w:r>
      <w:r>
        <w:rPr>
          <w:rFonts w:hint="eastAsia" w:ascii="宋体" w:hAnsi="宋体" w:cs="宋体"/>
          <w:szCs w:val="36"/>
        </w:rPr>
        <w:t>第一部分 磋商公告</w:t>
      </w:r>
      <w:r>
        <w:tab/>
      </w:r>
      <w:r>
        <w:fldChar w:fldCharType="begin"/>
      </w:r>
      <w:r>
        <w:instrText xml:space="preserve"> PAGEREF _Toc6679 </w:instrText>
      </w:r>
      <w:r>
        <w:fldChar w:fldCharType="separate"/>
      </w:r>
      <w:r>
        <w:t>- 4 -</w:t>
      </w:r>
      <w:r>
        <w:fldChar w:fldCharType="end"/>
      </w:r>
      <w:r>
        <w:fldChar w:fldCharType="end"/>
      </w:r>
    </w:p>
    <w:p>
      <w:pPr>
        <w:pStyle w:val="34"/>
        <w:tabs>
          <w:tab w:val="right" w:leader="dot" w:pos="8100"/>
          <w:tab w:val="clear" w:pos="9060"/>
        </w:tabs>
        <w:spacing w:line="360" w:lineRule="auto"/>
      </w:pPr>
      <w:r>
        <w:rPr>
          <w:rFonts w:hint="eastAsia" w:ascii="宋体" w:hAnsi="宋体" w:cs="宋体"/>
          <w:b/>
          <w:bCs/>
          <w:color w:val="000000"/>
          <w:sz w:val="28"/>
          <w:szCs w:val="28"/>
        </w:rPr>
        <w:t xml:space="preserve">第二部分  </w:t>
      </w:r>
      <w:r>
        <w:fldChar w:fldCharType="begin"/>
      </w:r>
      <w:r>
        <w:instrText xml:space="preserve"> HYPERLINK \l "_Toc18246" </w:instrText>
      </w:r>
      <w:r>
        <w:fldChar w:fldCharType="separate"/>
      </w:r>
      <w:r>
        <w:rPr>
          <w:rFonts w:hint="eastAsia" w:ascii="宋体" w:hAnsi="宋体" w:cs="宋体"/>
          <w:b/>
          <w:bCs/>
          <w:kern w:val="0"/>
          <w:sz w:val="28"/>
          <w:szCs w:val="28"/>
        </w:rPr>
        <w:t>供应商须知前附表</w:t>
      </w:r>
      <w:r>
        <w:rPr>
          <w:b/>
          <w:bCs/>
          <w:sz w:val="28"/>
          <w:szCs w:val="28"/>
        </w:rPr>
        <w:tab/>
      </w:r>
      <w:r>
        <w:rPr>
          <w:b/>
          <w:bCs/>
          <w:sz w:val="28"/>
          <w:szCs w:val="28"/>
        </w:rPr>
        <w:fldChar w:fldCharType="begin"/>
      </w:r>
      <w:r>
        <w:rPr>
          <w:b/>
          <w:bCs/>
          <w:sz w:val="28"/>
          <w:szCs w:val="28"/>
        </w:rPr>
        <w:instrText xml:space="preserve"> PAGEREF _Toc18246 </w:instrText>
      </w:r>
      <w:r>
        <w:rPr>
          <w:b/>
          <w:bCs/>
          <w:sz w:val="28"/>
          <w:szCs w:val="28"/>
        </w:rPr>
        <w:fldChar w:fldCharType="separate"/>
      </w:r>
      <w:r>
        <w:rPr>
          <w:b/>
          <w:bCs/>
          <w:sz w:val="28"/>
          <w:szCs w:val="28"/>
        </w:rPr>
        <w:t>- 7 -</w:t>
      </w:r>
      <w:r>
        <w:rPr>
          <w:b/>
          <w:bCs/>
          <w:sz w:val="28"/>
          <w:szCs w:val="28"/>
        </w:rPr>
        <w:fldChar w:fldCharType="end"/>
      </w:r>
      <w:r>
        <w:rPr>
          <w:b/>
          <w:bCs/>
          <w:sz w:val="28"/>
          <w:szCs w:val="28"/>
        </w:rPr>
        <w:fldChar w:fldCharType="end"/>
      </w:r>
    </w:p>
    <w:p>
      <w:pPr>
        <w:pStyle w:val="34"/>
        <w:tabs>
          <w:tab w:val="right" w:leader="dot" w:pos="8100"/>
          <w:tab w:val="clear" w:pos="9060"/>
        </w:tabs>
        <w:spacing w:line="360" w:lineRule="auto"/>
      </w:pPr>
      <w:r>
        <w:fldChar w:fldCharType="begin"/>
      </w:r>
      <w:r>
        <w:instrText xml:space="preserve"> HYPERLINK \l "_Toc25731" </w:instrText>
      </w:r>
      <w:r>
        <w:fldChar w:fldCharType="separate"/>
      </w:r>
      <w:r>
        <w:rPr>
          <w:rFonts w:hint="eastAsia" w:ascii="宋体" w:hAnsi="宋体" w:cs="宋体"/>
          <w:kern w:val="0"/>
          <w:szCs w:val="28"/>
        </w:rPr>
        <w:t>1. 总则</w:t>
      </w:r>
      <w:r>
        <w:tab/>
      </w:r>
      <w:r>
        <w:fldChar w:fldCharType="begin"/>
      </w:r>
      <w:r>
        <w:instrText xml:space="preserve"> PAGEREF _Toc25731 </w:instrText>
      </w:r>
      <w:r>
        <w:fldChar w:fldCharType="separate"/>
      </w:r>
      <w:r>
        <w:t>- 14 -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"_Toc22745" </w:instrText>
      </w:r>
      <w:r>
        <w:fldChar w:fldCharType="separate"/>
      </w:r>
      <w:r>
        <w:rPr>
          <w:rFonts w:hint="eastAsia" w:ascii="宋体" w:hAnsi="宋体" w:cs="宋体"/>
          <w:kern w:val="0"/>
          <w:szCs w:val="28"/>
        </w:rPr>
        <w:t>2. 竞争性磋商文件</w:t>
      </w:r>
      <w:r>
        <w:tab/>
      </w:r>
      <w:r>
        <w:fldChar w:fldCharType="begin"/>
      </w:r>
      <w:r>
        <w:instrText xml:space="preserve"> PAGEREF _Toc22745 </w:instrText>
      </w:r>
      <w:r>
        <w:fldChar w:fldCharType="separate"/>
      </w:r>
      <w:r>
        <w:t>- 17 -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"_Toc10338" </w:instrText>
      </w:r>
      <w:r>
        <w:fldChar w:fldCharType="separate"/>
      </w:r>
      <w:r>
        <w:rPr>
          <w:rFonts w:hint="eastAsia" w:ascii="宋体" w:hAnsi="宋体" w:cs="宋体"/>
          <w:kern w:val="0"/>
          <w:szCs w:val="28"/>
        </w:rPr>
        <w:t>3. 竞争性磋商响应文件</w:t>
      </w:r>
      <w:r>
        <w:tab/>
      </w:r>
      <w:r>
        <w:fldChar w:fldCharType="begin"/>
      </w:r>
      <w:r>
        <w:instrText xml:space="preserve"> PAGEREF _Toc10338 </w:instrText>
      </w:r>
      <w:r>
        <w:fldChar w:fldCharType="separate"/>
      </w:r>
      <w:r>
        <w:t>- 18 -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"_Toc16918" </w:instrText>
      </w:r>
      <w:r>
        <w:fldChar w:fldCharType="separate"/>
      </w:r>
      <w:r>
        <w:rPr>
          <w:rFonts w:hint="eastAsia" w:ascii="宋体" w:hAnsi="宋体" w:cs="宋体"/>
          <w:kern w:val="0"/>
          <w:szCs w:val="28"/>
        </w:rPr>
        <w:t>4. 投标</w:t>
      </w:r>
      <w:r>
        <w:tab/>
      </w:r>
      <w:r>
        <w:fldChar w:fldCharType="begin"/>
      </w:r>
      <w:r>
        <w:instrText xml:space="preserve"> PAGEREF _Toc16918 </w:instrText>
      </w:r>
      <w:r>
        <w:fldChar w:fldCharType="separate"/>
      </w:r>
      <w:r>
        <w:t>- 20 -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"_Toc29244" </w:instrText>
      </w:r>
      <w:r>
        <w:fldChar w:fldCharType="separate"/>
      </w:r>
      <w:r>
        <w:rPr>
          <w:rFonts w:hint="eastAsia" w:ascii="宋体" w:hAnsi="宋体" w:cs="宋体"/>
          <w:kern w:val="0"/>
          <w:szCs w:val="28"/>
        </w:rPr>
        <w:t>5. 开标</w:t>
      </w:r>
      <w:r>
        <w:tab/>
      </w:r>
      <w:r>
        <w:fldChar w:fldCharType="begin"/>
      </w:r>
      <w:r>
        <w:instrText xml:space="preserve"> PAGEREF _Toc29244 </w:instrText>
      </w:r>
      <w:r>
        <w:fldChar w:fldCharType="separate"/>
      </w:r>
      <w:r>
        <w:t>- 21 -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"_Toc26490" </w:instrText>
      </w:r>
      <w:r>
        <w:fldChar w:fldCharType="separate"/>
      </w:r>
      <w:r>
        <w:rPr>
          <w:rFonts w:hint="eastAsia" w:ascii="宋体" w:hAnsi="宋体" w:cs="宋体"/>
          <w:kern w:val="0"/>
          <w:szCs w:val="28"/>
        </w:rPr>
        <w:t>6. 评标</w:t>
      </w:r>
      <w:r>
        <w:tab/>
      </w:r>
      <w:r>
        <w:fldChar w:fldCharType="begin"/>
      </w:r>
      <w:r>
        <w:instrText xml:space="preserve"> PAGEREF _Toc26490 </w:instrText>
      </w:r>
      <w:r>
        <w:fldChar w:fldCharType="separate"/>
      </w:r>
      <w:r>
        <w:t>- 22 -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"_Toc15973" </w:instrText>
      </w:r>
      <w:r>
        <w:fldChar w:fldCharType="separate"/>
      </w:r>
      <w:r>
        <w:rPr>
          <w:rFonts w:hint="eastAsia" w:ascii="宋体" w:hAnsi="宋体" w:cs="宋体"/>
          <w:kern w:val="0"/>
          <w:szCs w:val="28"/>
        </w:rPr>
        <w:t>7. 合同授予</w:t>
      </w:r>
      <w:r>
        <w:tab/>
      </w:r>
      <w:r>
        <w:fldChar w:fldCharType="begin"/>
      </w:r>
      <w:r>
        <w:instrText xml:space="preserve"> PAGEREF _Toc15973 </w:instrText>
      </w:r>
      <w:r>
        <w:fldChar w:fldCharType="separate"/>
      </w:r>
      <w:r>
        <w:t>- 23 -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"_Toc32419" </w:instrText>
      </w:r>
      <w:r>
        <w:fldChar w:fldCharType="separate"/>
      </w:r>
      <w:r>
        <w:rPr>
          <w:rFonts w:hint="eastAsia" w:ascii="宋体" w:hAnsi="宋体" w:cs="宋体"/>
          <w:kern w:val="0"/>
          <w:szCs w:val="28"/>
        </w:rPr>
        <w:t>8. 重新招标和不再招标</w:t>
      </w:r>
      <w:r>
        <w:tab/>
      </w:r>
      <w:r>
        <w:fldChar w:fldCharType="begin"/>
      </w:r>
      <w:r>
        <w:instrText xml:space="preserve"> PAGEREF _Toc32419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"_Toc29723" </w:instrText>
      </w:r>
      <w:r>
        <w:fldChar w:fldCharType="separate"/>
      </w:r>
      <w:r>
        <w:rPr>
          <w:rFonts w:hint="eastAsia" w:ascii="宋体" w:hAnsi="宋体" w:cs="宋体"/>
          <w:kern w:val="0"/>
          <w:szCs w:val="28"/>
        </w:rPr>
        <w:t>9. 纪律和监督</w:t>
      </w:r>
      <w:r>
        <w:tab/>
      </w:r>
      <w:r>
        <w:fldChar w:fldCharType="begin"/>
      </w:r>
      <w:r>
        <w:instrText xml:space="preserve"> PAGEREF _Toc29723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"_Toc8591" </w:instrText>
      </w:r>
      <w:r>
        <w:fldChar w:fldCharType="separate"/>
      </w:r>
      <w:r>
        <w:rPr>
          <w:rFonts w:hint="eastAsia" w:ascii="宋体" w:hAnsi="宋体" w:cs="宋体"/>
          <w:kern w:val="0"/>
          <w:szCs w:val="28"/>
        </w:rPr>
        <w:t>10. 需要补充的其他内容</w:t>
      </w:r>
      <w:r>
        <w:tab/>
      </w:r>
      <w:r>
        <w:fldChar w:fldCharType="begin"/>
      </w:r>
      <w:r>
        <w:instrText xml:space="preserve"> PAGEREF _Toc8591 </w:instrText>
      </w:r>
      <w:r>
        <w:fldChar w:fldCharType="separate"/>
      </w:r>
      <w:r>
        <w:t>- 25 -</w:t>
      </w:r>
      <w:r>
        <w:fldChar w:fldCharType="end"/>
      </w:r>
      <w:r>
        <w:fldChar w:fldCharType="end"/>
      </w:r>
    </w:p>
    <w:p>
      <w:pPr>
        <w:pStyle w:val="28"/>
        <w:tabs>
          <w:tab w:val="right" w:leader="dot" w:pos="8100"/>
        </w:tabs>
        <w:spacing w:line="360" w:lineRule="auto"/>
        <w:rPr>
          <w:rFonts w:ascii="宋体" w:hAnsi="宋体" w:cs="宋体"/>
          <w:color w:val="000000"/>
        </w:rPr>
      </w:pPr>
      <w:r>
        <w:fldChar w:fldCharType="begin"/>
      </w:r>
      <w:r>
        <w:instrText xml:space="preserve"> HYPERLINK \l "_Toc20478" </w:instrText>
      </w:r>
      <w:r>
        <w:fldChar w:fldCharType="separate"/>
      </w:r>
      <w:r>
        <w:rPr>
          <w:rFonts w:hint="eastAsia" w:ascii="宋体" w:hAnsi="宋体" w:cs="宋体"/>
        </w:rPr>
        <w:t>第三部分 评标办法</w:t>
      </w:r>
      <w:r>
        <w:tab/>
      </w:r>
      <w:r>
        <w:fldChar w:fldCharType="begin"/>
      </w:r>
      <w:r>
        <w:instrText xml:space="preserve"> PAGEREF _Toc20478 </w:instrText>
      </w:r>
      <w:r>
        <w:fldChar w:fldCharType="separate"/>
      </w:r>
      <w:r>
        <w:t>- 26 -</w:t>
      </w:r>
      <w:r>
        <w:fldChar w:fldCharType="end"/>
      </w:r>
      <w:r>
        <w:fldChar w:fldCharType="end"/>
      </w:r>
    </w:p>
    <w:p>
      <w:pPr>
        <w:pStyle w:val="28"/>
        <w:tabs>
          <w:tab w:val="right" w:leader="dot" w:pos="8100"/>
        </w:tabs>
        <w:spacing w:line="360" w:lineRule="auto"/>
      </w:pPr>
      <w:r>
        <w:fldChar w:fldCharType="begin"/>
      </w:r>
      <w:r>
        <w:instrText xml:space="preserve"> HYPERLINK \l "_Toc18551" </w:instrText>
      </w:r>
      <w:r>
        <w:fldChar w:fldCharType="separate"/>
      </w:r>
      <w:r>
        <w:rPr>
          <w:rFonts w:hint="eastAsia" w:ascii="宋体" w:hAnsi="宋体" w:cs="宋体"/>
        </w:rPr>
        <w:t>第四部分 合同条款及格式</w:t>
      </w:r>
      <w:r>
        <w:tab/>
      </w:r>
      <w:r>
        <w:fldChar w:fldCharType="begin"/>
      </w:r>
      <w:r>
        <w:instrText xml:space="preserve"> PAGEREF _Toc18551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"_Toc28922" </w:instrText>
      </w:r>
      <w:r>
        <w:fldChar w:fldCharType="separate"/>
      </w:r>
      <w:r>
        <w:rPr>
          <w:rFonts w:hint="eastAsia" w:ascii="宋体" w:hAnsi="宋体" w:cs="宋体"/>
          <w:kern w:val="0"/>
          <w:szCs w:val="28"/>
        </w:rPr>
        <w:t>第一节 通用合同条款</w:t>
      </w:r>
      <w:r>
        <w:tab/>
      </w:r>
      <w:r>
        <w:fldChar w:fldCharType="begin"/>
      </w:r>
      <w:r>
        <w:instrText xml:space="preserve"> PAGEREF _Toc28922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"_Toc27755" </w:instrText>
      </w:r>
      <w:r>
        <w:fldChar w:fldCharType="separate"/>
      </w:r>
      <w:r>
        <w:rPr>
          <w:rFonts w:hint="eastAsia" w:ascii="宋体" w:hAnsi="宋体" w:cs="宋体"/>
          <w:kern w:val="0"/>
          <w:szCs w:val="28"/>
        </w:rPr>
        <w:t>第二节 专用合同条款</w:t>
      </w:r>
      <w:r>
        <w:tab/>
      </w:r>
      <w:r>
        <w:fldChar w:fldCharType="begin"/>
      </w:r>
      <w:r>
        <w:instrText xml:space="preserve"> PAGEREF _Toc27755 </w:instrText>
      </w:r>
      <w:r>
        <w:fldChar w:fldCharType="separate"/>
      </w:r>
      <w:r>
        <w:t>- 100 -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"_Toc22145" </w:instrText>
      </w:r>
      <w:r>
        <w:fldChar w:fldCharType="separate"/>
      </w:r>
      <w:r>
        <w:rPr>
          <w:rFonts w:hint="eastAsia" w:ascii="宋体" w:hAnsi="宋体" w:cs="宋体"/>
          <w:kern w:val="0"/>
          <w:szCs w:val="28"/>
        </w:rPr>
        <w:t>第三节 合同附件格式</w:t>
      </w:r>
      <w:r>
        <w:tab/>
      </w:r>
      <w:r>
        <w:fldChar w:fldCharType="begin"/>
      </w:r>
      <w:r>
        <w:instrText xml:space="preserve"> PAGEREF _Toc22145 </w:instrText>
      </w:r>
      <w:r>
        <w:fldChar w:fldCharType="separate"/>
      </w:r>
      <w:r>
        <w:t>- 116 -</w:t>
      </w:r>
      <w:r>
        <w:fldChar w:fldCharType="end"/>
      </w:r>
      <w:r>
        <w:fldChar w:fldCharType="end"/>
      </w:r>
    </w:p>
    <w:p>
      <w:pPr>
        <w:pStyle w:val="28"/>
        <w:tabs>
          <w:tab w:val="right" w:leader="dot" w:pos="8100"/>
        </w:tabs>
        <w:spacing w:line="360" w:lineRule="auto"/>
      </w:pPr>
      <w:r>
        <w:fldChar w:fldCharType="begin"/>
      </w:r>
      <w:r>
        <w:instrText xml:space="preserve"> HYPERLINK \l "_Toc18436" </w:instrText>
      </w:r>
      <w:r>
        <w:fldChar w:fldCharType="separate"/>
      </w:r>
      <w:r>
        <w:rPr>
          <w:rFonts w:hint="eastAsia" w:ascii="宋体" w:hAnsi="宋体"/>
        </w:rPr>
        <w:t>第五部分工程量清单</w:t>
      </w:r>
      <w:r>
        <w:tab/>
      </w:r>
      <w:r>
        <w:rPr>
          <w:rFonts w:hint="eastAsia"/>
        </w:rPr>
        <w:t>1</w:t>
      </w:r>
      <w:r>
        <w:rPr>
          <w:rFonts w:hint="eastAsia"/>
        </w:rPr>
        <w:fldChar w:fldCharType="end"/>
      </w:r>
      <w:r>
        <w:rPr>
          <w:rFonts w:hint="eastAsia" w:ascii="宋体" w:hAnsi="宋体" w:cs="宋体"/>
          <w:color w:val="000000"/>
        </w:rPr>
        <w:t>18</w:t>
      </w:r>
    </w:p>
    <w:p>
      <w:pPr>
        <w:pStyle w:val="28"/>
        <w:tabs>
          <w:tab w:val="right" w:leader="dot" w:pos="8100"/>
        </w:tabs>
        <w:spacing w:line="360" w:lineRule="auto"/>
      </w:pPr>
      <w:r>
        <w:fldChar w:fldCharType="begin"/>
      </w:r>
      <w:r>
        <w:instrText xml:space="preserve"> HYPERLINK \l "_Toc13104" </w:instrText>
      </w:r>
      <w:r>
        <w:fldChar w:fldCharType="separate"/>
      </w:r>
      <w:r>
        <w:rPr>
          <w:rFonts w:hint="eastAsia" w:ascii="宋体" w:hAnsi="宋体" w:cs="宋体"/>
          <w:szCs w:val="32"/>
        </w:rPr>
        <w:t xml:space="preserve">第六部分 </w:t>
      </w:r>
      <w:r>
        <w:rPr>
          <w:rFonts w:hint="eastAsia" w:ascii="宋体" w:hAnsi="宋体"/>
          <w:szCs w:val="32"/>
        </w:rPr>
        <w:t>技术标准和要求</w:t>
      </w:r>
      <w:r>
        <w:tab/>
      </w:r>
      <w:r>
        <w:fldChar w:fldCharType="begin"/>
      </w:r>
      <w:r>
        <w:instrText xml:space="preserve"> PAGEREF _Toc13104 </w:instrText>
      </w:r>
      <w:r>
        <w:fldChar w:fldCharType="separate"/>
      </w:r>
      <w:r>
        <w:t>- 119 -</w:t>
      </w:r>
      <w:r>
        <w:fldChar w:fldCharType="end"/>
      </w:r>
      <w:r>
        <w:fldChar w:fldCharType="end"/>
      </w:r>
    </w:p>
    <w:p>
      <w:pPr>
        <w:pStyle w:val="28"/>
        <w:tabs>
          <w:tab w:val="right" w:leader="dot" w:pos="8100"/>
        </w:tabs>
        <w:spacing w:line="360" w:lineRule="auto"/>
      </w:pPr>
      <w:r>
        <w:fldChar w:fldCharType="begin"/>
      </w:r>
      <w:r>
        <w:instrText xml:space="preserve"> HYPERLINK \l "_Toc20029" </w:instrText>
      </w:r>
      <w:r>
        <w:fldChar w:fldCharType="separate"/>
      </w:r>
      <w:r>
        <w:rPr>
          <w:rFonts w:hint="eastAsia" w:ascii="宋体" w:hAnsi="宋体"/>
          <w:szCs w:val="32"/>
        </w:rPr>
        <w:t>第七部分</w:t>
      </w:r>
      <w:r>
        <w:rPr>
          <w:rFonts w:hint="eastAsia" w:ascii="宋体" w:hAnsi="宋体" w:cs="宋体"/>
          <w:szCs w:val="32"/>
        </w:rPr>
        <w:t>竞争性磋商响应文件格式</w:t>
      </w:r>
      <w:r>
        <w:tab/>
      </w:r>
      <w:r>
        <w:fldChar w:fldCharType="begin"/>
      </w:r>
      <w:r>
        <w:instrText xml:space="preserve"> PAGEREF _Toc20029 </w:instrText>
      </w:r>
      <w:r>
        <w:fldChar w:fldCharType="separate"/>
      </w:r>
      <w:r>
        <w:t>- 120 -</w:t>
      </w:r>
      <w:r>
        <w:fldChar w:fldCharType="end"/>
      </w:r>
      <w:r>
        <w:fldChar w:fldCharType="end"/>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1</w:t>
      </w:r>
      <w:r>
        <w:rPr>
          <w:rFonts w:hint="eastAsia" w:ascii="宋体" w:hAnsi="宋体" w:cs="宋体"/>
          <w:color w:val="000000"/>
          <w:lang w:val="zh-CN"/>
        </w:rPr>
        <w:t>）</w:t>
      </w:r>
      <w:r>
        <w:rPr>
          <w:rFonts w:hint="eastAsia" w:ascii="宋体" w:hAnsi="宋体" w:cs="宋体"/>
          <w:color w:val="000000"/>
        </w:rPr>
        <w:t>响应文件格式</w:t>
      </w:r>
      <w:r>
        <w:rPr>
          <w:rFonts w:hint="eastAsia" w:ascii="宋体" w:hAnsi="宋体" w:cs="宋体"/>
          <w:color w:val="000000"/>
          <w:lang w:val="zh-CN"/>
        </w:rPr>
        <w:t>……………………………………………………………</w:t>
      </w:r>
      <w:r>
        <w:rPr>
          <w:rFonts w:hint="eastAsia" w:ascii="宋体" w:hAnsi="宋体" w:cs="宋体"/>
          <w:color w:val="000000"/>
        </w:rPr>
        <w:t>121</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（2）</w:t>
      </w:r>
      <w:r>
        <w:rPr>
          <w:rFonts w:hint="eastAsia" w:ascii="宋体" w:hAnsi="宋体" w:cs="宋体"/>
          <w:color w:val="000000"/>
        </w:rPr>
        <w:t>目录</w:t>
      </w:r>
      <w:r>
        <w:rPr>
          <w:rFonts w:hint="eastAsia" w:ascii="宋体" w:hAnsi="宋体" w:cs="宋体"/>
          <w:color w:val="000000"/>
          <w:lang w:val="zh-CN"/>
        </w:rPr>
        <w:t>………………………………………………………………………</w:t>
      </w:r>
      <w:r>
        <w:rPr>
          <w:rFonts w:hint="eastAsia" w:ascii="宋体" w:hAnsi="宋体" w:cs="宋体"/>
          <w:color w:val="000000"/>
        </w:rPr>
        <w:t>122</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3</w:t>
      </w:r>
      <w:r>
        <w:rPr>
          <w:rFonts w:hint="eastAsia" w:ascii="宋体" w:hAnsi="宋体" w:cs="宋体"/>
          <w:color w:val="000000"/>
          <w:lang w:val="zh-CN"/>
        </w:rPr>
        <w:t>）磋商函……………………………………………………………………</w:t>
      </w:r>
      <w:r>
        <w:rPr>
          <w:rFonts w:hint="eastAsia" w:ascii="宋体" w:hAnsi="宋体" w:cs="宋体"/>
          <w:color w:val="000000"/>
        </w:rPr>
        <w:t>123</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4</w:t>
      </w:r>
      <w:r>
        <w:rPr>
          <w:rFonts w:hint="eastAsia" w:ascii="宋体" w:hAnsi="宋体" w:cs="宋体"/>
          <w:color w:val="000000"/>
          <w:lang w:val="zh-CN"/>
        </w:rPr>
        <w:t>）报价一览…………………………………………………………………</w:t>
      </w:r>
      <w:r>
        <w:rPr>
          <w:rFonts w:hint="eastAsia" w:ascii="宋体" w:hAnsi="宋体" w:cs="宋体"/>
          <w:color w:val="000000"/>
        </w:rPr>
        <w:t>124</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5</w:t>
      </w:r>
      <w:r>
        <w:rPr>
          <w:rFonts w:hint="eastAsia" w:ascii="宋体" w:hAnsi="宋体" w:cs="宋体"/>
          <w:color w:val="000000"/>
          <w:lang w:val="zh-CN"/>
        </w:rPr>
        <w:t>）法定代表人证明书………………………………………………………</w:t>
      </w:r>
      <w:r>
        <w:rPr>
          <w:rFonts w:hint="eastAsia" w:ascii="宋体" w:hAnsi="宋体" w:cs="宋体"/>
          <w:color w:val="000000"/>
        </w:rPr>
        <w:t>125</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6</w:t>
      </w:r>
      <w:r>
        <w:rPr>
          <w:rFonts w:hint="eastAsia" w:ascii="宋体" w:hAnsi="宋体" w:cs="宋体"/>
          <w:color w:val="000000"/>
          <w:lang w:val="zh-CN"/>
        </w:rPr>
        <w:t>）</w:t>
      </w:r>
      <w:r>
        <w:rPr>
          <w:rFonts w:hint="eastAsia" w:ascii="宋体" w:hAnsi="宋体" w:cs="宋体"/>
          <w:color w:val="000000"/>
        </w:rPr>
        <w:t>授权委托</w:t>
      </w:r>
      <w:r>
        <w:rPr>
          <w:rFonts w:hint="eastAsia" w:ascii="宋体" w:hAnsi="宋体" w:cs="宋体"/>
          <w:color w:val="000000"/>
          <w:lang w:val="zh-CN"/>
        </w:rPr>
        <w:t>书………………………………………………………………</w:t>
      </w:r>
      <w:r>
        <w:rPr>
          <w:rFonts w:hint="eastAsia" w:ascii="宋体" w:hAnsi="宋体" w:cs="宋体"/>
          <w:color w:val="000000"/>
        </w:rPr>
        <w:t>126</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7</w:t>
      </w:r>
      <w:r>
        <w:rPr>
          <w:rFonts w:hint="eastAsia" w:ascii="宋体" w:hAnsi="宋体" w:cs="宋体"/>
          <w:color w:val="000000"/>
          <w:lang w:val="zh-CN"/>
        </w:rPr>
        <w:t>）磋商保证金证明………………………………………………………</w:t>
      </w:r>
      <w:r>
        <w:rPr>
          <w:rFonts w:hint="eastAsia" w:ascii="宋体" w:hAnsi="宋体" w:cs="宋体"/>
          <w:color w:val="000000"/>
        </w:rPr>
        <w:t>127</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8</w:t>
      </w:r>
      <w:r>
        <w:rPr>
          <w:rFonts w:hint="eastAsia" w:ascii="宋体" w:hAnsi="宋体" w:cs="宋体"/>
          <w:color w:val="000000"/>
          <w:lang w:val="zh-CN"/>
        </w:rPr>
        <w:t>）</w:t>
      </w:r>
      <w:r>
        <w:rPr>
          <w:rFonts w:hint="eastAsia" w:ascii="宋体" w:hAnsi="宋体" w:cs="宋体"/>
          <w:color w:val="000000"/>
        </w:rPr>
        <w:t>已标价工程量清单部分格式</w:t>
      </w:r>
      <w:r>
        <w:rPr>
          <w:rFonts w:hint="eastAsia" w:ascii="宋体" w:hAnsi="宋体" w:cs="宋体"/>
          <w:color w:val="000000"/>
          <w:lang w:val="zh-CN"/>
        </w:rPr>
        <w:t>…………………………………………</w:t>
      </w:r>
      <w:r>
        <w:rPr>
          <w:rFonts w:hint="eastAsia" w:ascii="宋体" w:hAnsi="宋体" w:cs="宋体"/>
          <w:color w:val="000000"/>
        </w:rPr>
        <w:t>128</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9</w:t>
      </w:r>
      <w:r>
        <w:rPr>
          <w:rFonts w:hint="eastAsia" w:ascii="宋体" w:hAnsi="宋体" w:cs="宋体"/>
          <w:color w:val="000000"/>
          <w:lang w:val="zh-CN"/>
        </w:rPr>
        <w:t>）</w:t>
      </w:r>
      <w:r>
        <w:rPr>
          <w:rFonts w:hint="eastAsia" w:ascii="宋体" w:hAnsi="宋体" w:cs="宋体"/>
          <w:color w:val="000000"/>
        </w:rPr>
        <w:t>施工组织设计</w:t>
      </w:r>
      <w:r>
        <w:rPr>
          <w:rFonts w:hint="eastAsia" w:ascii="宋体" w:hAnsi="宋体" w:cs="宋体"/>
          <w:color w:val="000000"/>
          <w:lang w:val="zh-CN"/>
        </w:rPr>
        <w:t>…………………………………………………………</w:t>
      </w:r>
      <w:r>
        <w:rPr>
          <w:rFonts w:hint="eastAsia" w:ascii="宋体" w:hAnsi="宋体" w:cs="宋体"/>
          <w:color w:val="000000"/>
        </w:rPr>
        <w:t>148</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10</w:t>
      </w:r>
      <w:r>
        <w:rPr>
          <w:rFonts w:hint="eastAsia" w:ascii="宋体" w:hAnsi="Cambria" w:cs="宋体"/>
          <w:szCs w:val="24"/>
          <w:lang w:val="zh-CN"/>
        </w:rPr>
        <w:t>）</w:t>
      </w:r>
      <w:r>
        <w:rPr>
          <w:rFonts w:hint="eastAsia" w:ascii="宋体" w:hAnsi="Cambria" w:cs="宋体"/>
          <w:szCs w:val="24"/>
        </w:rPr>
        <w:t>项目管理机构</w:t>
      </w:r>
      <w:r>
        <w:rPr>
          <w:rFonts w:hint="eastAsia" w:ascii="宋体" w:hAnsi="宋体" w:cs="宋体"/>
          <w:color w:val="000000"/>
          <w:lang w:val="zh-CN"/>
        </w:rPr>
        <w:t xml:space="preserve">……………………………………………………… </w:t>
      </w:r>
      <w:r>
        <w:rPr>
          <w:rFonts w:hint="eastAsia" w:ascii="宋体" w:hAnsi="Cambria" w:cs="宋体"/>
          <w:szCs w:val="24"/>
          <w:lang w:val="zh-CN"/>
        </w:rPr>
        <w:t>152</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11</w:t>
      </w:r>
      <w:r>
        <w:rPr>
          <w:rFonts w:hint="eastAsia" w:ascii="宋体" w:hAnsi="Cambria" w:cs="宋体"/>
          <w:szCs w:val="24"/>
          <w:lang w:val="zh-CN"/>
        </w:rPr>
        <w:t>）</w:t>
      </w:r>
      <w:r>
        <w:rPr>
          <w:rFonts w:hint="eastAsia" w:ascii="宋体" w:hAnsi="Cambria" w:cs="宋体"/>
          <w:szCs w:val="24"/>
        </w:rPr>
        <w:t>拟分包项目情况表</w:t>
      </w:r>
      <w:r>
        <w:rPr>
          <w:rFonts w:hint="eastAsia" w:ascii="宋体" w:hAnsi="宋体" w:cs="宋体"/>
          <w:color w:val="000000"/>
          <w:lang w:val="zh-CN"/>
        </w:rPr>
        <w:t xml:space="preserve">………………………………………………… </w:t>
      </w:r>
      <w:r>
        <w:rPr>
          <w:rFonts w:hint="eastAsia" w:ascii="宋体" w:hAnsi="Cambria" w:cs="宋体"/>
          <w:szCs w:val="24"/>
        </w:rPr>
        <w:t>153</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 xml:space="preserve">）资格审查资料……………………………………………………… </w:t>
      </w:r>
      <w:r>
        <w:rPr>
          <w:rFonts w:hint="eastAsia" w:ascii="宋体" w:hAnsi="Cambria" w:eastAsia="宋体" w:cs="宋体"/>
          <w:b w:val="0"/>
          <w:bCs w:val="0"/>
          <w:sz w:val="24"/>
          <w:szCs w:val="24"/>
        </w:rPr>
        <w:t>154</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rPr>
        <w:t>（13）</w:t>
      </w:r>
      <w:r>
        <w:rPr>
          <w:rFonts w:hint="eastAsia" w:ascii="宋体" w:hAnsi="Cambria" w:eastAsia="宋体" w:cs="宋体"/>
          <w:b w:val="0"/>
          <w:bCs w:val="0"/>
          <w:sz w:val="24"/>
          <w:szCs w:val="24"/>
          <w:lang w:val="zh-CN"/>
        </w:rPr>
        <w:t>其他材料</w:t>
      </w:r>
      <w:r>
        <w:rPr>
          <w:rFonts w:hint="eastAsia" w:ascii="宋体" w:hAnsi="Cambria" w:eastAsia="宋体" w:cs="宋体"/>
          <w:b w:val="0"/>
          <w:bCs w:val="0"/>
          <w:sz w:val="24"/>
          <w:szCs w:val="24"/>
        </w:rPr>
        <w:t>…………………………………………………………… 157</w:t>
      </w:r>
    </w:p>
    <w:p>
      <w:pPr>
        <w:pStyle w:val="3"/>
        <w:spacing w:before="0" w:after="0" w:line="360" w:lineRule="auto"/>
        <w:jc w:val="left"/>
        <w:rPr>
          <w:rFonts w:ascii="宋体" w:hAnsi="Cambria" w:eastAsia="宋体" w:cs="宋体"/>
          <w:b w:val="0"/>
          <w:bCs w:val="0"/>
          <w:sz w:val="24"/>
          <w:szCs w:val="24"/>
        </w:rPr>
      </w:pPr>
    </w:p>
    <w:p>
      <w:pPr>
        <w:spacing w:line="360" w:lineRule="auto"/>
        <w:rPr>
          <w:rFonts w:ascii="宋体" w:hAnsi="宋体" w:cs="宋体"/>
          <w:color w:val="000000"/>
        </w:rPr>
      </w:pPr>
      <w:r>
        <w:rPr>
          <w:rFonts w:hint="eastAsia" w:ascii="宋体" w:hAnsi="宋体" w:cs="宋体"/>
          <w:color w:val="000000"/>
        </w:rPr>
        <w:fldChar w:fldCharType="end"/>
      </w:r>
      <w:bookmarkStart w:id="0" w:name="_Toc14314"/>
      <w:bookmarkStart w:id="1" w:name="_Toc260305330"/>
      <w:r>
        <w:rPr>
          <w:rFonts w:hint="eastAsia" w:ascii="宋体" w:hAnsi="宋体" w:cs="宋体"/>
          <w:b/>
          <w:bCs/>
          <w:color w:val="000000"/>
          <w:sz w:val="36"/>
          <w:szCs w:val="48"/>
        </w:rPr>
        <w:br w:type="page"/>
      </w:r>
    </w:p>
    <w:p>
      <w:pPr>
        <w:keepNext/>
        <w:keepLines/>
        <w:snapToGrid w:val="0"/>
        <w:spacing w:beforeLines="50" w:line="360" w:lineRule="auto"/>
        <w:jc w:val="center"/>
        <w:rPr>
          <w:rFonts w:ascii="宋体" w:hAnsi="宋体" w:cs="宋体"/>
          <w:color w:val="000000"/>
          <w:sz w:val="36"/>
          <w:szCs w:val="36"/>
        </w:rPr>
      </w:pPr>
      <w:r>
        <w:rPr>
          <w:rFonts w:hint="eastAsia" w:ascii="宋体" w:hAnsi="宋体" w:cs="宋体"/>
          <w:b/>
          <w:bCs/>
          <w:color w:val="000000"/>
          <w:sz w:val="36"/>
          <w:szCs w:val="48"/>
        </w:rPr>
        <w:t>第一部分　</w:t>
      </w:r>
      <w:bookmarkStart w:id="2" w:name="_Toc6679"/>
      <w:r>
        <w:rPr>
          <w:rFonts w:hint="eastAsia" w:ascii="宋体" w:hAnsi="宋体" w:cs="宋体"/>
          <w:b/>
          <w:bCs/>
          <w:color w:val="000000"/>
          <w:sz w:val="36"/>
          <w:szCs w:val="36"/>
        </w:rPr>
        <w:t>竞争性磋商公告</w:t>
      </w:r>
      <w:bookmarkEnd w:id="0"/>
      <w:bookmarkEnd w:id="1"/>
      <w:bookmarkEnd w:id="2"/>
    </w:p>
    <w:p>
      <w:pPr>
        <w:spacing w:line="360" w:lineRule="auto"/>
        <w:ind w:firstLine="480" w:firstLineChars="200"/>
        <w:rPr>
          <w:rFonts w:ascii="宋体" w:hAnsi="宋体"/>
          <w:sz w:val="24"/>
        </w:rPr>
      </w:pPr>
      <w:r>
        <w:rPr>
          <w:rFonts w:hint="eastAsia" w:ascii="宋体" w:hAnsi="宋体"/>
          <w:sz w:val="24"/>
        </w:rPr>
        <w:t>青海恒诚工程项目管理有限公司受西宁市城中区人民政府仓门街街道办事处</w:t>
      </w:r>
      <w:r>
        <w:rPr>
          <w:rFonts w:hint="eastAsia" w:ascii="宋体" w:hAnsi="宋体"/>
          <w:color w:val="000000" w:themeColor="text1"/>
          <w:sz w:val="24"/>
        </w:rPr>
        <w:t>委托</w:t>
      </w:r>
      <w:r>
        <w:rPr>
          <w:rFonts w:hint="eastAsia" w:ascii="宋体" w:hAnsi="宋体"/>
          <w:sz w:val="24"/>
        </w:rPr>
        <w:t>，拟对</w:t>
      </w:r>
      <w:r>
        <w:rPr>
          <w:rFonts w:hint="eastAsia" w:ascii="宋体" w:hAnsi="宋体"/>
          <w:sz w:val="24"/>
          <w:lang w:eastAsia="zh-CN"/>
        </w:rPr>
        <w:t>宏觉寺街街景整治项目</w:t>
      </w:r>
      <w:r>
        <w:rPr>
          <w:rFonts w:hint="eastAsia" w:ascii="宋体" w:hAnsi="宋体"/>
          <w:sz w:val="24"/>
        </w:rPr>
        <w:t>进行国内竞争性磋商.现予以公告，欢迎符合条件的供应商前来参加。</w:t>
      </w:r>
    </w:p>
    <w:tbl>
      <w:tblPr>
        <w:tblStyle w:val="39"/>
        <w:tblW w:w="956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2"/>
        <w:gridCol w:w="6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采购项目名称</w:t>
            </w:r>
          </w:p>
        </w:tc>
        <w:tc>
          <w:tcPr>
            <w:tcW w:w="6651" w:type="dxa"/>
            <w:vAlign w:val="center"/>
          </w:tcPr>
          <w:p>
            <w:pPr>
              <w:spacing w:line="360" w:lineRule="auto"/>
              <w:rPr>
                <w:rFonts w:hint="eastAsia" w:ascii="宋体" w:hAnsi="宋体" w:eastAsia="宋体" w:cs="宋体"/>
                <w:sz w:val="24"/>
                <w:lang w:eastAsia="zh-CN"/>
              </w:rPr>
            </w:pPr>
            <w:bookmarkStart w:id="1361" w:name="_GoBack"/>
            <w:bookmarkEnd w:id="1361"/>
            <w:r>
              <w:rPr>
                <w:rFonts w:hint="eastAsia" w:ascii="宋体" w:hAnsi="宋体" w:cs="宋体"/>
                <w:sz w:val="24"/>
                <w:lang w:eastAsia="zh-CN"/>
              </w:rPr>
              <w:t>宏觉寺街街景整治项目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采购项目编号</w:t>
            </w:r>
          </w:p>
        </w:tc>
        <w:tc>
          <w:tcPr>
            <w:tcW w:w="6651" w:type="dxa"/>
            <w:vAlign w:val="center"/>
          </w:tcPr>
          <w:p>
            <w:pPr>
              <w:spacing w:line="360" w:lineRule="auto"/>
              <w:rPr>
                <w:rFonts w:ascii="宋体" w:hAnsi="宋体" w:cs="宋体"/>
                <w:sz w:val="24"/>
              </w:rPr>
            </w:pPr>
            <w:r>
              <w:rPr>
                <w:rFonts w:hint="eastAsia" w:ascii="宋体" w:hAnsi="宋体" w:cs="宋体"/>
                <w:sz w:val="24"/>
              </w:rPr>
              <w:t>青海恒诚竞磋（工程）2021-009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912" w:type="dxa"/>
            <w:vAlign w:val="center"/>
          </w:tcPr>
          <w:p>
            <w:pPr>
              <w:spacing w:line="360" w:lineRule="auto"/>
              <w:rPr>
                <w:rFonts w:ascii="宋体" w:hAnsi="宋体" w:cs="宋体"/>
                <w:sz w:val="24"/>
              </w:rPr>
            </w:pPr>
            <w:r>
              <w:rPr>
                <w:rFonts w:hint="eastAsia" w:ascii="宋体" w:hAnsi="宋体" w:cs="宋体"/>
                <w:sz w:val="24"/>
              </w:rPr>
              <w:t>采购方式</w:t>
            </w:r>
          </w:p>
        </w:tc>
        <w:tc>
          <w:tcPr>
            <w:tcW w:w="6651" w:type="dxa"/>
            <w:vAlign w:val="center"/>
          </w:tcPr>
          <w:p>
            <w:pPr>
              <w:spacing w:line="360" w:lineRule="auto"/>
              <w:rPr>
                <w:rFonts w:ascii="宋体" w:hAnsi="宋体" w:cs="宋体"/>
                <w:sz w:val="24"/>
              </w:rPr>
            </w:pPr>
            <w:r>
              <w:rPr>
                <w:rFonts w:hint="eastAsia" w:ascii="宋体" w:hAnsi="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912" w:type="dxa"/>
            <w:vAlign w:val="center"/>
          </w:tcPr>
          <w:p>
            <w:pPr>
              <w:spacing w:line="360" w:lineRule="auto"/>
              <w:rPr>
                <w:rFonts w:ascii="宋体" w:hAnsi="宋体" w:cs="宋体"/>
                <w:sz w:val="24"/>
              </w:rPr>
            </w:pPr>
            <w:r>
              <w:rPr>
                <w:rFonts w:hint="eastAsia" w:ascii="宋体" w:hAnsi="宋体" w:cs="宋体"/>
                <w:sz w:val="24"/>
              </w:rPr>
              <w:t>采购预算控制额度</w:t>
            </w:r>
          </w:p>
        </w:tc>
        <w:tc>
          <w:tcPr>
            <w:tcW w:w="6651" w:type="dxa"/>
            <w:vAlign w:val="center"/>
          </w:tcPr>
          <w:p>
            <w:pPr>
              <w:spacing w:line="360" w:lineRule="auto"/>
              <w:rPr>
                <w:rFonts w:ascii="宋体" w:hAnsi="宋体" w:cs="宋体"/>
                <w:sz w:val="24"/>
              </w:rPr>
            </w:pPr>
            <w:r>
              <w:rPr>
                <w:rFonts w:hint="eastAsia" w:ascii="宋体" w:hAnsi="宋体" w:cs="宋体"/>
                <w:sz w:val="24"/>
              </w:rPr>
              <w:t>人民币1898740.57元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6" w:hRule="atLeast"/>
        </w:trPr>
        <w:tc>
          <w:tcPr>
            <w:tcW w:w="2912" w:type="dxa"/>
            <w:vAlign w:val="center"/>
          </w:tcPr>
          <w:p>
            <w:pPr>
              <w:spacing w:line="360" w:lineRule="auto"/>
              <w:rPr>
                <w:rFonts w:ascii="宋体" w:hAnsi="宋体" w:cs="宋体"/>
                <w:sz w:val="24"/>
              </w:rPr>
            </w:pPr>
            <w:r>
              <w:rPr>
                <w:rFonts w:hint="eastAsia" w:ascii="宋体" w:hAnsi="宋体" w:cs="宋体"/>
                <w:sz w:val="24"/>
              </w:rPr>
              <w:t>项目分包</w:t>
            </w:r>
          </w:p>
        </w:tc>
        <w:tc>
          <w:tcPr>
            <w:tcW w:w="6651" w:type="dxa"/>
            <w:vAlign w:val="center"/>
          </w:tcPr>
          <w:p>
            <w:pPr>
              <w:spacing w:line="360" w:lineRule="auto"/>
              <w:rPr>
                <w:rFonts w:ascii="宋体" w:hAnsi="宋体" w:cs="宋体"/>
                <w:sz w:val="24"/>
              </w:rPr>
            </w:pPr>
            <w:r>
              <w:rPr>
                <w:rFonts w:hint="eastAsia" w:ascii="宋体" w:hAnsi="宋体" w:cs="宋体"/>
                <w:sz w:val="24"/>
              </w:rPr>
              <w:t>无分包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912" w:type="dxa"/>
            <w:vAlign w:val="center"/>
          </w:tcPr>
          <w:p>
            <w:pPr>
              <w:spacing w:line="360" w:lineRule="auto"/>
              <w:rPr>
                <w:rFonts w:ascii="宋体" w:hAnsi="宋体" w:cs="宋体"/>
                <w:sz w:val="24"/>
              </w:rPr>
            </w:pPr>
            <w:r>
              <w:rPr>
                <w:rFonts w:hint="eastAsia" w:ascii="宋体" w:hAnsi="宋体" w:cs="宋体"/>
                <w:sz w:val="24"/>
              </w:rPr>
              <w:t>各包要求</w:t>
            </w:r>
          </w:p>
        </w:tc>
        <w:tc>
          <w:tcPr>
            <w:tcW w:w="6651" w:type="dxa"/>
            <w:vAlign w:val="center"/>
          </w:tcPr>
          <w:p>
            <w:pPr>
              <w:spacing w:line="360" w:lineRule="auto"/>
              <w:rPr>
                <w:rFonts w:ascii="宋体" w:hAnsi="宋体" w:cs="宋体"/>
                <w:sz w:val="24"/>
              </w:rPr>
            </w:pPr>
            <w:r>
              <w:rPr>
                <w:rFonts w:hint="eastAsia" w:ascii="宋体" w:hAnsi="宋体" w:cs="宋体"/>
                <w:sz w:val="24"/>
              </w:rPr>
              <w:t>详见磋商文件及工程量清单的所有内容。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2912" w:type="dxa"/>
            <w:vAlign w:val="center"/>
          </w:tcPr>
          <w:p>
            <w:pPr>
              <w:spacing w:line="360" w:lineRule="auto"/>
              <w:rPr>
                <w:rFonts w:ascii="宋体" w:hAnsi="宋体" w:cs="宋体"/>
                <w:sz w:val="24"/>
              </w:rPr>
            </w:pPr>
            <w:r>
              <w:rPr>
                <w:rFonts w:hint="eastAsia" w:ascii="宋体" w:hAnsi="宋体" w:cs="宋体"/>
                <w:sz w:val="24"/>
              </w:rPr>
              <w:t>供应商资格条件</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2、供应商须具备</w:t>
            </w:r>
            <w:r>
              <w:rPr>
                <w:rFonts w:hint="eastAsia" w:ascii="宋体" w:hAnsi="宋体" w:cs="宋体"/>
                <w:color w:val="000000"/>
                <w:sz w:val="24"/>
              </w:rPr>
              <w:t>市政公用工程施工总承包叁级及以上资质的企业，并在人员、设备、资金等方面具有相应的施工能力；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3、委派项目经理须具备市政公用工程专业建造师贰级（含贰级）及以上执业资格证书、注册证（注册单位应与投标单位一致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12" w:type="dxa"/>
            <w:vAlign w:val="center"/>
          </w:tcPr>
          <w:p>
            <w:pPr>
              <w:spacing w:line="360" w:lineRule="auto"/>
              <w:rPr>
                <w:rFonts w:ascii="宋体" w:hAnsi="宋体" w:cs="宋体"/>
                <w:sz w:val="24"/>
              </w:rPr>
            </w:pPr>
            <w:r>
              <w:rPr>
                <w:rFonts w:hint="eastAsia" w:ascii="宋体" w:hAnsi="宋体" w:cs="宋体"/>
                <w:sz w:val="24"/>
              </w:rPr>
              <w:t>公告发布时间</w:t>
            </w:r>
          </w:p>
        </w:tc>
        <w:tc>
          <w:tcPr>
            <w:tcW w:w="6651" w:type="dxa"/>
            <w:vAlign w:val="center"/>
          </w:tcPr>
          <w:p>
            <w:pPr>
              <w:spacing w:line="360" w:lineRule="auto"/>
              <w:rPr>
                <w:rFonts w:ascii="宋体" w:hAnsi="宋体" w:cs="宋体"/>
                <w:sz w:val="24"/>
              </w:rPr>
            </w:pPr>
            <w:r>
              <w:rPr>
                <w:rFonts w:hint="eastAsia" w:ascii="宋体" w:hAnsi="宋体" w:cs="宋体"/>
                <w:sz w:val="24"/>
              </w:rPr>
              <w:t>2021年03月25日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6"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竞争性磋商文件发售起止时间</w:t>
            </w:r>
          </w:p>
        </w:tc>
        <w:tc>
          <w:tcPr>
            <w:tcW w:w="6651" w:type="dxa"/>
            <w:vAlign w:val="center"/>
          </w:tcPr>
          <w:p>
            <w:pPr>
              <w:spacing w:line="360" w:lineRule="auto"/>
              <w:rPr>
                <w:rFonts w:ascii="宋体" w:hAnsi="宋体" w:cs="宋体"/>
                <w:color w:val="000000" w:themeColor="text1"/>
                <w:sz w:val="24"/>
              </w:rPr>
            </w:pPr>
            <w:r>
              <w:rPr>
                <w:rFonts w:hint="eastAsia" w:ascii="宋体" w:hAnsi="宋体" w:cs="宋体"/>
                <w:color w:val="000000" w:themeColor="text1"/>
                <w:sz w:val="24"/>
              </w:rPr>
              <w:t>2021年03月26日至2021年04月01日</w:t>
            </w:r>
          </w:p>
          <w:p>
            <w:pPr>
              <w:spacing w:line="360" w:lineRule="auto"/>
              <w:rPr>
                <w:rFonts w:ascii="宋体" w:hAnsi="宋体" w:cs="宋体"/>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竞争性磋商文件发售方式</w:t>
            </w:r>
          </w:p>
        </w:tc>
        <w:tc>
          <w:tcPr>
            <w:tcW w:w="6651" w:type="dxa"/>
            <w:vAlign w:val="center"/>
          </w:tcPr>
          <w:p>
            <w:pPr>
              <w:spacing w:line="360" w:lineRule="auto"/>
              <w:rPr>
                <w:rFonts w:ascii="宋体" w:hAnsi="宋体" w:cs="宋体"/>
                <w:sz w:val="24"/>
              </w:rPr>
            </w:pPr>
            <w:r>
              <w:rPr>
                <w:rFonts w:hint="eastAsia" w:ascii="宋体" w:hAnsi="宋体" w:cs="宋体"/>
                <w:sz w:val="24"/>
              </w:rPr>
              <w:t>现场购买或网上购买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竞争性磋商文件售价</w:t>
            </w:r>
          </w:p>
        </w:tc>
        <w:tc>
          <w:tcPr>
            <w:tcW w:w="6651" w:type="dxa"/>
            <w:vAlign w:val="center"/>
          </w:tcPr>
          <w:p>
            <w:pPr>
              <w:spacing w:line="360" w:lineRule="auto"/>
              <w:rPr>
                <w:rFonts w:ascii="宋体" w:hAnsi="宋体" w:cs="宋体"/>
                <w:sz w:val="24"/>
              </w:rPr>
            </w:pPr>
            <w:r>
              <w:rPr>
                <w:rFonts w:hint="eastAsia" w:ascii="宋体" w:hAnsi="宋体" w:cs="宋体"/>
                <w:sz w:val="24"/>
              </w:rPr>
              <w:t>500.00元（磋商文件售后不退，磋商资格不能转让）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竞争性磋商文件发售地点</w:t>
            </w:r>
          </w:p>
        </w:tc>
        <w:tc>
          <w:tcPr>
            <w:tcW w:w="6651" w:type="dxa"/>
            <w:vAlign w:val="center"/>
          </w:tcPr>
          <w:p>
            <w:pPr>
              <w:spacing w:line="360" w:lineRule="auto"/>
              <w:rPr>
                <w:rFonts w:ascii="宋体" w:hAnsi="宋体" w:cs="宋体"/>
                <w:sz w:val="24"/>
              </w:rPr>
            </w:pPr>
            <w:r>
              <w:rPr>
                <w:rFonts w:hint="eastAsia" w:ascii="宋体" w:hAnsi="宋体" w:cs="宋体"/>
                <w:sz w:val="24"/>
              </w:rPr>
              <w:t>青海恒诚工程项目管理有限公司（海湖新区美仑金座B座11楼1104）</w:t>
            </w:r>
          </w:p>
          <w:p>
            <w:pPr>
              <w:spacing w:line="360" w:lineRule="auto"/>
              <w:rPr>
                <w:rFonts w:ascii="宋体" w:hAnsi="宋体" w:cs="宋体"/>
                <w:sz w:val="24"/>
              </w:rPr>
            </w:pPr>
            <w:r>
              <w:rPr>
                <w:rFonts w:hint="eastAsia" w:ascii="宋体" w:hAnsi="宋体" w:cs="宋体"/>
                <w:sz w:val="24"/>
              </w:rPr>
              <w:t>联系人：李女士</w:t>
            </w:r>
          </w:p>
          <w:p>
            <w:pPr>
              <w:spacing w:line="360" w:lineRule="auto"/>
              <w:rPr>
                <w:rFonts w:ascii="宋体" w:hAnsi="宋体" w:cs="宋体"/>
                <w:sz w:val="24"/>
              </w:rPr>
            </w:pPr>
            <w:r>
              <w:rPr>
                <w:rFonts w:hint="eastAsia" w:ascii="宋体" w:hAnsi="宋体" w:cs="宋体"/>
                <w:sz w:val="24"/>
              </w:rPr>
              <w:t>电话：0971-8218930</w:t>
            </w:r>
          </w:p>
          <w:p>
            <w:pPr>
              <w:spacing w:line="360" w:lineRule="auto"/>
              <w:rPr>
                <w:rFonts w:ascii="宋体" w:hAnsi="宋体" w:cs="宋体"/>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2909892349@qq.com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912" w:type="dxa"/>
            <w:vAlign w:val="center"/>
          </w:tcPr>
          <w:p>
            <w:pPr>
              <w:spacing w:line="360" w:lineRule="auto"/>
              <w:rPr>
                <w:rFonts w:ascii="宋体" w:hAnsi="宋体" w:cs="宋体"/>
                <w:sz w:val="24"/>
              </w:rPr>
            </w:pPr>
            <w:r>
              <w:rPr>
                <w:rFonts w:hint="eastAsia" w:ascii="宋体" w:hAnsi="宋体" w:cs="宋体"/>
                <w:sz w:val="24"/>
              </w:rPr>
              <w:t>购买竞争性磋商文件时应提供材料</w:t>
            </w:r>
          </w:p>
        </w:tc>
        <w:tc>
          <w:tcPr>
            <w:tcW w:w="6651" w:type="dxa"/>
            <w:vAlign w:val="center"/>
          </w:tcPr>
          <w:p>
            <w:pPr>
              <w:spacing w:line="360" w:lineRule="auto"/>
              <w:rPr>
                <w:rFonts w:ascii="宋体" w:hAnsi="宋体" w:cs="宋体"/>
                <w:color w:val="000000"/>
                <w:sz w:val="24"/>
              </w:rPr>
            </w:pPr>
            <w:r>
              <w:rPr>
                <w:rFonts w:hint="eastAsia" w:ascii="宋体" w:hAnsi="宋体" w:cs="宋体"/>
                <w:color w:val="000000"/>
                <w:sz w:val="24"/>
              </w:rPr>
              <w:t>供应商的三证合一营业执照（副本）复印件、法人授权委托书（原件）及法人身份证复印件、被授权人身份证复印件。以上资料除原件外均需加盖公章（采购代理机构对以上资料留存备案）。</w:t>
            </w:r>
          </w:p>
          <w:p>
            <w:pPr>
              <w:spacing w:line="360" w:lineRule="auto"/>
              <w:rPr>
                <w:rFonts w:ascii="宋体" w:hAnsi="宋体" w:cs="宋体"/>
                <w:sz w:val="24"/>
              </w:rPr>
            </w:pPr>
            <w:r>
              <w:rPr>
                <w:rFonts w:hint="eastAsia" w:ascii="宋体" w:hAnsi="宋体" w:cs="宋体"/>
                <w:color w:val="000000"/>
                <w:sz w:val="24"/>
              </w:rPr>
              <w:t>注：需网上购买招标文件的供应商可将以上材料扫描后发送至采购代理机构电子邮箱(</w:t>
            </w:r>
            <w:r>
              <w:fldChar w:fldCharType="begin"/>
            </w:r>
            <w:r>
              <w:instrText xml:space="preserve"> HYPERLINK "mailto:QHRJ2016@163.com" </w:instrText>
            </w:r>
            <w:r>
              <w:fldChar w:fldCharType="separate"/>
            </w:r>
            <w:r>
              <w:rPr>
                <w:rFonts w:hint="eastAsia" w:ascii="宋体" w:hAnsi="宋体" w:cs="宋体"/>
                <w:sz w:val="24"/>
              </w:rPr>
              <w:t>2909892349@qq.com</w:t>
            </w:r>
            <w:r>
              <w:rPr>
                <w:rFonts w:hint="eastAsia" w:ascii="宋体" w:hAnsi="宋体" w:cs="宋体"/>
                <w:sz w:val="24"/>
              </w:rPr>
              <w:fldChar w:fldCharType="end"/>
            </w:r>
            <w:r>
              <w:rPr>
                <w:rFonts w:hint="eastAsia" w:ascii="宋体" w:hAnsi="宋体" w:cs="宋体"/>
                <w:sz w:val="24"/>
              </w:rPr>
              <w:t>)</w:t>
            </w:r>
            <w:r>
              <w:rPr>
                <w:rFonts w:hint="eastAsia" w:ascii="宋体" w:hAnsi="宋体" w:cs="宋体"/>
                <w:color w:val="000000"/>
                <w:sz w:val="24"/>
              </w:rPr>
              <w:t>，在邮件中标明项目编号、项目名称、联系人及联系方式，并联系代理机构工作人员进行确认,否则报名资料无效。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912" w:type="dxa"/>
            <w:vAlign w:val="center"/>
          </w:tcPr>
          <w:p>
            <w:pPr>
              <w:spacing w:line="360" w:lineRule="auto"/>
              <w:rPr>
                <w:rFonts w:ascii="宋体" w:hAnsi="宋体" w:cs="宋体"/>
                <w:sz w:val="24"/>
              </w:rPr>
            </w:pPr>
            <w:r>
              <w:rPr>
                <w:rFonts w:hint="eastAsia" w:ascii="宋体" w:hAnsi="宋体" w:cs="宋体"/>
                <w:sz w:val="24"/>
              </w:rPr>
              <w:t>响应文件递交截止时间</w:t>
            </w:r>
          </w:p>
        </w:tc>
        <w:tc>
          <w:tcPr>
            <w:tcW w:w="6651" w:type="dxa"/>
            <w:vAlign w:val="center"/>
          </w:tcPr>
          <w:p>
            <w:pPr>
              <w:spacing w:line="360" w:lineRule="auto"/>
              <w:rPr>
                <w:rFonts w:ascii="宋体" w:hAnsi="宋体" w:cs="宋体"/>
                <w:sz w:val="24"/>
              </w:rPr>
            </w:pPr>
            <w:r>
              <w:rPr>
                <w:rFonts w:hint="eastAsia" w:ascii="宋体" w:hAnsi="宋体" w:cs="宋体"/>
                <w:sz w:val="24"/>
              </w:rPr>
              <w:t>2021年04月06日上午09时30分（北京时间）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2912" w:type="dxa"/>
            <w:vAlign w:val="center"/>
          </w:tcPr>
          <w:p>
            <w:pPr>
              <w:spacing w:line="360" w:lineRule="auto"/>
              <w:rPr>
                <w:rFonts w:ascii="宋体" w:hAnsi="宋体" w:cs="宋体"/>
                <w:sz w:val="24"/>
              </w:rPr>
            </w:pPr>
            <w:r>
              <w:rPr>
                <w:rFonts w:hint="eastAsia" w:ascii="宋体" w:hAnsi="宋体" w:cs="宋体"/>
                <w:sz w:val="24"/>
              </w:rPr>
              <w:t>磋商时间</w:t>
            </w:r>
          </w:p>
        </w:tc>
        <w:tc>
          <w:tcPr>
            <w:tcW w:w="6651" w:type="dxa"/>
            <w:vAlign w:val="center"/>
          </w:tcPr>
          <w:p>
            <w:pPr>
              <w:spacing w:line="360" w:lineRule="auto"/>
              <w:rPr>
                <w:rFonts w:ascii="宋体" w:hAnsi="宋体" w:cs="宋体"/>
                <w:sz w:val="24"/>
              </w:rPr>
            </w:pPr>
            <w:r>
              <w:rPr>
                <w:rFonts w:hint="eastAsia" w:ascii="宋体" w:hAnsi="宋体" w:cs="宋体"/>
                <w:sz w:val="24"/>
              </w:rPr>
              <w:t>2021年04月06日上午09时30分（北京时间）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912" w:type="dxa"/>
            <w:vAlign w:val="center"/>
          </w:tcPr>
          <w:p>
            <w:pPr>
              <w:spacing w:line="360" w:lineRule="auto"/>
              <w:rPr>
                <w:rFonts w:ascii="宋体" w:hAnsi="宋体" w:cs="宋体"/>
                <w:sz w:val="24"/>
              </w:rPr>
            </w:pPr>
            <w:r>
              <w:rPr>
                <w:rFonts w:hint="eastAsia" w:ascii="宋体" w:hAnsi="宋体" w:cs="宋体"/>
                <w:sz w:val="24"/>
              </w:rPr>
              <w:t>磋商地点</w:t>
            </w:r>
          </w:p>
        </w:tc>
        <w:tc>
          <w:tcPr>
            <w:tcW w:w="6651" w:type="dxa"/>
            <w:vAlign w:val="center"/>
          </w:tcPr>
          <w:p>
            <w:pPr>
              <w:spacing w:line="360" w:lineRule="auto"/>
              <w:rPr>
                <w:rFonts w:ascii="宋体" w:hAnsi="宋体" w:cs="宋体"/>
                <w:sz w:val="24"/>
              </w:rPr>
            </w:pPr>
            <w:r>
              <w:rPr>
                <w:rFonts w:hint="eastAsia" w:ascii="宋体" w:hAnsi="宋体" w:cs="宋体"/>
                <w:sz w:val="24"/>
              </w:rPr>
              <w:t>青海恒诚工程项目管理有限公司（海湖新区美仑金座B座11楼1104）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2" w:type="dxa"/>
            <w:vAlign w:val="center"/>
          </w:tcPr>
          <w:p>
            <w:pPr>
              <w:spacing w:line="360" w:lineRule="auto"/>
              <w:rPr>
                <w:rFonts w:ascii="宋体" w:hAnsi="宋体" w:cs="宋体"/>
                <w:sz w:val="24"/>
              </w:rPr>
            </w:pPr>
            <w:r>
              <w:rPr>
                <w:rFonts w:hint="eastAsia" w:ascii="宋体" w:hAnsi="宋体" w:cs="宋体"/>
                <w:sz w:val="24"/>
              </w:rPr>
              <w:t>采购单位及联系人电话</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采购单位:西宁市城中区人民政府仓门街街道办事处</w:t>
            </w:r>
          </w:p>
          <w:p>
            <w:pPr>
              <w:spacing w:line="360" w:lineRule="auto"/>
              <w:rPr>
                <w:rFonts w:ascii="宋体" w:hAnsi="宋体" w:cs="宋体"/>
                <w:color w:val="000000"/>
                <w:sz w:val="24"/>
              </w:rPr>
            </w:pPr>
            <w:r>
              <w:rPr>
                <w:rFonts w:hint="eastAsia" w:ascii="宋体" w:hAnsi="宋体" w:cs="宋体"/>
                <w:color w:val="000000"/>
                <w:sz w:val="24"/>
              </w:rPr>
              <w:t>联系人：贾老师</w:t>
            </w:r>
          </w:p>
          <w:p>
            <w:pPr>
              <w:spacing w:line="360" w:lineRule="auto"/>
              <w:rPr>
                <w:rFonts w:ascii="宋体" w:hAnsi="宋体" w:cs="宋体"/>
                <w:color w:val="000000"/>
                <w:sz w:val="24"/>
              </w:rPr>
            </w:pPr>
            <w:r>
              <w:rPr>
                <w:rFonts w:hint="eastAsia" w:ascii="宋体" w:hAnsi="宋体" w:cs="宋体"/>
                <w:color w:val="000000"/>
                <w:sz w:val="24"/>
              </w:rPr>
              <w:t>联系电话：0971-8240205</w:t>
            </w:r>
          </w:p>
          <w:p>
            <w:pPr>
              <w:spacing w:line="360" w:lineRule="auto"/>
              <w:rPr>
                <w:rFonts w:ascii="宋体" w:hAnsi="宋体" w:cs="宋体"/>
                <w:sz w:val="24"/>
              </w:rPr>
            </w:pPr>
            <w:r>
              <w:rPr>
                <w:rFonts w:hint="eastAsia" w:ascii="宋体" w:hAnsi="宋体" w:cs="宋体"/>
                <w:color w:val="000000"/>
                <w:sz w:val="24"/>
              </w:rPr>
              <w:t>联系地址：西宁市城中区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采购代理机构及联系人电话</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采购代理机构：青海恒诚工程项目管理有限公司</w:t>
            </w:r>
          </w:p>
          <w:p>
            <w:pPr>
              <w:spacing w:line="360" w:lineRule="auto"/>
              <w:rPr>
                <w:rFonts w:ascii="宋体" w:hAnsi="宋体" w:cs="宋体"/>
                <w:color w:val="000000"/>
                <w:sz w:val="24"/>
              </w:rPr>
            </w:pPr>
            <w:r>
              <w:rPr>
                <w:rFonts w:hint="eastAsia" w:ascii="宋体" w:hAnsi="宋体" w:cs="宋体"/>
                <w:color w:val="000000"/>
                <w:sz w:val="24"/>
              </w:rPr>
              <w:t>地    址：海湖新区美仑金座B座1104（大润发斜对面办税服务厅11楼）</w:t>
            </w:r>
          </w:p>
          <w:p>
            <w:pPr>
              <w:spacing w:line="360" w:lineRule="auto"/>
              <w:rPr>
                <w:rFonts w:ascii="宋体" w:hAnsi="宋体" w:cs="宋体"/>
                <w:color w:val="000000"/>
                <w:sz w:val="24"/>
              </w:rPr>
            </w:pPr>
            <w:r>
              <w:rPr>
                <w:rFonts w:hint="eastAsia" w:ascii="宋体" w:hAnsi="宋体" w:cs="宋体"/>
                <w:color w:val="000000"/>
                <w:sz w:val="24"/>
              </w:rPr>
              <w:t xml:space="preserve">联系人：李女士 </w:t>
            </w:r>
          </w:p>
          <w:p>
            <w:pPr>
              <w:spacing w:line="360" w:lineRule="auto"/>
              <w:rPr>
                <w:rFonts w:ascii="宋体" w:hAnsi="宋体" w:cs="宋体"/>
                <w:color w:val="000000"/>
                <w:sz w:val="24"/>
              </w:rPr>
            </w:pPr>
            <w:r>
              <w:rPr>
                <w:rFonts w:hint="eastAsia" w:ascii="宋体" w:hAnsi="宋体" w:cs="宋体"/>
                <w:color w:val="000000"/>
                <w:sz w:val="24"/>
              </w:rPr>
              <w:t xml:space="preserve">电话：0971-8218930  </w:t>
            </w:r>
          </w:p>
          <w:p>
            <w:pPr>
              <w:spacing w:line="360" w:lineRule="auto"/>
              <w:rPr>
                <w:rFonts w:ascii="宋体" w:hAnsi="宋体" w:cs="宋体"/>
                <w:color w:val="000000"/>
                <w:sz w:val="24"/>
              </w:rPr>
            </w:pPr>
            <w:r>
              <w:rPr>
                <w:rFonts w:hint="eastAsia" w:ascii="宋体" w:hAnsi="宋体" w:cs="宋体"/>
                <w:color w:val="000000"/>
                <w:sz w:val="24"/>
              </w:rPr>
              <w:t>邮箱：2909892349@qq.com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采购代理机构开户银行</w:t>
            </w:r>
          </w:p>
        </w:tc>
        <w:tc>
          <w:tcPr>
            <w:tcW w:w="6651" w:type="dxa"/>
            <w:vAlign w:val="center"/>
          </w:tcPr>
          <w:p>
            <w:pPr>
              <w:spacing w:line="360" w:lineRule="auto"/>
              <w:rPr>
                <w:rFonts w:ascii="宋体" w:hAnsi="宋体" w:cs="宋体"/>
                <w:sz w:val="24"/>
              </w:rPr>
            </w:pPr>
            <w:r>
              <w:rPr>
                <w:rFonts w:hint="eastAsia" w:ascii="宋体" w:hAnsi="宋体" w:cs="宋体"/>
                <w:sz w:val="24"/>
              </w:rPr>
              <w:t>青海银行股份有限公司海湖新区支行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采购代理机构收款人</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青海恒诚工程项目管理有限公司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采购代理机构银行帐号</w:t>
            </w:r>
          </w:p>
        </w:tc>
        <w:tc>
          <w:tcPr>
            <w:tcW w:w="6651" w:type="dxa"/>
            <w:vAlign w:val="center"/>
          </w:tcPr>
          <w:p>
            <w:pPr>
              <w:spacing w:line="360" w:lineRule="auto"/>
              <w:rPr>
                <w:rFonts w:ascii="宋体" w:hAnsi="宋体" w:cs="宋体"/>
                <w:sz w:val="24"/>
              </w:rPr>
            </w:pPr>
            <w:r>
              <w:rPr>
                <w:rFonts w:hint="eastAsia" w:ascii="宋体" w:hAnsi="宋体" w:cs="宋体"/>
                <w:sz w:val="24"/>
              </w:rPr>
              <w:t>0701201000215023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7" w:hRule="atLeast"/>
        </w:trPr>
        <w:tc>
          <w:tcPr>
            <w:tcW w:w="2912" w:type="dxa"/>
            <w:vAlign w:val="center"/>
          </w:tcPr>
          <w:p>
            <w:pPr>
              <w:spacing w:line="360" w:lineRule="auto"/>
              <w:rPr>
                <w:rFonts w:ascii="宋体" w:hAnsi="宋体" w:cs="宋体"/>
                <w:sz w:val="24"/>
              </w:rPr>
            </w:pPr>
            <w:r>
              <w:rPr>
                <w:rFonts w:hint="eastAsia" w:ascii="宋体" w:hAnsi="宋体" w:cs="宋体"/>
                <w:sz w:val="24"/>
              </w:rPr>
              <w:t>其他事项</w:t>
            </w:r>
          </w:p>
        </w:tc>
        <w:tc>
          <w:tcPr>
            <w:tcW w:w="6651" w:type="dxa"/>
            <w:vAlign w:val="center"/>
          </w:tcPr>
          <w:p>
            <w:pPr>
              <w:spacing w:line="360" w:lineRule="auto"/>
              <w:rPr>
                <w:rFonts w:ascii="宋体" w:hAnsi="宋体" w:cs="宋体"/>
                <w:kern w:val="44"/>
                <w:sz w:val="24"/>
                <w:lang w:val="zh-CN"/>
              </w:rPr>
            </w:pPr>
            <w:r>
              <w:rPr>
                <w:rFonts w:hint="eastAsia" w:ascii="宋体" w:hAnsi="宋体" w:cs="宋体"/>
                <w:kern w:val="44"/>
                <w:sz w:val="24"/>
              </w:rPr>
              <w:t>1、</w:t>
            </w:r>
            <w:r>
              <w:rPr>
                <w:rFonts w:hint="eastAsia" w:ascii="宋体" w:hAnsi="宋体" w:cs="宋体"/>
                <w:kern w:val="44"/>
                <w:sz w:val="24"/>
                <w:lang w:val="zh-CN"/>
              </w:rPr>
              <w:t>公告期限：自青海政府采购网发布之日起5个工作日；</w:t>
            </w:r>
          </w:p>
          <w:p>
            <w:pPr>
              <w:spacing w:line="360" w:lineRule="auto"/>
              <w:rPr>
                <w:rFonts w:ascii="宋体" w:hAnsi="宋体" w:cs="宋体"/>
                <w:kern w:val="44"/>
                <w:sz w:val="24"/>
                <w:lang w:val="zh-CN"/>
              </w:rPr>
            </w:pPr>
            <w:r>
              <w:rPr>
                <w:rFonts w:hint="eastAsia" w:ascii="宋体" w:hAnsi="宋体" w:cs="宋体"/>
                <w:kern w:val="44"/>
                <w:sz w:val="24"/>
              </w:rPr>
              <w:t>2、</w:t>
            </w:r>
            <w:r>
              <w:rPr>
                <w:rFonts w:hint="eastAsia" w:ascii="宋体" w:hAnsi="宋体" w:cs="宋体"/>
                <w:kern w:val="44"/>
                <w:sz w:val="24"/>
                <w:lang w:val="zh-CN"/>
              </w:rPr>
              <w:t>公告内容以青海政府采购网发布的为准；</w:t>
            </w:r>
          </w:p>
          <w:p>
            <w:pPr>
              <w:spacing w:line="360" w:lineRule="auto"/>
              <w:rPr>
                <w:rFonts w:ascii="宋体" w:hAnsi="宋体" w:cs="宋体"/>
                <w:sz w:val="24"/>
              </w:rPr>
            </w:pPr>
            <w:r>
              <w:rPr>
                <w:rFonts w:hint="eastAsia" w:ascii="宋体" w:hAnsi="宋体" w:cs="宋体"/>
                <w:kern w:val="44"/>
                <w:sz w:val="24"/>
                <w:lang w:val="zh-CN"/>
              </w:rPr>
              <w:t>3、本公告同时在《青海省政府采购网》、《青海省公共资源交易网》、《青海项目信息网》上发布。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912" w:type="dxa"/>
            <w:vAlign w:val="center"/>
          </w:tcPr>
          <w:p>
            <w:pPr>
              <w:spacing w:line="360" w:lineRule="auto"/>
              <w:rPr>
                <w:rFonts w:ascii="宋体" w:hAnsi="宋体" w:cs="宋体"/>
                <w:sz w:val="24"/>
              </w:rPr>
            </w:pPr>
            <w:r>
              <w:rPr>
                <w:rFonts w:hint="eastAsia" w:ascii="宋体" w:hAnsi="宋体" w:cs="宋体"/>
                <w:sz w:val="24"/>
              </w:rPr>
              <w:t>财政部门监督电话</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西宁市城中区财政局</w:t>
            </w:r>
            <w:r>
              <w:rPr>
                <w:rFonts w:hint="eastAsia" w:ascii="宋体" w:hAnsi="宋体" w:cs="宋体"/>
                <w:sz w:val="24"/>
              </w:rPr>
              <w:t xml:space="preserve">                电话：</w:t>
            </w:r>
            <w:r>
              <w:rPr>
                <w:rFonts w:hint="eastAsia" w:ascii="宋体" w:hAnsi="宋体" w:cs="宋体"/>
                <w:color w:val="000000"/>
                <w:sz w:val="24"/>
                <w:lang w:val="zh-CN"/>
              </w:rPr>
              <w:t>09</w:t>
            </w:r>
            <w:r>
              <w:rPr>
                <w:rFonts w:hint="eastAsia" w:ascii="宋体" w:hAnsi="宋体" w:cs="宋体"/>
                <w:color w:val="000000"/>
                <w:sz w:val="24"/>
              </w:rPr>
              <w:t>71-8248537</w:t>
            </w:r>
          </w:p>
        </w:tc>
      </w:tr>
    </w:tbl>
    <w:p>
      <w:pPr>
        <w:wordWrap w:val="0"/>
        <w:spacing w:line="360" w:lineRule="auto"/>
        <w:jc w:val="right"/>
        <w:rPr>
          <w:rFonts w:ascii="宋体" w:hAnsi="宋体"/>
          <w:sz w:val="24"/>
          <w:szCs w:val="21"/>
        </w:rPr>
      </w:pPr>
      <w:r>
        <w:rPr>
          <w:rFonts w:hint="eastAsia" w:ascii="宋体" w:hAnsi="宋体"/>
          <w:sz w:val="24"/>
          <w:szCs w:val="21"/>
        </w:rPr>
        <w:t>青海恒诚工程项目管理有限公司</w:t>
      </w:r>
    </w:p>
    <w:p>
      <w:pPr>
        <w:wordWrap w:val="0"/>
        <w:spacing w:line="360" w:lineRule="auto"/>
        <w:jc w:val="right"/>
        <w:rPr>
          <w:rFonts w:ascii="宋体" w:hAnsi="宋体"/>
          <w:sz w:val="24"/>
          <w:szCs w:val="21"/>
        </w:rPr>
      </w:pPr>
      <w:r>
        <w:rPr>
          <w:rFonts w:hint="eastAsia" w:ascii="宋体" w:hAnsi="宋体"/>
          <w:sz w:val="24"/>
          <w:szCs w:val="21"/>
        </w:rPr>
        <w:t>2021年03月25日</w:t>
      </w:r>
    </w:p>
    <w:p>
      <w:pPr>
        <w:spacing w:line="360" w:lineRule="auto"/>
        <w:rPr>
          <w:rFonts w:ascii="宋体" w:hAnsi="宋体" w:cs="宋体"/>
          <w:color w:val="000000"/>
          <w:sz w:val="56"/>
          <w:szCs w:val="56"/>
        </w:rPr>
      </w:pPr>
    </w:p>
    <w:p>
      <w:pPr>
        <w:keepNext/>
        <w:keepLines/>
        <w:spacing w:line="360" w:lineRule="auto"/>
        <w:jc w:val="center"/>
        <w:rPr>
          <w:rFonts w:ascii="宋体" w:hAnsi="宋体" w:cs="宋体"/>
          <w:color w:val="000000"/>
          <w:kern w:val="0"/>
          <w:sz w:val="28"/>
          <w:szCs w:val="28"/>
        </w:rPr>
      </w:pPr>
      <w:bookmarkStart w:id="3" w:name="_Toc29420"/>
      <w:r>
        <w:rPr>
          <w:rFonts w:hint="eastAsia" w:ascii="宋体" w:hAnsi="宋体" w:cs="宋体"/>
          <w:color w:val="000000"/>
          <w:sz w:val="48"/>
          <w:szCs w:val="48"/>
        </w:rPr>
        <w:br w:type="page"/>
      </w:r>
      <w:r>
        <w:rPr>
          <w:rFonts w:hint="eastAsia" w:ascii="宋体" w:hAnsi="宋体" w:cs="宋体"/>
          <w:b/>
          <w:bCs/>
          <w:color w:val="000000"/>
          <w:kern w:val="0"/>
          <w:sz w:val="30"/>
          <w:szCs w:val="30"/>
        </w:rPr>
        <w:t>第二部分</w:t>
      </w:r>
      <w:bookmarkEnd w:id="3"/>
      <w:bookmarkStart w:id="4" w:name="_Toc18246"/>
      <w:bookmarkStart w:id="5" w:name="_Toc26946"/>
      <w:r>
        <w:rPr>
          <w:rFonts w:hint="eastAsia" w:ascii="宋体" w:hAnsi="宋体" w:cs="宋体"/>
          <w:b/>
          <w:bCs/>
          <w:color w:val="000000"/>
          <w:kern w:val="0"/>
          <w:sz w:val="30"/>
          <w:szCs w:val="30"/>
        </w:rPr>
        <w:t>供应商须知前附表</w:t>
      </w:r>
      <w:bookmarkEnd w:id="4"/>
      <w:bookmarkEnd w:id="5"/>
    </w:p>
    <w:tbl>
      <w:tblPr>
        <w:tblStyle w:val="39"/>
        <w:tblW w:w="10059" w:type="dxa"/>
        <w:tblInd w:w="-5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502"/>
        <w:gridCol w:w="6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34" w:type="dxa"/>
          </w:tcPr>
          <w:p>
            <w:pPr>
              <w:keepLines/>
              <w:autoSpaceDE w:val="0"/>
              <w:autoSpaceDN w:val="0"/>
              <w:adjustRightInd w:val="0"/>
              <w:spacing w:line="360" w:lineRule="auto"/>
              <w:rPr>
                <w:rFonts w:ascii="宋体" w:hAnsi="宋体" w:cs="宋体"/>
                <w:b/>
                <w:color w:val="000000"/>
                <w:kern w:val="0"/>
                <w:sz w:val="24"/>
              </w:rPr>
            </w:pPr>
            <w:r>
              <w:rPr>
                <w:rFonts w:hint="eastAsia" w:ascii="宋体" w:hAnsi="宋体" w:cs="宋体"/>
                <w:b/>
                <w:color w:val="000000"/>
                <w:kern w:val="0"/>
                <w:sz w:val="24"/>
              </w:rPr>
              <w:t>条款号</w:t>
            </w:r>
          </w:p>
        </w:tc>
        <w:tc>
          <w:tcPr>
            <w:tcW w:w="2502"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条 款 名 称</w:t>
            </w:r>
          </w:p>
        </w:tc>
        <w:tc>
          <w:tcPr>
            <w:tcW w:w="6423"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采购项目编号</w:t>
            </w:r>
          </w:p>
        </w:tc>
        <w:tc>
          <w:tcPr>
            <w:tcW w:w="6423" w:type="dxa"/>
          </w:tcPr>
          <w:p>
            <w:pPr>
              <w:tabs>
                <w:tab w:val="center" w:pos="2792"/>
              </w:tabs>
              <w:spacing w:line="360" w:lineRule="auto"/>
              <w:rPr>
                <w:rFonts w:ascii="宋体" w:hAnsi="宋体" w:cs="宋体"/>
                <w:sz w:val="24"/>
              </w:rPr>
            </w:pPr>
            <w:r>
              <w:rPr>
                <w:rFonts w:hint="eastAsia" w:ascii="宋体" w:hAnsi="宋体" w:cs="宋体"/>
                <w:sz w:val="24"/>
              </w:rPr>
              <w:t>青海恒诚竞磋（工程）2021-009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2</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采购人</w:t>
            </w:r>
          </w:p>
        </w:tc>
        <w:tc>
          <w:tcPr>
            <w:tcW w:w="6423" w:type="dxa"/>
          </w:tcPr>
          <w:p>
            <w:pPr>
              <w:tabs>
                <w:tab w:val="center" w:pos="2792"/>
              </w:tabs>
              <w:spacing w:line="360" w:lineRule="auto"/>
              <w:rPr>
                <w:rFonts w:ascii="宋体" w:hAnsi="宋体" w:cs="宋体"/>
                <w:color w:val="000000"/>
                <w:sz w:val="24"/>
              </w:rPr>
            </w:pPr>
            <w:r>
              <w:rPr>
                <w:rFonts w:hint="eastAsia" w:ascii="宋体" w:hAnsi="宋体" w:cs="宋体"/>
                <w:sz w:val="24"/>
              </w:rPr>
              <w:t>西宁市城中区人民政府仓门街街道办事处</w:t>
            </w:r>
            <w:r>
              <w:rPr>
                <w:rFonts w:hint="eastAsia" w:ascii="宋体" w:hAnsi="宋体"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3</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磋商代理机构</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青海恒诚工程项目管理有限公司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项目名称</w:t>
            </w:r>
          </w:p>
        </w:tc>
        <w:tc>
          <w:tcPr>
            <w:tcW w:w="6423" w:type="dxa"/>
          </w:tcPr>
          <w:p>
            <w:pPr>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宏觉寺街街景整治项目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采购方式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6</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采购预算控制额度</w:t>
            </w:r>
          </w:p>
        </w:tc>
        <w:tc>
          <w:tcPr>
            <w:tcW w:w="6423" w:type="dxa"/>
          </w:tcPr>
          <w:p>
            <w:pPr>
              <w:spacing w:line="360" w:lineRule="auto"/>
              <w:rPr>
                <w:rFonts w:ascii="宋体" w:hAnsi="宋体" w:cs="宋体"/>
                <w:color w:val="000000"/>
                <w:sz w:val="24"/>
              </w:rPr>
            </w:pPr>
            <w:r>
              <w:rPr>
                <w:rFonts w:hint="eastAsia" w:ascii="宋体" w:hAnsi="宋体" w:cs="宋体"/>
                <w:sz w:val="24"/>
              </w:rPr>
              <w:t>人民币1898740.57元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7</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出资比例</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8</w:t>
            </w:r>
          </w:p>
        </w:tc>
        <w:tc>
          <w:tcPr>
            <w:tcW w:w="2502" w:type="dxa"/>
          </w:tcPr>
          <w:p>
            <w:pPr>
              <w:spacing w:line="360" w:lineRule="auto"/>
              <w:rPr>
                <w:rFonts w:ascii="宋体" w:hAnsi="宋体" w:cs="宋体"/>
                <w:sz w:val="24"/>
              </w:rPr>
            </w:pPr>
            <w:r>
              <w:rPr>
                <w:rFonts w:hint="eastAsia" w:ascii="宋体" w:hAnsi="宋体" w:cs="宋体"/>
                <w:sz w:val="24"/>
              </w:rPr>
              <w:t>资金落实情况</w:t>
            </w:r>
          </w:p>
        </w:tc>
        <w:tc>
          <w:tcPr>
            <w:tcW w:w="6423" w:type="dxa"/>
          </w:tcPr>
          <w:p>
            <w:pPr>
              <w:spacing w:line="360" w:lineRule="auto"/>
              <w:rPr>
                <w:rFonts w:ascii="宋体" w:hAnsi="宋体" w:cs="宋体"/>
                <w:sz w:val="24"/>
              </w:rPr>
            </w:pPr>
            <w:r>
              <w:rPr>
                <w:rFonts w:hint="eastAsia" w:ascii="宋体" w:hAnsi="宋体" w:cs="宋体"/>
                <w:sz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招标范围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10</w:t>
            </w:r>
          </w:p>
        </w:tc>
        <w:tc>
          <w:tcPr>
            <w:tcW w:w="2502" w:type="dxa"/>
          </w:tcPr>
          <w:p>
            <w:pPr>
              <w:spacing w:line="360" w:lineRule="auto"/>
              <w:rPr>
                <w:rFonts w:ascii="宋体" w:hAnsi="宋体" w:cs="宋体"/>
                <w:sz w:val="24"/>
              </w:rPr>
            </w:pPr>
          </w:p>
          <w:p>
            <w:pPr>
              <w:spacing w:line="360" w:lineRule="auto"/>
              <w:rPr>
                <w:rFonts w:ascii="宋体" w:hAnsi="宋体" w:cs="宋体"/>
                <w:color w:val="000000"/>
                <w:sz w:val="24"/>
              </w:rPr>
            </w:pPr>
            <w:r>
              <w:rPr>
                <w:rFonts w:hint="eastAsia" w:ascii="宋体" w:hAnsi="宋体" w:cs="宋体"/>
                <w:sz w:val="24"/>
              </w:rPr>
              <w:t>计划工期</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工期:50日历日</w:t>
            </w:r>
          </w:p>
          <w:p>
            <w:pPr>
              <w:spacing w:line="360" w:lineRule="auto"/>
              <w:rPr>
                <w:rFonts w:ascii="宋体" w:hAnsi="宋体" w:cs="宋体"/>
                <w:color w:val="000000"/>
                <w:sz w:val="24"/>
              </w:rPr>
            </w:pPr>
            <w:r>
              <w:rPr>
                <w:rFonts w:hint="eastAsia" w:ascii="宋体" w:hAnsi="宋体" w:cs="宋体"/>
                <w:color w:val="000000"/>
                <w:sz w:val="24"/>
              </w:rPr>
              <w:t>计划开工日期：2021年04月08日</w:t>
            </w:r>
          </w:p>
          <w:p>
            <w:pPr>
              <w:spacing w:line="360" w:lineRule="auto"/>
              <w:rPr>
                <w:rFonts w:ascii="宋体" w:hAnsi="宋体" w:cs="宋体"/>
                <w:sz w:val="24"/>
              </w:rPr>
            </w:pPr>
            <w:r>
              <w:rPr>
                <w:rFonts w:hint="eastAsia" w:ascii="宋体" w:hAnsi="宋体" w:cs="宋体"/>
                <w:color w:val="000000"/>
                <w:sz w:val="24"/>
              </w:rPr>
              <w:t>计划竣工日期：2021年05月28日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11</w:t>
            </w:r>
          </w:p>
        </w:tc>
        <w:tc>
          <w:tcPr>
            <w:tcW w:w="2502" w:type="dxa"/>
          </w:tcPr>
          <w:p>
            <w:pPr>
              <w:spacing w:line="360" w:lineRule="auto"/>
              <w:rPr>
                <w:rFonts w:ascii="宋体" w:hAnsi="宋体" w:cs="宋体"/>
                <w:color w:val="000000"/>
                <w:sz w:val="24"/>
              </w:rPr>
            </w:pPr>
            <w:r>
              <w:rPr>
                <w:rFonts w:hint="eastAsia" w:ascii="宋体" w:hAnsi="宋体" w:cs="宋体"/>
                <w:sz w:val="24"/>
              </w:rPr>
              <w:t>质量要求</w:t>
            </w:r>
          </w:p>
        </w:tc>
        <w:tc>
          <w:tcPr>
            <w:tcW w:w="6423" w:type="dxa"/>
          </w:tcPr>
          <w:p>
            <w:pPr>
              <w:spacing w:line="360" w:lineRule="auto"/>
              <w:rPr>
                <w:rFonts w:ascii="宋体" w:hAnsi="宋体" w:cs="宋体"/>
                <w:color w:val="000000"/>
                <w:sz w:val="24"/>
              </w:rPr>
            </w:pPr>
            <w:r>
              <w:rPr>
                <w:rFonts w:hint="eastAsia" w:ascii="宋体" w:hAnsi="宋体" w:cs="宋体"/>
                <w:sz w:val="24"/>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12</w:t>
            </w:r>
          </w:p>
        </w:tc>
        <w:tc>
          <w:tcPr>
            <w:tcW w:w="2502" w:type="dxa"/>
            <w:vAlign w:val="center"/>
          </w:tcPr>
          <w:p>
            <w:pPr>
              <w:spacing w:line="360" w:lineRule="auto"/>
              <w:jc w:val="center"/>
              <w:rPr>
                <w:rFonts w:ascii="宋体" w:hAnsi="宋体" w:cs="宋体"/>
                <w:color w:val="000000"/>
                <w:sz w:val="24"/>
              </w:rPr>
            </w:pPr>
            <w:r>
              <w:rPr>
                <w:rFonts w:hint="eastAsia" w:ascii="宋体" w:hAnsi="宋体" w:cs="宋体"/>
                <w:sz w:val="24"/>
              </w:rPr>
              <w:t>供应商资质、能力和信誉</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sz w:val="24"/>
              </w:rPr>
            </w:pPr>
            <w:r>
              <w:rPr>
                <w:rFonts w:hint="eastAsia" w:ascii="宋体" w:hAnsi="宋体" w:cs="宋体"/>
                <w:sz w:val="24"/>
              </w:rPr>
              <w:t>2、供应商须具备</w:t>
            </w:r>
            <w:r>
              <w:rPr>
                <w:rFonts w:hint="eastAsia" w:ascii="宋体" w:hAnsi="宋体" w:cs="宋体"/>
                <w:color w:val="000000"/>
                <w:sz w:val="24"/>
              </w:rPr>
              <w:t>市政公用工程施工总承包叁级及以上资质</w:t>
            </w:r>
            <w:r>
              <w:rPr>
                <w:rFonts w:hint="eastAsia" w:ascii="宋体" w:hAnsi="宋体" w:cs="宋体"/>
                <w:sz w:val="24"/>
              </w:rPr>
              <w:t>的企业，并在人员、设备、资金等方面具有相应的施工能力；</w:t>
            </w:r>
          </w:p>
          <w:p>
            <w:pPr>
              <w:spacing w:line="360" w:lineRule="auto"/>
              <w:rPr>
                <w:rFonts w:ascii="宋体" w:hAnsi="宋体" w:cs="宋体"/>
                <w:color w:val="000000"/>
                <w:sz w:val="24"/>
              </w:rPr>
            </w:pPr>
            <w:r>
              <w:rPr>
                <w:rFonts w:hint="eastAsia" w:ascii="宋体" w:hAnsi="宋体" w:cs="宋体"/>
                <w:sz w:val="24"/>
              </w:rPr>
              <w:t>3、委派项目经理</w:t>
            </w:r>
            <w:r>
              <w:rPr>
                <w:rFonts w:hint="eastAsia" w:ascii="宋体" w:hAnsi="宋体" w:cs="宋体"/>
                <w:color w:val="000000"/>
                <w:sz w:val="24"/>
              </w:rPr>
              <w:t>须具备市政公用工程专业建造师贰级（含贰级）及以上执业资格证书、注册证（注册单位应与投标单位一致），具备有效的安全生产</w:t>
            </w:r>
            <w:r>
              <w:rPr>
                <w:rFonts w:hint="eastAsia" w:ascii="宋体" w:hAnsi="宋体" w:cs="宋体"/>
                <w:sz w:val="24"/>
              </w:rPr>
              <w:t>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13</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是否接受联合体投标</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不接受</w:t>
            </w:r>
          </w:p>
          <w:p>
            <w:pPr>
              <w:spacing w:line="360" w:lineRule="auto"/>
              <w:rPr>
                <w:rFonts w:ascii="宋体" w:hAnsi="宋体" w:cs="宋体"/>
                <w:sz w:val="24"/>
              </w:rPr>
            </w:pPr>
            <w:r>
              <w:rPr>
                <w:rFonts w:hint="eastAsia" w:ascii="宋体" w:hAnsi="宋体" w:cs="宋体"/>
                <w:sz w:val="24"/>
              </w:rPr>
              <w:t xml:space="preserve">□接受。应满足以下要求：牵头单位：     </w:t>
            </w:r>
          </w:p>
          <w:p>
            <w:pPr>
              <w:spacing w:line="360" w:lineRule="auto"/>
              <w:rPr>
                <w:rFonts w:ascii="宋体" w:hAnsi="宋体" w:cs="宋体"/>
                <w:sz w:val="24"/>
              </w:rPr>
            </w:pPr>
            <w:r>
              <w:rPr>
                <w:rFonts w:hint="eastAsia" w:ascii="宋体" w:hAnsi="宋体" w:cs="宋体"/>
                <w:sz w:val="24"/>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踏勘现场</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不组织</w:t>
            </w:r>
          </w:p>
          <w:p>
            <w:pPr>
              <w:spacing w:line="360" w:lineRule="auto"/>
              <w:rPr>
                <w:rFonts w:ascii="宋体" w:hAnsi="宋体" w:cs="宋体"/>
                <w:sz w:val="24"/>
              </w:rPr>
            </w:pPr>
            <w:r>
              <w:rPr>
                <w:rFonts w:hint="eastAsia" w:ascii="宋体" w:hAnsi="宋体" w:cs="宋体"/>
                <w:sz w:val="24"/>
              </w:rPr>
              <w:t>□组织，踏勘时间：</w:t>
            </w:r>
          </w:p>
          <w:p>
            <w:pPr>
              <w:spacing w:line="360" w:lineRule="auto"/>
              <w:rPr>
                <w:rFonts w:ascii="宋体" w:hAnsi="宋体" w:cs="宋体"/>
                <w:sz w:val="24"/>
              </w:rPr>
            </w:pPr>
            <w:r>
              <w:rPr>
                <w:rFonts w:hint="eastAsia" w:ascii="宋体" w:hAnsi="宋体" w:cs="宋体"/>
                <w:sz w:val="24"/>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15</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投标预备会</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不召开</w:t>
            </w:r>
          </w:p>
          <w:p>
            <w:pPr>
              <w:spacing w:line="360" w:lineRule="auto"/>
              <w:rPr>
                <w:rFonts w:ascii="宋体" w:hAnsi="宋体" w:cs="宋体"/>
                <w:sz w:val="24"/>
              </w:rPr>
            </w:pPr>
            <w:r>
              <w:rPr>
                <w:rFonts w:hint="eastAsia" w:ascii="宋体" w:hAnsi="宋体" w:cs="宋体"/>
                <w:sz w:val="24"/>
              </w:rPr>
              <w:t>□召开   召开时间：</w:t>
            </w:r>
          </w:p>
          <w:p>
            <w:pPr>
              <w:spacing w:line="360" w:lineRule="auto"/>
              <w:ind w:firstLine="1080" w:firstLineChars="450"/>
              <w:rPr>
                <w:rFonts w:ascii="宋体" w:hAnsi="宋体" w:cs="宋体"/>
                <w:sz w:val="24"/>
              </w:rPr>
            </w:pPr>
            <w:r>
              <w:rPr>
                <w:rFonts w:hint="eastAsia" w:ascii="宋体" w:hAnsi="宋体" w:cs="宋体"/>
                <w:sz w:val="24"/>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16</w:t>
            </w:r>
          </w:p>
        </w:tc>
        <w:tc>
          <w:tcPr>
            <w:tcW w:w="2502" w:type="dxa"/>
          </w:tcPr>
          <w:p>
            <w:pPr>
              <w:spacing w:line="360" w:lineRule="auto"/>
              <w:jc w:val="center"/>
              <w:rPr>
                <w:rFonts w:ascii="宋体" w:hAnsi="宋体" w:cs="宋体"/>
                <w:sz w:val="24"/>
              </w:rPr>
            </w:pPr>
            <w:r>
              <w:rPr>
                <w:rFonts w:hint="eastAsia" w:ascii="宋体" w:hAnsi="宋体" w:cs="宋体"/>
                <w:sz w:val="24"/>
              </w:rPr>
              <w:t>供应商提出问的</w:t>
            </w:r>
          </w:p>
          <w:p>
            <w:pPr>
              <w:spacing w:line="360" w:lineRule="auto"/>
              <w:jc w:val="center"/>
              <w:rPr>
                <w:rFonts w:ascii="宋体" w:hAnsi="宋体" w:cs="宋体"/>
                <w:sz w:val="24"/>
              </w:rPr>
            </w:pPr>
            <w:r>
              <w:rPr>
                <w:rFonts w:hint="eastAsia" w:ascii="宋体" w:hAnsi="宋体" w:cs="宋体"/>
                <w:sz w:val="24"/>
              </w:rPr>
              <w:t>截止时间</w:t>
            </w:r>
          </w:p>
        </w:tc>
        <w:tc>
          <w:tcPr>
            <w:tcW w:w="6423" w:type="dxa"/>
          </w:tcPr>
          <w:p>
            <w:pPr>
              <w:spacing w:line="360" w:lineRule="auto"/>
              <w:rPr>
                <w:rFonts w:ascii="宋体" w:hAnsi="宋体" w:cs="宋体"/>
                <w:sz w:val="24"/>
              </w:rPr>
            </w:pPr>
            <w:r>
              <w:rPr>
                <w:rFonts w:hint="eastAsia" w:ascii="宋体" w:hAnsi="宋体" w:cs="宋体"/>
                <w:sz w:val="24"/>
              </w:rPr>
              <w:t xml:space="preserve">投标截止时间5日前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17</w:t>
            </w:r>
          </w:p>
        </w:tc>
        <w:tc>
          <w:tcPr>
            <w:tcW w:w="2502" w:type="dxa"/>
          </w:tcPr>
          <w:p>
            <w:pPr>
              <w:spacing w:line="360" w:lineRule="auto"/>
              <w:jc w:val="center"/>
              <w:rPr>
                <w:rFonts w:ascii="宋体" w:hAnsi="宋体" w:cs="宋体"/>
                <w:sz w:val="24"/>
              </w:rPr>
            </w:pPr>
            <w:r>
              <w:rPr>
                <w:rFonts w:hint="eastAsia" w:ascii="宋体" w:hAnsi="宋体" w:cs="宋体"/>
                <w:sz w:val="24"/>
              </w:rPr>
              <w:t>采购人书面澄清的时间</w:t>
            </w:r>
          </w:p>
        </w:tc>
        <w:tc>
          <w:tcPr>
            <w:tcW w:w="6423" w:type="dxa"/>
          </w:tcPr>
          <w:p>
            <w:pPr>
              <w:spacing w:line="360" w:lineRule="auto"/>
              <w:rPr>
                <w:rFonts w:ascii="宋体" w:hAnsi="宋体" w:cs="宋体"/>
                <w:sz w:val="24"/>
              </w:rPr>
            </w:pPr>
            <w:r>
              <w:rPr>
                <w:rFonts w:hint="eastAsia" w:ascii="宋体" w:hAnsi="宋体" w:cs="宋体"/>
                <w:sz w:val="24"/>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18</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分包</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19</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偏离</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20</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构成竞争性磋商文件的其他材料</w:t>
            </w:r>
          </w:p>
        </w:tc>
        <w:tc>
          <w:tcPr>
            <w:tcW w:w="6423" w:type="dxa"/>
          </w:tcPr>
          <w:p>
            <w:pPr>
              <w:spacing w:line="360" w:lineRule="auto"/>
              <w:rPr>
                <w:rFonts w:ascii="宋体" w:hAnsi="宋体" w:cs="宋体"/>
                <w:sz w:val="24"/>
              </w:rPr>
            </w:pPr>
            <w:r>
              <w:rPr>
                <w:rFonts w:hint="eastAsia" w:ascii="宋体" w:hAnsi="宋体" w:cs="宋体"/>
                <w:sz w:val="24"/>
              </w:rPr>
              <w:t xml:space="preserve">采购人（招标代理机构）对供应商发出的书面通知及答疑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21</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供应商要求澄清招标文件的截止时间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投标截止时间前5日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134" w:type="dxa"/>
            <w:vAlign w:val="center"/>
          </w:tcPr>
          <w:p>
            <w:pPr>
              <w:spacing w:line="360" w:lineRule="auto"/>
              <w:jc w:val="center"/>
              <w:rPr>
                <w:rFonts w:ascii="宋体" w:hAnsi="宋体" w:cs="宋体"/>
                <w:sz w:val="24"/>
              </w:rPr>
            </w:pPr>
            <w:r>
              <w:rPr>
                <w:rFonts w:hint="eastAsia" w:ascii="宋体" w:hAnsi="宋体" w:cs="宋体"/>
                <w:sz w:val="24"/>
              </w:rPr>
              <w:t>22</w:t>
            </w:r>
          </w:p>
        </w:tc>
        <w:tc>
          <w:tcPr>
            <w:tcW w:w="2502" w:type="dxa"/>
            <w:shd w:val="clear" w:color="auto" w:fill="auto"/>
          </w:tcPr>
          <w:p>
            <w:pPr>
              <w:spacing w:line="360" w:lineRule="auto"/>
              <w:jc w:val="center"/>
              <w:rPr>
                <w:rFonts w:ascii="宋体" w:hAnsi="宋体" w:cs="宋体"/>
                <w:sz w:val="24"/>
              </w:rPr>
            </w:pPr>
            <w:r>
              <w:rPr>
                <w:rFonts w:hint="eastAsia" w:ascii="宋体" w:hAnsi="宋体" w:cs="宋体"/>
                <w:sz w:val="24"/>
              </w:rPr>
              <w:t>投标截止时间</w:t>
            </w:r>
          </w:p>
        </w:tc>
        <w:tc>
          <w:tcPr>
            <w:tcW w:w="6423" w:type="dxa"/>
            <w:shd w:val="clear" w:color="auto" w:fill="auto"/>
          </w:tcPr>
          <w:p>
            <w:pPr>
              <w:spacing w:line="360" w:lineRule="auto"/>
              <w:rPr>
                <w:rFonts w:ascii="宋体" w:hAnsi="宋体" w:cs="宋体"/>
                <w:b/>
                <w:sz w:val="24"/>
              </w:rPr>
            </w:pPr>
            <w:r>
              <w:rPr>
                <w:rFonts w:hint="eastAsia" w:ascii="宋体" w:hAnsi="宋体" w:cs="宋体"/>
                <w:b/>
                <w:sz w:val="24"/>
              </w:rPr>
              <w:t>2021年04月06日上午09时30分（北京时间）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23</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供应商确认收到招标文件澄清的时间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供应商确认收到招标文件修改的时间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 xml:space="preserve">收到修改的竞争性磋商文件当日内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25</w:t>
            </w:r>
          </w:p>
        </w:tc>
        <w:tc>
          <w:tcPr>
            <w:tcW w:w="2502" w:type="dxa"/>
          </w:tcPr>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r>
              <w:rPr>
                <w:rFonts w:hint="eastAsia" w:ascii="宋体" w:hAnsi="宋体" w:cs="宋体"/>
                <w:color w:val="000000"/>
                <w:sz w:val="24"/>
              </w:rPr>
              <w:t xml:space="preserve">构成竞争性磋商响应文件的其他材料 </w:t>
            </w:r>
          </w:p>
        </w:tc>
        <w:tc>
          <w:tcPr>
            <w:tcW w:w="6423" w:type="dxa"/>
          </w:tcPr>
          <w:p>
            <w:pPr>
              <w:spacing w:line="360" w:lineRule="auto"/>
              <w:rPr>
                <w:rFonts w:ascii="宋体" w:hAnsi="宋体" w:cs="宋体"/>
                <w:color w:val="0000FF"/>
                <w:sz w:val="24"/>
                <w:highlight w:val="yellow"/>
              </w:rPr>
            </w:pPr>
            <w:r>
              <w:rPr>
                <w:rFonts w:hint="eastAsia" w:ascii="宋体" w:hAnsi="宋体" w:cs="宋体"/>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pPr>
              <w:spacing w:line="360" w:lineRule="auto"/>
              <w:rPr>
                <w:rFonts w:ascii="宋体" w:hAnsi="宋体" w:cs="宋体"/>
                <w:color w:val="000000"/>
                <w:sz w:val="24"/>
              </w:rPr>
            </w:pPr>
            <w:r>
              <w:rPr>
                <w:rFonts w:hint="eastAsia" w:ascii="宋体" w:hAnsi="宋体" w:cs="宋体"/>
                <w:color w:val="000000"/>
                <w:sz w:val="24"/>
              </w:rPr>
              <w:t>2、依法对竞争性磋商响应文件所作的书面修改、补充的内容；</w:t>
            </w:r>
          </w:p>
          <w:p>
            <w:pPr>
              <w:spacing w:line="360" w:lineRule="auto"/>
              <w:rPr>
                <w:rFonts w:ascii="宋体" w:hAnsi="宋体" w:cs="宋体"/>
                <w:color w:val="000000"/>
                <w:sz w:val="24"/>
              </w:rPr>
            </w:pPr>
            <w:r>
              <w:rPr>
                <w:rFonts w:hint="eastAsia" w:ascii="宋体" w:hAnsi="宋体" w:cs="宋体"/>
                <w:color w:val="000000"/>
                <w:sz w:val="24"/>
              </w:rPr>
              <w:t>3、按评委会书面通知要求，对竞争性磋商响应文件所作出的书面澄清、说明的内容。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134" w:type="dxa"/>
          </w:tcPr>
          <w:p>
            <w:pPr>
              <w:spacing w:line="360" w:lineRule="auto"/>
              <w:jc w:val="center"/>
              <w:rPr>
                <w:rFonts w:ascii="宋体" w:hAnsi="宋体" w:cs="宋体"/>
                <w:sz w:val="24"/>
              </w:rPr>
            </w:pPr>
          </w:p>
          <w:p>
            <w:pPr>
              <w:spacing w:line="360" w:lineRule="auto"/>
              <w:jc w:val="center"/>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26</w:t>
            </w:r>
          </w:p>
        </w:tc>
        <w:tc>
          <w:tcPr>
            <w:tcW w:w="2502" w:type="dxa"/>
          </w:tcPr>
          <w:p>
            <w:pPr>
              <w:spacing w:line="360" w:lineRule="auto"/>
              <w:rPr>
                <w:rFonts w:ascii="宋体" w:hAnsi="宋体" w:cs="宋体"/>
                <w:sz w:val="24"/>
              </w:rPr>
            </w:pPr>
          </w:p>
          <w:p>
            <w:pPr>
              <w:spacing w:line="360" w:lineRule="auto"/>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最高投标限价</w:t>
            </w:r>
          </w:p>
        </w:tc>
        <w:tc>
          <w:tcPr>
            <w:tcW w:w="6423" w:type="dxa"/>
          </w:tcPr>
          <w:p>
            <w:pPr>
              <w:autoSpaceDE w:val="0"/>
              <w:autoSpaceDN w:val="0"/>
              <w:adjustRightInd w:val="0"/>
              <w:snapToGrid w:val="0"/>
              <w:spacing w:line="360" w:lineRule="auto"/>
              <w:ind w:left="3360" w:hanging="3360" w:hangingChars="1400"/>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设定。</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最高投标限价</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（大写）壹佰捌拾玖万捌仟柒佰肆拾元伍角柒分</w:t>
            </w:r>
          </w:p>
          <w:p>
            <w:pPr>
              <w:autoSpaceDE w:val="0"/>
              <w:autoSpaceDN w:val="0"/>
              <w:adjustRightInd w:val="0"/>
              <w:snapToGrid w:val="0"/>
              <w:spacing w:line="360" w:lineRule="auto"/>
              <w:jc w:val="left"/>
              <w:rPr>
                <w:rFonts w:ascii="宋体" w:hAnsi="宋体" w:cs="宋体"/>
                <w:b/>
                <w:sz w:val="24"/>
              </w:rPr>
            </w:pPr>
            <w:r>
              <w:rPr>
                <w:rFonts w:hint="eastAsia" w:ascii="宋体" w:hAnsi="宋体" w:cs="宋体"/>
                <w:b/>
                <w:sz w:val="24"/>
              </w:rPr>
              <w:t>（小写）1,898,740.57元</w:t>
            </w:r>
          </w:p>
          <w:p>
            <w:pPr>
              <w:autoSpaceDE w:val="0"/>
              <w:autoSpaceDN w:val="0"/>
              <w:adjustRightInd w:val="0"/>
              <w:snapToGrid w:val="0"/>
              <w:spacing w:line="360" w:lineRule="auto"/>
              <w:jc w:val="left"/>
              <w:rPr>
                <w:rFonts w:ascii="宋体" w:hAnsi="宋体" w:cs="宋体"/>
                <w:sz w:val="24"/>
              </w:rPr>
            </w:pPr>
            <w:r>
              <w:rPr>
                <w:rFonts w:hint="eastAsia" w:ascii="宋体" w:hAnsi="宋体" w:cs="宋体"/>
                <w:sz w:val="24"/>
              </w:rPr>
              <w:t>投标报价不得超过最高投标限价。</w:t>
            </w:r>
          </w:p>
          <w:p>
            <w:pPr>
              <w:spacing w:line="360" w:lineRule="auto"/>
              <w:rPr>
                <w:rFonts w:ascii="宋体" w:hAnsi="宋体" w:cs="宋体"/>
                <w:color w:val="000000"/>
                <w:sz w:val="24"/>
              </w:rPr>
            </w:pPr>
            <w:r>
              <w:rPr>
                <w:rFonts w:hint="eastAsia" w:ascii="宋体" w:hAnsi="宋体" w:cs="宋体"/>
                <w:sz w:val="24"/>
              </w:rPr>
              <w:t>□不设定。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sz w:val="24"/>
              </w:rPr>
              <w:t>27</w:t>
            </w:r>
          </w:p>
        </w:tc>
        <w:tc>
          <w:tcPr>
            <w:tcW w:w="2502" w:type="dxa"/>
          </w:tcPr>
          <w:p>
            <w:pPr>
              <w:spacing w:line="360" w:lineRule="auto"/>
              <w:rPr>
                <w:rFonts w:ascii="宋体" w:hAnsi="宋体" w:cs="宋体"/>
                <w:color w:val="000000"/>
                <w:sz w:val="24"/>
              </w:rPr>
            </w:pPr>
            <w:r>
              <w:rPr>
                <w:rFonts w:hint="eastAsia" w:ascii="宋体" w:hAnsi="宋体" w:cs="宋体"/>
                <w:sz w:val="24"/>
              </w:rPr>
              <w:t>磋商有效期</w:t>
            </w:r>
          </w:p>
        </w:tc>
        <w:tc>
          <w:tcPr>
            <w:tcW w:w="6423" w:type="dxa"/>
          </w:tcPr>
          <w:p>
            <w:pPr>
              <w:spacing w:line="360" w:lineRule="auto"/>
              <w:rPr>
                <w:rFonts w:ascii="宋体" w:hAnsi="宋体" w:cs="宋体"/>
                <w:color w:val="000000"/>
                <w:sz w:val="24"/>
              </w:rPr>
            </w:pPr>
            <w:r>
              <w:rPr>
                <w:rFonts w:hint="eastAsia" w:ascii="宋体" w:hAnsi="宋体" w:cs="宋体"/>
                <w:sz w:val="24"/>
              </w:rPr>
              <w:t xml:space="preserve">自投标截止之日起 60日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sz w:val="24"/>
              </w:rPr>
              <w:t>28</w:t>
            </w:r>
          </w:p>
        </w:tc>
        <w:tc>
          <w:tcPr>
            <w:tcW w:w="2502" w:type="dxa"/>
            <w:vAlign w:val="center"/>
          </w:tcPr>
          <w:p>
            <w:pPr>
              <w:spacing w:line="360" w:lineRule="auto"/>
              <w:rPr>
                <w:rFonts w:ascii="宋体" w:hAnsi="宋体" w:cs="宋体"/>
                <w:color w:val="000000"/>
                <w:sz w:val="24"/>
              </w:rPr>
            </w:pPr>
            <w:r>
              <w:rPr>
                <w:rFonts w:hint="eastAsia" w:ascii="宋体" w:hAnsi="宋体" w:cs="宋体"/>
                <w:sz w:val="24"/>
              </w:rPr>
              <w:t>磋商保证金</w:t>
            </w:r>
          </w:p>
        </w:tc>
        <w:tc>
          <w:tcPr>
            <w:tcW w:w="6423" w:type="dxa"/>
          </w:tcPr>
          <w:p>
            <w:pPr>
              <w:numPr>
                <w:ilvl w:val="0"/>
                <w:numId w:val="1"/>
              </w:numPr>
              <w:spacing w:line="360" w:lineRule="auto"/>
              <w:rPr>
                <w:rFonts w:ascii="宋体" w:hAnsi="宋体" w:cs="宋体"/>
                <w:b/>
                <w:sz w:val="24"/>
              </w:rPr>
            </w:pPr>
            <w:r>
              <w:rPr>
                <w:rFonts w:hint="eastAsia" w:ascii="宋体" w:hAnsi="宋体" w:cs="宋体"/>
                <w:b/>
                <w:sz w:val="24"/>
              </w:rPr>
              <w:t>交纳金额：人民币（大写）：叁万元整</w:t>
            </w:r>
          </w:p>
          <w:p>
            <w:pPr>
              <w:spacing w:line="360" w:lineRule="auto"/>
              <w:rPr>
                <w:rFonts w:ascii="宋体" w:hAnsi="宋体" w:cs="宋体"/>
                <w:b/>
                <w:sz w:val="24"/>
              </w:rPr>
            </w:pPr>
            <w:r>
              <w:rPr>
                <w:rFonts w:hint="eastAsia" w:ascii="宋体" w:hAnsi="宋体" w:cs="宋体"/>
                <w:b/>
                <w:sz w:val="24"/>
              </w:rPr>
              <w:t xml:space="preserve">                   （小写）：30,000.00元</w:t>
            </w:r>
          </w:p>
          <w:p>
            <w:pPr>
              <w:spacing w:line="360" w:lineRule="auto"/>
              <w:rPr>
                <w:rFonts w:ascii="宋体" w:hAnsi="宋体" w:cs="宋体"/>
                <w:sz w:val="24"/>
              </w:rPr>
            </w:pPr>
            <w:r>
              <w:rPr>
                <w:rFonts w:hint="eastAsia" w:ascii="宋体" w:hAnsi="宋体" w:cs="宋体"/>
                <w:sz w:val="24"/>
              </w:rPr>
              <w:t>2、磋商保证金形式：</w:t>
            </w:r>
            <w:r>
              <w:rPr>
                <w:rFonts w:hint="eastAsia" w:ascii="宋体" w:hAnsi="宋体" w:cs="宋体"/>
                <w:color w:val="000000"/>
                <w:kern w:val="0"/>
                <w:sz w:val="24"/>
              </w:rPr>
              <w:t>投标保证金应当以支票、汇票、本票或者金融机构、担保机构出具的保函等非现金形式提交。通过银行转账的，必须由供应商从其基本账户(须提供开户许可证复印件)汇（转）入</w:t>
            </w:r>
            <w:r>
              <w:rPr>
                <w:rFonts w:hint="eastAsia" w:ascii="宋体" w:hAnsi="宋体" w:cs="宋体"/>
                <w:sz w:val="24"/>
              </w:rPr>
              <w:t>采购代理机构磋商保证金专用账号，并附投标单位基本账户开户许可证复印件；</w:t>
            </w:r>
          </w:p>
          <w:p>
            <w:pPr>
              <w:spacing w:line="360" w:lineRule="auto"/>
              <w:rPr>
                <w:rFonts w:ascii="宋体" w:hAnsi="宋体" w:cs="宋体"/>
                <w:sz w:val="24"/>
              </w:rPr>
            </w:pPr>
            <w:r>
              <w:rPr>
                <w:rFonts w:hint="eastAsia" w:ascii="宋体" w:hAnsi="宋体" w:cs="宋体"/>
                <w:sz w:val="24"/>
              </w:rPr>
              <w:t xml:space="preserve">3、磋商保证金缴纳截止时间：以投标截止时间前一个工作日（17:00前）采购代理机构财务收到银行送达的到账回单为准； </w:t>
            </w:r>
          </w:p>
          <w:p>
            <w:pPr>
              <w:spacing w:line="360" w:lineRule="auto"/>
              <w:rPr>
                <w:rFonts w:ascii="宋体" w:hAnsi="宋体" w:cs="宋体"/>
                <w:sz w:val="24"/>
              </w:rPr>
            </w:pPr>
            <w:r>
              <w:rPr>
                <w:rFonts w:hint="eastAsia" w:ascii="宋体" w:hAnsi="宋体" w:cs="宋体"/>
                <w:b/>
                <w:sz w:val="24"/>
              </w:rPr>
              <w:t>开户银行：青海银行股份有限公司海湖新区支行</w:t>
            </w:r>
          </w:p>
          <w:p>
            <w:pPr>
              <w:spacing w:line="360" w:lineRule="auto"/>
              <w:rPr>
                <w:rFonts w:ascii="宋体" w:hAnsi="宋体" w:cs="宋体"/>
                <w:sz w:val="24"/>
              </w:rPr>
            </w:pPr>
            <w:r>
              <w:rPr>
                <w:rFonts w:hint="eastAsia" w:ascii="宋体" w:hAnsi="宋体" w:cs="宋体"/>
                <w:b/>
                <w:sz w:val="24"/>
              </w:rPr>
              <w:t>磋商保证金账号：0701201000215023</w:t>
            </w:r>
          </w:p>
          <w:p>
            <w:pPr>
              <w:spacing w:line="360" w:lineRule="auto"/>
              <w:rPr>
                <w:rFonts w:ascii="宋体" w:hAnsi="宋体" w:cs="宋体"/>
                <w:b/>
                <w:sz w:val="24"/>
              </w:rPr>
            </w:pPr>
            <w:r>
              <w:rPr>
                <w:rFonts w:hint="eastAsia" w:ascii="宋体" w:hAnsi="宋体" w:cs="宋体"/>
                <w:b/>
                <w:sz w:val="24"/>
              </w:rPr>
              <w:t xml:space="preserve">行号：313851007028 </w:t>
            </w:r>
          </w:p>
          <w:p>
            <w:pPr>
              <w:spacing w:line="360" w:lineRule="auto"/>
              <w:rPr>
                <w:rFonts w:ascii="宋体" w:hAnsi="宋体" w:cs="宋体"/>
                <w:sz w:val="24"/>
              </w:rPr>
            </w:pPr>
            <w:r>
              <w:rPr>
                <w:rFonts w:hint="eastAsia" w:ascii="宋体" w:hAnsi="宋体" w:cs="宋体"/>
                <w:b/>
                <w:sz w:val="24"/>
              </w:rPr>
              <w:t>收款单位：青海恒诚工程项目管理有限公司</w:t>
            </w:r>
          </w:p>
          <w:p>
            <w:pPr>
              <w:spacing w:line="360" w:lineRule="auto"/>
              <w:rPr>
                <w:rFonts w:ascii="宋体" w:hAnsi="宋体" w:cs="宋体"/>
                <w:sz w:val="24"/>
              </w:rPr>
            </w:pPr>
            <w:r>
              <w:rPr>
                <w:rFonts w:hint="eastAsia" w:ascii="宋体" w:hAnsi="宋体" w:cs="宋体"/>
                <w:sz w:val="24"/>
              </w:rPr>
              <w:t>4、磋商保证金的退还，由招标代理机构通过银行转入未中标的供应商和中标人的原银行汇（转）出账户；</w:t>
            </w:r>
          </w:p>
          <w:p>
            <w:pPr>
              <w:spacing w:line="360" w:lineRule="auto"/>
              <w:rPr>
                <w:rFonts w:ascii="宋体" w:hAnsi="宋体" w:cs="宋体"/>
                <w:sz w:val="24"/>
              </w:rPr>
            </w:pPr>
            <w:r>
              <w:rPr>
                <w:rFonts w:hint="eastAsia" w:ascii="宋体" w:hAnsi="宋体" w:cs="宋体"/>
                <w:sz w:val="24"/>
              </w:rPr>
              <w:t>5、供应商在投标截止时间前撤回竞争性磋商响应文件的，采购人自收到供应商书面撤回通知之日起5日内退还磋商保证金；</w:t>
            </w:r>
          </w:p>
          <w:p>
            <w:pPr>
              <w:autoSpaceDE w:val="0"/>
              <w:autoSpaceDN w:val="0"/>
              <w:adjustRightInd w:val="0"/>
              <w:spacing w:line="360" w:lineRule="auto"/>
              <w:jc w:val="left"/>
              <w:rPr>
                <w:rFonts w:ascii="宋体" w:hAnsi="宋体" w:cs="宋体"/>
                <w:sz w:val="24"/>
              </w:rPr>
            </w:pPr>
            <w:r>
              <w:rPr>
                <w:rFonts w:hint="eastAsia" w:ascii="宋体" w:hAnsi="宋体" w:cs="宋体"/>
                <w:sz w:val="24"/>
              </w:rPr>
              <w:t>6、磋商保证金退还日期：招标代理机构自收到采购人送交的书面合同的第二日起5日内，以银行转账日期为准。（所退保证金不含利息）</w:t>
            </w:r>
          </w:p>
          <w:p>
            <w:pPr>
              <w:autoSpaceDE w:val="0"/>
              <w:autoSpaceDN w:val="0"/>
              <w:adjustRightInd w:val="0"/>
              <w:spacing w:line="360" w:lineRule="auto"/>
              <w:jc w:val="left"/>
              <w:rPr>
                <w:rFonts w:ascii="宋体" w:hAnsi="宋体" w:cs="宋体"/>
                <w:color w:val="000000"/>
                <w:sz w:val="24"/>
              </w:rPr>
            </w:pPr>
            <w:r>
              <w:rPr>
                <w:rFonts w:hint="eastAsia" w:ascii="宋体" w:hAnsi="宋体" w:cs="宋体"/>
                <w:b/>
                <w:sz w:val="24"/>
              </w:rPr>
              <w:t>保证金退还联系电话：0971-8569060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近年财务状况的年份要求</w:t>
            </w:r>
          </w:p>
        </w:tc>
        <w:tc>
          <w:tcPr>
            <w:tcW w:w="6423" w:type="dxa"/>
          </w:tcPr>
          <w:p>
            <w:pPr>
              <w:spacing w:line="360" w:lineRule="auto"/>
              <w:rPr>
                <w:rFonts w:ascii="宋体" w:hAnsi="宋体" w:cs="宋体"/>
                <w:color w:val="000000"/>
                <w:sz w:val="24"/>
              </w:rPr>
            </w:pPr>
            <w:r>
              <w:rPr>
                <w:rFonts w:hint="eastAsia" w:ascii="宋体" w:hAnsi="宋体" w:cs="宋体"/>
                <w:sz w:val="24"/>
              </w:rPr>
              <w:t>2019年度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30</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近年完成的类似项目的年份要求</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2018年至今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是否允许递交备选</w:t>
            </w:r>
          </w:p>
          <w:p>
            <w:pPr>
              <w:spacing w:line="360" w:lineRule="auto"/>
              <w:rPr>
                <w:rFonts w:ascii="宋体" w:hAnsi="宋体" w:cs="宋体"/>
                <w:color w:val="000000"/>
                <w:sz w:val="24"/>
              </w:rPr>
            </w:pPr>
            <w:r>
              <w:rPr>
                <w:rFonts w:hint="eastAsia" w:ascii="宋体" w:hAnsi="宋体" w:cs="宋体"/>
                <w:color w:val="000000"/>
                <w:sz w:val="24"/>
              </w:rPr>
              <w:t>投标方案</w:t>
            </w:r>
          </w:p>
        </w:tc>
        <w:tc>
          <w:tcPr>
            <w:tcW w:w="6423" w:type="dxa"/>
          </w:tcPr>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不允许</w:t>
            </w:r>
          </w:p>
          <w:p>
            <w:pPr>
              <w:spacing w:line="360" w:lineRule="auto"/>
              <w:rPr>
                <w:rFonts w:ascii="宋体" w:hAnsi="宋体" w:cs="宋体"/>
                <w:color w:val="000000"/>
                <w:sz w:val="24"/>
              </w:rPr>
            </w:pPr>
            <w:r>
              <w:rPr>
                <w:rFonts w:hint="eastAsia" w:ascii="宋体" w:hAnsi="宋体" w:cs="宋体"/>
                <w:color w:val="00000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32</w:t>
            </w:r>
          </w:p>
        </w:tc>
        <w:tc>
          <w:tcPr>
            <w:tcW w:w="2502" w:type="dxa"/>
            <w:vAlign w:val="center"/>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lang w:val="zh-CN"/>
              </w:rPr>
              <w:t>磋商响应文件编制要求</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rPr>
              <w:t>1、供应商</w:t>
            </w:r>
            <w:r>
              <w:rPr>
                <w:rFonts w:hint="eastAsia" w:ascii="宋体" w:hAnsi="宋体" w:cs="宋体"/>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pPr>
              <w:spacing w:line="360" w:lineRule="auto"/>
              <w:rPr>
                <w:rFonts w:ascii="宋体" w:hAnsi="宋体" w:cs="宋体"/>
                <w:color w:val="000000"/>
                <w:sz w:val="24"/>
                <w:lang w:val="zh-CN"/>
              </w:rPr>
            </w:pPr>
            <w:r>
              <w:rPr>
                <w:rFonts w:hint="eastAsia" w:ascii="宋体" w:hAnsi="宋体" w:cs="宋体"/>
                <w:color w:val="000000"/>
                <w:sz w:val="24"/>
              </w:rPr>
              <w:t>2</w:t>
            </w:r>
            <w:r>
              <w:rPr>
                <w:rFonts w:hint="eastAsia" w:ascii="宋体" w:hAnsi="宋体" w:cs="宋体"/>
                <w:color w:val="000000"/>
                <w:sz w:val="24"/>
                <w:lang w:val="zh-CN"/>
              </w:rPr>
              <w:t>、磋商响应文件的正本和副本均需打印或用不褪色、不变质的墨水书写，并由</w:t>
            </w:r>
            <w:r>
              <w:rPr>
                <w:rFonts w:hint="eastAsia" w:ascii="宋体" w:hAnsi="宋体" w:cs="宋体"/>
                <w:color w:val="000000"/>
                <w:sz w:val="24"/>
              </w:rPr>
              <w:t>供应商</w:t>
            </w:r>
            <w:r>
              <w:rPr>
                <w:rFonts w:hint="eastAsia" w:ascii="宋体" w:hAnsi="宋体" w:cs="宋体"/>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pPr>
              <w:spacing w:line="360" w:lineRule="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zh-CN"/>
              </w:rPr>
              <w:t>、磋商响应文件中不得行间插字、涂改或增删，如有修改错漏处，须由磋商企业法人本人或其委托代理人本人签字或盖个人印鉴。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33</w:t>
            </w:r>
          </w:p>
        </w:tc>
        <w:tc>
          <w:tcPr>
            <w:tcW w:w="2502" w:type="dxa"/>
            <w:vAlign w:val="center"/>
          </w:tcPr>
          <w:p>
            <w:pPr>
              <w:spacing w:line="360" w:lineRule="auto"/>
              <w:jc w:val="center"/>
              <w:rPr>
                <w:rFonts w:ascii="宋体" w:hAnsi="宋体" w:cs="宋体"/>
                <w:color w:val="000000"/>
                <w:sz w:val="24"/>
                <w:lang w:val="zh-CN"/>
              </w:rPr>
            </w:pPr>
            <w:r>
              <w:rPr>
                <w:rFonts w:hint="eastAsia" w:ascii="宋体" w:hAnsi="宋体" w:cs="宋体"/>
                <w:color w:val="000000"/>
                <w:sz w:val="24"/>
                <w:lang w:val="zh-CN"/>
              </w:rPr>
              <w:t>磋商响应文件的密封</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lang w:val="zh-CN"/>
              </w:rPr>
              <w:t>磋商响应文件外层密封袋的标注：采购项目名称、采购项目编号、供应商名称、年月日以及“于202</w:t>
            </w:r>
            <w:r>
              <w:rPr>
                <w:rFonts w:hint="eastAsia" w:ascii="宋体" w:hAnsi="宋体" w:cs="宋体"/>
                <w:color w:val="000000"/>
                <w:sz w:val="24"/>
              </w:rPr>
              <w:t>1</w:t>
            </w:r>
            <w:r>
              <w:rPr>
                <w:rFonts w:hint="eastAsia" w:ascii="宋体" w:hAnsi="宋体" w:cs="宋体"/>
                <w:color w:val="000000"/>
                <w:sz w:val="24"/>
                <w:lang w:val="zh-CN"/>
              </w:rPr>
              <w:t>年 *月 *日上午*时*分之前不准启封”字样。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递交竞争性磋商响应文件地点</w:t>
            </w:r>
          </w:p>
        </w:tc>
        <w:tc>
          <w:tcPr>
            <w:tcW w:w="6423" w:type="dxa"/>
          </w:tcPr>
          <w:p>
            <w:pPr>
              <w:autoSpaceDE w:val="0"/>
              <w:autoSpaceDN w:val="0"/>
              <w:adjustRightInd w:val="0"/>
              <w:spacing w:line="360" w:lineRule="auto"/>
              <w:ind w:left="720" w:hanging="720" w:hangingChars="300"/>
              <w:jc w:val="left"/>
              <w:rPr>
                <w:rFonts w:ascii="宋体" w:hAnsi="宋体" w:cs="宋体"/>
                <w:sz w:val="24"/>
              </w:rPr>
            </w:pPr>
            <w:r>
              <w:rPr>
                <w:rFonts w:hint="eastAsia" w:ascii="宋体" w:hAnsi="宋体" w:cs="宋体"/>
                <w:sz w:val="24"/>
              </w:rPr>
              <w:t>青海恒诚工程项目管理有限公司</w:t>
            </w:r>
          </w:p>
          <w:p>
            <w:pPr>
              <w:autoSpaceDE w:val="0"/>
              <w:autoSpaceDN w:val="0"/>
              <w:adjustRightInd w:val="0"/>
              <w:spacing w:line="360" w:lineRule="auto"/>
              <w:ind w:left="720" w:hanging="720" w:hangingChars="300"/>
              <w:jc w:val="left"/>
              <w:rPr>
                <w:rFonts w:ascii="宋体" w:hAnsi="宋体" w:cs="宋体"/>
                <w:sz w:val="24"/>
              </w:rPr>
            </w:pPr>
            <w:r>
              <w:rPr>
                <w:rFonts w:hint="eastAsia" w:ascii="宋体" w:hAnsi="宋体" w:cs="宋体"/>
                <w:sz w:val="24"/>
              </w:rPr>
              <w:t>（海湖新区美仑金座B座11楼1104）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是否退还竞争性磋商响应文件</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36</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开标时间和地点</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开标时间：同投标截止时间。</w:t>
            </w:r>
          </w:p>
          <w:p>
            <w:pPr>
              <w:spacing w:line="360" w:lineRule="auto"/>
              <w:rPr>
                <w:rFonts w:ascii="宋体" w:hAnsi="宋体" w:cs="宋体"/>
                <w:color w:val="000000"/>
                <w:sz w:val="24"/>
              </w:rPr>
            </w:pPr>
            <w:r>
              <w:rPr>
                <w:rFonts w:hint="eastAsia" w:ascii="宋体" w:hAnsi="宋体" w:cs="宋体"/>
                <w:color w:val="000000"/>
                <w:sz w:val="24"/>
              </w:rPr>
              <w:t>开标地点:同递交竞争性磋商响应文件地点。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37</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开标程序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密封情况检查：监督部门或供应商代表现场检查密封情况，当众开封并记录；</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开标顺序：按竞争性磋商响应文件递交的逆顺序。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38</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磋商小组的组建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磋商小组构成:3人及以上单数，经济技术专家占三分之二以上；</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评标专家确定方式：专家库随机抽取。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39</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是否授权磋商小组</w:t>
            </w:r>
          </w:p>
          <w:p>
            <w:pPr>
              <w:spacing w:line="360" w:lineRule="auto"/>
              <w:rPr>
                <w:rFonts w:ascii="宋体" w:hAnsi="宋体" w:cs="宋体"/>
                <w:color w:val="000000"/>
                <w:sz w:val="24"/>
              </w:rPr>
            </w:pPr>
            <w:r>
              <w:rPr>
                <w:rFonts w:hint="eastAsia" w:ascii="宋体" w:hAnsi="宋体" w:cs="宋体"/>
                <w:color w:val="000000"/>
                <w:sz w:val="24"/>
              </w:rPr>
              <w:t>确定中标人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□是。但中标人放弃中标或者不符合中标条件等情形的，采购人按照《中华人民共和国招标投标法实施条例》第55条的规定执行。</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否，推荐中标候选人数：不超过3个，并标明排序。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rPr>
              <w:t>40</w:t>
            </w:r>
          </w:p>
        </w:tc>
        <w:tc>
          <w:tcPr>
            <w:tcW w:w="2502" w:type="dxa"/>
            <w:vAlign w:val="center"/>
          </w:tcPr>
          <w:p>
            <w:pPr>
              <w:spacing w:line="360" w:lineRule="auto"/>
              <w:ind w:firstLine="120" w:firstLineChars="50"/>
              <w:rPr>
                <w:rFonts w:ascii="宋体" w:hAnsi="宋体" w:cs="宋体"/>
                <w:color w:val="000000"/>
                <w:sz w:val="24"/>
              </w:rPr>
            </w:pPr>
            <w:r>
              <w:rPr>
                <w:rFonts w:hint="eastAsia" w:ascii="宋体" w:hAnsi="宋体" w:cs="宋体"/>
                <w:color w:val="000000"/>
                <w:sz w:val="24"/>
              </w:rPr>
              <w:t>履约担保</w:t>
            </w:r>
          </w:p>
        </w:tc>
        <w:tc>
          <w:tcPr>
            <w:tcW w:w="6423" w:type="dxa"/>
          </w:tcPr>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履约担保的形式：</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保证金</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银行保函</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担保书</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履约担保的金额： 签订合同前约定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41</w:t>
            </w:r>
          </w:p>
        </w:tc>
        <w:tc>
          <w:tcPr>
            <w:tcW w:w="8925" w:type="dxa"/>
            <w:gridSpan w:val="2"/>
          </w:tcPr>
          <w:p>
            <w:pPr>
              <w:spacing w:line="360" w:lineRule="auto"/>
              <w:jc w:val="center"/>
              <w:rPr>
                <w:rFonts w:ascii="宋体" w:hAnsi="宋体" w:cs="宋体"/>
                <w:b/>
                <w:color w:val="000000"/>
                <w:sz w:val="24"/>
              </w:rPr>
            </w:pPr>
            <w:r>
              <w:rPr>
                <w:rFonts w:hint="eastAsia" w:ascii="宋体" w:hAnsi="宋体" w:cs="宋体"/>
                <w:b/>
                <w:color w:val="000000"/>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kern w:val="0"/>
                <w:sz w:val="24"/>
              </w:rPr>
            </w:pPr>
            <w:r>
              <w:rPr>
                <w:rFonts w:hint="eastAsia" w:ascii="宋体" w:hAnsi="宋体" w:cs="宋体"/>
                <w:kern w:val="0"/>
                <w:sz w:val="24"/>
              </w:rPr>
              <w:t>42</w:t>
            </w:r>
          </w:p>
        </w:tc>
        <w:tc>
          <w:tcPr>
            <w:tcW w:w="2502" w:type="dxa"/>
          </w:tcPr>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竞争性磋商文件的</w:t>
            </w:r>
          </w:p>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发售时间</w:t>
            </w:r>
          </w:p>
        </w:tc>
        <w:tc>
          <w:tcPr>
            <w:tcW w:w="6423" w:type="dxa"/>
          </w:tcPr>
          <w:p>
            <w:pPr>
              <w:topLinePunct/>
              <w:autoSpaceDN w:val="0"/>
              <w:adjustRightInd w:val="0"/>
              <w:snapToGrid w:val="0"/>
              <w:spacing w:line="360" w:lineRule="auto"/>
              <w:rPr>
                <w:rFonts w:ascii="宋体" w:hAnsi="宋体" w:cs="宋体"/>
                <w:b/>
                <w:kern w:val="0"/>
                <w:sz w:val="24"/>
              </w:rPr>
            </w:pPr>
            <w:r>
              <w:rPr>
                <w:rFonts w:hint="eastAsia" w:ascii="宋体" w:hAnsi="宋体" w:cs="宋体"/>
                <w:color w:val="000000" w:themeColor="text1"/>
                <w:sz w:val="24"/>
              </w:rPr>
              <w:t>2021年03月26日至2021年04月01日</w:t>
            </w: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43</w:t>
            </w:r>
          </w:p>
        </w:tc>
        <w:tc>
          <w:tcPr>
            <w:tcW w:w="2502" w:type="dxa"/>
          </w:tcPr>
          <w:p>
            <w:pPr>
              <w:topLinePunct/>
              <w:autoSpaceDN w:val="0"/>
              <w:adjustRightInd w:val="0"/>
              <w:snapToGrid w:val="0"/>
              <w:spacing w:line="360" w:lineRule="auto"/>
              <w:jc w:val="left"/>
              <w:rPr>
                <w:rFonts w:ascii="宋体" w:hAnsi="宋体" w:cs="宋体"/>
                <w:color w:val="000000"/>
                <w:kern w:val="0"/>
                <w:sz w:val="24"/>
              </w:rPr>
            </w:pPr>
            <w:r>
              <w:rPr>
                <w:rFonts w:hint="eastAsia" w:ascii="宋体" w:hAnsi="宋体" w:cs="宋体"/>
                <w:color w:val="000000"/>
                <w:kern w:val="0"/>
                <w:sz w:val="24"/>
              </w:rPr>
              <w:t>标底</w:t>
            </w:r>
          </w:p>
        </w:tc>
        <w:tc>
          <w:tcPr>
            <w:tcW w:w="6423" w:type="dxa"/>
          </w:tcPr>
          <w:p>
            <w:pPr>
              <w:topLinePunct/>
              <w:autoSpaceDN w:val="0"/>
              <w:adjustRightInd w:val="0"/>
              <w:snapToGrid w:val="0"/>
              <w:spacing w:line="360" w:lineRule="auto"/>
              <w:rPr>
                <w:rFonts w:ascii="宋体" w:hAnsi="宋体" w:cs="宋体"/>
                <w:color w:val="000000"/>
                <w:kern w:val="0"/>
                <w:sz w:val="24"/>
              </w:rPr>
            </w:pPr>
            <w:r>
              <w:rPr>
                <w:rFonts w:hint="eastAsia" w:ascii="宋体" w:hAnsi="宋体" w:cs="宋体"/>
                <w:color w:val="000000"/>
                <w:kern w:val="0"/>
                <w:sz w:val="24"/>
              </w:rPr>
              <w:t>设置标底的在开标时公布。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p>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44</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开标会议</w:t>
            </w:r>
          </w:p>
        </w:tc>
        <w:tc>
          <w:tcPr>
            <w:tcW w:w="6423" w:type="dxa"/>
          </w:tcPr>
          <w:p>
            <w:pPr>
              <w:topLinePunct/>
              <w:adjustRightInd w:val="0"/>
              <w:snapToGrid w:val="0"/>
              <w:spacing w:line="360" w:lineRule="auto"/>
              <w:jc w:val="left"/>
              <w:rPr>
                <w:rFonts w:ascii="宋体" w:hAnsi="宋体" w:cs="宋体"/>
                <w:sz w:val="24"/>
              </w:rPr>
            </w:pPr>
            <w:r>
              <w:rPr>
                <w:rFonts w:hint="eastAsia" w:ascii="宋体" w:hAnsi="宋体" w:cs="宋体"/>
                <w:sz w:val="24"/>
              </w:rPr>
              <w:t>采购人邀请所有供应商的法定代表人(或其委托代理人)参加开标会，法定代表人(或其委托代理人)当届时参加，并按开标程序向采购人提交本人身份证，以证明其竞争性磋商响应文件中有关身份资料的真实性。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45</w:t>
            </w:r>
          </w:p>
        </w:tc>
        <w:tc>
          <w:tcPr>
            <w:tcW w:w="2502"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中标公示</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采购人在本采购项目招标公告发布的同一媒介将中标候选人予以公示。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46</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知识产权</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构成本竞争性磋商文件各个组成部分的文件，未经采购人书面同意，供应商不得擅自复印和用于非本招标工程所需的其他目的。采购人全部或者部分使用非中标单位竞争性磋商响应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47</w:t>
            </w:r>
          </w:p>
        </w:tc>
        <w:tc>
          <w:tcPr>
            <w:tcW w:w="2502" w:type="dxa"/>
          </w:tcPr>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词语含义</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1、本竞争性磋商文件中的“通用合同条款”、“专用合同条款”、“技术标准和要求”和“工程量清单”等章节中的 “发包人”和“承包人”，在招标投标各阶段应当分别以“采购人”和“供应商”、“中标人”理解。</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kern w:val="0"/>
                <w:sz w:val="24"/>
              </w:rPr>
              <w:t>类似项目（工程）是指与采购项目（工程）在结构形式、使用功能、建设规模相同或相近似的项目（工程）。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48</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监督执法</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供应商及其他参与本项目招标投标活动的相关人员应当支持、服从有关行政监督部门对招标投标活动依法实施的监督执法。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49</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竞争性磋商文件解释</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按构成本竞争性磋商文件的各个组成文件应互为解释，互为说明；</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如有不明确或理解不一致的，构成合同文件组成内容的，以合同文件约定内容为准，且以合同条款约定的优先解释顺序；仅适用于招标投标阶段的约定，按招标公告（投标邀请书）、供应商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pPr>
              <w:topLinePunct/>
              <w:adjustRightInd w:val="0"/>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竞争性磋商响应文件电子版仅为采购人的存档资料，其内容电子版内容与纸质版内容不一致使，以纸质版内容为准。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50</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招标代理费</w:t>
            </w:r>
          </w:p>
        </w:tc>
        <w:tc>
          <w:tcPr>
            <w:tcW w:w="6423" w:type="dxa"/>
          </w:tcPr>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sz w:val="24"/>
              </w:rPr>
              <w:t>收取对象：采购人</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收费标准：按照计价格【2002】1980号文及发改价格【2015】299号文规定，收取招标代理服务费。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51</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期  间</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sz w:val="24"/>
              </w:rPr>
              <w:t>52</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竞争性磋商响应文件电子版</w:t>
            </w: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要求</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□不要求</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要求，竞争性磋商响应文件电子版份数：1份</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 xml:space="preserve">        竞争性磋商响应文件电子版形式：U盘</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密封要求：单独密封，封口处加贴封条，并加盖供应商单位章，应在封套上载明：采购人名称：</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u w:val="single"/>
              </w:rPr>
              <w:t xml:space="preserve">  (项目名称含标段)  </w:t>
            </w:r>
            <w:r>
              <w:rPr>
                <w:rFonts w:hint="eastAsia" w:ascii="宋体" w:hAnsi="宋体" w:cs="宋体"/>
                <w:color w:val="000000"/>
                <w:sz w:val="24"/>
              </w:rPr>
              <w:t>竞争性磋商响应文件</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在    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53</w:t>
            </w:r>
          </w:p>
        </w:tc>
        <w:tc>
          <w:tcPr>
            <w:tcW w:w="2502" w:type="dxa"/>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文明安全施工</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54</w:t>
            </w:r>
          </w:p>
        </w:tc>
        <w:tc>
          <w:tcPr>
            <w:tcW w:w="2502" w:type="dxa"/>
          </w:tcPr>
          <w:p>
            <w:pPr>
              <w:topLinePunct/>
              <w:autoSpaceDN w:val="0"/>
              <w:adjustRightInd w:val="0"/>
              <w:snapToGrid w:val="0"/>
              <w:spacing w:line="360" w:lineRule="auto"/>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其他要求</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kern w:val="0"/>
                <w:sz w:val="24"/>
              </w:rPr>
              <w:t>1、</w:t>
            </w:r>
            <w:r>
              <w:rPr>
                <w:rFonts w:hint="eastAsia" w:ascii="宋体" w:hAnsi="宋体" w:cs="宋体"/>
                <w:color w:val="000000"/>
                <w:sz w:val="24"/>
              </w:rPr>
              <w:t>采购项目进入招投标交易场所的，应执行招投标交易场所的相关规定。</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2、供应商必须对所提交材料的合法性、真实性、完整性负责。</w:t>
            </w:r>
          </w:p>
        </w:tc>
      </w:tr>
    </w:tbl>
    <w:p>
      <w:pPr>
        <w:pStyle w:val="3"/>
        <w:spacing w:before="0" w:after="0" w:line="360" w:lineRule="auto"/>
        <w:rPr>
          <w:rFonts w:ascii="宋体" w:hAnsi="宋体" w:eastAsia="宋体" w:cs="宋体"/>
          <w:color w:val="000000"/>
          <w:kern w:val="0"/>
          <w:sz w:val="28"/>
          <w:szCs w:val="28"/>
        </w:rPr>
      </w:pPr>
      <w:bookmarkStart w:id="6" w:name="_Toc25731"/>
      <w:bookmarkStart w:id="7" w:name="_Toc18192"/>
      <w:bookmarkStart w:id="8" w:name="_Toc320714313"/>
      <w:bookmarkStart w:id="9" w:name="_Toc320713175"/>
      <w:r>
        <w:rPr>
          <w:rFonts w:hint="eastAsia" w:ascii="宋体" w:hAnsi="宋体" w:eastAsia="宋体" w:cs="宋体"/>
          <w:color w:val="000000"/>
          <w:kern w:val="0"/>
          <w:sz w:val="28"/>
          <w:szCs w:val="28"/>
        </w:rPr>
        <w:t>1. 总则</w:t>
      </w:r>
      <w:bookmarkEnd w:id="6"/>
      <w:bookmarkEnd w:id="7"/>
      <w:bookmarkEnd w:id="8"/>
      <w:bookmarkEnd w:id="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 项目概况</w:t>
      </w:r>
    </w:p>
    <w:p>
      <w:pPr>
        <w:keepLines/>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 根据《中华人民共和国招标投标法》等有关法律、法规和规章的规定，本采购项目已具备招标条件，现对本工程施工进行招标。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 本采购项目采购人：见供应商须知前附表。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本采购项目招标代理机构：见供应商须知前附表。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本采购项目名称：见供应商须知前附表。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本采购项目建设地点：见供应商须知前附表。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1.2 资金来源和落实情况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1.2.1 本采购项目的资金来源：见供应商须知前附表。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1.2.2 本采购项目的出资比例：见供应商须知前附表。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 本采购项目的资金落实情况：见供应商须知前附表。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1.3 招标范围、计划工期和质量要求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1.3.1 本次磋商范围：见供应商须知前附表。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 本采购项目的计划工期：见供应商须知前附表。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 本采购项目的质量要求：见供应商须知前附表。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1.4 供应商资格要求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1.4.1 供应商应具备承担本标段施工的资质条件、能力和信誉。</w:t>
      </w:r>
    </w:p>
    <w:p>
      <w:pPr>
        <w:spacing w:line="360" w:lineRule="auto"/>
        <w:ind w:firstLine="480" w:firstLineChars="200"/>
        <w:rPr>
          <w:rFonts w:ascii="宋体" w:hAnsi="宋体" w:cs="宋体"/>
          <w:color w:val="000000"/>
          <w:sz w:val="24"/>
        </w:rPr>
      </w:pPr>
      <w:r>
        <w:rPr>
          <w:rFonts w:hint="eastAsia" w:ascii="宋体" w:hAnsi="宋体" w:cs="宋体"/>
          <w:color w:val="000000"/>
          <w:sz w:val="24"/>
        </w:rPr>
        <w:t>(l）资质条件：见供应商须知前附表；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(2）财务要求：见供应商须知前附表；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(3）业绩要求：见供应商须知前附表；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(4）信誉要求：见供应商须知前附表；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(5）项目经理资格：见供应商须知前附表；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(6）其他要求：见供应商须知前附表。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1.4.2 供应商须知前附表规定接受联合体投标的，除应符合本章第1.4.1项和供应商须知前附表的要求外，还应遵守以下规定：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(1）联合体各方应按竞争性磋商文件提供的格式签订联合体协议书，明确联合体牵头人和各方权利义务；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(2）由同一专业的单位组成的联合体，按照资质等级较低的单位确定资质等级；</w:t>
      </w:r>
    </w:p>
    <w:p>
      <w:pPr>
        <w:spacing w:line="360" w:lineRule="auto"/>
        <w:ind w:firstLine="480" w:firstLineChars="200"/>
        <w:rPr>
          <w:rFonts w:ascii="宋体" w:hAnsi="宋体" w:cs="宋体"/>
          <w:color w:val="000000"/>
          <w:sz w:val="24"/>
        </w:rPr>
      </w:pPr>
      <w:r>
        <w:rPr>
          <w:rFonts w:hint="eastAsia" w:ascii="宋体" w:hAnsi="宋体" w:cs="宋体"/>
          <w:color w:val="000000"/>
          <w:sz w:val="24"/>
        </w:rPr>
        <w:t>1.4.3 供应商不得存在下列情形之一：</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(l）为采购人不具有独立法人资格的附属机构（单位）； </w:t>
      </w:r>
    </w:p>
    <w:p>
      <w:pPr>
        <w:spacing w:line="360" w:lineRule="auto"/>
        <w:ind w:firstLine="480" w:firstLineChars="200"/>
        <w:rPr>
          <w:rFonts w:ascii="宋体" w:hAnsi="宋体" w:cs="宋体"/>
          <w:color w:val="000000"/>
          <w:sz w:val="24"/>
        </w:rPr>
      </w:pPr>
      <w:r>
        <w:rPr>
          <w:rFonts w:hint="eastAsia" w:ascii="宋体" w:hAnsi="宋体" w:cs="宋体"/>
          <w:color w:val="000000"/>
          <w:sz w:val="24"/>
        </w:rPr>
        <w:t>(2）为本</w:t>
      </w:r>
      <w:r>
        <w:rPr>
          <w:rFonts w:hint="eastAsia" w:ascii="宋体" w:hAnsi="宋体" w:cs="宋体"/>
          <w:color w:val="000000"/>
          <w:kern w:val="0"/>
          <w:sz w:val="24"/>
        </w:rPr>
        <w:t>采购项目</w:t>
      </w:r>
      <w:r>
        <w:rPr>
          <w:rFonts w:hint="eastAsia" w:ascii="宋体" w:hAnsi="宋体" w:cs="宋体"/>
          <w:color w:val="000000"/>
          <w:sz w:val="24"/>
        </w:rPr>
        <w:t>前期准备提供设计或咨询服务的；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(3）为本</w:t>
      </w:r>
      <w:r>
        <w:rPr>
          <w:rFonts w:hint="eastAsia" w:ascii="宋体" w:hAnsi="宋体" w:cs="宋体"/>
          <w:color w:val="000000"/>
          <w:kern w:val="0"/>
          <w:sz w:val="24"/>
        </w:rPr>
        <w:t>采购项目</w:t>
      </w:r>
      <w:r>
        <w:rPr>
          <w:rFonts w:hint="eastAsia" w:ascii="宋体" w:hAnsi="宋体" w:cs="宋体"/>
          <w:color w:val="000000"/>
          <w:sz w:val="24"/>
        </w:rPr>
        <w:t>的监理人；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(4）为本</w:t>
      </w:r>
      <w:r>
        <w:rPr>
          <w:rFonts w:hint="eastAsia" w:ascii="宋体" w:hAnsi="宋体" w:cs="宋体"/>
          <w:color w:val="000000"/>
          <w:kern w:val="0"/>
          <w:sz w:val="24"/>
        </w:rPr>
        <w:t>采购项目</w:t>
      </w:r>
      <w:r>
        <w:rPr>
          <w:rFonts w:hint="eastAsia" w:ascii="宋体" w:hAnsi="宋体" w:cs="宋体"/>
          <w:color w:val="000000"/>
          <w:sz w:val="24"/>
        </w:rPr>
        <w:t>的代建人；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(5）为本</w:t>
      </w:r>
      <w:r>
        <w:rPr>
          <w:rFonts w:hint="eastAsia" w:ascii="宋体" w:hAnsi="宋体" w:cs="宋体"/>
          <w:color w:val="000000"/>
          <w:kern w:val="0"/>
          <w:sz w:val="24"/>
        </w:rPr>
        <w:t>采购项目</w:t>
      </w:r>
      <w:r>
        <w:rPr>
          <w:rFonts w:hint="eastAsia" w:ascii="宋体" w:hAnsi="宋体" w:cs="宋体"/>
          <w:color w:val="000000"/>
          <w:sz w:val="24"/>
        </w:rPr>
        <w:t>提供招标代理服务的；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(6）与本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的监理人或代建人或招标代理机构同为一个法定代表人的；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(7）与本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的监理人或代建人或招标代理机构相互控股或参股的；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(8）与本</w:t>
      </w:r>
      <w:r>
        <w:rPr>
          <w:rFonts w:hint="eastAsia" w:ascii="宋体" w:hAnsi="宋体" w:cs="宋体"/>
          <w:color w:val="000000"/>
          <w:kern w:val="0"/>
          <w:sz w:val="24"/>
        </w:rPr>
        <w:t>采购项目</w:t>
      </w:r>
      <w:r>
        <w:rPr>
          <w:rFonts w:hint="eastAsia" w:ascii="宋体" w:hAnsi="宋体" w:cs="宋体"/>
          <w:color w:val="000000"/>
          <w:sz w:val="24"/>
        </w:rPr>
        <w:t>的监理人或代建人或招标代理机构相互任职或工作的；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(9）被责令停业的；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(10）被暂停或取消投标资格的；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(11）财产被接管或冻结的；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(12）在最近三年内有骗取中标或严重违约或重大工程质量问题的。</w:t>
      </w:r>
    </w:p>
    <w:p>
      <w:pPr>
        <w:spacing w:line="360" w:lineRule="auto"/>
        <w:rPr>
          <w:rFonts w:ascii="宋体" w:hAnsi="宋体" w:cs="宋体"/>
          <w:color w:val="000000"/>
          <w:sz w:val="24"/>
        </w:rPr>
      </w:pPr>
      <w:r>
        <w:rPr>
          <w:rFonts w:hint="eastAsia" w:ascii="宋体" w:hAnsi="宋体" w:cs="宋体"/>
          <w:color w:val="000000"/>
          <w:sz w:val="24"/>
        </w:rPr>
        <w:t>1.4.4 单位负责人为同一人或者存在控股、管理关系的不同单位，或者供应商的代理人为同一单位，不得参加同一标段投标或者未划分标段的同一采购项目投标；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1.5 费用承担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供应商准备和参加投标活动发生的费用自理。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1.6 保密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参与招标投标活动的各方应对竞争性磋商文件和竞争性磋商响应文件中的商业和技术等秘密保密，违者应对由此造成的后果承担法律责任。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1.7 语言文字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招标竞争性磋商响应文件使用的语言文字为中文。专用术语使用外文的，应附有中文注释。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1.8 计量单位</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所有计量均采用中华人民共和国法定计量单位。</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1.9 踏勘现场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1.9.1 供应商须知前附表规定组织踏勘现场的，采购人按供应商须知前附表规定的时间、地点组织供应商踏勘项目现场。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1.9.2 供应商踏勘现场发生的费用自理。</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1.9.3 除采购人的原因外，供应商自行负责在踏勘现场中所发生的人员伤亡和财产损失。</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1.9.4 采购人在踏勘现场中介绍的工程场地和相关的周边环境情况，供供应商在编制竞争性磋商响应文件时参考，采购人不对供应商据此作出的判断和决策负责。</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1.10 投标预备会</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1.10.1 供应商须知前附表规定召开投标预备会的，采购人按供应商须知前附表规定的时间和地点召开投标预备会，澄清供应商提出的问题。</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1.10.2 供应商应在供应商须知前附表规定的时间前，以书面形式将提出的问题送达采购人，以便采购人在会议期间澄清。</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1.10.3 投标预备会后，采购人在供应商须知前附表规定的时间内，将对供应商所提问题的澄清，以书面方式通知所有购买竞争性磋商文件的供应商。该澄清内容为竞争性磋商文件的组成部分。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1.11 分包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供应商拟在中标后将中标项目的部分非主体、非关键性工作进行分包的，应符合供应商须知前附表规定的分包内容、分包金额和接受分包的第三人资质要求等限制性条件。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1.12 偏离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供应商须知前附表允许竞争性磋商响应文件偏离竞争性磋商文件某些要求的，偏离应当符合竞争性磋商文件规定的偏离范围和幅度。</w:t>
      </w:r>
    </w:p>
    <w:p>
      <w:pPr>
        <w:pStyle w:val="3"/>
        <w:spacing w:before="0" w:after="0" w:line="360" w:lineRule="auto"/>
        <w:rPr>
          <w:rFonts w:ascii="宋体" w:hAnsi="宋体" w:eastAsia="宋体" w:cs="宋体"/>
          <w:color w:val="000000"/>
          <w:kern w:val="0"/>
          <w:sz w:val="28"/>
          <w:szCs w:val="28"/>
        </w:rPr>
      </w:pPr>
      <w:bookmarkStart w:id="10" w:name="_Toc11747"/>
      <w:bookmarkStart w:id="11" w:name="_Toc22745"/>
      <w:r>
        <w:rPr>
          <w:rFonts w:hint="eastAsia" w:ascii="宋体" w:hAnsi="宋体" w:eastAsia="宋体" w:cs="宋体"/>
          <w:color w:val="000000"/>
          <w:kern w:val="0"/>
          <w:sz w:val="28"/>
          <w:szCs w:val="28"/>
        </w:rPr>
        <w:t xml:space="preserve">2. </w:t>
      </w:r>
      <w:bookmarkEnd w:id="10"/>
      <w:r>
        <w:rPr>
          <w:rFonts w:hint="eastAsia" w:ascii="宋体" w:hAnsi="宋体" w:eastAsia="宋体" w:cs="宋体"/>
          <w:color w:val="000000"/>
          <w:kern w:val="0"/>
          <w:sz w:val="28"/>
          <w:szCs w:val="28"/>
        </w:rPr>
        <w:t>竞争性磋商文件</w:t>
      </w:r>
      <w:bookmarkEnd w:id="1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2.1 竞争性磋商文件的组成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本竞争性磋商文件包括：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（1）招标公告∕投标邀请书；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（2）供应商须知；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（3）评标办法；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（4）合同条款及格式；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（5）工程量清单、最高投标限价；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（6）图纸；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（7）技术标准和要求；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（8）竞争性磋商响应文件格式；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（9）供应商须知前附表规定的其他材料。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根据本章第1.10 款、第2.2 款和第2.3 款对竞争性磋商文件所作的澄清、修改，构成竞争性磋商文件的组成部分。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2.2 竞争性磋商文件的澄清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2.2.1 供应商应仔细阅读和检查竞争性磋商文件的全部内容。如发现缺页或附件不全，应及时向采购人提出，以便补齐。如有疑问，应在供应商须知前附表规定的时间前以书面形式（包括信函、电报、传真等可以有形地表现所载内容的形式，下同），要求采购人对竞争性磋商文件予以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2.2.2竞争性磋商文件的澄清将以书面形式发给所有购买竞争性磋商文件的供应商，但不指明澄清问题的来源。如果澄清发出的时间距供应商须知前附表规定的投标截止时间不足15天，并且澄清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2.2.3 供应商在收到澄清后，应在供应商须知前附表规定的时间内以书面形式通知采购人，确认已收到该澄清。</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2.3 竞争性磋商文件的修改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2.3.1采购人可以书面形式修改竞争性磋商文件，并通知所有已购买竞争性磋商文件的供应商。但如果修改竞争性磋商文件的时间距投标截止时间不足15天，并且修改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2.3.2 供应商收到修改内容后，应在供应商须知前附表规定的时间内以书面形式通知采购人，确认已收到该修改。</w:t>
      </w:r>
    </w:p>
    <w:p>
      <w:pPr>
        <w:pStyle w:val="3"/>
        <w:spacing w:before="0" w:after="0" w:line="360" w:lineRule="auto"/>
        <w:rPr>
          <w:rFonts w:ascii="宋体" w:hAnsi="宋体" w:eastAsia="宋体" w:cs="宋体"/>
          <w:color w:val="000000"/>
          <w:kern w:val="0"/>
          <w:sz w:val="28"/>
          <w:szCs w:val="28"/>
        </w:rPr>
      </w:pPr>
      <w:bookmarkStart w:id="12" w:name="_Toc28835"/>
      <w:bookmarkStart w:id="13" w:name="_Toc10338"/>
      <w:r>
        <w:rPr>
          <w:rFonts w:hint="eastAsia" w:ascii="宋体" w:hAnsi="宋体" w:eastAsia="宋体" w:cs="宋体"/>
          <w:color w:val="000000"/>
          <w:kern w:val="0"/>
          <w:sz w:val="28"/>
          <w:szCs w:val="28"/>
        </w:rPr>
        <w:t xml:space="preserve">3. </w:t>
      </w:r>
      <w:bookmarkEnd w:id="12"/>
      <w:r>
        <w:rPr>
          <w:rFonts w:hint="eastAsia" w:ascii="宋体" w:hAnsi="宋体" w:eastAsia="宋体" w:cs="宋体"/>
          <w:color w:val="000000"/>
          <w:kern w:val="0"/>
          <w:sz w:val="28"/>
          <w:szCs w:val="28"/>
        </w:rPr>
        <w:t>竞争性磋商响应文件</w:t>
      </w:r>
      <w:bookmarkEnd w:id="13"/>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3.1 竞争性磋商响应文件的组成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竞争性磋商响应文件应包括下列内容：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（1）投标函及投标函附录；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（2）法定代表人身份证明或附有法定代表人身份证明的授权委托书；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（3）联合体协议书；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（5）已标价工程量清单；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（7）项目管理机构；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（8）拟分包项目情况表；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（9）资格审查资料；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（10）供应商须知前附表规定的其他材料。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3.1.2 供应商须知前附表规定不接受联合体投标的，或供应商没有组成联合体的，竞争性磋商响应文件不包括本章第3.1.1（3）目所指的联合体协议书。</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投标报价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供应商应按第五章“工程量清单”的要求填写相应表格。</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3.2.2 供应商在投标截止时间前修改投标函中的投标报价总额，应同时修改“已标价工程量清单”中的相应报价，投标报价总额为各分项金额之和。此修改须符合本章第4.3款的有关要求。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采购人设有最高投标限价的，供应商的投标报价不得超过最高投标限价，最高投标限价或其计算方法在供应商须知前附表中载明。</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磋商有效期</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3.3.1 除供应商须知前附表另有规定外，磋商有效期为60天。</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3.3.2在磋商有效期内，供应商撤销或修改其竞争性磋商响应文件的，应承担竞争性磋商文件和法律规定的责任。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出现特殊情况需要延长磋商有效期的，采购人以书面形式通知所有供应商延长磋商有效期。供应商同意延长的，应相应延长其磋商保证金的有效期，但不得要求或被允许修改或撤销其竞争性磋商响应文件；供应商拒绝延长的，其投标失效，但供应商有权收回其磋商保证金。</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供应商须知前附表规定递交磋商保证金的，供应商在递交竞争性磋商响应文件的同时，应按供应商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供应商须知前附表的规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3.4.2 供应商不按本章第3.4.1项要求提交磋商保证金的，磋商小组将否决其投标。</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3.4.3 采购人与中标人签订合同后5日内，向未中标的供应商和中标人退还磋商保证金及同期银行存款利息。</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3.4.4 有下列情形之一的，磋商保证金将不予退还： </w:t>
      </w:r>
    </w:p>
    <w:p>
      <w:pPr>
        <w:spacing w:line="360" w:lineRule="auto"/>
        <w:ind w:firstLine="820" w:firstLineChars="342"/>
        <w:rPr>
          <w:rFonts w:ascii="宋体" w:hAnsi="宋体" w:cs="宋体"/>
          <w:color w:val="000000"/>
          <w:kern w:val="0"/>
          <w:sz w:val="24"/>
        </w:rPr>
      </w:pPr>
      <w:r>
        <w:rPr>
          <w:rFonts w:hint="eastAsia" w:ascii="宋体" w:hAnsi="宋体" w:cs="宋体"/>
          <w:color w:val="000000"/>
          <w:kern w:val="0"/>
          <w:sz w:val="24"/>
        </w:rPr>
        <w:t>（1）供应商在规定的磋商有效期内撤销或修改其竞争性磋商响应文件；</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（2）中标人在收到中标通知书后，无正当理由拒签合同协议书或未按竞争性磋商文件规定提交履约担保；</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（3）投标截止后供应商撤销竞争性磋商响应文件的。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3.5 资格审查资料</w:t>
      </w:r>
    </w:p>
    <w:p>
      <w:pPr>
        <w:spacing w:line="360" w:lineRule="auto"/>
        <w:ind w:firstLine="480" w:firstLineChars="200"/>
        <w:rPr>
          <w:rFonts w:ascii="宋体" w:hAnsi="宋体" w:cs="宋体"/>
          <w:color w:val="000000"/>
          <w:sz w:val="24"/>
        </w:rPr>
      </w:pPr>
      <w:r>
        <w:rPr>
          <w:rFonts w:hint="eastAsia" w:ascii="宋体" w:hAnsi="宋体" w:cs="宋体"/>
          <w:color w:val="000000"/>
          <w:sz w:val="24"/>
        </w:rPr>
        <w:t>3.5.1 “供应商基本情况表”应附供应商营业执照副本、资质证书副本和安全生产许可证等材料的复印件。</w:t>
      </w:r>
    </w:p>
    <w:p>
      <w:pPr>
        <w:spacing w:line="360" w:lineRule="auto"/>
        <w:ind w:firstLine="480" w:firstLineChars="200"/>
        <w:rPr>
          <w:rFonts w:ascii="宋体" w:hAnsi="宋体" w:cs="宋体"/>
          <w:color w:val="000000"/>
          <w:sz w:val="24"/>
        </w:rPr>
      </w:pPr>
      <w:r>
        <w:rPr>
          <w:rFonts w:hint="eastAsia" w:ascii="宋体" w:hAnsi="宋体" w:cs="宋体"/>
          <w:color w:val="000000"/>
          <w:sz w:val="24"/>
        </w:rPr>
        <w:t>3.5.2 “近年财务状况表”应附经会计师事务所或审计机构审计的完整的财务审计报告的复印件，具体年份要求见供应商须知前附表。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3.5.3 “近年完成的类似项目情况表”应附中标通知书或合同协议书、工程竣工验收资料的复印件，具体年份要求见供应商须知前附表。每张表格只填写一个项目，并标明序号。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“正在施工和新承接的项目情况表”应附中标通知书和（或）合同协议书复印件。每张表格只填写一个项目，并标明序号。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3.5.5供应商须知前附表规定接受联合体投标的，本章第3.5.1 项至第3.5.4 项规定的表格和资料应包括联合体各方相关情况。</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3.6 备选投标方案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供应商须知前附表另有规定外，供应商不得递交备选投标方案。允许供应商递交备选投标方案的，只有中标人所递交的备选投标方案方可予以考虑。磋商小组认为中标人的备选投标方案优于其按照竞争性磋商文件要求编制的投标方案的，采购人可以接受该备选投标方案。</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3.7 竞争性磋商响应文件的编制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3.7.2 竞争性磋商响应文件应当对竞争性磋商文件有关工期、磋商有效期、质量要求、技术标准和要求、招标范围等实质性内容作出响应。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3.7.3 竞争性磋商响应文件应用不褪色的材料书写或打印，并由供应商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供应商的法定代表人或其授权的代理人签字确认。签字或盖章的具体要求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3.7.4 竞争性磋商响应文件正本一份, 副本份数见供应商须知前附表。正本和副本的封面上应清楚地标记“正本”或“副本”的字样。当副本和正本不一致时，以正本为准。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3.7.5 竞争性磋商响应文件的正本与副本应分别装订成册，并编制目录，具体装订要求见供应商须知前附表规定。</w:t>
      </w:r>
    </w:p>
    <w:p>
      <w:pPr>
        <w:pStyle w:val="3"/>
        <w:spacing w:before="0" w:after="0" w:line="360" w:lineRule="auto"/>
        <w:rPr>
          <w:rFonts w:ascii="宋体" w:hAnsi="宋体" w:eastAsia="宋体" w:cs="宋体"/>
          <w:color w:val="000000"/>
          <w:kern w:val="0"/>
          <w:sz w:val="28"/>
          <w:szCs w:val="28"/>
        </w:rPr>
      </w:pPr>
      <w:bookmarkStart w:id="14" w:name="_Toc16918"/>
      <w:bookmarkStart w:id="15" w:name="_Toc6892"/>
      <w:r>
        <w:rPr>
          <w:rFonts w:hint="eastAsia" w:ascii="宋体" w:hAnsi="宋体" w:eastAsia="宋体" w:cs="宋体"/>
          <w:color w:val="000000"/>
          <w:kern w:val="0"/>
          <w:sz w:val="28"/>
          <w:szCs w:val="28"/>
        </w:rPr>
        <w:t>4. 投标</w:t>
      </w:r>
      <w:bookmarkEnd w:id="14"/>
      <w:bookmarkEnd w:id="15"/>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4.1 竞争性磋商响应文件的密封和标记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4.1.1 竞争性磋商响应文件应进行包装、加贴封条，并在封套的封口处加盖供应商单位章。</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4.1.2 竞争性磋商响应文件封套上应写明的内容见供应商须知前附表。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4.1.3 未按本章第4.1.1项或第4.1.2项要求密封和加写标记的竞争性磋商响应文件，采购人应予拒收。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4.2 竞争性磋商响应文件的递交</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4.2.1 供应商应在本章第2.2.2项规定的投标截止时间前递交竞争性磋商响应文件。</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4.2.2 供应商递交竞争性磋商响应文件的地点：见供应商须知前附表。</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4.2.3 除供应商须知前附表另有规定外，供应商所递交的竞争性磋商响应文件不予退还。</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4.2.4 采购人收到竞争性磋商响应文件后，向供应商出具签收凭证。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4.2.5 逾期送达的或者未送达指定地点的竞争性磋商响应文件，采购人不予接收。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4.3 竞争性磋商响应文件的修改与撤回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4.3.1 在本章第2.2.2项规定的投标截止时间前，供应商可以修改或撤回已递交的竞争性磋商响应文件，但应以书面形式通知采购人。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4.3.2 供应商修改或撤回已递交竞争性磋商响应文件的书面通知应按照本章第3.7.3项的要求签字或盖章。采购人收到书面通知后，向供应商出具签收凭证。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4.3.3 修改的内容为竞争性磋商响应文件的组成部分。修改的竞争性磋商响应文件应按照本章第3条、第4条规定进行编制、密封、标记和递交，并标明“修改”字样。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4.3.4 供应商撤回竞争性磋商响应文件的，采购人自收到供应商书面撤回通知之日起5日内退还已收取的磋商保证金。</w:t>
      </w:r>
    </w:p>
    <w:p>
      <w:pPr>
        <w:pStyle w:val="3"/>
        <w:spacing w:before="0" w:after="0" w:line="360" w:lineRule="auto"/>
        <w:rPr>
          <w:rFonts w:ascii="宋体" w:hAnsi="宋体" w:eastAsia="宋体" w:cs="宋体"/>
          <w:color w:val="000000"/>
          <w:kern w:val="0"/>
          <w:sz w:val="28"/>
          <w:szCs w:val="28"/>
        </w:rPr>
      </w:pPr>
      <w:bookmarkStart w:id="16" w:name="_Toc29244"/>
      <w:bookmarkStart w:id="17" w:name="_Toc31723"/>
      <w:r>
        <w:rPr>
          <w:rFonts w:hint="eastAsia" w:ascii="宋体" w:hAnsi="宋体" w:eastAsia="宋体" w:cs="宋体"/>
          <w:color w:val="000000"/>
          <w:kern w:val="0"/>
          <w:sz w:val="28"/>
          <w:szCs w:val="28"/>
        </w:rPr>
        <w:t>5. 开标</w:t>
      </w:r>
      <w:bookmarkEnd w:id="16"/>
      <w:bookmarkEnd w:id="17"/>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5.1 开标时间和地点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采购人在本章第2.2.2 项规定的投标截止时间（开标时间）和供应商须知前附表规定的地点公开开标，并邀请所有供应商的法定代表人或其委托代理人准时参加。</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5.2 开标程序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主持人按下列程序进行开标：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（1）宣布开标纪律；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（2）公布在投标截止时间前递交竞争性磋商响应文件的供应商名称，并点名确认供应商是否派人到场；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（3）宣布开标人、唱标人、记录人、监标人等有关人员姓名；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（4）按照供应商须知前附表规定检查竞争性磋商响应文件的密封情况；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（5）按照供应商须知前附表的规定确定并宣布竞争性磋商响应文件开标顺序；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（6）按照宣布的开标顺序当众开标，公布供应商名称、标段名称、磋商保证金的递交情况、投标报价、质量目标、工期及其他内容，并记录在案；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（7）供应商代表、采购人代表、监标人、记录人等有关人员在开标记录上签字确认；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（8）开标结束。</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5.3 开标异议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供应商对开标有异议的，应当在开标现场提出，采购人当场作出答复，并制作记录。</w:t>
      </w:r>
    </w:p>
    <w:p>
      <w:pPr>
        <w:pStyle w:val="3"/>
        <w:spacing w:before="0" w:after="0" w:line="360" w:lineRule="auto"/>
        <w:rPr>
          <w:rFonts w:ascii="宋体" w:hAnsi="宋体" w:eastAsia="宋体" w:cs="宋体"/>
          <w:color w:val="000000"/>
          <w:kern w:val="0"/>
          <w:sz w:val="28"/>
          <w:szCs w:val="28"/>
        </w:rPr>
      </w:pPr>
      <w:bookmarkStart w:id="18" w:name="_Toc21260"/>
      <w:bookmarkStart w:id="19" w:name="_Toc26490"/>
      <w:r>
        <w:rPr>
          <w:rFonts w:hint="eastAsia" w:ascii="宋体" w:hAnsi="宋体" w:eastAsia="宋体" w:cs="宋体"/>
          <w:color w:val="000000"/>
          <w:kern w:val="0"/>
          <w:sz w:val="28"/>
          <w:szCs w:val="28"/>
        </w:rPr>
        <w:t>6. 评标</w:t>
      </w:r>
      <w:bookmarkEnd w:id="18"/>
      <w:bookmarkEnd w:id="1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6.1 磋商小组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6.1.1 评标由采购人依法组建的磋商小组负责。磋商小组由采购人熟悉相关业务的代表，以及有关技术、经济等方面的专家组成。磋商小组成员人数以及技术、经济等方面专家的确定方式见供应商须知前附表。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6.1.2 磋商小组成员有下列情形之一的，应当回避：</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（1）采购人或供应商的主要负责人的近亲属；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（2）项目主管部门或者行政监督部门的人员；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（3）与供应商有经济利益关系；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（4）曾因在招标、评标以及其他与招标投标有关活动中从事违法行为而受过行政处罚或刑事处罚的。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（5）与供应商有其他利害关系。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6.2 评标原则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评标活动遵循公平、公正、科学和择优的原则。</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6.3 评标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磋商小组按照第三章“评标办法”规定的方法、评审因素、标准和程序对竞争性磋商响应文件进行评审。第三章“评标办法”没有规定的方法、评审因素和标准，不作为评标依据。</w:t>
      </w:r>
    </w:p>
    <w:p>
      <w:pPr>
        <w:pStyle w:val="3"/>
        <w:spacing w:before="0" w:after="0" w:line="360" w:lineRule="auto"/>
        <w:rPr>
          <w:rFonts w:ascii="宋体" w:hAnsi="宋体" w:eastAsia="宋体" w:cs="宋体"/>
          <w:color w:val="000000"/>
          <w:kern w:val="0"/>
          <w:sz w:val="28"/>
          <w:szCs w:val="28"/>
        </w:rPr>
      </w:pPr>
      <w:bookmarkStart w:id="20" w:name="_Toc15973"/>
      <w:bookmarkStart w:id="21" w:name="_Toc21049"/>
      <w:r>
        <w:rPr>
          <w:rFonts w:hint="eastAsia" w:ascii="宋体" w:hAnsi="宋体" w:eastAsia="宋体" w:cs="宋体"/>
          <w:color w:val="000000"/>
          <w:kern w:val="0"/>
          <w:sz w:val="28"/>
          <w:szCs w:val="28"/>
        </w:rPr>
        <w:t>7. 合同授予</w:t>
      </w:r>
      <w:bookmarkEnd w:id="20"/>
      <w:bookmarkEnd w:id="2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7.1 定标方式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除供应商须知前附表规定磋商小组直接确定中标人外，采购人依据磋商小组推荐的中标候选人确定中标人，磋商小组推荐中标候选人的人数见供应商须知前附表。</w:t>
      </w:r>
    </w:p>
    <w:p>
      <w:pPr>
        <w:pStyle w:val="4"/>
        <w:spacing w:before="0" w:after="0" w:line="360" w:lineRule="auto"/>
        <w:rPr>
          <w:rFonts w:ascii="宋体" w:hAnsi="宋体" w:cs="宋体"/>
          <w:color w:val="000000"/>
          <w:kern w:val="0"/>
          <w:sz w:val="24"/>
          <w:szCs w:val="24"/>
        </w:rPr>
      </w:pPr>
      <w:bookmarkStart w:id="22" w:name="_Toc296602457"/>
      <w:r>
        <w:rPr>
          <w:rFonts w:hint="eastAsia" w:ascii="宋体" w:hAnsi="宋体" w:cs="宋体"/>
          <w:color w:val="000000"/>
          <w:kern w:val="0"/>
          <w:sz w:val="24"/>
          <w:szCs w:val="24"/>
        </w:rPr>
        <w:t>7.2 中标候选人公示</w:t>
      </w:r>
      <w:bookmarkEnd w:id="22"/>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采购人在供应商须知前附表规定的媒介公示中标候选人。</w:t>
      </w:r>
    </w:p>
    <w:p>
      <w:pPr>
        <w:pStyle w:val="4"/>
        <w:spacing w:before="0" w:after="0" w:line="360" w:lineRule="auto"/>
        <w:rPr>
          <w:rFonts w:ascii="宋体" w:hAnsi="宋体" w:cs="宋体"/>
          <w:color w:val="000000"/>
          <w:kern w:val="0"/>
          <w:sz w:val="24"/>
          <w:szCs w:val="24"/>
        </w:rPr>
      </w:pPr>
      <w:bookmarkStart w:id="23" w:name="_Toc246996212"/>
      <w:bookmarkStart w:id="24" w:name="_Toc246996955"/>
      <w:bookmarkStart w:id="25" w:name="_Toc152045568"/>
      <w:bookmarkStart w:id="26" w:name="_Toc247085726"/>
      <w:bookmarkStart w:id="27" w:name="_Toc144974536"/>
      <w:bookmarkStart w:id="28" w:name="_Toc179632586"/>
      <w:bookmarkStart w:id="29" w:name="_Toc152042344"/>
      <w:bookmarkStart w:id="30" w:name="_Toc296602458"/>
      <w:r>
        <w:rPr>
          <w:rFonts w:hint="eastAsia" w:ascii="宋体" w:hAnsi="宋体" w:cs="宋体"/>
          <w:color w:val="000000"/>
          <w:kern w:val="0"/>
          <w:sz w:val="24"/>
          <w:szCs w:val="24"/>
        </w:rPr>
        <w:t>7.3 中标通知</w:t>
      </w:r>
      <w:bookmarkEnd w:id="23"/>
      <w:bookmarkEnd w:id="24"/>
      <w:bookmarkEnd w:id="25"/>
      <w:bookmarkEnd w:id="26"/>
      <w:bookmarkEnd w:id="27"/>
      <w:bookmarkEnd w:id="28"/>
      <w:bookmarkEnd w:id="29"/>
      <w:bookmarkEnd w:id="30"/>
    </w:p>
    <w:p>
      <w:pPr>
        <w:spacing w:line="360" w:lineRule="auto"/>
        <w:ind w:firstLine="480" w:firstLineChars="200"/>
        <w:rPr>
          <w:rFonts w:ascii="宋体" w:hAnsi="宋体" w:cs="宋体"/>
          <w:color w:val="000000"/>
        </w:rPr>
      </w:pPr>
      <w:r>
        <w:rPr>
          <w:rFonts w:hint="eastAsia" w:ascii="宋体" w:hAnsi="宋体" w:cs="宋体"/>
          <w:color w:val="000000"/>
          <w:kern w:val="0"/>
          <w:sz w:val="24"/>
        </w:rPr>
        <w:t>在本章第3.3款规定的磋商有效期内，采购人以书面形式向中标人发出中标通知书，同时将中标结果通知未中标的供应商。</w:t>
      </w:r>
    </w:p>
    <w:p>
      <w:pPr>
        <w:pStyle w:val="4"/>
        <w:spacing w:before="0" w:after="0" w:line="360" w:lineRule="auto"/>
        <w:rPr>
          <w:rFonts w:ascii="宋体" w:hAnsi="宋体" w:cs="宋体"/>
          <w:color w:val="000000"/>
          <w:kern w:val="0"/>
          <w:sz w:val="24"/>
          <w:szCs w:val="24"/>
        </w:rPr>
      </w:pPr>
      <w:bookmarkStart w:id="31" w:name="_Toc152042345"/>
      <w:bookmarkStart w:id="32" w:name="_Toc152045569"/>
      <w:bookmarkStart w:id="33" w:name="_Toc296602459"/>
      <w:bookmarkStart w:id="34" w:name="_Toc246996956"/>
      <w:bookmarkStart w:id="35" w:name="_Toc247085727"/>
      <w:bookmarkStart w:id="36" w:name="_Toc246996213"/>
      <w:bookmarkStart w:id="37" w:name="_Toc144974537"/>
      <w:bookmarkStart w:id="38" w:name="_Toc179632587"/>
      <w:r>
        <w:rPr>
          <w:rFonts w:hint="eastAsia" w:ascii="宋体" w:hAnsi="宋体" w:cs="宋体"/>
          <w:color w:val="000000"/>
          <w:kern w:val="0"/>
          <w:sz w:val="24"/>
          <w:szCs w:val="24"/>
        </w:rPr>
        <w:t>7.4 履约担保</w:t>
      </w:r>
      <w:bookmarkEnd w:id="31"/>
      <w:bookmarkEnd w:id="32"/>
      <w:bookmarkEnd w:id="33"/>
      <w:bookmarkEnd w:id="34"/>
      <w:bookmarkEnd w:id="35"/>
      <w:bookmarkEnd w:id="36"/>
      <w:bookmarkEnd w:id="37"/>
      <w:bookmarkEnd w:id="38"/>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7.4.1在签订合同前，中标人应按供应商须知前附表规定的担保形式和竞争性磋商文件第四章“合同条款及格式”规定的或者事先经过采购人书面认可的履约担保格式向采购人提交履约担保。除供应商须知前附表另有规定外，履约担保金额为中标合同金额的10%。</w:t>
      </w:r>
    </w:p>
    <w:p>
      <w:pPr>
        <w:spacing w:line="360" w:lineRule="auto"/>
        <w:ind w:firstLine="480" w:firstLineChars="200"/>
        <w:rPr>
          <w:rFonts w:ascii="宋体" w:hAnsi="宋体" w:cs="宋体"/>
          <w:color w:val="000000"/>
        </w:rPr>
      </w:pPr>
      <w:r>
        <w:rPr>
          <w:rFonts w:hint="eastAsia" w:ascii="宋体" w:hAnsi="宋体" w:cs="宋体"/>
          <w:color w:val="000000"/>
          <w:kern w:val="0"/>
          <w:sz w:val="24"/>
        </w:rPr>
        <w:t>7.4.2 中标人不能按本章第7.4.1项要求提交履约担保的，视为放弃中标，其磋商保证金不予退还，给采购人造成的损失超过磋商保证金数额的，中标人还应当对超过部分予以赔偿。</w:t>
      </w:r>
    </w:p>
    <w:p>
      <w:pPr>
        <w:pStyle w:val="4"/>
        <w:spacing w:before="0" w:after="0" w:line="360" w:lineRule="auto"/>
        <w:rPr>
          <w:rFonts w:ascii="宋体" w:hAnsi="宋体" w:cs="宋体"/>
          <w:color w:val="000000"/>
          <w:kern w:val="0"/>
          <w:sz w:val="24"/>
          <w:szCs w:val="24"/>
        </w:rPr>
      </w:pPr>
      <w:bookmarkStart w:id="39" w:name="_Toc296602460"/>
      <w:bookmarkStart w:id="40" w:name="_Toc144974538"/>
      <w:bookmarkStart w:id="41" w:name="_Toc246996214"/>
      <w:bookmarkStart w:id="42" w:name="_Toc152045570"/>
      <w:bookmarkStart w:id="43" w:name="_Toc152042346"/>
      <w:bookmarkStart w:id="44" w:name="_Toc179632588"/>
      <w:bookmarkStart w:id="45" w:name="_Toc247085728"/>
      <w:bookmarkStart w:id="46" w:name="_Toc246996957"/>
      <w:r>
        <w:rPr>
          <w:rFonts w:hint="eastAsia" w:ascii="宋体" w:hAnsi="宋体" w:cs="宋体"/>
          <w:color w:val="000000"/>
          <w:kern w:val="0"/>
          <w:sz w:val="24"/>
          <w:szCs w:val="24"/>
        </w:rPr>
        <w:t>7.5 签订合同</w:t>
      </w:r>
      <w:bookmarkEnd w:id="39"/>
      <w:bookmarkEnd w:id="40"/>
      <w:bookmarkEnd w:id="41"/>
      <w:bookmarkEnd w:id="42"/>
      <w:bookmarkEnd w:id="43"/>
      <w:bookmarkEnd w:id="44"/>
      <w:bookmarkEnd w:id="45"/>
      <w:bookmarkEnd w:id="4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7.5.2 发出中标通知书后，采购人无正当理由拒签合同的，采购人向中标人退还磋商保证金；给中标人造成损失的，还应当赔偿损失。</w:t>
      </w:r>
    </w:p>
    <w:p>
      <w:pPr>
        <w:pStyle w:val="3"/>
        <w:spacing w:before="0" w:after="0" w:line="360" w:lineRule="auto"/>
        <w:rPr>
          <w:rFonts w:ascii="宋体" w:hAnsi="宋体" w:eastAsia="宋体" w:cs="宋体"/>
          <w:color w:val="000000"/>
          <w:kern w:val="0"/>
          <w:sz w:val="28"/>
          <w:szCs w:val="28"/>
        </w:rPr>
      </w:pPr>
      <w:bookmarkStart w:id="47" w:name="_Toc11825"/>
      <w:bookmarkStart w:id="48" w:name="_Toc32419"/>
      <w:r>
        <w:rPr>
          <w:rFonts w:hint="eastAsia" w:ascii="宋体" w:hAnsi="宋体" w:eastAsia="宋体" w:cs="宋体"/>
          <w:color w:val="000000"/>
          <w:kern w:val="0"/>
          <w:sz w:val="28"/>
          <w:szCs w:val="28"/>
        </w:rPr>
        <w:t>8. 重新招标和不再招标</w:t>
      </w:r>
      <w:bookmarkEnd w:id="47"/>
      <w:bookmarkEnd w:id="48"/>
    </w:p>
    <w:p>
      <w:pPr>
        <w:pStyle w:val="4"/>
        <w:spacing w:before="0" w:after="0" w:line="360" w:lineRule="auto"/>
        <w:rPr>
          <w:rFonts w:ascii="宋体" w:hAnsi="宋体" w:cs="宋体"/>
          <w:color w:val="000000"/>
          <w:sz w:val="24"/>
        </w:rPr>
      </w:pPr>
      <w:r>
        <w:rPr>
          <w:rFonts w:hint="eastAsia" w:ascii="宋体" w:hAnsi="宋体" w:cs="宋体"/>
          <w:color w:val="000000"/>
          <w:kern w:val="0"/>
          <w:sz w:val="24"/>
          <w:szCs w:val="24"/>
        </w:rPr>
        <w:t>8.1 重新招标</w:t>
      </w:r>
    </w:p>
    <w:p>
      <w:pPr>
        <w:pStyle w:val="65"/>
        <w:spacing w:line="360" w:lineRule="auto"/>
        <w:ind w:firstLine="0" w:firstLineChars="0"/>
        <w:rPr>
          <w:rFonts w:ascii="宋体" w:hAnsi="宋体" w:cs="宋体"/>
          <w:b/>
          <w:bCs/>
          <w:color w:val="000000"/>
          <w:sz w:val="24"/>
        </w:rPr>
      </w:pPr>
      <w:r>
        <w:rPr>
          <w:rFonts w:hint="eastAsia" w:ascii="宋体" w:hAnsi="宋体" w:cs="宋体"/>
          <w:color w:val="000000"/>
          <w:sz w:val="24"/>
        </w:rPr>
        <w:t>有下列情形之一的，采购人将重新招标：</w:t>
      </w:r>
      <w:r>
        <w:rPr>
          <w:rFonts w:hint="eastAsia" w:ascii="宋体" w:hAnsi="宋体" w:cs="宋体"/>
          <w:color w:val="000000"/>
          <w:sz w:val="24"/>
        </w:rPr>
        <w:cr/>
      </w:r>
      <w:r>
        <w:rPr>
          <w:rFonts w:hint="eastAsia" w:ascii="宋体" w:hAnsi="宋体" w:cs="宋体"/>
          <w:b/>
          <w:bCs/>
          <w:color w:val="000000"/>
          <w:sz w:val="24"/>
        </w:rPr>
        <w:t>（1）投标截止时间止，供应商少于3 个的；</w:t>
      </w:r>
      <w:r>
        <w:rPr>
          <w:rFonts w:hint="eastAsia" w:ascii="宋体" w:hAnsi="宋体" w:cs="宋体"/>
          <w:b/>
          <w:bCs/>
          <w:color w:val="000000"/>
          <w:sz w:val="24"/>
        </w:rPr>
        <w:cr/>
      </w:r>
      <w:r>
        <w:rPr>
          <w:rFonts w:hint="eastAsia" w:ascii="宋体" w:hAnsi="宋体" w:cs="宋体"/>
          <w:b/>
          <w:bCs/>
          <w:color w:val="000000"/>
          <w:sz w:val="24"/>
        </w:rPr>
        <w:t>（2）经磋商小组评审后资格审查通过少于3家的。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8.2 不再招标</w:t>
      </w:r>
    </w:p>
    <w:p>
      <w:pPr>
        <w:pStyle w:val="65"/>
        <w:spacing w:line="360" w:lineRule="auto"/>
        <w:ind w:firstLine="480"/>
        <w:rPr>
          <w:rFonts w:ascii="宋体" w:hAnsi="宋体" w:cs="宋体"/>
          <w:color w:val="000000"/>
          <w:sz w:val="24"/>
        </w:rPr>
      </w:pPr>
      <w:r>
        <w:rPr>
          <w:rFonts w:hint="eastAsia" w:ascii="宋体" w:hAnsi="宋体" w:cs="宋体"/>
          <w:color w:val="000000"/>
          <w:sz w:val="24"/>
        </w:rPr>
        <w:t>重新招标后供应商仍少于3 个或者所有投标被否决的，属于必须审批或核准的工程建设项目，经原审批或核准部门批准后不再进行招标。</w:t>
      </w:r>
    </w:p>
    <w:p>
      <w:pPr>
        <w:pStyle w:val="3"/>
        <w:spacing w:before="0" w:after="0" w:line="360" w:lineRule="auto"/>
        <w:rPr>
          <w:rFonts w:ascii="宋体" w:hAnsi="宋体" w:eastAsia="宋体" w:cs="宋体"/>
          <w:color w:val="000000"/>
          <w:kern w:val="0"/>
          <w:sz w:val="28"/>
          <w:szCs w:val="28"/>
        </w:rPr>
      </w:pPr>
      <w:bookmarkStart w:id="49" w:name="_Toc29723"/>
      <w:bookmarkStart w:id="50" w:name="_Toc6202"/>
      <w:r>
        <w:rPr>
          <w:rFonts w:hint="eastAsia" w:ascii="宋体" w:hAnsi="宋体" w:eastAsia="宋体" w:cs="宋体"/>
          <w:color w:val="000000"/>
          <w:kern w:val="0"/>
          <w:sz w:val="28"/>
          <w:szCs w:val="28"/>
        </w:rPr>
        <w:t>9. 纪律和监督</w:t>
      </w:r>
      <w:bookmarkEnd w:id="49"/>
      <w:bookmarkEnd w:id="50"/>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9.1 对采购人的纪律要求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采购人不得泄漏招标投标活动中应当保密的情况和资料，不得与供应商串通损害国家利益、社会公共利益或者他人合法权益。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9.2 对供应商的纪律要求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供应商不得相互串通投标或者与采购人串通投标，不得向采购人或者磋商小组成员行贿谋取中标，不得以他人名义投标或者以其他方式弄虚作假骗取中标；供应商不得以任何方式干扰、影响评标工作。</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9.3 对磋商小组成员的纪律要求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9.4 对与评标活动有关的工作人员的纪律要求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9.5 投诉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供应商和其他利害关系人认为本次招标活动违反法律、法规和规章规定的，有权向有关行政监督部门投诉。但对资格预审文件或竞争性磋商文件、开标、评标结果事项投诉的，应当先向采购人提出异议。</w:t>
      </w:r>
    </w:p>
    <w:p>
      <w:pPr>
        <w:pStyle w:val="3"/>
        <w:spacing w:before="0" w:after="0" w:line="360" w:lineRule="auto"/>
        <w:rPr>
          <w:rFonts w:ascii="宋体" w:hAnsi="宋体" w:eastAsia="宋体" w:cs="宋体"/>
          <w:color w:val="000000"/>
          <w:kern w:val="0"/>
          <w:sz w:val="28"/>
          <w:szCs w:val="28"/>
        </w:rPr>
      </w:pPr>
      <w:bookmarkStart w:id="51" w:name="_Toc256"/>
      <w:bookmarkStart w:id="52" w:name="_Toc8591"/>
      <w:r>
        <w:rPr>
          <w:rFonts w:hint="eastAsia" w:ascii="宋体" w:hAnsi="宋体" w:eastAsia="宋体" w:cs="宋体"/>
          <w:color w:val="000000"/>
          <w:kern w:val="0"/>
          <w:sz w:val="28"/>
          <w:szCs w:val="28"/>
        </w:rPr>
        <w:t>10. 需要补充的其他内容</w:t>
      </w:r>
      <w:bookmarkEnd w:id="51"/>
      <w:bookmarkEnd w:id="5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需要补充的其他内容：见供应商须知前附表</w:t>
      </w:r>
    </w:p>
    <w:p>
      <w:pPr>
        <w:widowControl/>
        <w:jc w:val="left"/>
        <w:rPr>
          <w:rFonts w:ascii="宋体" w:hAnsi="宋体" w:cs="宋体"/>
          <w:color w:val="000000"/>
          <w:kern w:val="0"/>
          <w:sz w:val="24"/>
        </w:rPr>
      </w:pPr>
      <w:r>
        <w:rPr>
          <w:rFonts w:ascii="宋体" w:hAnsi="宋体" w:cs="宋体"/>
          <w:color w:val="000000"/>
          <w:kern w:val="0"/>
          <w:sz w:val="24"/>
        </w:rPr>
        <w:br w:type="page"/>
      </w:r>
    </w:p>
    <w:p>
      <w:pPr>
        <w:pStyle w:val="2"/>
        <w:spacing w:line="360" w:lineRule="auto"/>
        <w:jc w:val="center"/>
        <w:rPr>
          <w:rFonts w:ascii="宋体" w:hAnsi="宋体" w:cs="宋体"/>
          <w:color w:val="000000"/>
        </w:rPr>
      </w:pPr>
      <w:bookmarkStart w:id="53" w:name="_Toc12551"/>
      <w:bookmarkStart w:id="54" w:name="_Toc20478"/>
      <w:r>
        <w:rPr>
          <w:rFonts w:hint="eastAsia" w:ascii="宋体" w:hAnsi="宋体" w:cs="宋体"/>
          <w:color w:val="000000"/>
        </w:rPr>
        <w:t>第三部分 评标办法</w:t>
      </w:r>
      <w:bookmarkEnd w:id="53"/>
      <w:bookmarkEnd w:id="54"/>
    </w:p>
    <w:p>
      <w:pPr>
        <w:pStyle w:val="3"/>
        <w:spacing w:before="120" w:after="120" w:line="360" w:lineRule="auto"/>
        <w:jc w:val="center"/>
        <w:rPr>
          <w:rFonts w:ascii="宋体" w:hAnsi="宋体" w:eastAsia="宋体" w:cs="宋体"/>
          <w:color w:val="000000"/>
          <w:kern w:val="0"/>
          <w:sz w:val="28"/>
          <w:szCs w:val="28"/>
        </w:rPr>
      </w:pPr>
      <w:bookmarkStart w:id="55" w:name="_Toc27349"/>
      <w:bookmarkStart w:id="56" w:name="_Toc9187"/>
      <w:bookmarkStart w:id="57" w:name="_Toc201287394"/>
      <w:bookmarkStart w:id="58" w:name="_Toc389052110"/>
      <w:r>
        <w:rPr>
          <w:rFonts w:hint="eastAsia" w:ascii="宋体" w:hAnsi="宋体" w:eastAsia="宋体" w:cs="宋体"/>
          <w:color w:val="000000"/>
          <w:kern w:val="0"/>
          <w:sz w:val="28"/>
          <w:szCs w:val="28"/>
        </w:rPr>
        <w:t>评标办法前附表</w:t>
      </w:r>
      <w:bookmarkEnd w:id="55"/>
      <w:bookmarkEnd w:id="56"/>
    </w:p>
    <w:tbl>
      <w:tblPr>
        <w:tblStyle w:val="39"/>
        <w:tblW w:w="9811"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901"/>
        <w:gridCol w:w="722"/>
        <w:gridCol w:w="1442"/>
        <w:gridCol w:w="1014"/>
        <w:gridCol w:w="4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评审因素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2.1.1</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形</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式</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供应商名称</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投标函签字盖章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有法定代表人或其委托代理人签字或盖章并加盖单位章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竞争性磋商响应文件格式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符合第八章</w:t>
            </w:r>
            <w:r>
              <w:rPr>
                <w:rFonts w:hint="eastAsia" w:ascii="宋体" w:hAnsi="宋体" w:cs="TimesNewRomanPSMT"/>
                <w:kern w:val="0"/>
                <w:szCs w:val="21"/>
              </w:rPr>
              <w:t>“</w:t>
            </w:r>
            <w:r>
              <w:rPr>
                <w:rFonts w:hint="eastAsia" w:ascii="宋体" w:hAnsi="宋体" w:cs="宋体"/>
                <w:kern w:val="0"/>
                <w:szCs w:val="21"/>
              </w:rPr>
              <w:t>竞争性磋商响应文件格式</w:t>
            </w:r>
            <w:r>
              <w:rPr>
                <w:rFonts w:hint="eastAsia"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联合体供应商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报价唯一</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2.1.2</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格</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营业执照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安全生产许可证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资质等级</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财务状况</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业绩</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信誉</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项目经理资格</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其他要求</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联合体供应商</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符合第二章“供应商须知”第1.4.2项规定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2.1.3</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响</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应</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性</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p>
            <w:pPr>
              <w:autoSpaceDE w:val="0"/>
              <w:autoSpaceDN w:val="0"/>
              <w:adjustRightInd w:val="0"/>
              <w:spacing w:line="360" w:lineRule="auto"/>
              <w:jc w:val="center"/>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kern w:val="0"/>
                <w:szCs w:val="21"/>
              </w:rPr>
            </w:pPr>
            <w:r>
              <w:rPr>
                <w:rFonts w:hint="eastAsia" w:ascii="宋体" w:hAnsi="宋体" w:cs="宋体"/>
                <w:kern w:val="0"/>
                <w:szCs w:val="21"/>
              </w:rPr>
              <w:t>符合第二章“供应商须知”第3.2.3项规定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符合第二章“供应商须知”第1.3.1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供应商须知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1.3.2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工程质量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供应商须知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磋商有效期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供应商须知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3.3.1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磋商保证金</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供应商须知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3.4.1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权利义务</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符合第四章</w:t>
            </w:r>
            <w:r>
              <w:rPr>
                <w:rFonts w:hint="eastAsia" w:ascii="宋体" w:hAnsi="宋体" w:cs="TimesNewRomanPSMT"/>
                <w:kern w:val="0"/>
                <w:szCs w:val="21"/>
              </w:rPr>
              <w:t>“</w:t>
            </w:r>
            <w:r>
              <w:rPr>
                <w:rFonts w:hint="eastAsia" w:ascii="宋体" w:hAnsi="宋体" w:cs="宋体"/>
                <w:kern w:val="0"/>
                <w:szCs w:val="21"/>
              </w:rPr>
              <w:t>合同条款及格式</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符合第五章</w:t>
            </w:r>
            <w:r>
              <w:rPr>
                <w:rFonts w:hint="eastAsia" w:ascii="宋体" w:hAnsi="宋体" w:cs="TimesNewRomanPSMT"/>
                <w:kern w:val="0"/>
                <w:szCs w:val="21"/>
              </w:rPr>
              <w:t>“投标报价说明”要求及内容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技术标准和要求</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条款内容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b/>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2.2.1</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分值构成</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(总分100 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施工组织设计：45分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项目管理机构：10分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企业信誉与业绩：15分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投标报价：30分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2.2.2</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评标基准价计算方法</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TimesNewRomanPSMT"/>
                <w:color w:val="FF0000"/>
                <w:kern w:val="0"/>
                <w:szCs w:val="21"/>
              </w:rPr>
            </w:pPr>
            <w:r>
              <w:rPr>
                <w:rFonts w:hint="eastAsia" w:ascii="宋体" w:hAnsi="宋体" w:cs="宋体"/>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hint="eastAsia" w:ascii="宋体" w:hAnsi="宋体" w:cs="宋体"/>
                <w:kern w:val="0"/>
                <w:szCs w:val="21"/>
              </w:rPr>
              <w:br w:type="textWrapping"/>
            </w:r>
            <w:r>
              <w:rPr>
                <w:rFonts w:hint="eastAsia" w:ascii="宋体" w:hAnsi="宋体" w:cs="宋体"/>
                <w:kern w:val="0"/>
                <w:szCs w:val="21"/>
              </w:rPr>
              <w:t>   供应商有效投标价少于5（不含本数）个时，所有有效投标价均参与算术平均值计算（下同）。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2.2.3</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TimesNewRomanPSMT"/>
                <w:kern w:val="0"/>
                <w:szCs w:val="21"/>
              </w:rPr>
            </w:pPr>
            <w:r>
              <w:rPr>
                <w:rFonts w:hint="eastAsia" w:ascii="宋体" w:hAnsi="宋体" w:cs="宋体"/>
                <w:kern w:val="0"/>
                <w:szCs w:val="21"/>
              </w:rPr>
              <w:t>投标报价的偏差率计算公式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cs="宋体"/>
                <w:kern w:val="0"/>
                <w:szCs w:val="21"/>
              </w:rPr>
              <w:t>偏差率</w:t>
            </w:r>
            <w:r>
              <w:rPr>
                <w:rFonts w:hint="eastAsia" w:ascii="宋体" w:hAnsi="宋体" w:cs="TimesNewRomanPSMT"/>
                <w:kern w:val="0"/>
                <w:szCs w:val="21"/>
              </w:rPr>
              <w:t>=100% ×</w:t>
            </w:r>
            <w:r>
              <w:rPr>
                <w:rFonts w:hint="eastAsia" w:ascii="宋体" w:hAnsi="宋体" w:cs="宋体"/>
                <w:kern w:val="0"/>
                <w:szCs w:val="21"/>
              </w:rPr>
              <w:t>（投标报价</w:t>
            </w:r>
            <w:r>
              <w:rPr>
                <w:rFonts w:hint="eastAsia" w:ascii="宋体" w:hAnsi="宋体" w:cs="TimesNewRomanPSMT"/>
                <w:kern w:val="0"/>
                <w:szCs w:val="21"/>
              </w:rPr>
              <w:t>-</w:t>
            </w:r>
            <w:r>
              <w:rPr>
                <w:rFonts w:hint="eastAsia" w:ascii="宋体" w:hAnsi="宋体" w:cs="宋体"/>
                <w:kern w:val="0"/>
                <w:szCs w:val="21"/>
              </w:rPr>
              <w:t>评标基准价）</w:t>
            </w:r>
            <w:r>
              <w:rPr>
                <w:rFonts w:hint="eastAsia" w:ascii="宋体" w:hAnsi="宋体" w:cs="TimesNewRomanPSMT"/>
                <w:kern w:val="0"/>
                <w:szCs w:val="21"/>
              </w:rPr>
              <w:t>/</w:t>
            </w:r>
            <w:r>
              <w:rPr>
                <w:rFonts w:hint="eastAsia" w:ascii="宋体" w:hAnsi="宋体" w:cs="宋体"/>
                <w:kern w:val="0"/>
                <w:szCs w:val="21"/>
              </w:rPr>
              <w:t>评标基准价（计算结果保留小数点后两位数，小数点后的第三位按四舍五入）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885"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45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评分因素</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2.2.4(1)</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施工组织设计评分标准</w:t>
            </w:r>
          </w:p>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（45分）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 xml:space="preserve">（1）施工方案与技术措施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总分10分。施工部署合理，施工顺序及方案切实可行、针对性强；各项管理目标明确，技术措施满足工期、质量、安全生产及文明施工要求。较好者10～5分，一般者4～1分。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（2）质量管理体系与措施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总分7分。质量管理体系健全、管理人员责任明确、管理制度健全有效，各项技术措施、主要分项工程、作业指导书符合现行国家质量验收标准要求。较好者7～4分，一般者3～1分。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 xml:space="preserve">（3）安全管理体系与措施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（4）工程进度计划与措施、环境保护管理体系与措施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（5）施工总平面设计和资源配备计划</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bCs/>
                <w:szCs w:val="21"/>
              </w:rPr>
            </w:pPr>
            <w:r>
              <w:rPr>
                <w:rFonts w:hint="eastAsia" w:ascii="宋体" w:hAnsi="宋体"/>
                <w:color w:val="000000"/>
                <w:szCs w:val="21"/>
              </w:rPr>
              <w:t>（6）危险性较大的分部分项工程安全专项施工方案（6分）</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color w:val="000000"/>
                <w:szCs w:val="21"/>
              </w:rPr>
              <w:t>总分6分。专项方案内容是否完整、可行；专项方案的编制是否符合有关标准规范；安全施工的措施是否满足现场实际情况。较好者6～3分，一般2～1分。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2.2.4(2)</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项目管理机构</w:t>
            </w:r>
          </w:p>
          <w:p>
            <w:pPr>
              <w:autoSpaceDE w:val="0"/>
              <w:autoSpaceDN w:val="0"/>
              <w:adjustRightInd w:val="0"/>
              <w:spacing w:line="360" w:lineRule="auto"/>
              <w:ind w:right="-105" w:rightChars="-50"/>
              <w:jc w:val="center"/>
              <w:rPr>
                <w:rFonts w:ascii="宋体" w:hAnsi="宋体" w:cs="宋体"/>
                <w:kern w:val="0"/>
                <w:szCs w:val="21"/>
              </w:rPr>
            </w:pPr>
            <w:r>
              <w:rPr>
                <w:rFonts w:hint="eastAsia" w:ascii="宋体" w:hAnsi="宋体" w:cs="宋体"/>
                <w:kern w:val="0"/>
                <w:szCs w:val="21"/>
              </w:rPr>
              <w:t>（10分）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TimesNewRomanPSMT"/>
                <w:kern w:val="0"/>
                <w:szCs w:val="21"/>
              </w:rPr>
            </w:pPr>
            <w:r>
              <w:rPr>
                <w:rFonts w:hint="eastAsia" w:ascii="宋体" w:hAnsi="宋体" w:cs="TimesNewRomanPSMT"/>
                <w:kern w:val="0"/>
                <w:szCs w:val="21"/>
              </w:rPr>
              <w:t>（1）建造师的业绩</w:t>
            </w:r>
          </w:p>
        </w:tc>
        <w:tc>
          <w:tcPr>
            <w:tcW w:w="447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bCs/>
                <w:szCs w:val="21"/>
              </w:rPr>
            </w:pPr>
            <w:r>
              <w:rPr>
                <w:rFonts w:hint="eastAsia" w:ascii="宋体" w:hAnsi="宋体"/>
                <w:szCs w:val="21"/>
              </w:rPr>
              <w:t>建造师近三年承建过的类似工程每承建一个得2分，以中标通知书或合同为准，最高得6分；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（2）项目班子的组成</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szCs w:val="21"/>
              </w:rPr>
              <w:t>技术负责人（中级及以上职称）1名，质监员1名，安全员1名，施工员1名（持证各岗1分，无证不得分），满分4分。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企业业绩与信誉</w:t>
            </w:r>
          </w:p>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（15分）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szCs w:val="21"/>
              </w:rPr>
              <w:t>企业近三年承建过的类似工程每承建一个得3分，以中标通知书或合同协议书、工程竣工验收资料的复印件为准，最高得15分；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2.2.4(3)</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投标报价评分标准（30分）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pPr>
              <w:autoSpaceDE w:val="0"/>
              <w:autoSpaceDN w:val="0"/>
              <w:adjustRightInd w:val="0"/>
              <w:spacing w:line="360" w:lineRule="auto"/>
              <w:rPr>
                <w:rFonts w:ascii="宋体" w:hAnsi="宋体"/>
                <w:szCs w:val="21"/>
              </w:rPr>
            </w:pPr>
            <w:r>
              <w:rPr>
                <w:rFonts w:hint="eastAsia" w:ascii="宋体" w:hAnsi="宋体"/>
                <w:b/>
                <w:bCs/>
                <w:szCs w:val="21"/>
              </w:rPr>
              <w:t>注：以各供应商提供的最终报价为准计算报价得分。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2.2.4(4)</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其他因素评</w:t>
            </w:r>
          </w:p>
          <w:p>
            <w:pPr>
              <w:autoSpaceDE w:val="0"/>
              <w:autoSpaceDN w:val="0"/>
              <w:adjustRightInd w:val="0"/>
              <w:spacing w:line="360" w:lineRule="auto"/>
              <w:rPr>
                <w:rFonts w:ascii="宋体" w:hAnsi="宋体"/>
                <w:szCs w:val="21"/>
              </w:rPr>
            </w:pPr>
            <w:r>
              <w:rPr>
                <w:rFonts w:hint="eastAsia" w:ascii="宋体" w:hAnsi="宋体"/>
                <w:szCs w:val="21"/>
              </w:rPr>
              <w:t>分标准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autoSpaceDE w:val="0"/>
              <w:autoSpaceDN w:val="0"/>
              <w:adjustRightInd w:val="0"/>
              <w:spacing w:line="360" w:lineRule="auto"/>
              <w:rPr>
                <w:rFonts w:ascii="宋体" w:hAnsi="宋体"/>
                <w:szCs w:val="21"/>
              </w:rPr>
            </w:pPr>
            <w:r>
              <w:rPr>
                <w:rFonts w:hint="eastAsia" w:ascii="宋体" w:hAnsi="宋体"/>
                <w:szCs w:val="21"/>
              </w:rPr>
              <w:t>2.根据《政府采购促进中小企业发展暂行办法》，属小型、微型企业制造的货物（产品），供应商须提供该制造（生产）企业出具的《小型、微型企业声明函》（详见附件14），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autoSpaceDE w:val="0"/>
              <w:autoSpaceDN w:val="0"/>
              <w:adjustRightInd w:val="0"/>
              <w:spacing w:line="360" w:lineRule="auto"/>
              <w:rPr>
                <w:rFonts w:ascii="宋体" w:hAnsi="宋体"/>
                <w:szCs w:val="21"/>
              </w:rPr>
            </w:pPr>
            <w:r>
              <w:rPr>
                <w:rFonts w:hint="eastAsia" w:ascii="宋体" w:hAnsi="宋体"/>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bookmarkEnd w:id="57"/>
      <w:bookmarkEnd w:id="58"/>
    </w:tbl>
    <w:p>
      <w:pPr>
        <w:pStyle w:val="3"/>
        <w:spacing w:before="120" w:after="120" w:line="360" w:lineRule="auto"/>
        <w:rPr>
          <w:rFonts w:ascii="宋体" w:hAnsi="宋体" w:eastAsia="宋体" w:cs="TimesNewRomanPSMT"/>
          <w:color w:val="000000"/>
          <w:kern w:val="0"/>
          <w:sz w:val="28"/>
          <w:szCs w:val="28"/>
        </w:rPr>
      </w:pPr>
      <w:bookmarkStart w:id="59" w:name="_Toc365994232"/>
      <w:bookmarkStart w:id="60" w:name="_Toc10426"/>
      <w:bookmarkStart w:id="61" w:name="_Toc415209093"/>
      <w:bookmarkStart w:id="62" w:name="_Toc373770189"/>
      <w:bookmarkStart w:id="63" w:name="_Toc18672"/>
      <w:r>
        <w:rPr>
          <w:rFonts w:ascii="宋体" w:hAnsi="宋体" w:eastAsia="宋体" w:cs="TimesNewRomanPSMT"/>
          <w:color w:val="000000"/>
          <w:kern w:val="0"/>
          <w:sz w:val="28"/>
          <w:szCs w:val="28"/>
        </w:rPr>
        <w:t xml:space="preserve">1. </w:t>
      </w:r>
      <w:r>
        <w:rPr>
          <w:rFonts w:hint="eastAsia" w:ascii="宋体" w:hAnsi="宋体" w:eastAsia="宋体" w:cs="TimesNewRomanPSMT"/>
          <w:color w:val="000000"/>
          <w:kern w:val="0"/>
          <w:sz w:val="28"/>
          <w:szCs w:val="28"/>
        </w:rPr>
        <w:t>评标方法</w:t>
      </w:r>
      <w:bookmarkEnd w:id="59"/>
      <w:bookmarkEnd w:id="60"/>
      <w:bookmarkEnd w:id="61"/>
      <w:bookmarkEnd w:id="6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hint="eastAsia" w:ascii="宋体" w:hAnsi="宋体" w:cs="宋体"/>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pPr>
        <w:pStyle w:val="3"/>
        <w:spacing w:before="120" w:after="120" w:line="360" w:lineRule="auto"/>
        <w:rPr>
          <w:rFonts w:ascii="宋体" w:hAnsi="宋体" w:eastAsia="宋体" w:cs="TimesNewRomanPSMT"/>
          <w:color w:val="000000"/>
          <w:kern w:val="0"/>
          <w:sz w:val="28"/>
          <w:szCs w:val="28"/>
        </w:rPr>
      </w:pPr>
      <w:bookmarkStart w:id="64" w:name="_Toc373770190"/>
      <w:bookmarkStart w:id="65" w:name="_Toc415209094"/>
      <w:bookmarkStart w:id="66" w:name="_Toc32529"/>
      <w:bookmarkStart w:id="67" w:name="_Toc365994233"/>
      <w:r>
        <w:rPr>
          <w:rFonts w:ascii="宋体" w:hAnsi="宋体" w:eastAsia="宋体" w:cs="TimesNewRomanPSMT"/>
          <w:color w:val="000000"/>
          <w:kern w:val="0"/>
          <w:sz w:val="28"/>
          <w:szCs w:val="28"/>
        </w:rPr>
        <w:t xml:space="preserve">2. </w:t>
      </w:r>
      <w:r>
        <w:rPr>
          <w:rFonts w:hint="eastAsia" w:ascii="宋体" w:hAnsi="宋体" w:eastAsia="宋体" w:cs="TimesNewRomanPSMT"/>
          <w:color w:val="000000"/>
          <w:kern w:val="0"/>
          <w:sz w:val="28"/>
          <w:szCs w:val="28"/>
        </w:rPr>
        <w:t>评审标准</w:t>
      </w:r>
      <w:bookmarkEnd w:id="64"/>
      <w:bookmarkEnd w:id="65"/>
      <w:bookmarkEnd w:id="66"/>
      <w:bookmarkEnd w:id="67"/>
    </w:p>
    <w:p>
      <w:pPr>
        <w:pStyle w:val="4"/>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hint="eastAsia" w:ascii="宋体" w:hAnsi="宋体" w:cs="TimesNewRomanPSMT"/>
          <w:color w:val="000000"/>
          <w:kern w:val="0"/>
          <w:sz w:val="24"/>
          <w:szCs w:val="24"/>
        </w:rPr>
        <w:t>初步评审标准</w:t>
      </w:r>
      <w:bookmarkEnd w:id="68"/>
      <w:bookmarkEnd w:id="69"/>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2.1.1 </w:t>
      </w:r>
      <w:r>
        <w:rPr>
          <w:rFonts w:hint="eastAsia" w:ascii="宋体" w:hAnsi="宋体" w:cs="宋体"/>
          <w:color w:val="000000"/>
          <w:kern w:val="0"/>
          <w:sz w:val="24"/>
        </w:rPr>
        <w:t>形式评审标准：见评标办法前附表。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2.1.2 </w:t>
      </w:r>
      <w:r>
        <w:rPr>
          <w:rFonts w:hint="eastAsia" w:ascii="宋体" w:hAnsi="宋体" w:cs="宋体"/>
          <w:color w:val="000000"/>
          <w:kern w:val="0"/>
          <w:sz w:val="24"/>
        </w:rPr>
        <w:t>资格评审标准：</w:t>
      </w:r>
      <w:r>
        <w:rPr>
          <w:rFonts w:hint="eastAsia" w:ascii="宋体" w:hAnsi="宋体"/>
          <w:color w:val="000000"/>
          <w:sz w:val="24"/>
        </w:rPr>
        <w:t>见评标办法前附表</w:t>
      </w:r>
      <w:r>
        <w:rPr>
          <w:rFonts w:hint="eastAsia" w:ascii="宋体" w:hAnsi="宋体" w:cs="宋体"/>
          <w:color w:val="000000"/>
          <w:kern w:val="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2.1.3 </w:t>
      </w:r>
      <w:r>
        <w:rPr>
          <w:rFonts w:hint="eastAsia" w:ascii="宋体" w:hAnsi="宋体" w:cs="宋体"/>
          <w:color w:val="000000"/>
          <w:kern w:val="0"/>
          <w:sz w:val="24"/>
        </w:rPr>
        <w:t>响应性评审标准：见评标办法前附表。</w:t>
      </w:r>
    </w:p>
    <w:p>
      <w:pPr>
        <w:pStyle w:val="4"/>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t xml:space="preserve">2.2 </w:t>
      </w:r>
      <w:r>
        <w:rPr>
          <w:rFonts w:hint="eastAsia" w:ascii="宋体" w:hAnsi="宋体" w:cs="TimesNewRomanPSMT"/>
          <w:color w:val="000000"/>
          <w:kern w:val="0"/>
          <w:sz w:val="24"/>
          <w:szCs w:val="24"/>
        </w:rPr>
        <w:t>分值构成与评分标准</w:t>
      </w:r>
      <w:bookmarkEnd w:id="70"/>
      <w:bookmarkEnd w:id="71"/>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2.2.1 </w:t>
      </w:r>
      <w:r>
        <w:rPr>
          <w:rFonts w:hint="eastAsia" w:ascii="宋体" w:hAnsi="宋体" w:cs="宋体"/>
          <w:color w:val="000000"/>
          <w:kern w:val="0"/>
          <w:sz w:val="24"/>
        </w:rPr>
        <w:t>分值构成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（5）其他评分因素：见评标办法前附表。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2.2.2 </w:t>
      </w:r>
      <w:r>
        <w:rPr>
          <w:rFonts w:hint="eastAsia" w:ascii="宋体" w:hAnsi="宋体" w:cs="宋体"/>
          <w:color w:val="000000"/>
          <w:kern w:val="0"/>
          <w:sz w:val="24"/>
        </w:rPr>
        <w:t>评标基准价计算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评标基准价计算方法：见评标办法前附表。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2.2.3 </w:t>
      </w:r>
      <w:r>
        <w:rPr>
          <w:rFonts w:hint="eastAsia" w:ascii="宋体" w:hAnsi="宋体" w:cs="宋体"/>
          <w:color w:val="000000"/>
          <w:kern w:val="0"/>
          <w:sz w:val="24"/>
        </w:rPr>
        <w:t>投标报价的偏差率计算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投标报价的偏差率计算公式：见评标办法前附表。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2.2.4 </w:t>
      </w:r>
      <w:r>
        <w:rPr>
          <w:rFonts w:hint="eastAsia" w:ascii="宋体" w:hAnsi="宋体" w:cs="宋体"/>
          <w:color w:val="000000"/>
          <w:kern w:val="0"/>
          <w:sz w:val="24"/>
        </w:rPr>
        <w:t>评分标准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（5）其他因素评分标准：见评标办法前附表。</w:t>
      </w:r>
    </w:p>
    <w:p>
      <w:pPr>
        <w:pStyle w:val="3"/>
        <w:spacing w:before="0" w:after="0" w:line="360" w:lineRule="auto"/>
        <w:rPr>
          <w:rFonts w:ascii="宋体" w:hAnsi="宋体" w:eastAsia="宋体" w:cs="宋体"/>
          <w:color w:val="000000"/>
          <w:kern w:val="0"/>
          <w:sz w:val="28"/>
          <w:szCs w:val="28"/>
        </w:rPr>
      </w:pPr>
      <w:bookmarkStart w:id="72" w:name="_Toc23081"/>
      <w:r>
        <w:rPr>
          <w:rFonts w:hint="eastAsia" w:ascii="宋体" w:hAnsi="宋体" w:eastAsia="宋体" w:cs="宋体"/>
          <w:color w:val="000000"/>
          <w:kern w:val="0"/>
          <w:sz w:val="28"/>
          <w:szCs w:val="28"/>
        </w:rPr>
        <w:t>3. 评标程序</w:t>
      </w:r>
      <w:bookmarkEnd w:id="63"/>
      <w:bookmarkEnd w:id="72"/>
    </w:p>
    <w:p>
      <w:pPr>
        <w:pStyle w:val="4"/>
        <w:spacing w:before="0" w:after="0" w:line="360" w:lineRule="auto"/>
        <w:rPr>
          <w:rFonts w:ascii="宋体" w:hAnsi="宋体" w:cs="宋体"/>
          <w:color w:val="000000"/>
          <w:kern w:val="0"/>
          <w:sz w:val="30"/>
          <w:szCs w:val="30"/>
        </w:rPr>
      </w:pPr>
      <w:r>
        <w:rPr>
          <w:rFonts w:hint="eastAsia" w:ascii="宋体" w:hAnsi="宋体" w:cs="宋体"/>
          <w:color w:val="000000"/>
          <w:kern w:val="0"/>
          <w:sz w:val="24"/>
          <w:szCs w:val="24"/>
        </w:rPr>
        <w:t xml:space="preserve">3.1 初步评审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供应商有以下情形之一的，其投标无效：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（1）磋商小组可以要求供应商提交第二章“供应商须知”第3.5.1 项至第3.5.4 项规定的有关证明和证件的原件，以便核验。磋商小组依据本章第2.1 款规定的标准对竞争性磋商响应文件进行初步评审有一项不符合评审标准的；     （2）违反第二章“供应商须知”1.4.4项规定的；</w:t>
      </w:r>
    </w:p>
    <w:p>
      <w:pPr>
        <w:spacing w:line="360" w:lineRule="auto"/>
        <w:ind w:firstLine="120" w:firstLineChars="50"/>
        <w:rPr>
          <w:rFonts w:ascii="宋体" w:hAnsi="宋体" w:cs="宋体"/>
          <w:color w:val="000000"/>
          <w:kern w:val="0"/>
          <w:sz w:val="24"/>
        </w:rPr>
      </w:pPr>
      <w:r>
        <w:rPr>
          <w:rFonts w:hint="eastAsia" w:ascii="宋体" w:hAnsi="宋体" w:cs="宋体"/>
          <w:color w:val="000000"/>
          <w:kern w:val="0"/>
          <w:sz w:val="24"/>
        </w:rPr>
        <w:t>（3）联合体投标并进行资格预审的，其组成或者其成员增减、更换的时间不符合国家有关法律规定的 ；</w:t>
      </w:r>
      <w:r>
        <w:rPr>
          <w:rFonts w:hint="eastAsia" w:ascii="宋体" w:hAnsi="宋体" w:cs="宋体"/>
          <w:color w:val="000000"/>
          <w:kern w:val="0"/>
          <w:sz w:val="24"/>
        </w:rPr>
        <w:br w:type="textWrapping"/>
      </w:r>
      <w:r>
        <w:rPr>
          <w:rFonts w:hint="eastAsia" w:ascii="宋体" w:hAnsi="宋体" w:cs="宋体"/>
          <w:color w:val="000000"/>
          <w:kern w:val="0"/>
          <w:sz w:val="24"/>
        </w:rPr>
        <w:t xml:space="preserve"> （4）联合体各方在同一采购项目中以自己名义单独投标或者参加其他联合体投标的 ；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（5）供应商发生合并、分立、破产等重大变化不再具备资格预审文件、竞争性磋商文件规定的资格条件或者其投标影响招标公正性的；</w:t>
      </w:r>
      <w:r>
        <w:rPr>
          <w:rFonts w:hint="eastAsia" w:ascii="宋体" w:hAnsi="宋体" w:cs="宋体"/>
          <w:color w:val="000000"/>
          <w:kern w:val="0"/>
          <w:sz w:val="24"/>
        </w:rPr>
        <w:br w:type="textWrapping"/>
      </w:r>
      <w:r>
        <w:rPr>
          <w:rFonts w:hint="eastAsia" w:ascii="宋体" w:hAnsi="宋体" w:cs="宋体"/>
          <w:color w:val="000000"/>
          <w:kern w:val="0"/>
          <w:sz w:val="24"/>
        </w:rPr>
        <w:t xml:space="preserve">  （6）有关法律法规、规章或者竞争性磋商文件明确规定供应商投标无效的其他情形。</w:t>
      </w:r>
    </w:p>
    <w:p>
      <w:pPr>
        <w:autoSpaceDE w:val="0"/>
        <w:autoSpaceDN w:val="0"/>
        <w:adjustRightInd w:val="0"/>
        <w:spacing w:line="360" w:lineRule="auto"/>
        <w:ind w:firstLine="360" w:firstLineChars="150"/>
        <w:jc w:val="left"/>
        <w:rPr>
          <w:rFonts w:ascii="宋体" w:hAnsi="宋体" w:cs="宋体"/>
          <w:b/>
          <w:color w:val="000000"/>
          <w:kern w:val="0"/>
          <w:sz w:val="24"/>
        </w:rPr>
      </w:pPr>
      <w:r>
        <w:rPr>
          <w:rFonts w:hint="eastAsia" w:ascii="宋体" w:hAnsi="宋体" w:cs="宋体"/>
          <w:color w:val="000000"/>
          <w:kern w:val="0"/>
          <w:sz w:val="24"/>
        </w:rPr>
        <w:t>3.1.2 供应商有以下情形之一的，磋商小组应当否决其投标。</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（1）竞争性磋商响应文件未经投标单位盖章和单位负责人签字或者法定代表人证明书或法定代表人授权委托书被认定为无效的；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(2）供应商资格不符合国家或者竞争性磋商文件规定的资格条件要求的；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(3）投标联合体没有提交联合投标协议书的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(4）同一供应商递交两个不同份的竞争性磋商响应文件或者投标报价，但竞争性磋商文件要求提交备选投标的除外；</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（5）投标报价低于成本价或者高于竞争性磋商文件设定的最高投标限价的；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（6）供应商有串通投标、弄虚作假、行贿等违法行为的；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（7）使用通过受让或者租借等方式获取的资格、资质证书，以他人名义投标的。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（8）供应商名称及项目负责人与资格预审时不一致的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（9）投标总价与投标函中的投标报价不一致的；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（10）未按竞争性磋商文件要求交纳磋商保证金的；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（11）磋商保证金的有效期与磋商有效期不一致的；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（12）磋商有效期与竞争性磋商文件规定不一致的；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（13）投标范围、内容与竞争性磋商文件规定不一致的；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（14）投标的目标工期超过竞争性磋商文件规定的工期的；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（15）投标的目标工程质量明显不符合竞争性磋商文件规定的技术规格、技术标准和要求的；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（16）未按竞争性磋商文件规定的格式填写，内容不全或关键字迹模糊、无法辨认的；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（17）供应商不按磋商小组要求澄清、说明或补正竞争性磋商响应文件的；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（18）项目经理违反规定，参加本采购项目投标的；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（19）竞争性磋商文件要求竞争性磋商响应文件提供有关证书、证明文件及资料的，竞争性磋商响应文件未提供或者提供的达不到竞争性磋商文件目的要求的；</w:t>
      </w:r>
    </w:p>
    <w:p>
      <w:pPr>
        <w:spacing w:line="360" w:lineRule="auto"/>
        <w:ind w:firstLine="240" w:firstLineChars="100"/>
        <w:rPr>
          <w:rFonts w:ascii="宋体" w:hAnsi="宋体" w:cs="宋体"/>
          <w:b/>
          <w:color w:val="000000"/>
          <w:szCs w:val="21"/>
        </w:rPr>
      </w:pPr>
      <w:r>
        <w:rPr>
          <w:rFonts w:hint="eastAsia" w:ascii="宋体" w:hAnsi="宋体" w:cs="宋体"/>
          <w:color w:val="000000"/>
          <w:kern w:val="0"/>
          <w:sz w:val="24"/>
        </w:rPr>
        <w:t>（20）竞争性磋商响应文件附有采购人不能接受的条件的</w:t>
      </w:r>
      <w:r>
        <w:rPr>
          <w:rFonts w:hint="eastAsia" w:ascii="宋体" w:hAnsi="宋体" w:cs="宋体"/>
          <w:b/>
          <w:color w:val="000000"/>
          <w:sz w:val="24"/>
        </w:rPr>
        <w:t>；</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（21）具有第二章“供应商须知”第1.4.3 项规定情形之一的；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（22）竞争性磋商响应文件没有对竞争性磋商文件的实质性要求和条件作出响应的其他情形；</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（23）有关法律、法规、规章或者竞争性磋商文件明确规定，应否决供应商投标的其他情形</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详细评审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磋商小组按本章第2.2 款规定的量化因素和分值进行打分，并计算出综合评估得分。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（1）按本章第2.2.4（1）目规定的评审因素和分值对施工组织设计计算出得分A；</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（2）按本章第2.2.4（2）目规定的评审因素和分值对项目管理机构及企业业绩与信誉计算出得分B；</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（3）按本章第2.2.4（3）目规定的评审因素和分值对投标报价计算出得分C；</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（4）按本章第2.2.4（4）目规定的评审因素和分值对其他部分计算出得分D。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评分分值计算保留小数点后两位，小数点后第三位“四舍五入”。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供应商得分=A+B+C+D。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竞争性磋商响应文件的澄清和补正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3.3.1 </w:t>
      </w:r>
      <w:r>
        <w:rPr>
          <w:rFonts w:hint="eastAsia" w:ascii="宋体" w:hAnsi="宋体" w:cs="宋体"/>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3.3.2 </w:t>
      </w:r>
      <w:r>
        <w:rPr>
          <w:rFonts w:hint="eastAsia" w:ascii="宋体" w:hAnsi="宋体" w:cs="宋体"/>
          <w:color w:val="000000"/>
          <w:kern w:val="0"/>
          <w:sz w:val="24"/>
        </w:rPr>
        <w:t>澄清、说明和补正不得改变竞争性磋商响应文件的实质性内容（算术性错误修正的除外）。供应商的书面澄清、说明和补正属于竞争性磋商响应文件的组成部分。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3.3.3 </w:t>
      </w:r>
      <w:r>
        <w:rPr>
          <w:rFonts w:hint="eastAsia" w:ascii="宋体" w:hAnsi="宋体" w:cs="宋体"/>
          <w:color w:val="000000"/>
          <w:kern w:val="0"/>
          <w:sz w:val="24"/>
        </w:rPr>
        <w:t>磋商小组对供应商提交的澄清、说明或补正有疑问的，可以要求供应商进一步澄清、说明或补正，直至满足磋商小组的要求。</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评标结果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 除第二章“供应商须知”前附表授权直接确定中标人外，磋商小组按照得分由高到低的顺序推荐中标候选人。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3.4.2 磋商小组完成评标后，应当向采购人提交书面评标报告。</w:t>
      </w:r>
    </w:p>
    <w:p>
      <w:pPr>
        <w:spacing w:line="360" w:lineRule="auto"/>
        <w:rPr>
          <w:rFonts w:ascii="宋体" w:hAnsi="宋体" w:cs="宋体"/>
        </w:rPr>
      </w:pPr>
      <w:bookmarkStart w:id="73" w:name="_Toc381175531"/>
    </w:p>
    <w:p>
      <w:pPr>
        <w:keepNext/>
        <w:keepLines/>
        <w:spacing w:line="360" w:lineRule="auto"/>
        <w:jc w:val="center"/>
        <w:rPr>
          <w:rFonts w:ascii="宋体" w:hAnsi="宋体" w:cs="宋体"/>
          <w:color w:val="000000"/>
        </w:rPr>
      </w:pPr>
      <w:bookmarkStart w:id="74" w:name="_Toc6458"/>
      <w:r>
        <w:rPr>
          <w:rFonts w:hint="eastAsia" w:ascii="宋体" w:hAnsi="宋体" w:cs="宋体"/>
          <w:color w:val="000000"/>
        </w:rPr>
        <w:br w:type="page"/>
      </w:r>
    </w:p>
    <w:p>
      <w:pPr>
        <w:pStyle w:val="2"/>
        <w:spacing w:before="0" w:after="0" w:line="360" w:lineRule="auto"/>
        <w:jc w:val="center"/>
        <w:rPr>
          <w:rFonts w:ascii="宋体" w:hAnsi="宋体" w:cs="宋体"/>
          <w:color w:val="000000"/>
        </w:rPr>
      </w:pPr>
      <w:bookmarkStart w:id="75" w:name="_Toc18551"/>
      <w:r>
        <w:rPr>
          <w:rFonts w:hint="eastAsia" w:ascii="宋体" w:hAnsi="宋体" w:cs="宋体"/>
          <w:color w:val="000000"/>
        </w:rPr>
        <w:t>第四部分 合同条款及格式</w:t>
      </w:r>
      <w:bookmarkEnd w:id="73"/>
      <w:bookmarkEnd w:id="74"/>
      <w:bookmarkEnd w:id="75"/>
    </w:p>
    <w:p>
      <w:pPr>
        <w:pStyle w:val="3"/>
        <w:spacing w:before="0" w:after="0" w:line="360" w:lineRule="auto"/>
        <w:jc w:val="center"/>
        <w:rPr>
          <w:rFonts w:ascii="宋体" w:hAnsi="宋体" w:eastAsia="宋体" w:cs="宋体"/>
          <w:color w:val="000000"/>
          <w:kern w:val="0"/>
          <w:sz w:val="28"/>
          <w:szCs w:val="28"/>
        </w:rPr>
      </w:pPr>
      <w:bookmarkStart w:id="76" w:name="_Toc28922"/>
      <w:bookmarkStart w:id="77" w:name="_Toc7255"/>
      <w:bookmarkStart w:id="78" w:name="_Toc381175532"/>
      <w:r>
        <w:rPr>
          <w:rFonts w:hint="eastAsia" w:ascii="宋体" w:hAnsi="宋体" w:eastAsia="宋体" w:cs="宋体"/>
          <w:color w:val="000000"/>
          <w:kern w:val="0"/>
          <w:sz w:val="28"/>
          <w:szCs w:val="28"/>
        </w:rPr>
        <w:t>第一节 通用合同条款</w:t>
      </w:r>
      <w:bookmarkEnd w:id="76"/>
      <w:bookmarkEnd w:id="77"/>
      <w:bookmarkEnd w:id="78"/>
    </w:p>
    <w:p>
      <w:pPr>
        <w:pStyle w:val="3"/>
        <w:spacing w:before="0" w:after="0" w:line="360" w:lineRule="auto"/>
        <w:rPr>
          <w:rFonts w:ascii="宋体" w:hAnsi="宋体" w:eastAsia="宋体" w:cs="宋体"/>
          <w:color w:val="000000"/>
          <w:kern w:val="0"/>
          <w:sz w:val="28"/>
          <w:szCs w:val="28"/>
        </w:rPr>
      </w:pPr>
      <w:bookmarkStart w:id="79" w:name="_Toc381175534"/>
      <w:bookmarkStart w:id="80" w:name="_Toc1692"/>
      <w:bookmarkStart w:id="81" w:name="_Toc3266"/>
      <w:r>
        <w:rPr>
          <w:rFonts w:hint="eastAsia" w:ascii="宋体" w:hAnsi="宋体" w:eastAsia="宋体" w:cs="宋体"/>
          <w:color w:val="000000"/>
          <w:kern w:val="0"/>
          <w:sz w:val="28"/>
          <w:szCs w:val="28"/>
        </w:rPr>
        <w:t>1. 一般约定</w:t>
      </w:r>
      <w:bookmarkEnd w:id="79"/>
      <w:bookmarkEnd w:id="80"/>
      <w:bookmarkEnd w:id="81"/>
    </w:p>
    <w:p>
      <w:pPr>
        <w:pStyle w:val="4"/>
        <w:spacing w:before="0" w:after="0" w:line="360" w:lineRule="auto"/>
        <w:rPr>
          <w:rFonts w:ascii="宋体" w:hAnsi="宋体" w:cs="宋体"/>
          <w:color w:val="000000"/>
          <w:kern w:val="0"/>
          <w:sz w:val="24"/>
          <w:szCs w:val="24"/>
        </w:rPr>
      </w:pPr>
      <w:bookmarkStart w:id="82" w:name="_Toc381175535"/>
      <w:r>
        <w:rPr>
          <w:rFonts w:hint="eastAsia" w:ascii="宋体" w:hAnsi="宋体" w:cs="宋体"/>
          <w:color w:val="000000"/>
          <w:kern w:val="0"/>
          <w:sz w:val="24"/>
          <w:szCs w:val="24"/>
        </w:rPr>
        <w:t>1.1 词语定义与解释</w:t>
      </w:r>
      <w:bookmarkEnd w:id="8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合同协议书、通用合同条款、专用合同条款中的下列词语具有本款所赋予的含义：</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1.1.1 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合同：是指根据法律规定和合同当事人约定具有约束力的文件，构成合同的文件包括合同协议书、中标通知书（如果有）、投标函及其附录（如果有）、专用合同条款</w:t>
      </w:r>
      <w:r>
        <w:rPr>
          <w:rFonts w:hint="eastAsia" w:ascii="宋体" w:hAnsi="宋体" w:cs="宋体"/>
          <w:color w:val="000000"/>
          <w:sz w:val="24"/>
        </w:rPr>
        <w:t>及其附件</w:t>
      </w:r>
      <w:r>
        <w:rPr>
          <w:rFonts w:hint="eastAsia" w:ascii="宋体" w:hAnsi="宋体" w:cs="宋体"/>
          <w:color w:val="000000"/>
          <w:kern w:val="0"/>
          <w:sz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合同协议书：是指构成合同的由发包人和承包人共同签署的称为“合同协议书”的书面文件。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中标通知书：是指构成合同的由发包人通知承包人中标的书面文件。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1.1.2 合同当事人及其他相关方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1.1.2.1 合同当事人：是指发包人和（或）承包人。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1.1.2.5 设计人：是指在专用合同条款中指明的，受发包人委托负责工程设计并具备相应工程设计资质的法人或其他组织。</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1.1.2.6 分包人：</w:t>
      </w:r>
      <w:bookmarkStart w:id="83" w:name="#go5"/>
      <w:bookmarkEnd w:id="83"/>
      <w:r>
        <w:rPr>
          <w:rFonts w:hint="eastAsia" w:ascii="宋体" w:hAnsi="宋体" w:cs="宋体"/>
          <w:color w:val="000000"/>
          <w:kern w:val="0"/>
          <w:sz w:val="24"/>
        </w:rPr>
        <w:t>是指按照法律规定和合同约定，分包部分工程或工作，并与承包人签订分包合同的具有相应资质的法人。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1.1.2.8 项目经理：是指由承包人任命并派驻施工现场，在承包人授权范围内负责合同履行，且按照法律规定具有相应资格的项目负责人。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1.1.2.9 总监理工程师：是指由监理人任命并派驻施工现场进行工程监理的总负责人。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工程和设备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 工程：是指与合同协议书中工程承包范围对应的永久工程和（或）临时工程。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1.1.3.2 永久工程：是指按合同约定建造并移交给发包人的工程，包括工程设备。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1.1.3.3 临时工程：是指为完成合同约定的永久工程所修建的各类临时性工程，不包括施工设备。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1.1.3.4 单位工程：是指在合同协议书中指明的，具备独立施工条件并能形成独立使用功能的永久工程。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1.1.3.5 工程设备：是指构成永久工程的机电设备、金属结构设备、仪器及其他类似的设备和装置。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1.1.3.6 施工设备：是指为完成合同约定的各项工作所需的设备、器具和其他物品，但不包括工程设备、临时工程和材料。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1.1.3.7 施工现场：是指用于工程施工的场所，以及在专用合同条款中指明作为施工场所组成部分的其他场所，包括永久占地和临时占地。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1.1.3.8临时设施：是指为完成合同约定的各项工作所服务的临时性生产和生活设施。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永久占地：是指专用合同条款中指明为实施工程需永久占用的土地。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1.1.3.10 临时占地：是指专用合同条款中指明为实施工程需要临时占用的土地。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日期和期限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1.1.4.2 竣工日期：包括计划竣工日期和实际竣工日期。计划竣工日期是指合同协议书约定的竣工日期；实际竣工日期按照第13.2.3项〔竣工日期〕的约定确定。 </w:t>
      </w:r>
    </w:p>
    <w:p>
      <w:pPr>
        <w:spacing w:line="360" w:lineRule="auto"/>
        <w:ind w:firstLine="487" w:firstLineChars="203"/>
        <w:rPr>
          <w:rFonts w:ascii="宋体" w:hAnsi="宋体" w:cs="宋体"/>
          <w:color w:val="000000"/>
          <w:sz w:val="24"/>
        </w:rPr>
      </w:pPr>
      <w:r>
        <w:rPr>
          <w:rFonts w:hint="eastAsia" w:ascii="宋体" w:hAnsi="宋体" w:cs="宋体"/>
          <w:color w:val="000000"/>
          <w:kern w:val="0"/>
          <w:sz w:val="24"/>
        </w:rPr>
        <w:t>1.1.4.3 工期：是指在合同协议书约定的承包人完成工程所需的期限，包括按照合同约定所作的期限变更。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1.1.4.4 缺陷责任期：是指承包人按照合同约定承担缺陷修复义务，且发包人预留质量保证金的期限，自工程实际竣工日期起计算。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1.1.4.5 保修期：是指承包人按照合同约定对工程承担保修责任的期限，从工程竣工验收合格之日起计算。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1.1.4.6 基准日期：招标发包的工程以投标截止日前28天的日期为基准日期，直接发包的工程以合同签订日前28天的日期为基准日期。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合同价格和费用</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1.1.5.1 签约合同价：是指</w:t>
      </w:r>
      <w:r>
        <w:rPr>
          <w:rFonts w:hint="eastAsia" w:ascii="宋体" w:hAnsi="宋体" w:cs="宋体"/>
          <w:color w:val="000000"/>
          <w:sz w:val="24"/>
        </w:rPr>
        <w:t>发包人和承包人在合同协议书中确定的总金额，包括安全文明施工费、暂估价及暂列金额等。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1.1.5.2 合同价格：是指发包人用于支付承包人按照合同约定完成承包范围内全部工作的金额，包括合同履行过程中按合同约定发生的价格变化。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1.1.5.3 费用：是指为履行合同所发生的或将要发生的所有必需的开支，包括管理费和应分摊的其他费用，但不包括利润。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1.1.5.4 暂估价：是指发包人在工程量清单或预算书中提供的用于支付必然发生但暂时不能确定价格的材料、工程设备的单价、专业工程以及服务工作的金额。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1.1.5.7 质量保证金</w:t>
      </w:r>
      <w:bookmarkStart w:id="84" w:name="#go2"/>
      <w:bookmarkEnd w:id="84"/>
      <w:r>
        <w:rPr>
          <w:rFonts w:hint="eastAsia" w:ascii="宋体" w:hAnsi="宋体" w:cs="宋体"/>
          <w:color w:val="000000"/>
          <w:kern w:val="0"/>
          <w:sz w:val="24"/>
        </w:rPr>
        <w:t>：是指按照第15.3款〔质量保证金〕约定承包人用于保证其在缺陷责任期内履行缺陷修补义务的担保</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1.1.6 其他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1.1.6.1 书面形式：是指合同文件、信函、电报、传真等可以有形地表现所载内容的形式。</w:t>
      </w:r>
    </w:p>
    <w:p>
      <w:pPr>
        <w:pStyle w:val="4"/>
        <w:spacing w:before="0" w:after="0" w:line="360" w:lineRule="auto"/>
        <w:rPr>
          <w:rFonts w:ascii="宋体" w:hAnsi="宋体" w:cs="宋体"/>
          <w:color w:val="000000"/>
          <w:kern w:val="0"/>
          <w:sz w:val="24"/>
          <w:szCs w:val="24"/>
        </w:rPr>
      </w:pPr>
      <w:bookmarkStart w:id="85" w:name="_Toc381175536"/>
      <w:r>
        <w:rPr>
          <w:rFonts w:hint="eastAsia" w:ascii="宋体" w:hAnsi="宋体" w:cs="宋体"/>
          <w:color w:val="000000"/>
          <w:kern w:val="0"/>
          <w:sz w:val="24"/>
          <w:szCs w:val="24"/>
        </w:rPr>
        <w:t>1.2 语言文字</w:t>
      </w:r>
      <w:bookmarkEnd w:id="8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合同以中国的汉语简体文字编写、解释和说明。合同当事人在专用合同条款中约定使用两种以上语言时，汉语为优先解释和说明合同的语言。</w:t>
      </w:r>
    </w:p>
    <w:p>
      <w:pPr>
        <w:pStyle w:val="4"/>
        <w:spacing w:before="0" w:after="0" w:line="360" w:lineRule="auto"/>
        <w:rPr>
          <w:rFonts w:ascii="宋体" w:hAnsi="宋体" w:cs="宋体"/>
          <w:color w:val="000000"/>
          <w:kern w:val="0"/>
          <w:sz w:val="24"/>
          <w:szCs w:val="24"/>
        </w:rPr>
      </w:pPr>
      <w:bookmarkStart w:id="86" w:name="_Toc381175537"/>
      <w:r>
        <w:rPr>
          <w:rFonts w:hint="eastAsia" w:ascii="宋体" w:hAnsi="宋体" w:cs="宋体"/>
          <w:color w:val="000000"/>
          <w:kern w:val="0"/>
          <w:sz w:val="24"/>
          <w:szCs w:val="24"/>
        </w:rPr>
        <w:t>1.3 法律</w:t>
      </w:r>
      <w:bookmarkEnd w:id="8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合同所称法律是指中华人民共和国法律、行政法规、部门规章，以及工程所在地的地方性法规、自治条例、单行条例和地方政府规章等。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合同当事人可以在专用合同条款中约定合同适用的其他规范性文件。</w:t>
      </w:r>
    </w:p>
    <w:p>
      <w:pPr>
        <w:pStyle w:val="4"/>
        <w:spacing w:before="0" w:after="0" w:line="360" w:lineRule="auto"/>
        <w:rPr>
          <w:rFonts w:ascii="宋体" w:hAnsi="宋体" w:cs="宋体"/>
          <w:color w:val="000000"/>
          <w:kern w:val="0"/>
          <w:sz w:val="24"/>
          <w:szCs w:val="24"/>
        </w:rPr>
      </w:pPr>
      <w:bookmarkStart w:id="87" w:name="_Toc381175538"/>
      <w:r>
        <w:rPr>
          <w:rFonts w:hint="eastAsia" w:ascii="宋体" w:hAnsi="宋体" w:cs="宋体"/>
          <w:color w:val="000000"/>
          <w:kern w:val="0"/>
          <w:sz w:val="24"/>
          <w:szCs w:val="24"/>
        </w:rPr>
        <w:t>1.4标准和规范</w:t>
      </w:r>
      <w:bookmarkEnd w:id="8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1.4.1 适用于工程的国家标准、行业标准、工程所在地的地方性标准，以及相应的规范、规程等，合同当事人有特别要求的，应在专用合同条款中约定。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1.4.2 发包人要求使用国外标准、规范的，发包人负责提供原文版本和中文译本，并在专用合同条款中约定提供标准规范的名称、份数和时间。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4"/>
        <w:spacing w:before="0" w:after="0" w:line="360" w:lineRule="auto"/>
        <w:rPr>
          <w:rFonts w:ascii="宋体" w:hAnsi="宋体" w:cs="宋体"/>
          <w:color w:val="000000"/>
          <w:kern w:val="0"/>
          <w:sz w:val="24"/>
          <w:szCs w:val="24"/>
        </w:rPr>
      </w:pPr>
      <w:bookmarkStart w:id="88" w:name="_Toc381175539"/>
      <w:r>
        <w:rPr>
          <w:rFonts w:hint="eastAsia" w:ascii="宋体" w:hAnsi="宋体" w:cs="宋体"/>
          <w:color w:val="000000"/>
          <w:kern w:val="0"/>
          <w:sz w:val="24"/>
          <w:szCs w:val="24"/>
        </w:rPr>
        <w:t>1.5合同文件的优先顺序</w:t>
      </w:r>
      <w:bookmarkEnd w:id="8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组成合同的各项文件应互相解释，互为说明。除专用合同条款另有约定外，解释合同文件的优先顺序如下：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（1）合同协议书；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（2）中标通知书；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（3）投标函及其附录；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（4）专用合同条款及其附件；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（5）通用合同条款；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（8）已标价工程量清单或预算书；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（9）其他合同文件。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上述各项合同文件包括合同当事人就该项合同文件所作出的补充和修改，属于同一类内容的文件，应以最新签署的为准。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在合同订立及履行过程中形成的与合同有关的文件均构成合同文件组成部分，并根据其性质确定优先解释顺序。</w:t>
      </w:r>
    </w:p>
    <w:p>
      <w:pPr>
        <w:pStyle w:val="4"/>
        <w:spacing w:before="0" w:after="0" w:line="360" w:lineRule="auto"/>
        <w:rPr>
          <w:rFonts w:ascii="宋体" w:hAnsi="宋体" w:cs="宋体"/>
          <w:color w:val="000000"/>
          <w:kern w:val="0"/>
          <w:sz w:val="24"/>
          <w:szCs w:val="24"/>
        </w:rPr>
      </w:pPr>
      <w:bookmarkStart w:id="89" w:name="_Toc381175540"/>
      <w:r>
        <w:rPr>
          <w:rFonts w:hint="eastAsia" w:ascii="宋体" w:hAnsi="宋体" w:cs="宋体"/>
          <w:color w:val="000000"/>
          <w:kern w:val="0"/>
          <w:sz w:val="24"/>
          <w:szCs w:val="24"/>
        </w:rPr>
        <w:t>1.6 图纸和承包人文件</w:t>
      </w:r>
      <w:bookmarkEnd w:id="8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 图纸的提供和交底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因发包人未按合同约定提供图纸导致承包人费用增加和（或）工期延误的，按照第7.5.1项〔因发包人原因导致工期延误〕约定办理。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 图纸的错误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1.6.3 图纸的修改和补充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1.6.4 承包人文件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1.6.5 图纸和承包人文件的保管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除专用合同条款另有约定外，承包人应在施工现场另外保存一套完整的图纸和承包人文件，供发包人、监理人及有关人员进行工程检查时使用。</w:t>
      </w:r>
    </w:p>
    <w:p>
      <w:pPr>
        <w:pStyle w:val="4"/>
        <w:spacing w:before="0" w:after="0" w:line="360" w:lineRule="auto"/>
        <w:rPr>
          <w:rFonts w:ascii="宋体" w:hAnsi="宋体" w:cs="宋体"/>
          <w:color w:val="000000"/>
          <w:kern w:val="0"/>
          <w:sz w:val="24"/>
          <w:szCs w:val="24"/>
        </w:rPr>
      </w:pPr>
      <w:bookmarkStart w:id="90" w:name="_Toc381175541"/>
      <w:r>
        <w:rPr>
          <w:rFonts w:hint="eastAsia" w:ascii="宋体" w:hAnsi="宋体" w:cs="宋体"/>
          <w:color w:val="000000"/>
          <w:kern w:val="0"/>
          <w:sz w:val="24"/>
          <w:szCs w:val="24"/>
        </w:rPr>
        <w:t>1.7 联络</w:t>
      </w:r>
      <w:bookmarkEnd w:id="9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1.7.1 与合同有关的通知、批准、证明、证书、指示、指令、要求、请求、同意、意见、确定和决定等，均应采用书面形式，并应在合同约定的期限内送达接收人和送达地点。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1.7.2 发包人和承包人应在专用合同条款中约定各自的送达接收人和送达地点。任何一方合同当事人指定的接收人或送达地点发生变动的，应提前3天以书面形式通知对方。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 发包人和承包人应当及时签收另一方送达至送达地点和指定接收人的来往信函。拒不签收的，由此增加的费用和（或）延误的工期由拒绝接收一方承担。</w:t>
      </w:r>
    </w:p>
    <w:p>
      <w:pPr>
        <w:pStyle w:val="4"/>
        <w:spacing w:before="0" w:after="0" w:line="360" w:lineRule="auto"/>
        <w:rPr>
          <w:rFonts w:ascii="宋体" w:hAnsi="宋体" w:cs="宋体"/>
          <w:color w:val="000000"/>
          <w:kern w:val="0"/>
          <w:sz w:val="24"/>
          <w:szCs w:val="24"/>
        </w:rPr>
      </w:pPr>
      <w:bookmarkStart w:id="91" w:name="_Toc381175542"/>
      <w:r>
        <w:rPr>
          <w:rFonts w:hint="eastAsia" w:ascii="宋体" w:hAnsi="宋体" w:cs="宋体"/>
          <w:color w:val="000000"/>
          <w:kern w:val="0"/>
          <w:sz w:val="24"/>
          <w:szCs w:val="24"/>
        </w:rPr>
        <w:t>1.8 严禁贿赂</w:t>
      </w:r>
      <w:bookmarkEnd w:id="9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合同当事人不得以贿赂或变相贿赂的方式，谋取非法利益或损害对方权益。因一方合同当事人的贿赂造成对方损失的，应赔偿损失，并承担相应的法律责任。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4"/>
        <w:spacing w:before="0" w:after="0" w:line="360" w:lineRule="auto"/>
        <w:rPr>
          <w:rFonts w:ascii="宋体" w:hAnsi="宋体" w:cs="宋体"/>
          <w:color w:val="000000"/>
          <w:kern w:val="0"/>
          <w:sz w:val="24"/>
          <w:szCs w:val="24"/>
        </w:rPr>
      </w:pPr>
      <w:bookmarkStart w:id="92" w:name="_Toc381175543"/>
      <w:r>
        <w:rPr>
          <w:rFonts w:hint="eastAsia" w:ascii="宋体" w:hAnsi="宋体" w:cs="宋体"/>
          <w:color w:val="000000"/>
          <w:kern w:val="0"/>
          <w:sz w:val="24"/>
          <w:szCs w:val="24"/>
        </w:rPr>
        <w:t>1.9 化石、文物</w:t>
      </w:r>
      <w:bookmarkEnd w:id="9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发包人、监理人和承包人应按有关政府行政管理部门要求采取妥善的保护措施，由此增加的费用和（或）延误的工期由发包人承担。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承包人发现文物后不及时报告或隐瞒不报，致使文物丢失或损坏的，应赔偿损失，并承担相应的法律责任。</w:t>
      </w:r>
    </w:p>
    <w:p>
      <w:pPr>
        <w:pStyle w:val="4"/>
        <w:spacing w:before="0" w:after="0" w:line="360" w:lineRule="auto"/>
        <w:rPr>
          <w:rFonts w:ascii="宋体" w:hAnsi="宋体" w:cs="宋体"/>
          <w:color w:val="000000"/>
          <w:kern w:val="0"/>
          <w:sz w:val="24"/>
          <w:szCs w:val="24"/>
        </w:rPr>
      </w:pPr>
      <w:bookmarkStart w:id="93" w:name="_Toc381175544"/>
      <w:r>
        <w:rPr>
          <w:rFonts w:hint="eastAsia" w:ascii="宋体" w:hAnsi="宋体" w:cs="宋体"/>
          <w:color w:val="000000"/>
          <w:kern w:val="0"/>
          <w:sz w:val="24"/>
          <w:szCs w:val="24"/>
        </w:rPr>
        <w:t>1.10交通运输</w:t>
      </w:r>
      <w:bookmarkEnd w:id="9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1.10.1 出入现场的权利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1.10.2 场外交通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1.10.3场内交通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场外交通和场内交通的边界由合同当事人在专用合同条款中约定。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1.10.4 超大件和超重件的运输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1.10.5 道路和桥梁的损坏责任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因承包人运输造成施工场地内外公共道路和桥梁损坏的，由承包人承担修复损坏的全部费用和可能引起的赔偿。</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1.10.6 水路和航空运输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pPr>
        <w:pStyle w:val="4"/>
        <w:spacing w:before="0" w:after="0" w:line="360" w:lineRule="auto"/>
        <w:rPr>
          <w:rFonts w:ascii="宋体" w:hAnsi="宋体" w:cs="宋体"/>
          <w:color w:val="000000"/>
          <w:kern w:val="0"/>
          <w:sz w:val="24"/>
          <w:szCs w:val="24"/>
        </w:rPr>
      </w:pPr>
      <w:bookmarkStart w:id="94" w:name="_Toc381175545"/>
      <w:r>
        <w:rPr>
          <w:rFonts w:hint="eastAsia" w:ascii="宋体" w:hAnsi="宋体" w:cs="宋体"/>
          <w:color w:val="000000"/>
          <w:kern w:val="0"/>
          <w:sz w:val="24"/>
          <w:szCs w:val="24"/>
        </w:rPr>
        <w:t>1.11知识产权</w:t>
      </w:r>
      <w:bookmarkEnd w:id="9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除专用合同条款另有约定外，承包人在合同签订前和签订时已确定采用的专利、专有技术、技术秘密的使用费已包含在签约合同价中。</w:t>
      </w:r>
    </w:p>
    <w:p>
      <w:pPr>
        <w:pStyle w:val="4"/>
        <w:spacing w:before="0" w:after="0" w:line="360" w:lineRule="auto"/>
        <w:rPr>
          <w:rFonts w:ascii="宋体" w:hAnsi="宋体" w:cs="宋体"/>
          <w:color w:val="000000"/>
          <w:kern w:val="0"/>
          <w:sz w:val="24"/>
          <w:szCs w:val="24"/>
        </w:rPr>
      </w:pPr>
      <w:bookmarkStart w:id="95" w:name="_Toc381175546"/>
      <w:r>
        <w:rPr>
          <w:rFonts w:hint="eastAsia" w:ascii="宋体" w:hAnsi="宋体" w:cs="宋体"/>
          <w:color w:val="000000"/>
          <w:kern w:val="0"/>
          <w:sz w:val="24"/>
          <w:szCs w:val="24"/>
        </w:rPr>
        <w:t>1.12保密</w:t>
      </w:r>
      <w:bookmarkEnd w:id="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除法律规定或合同另有约定外，未经发包人同意，承包人不得将发包人提供的图纸、文件以及声明需要保密的资料信息等商业秘密泄露给第三方。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除法律规定或合同另有约定外，未经承包人同意，发包人不得将承包人提供的技术秘密及声明需要保密的资料信息等商业秘密泄露给第三方。</w:t>
      </w:r>
    </w:p>
    <w:p>
      <w:pPr>
        <w:pStyle w:val="4"/>
        <w:spacing w:before="0" w:after="0" w:line="360" w:lineRule="auto"/>
        <w:rPr>
          <w:rFonts w:ascii="宋体" w:hAnsi="宋体" w:cs="宋体"/>
          <w:color w:val="000000"/>
          <w:kern w:val="0"/>
          <w:sz w:val="24"/>
          <w:szCs w:val="24"/>
        </w:rPr>
      </w:pPr>
      <w:bookmarkStart w:id="96" w:name="_Toc381175547"/>
      <w:r>
        <w:rPr>
          <w:rFonts w:hint="eastAsia" w:ascii="宋体" w:hAnsi="宋体" w:cs="宋体"/>
          <w:color w:val="000000"/>
          <w:kern w:val="0"/>
          <w:sz w:val="24"/>
          <w:szCs w:val="24"/>
        </w:rPr>
        <w:t>1.13工程量清单错误的修正</w:t>
      </w:r>
      <w:bookmarkEnd w:id="9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除专用合同条款另有约定外，发包人提供的工程量清单，应被认为是准确的和完整的。出现下列情形之一时，发包人应予以修正，并相应调整合同价格：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（1）工程量清单存在缺项、漏项的；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（2）工程量清单偏差超出专用合同条款约定的工程量偏差范围的；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（3）未按照国家现行计量规范强制性规定计量的。</w:t>
      </w:r>
    </w:p>
    <w:p>
      <w:pPr>
        <w:pStyle w:val="3"/>
        <w:spacing w:before="0" w:after="0" w:line="360" w:lineRule="auto"/>
        <w:rPr>
          <w:rFonts w:ascii="宋体" w:hAnsi="宋体" w:eastAsia="宋体" w:cs="宋体"/>
          <w:color w:val="000000"/>
          <w:kern w:val="0"/>
          <w:sz w:val="28"/>
          <w:szCs w:val="28"/>
        </w:rPr>
      </w:pPr>
      <w:bookmarkStart w:id="97" w:name="_Toc7135"/>
      <w:bookmarkStart w:id="98" w:name="_Toc3368"/>
      <w:bookmarkStart w:id="99" w:name="_Toc381175548"/>
      <w:r>
        <w:rPr>
          <w:rFonts w:hint="eastAsia" w:ascii="宋体" w:hAnsi="宋体" w:eastAsia="宋体" w:cs="宋体"/>
          <w:color w:val="000000"/>
          <w:kern w:val="0"/>
          <w:sz w:val="28"/>
          <w:szCs w:val="28"/>
        </w:rPr>
        <w:t>2. 发包人</w:t>
      </w:r>
      <w:bookmarkEnd w:id="97"/>
      <w:bookmarkEnd w:id="98"/>
      <w:bookmarkEnd w:id="99"/>
    </w:p>
    <w:p>
      <w:pPr>
        <w:pStyle w:val="4"/>
        <w:spacing w:before="0" w:after="0" w:line="360" w:lineRule="auto"/>
        <w:rPr>
          <w:rFonts w:ascii="宋体" w:hAnsi="宋体" w:cs="宋体"/>
          <w:color w:val="000000"/>
          <w:kern w:val="0"/>
          <w:sz w:val="24"/>
          <w:szCs w:val="24"/>
        </w:rPr>
      </w:pPr>
      <w:bookmarkStart w:id="100" w:name="_Toc381175549"/>
      <w:r>
        <w:rPr>
          <w:rFonts w:hint="eastAsia" w:ascii="宋体" w:hAnsi="宋体" w:cs="宋体"/>
          <w:color w:val="000000"/>
          <w:kern w:val="0"/>
          <w:sz w:val="24"/>
          <w:szCs w:val="24"/>
        </w:rPr>
        <w:t>2.1 许可或批准</w:t>
      </w:r>
      <w:bookmarkEnd w:id="10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因发包人原因未能及时办理完毕前述许可、批准或备案，由发包人承担由此增加的费用和（或）延误的工期，并支付承包人合理的利润。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101" w:name="_Toc381175550"/>
      <w:r>
        <w:rPr>
          <w:rFonts w:hint="eastAsia" w:ascii="宋体" w:hAnsi="宋体" w:cs="宋体"/>
          <w:color w:val="000000"/>
          <w:kern w:val="0"/>
          <w:sz w:val="24"/>
          <w:szCs w:val="24"/>
        </w:rPr>
        <w:t>2.2 发包人代表</w:t>
      </w:r>
      <w:bookmarkEnd w:id="10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发包人代表不能按照合同约定履行其职责及义务，并导致合同无法继续正常履行的，承包人可以要求发包人撤换发包人代表。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不属于法定必须监理的工程，监理人的职权可以由发包人代表或发包人指定的其他人员行使。</w:t>
      </w:r>
    </w:p>
    <w:p>
      <w:pPr>
        <w:pStyle w:val="4"/>
        <w:spacing w:before="0" w:after="0" w:line="360" w:lineRule="auto"/>
        <w:rPr>
          <w:rFonts w:ascii="宋体" w:hAnsi="宋体" w:cs="宋体"/>
          <w:color w:val="000000"/>
          <w:kern w:val="0"/>
          <w:sz w:val="24"/>
          <w:szCs w:val="24"/>
        </w:rPr>
      </w:pPr>
      <w:bookmarkStart w:id="102" w:name="_Toc381175551"/>
      <w:r>
        <w:rPr>
          <w:rFonts w:hint="eastAsia" w:ascii="宋体" w:hAnsi="宋体" w:cs="宋体"/>
          <w:color w:val="000000"/>
          <w:kern w:val="0"/>
          <w:sz w:val="24"/>
          <w:szCs w:val="24"/>
        </w:rPr>
        <w:t>2.3 发包人人员</w:t>
      </w:r>
      <w:bookmarkEnd w:id="10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发包人人员包括发包人代表及其他由发包人派驻施工现场的人员。</w:t>
      </w:r>
    </w:p>
    <w:p>
      <w:pPr>
        <w:pStyle w:val="4"/>
        <w:spacing w:before="0" w:after="0" w:line="360" w:lineRule="auto"/>
        <w:rPr>
          <w:rFonts w:ascii="宋体" w:hAnsi="宋体" w:cs="宋体"/>
          <w:color w:val="000000"/>
          <w:kern w:val="0"/>
          <w:sz w:val="24"/>
          <w:szCs w:val="24"/>
        </w:rPr>
      </w:pPr>
      <w:bookmarkStart w:id="103" w:name="_Toc381175552"/>
      <w:r>
        <w:rPr>
          <w:rFonts w:hint="eastAsia" w:ascii="宋体" w:hAnsi="宋体" w:cs="宋体"/>
          <w:color w:val="000000"/>
          <w:kern w:val="0"/>
          <w:sz w:val="24"/>
          <w:szCs w:val="24"/>
        </w:rPr>
        <w:t>2.4 施工现场施工条件和基础资料的提供</w:t>
      </w:r>
      <w:bookmarkEnd w:id="10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2.4.1 提供施工现场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除专用合同条款另有约定外，发包人应最迟于开工日期7天前向承包人移交施工现场。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2.4.2 提供施工条件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除专用合同条款另有约定外，发包人应负责提供施工所需要的条件，包括：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（1）将施工用水、电力、通讯线路等施工所必需的条件接至施工现场内；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（2）保证向承包人提供正常施工所需要的进入施工现场的交通条件；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（3）协调处理施工现场周围地下管线和邻近建筑物、构筑物、古树名木的保护工作，并承担相关费用；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（4）按照专用合同条款约定应提供的其他设施和条件。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2.4.3 提供基础资料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2.4.4 逾期提供的责任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因发包人原因未能按合同约定及时向承包人提供施工现场、施工条件、基础资料的，由发包人承担由此增加的费用和（或）延误的工期。</w:t>
      </w:r>
    </w:p>
    <w:p>
      <w:pPr>
        <w:pStyle w:val="4"/>
        <w:spacing w:before="0" w:after="0" w:line="360" w:lineRule="auto"/>
        <w:rPr>
          <w:rFonts w:ascii="宋体" w:hAnsi="宋体" w:cs="宋体"/>
          <w:color w:val="000000"/>
          <w:kern w:val="0"/>
          <w:sz w:val="24"/>
          <w:szCs w:val="24"/>
        </w:rPr>
      </w:pPr>
      <w:bookmarkStart w:id="104" w:name="_Toc381175553"/>
      <w:r>
        <w:rPr>
          <w:rFonts w:hint="eastAsia" w:ascii="宋体" w:hAnsi="宋体" w:cs="宋体"/>
          <w:color w:val="000000"/>
          <w:kern w:val="0"/>
          <w:sz w:val="24"/>
          <w:szCs w:val="24"/>
        </w:rPr>
        <w:t>2.5 资金来源证明及支付担保</w:t>
      </w:r>
      <w:bookmarkEnd w:id="10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4"/>
        <w:spacing w:before="0" w:after="0" w:line="360" w:lineRule="auto"/>
        <w:rPr>
          <w:rFonts w:ascii="宋体" w:hAnsi="宋体" w:cs="宋体"/>
          <w:color w:val="000000"/>
          <w:kern w:val="0"/>
          <w:sz w:val="24"/>
          <w:szCs w:val="24"/>
        </w:rPr>
      </w:pPr>
      <w:bookmarkStart w:id="105" w:name="_Toc381175554"/>
      <w:r>
        <w:rPr>
          <w:rFonts w:hint="eastAsia" w:ascii="宋体" w:hAnsi="宋体" w:cs="宋体"/>
          <w:color w:val="000000"/>
          <w:kern w:val="0"/>
          <w:sz w:val="24"/>
          <w:szCs w:val="24"/>
        </w:rPr>
        <w:t>2.6 支付合同价款</w:t>
      </w:r>
      <w:bookmarkEnd w:id="10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发包人应按合同约定向承包人及时支付合同价款。</w:t>
      </w:r>
    </w:p>
    <w:p>
      <w:pPr>
        <w:pStyle w:val="4"/>
        <w:spacing w:before="0" w:after="0" w:line="360" w:lineRule="auto"/>
        <w:rPr>
          <w:rFonts w:ascii="宋体" w:hAnsi="宋体" w:cs="宋体"/>
          <w:color w:val="000000"/>
          <w:kern w:val="0"/>
          <w:sz w:val="24"/>
          <w:szCs w:val="24"/>
        </w:rPr>
      </w:pPr>
      <w:bookmarkStart w:id="106" w:name="_Toc381175555"/>
      <w:r>
        <w:rPr>
          <w:rFonts w:hint="eastAsia" w:ascii="宋体" w:hAnsi="宋体" w:cs="宋体"/>
          <w:color w:val="000000"/>
          <w:kern w:val="0"/>
          <w:sz w:val="24"/>
          <w:szCs w:val="24"/>
        </w:rPr>
        <w:t>2.7 组织竣工验收</w:t>
      </w:r>
      <w:bookmarkEnd w:id="10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发包人应按合同约定及时组织竣工验收。</w:t>
      </w:r>
    </w:p>
    <w:p>
      <w:pPr>
        <w:pStyle w:val="4"/>
        <w:spacing w:before="0" w:after="0" w:line="360" w:lineRule="auto"/>
        <w:rPr>
          <w:rFonts w:ascii="宋体" w:hAnsi="宋体" w:cs="宋体"/>
          <w:color w:val="000000"/>
          <w:kern w:val="0"/>
          <w:sz w:val="24"/>
          <w:szCs w:val="24"/>
        </w:rPr>
      </w:pPr>
      <w:bookmarkStart w:id="107" w:name="_Toc381175556"/>
      <w:r>
        <w:rPr>
          <w:rFonts w:hint="eastAsia" w:ascii="宋体" w:hAnsi="宋体" w:cs="宋体"/>
          <w:color w:val="000000"/>
          <w:kern w:val="0"/>
          <w:sz w:val="24"/>
          <w:szCs w:val="24"/>
        </w:rPr>
        <w:t>2.8 现场统一管理协议</w:t>
      </w:r>
      <w:bookmarkEnd w:id="10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发包人应与承包人、由发包人直接发包的专业工程的承包人签订施工现场统一管理协议，明确各方的权利义务。施工现场统一管理协议作为专用合同条款的附件。</w:t>
      </w:r>
    </w:p>
    <w:p>
      <w:pPr>
        <w:pStyle w:val="3"/>
        <w:spacing w:before="0" w:after="0" w:line="360" w:lineRule="auto"/>
        <w:rPr>
          <w:rFonts w:ascii="宋体" w:hAnsi="宋体" w:eastAsia="宋体" w:cs="宋体"/>
          <w:color w:val="000000"/>
          <w:kern w:val="0"/>
          <w:sz w:val="28"/>
          <w:szCs w:val="28"/>
        </w:rPr>
      </w:pPr>
      <w:bookmarkStart w:id="108" w:name="_Toc6707"/>
      <w:bookmarkStart w:id="109" w:name="_Toc3727"/>
      <w:bookmarkStart w:id="110" w:name="_Toc381175557"/>
      <w:r>
        <w:rPr>
          <w:rFonts w:hint="eastAsia" w:ascii="宋体" w:hAnsi="宋体" w:eastAsia="宋体" w:cs="宋体"/>
          <w:color w:val="000000"/>
          <w:kern w:val="0"/>
          <w:sz w:val="28"/>
          <w:szCs w:val="28"/>
        </w:rPr>
        <w:t>3. 承包人</w:t>
      </w:r>
      <w:bookmarkEnd w:id="108"/>
      <w:bookmarkEnd w:id="109"/>
      <w:bookmarkEnd w:id="110"/>
    </w:p>
    <w:p>
      <w:pPr>
        <w:pStyle w:val="4"/>
        <w:spacing w:before="0" w:after="0" w:line="360" w:lineRule="auto"/>
        <w:rPr>
          <w:rFonts w:ascii="宋体" w:hAnsi="宋体" w:cs="宋体"/>
          <w:color w:val="000000"/>
          <w:kern w:val="0"/>
          <w:sz w:val="24"/>
          <w:szCs w:val="24"/>
        </w:rPr>
      </w:pPr>
      <w:bookmarkStart w:id="111" w:name="_Toc381175558"/>
      <w:r>
        <w:rPr>
          <w:rFonts w:hint="eastAsia" w:ascii="宋体" w:hAnsi="宋体" w:cs="宋体"/>
          <w:color w:val="000000"/>
          <w:kern w:val="0"/>
          <w:sz w:val="24"/>
          <w:szCs w:val="24"/>
        </w:rPr>
        <w:t>3.1 承包人的一般义务</w:t>
      </w:r>
      <w:bookmarkEnd w:id="11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承包人在履行合同过程中应遵守法律和工程建设标准规范，并履行以下义务：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办理法律规定应由承包人办理的许可和批准，并将办理结果书面报送发包人留存；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（2）按法律规定和合同约定完成工程，并在保修期内承担保修义务；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（3）按法律规定和合同约定采取施工安全和环境保护措施，办理工伤保险，确保工程及人员、材料、设备和设施的安全；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（4）按合同约定的工作内容和施工进度要求，编制施工组织设计和施工措施计划，并对所有施工作业和施工方法的完备性和安全可靠性负责；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（6）按照第6.3款〔环境保护〕约定负责施工场地及其周边环境与生态的保护工作；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（7）按第6.1款〔安全文明施工〕约定采取施工安全措施，确保工程及其人员、材料、设备和设施的安全，防止因工程施工造成的人身伤害和财产损失；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（8）将发包人按合同约定支付的各项价款专用于合同工程，且应及时支付其雇用人员工资，并及时向分包人支付合同价款；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（9）按照法律规定和合同约定编制竣工资料，完成竣工资料立卷及归档，并按专用合同条款约定的竣工资料的套数、内容、时间等要求移交发包人；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（10）应履行的其他义务。</w:t>
      </w:r>
    </w:p>
    <w:p>
      <w:pPr>
        <w:pStyle w:val="4"/>
        <w:spacing w:before="0" w:after="0" w:line="360" w:lineRule="auto"/>
        <w:rPr>
          <w:rFonts w:ascii="宋体" w:hAnsi="宋体" w:cs="宋体"/>
          <w:color w:val="000000"/>
          <w:kern w:val="0"/>
          <w:sz w:val="24"/>
          <w:szCs w:val="24"/>
        </w:rPr>
      </w:pPr>
      <w:bookmarkStart w:id="112" w:name="_Toc351203520"/>
      <w:bookmarkStart w:id="113" w:name="_Toc381175559"/>
      <w:r>
        <w:rPr>
          <w:rFonts w:hint="eastAsia" w:ascii="宋体" w:hAnsi="宋体" w:cs="宋体"/>
          <w:color w:val="000000"/>
          <w:kern w:val="0"/>
          <w:sz w:val="24"/>
          <w:szCs w:val="24"/>
        </w:rPr>
        <w:t>3</w:t>
      </w:r>
      <w:bookmarkStart w:id="114" w:name="_Toc337558748"/>
      <w:bookmarkStart w:id="115" w:name="_Toc296346548"/>
      <w:bookmarkStart w:id="116" w:name="_Toc296503047"/>
      <w:r>
        <w:rPr>
          <w:rFonts w:hint="eastAsia" w:ascii="宋体" w:hAnsi="宋体" w:cs="宋体"/>
          <w:color w:val="000000"/>
          <w:kern w:val="0"/>
          <w:sz w:val="24"/>
          <w:szCs w:val="24"/>
        </w:rPr>
        <w:t xml:space="preserve">.2 </w:t>
      </w:r>
      <w:bookmarkEnd w:id="112"/>
      <w:r>
        <w:rPr>
          <w:rFonts w:hint="eastAsia" w:ascii="宋体" w:hAnsi="宋体" w:cs="宋体"/>
          <w:color w:val="000000"/>
          <w:kern w:val="0"/>
          <w:sz w:val="24"/>
          <w:szCs w:val="24"/>
        </w:rPr>
        <w:t>项目经理</w:t>
      </w:r>
      <w:bookmarkEnd w:id="113"/>
    </w:p>
    <w:bookmarkEnd w:id="114"/>
    <w:bookmarkEnd w:id="115"/>
    <w:bookmarkEnd w:id="11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承包人违反上述约定的，应按照专用合同条款的约定，承担违约责任。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4"/>
        <w:spacing w:before="0" w:after="0" w:line="360" w:lineRule="auto"/>
        <w:rPr>
          <w:rFonts w:ascii="宋体" w:hAnsi="宋体" w:cs="宋体"/>
          <w:color w:val="000000"/>
          <w:kern w:val="0"/>
          <w:sz w:val="24"/>
          <w:szCs w:val="24"/>
        </w:rPr>
      </w:pPr>
      <w:bookmarkStart w:id="117" w:name="_Toc351203521"/>
      <w:bookmarkStart w:id="118" w:name="_Toc381175560"/>
      <w:r>
        <w:rPr>
          <w:rFonts w:hint="eastAsia" w:ascii="宋体" w:hAnsi="宋体" w:cs="宋体"/>
          <w:color w:val="000000"/>
          <w:kern w:val="0"/>
          <w:sz w:val="24"/>
          <w:szCs w:val="24"/>
        </w:rPr>
        <w:t>3</w:t>
      </w:r>
      <w:bookmarkStart w:id="119" w:name="_Toc296503048"/>
      <w:bookmarkStart w:id="120" w:name="_Toc296346549"/>
      <w:bookmarkStart w:id="121" w:name="_Toc337558749"/>
      <w:r>
        <w:rPr>
          <w:rFonts w:hint="eastAsia" w:ascii="宋体" w:hAnsi="宋体" w:cs="宋体"/>
          <w:color w:val="000000"/>
          <w:kern w:val="0"/>
          <w:sz w:val="24"/>
          <w:szCs w:val="24"/>
        </w:rPr>
        <w:t xml:space="preserve">.3 </w:t>
      </w:r>
      <w:bookmarkEnd w:id="119"/>
      <w:bookmarkEnd w:id="120"/>
      <w:r>
        <w:rPr>
          <w:rFonts w:hint="eastAsia" w:ascii="宋体" w:hAnsi="宋体" w:cs="宋体"/>
          <w:color w:val="000000"/>
          <w:kern w:val="0"/>
          <w:sz w:val="24"/>
          <w:szCs w:val="24"/>
        </w:rPr>
        <w:t>承包人人员</w:t>
      </w:r>
      <w:bookmarkEnd w:id="117"/>
      <w:bookmarkEnd w:id="118"/>
    </w:p>
    <w:bookmarkEnd w:id="12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特殊工种作业人员均应持有相应的资格证明，监理人可以随时检查。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3.3.5 承包人擅自更换主要施工管理人员，或前述人员未经监理人或发包人同意擅自离开施工现场的，应按照专用合同条款约定承担违约责任。</w:t>
      </w:r>
    </w:p>
    <w:p>
      <w:pPr>
        <w:pStyle w:val="4"/>
        <w:spacing w:before="0" w:after="0" w:line="360" w:lineRule="auto"/>
        <w:rPr>
          <w:rFonts w:ascii="宋体" w:hAnsi="宋体" w:cs="宋体"/>
          <w:color w:val="000000"/>
          <w:kern w:val="0"/>
          <w:sz w:val="24"/>
          <w:szCs w:val="24"/>
        </w:rPr>
      </w:pPr>
      <w:bookmarkStart w:id="122" w:name="_Toc351203522"/>
      <w:bookmarkStart w:id="123" w:name="_Toc381175561"/>
      <w:r>
        <w:rPr>
          <w:rFonts w:hint="eastAsia" w:ascii="宋体" w:hAnsi="宋体" w:cs="宋体"/>
          <w:color w:val="000000"/>
          <w:kern w:val="0"/>
          <w:sz w:val="24"/>
          <w:szCs w:val="24"/>
        </w:rPr>
        <w:t>3</w:t>
      </w:r>
      <w:bookmarkStart w:id="124" w:name="_Toc337558750"/>
      <w:bookmarkStart w:id="125" w:name="_Toc296346551"/>
      <w:bookmarkStart w:id="126" w:name="_Toc296503050"/>
      <w:r>
        <w:rPr>
          <w:rFonts w:hint="eastAsia" w:ascii="宋体" w:hAnsi="宋体" w:cs="宋体"/>
          <w:color w:val="000000"/>
          <w:kern w:val="0"/>
          <w:sz w:val="24"/>
          <w:szCs w:val="24"/>
        </w:rPr>
        <w:t>.4 承包人现场查勘</w:t>
      </w:r>
      <w:bookmarkEnd w:id="122"/>
      <w:bookmarkEnd w:id="123"/>
    </w:p>
    <w:bookmarkEnd w:id="124"/>
    <w:bookmarkEnd w:id="125"/>
    <w:bookmarkEnd w:id="12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承包人应对基于发包人按照第2.4.3项〔提供基础资料〕提交的基础资料所做出的解释和推断负责，但因基础资料存在错误、遗漏导致承包人解释或推断失实的，由发包人承担责任。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4"/>
        <w:spacing w:before="0" w:after="0" w:line="360" w:lineRule="auto"/>
        <w:rPr>
          <w:rFonts w:ascii="宋体" w:hAnsi="宋体" w:cs="宋体"/>
          <w:color w:val="000000"/>
          <w:kern w:val="0"/>
          <w:sz w:val="24"/>
          <w:szCs w:val="24"/>
        </w:rPr>
      </w:pPr>
      <w:bookmarkStart w:id="127" w:name="_Toc381175562"/>
      <w:bookmarkStart w:id="128" w:name="_Toc351203523"/>
      <w:r>
        <w:rPr>
          <w:rFonts w:hint="eastAsia" w:ascii="宋体" w:hAnsi="宋体" w:cs="宋体"/>
          <w:color w:val="000000"/>
          <w:kern w:val="0"/>
          <w:sz w:val="24"/>
          <w:szCs w:val="24"/>
        </w:rPr>
        <w:t>3</w:t>
      </w:r>
      <w:bookmarkStart w:id="129" w:name="_Toc337558751"/>
      <w:bookmarkStart w:id="130" w:name="_Toc296346552"/>
      <w:bookmarkStart w:id="131" w:name="_Toc296503051"/>
      <w:r>
        <w:rPr>
          <w:rFonts w:hint="eastAsia" w:ascii="宋体" w:hAnsi="宋体" w:cs="宋体"/>
          <w:color w:val="000000"/>
          <w:kern w:val="0"/>
          <w:sz w:val="24"/>
          <w:szCs w:val="24"/>
        </w:rPr>
        <w:t>.5 分包</w:t>
      </w:r>
      <w:bookmarkEnd w:id="127"/>
      <w:bookmarkEnd w:id="128"/>
    </w:p>
    <w:bookmarkEnd w:id="129"/>
    <w:bookmarkEnd w:id="130"/>
    <w:bookmarkEnd w:id="13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3.5.1 分包的一般约定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承包人不得以劳务分包的名义转包或违法分包工程。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3.5.2 分包的确定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3.5.3 分包管理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3.5.4 分包合同价款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（2）生效法律文书要求发包人向分包人支付分包合同价款的，发包人有权从应付承包人工程款中扣除该部分款项。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3.5.5 分包合同权益的转让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pPr>
        <w:pStyle w:val="4"/>
        <w:spacing w:before="0" w:after="0" w:line="360" w:lineRule="auto"/>
        <w:rPr>
          <w:rFonts w:ascii="宋体" w:hAnsi="宋体" w:cs="宋体"/>
          <w:color w:val="000000"/>
          <w:kern w:val="0"/>
          <w:sz w:val="24"/>
          <w:szCs w:val="24"/>
        </w:rPr>
      </w:pPr>
      <w:bookmarkStart w:id="133" w:name="_Toc381175563"/>
      <w:r>
        <w:rPr>
          <w:rFonts w:hint="eastAsia" w:ascii="宋体" w:hAnsi="宋体" w:cs="宋体"/>
          <w:color w:val="000000"/>
          <w:kern w:val="0"/>
          <w:sz w:val="24"/>
          <w:szCs w:val="24"/>
        </w:rPr>
        <w:t>3.6 工程照管与成品、半成品保护</w:t>
      </w:r>
      <w:bookmarkEnd w:id="132"/>
      <w:bookmarkEnd w:id="13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pPr>
        <w:pStyle w:val="4"/>
        <w:spacing w:before="0" w:after="0" w:line="360" w:lineRule="auto"/>
        <w:rPr>
          <w:rFonts w:ascii="宋体" w:hAnsi="宋体" w:cs="宋体"/>
          <w:color w:val="000000"/>
          <w:kern w:val="0"/>
          <w:sz w:val="24"/>
          <w:szCs w:val="24"/>
        </w:rPr>
      </w:pPr>
      <w:bookmarkStart w:id="134" w:name="_Toc381175564"/>
      <w:bookmarkStart w:id="135" w:name="_Toc351203525"/>
      <w:r>
        <w:rPr>
          <w:rFonts w:hint="eastAsia" w:ascii="宋体" w:hAnsi="宋体" w:cs="宋体"/>
          <w:color w:val="000000"/>
          <w:kern w:val="0"/>
          <w:sz w:val="24"/>
          <w:szCs w:val="24"/>
        </w:rPr>
        <w:t>3</w:t>
      </w:r>
      <w:bookmarkStart w:id="136" w:name="_Toc296346553"/>
      <w:bookmarkStart w:id="137" w:name="_Toc296503052"/>
      <w:bookmarkStart w:id="138" w:name="_Toc337558752"/>
      <w:r>
        <w:rPr>
          <w:rFonts w:hint="eastAsia" w:ascii="宋体" w:hAnsi="宋体" w:cs="宋体"/>
          <w:color w:val="000000"/>
          <w:kern w:val="0"/>
          <w:sz w:val="24"/>
          <w:szCs w:val="24"/>
        </w:rPr>
        <w:t>.7 履约担保</w:t>
      </w:r>
      <w:bookmarkEnd w:id="134"/>
      <w:bookmarkEnd w:id="135"/>
    </w:p>
    <w:bookmarkEnd w:id="136"/>
    <w:bookmarkEnd w:id="137"/>
    <w:bookmarkEnd w:id="13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因承包人原因导致工期延长的，继续提供履约担保所增加的费用由承包人承担；非因承包人原因导致工期延长的，继续提供履约担保所增加的费用由发包人承担。</w:t>
      </w:r>
    </w:p>
    <w:p>
      <w:pPr>
        <w:pStyle w:val="4"/>
        <w:spacing w:before="0" w:after="0" w:line="360" w:lineRule="auto"/>
        <w:rPr>
          <w:rFonts w:ascii="宋体" w:hAnsi="宋体" w:cs="宋体"/>
          <w:color w:val="000000"/>
          <w:kern w:val="0"/>
          <w:sz w:val="24"/>
          <w:szCs w:val="24"/>
        </w:rPr>
      </w:pPr>
      <w:bookmarkStart w:id="139" w:name="_Toc381175565"/>
      <w:bookmarkStart w:id="140" w:name="_Toc351203526"/>
      <w:r>
        <w:rPr>
          <w:rFonts w:hint="eastAsia" w:ascii="宋体" w:hAnsi="宋体" w:cs="宋体"/>
          <w:color w:val="000000"/>
          <w:kern w:val="0"/>
          <w:sz w:val="24"/>
          <w:szCs w:val="24"/>
        </w:rPr>
        <w:t>3.8 联合体</w:t>
      </w:r>
      <w:bookmarkEnd w:id="139"/>
      <w:bookmarkEnd w:id="14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3.8.1 联合体各方应共同与发包人签订合同协议书。联合体各方应为履行合同向发包人承担连带责任。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3.8.2 联合体协议经发包人确认后作为合同附件。在履行合同过程中，未经发包人同意，不得修改联合体协议。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3.8.3 联合体牵头人负责与发包人和监理人联系，并接受指示，负责组织联合体各成员全面履行合同。</w:t>
      </w:r>
    </w:p>
    <w:p>
      <w:pPr>
        <w:pStyle w:val="3"/>
        <w:spacing w:before="0" w:after="0" w:line="360" w:lineRule="auto"/>
        <w:rPr>
          <w:rFonts w:ascii="宋体" w:hAnsi="宋体" w:eastAsia="宋体" w:cs="宋体"/>
          <w:color w:val="000000"/>
          <w:kern w:val="0"/>
          <w:sz w:val="28"/>
          <w:szCs w:val="28"/>
        </w:rPr>
      </w:pPr>
      <w:bookmarkStart w:id="141" w:name="_Toc32465"/>
      <w:bookmarkStart w:id="142" w:name="_Toc16459"/>
      <w:bookmarkStart w:id="143" w:name="_Toc381175566"/>
      <w:r>
        <w:rPr>
          <w:rFonts w:hint="eastAsia" w:ascii="宋体" w:hAnsi="宋体" w:eastAsia="宋体" w:cs="宋体"/>
          <w:color w:val="000000"/>
          <w:kern w:val="0"/>
          <w:sz w:val="28"/>
          <w:szCs w:val="28"/>
        </w:rPr>
        <w:t>4. 监理人</w:t>
      </w:r>
      <w:bookmarkEnd w:id="141"/>
      <w:bookmarkEnd w:id="142"/>
      <w:bookmarkEnd w:id="143"/>
    </w:p>
    <w:p>
      <w:pPr>
        <w:pStyle w:val="4"/>
        <w:spacing w:before="0" w:after="0" w:line="360" w:lineRule="auto"/>
        <w:rPr>
          <w:rFonts w:ascii="宋体" w:hAnsi="宋体" w:cs="宋体"/>
          <w:color w:val="000000"/>
          <w:kern w:val="0"/>
          <w:sz w:val="24"/>
          <w:szCs w:val="24"/>
        </w:rPr>
      </w:pPr>
      <w:bookmarkStart w:id="144" w:name="_Toc381175567"/>
      <w:r>
        <w:rPr>
          <w:rFonts w:hint="eastAsia" w:ascii="宋体" w:hAnsi="宋体" w:cs="宋体"/>
          <w:color w:val="000000"/>
          <w:kern w:val="0"/>
          <w:sz w:val="24"/>
          <w:szCs w:val="24"/>
        </w:rPr>
        <w:t>4.1 监理人的一般规定</w:t>
      </w:r>
      <w:bookmarkEnd w:id="14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除专用合同条款另有约定外，监理人在施工现场的办公场所、生活场所由承包人提供，所发生的费用由发包人承担。</w:t>
      </w:r>
    </w:p>
    <w:p>
      <w:pPr>
        <w:pStyle w:val="4"/>
        <w:spacing w:before="0" w:after="0" w:line="360" w:lineRule="auto"/>
        <w:rPr>
          <w:rFonts w:ascii="宋体" w:hAnsi="宋体" w:cs="宋体"/>
          <w:color w:val="000000"/>
          <w:kern w:val="0"/>
          <w:sz w:val="24"/>
          <w:szCs w:val="24"/>
        </w:rPr>
      </w:pPr>
      <w:bookmarkStart w:id="145" w:name="_Toc381175568"/>
      <w:r>
        <w:rPr>
          <w:rFonts w:hint="eastAsia" w:ascii="宋体" w:hAnsi="宋体" w:cs="宋体"/>
          <w:color w:val="000000"/>
          <w:kern w:val="0"/>
          <w:sz w:val="24"/>
          <w:szCs w:val="24"/>
        </w:rPr>
        <w:t>4.2 监理人员</w:t>
      </w:r>
      <w:bookmarkEnd w:id="14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4"/>
        <w:spacing w:before="0" w:after="0" w:line="360" w:lineRule="auto"/>
        <w:rPr>
          <w:rFonts w:ascii="宋体" w:hAnsi="宋体" w:cs="宋体"/>
          <w:color w:val="000000"/>
          <w:kern w:val="0"/>
          <w:sz w:val="24"/>
          <w:szCs w:val="24"/>
        </w:rPr>
      </w:pPr>
      <w:bookmarkStart w:id="146" w:name="_Toc381175569"/>
      <w:r>
        <w:rPr>
          <w:rFonts w:hint="eastAsia" w:ascii="宋体" w:hAnsi="宋体" w:cs="宋体"/>
          <w:color w:val="000000"/>
          <w:kern w:val="0"/>
          <w:sz w:val="24"/>
          <w:szCs w:val="24"/>
        </w:rPr>
        <w:t>4.3 监理人的指示</w:t>
      </w:r>
      <w:bookmarkEnd w:id="14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承包人对监理人发出的指示有疑问的，应向监理人提出书面异议，监理人应在48小时内对该指示予以确认、更改或撤销，监理人逾期未回复的，承包人有权拒绝执行上述指示。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pPr>
        <w:pStyle w:val="4"/>
        <w:spacing w:before="0" w:after="0" w:line="360" w:lineRule="auto"/>
        <w:rPr>
          <w:rFonts w:ascii="宋体" w:hAnsi="宋体" w:cs="宋体"/>
          <w:color w:val="000000"/>
          <w:kern w:val="0"/>
          <w:sz w:val="24"/>
          <w:szCs w:val="24"/>
        </w:rPr>
      </w:pPr>
      <w:bookmarkStart w:id="147" w:name="_Toc381175570"/>
      <w:r>
        <w:rPr>
          <w:rFonts w:hint="eastAsia" w:ascii="宋体" w:hAnsi="宋体" w:cs="宋体"/>
          <w:color w:val="000000"/>
          <w:kern w:val="0"/>
          <w:sz w:val="24"/>
          <w:szCs w:val="24"/>
        </w:rPr>
        <w:t>4.4 商定或确定</w:t>
      </w:r>
      <w:bookmarkEnd w:id="14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合同当事人进行商定或确定时，总监理工程师应当会同合同当事人尽量通过协商达成一致，不能达成一致的，由总监理工程师按照合同约定审慎做出公正的确定。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3"/>
        <w:spacing w:before="0" w:after="0" w:line="360" w:lineRule="auto"/>
        <w:rPr>
          <w:rFonts w:ascii="宋体" w:hAnsi="宋体" w:eastAsia="宋体" w:cs="宋体"/>
          <w:color w:val="000000"/>
          <w:kern w:val="0"/>
          <w:sz w:val="28"/>
          <w:szCs w:val="28"/>
        </w:rPr>
      </w:pPr>
      <w:bookmarkStart w:id="148" w:name="_Toc381175571"/>
      <w:bookmarkStart w:id="149" w:name="_Toc27168"/>
      <w:bookmarkStart w:id="150" w:name="_Toc19049"/>
      <w:r>
        <w:rPr>
          <w:rFonts w:hint="eastAsia" w:ascii="宋体" w:hAnsi="宋体" w:eastAsia="宋体" w:cs="宋体"/>
          <w:color w:val="000000"/>
          <w:kern w:val="0"/>
          <w:sz w:val="28"/>
          <w:szCs w:val="28"/>
        </w:rPr>
        <w:t>5. 工程质量</w:t>
      </w:r>
      <w:bookmarkEnd w:id="148"/>
      <w:bookmarkEnd w:id="149"/>
      <w:bookmarkEnd w:id="150"/>
    </w:p>
    <w:p>
      <w:pPr>
        <w:pStyle w:val="4"/>
        <w:spacing w:before="0" w:after="0" w:line="360" w:lineRule="auto"/>
        <w:rPr>
          <w:rFonts w:ascii="宋体" w:hAnsi="宋体" w:cs="宋体"/>
          <w:color w:val="000000"/>
          <w:kern w:val="0"/>
          <w:sz w:val="24"/>
          <w:szCs w:val="24"/>
        </w:rPr>
      </w:pPr>
      <w:bookmarkStart w:id="151" w:name="_Toc381175572"/>
      <w:bookmarkStart w:id="152" w:name="_Toc351203533"/>
      <w:r>
        <w:rPr>
          <w:rFonts w:hint="eastAsia" w:ascii="宋体" w:hAnsi="宋体" w:cs="宋体"/>
          <w:color w:val="000000"/>
          <w:kern w:val="0"/>
          <w:sz w:val="24"/>
          <w:szCs w:val="24"/>
        </w:rPr>
        <w:t>5</w:t>
      </w:r>
      <w:bookmarkStart w:id="153" w:name="_Toc337558759"/>
      <w:r>
        <w:rPr>
          <w:rFonts w:hint="eastAsia" w:ascii="宋体" w:hAnsi="宋体" w:cs="宋体"/>
          <w:color w:val="000000"/>
          <w:kern w:val="0"/>
          <w:sz w:val="24"/>
          <w:szCs w:val="24"/>
        </w:rPr>
        <w:t>.1质量要求</w:t>
      </w:r>
      <w:bookmarkEnd w:id="151"/>
      <w:bookmarkEnd w:id="152"/>
    </w:p>
    <w:bookmarkEnd w:id="15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5.1.1 工程质量标准必须符合现行国家有关工程施工质量验收规范和标准的要求。有关工程质量的特殊标准或要求由合同当事人在专用合同条款中约定。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5.1.2 因发包人原因造成工程质量未达到合同约定标准的，由发包人承担由此增加的费用和（或）延误的工期，并支付承包人合理的利润。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pPr>
        <w:pStyle w:val="4"/>
        <w:spacing w:before="0" w:after="0" w:line="360" w:lineRule="auto"/>
        <w:rPr>
          <w:rFonts w:ascii="宋体" w:hAnsi="宋体" w:cs="宋体"/>
          <w:color w:val="000000"/>
          <w:kern w:val="0"/>
          <w:sz w:val="24"/>
          <w:szCs w:val="24"/>
        </w:rPr>
      </w:pPr>
      <w:bookmarkStart w:id="154" w:name="_Toc381175573"/>
      <w:bookmarkStart w:id="155" w:name="_Toc351203534"/>
      <w:r>
        <w:rPr>
          <w:rFonts w:hint="eastAsia" w:ascii="宋体" w:hAnsi="宋体" w:cs="宋体"/>
          <w:color w:val="000000"/>
          <w:kern w:val="0"/>
          <w:sz w:val="24"/>
          <w:szCs w:val="24"/>
        </w:rPr>
        <w:t>5</w:t>
      </w:r>
      <w:bookmarkStart w:id="156" w:name="_Toc337558760"/>
      <w:r>
        <w:rPr>
          <w:rFonts w:hint="eastAsia" w:ascii="宋体" w:hAnsi="宋体" w:cs="宋体"/>
          <w:color w:val="000000"/>
          <w:kern w:val="0"/>
          <w:sz w:val="24"/>
          <w:szCs w:val="24"/>
        </w:rPr>
        <w:t>.2质量保证措施</w:t>
      </w:r>
      <w:bookmarkEnd w:id="154"/>
      <w:bookmarkEnd w:id="155"/>
    </w:p>
    <w:bookmarkEnd w:id="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5.2.1 发包人的质量管理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发包人应按照法律规定及合同约定完成与工程质量有关的各项工作。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5.2.2 承包人的质量管理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承包人应对施工人员进行质量教育和技术培训，定期考核施工人员的劳动技能，严格执行施工规范和操作规程。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5.2.3 监理人的质量检查和检验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spacing w:before="0" w:after="0" w:line="360" w:lineRule="auto"/>
        <w:rPr>
          <w:rFonts w:ascii="宋体" w:hAnsi="宋体" w:cs="宋体"/>
          <w:color w:val="000000"/>
          <w:kern w:val="0"/>
          <w:sz w:val="24"/>
          <w:szCs w:val="24"/>
        </w:rPr>
      </w:pPr>
      <w:bookmarkStart w:id="157" w:name="_Toc381175574"/>
      <w:bookmarkStart w:id="158" w:name="_Toc351203535"/>
      <w:r>
        <w:rPr>
          <w:rFonts w:hint="eastAsia" w:ascii="宋体" w:hAnsi="宋体" w:cs="宋体"/>
          <w:color w:val="000000"/>
          <w:kern w:val="0"/>
          <w:sz w:val="24"/>
          <w:szCs w:val="24"/>
        </w:rPr>
        <w:t>5</w:t>
      </w:r>
      <w:bookmarkStart w:id="159" w:name="_Toc337558761"/>
      <w:r>
        <w:rPr>
          <w:rFonts w:hint="eastAsia" w:ascii="宋体" w:hAnsi="宋体" w:cs="宋体"/>
          <w:color w:val="000000"/>
          <w:kern w:val="0"/>
          <w:sz w:val="24"/>
          <w:szCs w:val="24"/>
        </w:rPr>
        <w:t>.3 隐蔽工程检查</w:t>
      </w:r>
      <w:bookmarkEnd w:id="157"/>
      <w:bookmarkEnd w:id="158"/>
    </w:p>
    <w:bookmarkEnd w:id="159"/>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5.3.1承包人自检</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承包人应当对工程隐蔽部位进行自检，并经自检确认是否具备覆盖条件。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5.3.2检查程序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5.3.3 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5.3.4 承包人私自覆盖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4"/>
        <w:spacing w:before="0" w:after="0" w:line="360" w:lineRule="auto"/>
        <w:rPr>
          <w:rFonts w:ascii="宋体" w:hAnsi="宋体" w:cs="宋体"/>
          <w:color w:val="000000"/>
          <w:kern w:val="0"/>
          <w:sz w:val="24"/>
          <w:szCs w:val="24"/>
        </w:rPr>
      </w:pPr>
      <w:bookmarkStart w:id="160" w:name="_Toc351203536"/>
      <w:bookmarkStart w:id="161" w:name="_Toc381175575"/>
      <w:r>
        <w:rPr>
          <w:rFonts w:hint="eastAsia" w:ascii="宋体" w:hAnsi="宋体" w:cs="宋体"/>
          <w:color w:val="000000"/>
          <w:kern w:val="0"/>
          <w:sz w:val="24"/>
          <w:szCs w:val="24"/>
        </w:rPr>
        <w:t>5</w:t>
      </w:r>
      <w:bookmarkStart w:id="162" w:name="_Toc337558762"/>
      <w:r>
        <w:rPr>
          <w:rFonts w:hint="eastAsia" w:ascii="宋体" w:hAnsi="宋体" w:cs="宋体"/>
          <w:color w:val="000000"/>
          <w:kern w:val="0"/>
          <w:sz w:val="24"/>
          <w:szCs w:val="24"/>
        </w:rPr>
        <w:t>.4不合格工程的处理</w:t>
      </w:r>
      <w:bookmarkEnd w:id="160"/>
      <w:bookmarkEnd w:id="161"/>
    </w:p>
    <w:bookmarkEnd w:id="1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5.4.2 因发包人原因造成工程不合格的，由此增加的费用和（或）延误的工期由发包人承担，并支付承包人合理的利润。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163" w:name="_Toc351203537"/>
      <w:bookmarkStart w:id="164" w:name="_Toc381175576"/>
      <w:r>
        <w:rPr>
          <w:rFonts w:hint="eastAsia" w:ascii="宋体" w:hAnsi="宋体" w:cs="宋体"/>
          <w:color w:val="000000"/>
          <w:kern w:val="0"/>
          <w:sz w:val="24"/>
          <w:szCs w:val="24"/>
        </w:rPr>
        <w:t>5.5 质量争议检测</w:t>
      </w:r>
      <w:bookmarkEnd w:id="163"/>
      <w:bookmarkEnd w:id="16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合同当事人对工程质量有争议的，由双方协商确定的工程质量检测机构鉴定，由此产生的费用及因此造成的损失，由责任方承担。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合同当事人均有责任的，由双方根据其责任分别承担。合同当事人无法达成一致的，按照第4.4款〔商定或确定〕执行。</w:t>
      </w:r>
    </w:p>
    <w:p>
      <w:pPr>
        <w:pStyle w:val="3"/>
        <w:spacing w:before="0" w:after="0" w:line="360" w:lineRule="auto"/>
        <w:rPr>
          <w:rFonts w:asciiTheme="majorEastAsia" w:hAnsiTheme="majorEastAsia" w:eastAsiaTheme="majorEastAsia" w:cstheme="majorEastAsia"/>
          <w:color w:val="000000"/>
          <w:kern w:val="0"/>
          <w:sz w:val="28"/>
          <w:szCs w:val="28"/>
        </w:rPr>
      </w:pPr>
      <w:bookmarkStart w:id="165" w:name="_Toc381175577"/>
      <w:bookmarkStart w:id="166" w:name="_Toc25915"/>
      <w:bookmarkStart w:id="167" w:name="_Toc23088"/>
      <w:bookmarkStart w:id="168" w:name="_Toc351203538"/>
      <w:r>
        <w:rPr>
          <w:rFonts w:hint="eastAsia" w:asciiTheme="majorEastAsia" w:hAnsiTheme="majorEastAsia" w:eastAsiaTheme="majorEastAsia" w:cstheme="majorEastAsia"/>
          <w:color w:val="000000"/>
          <w:kern w:val="0"/>
          <w:sz w:val="28"/>
          <w:szCs w:val="28"/>
        </w:rPr>
        <w:t>6</w:t>
      </w:r>
      <w:bookmarkStart w:id="169" w:name="_Toc337558763"/>
      <w:r>
        <w:rPr>
          <w:rFonts w:hint="eastAsia" w:asciiTheme="majorEastAsia" w:hAnsiTheme="majorEastAsia" w:eastAsiaTheme="majorEastAsia" w:cstheme="majorEastAsia"/>
          <w:color w:val="000000"/>
          <w:kern w:val="0"/>
          <w:sz w:val="28"/>
          <w:szCs w:val="28"/>
        </w:rPr>
        <w:t>. 安全文明施工与环境保护</w:t>
      </w:r>
      <w:bookmarkEnd w:id="165"/>
      <w:bookmarkEnd w:id="166"/>
      <w:bookmarkEnd w:id="167"/>
      <w:bookmarkEnd w:id="168"/>
    </w:p>
    <w:bookmarkEnd w:id="169"/>
    <w:p>
      <w:pPr>
        <w:pStyle w:val="4"/>
        <w:spacing w:before="0" w:after="0" w:line="360" w:lineRule="auto"/>
        <w:rPr>
          <w:rFonts w:ascii="宋体" w:hAnsi="宋体" w:cs="宋体"/>
          <w:color w:val="000000"/>
          <w:kern w:val="0"/>
          <w:sz w:val="24"/>
          <w:szCs w:val="24"/>
        </w:rPr>
      </w:pPr>
      <w:bookmarkStart w:id="170" w:name="_Toc351203539"/>
      <w:bookmarkStart w:id="171" w:name="_Toc381175578"/>
      <w:r>
        <w:rPr>
          <w:rFonts w:hint="eastAsia" w:ascii="宋体" w:hAnsi="宋体" w:cs="宋体"/>
          <w:color w:val="000000"/>
          <w:kern w:val="0"/>
          <w:sz w:val="24"/>
          <w:szCs w:val="24"/>
        </w:rPr>
        <w:t>6</w:t>
      </w:r>
      <w:bookmarkStart w:id="172" w:name="_Toc337558764"/>
      <w:r>
        <w:rPr>
          <w:rFonts w:hint="eastAsia" w:ascii="宋体" w:hAnsi="宋体" w:cs="宋体"/>
          <w:color w:val="000000"/>
          <w:kern w:val="0"/>
          <w:sz w:val="24"/>
          <w:szCs w:val="24"/>
        </w:rPr>
        <w:t>.1安全文明施工</w:t>
      </w:r>
      <w:bookmarkEnd w:id="170"/>
      <w:bookmarkEnd w:id="171"/>
    </w:p>
    <w:bookmarkEnd w:id="172"/>
    <w:p>
      <w:pPr>
        <w:spacing w:line="360" w:lineRule="auto"/>
        <w:ind w:firstLine="480" w:firstLineChars="200"/>
        <w:rPr>
          <w:rFonts w:ascii="宋体" w:hAnsi="宋体" w:cs="宋体"/>
          <w:color w:val="000000"/>
          <w:sz w:val="24"/>
        </w:rPr>
      </w:pPr>
      <w:r>
        <w:rPr>
          <w:rFonts w:hint="eastAsia" w:ascii="宋体" w:hAnsi="宋体" w:cs="宋体"/>
          <w:color w:val="000000"/>
          <w:sz w:val="24"/>
        </w:rPr>
        <w:t>6.1.1安全生产要求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ascii="宋体" w:hAnsi="宋体" w:cs="宋体"/>
          <w:color w:val="000000"/>
          <w:sz w:val="24"/>
        </w:rPr>
      </w:pPr>
      <w:r>
        <w:rPr>
          <w:rFonts w:hint="eastAsia" w:ascii="宋体" w:hAnsi="宋体" w:cs="宋体"/>
          <w:color w:val="000000"/>
          <w:sz w:val="24"/>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000000"/>
          <w:kern w:val="0"/>
          <w:sz w:val="24"/>
        </w:rPr>
        <w:t>政府有关行政管理部门</w:t>
      </w:r>
      <w:r>
        <w:rPr>
          <w:rFonts w:hint="eastAsia" w:ascii="宋体" w:hAnsi="宋体" w:cs="宋体"/>
          <w:color w:val="000000"/>
          <w:sz w:val="24"/>
        </w:rPr>
        <w:t>采取应急措施。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因安全生产需要暂停施工的，按照第7.8款〔暂停施工〕的约定执行。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6.1.2 安全生产保证措施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承包人应当按照有关</w:t>
      </w:r>
      <w:r>
        <w:rPr>
          <w:rFonts w:hint="eastAsia" w:ascii="宋体" w:hAnsi="宋体" w:cs="宋体"/>
          <w:color w:val="000000"/>
          <w:kern w:val="0"/>
          <w:sz w:val="24"/>
        </w:rPr>
        <w:t>规定编制安全技术措施或者专项施工方案，</w:t>
      </w:r>
      <w:r>
        <w:rPr>
          <w:rFonts w:hint="eastAsia" w:ascii="宋体" w:hAnsi="宋体" w:cs="宋体"/>
          <w:color w:val="000000"/>
          <w:sz w:val="24"/>
        </w:rPr>
        <w:t>建立安全生产责任制度、治安保卫制度及安全生产教育培训制度，并</w:t>
      </w:r>
      <w:r>
        <w:rPr>
          <w:rFonts w:hint="eastAsia" w:ascii="宋体" w:hAnsi="宋体" w:cs="宋体"/>
          <w:color w:val="000000"/>
          <w:kern w:val="0"/>
          <w:sz w:val="24"/>
        </w:rPr>
        <w:t>按安全生产法律规定及合同约定履行安全职责，如实</w:t>
      </w:r>
      <w:r>
        <w:rPr>
          <w:rFonts w:hint="eastAsia" w:ascii="宋体" w:hAnsi="宋体" w:cs="宋体"/>
          <w:color w:val="000000"/>
          <w:sz w:val="24"/>
        </w:rPr>
        <w:t>编制工程安全生产的有关记录，</w:t>
      </w:r>
      <w:r>
        <w:rPr>
          <w:rFonts w:hint="eastAsia" w:ascii="宋体" w:hAnsi="宋体" w:cs="宋体"/>
          <w:color w:val="000000"/>
          <w:kern w:val="0"/>
          <w:sz w:val="24"/>
        </w:rPr>
        <w:t>接受发包人、监理人及政府安全监督部门的检查与监督。</w:t>
      </w:r>
    </w:p>
    <w:p>
      <w:pPr>
        <w:spacing w:line="360" w:lineRule="auto"/>
        <w:ind w:firstLine="480" w:firstLineChars="200"/>
        <w:rPr>
          <w:rFonts w:ascii="宋体" w:hAnsi="宋体" w:cs="宋体"/>
          <w:color w:val="000000"/>
          <w:sz w:val="24"/>
        </w:rPr>
      </w:pPr>
      <w:r>
        <w:rPr>
          <w:rFonts w:hint="eastAsia" w:ascii="宋体" w:hAnsi="宋体" w:cs="宋体"/>
          <w:color w:val="000000"/>
          <w:sz w:val="24"/>
        </w:rPr>
        <w:t>6.1.3特别安全生产事项</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ascii="宋体" w:hAnsi="宋体" w:cs="宋体"/>
          <w:color w:val="000000"/>
          <w:sz w:val="24"/>
        </w:rPr>
      </w:pPr>
      <w:r>
        <w:rPr>
          <w:rFonts w:hint="eastAsia" w:ascii="宋体" w:hAnsi="宋体" w:cs="宋体"/>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ascii="宋体" w:hAnsi="宋体" w:cs="宋体"/>
          <w:color w:val="000000"/>
          <w:sz w:val="24"/>
        </w:rPr>
      </w:pPr>
      <w:r>
        <w:rPr>
          <w:rFonts w:hint="eastAsia" w:ascii="宋体" w:hAnsi="宋体" w:cs="宋体"/>
          <w:color w:val="000000"/>
          <w:sz w:val="24"/>
        </w:rPr>
        <w:t>6.1.4 治安保卫</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6.1.5 文明施工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ascii="宋体" w:hAnsi="宋体" w:cs="宋体"/>
          <w:color w:val="000000"/>
          <w:sz w:val="24"/>
        </w:rPr>
      </w:pPr>
      <w:r>
        <w:rPr>
          <w:rFonts w:hint="eastAsia" w:ascii="宋体" w:hAnsi="宋体" w:cs="宋体"/>
          <w:color w:val="000000"/>
          <w:sz w:val="24"/>
        </w:rPr>
        <w:t>6.1.6 安全文明施工费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6.1.7 紧急情况处理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6.1.8 事故处理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 安全生产责任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6.1.9.1 发包人的安全责任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发包人应负责赔偿以下各种情况造成的损失：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（1）工程或工程的任何部分对土地的占用所造成的第三者财产损失；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（2）由于发包人原因在施工场地及其毗邻地带造成的第三者人身伤亡和财产损失；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（3）由于发包人原因对承包人、监理人造成的人员人身伤亡和财产损失；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（4）由于发包人原因造成的发包人自身人员的人身伤害以及财产损失。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6.1.9.2 承包人的安全责任</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由于承包人原因在施工场地内及其毗邻地带造成的发包人、监理人以及第三者人员伤亡和财产损失，由承包人负责赔偿。</w:t>
      </w:r>
    </w:p>
    <w:p>
      <w:pPr>
        <w:pStyle w:val="4"/>
        <w:spacing w:before="0" w:after="0" w:line="360" w:lineRule="auto"/>
        <w:rPr>
          <w:rFonts w:ascii="宋体" w:hAnsi="宋体" w:cs="宋体"/>
          <w:color w:val="000000"/>
          <w:kern w:val="0"/>
          <w:sz w:val="24"/>
          <w:szCs w:val="24"/>
        </w:rPr>
      </w:pPr>
      <w:bookmarkStart w:id="173" w:name="_Toc381175579"/>
      <w:bookmarkStart w:id="174" w:name="_Toc351203540"/>
      <w:r>
        <w:rPr>
          <w:rFonts w:hint="eastAsia" w:ascii="宋体" w:hAnsi="宋体" w:cs="宋体"/>
          <w:color w:val="000000"/>
          <w:kern w:val="0"/>
          <w:sz w:val="24"/>
          <w:szCs w:val="24"/>
        </w:rPr>
        <w:t>6</w:t>
      </w:r>
      <w:bookmarkStart w:id="175" w:name="_Toc337558765"/>
      <w:r>
        <w:rPr>
          <w:rFonts w:hint="eastAsia" w:ascii="宋体" w:hAnsi="宋体" w:cs="宋体"/>
          <w:color w:val="000000"/>
          <w:kern w:val="0"/>
          <w:sz w:val="24"/>
          <w:szCs w:val="24"/>
        </w:rPr>
        <w:t>.2 职业健康</w:t>
      </w:r>
      <w:bookmarkEnd w:id="173"/>
      <w:bookmarkEnd w:id="174"/>
    </w:p>
    <w:bookmarkEnd w:id="17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6.2.1 劳动保护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6.2.2 生活条件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4"/>
        <w:spacing w:before="0" w:after="0" w:line="360" w:lineRule="auto"/>
        <w:rPr>
          <w:rFonts w:ascii="宋体" w:hAnsi="宋体" w:cs="宋体"/>
          <w:color w:val="000000"/>
          <w:kern w:val="0"/>
          <w:sz w:val="24"/>
          <w:szCs w:val="24"/>
        </w:rPr>
      </w:pPr>
      <w:bookmarkStart w:id="176" w:name="_Toc351203541"/>
      <w:bookmarkStart w:id="177" w:name="_Toc381175580"/>
      <w:r>
        <w:rPr>
          <w:rFonts w:hint="eastAsia" w:ascii="宋体" w:hAnsi="宋体" w:cs="宋体"/>
          <w:color w:val="000000"/>
          <w:kern w:val="0"/>
          <w:sz w:val="24"/>
          <w:szCs w:val="24"/>
        </w:rPr>
        <w:t>6</w:t>
      </w:r>
      <w:bookmarkStart w:id="178" w:name="_Toc337558766"/>
      <w:r>
        <w:rPr>
          <w:rFonts w:hint="eastAsia" w:ascii="宋体" w:hAnsi="宋体" w:cs="宋体"/>
          <w:color w:val="000000"/>
          <w:kern w:val="0"/>
          <w:sz w:val="24"/>
          <w:szCs w:val="24"/>
        </w:rPr>
        <w:t>.3 环境保护</w:t>
      </w:r>
      <w:bookmarkEnd w:id="176"/>
      <w:bookmarkEnd w:id="177"/>
    </w:p>
    <w:bookmarkEnd w:id="17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承包人应当承担因其原因引起的环境污染侵权损害赔偿责任，因上述环境污染引起纠纷而导致暂停施工的，由此增加的费用和（或）延误的工期由承包人承担。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179" w:name="_Toc351203542"/>
      <w:bookmarkStart w:id="180" w:name="_Toc324"/>
      <w:bookmarkStart w:id="181" w:name="_Toc7716"/>
      <w:bookmarkStart w:id="182" w:name="_Toc381175581"/>
      <w:r>
        <w:rPr>
          <w:rFonts w:hint="eastAsia" w:ascii="宋体" w:hAnsi="宋体" w:eastAsia="宋体" w:cs="宋体"/>
          <w:color w:val="000000"/>
          <w:kern w:val="0"/>
          <w:sz w:val="28"/>
          <w:szCs w:val="28"/>
        </w:rPr>
        <w:t>7</w:t>
      </w:r>
      <w:bookmarkStart w:id="183" w:name="_Toc337558767"/>
      <w:r>
        <w:rPr>
          <w:rFonts w:hint="eastAsia" w:ascii="宋体" w:hAnsi="宋体" w:eastAsia="宋体" w:cs="宋体"/>
          <w:color w:val="000000"/>
          <w:kern w:val="0"/>
          <w:sz w:val="28"/>
          <w:szCs w:val="28"/>
        </w:rPr>
        <w:t>. 工期和进度</w:t>
      </w:r>
      <w:bookmarkEnd w:id="179"/>
      <w:bookmarkEnd w:id="180"/>
      <w:bookmarkEnd w:id="181"/>
      <w:bookmarkEnd w:id="182"/>
    </w:p>
    <w:bookmarkEnd w:id="183"/>
    <w:p>
      <w:pPr>
        <w:pStyle w:val="4"/>
        <w:spacing w:before="0" w:after="0" w:line="360" w:lineRule="auto"/>
        <w:rPr>
          <w:rFonts w:ascii="宋体" w:hAnsi="宋体" w:cs="宋体"/>
          <w:color w:val="000000"/>
          <w:kern w:val="0"/>
          <w:sz w:val="24"/>
          <w:szCs w:val="24"/>
        </w:rPr>
      </w:pPr>
      <w:bookmarkStart w:id="184" w:name="_Toc351203543"/>
      <w:bookmarkStart w:id="185" w:name="_Toc381175582"/>
      <w:r>
        <w:rPr>
          <w:rFonts w:hint="eastAsia" w:ascii="宋体" w:hAnsi="宋体" w:cs="宋体"/>
          <w:color w:val="000000"/>
          <w:kern w:val="0"/>
          <w:sz w:val="24"/>
          <w:szCs w:val="24"/>
        </w:rPr>
        <w:t>7</w:t>
      </w:r>
      <w:bookmarkStart w:id="186" w:name="_Toc337558768"/>
      <w:bookmarkStart w:id="187" w:name="_Toc296346567"/>
      <w:bookmarkStart w:id="188" w:name="_Toc296503066"/>
      <w:r>
        <w:rPr>
          <w:rFonts w:hint="eastAsia" w:ascii="宋体" w:hAnsi="宋体" w:cs="宋体"/>
          <w:color w:val="000000"/>
          <w:kern w:val="0"/>
          <w:sz w:val="24"/>
          <w:szCs w:val="24"/>
        </w:rPr>
        <w:t>.1施工组织设计</w:t>
      </w:r>
      <w:bookmarkEnd w:id="184"/>
      <w:bookmarkEnd w:id="185"/>
    </w:p>
    <w:bookmarkEnd w:id="18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7.1.1 </w:t>
      </w:r>
      <w:r>
        <w:rPr>
          <w:rFonts w:hint="eastAsia" w:ascii="宋体" w:hAnsi="宋体" w:cs="宋体"/>
          <w:color w:val="000000"/>
          <w:kern w:val="0"/>
          <w:sz w:val="24"/>
        </w:rPr>
        <w:t>施工组织设计的内容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施工组织设计应包含以下内容：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（1）施工方案；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（2）施工现场平面布置图；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（3）施工进度计划和保证措施；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（4）劳动力及材料供应计划；</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（5）施工机械设备的选用；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（6）质量保证体系及措施；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（7）安全生产、文明施工措施；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（8）环境保护、成本控制措施；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（9）合同当事人约定的其他内容。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施工进度计划的编制和修改按照第7.2款〔施工进度计划〕执行。</w:t>
      </w:r>
    </w:p>
    <w:p>
      <w:pPr>
        <w:pStyle w:val="4"/>
        <w:spacing w:before="0" w:after="0" w:line="360" w:lineRule="auto"/>
        <w:rPr>
          <w:rFonts w:ascii="宋体" w:hAnsi="宋体" w:cs="宋体"/>
          <w:color w:val="000000"/>
          <w:kern w:val="0"/>
          <w:sz w:val="24"/>
          <w:szCs w:val="24"/>
        </w:rPr>
      </w:pPr>
      <w:bookmarkStart w:id="189" w:name="_Toc351203544"/>
      <w:bookmarkStart w:id="190" w:name="_Toc381175583"/>
      <w:r>
        <w:rPr>
          <w:rFonts w:hint="eastAsia" w:ascii="宋体" w:hAnsi="宋体" w:cs="宋体"/>
          <w:color w:val="000000"/>
          <w:kern w:val="0"/>
          <w:sz w:val="24"/>
          <w:szCs w:val="24"/>
        </w:rPr>
        <w:t>7</w:t>
      </w:r>
      <w:bookmarkStart w:id="191" w:name="_Toc337558769"/>
      <w:r>
        <w:rPr>
          <w:rFonts w:hint="eastAsia" w:ascii="宋体" w:hAnsi="宋体" w:cs="宋体"/>
          <w:color w:val="000000"/>
          <w:kern w:val="0"/>
          <w:sz w:val="24"/>
          <w:szCs w:val="24"/>
        </w:rPr>
        <w:t>.2 施工进度计划</w:t>
      </w:r>
      <w:bookmarkEnd w:id="189"/>
      <w:bookmarkEnd w:id="190"/>
    </w:p>
    <w:bookmarkEnd w:id="1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7.2.1 施工进度计划的编制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7.2.2 施工进度计划的修订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4"/>
        <w:spacing w:before="0" w:after="0" w:line="360" w:lineRule="auto"/>
        <w:rPr>
          <w:rFonts w:ascii="宋体" w:hAnsi="宋体" w:cs="宋体"/>
          <w:color w:val="000000"/>
          <w:kern w:val="0"/>
          <w:sz w:val="24"/>
          <w:szCs w:val="24"/>
        </w:rPr>
      </w:pPr>
      <w:bookmarkStart w:id="192" w:name="_Toc351203545"/>
      <w:bookmarkStart w:id="193" w:name="_Toc381175584"/>
      <w:r>
        <w:rPr>
          <w:rFonts w:hint="eastAsia" w:ascii="宋体" w:hAnsi="宋体" w:cs="宋体"/>
          <w:color w:val="000000"/>
          <w:kern w:val="0"/>
          <w:sz w:val="24"/>
          <w:szCs w:val="24"/>
        </w:rPr>
        <w:t>7</w:t>
      </w:r>
      <w:bookmarkStart w:id="194" w:name="_Toc337558770"/>
      <w:r>
        <w:rPr>
          <w:rFonts w:hint="eastAsia" w:ascii="宋体" w:hAnsi="宋体" w:cs="宋体"/>
          <w:color w:val="000000"/>
          <w:kern w:val="0"/>
          <w:sz w:val="24"/>
          <w:szCs w:val="24"/>
        </w:rPr>
        <w:t>.3 开工</w:t>
      </w:r>
      <w:bookmarkEnd w:id="192"/>
      <w:bookmarkEnd w:id="193"/>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7.3.1 开工准备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除专用合同条款另有约定外，合同当事人应按约定完成开工准备工作。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7.3.2 开工通知</w:t>
      </w:r>
    </w:p>
    <w:bookmarkEnd w:id="194"/>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除专用合同条款另有约定外，因发包人原因造成监理人未能在计划开工日期之日起</w:t>
      </w:r>
      <w:r>
        <w:rPr>
          <w:rFonts w:hint="eastAsia" w:ascii="宋体" w:hAnsi="宋体" w:cs="宋体"/>
          <w:color w:val="000000" w:themeColor="text1"/>
          <w:kern w:val="0"/>
          <w:sz w:val="24"/>
        </w:rPr>
        <w:t>90天</w:t>
      </w:r>
      <w:r>
        <w:rPr>
          <w:rFonts w:hint="eastAsia" w:ascii="宋体" w:hAnsi="宋体" w:cs="宋体"/>
          <w:color w:val="000000"/>
          <w:kern w:val="0"/>
          <w:sz w:val="24"/>
        </w:rPr>
        <w:t>内发出开工通知的，承包人有权提出价格调整要求，或者解除合同。发包人应当承担由此增加的费用和（或）延误的工期，并向承包人支付合理利润。</w:t>
      </w:r>
    </w:p>
    <w:p>
      <w:pPr>
        <w:pStyle w:val="4"/>
        <w:spacing w:before="0" w:after="0" w:line="360" w:lineRule="auto"/>
        <w:rPr>
          <w:rFonts w:ascii="宋体" w:hAnsi="宋体" w:cs="宋体"/>
          <w:color w:val="000000"/>
          <w:kern w:val="0"/>
          <w:sz w:val="24"/>
          <w:szCs w:val="24"/>
        </w:rPr>
      </w:pPr>
      <w:bookmarkStart w:id="195" w:name="_Toc351203546"/>
      <w:bookmarkStart w:id="196" w:name="_Toc381175585"/>
      <w:r>
        <w:rPr>
          <w:rFonts w:hint="eastAsia" w:ascii="宋体" w:hAnsi="宋体" w:cs="宋体"/>
          <w:color w:val="000000"/>
          <w:kern w:val="0"/>
          <w:sz w:val="24"/>
          <w:szCs w:val="24"/>
        </w:rPr>
        <w:t>7.4测量放线</w:t>
      </w:r>
      <w:bookmarkEnd w:id="195"/>
      <w:bookmarkEnd w:id="19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施工过程中对施工现场内水准点等测量标志物的保护工作由承包人负责。</w:t>
      </w:r>
      <w:bookmarkStart w:id="197" w:name="_Toc351203547"/>
    </w:p>
    <w:p>
      <w:pPr>
        <w:pStyle w:val="4"/>
        <w:spacing w:before="0" w:after="0" w:line="360" w:lineRule="auto"/>
        <w:rPr>
          <w:rFonts w:ascii="宋体" w:hAnsi="宋体" w:cs="宋体"/>
          <w:color w:val="000000"/>
          <w:kern w:val="0"/>
          <w:sz w:val="24"/>
          <w:szCs w:val="24"/>
        </w:rPr>
      </w:pPr>
      <w:bookmarkStart w:id="198" w:name="_Toc381175586"/>
      <w:r>
        <w:rPr>
          <w:rFonts w:hint="eastAsia" w:ascii="宋体" w:hAnsi="宋体" w:cs="宋体"/>
          <w:color w:val="000000"/>
          <w:kern w:val="0"/>
          <w:sz w:val="24"/>
          <w:szCs w:val="24"/>
        </w:rPr>
        <w:t>7</w:t>
      </w:r>
      <w:bookmarkEnd w:id="187"/>
      <w:bookmarkEnd w:id="188"/>
      <w:bookmarkStart w:id="199" w:name="_Toc337558772"/>
      <w:bookmarkStart w:id="200" w:name="_Toc296346574"/>
      <w:bookmarkStart w:id="201" w:name="_Toc296503073"/>
      <w:r>
        <w:rPr>
          <w:rFonts w:hint="eastAsia" w:ascii="宋体" w:hAnsi="宋体" w:cs="宋体"/>
          <w:color w:val="000000"/>
          <w:kern w:val="0"/>
          <w:sz w:val="24"/>
          <w:szCs w:val="24"/>
        </w:rPr>
        <w:t>.5 工期延误</w:t>
      </w:r>
      <w:bookmarkEnd w:id="197"/>
      <w:bookmarkEnd w:id="198"/>
    </w:p>
    <w:bookmarkEnd w:id="199"/>
    <w:bookmarkEnd w:id="200"/>
    <w:bookmarkEnd w:id="20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7.5.1 因发包人原因导致工期延误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（1）发包人未能按合同约定提供图纸或所提供图纸不符合合同约定的；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（2）发包人未能按合同约定提供施工现场、施工条件、基础资料、许可、批准等开工条件的；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（3）发包人提供的测量基准点、基准线和水准点及其书面资料存在错误或疏漏的；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（4）发包人未能在计划开工日期之日起7天内同意下达开工通知的；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（5）发包人未能按合同约定日期支付工程预付款、进度款或竣工结算款的；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（6）监理人未按合同约定发出指示、批准等文件的；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（7）专用合同条款中约定的其他情形。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7.5.2 因承包人原因导致工期延误</w:t>
      </w:r>
    </w:p>
    <w:p>
      <w:pPr>
        <w:autoSpaceDE w:val="0"/>
        <w:autoSpaceDN w:val="0"/>
        <w:adjustRightInd w:val="0"/>
        <w:spacing w:line="360" w:lineRule="auto"/>
        <w:ind w:firstLine="480" w:firstLineChars="200"/>
        <w:jc w:val="left"/>
        <w:rPr>
          <w:rFonts w:ascii="宋体" w:hAnsi="宋体" w:cs="宋体"/>
          <w:color w:val="000000"/>
          <w:kern w:val="0"/>
          <w:sz w:val="24"/>
        </w:rPr>
      </w:pPr>
      <w:bookmarkStart w:id="202" w:name="_Toc296503076"/>
      <w:bookmarkStart w:id="203" w:name="_Toc296346577"/>
      <w:r>
        <w:rPr>
          <w:rFonts w:hint="eastAsia" w:ascii="宋体" w:hAnsi="宋体" w:cs="宋体"/>
          <w:color w:val="000000"/>
          <w:kern w:val="0"/>
          <w:sz w:val="24"/>
        </w:rPr>
        <w:t>因</w:t>
      </w:r>
      <w:bookmarkEnd w:id="202"/>
      <w:bookmarkEnd w:id="203"/>
      <w:r>
        <w:rPr>
          <w:rFonts w:hint="eastAsia" w:ascii="宋体" w:hAnsi="宋体" w:cs="宋体"/>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4"/>
        <w:spacing w:before="0" w:after="0" w:line="360" w:lineRule="auto"/>
        <w:rPr>
          <w:rFonts w:ascii="宋体" w:hAnsi="宋体" w:cs="宋体"/>
          <w:color w:val="000000"/>
          <w:kern w:val="0"/>
          <w:sz w:val="24"/>
          <w:szCs w:val="24"/>
        </w:rPr>
      </w:pPr>
      <w:bookmarkStart w:id="204" w:name="_Toc351203548"/>
      <w:bookmarkStart w:id="205" w:name="_Toc381175587"/>
      <w:r>
        <w:rPr>
          <w:rFonts w:hint="eastAsia" w:ascii="宋体" w:hAnsi="宋体" w:cs="宋体"/>
          <w:color w:val="000000"/>
          <w:kern w:val="0"/>
          <w:sz w:val="24"/>
          <w:szCs w:val="24"/>
        </w:rPr>
        <w:t>7</w:t>
      </w:r>
      <w:bookmarkStart w:id="206" w:name="_Toc337558773"/>
      <w:bookmarkStart w:id="207" w:name="_Toc296346575"/>
      <w:bookmarkStart w:id="208" w:name="_Toc296503074"/>
      <w:bookmarkStart w:id="209" w:name="_Toc296346578"/>
      <w:bookmarkStart w:id="210" w:name="_Toc296503077"/>
      <w:r>
        <w:rPr>
          <w:rFonts w:hint="eastAsia" w:ascii="宋体" w:hAnsi="宋体" w:cs="宋体"/>
          <w:color w:val="000000"/>
          <w:kern w:val="0"/>
          <w:sz w:val="24"/>
          <w:szCs w:val="24"/>
        </w:rPr>
        <w:t>.6 不利物质条件</w:t>
      </w:r>
      <w:bookmarkEnd w:id="204"/>
      <w:bookmarkEnd w:id="205"/>
    </w:p>
    <w:bookmarkEnd w:id="206"/>
    <w:bookmarkEnd w:id="207"/>
    <w:bookmarkEnd w:id="20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4"/>
        <w:spacing w:before="0" w:after="0" w:line="360" w:lineRule="auto"/>
        <w:rPr>
          <w:rFonts w:ascii="宋体" w:hAnsi="宋体" w:cs="宋体"/>
          <w:color w:val="000000"/>
          <w:kern w:val="0"/>
          <w:sz w:val="24"/>
          <w:szCs w:val="24"/>
        </w:rPr>
      </w:pPr>
      <w:bookmarkStart w:id="211" w:name="_Toc351203549"/>
      <w:bookmarkStart w:id="212" w:name="_Toc381175588"/>
      <w:r>
        <w:rPr>
          <w:rFonts w:hint="eastAsia" w:ascii="宋体" w:hAnsi="宋体" w:cs="宋体"/>
          <w:color w:val="000000"/>
          <w:kern w:val="0"/>
          <w:sz w:val="24"/>
          <w:szCs w:val="24"/>
        </w:rPr>
        <w:t>7</w:t>
      </w:r>
      <w:bookmarkStart w:id="213" w:name="_Toc296346576"/>
      <w:bookmarkStart w:id="214" w:name="_Toc337558774"/>
      <w:bookmarkStart w:id="215" w:name="_Toc296503075"/>
      <w:r>
        <w:rPr>
          <w:rFonts w:hint="eastAsia" w:ascii="宋体" w:hAnsi="宋体" w:cs="宋体"/>
          <w:color w:val="000000"/>
          <w:kern w:val="0"/>
          <w:sz w:val="24"/>
          <w:szCs w:val="24"/>
        </w:rPr>
        <w:t>.7 异常恶劣的气候条件</w:t>
      </w:r>
      <w:bookmarkEnd w:id="211"/>
      <w:bookmarkEnd w:id="212"/>
    </w:p>
    <w:bookmarkEnd w:id="213"/>
    <w:bookmarkEnd w:id="214"/>
    <w:bookmarkEnd w:id="21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pPr>
        <w:pStyle w:val="4"/>
        <w:spacing w:before="0" w:after="0" w:line="360" w:lineRule="auto"/>
        <w:rPr>
          <w:rFonts w:ascii="宋体" w:hAnsi="宋体" w:cs="宋体"/>
          <w:color w:val="000000"/>
          <w:kern w:val="0"/>
          <w:sz w:val="24"/>
          <w:szCs w:val="24"/>
        </w:rPr>
      </w:pPr>
      <w:bookmarkStart w:id="217" w:name="_Toc381175589"/>
      <w:r>
        <w:rPr>
          <w:rFonts w:hint="eastAsia" w:ascii="宋体" w:hAnsi="宋体" w:cs="宋体"/>
          <w:color w:val="000000"/>
          <w:kern w:val="0"/>
          <w:sz w:val="24"/>
          <w:szCs w:val="24"/>
        </w:rPr>
        <w:t>7</w:t>
      </w:r>
      <w:bookmarkStart w:id="218" w:name="_Toc337558775"/>
      <w:r>
        <w:rPr>
          <w:rFonts w:hint="eastAsia" w:ascii="宋体" w:hAnsi="宋体" w:cs="宋体"/>
          <w:color w:val="000000"/>
          <w:kern w:val="0"/>
          <w:sz w:val="24"/>
          <w:szCs w:val="24"/>
        </w:rPr>
        <w:t>.8 暂停施工</w:t>
      </w:r>
      <w:bookmarkEnd w:id="216"/>
      <w:bookmarkEnd w:id="217"/>
    </w:p>
    <w:bookmarkEnd w:id="209"/>
    <w:bookmarkEnd w:id="210"/>
    <w:bookmarkEnd w:id="21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7.8.1发包人原因引起的暂停施工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因发包人原因引起的暂停施工，发包人应承担由此增加的费用和（或）延误的工期，并支付承包人合理的利润。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7.8.2 承包人原因引起的暂停施工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7.8.3 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监理人认为有必要时，并经发包人批准后，可向承包人作出暂停施工的指示，承包人应按监理人指示暂停施工。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7.8.4 紧急情况下的暂停施工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7.8.5 暂停施工后的复工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承包人无故拖延和拒绝复工的，承包人承担由此增加的费用和（或）延误的工期；因发包人原因无法按时复工的，按照第7.5.1项〔因发包人原因导致工期延误〕约定办理。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7.8.6 暂停施工持续56天以上</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7.8.7 暂停施工期间的工程照管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暂停施工期间，承包人应负责妥善照管工程并提供安全保障，由此增加的费用由责任方承担。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7.8.8 暂停施工的措施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暂停施工期间，发包人和承包人均应采取必要的措施确保工程质量及安全，防止因暂停施工扩大损失。</w:t>
      </w:r>
    </w:p>
    <w:p>
      <w:pPr>
        <w:pStyle w:val="4"/>
        <w:spacing w:before="0" w:after="0" w:line="360" w:lineRule="auto"/>
        <w:rPr>
          <w:rFonts w:ascii="宋体" w:hAnsi="宋体" w:cs="宋体"/>
          <w:color w:val="000000"/>
          <w:kern w:val="0"/>
          <w:sz w:val="24"/>
          <w:szCs w:val="24"/>
        </w:rPr>
      </w:pPr>
      <w:bookmarkStart w:id="219" w:name="_Toc351203551"/>
      <w:bookmarkStart w:id="220" w:name="_Toc381175590"/>
      <w:r>
        <w:rPr>
          <w:rFonts w:hint="eastAsia" w:ascii="宋体" w:hAnsi="宋体" w:cs="宋体"/>
          <w:color w:val="000000"/>
          <w:kern w:val="0"/>
          <w:sz w:val="24"/>
          <w:szCs w:val="24"/>
        </w:rPr>
        <w:t>7.9提前竣工</w:t>
      </w:r>
      <w:bookmarkEnd w:id="219"/>
      <w:bookmarkEnd w:id="22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7.9.2 发包人要求承包人提前竣工，或承包人提出提前竣工的建议能够给发包人带来效益的，合同当事人可以在专用合同条款中约定提前竣工的奖励。</w:t>
      </w:r>
    </w:p>
    <w:p>
      <w:pPr>
        <w:pStyle w:val="3"/>
        <w:spacing w:before="0" w:after="0" w:line="360" w:lineRule="auto"/>
        <w:rPr>
          <w:rFonts w:ascii="宋体" w:hAnsi="宋体" w:eastAsia="宋体" w:cs="宋体"/>
          <w:color w:val="000000"/>
          <w:kern w:val="0"/>
          <w:sz w:val="28"/>
          <w:szCs w:val="28"/>
        </w:rPr>
      </w:pPr>
      <w:bookmarkStart w:id="221" w:name="_Toc351203552"/>
      <w:bookmarkStart w:id="222" w:name="_Toc4282"/>
      <w:bookmarkStart w:id="223" w:name="_Toc9841"/>
      <w:bookmarkStart w:id="224" w:name="_Toc381175591"/>
      <w:r>
        <w:rPr>
          <w:rFonts w:hint="eastAsia" w:ascii="宋体" w:hAnsi="宋体" w:eastAsia="宋体" w:cs="宋体"/>
          <w:color w:val="000000"/>
          <w:kern w:val="0"/>
          <w:sz w:val="28"/>
          <w:szCs w:val="28"/>
        </w:rPr>
        <w:t>8</w:t>
      </w:r>
      <w:bookmarkStart w:id="225" w:name="_Toc337558776"/>
      <w:bookmarkStart w:id="226" w:name="_Toc296346559"/>
      <w:bookmarkStart w:id="227" w:name="_Toc296503058"/>
      <w:r>
        <w:rPr>
          <w:rFonts w:hint="eastAsia" w:ascii="宋体" w:hAnsi="宋体" w:eastAsia="宋体" w:cs="宋体"/>
          <w:color w:val="000000"/>
          <w:kern w:val="0"/>
          <w:sz w:val="28"/>
          <w:szCs w:val="28"/>
        </w:rPr>
        <w:t>. 材料与设备</w:t>
      </w:r>
      <w:bookmarkEnd w:id="221"/>
      <w:bookmarkEnd w:id="222"/>
      <w:bookmarkEnd w:id="223"/>
      <w:bookmarkEnd w:id="224"/>
    </w:p>
    <w:bookmarkEnd w:id="225"/>
    <w:bookmarkEnd w:id="226"/>
    <w:bookmarkEnd w:id="227"/>
    <w:p>
      <w:pPr>
        <w:pStyle w:val="4"/>
        <w:spacing w:before="0" w:after="0" w:line="360" w:lineRule="auto"/>
        <w:rPr>
          <w:rFonts w:ascii="宋体" w:hAnsi="宋体" w:cs="宋体"/>
          <w:color w:val="000000"/>
          <w:kern w:val="0"/>
          <w:sz w:val="24"/>
          <w:szCs w:val="24"/>
        </w:rPr>
      </w:pPr>
      <w:bookmarkStart w:id="228" w:name="_Toc381175592"/>
      <w:bookmarkStart w:id="229" w:name="_Toc351203553"/>
      <w:r>
        <w:rPr>
          <w:rFonts w:hint="eastAsia" w:ascii="宋体" w:hAnsi="宋体" w:cs="宋体"/>
          <w:color w:val="000000"/>
          <w:kern w:val="0"/>
          <w:sz w:val="24"/>
          <w:szCs w:val="24"/>
        </w:rPr>
        <w:t>8</w:t>
      </w:r>
      <w:bookmarkStart w:id="230" w:name="_Toc296346560"/>
      <w:bookmarkStart w:id="231" w:name="_Toc296503059"/>
      <w:bookmarkStart w:id="232" w:name="_Toc337558777"/>
      <w:bookmarkStart w:id="233" w:name="_Toc468936960"/>
      <w:r>
        <w:rPr>
          <w:rFonts w:hint="eastAsia" w:ascii="宋体" w:hAnsi="宋体" w:cs="宋体"/>
          <w:color w:val="000000"/>
          <w:kern w:val="0"/>
          <w:sz w:val="24"/>
          <w:szCs w:val="24"/>
        </w:rPr>
        <w:t>.1发包人供应材料与工程设备</w:t>
      </w:r>
      <w:bookmarkEnd w:id="228"/>
      <w:bookmarkEnd w:id="229"/>
    </w:p>
    <w:bookmarkEnd w:id="230"/>
    <w:bookmarkEnd w:id="231"/>
    <w:bookmarkEnd w:id="2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4"/>
        <w:spacing w:before="0" w:after="0" w:line="360" w:lineRule="auto"/>
        <w:rPr>
          <w:rFonts w:ascii="宋体" w:hAnsi="宋体" w:cs="宋体"/>
          <w:color w:val="000000"/>
          <w:kern w:val="0"/>
          <w:sz w:val="24"/>
          <w:szCs w:val="24"/>
        </w:rPr>
      </w:pPr>
      <w:bookmarkStart w:id="234" w:name="_Toc351203554"/>
      <w:bookmarkStart w:id="235" w:name="_Toc381175593"/>
      <w:r>
        <w:rPr>
          <w:rFonts w:hint="eastAsia" w:ascii="宋体" w:hAnsi="宋体" w:cs="宋体"/>
          <w:color w:val="000000"/>
          <w:kern w:val="0"/>
          <w:sz w:val="24"/>
          <w:szCs w:val="24"/>
        </w:rPr>
        <w:t>8</w:t>
      </w:r>
      <w:bookmarkStart w:id="236" w:name="_Toc296346561"/>
      <w:bookmarkStart w:id="237" w:name="_Toc337558778"/>
      <w:bookmarkStart w:id="238" w:name="_Toc296503060"/>
      <w:r>
        <w:rPr>
          <w:rFonts w:hint="eastAsia" w:ascii="宋体" w:hAnsi="宋体" w:cs="宋体"/>
          <w:color w:val="000000"/>
          <w:kern w:val="0"/>
          <w:sz w:val="24"/>
          <w:szCs w:val="24"/>
        </w:rPr>
        <w:t>.2承包人采购材料与工程设备</w:t>
      </w:r>
      <w:bookmarkEnd w:id="234"/>
      <w:bookmarkEnd w:id="235"/>
    </w:p>
    <w:bookmarkEnd w:id="236"/>
    <w:bookmarkEnd w:id="237"/>
    <w:bookmarkEnd w:id="2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4"/>
        <w:spacing w:before="0" w:after="0" w:line="360" w:lineRule="auto"/>
        <w:rPr>
          <w:rFonts w:ascii="宋体" w:hAnsi="宋体" w:cs="宋体"/>
          <w:color w:val="000000"/>
          <w:kern w:val="0"/>
          <w:sz w:val="24"/>
          <w:szCs w:val="24"/>
        </w:rPr>
      </w:pPr>
      <w:bookmarkStart w:id="239" w:name="_Toc351203555"/>
      <w:bookmarkStart w:id="240" w:name="_Toc381175594"/>
      <w:r>
        <w:rPr>
          <w:rFonts w:hint="eastAsia" w:ascii="宋体" w:hAnsi="宋体" w:cs="宋体"/>
          <w:color w:val="000000"/>
          <w:kern w:val="0"/>
          <w:sz w:val="24"/>
          <w:szCs w:val="24"/>
        </w:rPr>
        <w:t>8</w:t>
      </w:r>
      <w:bookmarkStart w:id="241" w:name="_Toc296346562"/>
      <w:bookmarkStart w:id="242" w:name="_Toc296503061"/>
      <w:bookmarkStart w:id="243" w:name="_Toc337558779"/>
      <w:r>
        <w:rPr>
          <w:rFonts w:hint="eastAsia" w:ascii="宋体" w:hAnsi="宋体" w:cs="宋体"/>
          <w:color w:val="000000"/>
          <w:kern w:val="0"/>
          <w:sz w:val="24"/>
          <w:szCs w:val="24"/>
        </w:rPr>
        <w:t>.3材料与工程设备的接收与拒收</w:t>
      </w:r>
      <w:bookmarkEnd w:id="239"/>
      <w:bookmarkEnd w:id="240"/>
    </w:p>
    <w:bookmarkEnd w:id="241"/>
    <w:bookmarkEnd w:id="242"/>
    <w:bookmarkEnd w:id="2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8.3.2 承包人采购的材料和工程设备，应保证产品质量合格，承包人应在材料和工程设备到货前24小时通知监理人检验。承</w:t>
      </w:r>
      <w:bookmarkStart w:id="244" w:name="_Toc250655469"/>
      <w:r>
        <w:rPr>
          <w:rFonts w:hint="eastAsia" w:ascii="宋体" w:hAnsi="宋体" w:cs="宋体"/>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4"/>
        <w:spacing w:before="0" w:after="0" w:line="360" w:lineRule="auto"/>
        <w:rPr>
          <w:rFonts w:ascii="宋体" w:hAnsi="宋体" w:cs="宋体"/>
          <w:color w:val="000000"/>
          <w:kern w:val="0"/>
          <w:sz w:val="24"/>
          <w:szCs w:val="24"/>
        </w:rPr>
      </w:pPr>
      <w:bookmarkStart w:id="245" w:name="_Toc381175595"/>
      <w:bookmarkStart w:id="246" w:name="_Toc351203556"/>
      <w:r>
        <w:rPr>
          <w:rFonts w:hint="eastAsia" w:ascii="宋体" w:hAnsi="宋体" w:cs="宋体"/>
          <w:color w:val="000000"/>
          <w:kern w:val="0"/>
          <w:sz w:val="24"/>
          <w:szCs w:val="24"/>
        </w:rPr>
        <w:t>8</w:t>
      </w:r>
      <w:bookmarkStart w:id="247" w:name="_Toc337558780"/>
      <w:bookmarkStart w:id="248" w:name="_Toc296503062"/>
      <w:bookmarkStart w:id="249" w:name="_Toc296346563"/>
      <w:r>
        <w:rPr>
          <w:rFonts w:hint="eastAsia" w:ascii="宋体" w:hAnsi="宋体" w:cs="宋体"/>
          <w:color w:val="000000"/>
          <w:kern w:val="0"/>
          <w:sz w:val="24"/>
          <w:szCs w:val="24"/>
        </w:rPr>
        <w:t>.4材料与工程设备的保管与使用</w:t>
      </w:r>
      <w:bookmarkEnd w:id="245"/>
      <w:bookmarkEnd w:id="246"/>
    </w:p>
    <w:bookmarkEnd w:id="247"/>
    <w:bookmarkEnd w:id="248"/>
    <w:bookmarkEnd w:id="24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8.4.1 发包人供应</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8.4.2 承包人采购</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pPr>
        <w:pStyle w:val="4"/>
        <w:spacing w:before="0" w:after="0" w:line="360" w:lineRule="auto"/>
        <w:rPr>
          <w:rFonts w:ascii="宋体" w:hAnsi="宋体" w:cs="宋体"/>
          <w:color w:val="000000"/>
          <w:kern w:val="0"/>
          <w:sz w:val="24"/>
          <w:szCs w:val="24"/>
        </w:rPr>
      </w:pPr>
      <w:bookmarkStart w:id="250" w:name="_Toc381175596"/>
      <w:bookmarkStart w:id="251" w:name="_Toc351203557"/>
      <w:r>
        <w:rPr>
          <w:rFonts w:hint="eastAsia" w:ascii="宋体" w:hAnsi="宋体" w:cs="宋体"/>
          <w:color w:val="000000"/>
          <w:kern w:val="0"/>
          <w:sz w:val="24"/>
          <w:szCs w:val="24"/>
        </w:rPr>
        <w:t>8.5禁止使用不合格的材料和工程设备</w:t>
      </w:r>
      <w:bookmarkEnd w:id="250"/>
      <w:bookmarkEnd w:id="251"/>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8.5.3 发包人提供的材料或工程设备不符合合同要求的，承包人有权拒绝，并可要求发包人更换，由此增加的费用和（或）延误的工期由发包人承担，并支付承包人合理的利润。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252" w:name="_Toc351203558"/>
      <w:bookmarkStart w:id="253" w:name="_Toc381175597"/>
      <w:r>
        <w:rPr>
          <w:rFonts w:hint="eastAsia" w:ascii="宋体" w:hAnsi="宋体" w:cs="宋体"/>
          <w:color w:val="000000"/>
          <w:kern w:val="0"/>
          <w:sz w:val="24"/>
          <w:szCs w:val="24"/>
        </w:rPr>
        <w:t>8.6 样品</w:t>
      </w:r>
      <w:bookmarkEnd w:id="252"/>
      <w:bookmarkEnd w:id="253"/>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8.6.2 样品的保管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经批准的样品应由监理人负责封存于现场，承包人应在现场为保存样品提供适当和固定的场所并保持适当和良好的存储环境条件。</w:t>
      </w:r>
    </w:p>
    <w:p>
      <w:pPr>
        <w:pStyle w:val="4"/>
        <w:spacing w:before="0" w:after="0" w:line="360" w:lineRule="auto"/>
        <w:rPr>
          <w:rFonts w:ascii="宋体" w:hAnsi="宋体" w:cs="宋体"/>
          <w:color w:val="000000"/>
          <w:kern w:val="0"/>
          <w:sz w:val="24"/>
          <w:szCs w:val="24"/>
        </w:rPr>
      </w:pPr>
      <w:bookmarkStart w:id="254" w:name="_Toc351203559"/>
      <w:bookmarkStart w:id="255" w:name="_Toc381175598"/>
      <w:r>
        <w:rPr>
          <w:rFonts w:hint="eastAsia" w:ascii="宋体" w:hAnsi="宋体" w:cs="宋体"/>
          <w:color w:val="000000"/>
          <w:kern w:val="0"/>
          <w:sz w:val="24"/>
          <w:szCs w:val="24"/>
        </w:rPr>
        <w:t>8.7材料与工程设备的替代</w:t>
      </w:r>
      <w:bookmarkEnd w:id="254"/>
      <w:bookmarkEnd w:id="25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（1）基准日期后生效的法律规定禁止使用的；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（2）发包人要求使用替代品的；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（3）因其他原因必须使用替代品的。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（2）替代品的名称、数量、规格、型号、品牌、性能、价格及其他相关资料；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（4）替代品与被替代产品的价格差异；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（5）使用替代品的理由和原因说明；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（6）监理人要求的其他文件。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4"/>
        <w:spacing w:before="0" w:after="0" w:line="360" w:lineRule="auto"/>
        <w:rPr>
          <w:rFonts w:ascii="宋体" w:hAnsi="宋体" w:cs="宋体"/>
          <w:color w:val="000000"/>
          <w:kern w:val="0"/>
          <w:sz w:val="24"/>
          <w:szCs w:val="24"/>
        </w:rPr>
      </w:pPr>
      <w:bookmarkStart w:id="256" w:name="_Toc351203560"/>
      <w:bookmarkStart w:id="257" w:name="_Toc381175599"/>
      <w:r>
        <w:rPr>
          <w:rFonts w:hint="eastAsia" w:ascii="宋体" w:hAnsi="宋体" w:cs="宋体"/>
          <w:color w:val="000000"/>
          <w:kern w:val="0"/>
          <w:sz w:val="24"/>
          <w:szCs w:val="24"/>
        </w:rPr>
        <w:t>8.8施工设备和临时设施</w:t>
      </w:r>
      <w:bookmarkEnd w:id="256"/>
      <w:bookmarkEnd w:id="25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8.8.2发包人提供的施工设备和临时设施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发包人提供的施工设备或临时设施在专用合同条款中约定。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8.8.3要求承包人增加或更换施工设备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pPr>
        <w:pStyle w:val="4"/>
        <w:spacing w:before="0" w:after="0" w:line="360" w:lineRule="auto"/>
        <w:rPr>
          <w:rFonts w:ascii="宋体" w:hAnsi="宋体" w:cs="宋体"/>
          <w:color w:val="000000"/>
          <w:kern w:val="0"/>
          <w:sz w:val="24"/>
          <w:szCs w:val="24"/>
        </w:rPr>
      </w:pPr>
      <w:bookmarkStart w:id="258" w:name="_Toc351203561"/>
      <w:bookmarkStart w:id="259" w:name="_Toc381175600"/>
      <w:r>
        <w:rPr>
          <w:rFonts w:hint="eastAsia" w:ascii="宋体" w:hAnsi="宋体" w:cs="宋体"/>
          <w:color w:val="000000"/>
          <w:kern w:val="0"/>
          <w:sz w:val="24"/>
          <w:szCs w:val="24"/>
        </w:rPr>
        <w:t>8</w:t>
      </w:r>
      <w:bookmarkStart w:id="260" w:name="_Toc337558781"/>
      <w:bookmarkStart w:id="261" w:name="_Toc296346564"/>
      <w:bookmarkStart w:id="262" w:name="_Toc296503063"/>
      <w:r>
        <w:rPr>
          <w:rFonts w:hint="eastAsia" w:ascii="宋体" w:hAnsi="宋体" w:cs="宋体"/>
          <w:color w:val="000000"/>
          <w:kern w:val="0"/>
          <w:sz w:val="24"/>
          <w:szCs w:val="24"/>
        </w:rPr>
        <w:t>.9材料与设备专用</w:t>
      </w:r>
      <w:bookmarkEnd w:id="258"/>
      <w:r>
        <w:rPr>
          <w:rFonts w:hint="eastAsia" w:ascii="宋体" w:hAnsi="宋体" w:cs="宋体"/>
          <w:color w:val="000000"/>
          <w:kern w:val="0"/>
          <w:sz w:val="24"/>
          <w:szCs w:val="24"/>
        </w:rPr>
        <w:t>要求</w:t>
      </w:r>
      <w:bookmarkEnd w:id="259"/>
    </w:p>
    <w:bookmarkEnd w:id="260"/>
    <w:bookmarkEnd w:id="261"/>
    <w:bookmarkEnd w:id="2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hint="eastAsia" w:ascii="宋体" w:hAnsi="宋体" w:cs="宋体"/>
          <w:color w:val="000000"/>
          <w:kern w:val="0"/>
          <w:sz w:val="24"/>
        </w:rPr>
        <w:t>经发包人批准，承包人可以根据施工进度计划撤走闲置的施工设备和其他物品。</w:t>
      </w:r>
    </w:p>
    <w:p>
      <w:pPr>
        <w:pStyle w:val="3"/>
        <w:spacing w:before="0" w:after="0" w:line="360" w:lineRule="auto"/>
        <w:rPr>
          <w:rFonts w:ascii="宋体" w:hAnsi="宋体" w:eastAsia="宋体" w:cs="宋体"/>
          <w:color w:val="000000"/>
          <w:kern w:val="0"/>
          <w:sz w:val="28"/>
          <w:szCs w:val="28"/>
        </w:rPr>
      </w:pPr>
      <w:bookmarkStart w:id="263" w:name="_Toc351203562"/>
      <w:bookmarkStart w:id="264" w:name="_Toc29876"/>
      <w:bookmarkStart w:id="265" w:name="_Toc10014"/>
      <w:bookmarkStart w:id="266" w:name="_Toc381175601"/>
      <w:r>
        <w:rPr>
          <w:rFonts w:hint="eastAsia" w:ascii="宋体" w:hAnsi="宋体" w:eastAsia="宋体" w:cs="宋体"/>
          <w:color w:val="000000"/>
          <w:kern w:val="0"/>
          <w:sz w:val="28"/>
          <w:szCs w:val="28"/>
        </w:rPr>
        <w:t>9</w:t>
      </w:r>
      <w:bookmarkStart w:id="267" w:name="_Toc337558782"/>
      <w:bookmarkStart w:id="268" w:name="_Toc296346584"/>
      <w:bookmarkStart w:id="269" w:name="_Toc296503083"/>
      <w:r>
        <w:rPr>
          <w:rFonts w:hint="eastAsia" w:ascii="宋体" w:hAnsi="宋体" w:eastAsia="宋体" w:cs="宋体"/>
          <w:color w:val="000000"/>
          <w:kern w:val="0"/>
          <w:sz w:val="28"/>
          <w:szCs w:val="28"/>
        </w:rPr>
        <w:t>. 试验与检验</w:t>
      </w:r>
      <w:bookmarkEnd w:id="263"/>
      <w:bookmarkEnd w:id="264"/>
      <w:bookmarkEnd w:id="265"/>
      <w:bookmarkEnd w:id="266"/>
    </w:p>
    <w:bookmarkEnd w:id="267"/>
    <w:p>
      <w:pPr>
        <w:pStyle w:val="4"/>
        <w:spacing w:before="0" w:after="0" w:line="360" w:lineRule="auto"/>
        <w:rPr>
          <w:rFonts w:ascii="宋体" w:hAnsi="宋体" w:cs="宋体"/>
          <w:color w:val="000000"/>
          <w:kern w:val="0"/>
          <w:sz w:val="24"/>
          <w:szCs w:val="24"/>
        </w:rPr>
      </w:pPr>
      <w:bookmarkStart w:id="270" w:name="_Toc351203563"/>
      <w:bookmarkStart w:id="271" w:name="_Toc381175602"/>
      <w:r>
        <w:rPr>
          <w:rFonts w:hint="eastAsia" w:ascii="宋体" w:hAnsi="宋体" w:cs="宋体"/>
          <w:color w:val="000000"/>
          <w:kern w:val="0"/>
          <w:sz w:val="24"/>
          <w:szCs w:val="24"/>
        </w:rPr>
        <w:t>9</w:t>
      </w:r>
      <w:bookmarkStart w:id="272" w:name="_Toc337558783"/>
      <w:r>
        <w:rPr>
          <w:rFonts w:hint="eastAsia" w:ascii="宋体" w:hAnsi="宋体" w:cs="宋体"/>
          <w:color w:val="000000"/>
          <w:kern w:val="0"/>
          <w:sz w:val="24"/>
          <w:szCs w:val="24"/>
        </w:rPr>
        <w:t>.1试验设备与试验人员</w:t>
      </w:r>
      <w:bookmarkEnd w:id="270"/>
      <w:bookmarkEnd w:id="271"/>
    </w:p>
    <w:bookmarkEnd w:id="27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9.1.2 承包人应按专用合同条款的约定提供试验设备、取样装置、试验场所和试验条件，并向监理人提交相应进场计划表。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9.1.3 承包人应向监理人提交试验人员的名单及其岗位、资格等证明资料，试验人员必须能够熟练进行相应的检测试验，承包人对试验人员的试验程序和试验结果的正确性负责。</w:t>
      </w:r>
    </w:p>
    <w:p>
      <w:pPr>
        <w:pStyle w:val="4"/>
        <w:spacing w:before="0" w:after="0" w:line="360" w:lineRule="auto"/>
        <w:rPr>
          <w:rFonts w:ascii="宋体" w:hAnsi="宋体" w:cs="宋体"/>
          <w:color w:val="000000"/>
          <w:kern w:val="0"/>
          <w:sz w:val="24"/>
          <w:szCs w:val="24"/>
        </w:rPr>
      </w:pPr>
      <w:bookmarkStart w:id="273" w:name="_Toc381175603"/>
      <w:bookmarkStart w:id="274" w:name="_Toc351203564"/>
      <w:r>
        <w:rPr>
          <w:rFonts w:hint="eastAsia" w:ascii="宋体" w:hAnsi="宋体" w:cs="宋体"/>
          <w:color w:val="000000"/>
          <w:kern w:val="0"/>
          <w:sz w:val="24"/>
          <w:szCs w:val="24"/>
        </w:rPr>
        <w:t>9</w:t>
      </w:r>
      <w:bookmarkStart w:id="275" w:name="_Toc337558784"/>
      <w:r>
        <w:rPr>
          <w:rFonts w:hint="eastAsia" w:ascii="宋体" w:hAnsi="宋体" w:cs="宋体"/>
          <w:color w:val="000000"/>
          <w:kern w:val="0"/>
          <w:sz w:val="24"/>
          <w:szCs w:val="24"/>
        </w:rPr>
        <w:t>.2取样</w:t>
      </w:r>
      <w:bookmarkEnd w:id="273"/>
      <w:bookmarkEnd w:id="274"/>
    </w:p>
    <w:bookmarkEnd w:id="275"/>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试验属于自检性质的，承包人可以单独取样。试验属于监理人抽检性质的，可由监理人取样，也可由承包人的试验人员在监理人的监督下取样。</w:t>
      </w:r>
    </w:p>
    <w:p>
      <w:pPr>
        <w:pStyle w:val="4"/>
        <w:spacing w:before="0" w:after="0" w:line="360" w:lineRule="auto"/>
        <w:rPr>
          <w:rFonts w:ascii="宋体" w:hAnsi="宋体" w:cs="宋体"/>
          <w:color w:val="000000"/>
          <w:kern w:val="0"/>
          <w:sz w:val="24"/>
          <w:szCs w:val="24"/>
        </w:rPr>
      </w:pPr>
      <w:bookmarkStart w:id="276" w:name="_Toc351203565"/>
      <w:bookmarkStart w:id="277" w:name="_Toc381175604"/>
      <w:r>
        <w:rPr>
          <w:rFonts w:hint="eastAsia" w:ascii="宋体" w:hAnsi="宋体" w:cs="宋体"/>
          <w:color w:val="000000"/>
          <w:kern w:val="0"/>
          <w:sz w:val="24"/>
          <w:szCs w:val="24"/>
        </w:rPr>
        <w:t>9</w:t>
      </w:r>
      <w:bookmarkStart w:id="278" w:name="_Toc337558785"/>
      <w:r>
        <w:rPr>
          <w:rFonts w:hint="eastAsia" w:ascii="宋体" w:hAnsi="宋体" w:cs="宋体"/>
          <w:color w:val="000000"/>
          <w:kern w:val="0"/>
          <w:sz w:val="24"/>
          <w:szCs w:val="24"/>
        </w:rPr>
        <w:t>.3材料、工程设备和工程的试验和检验</w:t>
      </w:r>
      <w:bookmarkEnd w:id="276"/>
      <w:bookmarkEnd w:id="277"/>
    </w:p>
    <w:bookmarkEnd w:id="27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spacing w:before="0" w:after="0" w:line="360" w:lineRule="auto"/>
        <w:rPr>
          <w:rFonts w:ascii="宋体" w:hAnsi="宋体" w:cs="宋体"/>
          <w:color w:val="000000"/>
          <w:kern w:val="0"/>
          <w:sz w:val="24"/>
          <w:szCs w:val="24"/>
        </w:rPr>
      </w:pPr>
      <w:bookmarkStart w:id="279" w:name="_Toc351203566"/>
      <w:bookmarkStart w:id="280" w:name="_Toc381175605"/>
      <w:r>
        <w:rPr>
          <w:rFonts w:hint="eastAsia" w:ascii="宋体" w:hAnsi="宋体" w:cs="宋体"/>
          <w:color w:val="000000"/>
          <w:kern w:val="0"/>
          <w:sz w:val="24"/>
          <w:szCs w:val="24"/>
        </w:rPr>
        <w:t>9</w:t>
      </w:r>
      <w:bookmarkStart w:id="281" w:name="_Toc337558786"/>
      <w:r>
        <w:rPr>
          <w:rFonts w:hint="eastAsia" w:ascii="宋体" w:hAnsi="宋体" w:cs="宋体"/>
          <w:color w:val="000000"/>
          <w:kern w:val="0"/>
          <w:sz w:val="24"/>
          <w:szCs w:val="24"/>
        </w:rPr>
        <w:t>.4现场工艺试验</w:t>
      </w:r>
      <w:bookmarkEnd w:id="279"/>
      <w:bookmarkEnd w:id="280"/>
    </w:p>
    <w:bookmarkEnd w:id="28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pPr>
        <w:pStyle w:val="3"/>
        <w:spacing w:before="0" w:after="0" w:line="360" w:lineRule="auto"/>
        <w:rPr>
          <w:rFonts w:ascii="宋体" w:hAnsi="宋体" w:eastAsia="宋体" w:cs="宋体"/>
          <w:color w:val="000000"/>
          <w:kern w:val="0"/>
          <w:sz w:val="28"/>
          <w:szCs w:val="28"/>
        </w:rPr>
      </w:pPr>
      <w:bookmarkStart w:id="282" w:name="_Toc351203567"/>
      <w:bookmarkStart w:id="283" w:name="_Toc22058"/>
      <w:bookmarkStart w:id="284" w:name="_Toc6787"/>
      <w:bookmarkStart w:id="285" w:name="_Toc381175606"/>
      <w:r>
        <w:rPr>
          <w:rFonts w:hint="eastAsia" w:ascii="宋体" w:hAnsi="宋体" w:eastAsia="宋体" w:cs="宋体"/>
          <w:color w:val="000000"/>
          <w:kern w:val="0"/>
          <w:sz w:val="28"/>
          <w:szCs w:val="28"/>
        </w:rPr>
        <w:t>1</w:t>
      </w:r>
      <w:bookmarkStart w:id="286" w:name="_Toc337558787"/>
      <w:r>
        <w:rPr>
          <w:rFonts w:hint="eastAsia" w:ascii="宋体" w:hAnsi="宋体" w:eastAsia="宋体" w:cs="宋体"/>
          <w:color w:val="000000"/>
          <w:kern w:val="0"/>
          <w:sz w:val="28"/>
          <w:szCs w:val="28"/>
        </w:rPr>
        <w:t>0. 变更</w:t>
      </w:r>
      <w:bookmarkEnd w:id="268"/>
      <w:bookmarkEnd w:id="269"/>
      <w:bookmarkEnd w:id="282"/>
      <w:bookmarkEnd w:id="283"/>
      <w:bookmarkEnd w:id="284"/>
      <w:bookmarkEnd w:id="285"/>
    </w:p>
    <w:bookmarkEnd w:id="286"/>
    <w:p>
      <w:pPr>
        <w:pStyle w:val="4"/>
        <w:spacing w:before="0" w:after="0" w:line="360" w:lineRule="auto"/>
        <w:rPr>
          <w:rFonts w:ascii="宋体" w:hAnsi="宋体" w:cs="宋体"/>
          <w:color w:val="000000"/>
          <w:kern w:val="0"/>
          <w:sz w:val="24"/>
          <w:szCs w:val="24"/>
        </w:rPr>
      </w:pPr>
      <w:bookmarkStart w:id="287" w:name="_Toc381175607"/>
      <w:bookmarkStart w:id="288" w:name="_Toc351203568"/>
      <w:r>
        <w:rPr>
          <w:rFonts w:hint="eastAsia" w:ascii="宋体" w:hAnsi="宋体" w:cs="宋体"/>
          <w:color w:val="000000"/>
          <w:kern w:val="0"/>
          <w:sz w:val="24"/>
          <w:szCs w:val="24"/>
        </w:rPr>
        <w:t>1</w:t>
      </w:r>
      <w:bookmarkStart w:id="289" w:name="_Toc296503084"/>
      <w:bookmarkStart w:id="290" w:name="_Toc337558788"/>
      <w:bookmarkStart w:id="291" w:name="_Toc296346585"/>
      <w:r>
        <w:rPr>
          <w:rFonts w:hint="eastAsia" w:ascii="宋体" w:hAnsi="宋体" w:cs="宋体"/>
          <w:color w:val="000000"/>
          <w:kern w:val="0"/>
          <w:sz w:val="24"/>
          <w:szCs w:val="24"/>
        </w:rPr>
        <w:t>0.1变更的范围</w:t>
      </w:r>
      <w:bookmarkEnd w:id="287"/>
      <w:bookmarkEnd w:id="288"/>
    </w:p>
    <w:bookmarkEnd w:id="289"/>
    <w:bookmarkEnd w:id="290"/>
    <w:bookmarkEnd w:id="2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（1）增加或减少合同中任何工作，或追加额外的工作；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（2）取消合同中任何工作，但转由他人实施的工作除外；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（3）改变合同中任何工作的质量标准或其他特性；</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（4）改变工程的基线、标高、位置和尺寸；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（5）改变工程的时间安排或实施顺序。</w:t>
      </w:r>
    </w:p>
    <w:p>
      <w:pPr>
        <w:pStyle w:val="4"/>
        <w:spacing w:before="0" w:after="0" w:line="360" w:lineRule="auto"/>
        <w:rPr>
          <w:rFonts w:ascii="宋体" w:hAnsi="宋体" w:cs="宋体"/>
          <w:color w:val="000000"/>
          <w:kern w:val="0"/>
          <w:sz w:val="24"/>
          <w:szCs w:val="24"/>
        </w:rPr>
      </w:pPr>
      <w:bookmarkStart w:id="292" w:name="_Toc351203569"/>
      <w:bookmarkStart w:id="293" w:name="_Toc381175608"/>
      <w:r>
        <w:rPr>
          <w:rFonts w:hint="eastAsia" w:ascii="宋体" w:hAnsi="宋体" w:cs="宋体"/>
          <w:color w:val="000000"/>
          <w:kern w:val="0"/>
          <w:sz w:val="24"/>
          <w:szCs w:val="24"/>
        </w:rPr>
        <w:t>1</w:t>
      </w:r>
      <w:bookmarkStart w:id="294" w:name="_Toc296346586"/>
      <w:bookmarkStart w:id="295" w:name="_Toc296503085"/>
      <w:bookmarkStart w:id="296" w:name="_Toc337558789"/>
      <w:r>
        <w:rPr>
          <w:rFonts w:hint="eastAsia" w:ascii="宋体" w:hAnsi="宋体" w:cs="宋体"/>
          <w:color w:val="000000"/>
          <w:kern w:val="0"/>
          <w:sz w:val="24"/>
          <w:szCs w:val="24"/>
        </w:rPr>
        <w:t>0.2变更权</w:t>
      </w:r>
      <w:bookmarkEnd w:id="292"/>
      <w:bookmarkEnd w:id="293"/>
    </w:p>
    <w:bookmarkEnd w:id="294"/>
    <w:bookmarkEnd w:id="295"/>
    <w:bookmarkEnd w:id="2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涉及设计变更的，应由设计人提供变更后的图纸和说明。如变更超过原设计标准或批准的建设规模时，发包人应及时办理规划、设计变更等审批手续。</w:t>
      </w:r>
    </w:p>
    <w:p>
      <w:pPr>
        <w:pStyle w:val="4"/>
        <w:spacing w:before="0" w:after="0" w:line="360" w:lineRule="auto"/>
        <w:rPr>
          <w:rFonts w:ascii="宋体" w:hAnsi="宋体" w:cs="宋体"/>
          <w:color w:val="000000"/>
          <w:kern w:val="0"/>
          <w:sz w:val="24"/>
          <w:szCs w:val="24"/>
        </w:rPr>
      </w:pPr>
      <w:bookmarkStart w:id="297" w:name="_Toc351203570"/>
      <w:bookmarkStart w:id="298" w:name="_Toc381175609"/>
      <w:r>
        <w:rPr>
          <w:rFonts w:hint="eastAsia" w:ascii="宋体" w:hAnsi="宋体" w:cs="宋体"/>
          <w:color w:val="000000"/>
          <w:kern w:val="0"/>
          <w:sz w:val="24"/>
          <w:szCs w:val="24"/>
        </w:rPr>
        <w:t>1</w:t>
      </w:r>
      <w:bookmarkStart w:id="299" w:name="_Toc296346587"/>
      <w:bookmarkStart w:id="300" w:name="_Toc296503086"/>
      <w:bookmarkStart w:id="301" w:name="_Toc337558790"/>
      <w:r>
        <w:rPr>
          <w:rFonts w:hint="eastAsia" w:ascii="宋体" w:hAnsi="宋体" w:cs="宋体"/>
          <w:color w:val="000000"/>
          <w:kern w:val="0"/>
          <w:sz w:val="24"/>
          <w:szCs w:val="24"/>
        </w:rPr>
        <w:t>0.3变更程序</w:t>
      </w:r>
      <w:bookmarkEnd w:id="297"/>
      <w:bookmarkEnd w:id="298"/>
    </w:p>
    <w:bookmarkEnd w:id="299"/>
    <w:bookmarkEnd w:id="300"/>
    <w:bookmarkEnd w:id="3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.3.1 发包人提出变更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.3.2 监理人提出变更建议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10.3.3 变更执行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4"/>
        <w:spacing w:before="0" w:after="0" w:line="360" w:lineRule="auto"/>
        <w:rPr>
          <w:rFonts w:ascii="宋体" w:hAnsi="宋体" w:cs="宋体"/>
          <w:color w:val="000000"/>
          <w:kern w:val="0"/>
          <w:sz w:val="24"/>
          <w:szCs w:val="24"/>
        </w:rPr>
      </w:pPr>
      <w:bookmarkStart w:id="302" w:name="_Toc351203571"/>
      <w:bookmarkStart w:id="303" w:name="_Toc381175610"/>
      <w:r>
        <w:rPr>
          <w:rFonts w:hint="eastAsia" w:ascii="宋体" w:hAnsi="宋体" w:cs="宋体"/>
          <w:color w:val="000000"/>
          <w:kern w:val="0"/>
          <w:sz w:val="24"/>
          <w:szCs w:val="24"/>
        </w:rPr>
        <w:t>1</w:t>
      </w:r>
      <w:bookmarkStart w:id="304" w:name="_Toc296346588"/>
      <w:bookmarkStart w:id="305" w:name="_Toc296503087"/>
      <w:bookmarkStart w:id="306" w:name="_Toc337558791"/>
      <w:r>
        <w:rPr>
          <w:rFonts w:hint="eastAsia" w:ascii="宋体" w:hAnsi="宋体" w:cs="宋体"/>
          <w:color w:val="000000"/>
          <w:kern w:val="0"/>
          <w:sz w:val="24"/>
          <w:szCs w:val="24"/>
        </w:rPr>
        <w:t>0.4变更估价</w:t>
      </w:r>
      <w:bookmarkEnd w:id="302"/>
      <w:bookmarkEnd w:id="303"/>
    </w:p>
    <w:bookmarkEnd w:id="304"/>
    <w:bookmarkEnd w:id="305"/>
    <w:bookmarkEnd w:id="30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10.4.1 变更估价原则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除专用合同条款另有约定外，变更估价按照本款约定处理：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（1）已标价工程量清单或预算书有相同项目的，按照相同项目单价认定；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10.4.2 变更估价程序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因变更引起的价格调整应计入最近一期的进度款中支付。</w:t>
      </w:r>
    </w:p>
    <w:p>
      <w:pPr>
        <w:pStyle w:val="4"/>
        <w:spacing w:before="0" w:after="0" w:line="360" w:lineRule="auto"/>
        <w:rPr>
          <w:rFonts w:ascii="宋体" w:hAnsi="宋体" w:cs="宋体"/>
          <w:color w:val="000000"/>
          <w:kern w:val="0"/>
          <w:sz w:val="24"/>
          <w:szCs w:val="24"/>
        </w:rPr>
      </w:pPr>
      <w:bookmarkStart w:id="307" w:name="_Toc381175611"/>
      <w:bookmarkStart w:id="308" w:name="_Toc351203572"/>
      <w:r>
        <w:rPr>
          <w:rFonts w:hint="eastAsia" w:ascii="宋体" w:hAnsi="宋体" w:cs="宋体"/>
          <w:color w:val="000000"/>
          <w:kern w:val="0"/>
          <w:sz w:val="24"/>
          <w:szCs w:val="24"/>
        </w:rPr>
        <w:t>1</w:t>
      </w:r>
      <w:bookmarkStart w:id="309" w:name="_Toc296346595"/>
      <w:bookmarkStart w:id="310" w:name="_Toc337558792"/>
      <w:bookmarkStart w:id="311" w:name="_Toc296503094"/>
      <w:r>
        <w:rPr>
          <w:rFonts w:hint="eastAsia" w:ascii="宋体" w:hAnsi="宋体" w:cs="宋体"/>
          <w:color w:val="000000"/>
          <w:kern w:val="0"/>
          <w:sz w:val="24"/>
          <w:szCs w:val="24"/>
        </w:rPr>
        <w:t>0.5承包人的合理化建议</w:t>
      </w:r>
      <w:bookmarkEnd w:id="307"/>
      <w:bookmarkEnd w:id="308"/>
    </w:p>
    <w:bookmarkEnd w:id="309"/>
    <w:bookmarkEnd w:id="310"/>
    <w:bookmarkEnd w:id="31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合理化建议降低了合同价格或者提高了工程经济效益的，发包人可对承包人给予奖励，奖励的方法和金额在专用合同条款中约定。</w:t>
      </w:r>
    </w:p>
    <w:p>
      <w:pPr>
        <w:pStyle w:val="4"/>
        <w:spacing w:before="0" w:after="0" w:line="360" w:lineRule="auto"/>
        <w:rPr>
          <w:rFonts w:ascii="宋体" w:hAnsi="宋体" w:cs="宋体"/>
          <w:color w:val="000000"/>
          <w:kern w:val="0"/>
          <w:sz w:val="24"/>
          <w:szCs w:val="24"/>
        </w:rPr>
      </w:pPr>
      <w:bookmarkStart w:id="312" w:name="_Toc351203573"/>
      <w:bookmarkStart w:id="313" w:name="_Toc381175612"/>
      <w:r>
        <w:rPr>
          <w:rFonts w:hint="eastAsia" w:ascii="宋体" w:hAnsi="宋体" w:cs="宋体"/>
          <w:color w:val="000000"/>
          <w:kern w:val="0"/>
          <w:sz w:val="24"/>
          <w:szCs w:val="24"/>
        </w:rPr>
        <w:t>1</w:t>
      </w:r>
      <w:bookmarkStart w:id="314" w:name="_Toc337558793"/>
      <w:r>
        <w:rPr>
          <w:rFonts w:hint="eastAsia" w:ascii="宋体" w:hAnsi="宋体" w:cs="宋体"/>
          <w:color w:val="000000"/>
          <w:kern w:val="0"/>
          <w:sz w:val="24"/>
          <w:szCs w:val="24"/>
        </w:rPr>
        <w:t>0.6变更引起的工期调整</w:t>
      </w:r>
      <w:bookmarkEnd w:id="312"/>
      <w:bookmarkEnd w:id="313"/>
      <w:bookmarkEnd w:id="31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因变更引起工期变化的，合同当事人均可要求调整合同工期，由合同当事人按照第4.4款〔商定或确定〕并参考工程所在地的工期定额标准确定增减工期天数。</w:t>
      </w:r>
    </w:p>
    <w:p>
      <w:pPr>
        <w:pStyle w:val="4"/>
        <w:spacing w:before="0" w:after="0" w:line="360" w:lineRule="auto"/>
        <w:rPr>
          <w:rFonts w:ascii="宋体" w:hAnsi="宋体" w:cs="宋体"/>
          <w:color w:val="000000"/>
          <w:kern w:val="0"/>
          <w:sz w:val="24"/>
          <w:szCs w:val="24"/>
        </w:rPr>
      </w:pPr>
      <w:bookmarkStart w:id="315" w:name="_Toc381175613"/>
      <w:bookmarkStart w:id="316" w:name="_Toc351203574"/>
      <w:r>
        <w:rPr>
          <w:rFonts w:hint="eastAsia" w:ascii="宋体" w:hAnsi="宋体" w:cs="宋体"/>
          <w:color w:val="000000"/>
          <w:kern w:val="0"/>
          <w:sz w:val="24"/>
          <w:szCs w:val="24"/>
        </w:rPr>
        <w:t>10.7暂估价</w:t>
      </w:r>
      <w:bookmarkEnd w:id="315"/>
      <w:bookmarkEnd w:id="31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暂估价专业分包工程、服务、材料和工程设备的明细由合同当事人在专用合同条款中约定。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10.7.1</w:t>
      </w:r>
      <w:r>
        <w:rPr>
          <w:rFonts w:hint="eastAsia" w:ascii="宋体" w:hAnsi="宋体" w:cs="宋体"/>
          <w:color w:val="000000"/>
          <w:kern w:val="0"/>
          <w:sz w:val="24"/>
        </w:rPr>
        <w:t xml:space="preserve"> 依法必须招标的暂估价项目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对于依法必须招标的暂估价项目，采取以下第1种方式确定。合同当事人也可以在专用合同条款中选择其他招标方式。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第1种方式：对于依法必须招标的暂估价项目，由承包人招标，对该暂估价项目的确认和批准按照以下约定执行：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10.7.2</w:t>
      </w:r>
      <w:r>
        <w:rPr>
          <w:rFonts w:hint="eastAsia" w:ascii="宋体" w:hAnsi="宋体" w:cs="宋体"/>
          <w:color w:val="000000"/>
          <w:kern w:val="0"/>
          <w:sz w:val="24"/>
        </w:rPr>
        <w:t>不属于依法必须招标的暂估价项目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除专用合同条款另有约定外，对于不属于依法必须招标的暂估价项目，采取以下第1种方式确定：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第1种方式：对于不属于依法必须招标的暂估价项目，按本项约定确认和批准：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（3）承包人应当在签订暂估价合同后7天内，将暂估价合同副本报送发包人留存。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第2种方式：承包人按照第10.7.1项〔依法必须招标的暂估价项目〕约定的第1种方式确定暂估价项目。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4"/>
        <w:spacing w:before="0" w:after="0" w:line="360" w:lineRule="auto"/>
        <w:rPr>
          <w:rFonts w:ascii="宋体" w:hAnsi="宋体" w:cs="宋体"/>
          <w:color w:val="000000"/>
          <w:kern w:val="0"/>
          <w:sz w:val="24"/>
          <w:szCs w:val="24"/>
        </w:rPr>
      </w:pPr>
      <w:bookmarkStart w:id="317" w:name="_Toc381175614"/>
      <w:bookmarkStart w:id="318" w:name="_Toc351203575"/>
      <w:r>
        <w:rPr>
          <w:rFonts w:hint="eastAsia" w:ascii="宋体" w:hAnsi="宋体" w:cs="宋体"/>
          <w:color w:val="000000"/>
          <w:kern w:val="0"/>
          <w:sz w:val="24"/>
          <w:szCs w:val="24"/>
        </w:rPr>
        <w:t>1</w:t>
      </w:r>
      <w:bookmarkStart w:id="319" w:name="_Toc337558794"/>
      <w:bookmarkStart w:id="320" w:name="_Toc296503090"/>
      <w:bookmarkStart w:id="321" w:name="_Toc322522561"/>
      <w:bookmarkStart w:id="322" w:name="_Toc296346591"/>
      <w:r>
        <w:rPr>
          <w:rFonts w:hint="eastAsia" w:ascii="宋体" w:hAnsi="宋体" w:cs="宋体"/>
          <w:color w:val="000000"/>
          <w:kern w:val="0"/>
          <w:sz w:val="24"/>
          <w:szCs w:val="24"/>
        </w:rPr>
        <w:t>0.8暂列金额</w:t>
      </w:r>
      <w:bookmarkEnd w:id="317"/>
      <w:bookmarkEnd w:id="318"/>
    </w:p>
    <w:bookmarkEnd w:id="3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暂列金额应按照发包人的要求使用，发包人的要求应通过监理人发出。合同当事人可以在专用合同条款中协商确定有关事项。</w:t>
      </w:r>
    </w:p>
    <w:bookmarkEnd w:id="320"/>
    <w:bookmarkEnd w:id="321"/>
    <w:bookmarkEnd w:id="322"/>
    <w:p>
      <w:pPr>
        <w:pStyle w:val="4"/>
        <w:spacing w:before="0" w:after="0" w:line="360" w:lineRule="auto"/>
        <w:rPr>
          <w:rFonts w:ascii="宋体" w:hAnsi="宋体" w:cs="宋体"/>
          <w:color w:val="000000"/>
          <w:kern w:val="0"/>
          <w:sz w:val="24"/>
          <w:szCs w:val="24"/>
        </w:rPr>
      </w:pPr>
      <w:bookmarkStart w:id="323" w:name="_Toc351203576"/>
      <w:bookmarkStart w:id="324" w:name="_Toc381175615"/>
      <w:r>
        <w:rPr>
          <w:rFonts w:hint="eastAsia" w:ascii="宋体" w:hAnsi="宋体" w:cs="宋体"/>
          <w:color w:val="000000"/>
          <w:kern w:val="0"/>
          <w:sz w:val="24"/>
          <w:szCs w:val="24"/>
        </w:rPr>
        <w:t>1</w:t>
      </w:r>
      <w:bookmarkStart w:id="325" w:name="_Toc296346592"/>
      <w:bookmarkStart w:id="326" w:name="_Toc296503091"/>
      <w:bookmarkStart w:id="327" w:name="_Toc337558796"/>
      <w:r>
        <w:rPr>
          <w:rFonts w:hint="eastAsia" w:ascii="宋体" w:hAnsi="宋体" w:cs="宋体"/>
          <w:color w:val="000000"/>
          <w:kern w:val="0"/>
          <w:sz w:val="24"/>
          <w:szCs w:val="24"/>
        </w:rPr>
        <w:t>0.9计日工</w:t>
      </w:r>
      <w:bookmarkEnd w:id="323"/>
      <w:bookmarkEnd w:id="324"/>
      <w:bookmarkEnd w:id="325"/>
      <w:bookmarkEnd w:id="326"/>
      <w:bookmarkEnd w:id="32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采用计日工计价的任何一项工作，承包人应在该项工作实施过程中，每天提交以下报表和有关凭证报送监理人审查：</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（1）工作名称、内容和数量；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（2）投入该工作的所有人员的姓名、专业、工种、级别和耗用工时；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（3）投入该工作的材料类别和数量；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（4）投入该工作的施工设备型号、台数和耗用台时；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（5）其他有关资料和凭证。</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计日工由承包人汇总后，列入最近一期进度付款申请单，由监理人审查并经发包人批准后列入进度付款。</w:t>
      </w:r>
    </w:p>
    <w:p>
      <w:pPr>
        <w:pStyle w:val="3"/>
        <w:spacing w:before="0" w:after="0" w:line="360" w:lineRule="auto"/>
        <w:rPr>
          <w:rFonts w:ascii="宋体" w:hAnsi="宋体" w:eastAsia="宋体" w:cs="宋体"/>
          <w:color w:val="000000"/>
          <w:kern w:val="0"/>
          <w:sz w:val="28"/>
          <w:szCs w:val="28"/>
        </w:rPr>
      </w:pPr>
      <w:bookmarkStart w:id="328" w:name="_Toc28865"/>
      <w:bookmarkStart w:id="329" w:name="_Toc351203577"/>
      <w:bookmarkStart w:id="330" w:name="_Toc25878"/>
      <w:bookmarkStart w:id="331" w:name="_Toc381175616"/>
      <w:r>
        <w:rPr>
          <w:rFonts w:hint="eastAsia" w:ascii="宋体" w:hAnsi="宋体" w:eastAsia="宋体" w:cs="宋体"/>
          <w:color w:val="000000"/>
          <w:kern w:val="0"/>
          <w:sz w:val="28"/>
          <w:szCs w:val="28"/>
        </w:rPr>
        <w:t>11. 价格调整</w:t>
      </w:r>
      <w:bookmarkEnd w:id="328"/>
      <w:bookmarkEnd w:id="329"/>
      <w:bookmarkEnd w:id="330"/>
      <w:bookmarkEnd w:id="331"/>
    </w:p>
    <w:p>
      <w:pPr>
        <w:pStyle w:val="4"/>
        <w:spacing w:before="0" w:after="0" w:line="360" w:lineRule="auto"/>
        <w:rPr>
          <w:rFonts w:ascii="宋体" w:hAnsi="宋体" w:cs="宋体"/>
          <w:color w:val="000000"/>
          <w:kern w:val="0"/>
          <w:sz w:val="24"/>
          <w:szCs w:val="24"/>
        </w:rPr>
      </w:pPr>
      <w:bookmarkStart w:id="332" w:name="_Toc381175617"/>
      <w:bookmarkStart w:id="333" w:name="_Toc351203578"/>
      <w:bookmarkStart w:id="334" w:name="_Toc337558797"/>
      <w:bookmarkStart w:id="335" w:name="_Toc296503092"/>
      <w:bookmarkStart w:id="336" w:name="_Toc296346593"/>
      <w:r>
        <w:rPr>
          <w:rFonts w:hint="eastAsia" w:ascii="宋体" w:hAnsi="宋体" w:cs="宋体"/>
          <w:color w:val="000000"/>
          <w:kern w:val="0"/>
          <w:sz w:val="24"/>
          <w:szCs w:val="24"/>
        </w:rPr>
        <w:t>11.1市场价格波动引起的调整</w:t>
      </w:r>
      <w:bookmarkEnd w:id="332"/>
      <w:bookmarkEnd w:id="333"/>
    </w:p>
    <w:bookmarkEnd w:id="334"/>
    <w:bookmarkEnd w:id="335"/>
    <w:bookmarkEnd w:id="33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第1种方式：采用价格指数进行价格调整。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（1）价格调整公式</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kern w:val="0"/>
          <w:sz w:val="24"/>
        </w:rPr>
        <w:t>ΔP=P</w:t>
      </w:r>
      <w:r>
        <w:rPr>
          <w:rFonts w:hint="eastAsia" w:ascii="宋体" w:hAnsi="宋体" w:cs="宋体"/>
          <w:color w:val="000000"/>
          <w:kern w:val="0"/>
          <w:sz w:val="24"/>
          <w:vertAlign w:val="subscript"/>
        </w:rPr>
        <w:t>0</w:t>
      </w:r>
      <w:r>
        <w:rPr>
          <w:rFonts w:hint="eastAsia" w:ascii="宋体" w:hAnsi="宋体" w:cs="宋体"/>
          <w:color w:val="000000"/>
          <w:kern w:val="0"/>
          <w:sz w:val="24"/>
        </w:rPr>
        <w:t>［A+(B</w:t>
      </w:r>
      <w:r>
        <w:rPr>
          <w:rFonts w:hint="eastAsia" w:ascii="宋体" w:hAnsi="宋体" w:cs="宋体"/>
          <w:color w:val="000000"/>
          <w:kern w:val="0"/>
          <w:sz w:val="24"/>
          <w:vertAlign w:val="subscript"/>
        </w:rPr>
        <w:t>1</w:t>
      </w: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)-1］</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公式中：ΔP—需调整的价格差额；</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P</w:t>
      </w:r>
      <w:r>
        <w:rPr>
          <w:rFonts w:hint="eastAsia" w:ascii="宋体" w:hAnsi="宋体" w:cs="宋体"/>
          <w:color w:val="000000"/>
          <w:kern w:val="0"/>
          <w:sz w:val="24"/>
          <w:vertAlign w:val="subscript"/>
        </w:rPr>
        <w:t>0</w:t>
      </w:r>
      <w:r>
        <w:rPr>
          <w:rFonts w:hint="eastAsia" w:ascii="宋体" w:hAnsi="宋体" w:cs="宋体"/>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sz w:val="24"/>
        </w:rPr>
        <w:t>A—定值权重（即不调部分的权重）；</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B</w:t>
      </w:r>
      <w:r>
        <w:rPr>
          <w:rFonts w:hint="eastAsia" w:ascii="宋体" w:hAnsi="宋体" w:cs="宋体"/>
          <w:color w:val="000000"/>
          <w:kern w:val="0"/>
          <w:sz w:val="24"/>
          <w:vertAlign w:val="subscript"/>
        </w:rPr>
        <w:t>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－各</w:t>
      </w:r>
      <w:r>
        <w:rPr>
          <w:rFonts w:hint="eastAsia" w:ascii="宋体" w:hAnsi="宋体" w:cs="宋体"/>
          <w:color w:val="000000"/>
          <w:sz w:val="24"/>
        </w:rPr>
        <w:t>可调因子的变值权重（即可调部分的权重），为各可调因子在签约合同价中所占的比例；</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－各</w:t>
      </w:r>
      <w:r>
        <w:rPr>
          <w:rFonts w:hint="eastAsia" w:ascii="宋体" w:hAnsi="宋体" w:cs="宋体"/>
          <w:color w:val="000000"/>
          <w:sz w:val="24"/>
        </w:rPr>
        <w:t>可调因子的现行价格指数，指约定的付款证书相关周期最后一天的前42天的各可调因子的价格指数；</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－各</w:t>
      </w:r>
      <w:r>
        <w:rPr>
          <w:rFonts w:hint="eastAsia" w:ascii="宋体" w:hAnsi="宋体" w:cs="宋体"/>
          <w:color w:val="000000"/>
          <w:sz w:val="24"/>
        </w:rPr>
        <w:t>可调因子的基本价格指数，指基准日期的各可调因子的价格指数。</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（2）暂时确定调整差额</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（3）权重的调整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因变更导致合同约定的权重不合理时，按照第4.4款〔商定或确定〕执行。</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（4）因承包人原因工期延误后的价格调整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80" w:firstLineChars="200"/>
        <w:rPr>
          <w:rFonts w:ascii="宋体" w:hAnsi="宋体" w:cs="宋体"/>
          <w:color w:val="000000"/>
          <w:sz w:val="24"/>
        </w:rPr>
      </w:pPr>
      <w:r>
        <w:rPr>
          <w:rFonts w:hint="eastAsia" w:ascii="宋体" w:hAnsi="宋体" w:cs="宋体"/>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（2）材料、工程设备价格变化的价款调整按照发包人提供的基准价格，按以下风险范围规定执行: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ascii="宋体" w:hAnsi="宋体" w:cs="宋体"/>
          <w:color w:val="000000"/>
          <w:sz w:val="24"/>
        </w:rPr>
      </w:pPr>
      <w:r>
        <w:rPr>
          <w:rFonts w:hint="eastAsia" w:ascii="宋体" w:hAnsi="宋体" w:cs="宋体"/>
          <w:color w:val="000000"/>
          <w:sz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第3种方式：专用合同条款约定的其他方式。</w:t>
      </w:r>
    </w:p>
    <w:p>
      <w:pPr>
        <w:pStyle w:val="4"/>
        <w:spacing w:before="0" w:after="0" w:line="360" w:lineRule="auto"/>
        <w:rPr>
          <w:rFonts w:ascii="宋体" w:hAnsi="宋体" w:cs="宋体"/>
          <w:color w:val="000000"/>
          <w:kern w:val="0"/>
          <w:sz w:val="24"/>
          <w:szCs w:val="24"/>
        </w:rPr>
      </w:pPr>
      <w:bookmarkStart w:id="337" w:name="_Toc351203579"/>
      <w:bookmarkStart w:id="338" w:name="_Toc381175618"/>
      <w:bookmarkStart w:id="339" w:name="_Toc296346594"/>
      <w:bookmarkStart w:id="340" w:name="_Toc296503093"/>
      <w:bookmarkStart w:id="341" w:name="_Toc337558798"/>
      <w:r>
        <w:rPr>
          <w:rFonts w:hint="eastAsia" w:ascii="宋体" w:hAnsi="宋体" w:cs="宋体"/>
          <w:color w:val="000000"/>
          <w:kern w:val="0"/>
          <w:sz w:val="24"/>
          <w:szCs w:val="24"/>
        </w:rPr>
        <w:t>11.2法律变化引起的调整</w:t>
      </w:r>
      <w:bookmarkEnd w:id="337"/>
      <w:bookmarkEnd w:id="338"/>
    </w:p>
    <w:bookmarkEnd w:id="339"/>
    <w:bookmarkEnd w:id="340"/>
    <w:bookmarkEnd w:id="341"/>
    <w:p>
      <w:pPr>
        <w:spacing w:line="360" w:lineRule="auto"/>
        <w:ind w:firstLine="480" w:firstLineChars="200"/>
        <w:rPr>
          <w:rFonts w:ascii="宋体" w:hAnsi="宋体" w:cs="宋体"/>
          <w:color w:val="000000"/>
          <w:sz w:val="24"/>
        </w:rPr>
      </w:pPr>
      <w:r>
        <w:rPr>
          <w:rFonts w:hint="eastAsia" w:ascii="宋体" w:hAnsi="宋体" w:cs="宋体"/>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因法律变化引起的合同价格和工期调整，合同当事人无法达成一致的，由总监理工程师按第4.4款〔商定或确定〕的约定处理。</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因承包人原因造成工期延误，在工期延误期间出现法律变化的，由此增加的费用和（或）延误的工期由承包人承担。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342" w:name="_Toc14589"/>
      <w:bookmarkStart w:id="343" w:name="_Toc351203580"/>
      <w:bookmarkStart w:id="344" w:name="_Toc32202"/>
      <w:bookmarkStart w:id="345" w:name="_Toc381175619"/>
      <w:bookmarkStart w:id="346" w:name="_Toc337558799"/>
      <w:bookmarkStart w:id="347" w:name="_Toc296503096"/>
      <w:bookmarkStart w:id="348" w:name="_Toc296346597"/>
      <w:r>
        <w:rPr>
          <w:rFonts w:hint="eastAsia" w:ascii="宋体" w:hAnsi="宋体" w:eastAsia="宋体" w:cs="宋体"/>
          <w:color w:val="000000"/>
          <w:kern w:val="0"/>
          <w:sz w:val="28"/>
          <w:szCs w:val="28"/>
        </w:rPr>
        <w:t>12. 合同价格、计量与支付</w:t>
      </w:r>
      <w:bookmarkEnd w:id="342"/>
      <w:bookmarkEnd w:id="343"/>
      <w:bookmarkEnd w:id="344"/>
      <w:bookmarkEnd w:id="345"/>
    </w:p>
    <w:bookmarkEnd w:id="346"/>
    <w:p>
      <w:pPr>
        <w:pStyle w:val="4"/>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r>
        <w:rPr>
          <w:rFonts w:hint="eastAsia" w:ascii="宋体" w:hAnsi="宋体" w:cs="宋体"/>
          <w:color w:val="000000"/>
          <w:kern w:val="0"/>
          <w:sz w:val="24"/>
          <w:szCs w:val="24"/>
        </w:rPr>
        <w:t>12.1 合同价</w:t>
      </w:r>
      <w:bookmarkEnd w:id="347"/>
      <w:bookmarkEnd w:id="348"/>
      <w:r>
        <w:rPr>
          <w:rFonts w:hint="eastAsia" w:ascii="宋体" w:hAnsi="宋体" w:cs="宋体"/>
          <w:color w:val="000000"/>
          <w:kern w:val="0"/>
          <w:sz w:val="24"/>
          <w:szCs w:val="24"/>
        </w:rPr>
        <w:t>格形式</w:t>
      </w:r>
      <w:bookmarkEnd w:id="349"/>
      <w:bookmarkEnd w:id="350"/>
    </w:p>
    <w:bookmarkEnd w:id="35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发包人和承包人应在合同协议书中选择下列一种合同价格形式：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单价合同是指合同当事人约定以工程量清单及其综合单价进行合同价格计算、调整和确认的建设工程施工合同，</w:t>
      </w:r>
      <w:r>
        <w:rPr>
          <w:rFonts w:hint="eastAsia" w:ascii="宋体" w:hAnsi="宋体" w:cs="宋体"/>
          <w:color w:val="000000"/>
          <w:sz w:val="24"/>
        </w:rPr>
        <w:t>在约定的范围内合同单价不作调整</w:t>
      </w:r>
      <w:r>
        <w:rPr>
          <w:rFonts w:hint="eastAsia" w:ascii="宋体" w:hAnsi="宋体" w:cs="宋体"/>
          <w:color w:val="000000"/>
          <w:kern w:val="0"/>
          <w:sz w:val="24"/>
        </w:rPr>
        <w:t>。合同当事人应在专用合同条款中约定综合单价包含的风险范围和风险费用的计算方法</w:t>
      </w:r>
      <w:r>
        <w:rPr>
          <w:rFonts w:hint="eastAsia" w:ascii="宋体" w:hAnsi="宋体" w:cs="宋体"/>
          <w:color w:val="000000"/>
          <w:sz w:val="24"/>
        </w:rPr>
        <w:t>，</w:t>
      </w:r>
      <w:r>
        <w:rPr>
          <w:rFonts w:hint="eastAsia" w:ascii="宋体" w:hAnsi="宋体" w:cs="宋体"/>
          <w:color w:val="000000"/>
          <w:kern w:val="0"/>
          <w:sz w:val="24"/>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总价合同是指合同当事人约定以施工图、已标价工程量清单或预算书及有关条件进行合同价格计算、调整和确认的建设工程施工合同，</w:t>
      </w:r>
      <w:r>
        <w:rPr>
          <w:rFonts w:hint="eastAsia" w:ascii="宋体" w:hAnsi="宋体" w:cs="宋体"/>
          <w:color w:val="000000"/>
          <w:sz w:val="24"/>
        </w:rPr>
        <w:t>在约定的范围内合同总价不作调整</w:t>
      </w:r>
      <w:r>
        <w:rPr>
          <w:rFonts w:hint="eastAsia" w:ascii="宋体" w:hAnsi="宋体" w:cs="宋体"/>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3、其它价格形式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合同当事人可在专用合同条款中约定其他合同价格形式。</w:t>
      </w:r>
    </w:p>
    <w:p>
      <w:pPr>
        <w:pStyle w:val="4"/>
        <w:spacing w:before="0" w:after="0" w:line="360" w:lineRule="auto"/>
        <w:rPr>
          <w:rFonts w:ascii="宋体" w:hAnsi="宋体" w:cs="宋体"/>
          <w:color w:val="000000"/>
          <w:kern w:val="0"/>
          <w:sz w:val="24"/>
          <w:szCs w:val="24"/>
        </w:rPr>
      </w:pPr>
      <w:bookmarkStart w:id="352" w:name="_Toc296346598"/>
      <w:bookmarkStart w:id="353" w:name="_Toc296503097"/>
      <w:bookmarkStart w:id="354" w:name="_Toc381175621"/>
      <w:bookmarkStart w:id="355" w:name="_Toc351203582"/>
      <w:bookmarkStart w:id="356" w:name="_Toc337558801"/>
      <w:r>
        <w:rPr>
          <w:rFonts w:hint="eastAsia" w:ascii="宋体" w:hAnsi="宋体" w:cs="宋体"/>
          <w:color w:val="000000"/>
          <w:kern w:val="0"/>
          <w:sz w:val="24"/>
          <w:szCs w:val="24"/>
        </w:rPr>
        <w:t>12.2预</w:t>
      </w:r>
      <w:bookmarkEnd w:id="352"/>
      <w:bookmarkEnd w:id="353"/>
      <w:bookmarkStart w:id="357" w:name="_Toc296346601"/>
      <w:bookmarkStart w:id="358" w:name="_Toc296503100"/>
      <w:r>
        <w:rPr>
          <w:rFonts w:hint="eastAsia" w:ascii="宋体" w:hAnsi="宋体" w:cs="宋体"/>
          <w:color w:val="000000"/>
          <w:kern w:val="0"/>
          <w:sz w:val="24"/>
          <w:szCs w:val="24"/>
        </w:rPr>
        <w:t>付款</w:t>
      </w:r>
      <w:bookmarkEnd w:id="354"/>
      <w:bookmarkEnd w:id="355"/>
    </w:p>
    <w:bookmarkEnd w:id="356"/>
    <w:bookmarkEnd w:id="357"/>
    <w:bookmarkEnd w:id="358"/>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12.2.</w:t>
      </w:r>
      <w:r>
        <w:rPr>
          <w:rFonts w:hint="eastAsia" w:ascii="宋体" w:hAnsi="宋体" w:cs="宋体"/>
          <w:color w:val="000000"/>
          <w:kern w:val="0"/>
          <w:sz w:val="24"/>
        </w:rPr>
        <w:t>1预付款的支付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除专用合同条款另有约定外，预付款在进度付款中同比例扣回。在颁发工程接收证书前，提前解除合同的，尚未扣完的预付款应与合同价款一并结算。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发包人在工程款中逐期扣回预付款后，预付款担保额度应相应减少，但剩余的预付款担保金额不得低于未被扣回的预付款金额。</w:t>
      </w:r>
    </w:p>
    <w:p>
      <w:pPr>
        <w:pStyle w:val="4"/>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hint="eastAsia" w:ascii="宋体" w:hAnsi="宋体" w:cs="宋体"/>
          <w:color w:val="000000"/>
          <w:kern w:val="0"/>
          <w:sz w:val="24"/>
          <w:szCs w:val="24"/>
        </w:rPr>
        <w:t>12.3计量</w:t>
      </w:r>
      <w:bookmarkEnd w:id="359"/>
      <w:bookmarkEnd w:id="360"/>
    </w:p>
    <w:bookmarkEnd w:id="36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12.3.1 计量原则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12.3.2 计量周期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除专用合同条款另有约定外，工程量的计量按月进行。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12.3.3 单价合同的计量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除专用合同条款另有约定外，单价合同的计量按照本项约定执行：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12.3.4 总价合同的计量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除专用合同条款另有约定外，按月计量支付的总价合同，按照本项约定执行：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12.3.5 总价合同采用支付分解表计量支付的，可以按照第12.3.4项〔总价合同的计量〕约定进行计量，但合同价款按照支付分解表进行支付。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12.3.6 其他价格形式合同的计量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合同当事人可在专用合同条款中约定其他价格形式合同的计量方式和程序。</w:t>
      </w:r>
    </w:p>
    <w:p>
      <w:pPr>
        <w:pStyle w:val="4"/>
        <w:spacing w:before="0" w:after="0" w:line="360" w:lineRule="auto"/>
        <w:rPr>
          <w:rFonts w:ascii="宋体" w:hAnsi="宋体" w:cs="宋体"/>
          <w:color w:val="000000"/>
          <w:kern w:val="0"/>
          <w:sz w:val="24"/>
          <w:szCs w:val="24"/>
        </w:rPr>
      </w:pPr>
      <w:bookmarkStart w:id="362" w:name="_Toc296503101"/>
      <w:bookmarkStart w:id="363" w:name="_Toc296346602"/>
      <w:bookmarkStart w:id="364" w:name="_Toc351203584"/>
      <w:bookmarkStart w:id="365" w:name="_Toc381175623"/>
      <w:bookmarkStart w:id="366" w:name="_Toc337558803"/>
      <w:r>
        <w:rPr>
          <w:rFonts w:hint="eastAsia" w:ascii="宋体" w:hAnsi="宋体" w:cs="宋体"/>
          <w:color w:val="000000"/>
          <w:kern w:val="0"/>
          <w:sz w:val="24"/>
          <w:szCs w:val="24"/>
        </w:rPr>
        <w:t>12.4工程进度款支</w:t>
      </w:r>
      <w:bookmarkEnd w:id="362"/>
      <w:bookmarkEnd w:id="363"/>
      <w:r>
        <w:rPr>
          <w:rFonts w:hint="eastAsia" w:ascii="宋体" w:hAnsi="宋体" w:cs="宋体"/>
          <w:color w:val="000000"/>
          <w:kern w:val="0"/>
          <w:sz w:val="24"/>
          <w:szCs w:val="24"/>
        </w:rPr>
        <w:t>付</w:t>
      </w:r>
      <w:bookmarkEnd w:id="364"/>
      <w:bookmarkEnd w:id="365"/>
    </w:p>
    <w:bookmarkEnd w:id="36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.1 付款周期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除专用合同条款另有约定外，付款周期应按照第12.3.2项〔计量周期〕的约定与计量周期保持一致。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.2 进度付款申请单的编制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除专用合同条款另有约定外，进度付款申请单应包括下列内容：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（1）截至本次付款周期已完成工作对应的金额；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（2）根据第10条〔变更〕应增加和扣减的变更金额；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（3）根据第12.2款〔预付款〕约定应支付的预付款和扣减的返还预付款；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（4）根据第15.3款〔质量保证金〕约定应扣减的质量保证金；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（5）根据第19条〔索赔〕应增加和扣减的索赔金额；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（7）根据合同约定应增加和扣减的其他金额。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12.4.3 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（3）其他价格形式合同的进度付款申请单的提交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.4 进度款审核和支付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12.4.5 进度付款的修正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12.4.6 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1、支付分解表的编制要求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（1）支付分解表中所列的每期付款金额，应为第12.4.2项〔进度付款申请单的编制〕第（1）目的估算金额；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（2）实际进度与施工进度计划不一致的，合同当事人可按照第4.4款〔商定或确定〕修改支付分解表；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（3）不采用支付分解表的，承包人应向发包人和监理人提交按季度编制的支付估算分解表，用于支付参考。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（3）发包人逾期未完成支付分解表审批的，也未及时要求承包人进行修正和提供补充资料的，则承包人提交的支付分解表视为已经获得发包人批准。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3、单价合同的总价项目支付分解表的编制与审批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4"/>
        <w:spacing w:before="0" w:after="0" w:line="360" w:lineRule="auto"/>
        <w:rPr>
          <w:rFonts w:ascii="宋体" w:hAnsi="宋体" w:cs="宋体"/>
          <w:color w:val="000000"/>
          <w:kern w:val="0"/>
          <w:sz w:val="24"/>
          <w:szCs w:val="24"/>
        </w:rPr>
      </w:pPr>
      <w:bookmarkStart w:id="367" w:name="_Toc381175624"/>
      <w:bookmarkStart w:id="368" w:name="_Toc351203585"/>
      <w:r>
        <w:rPr>
          <w:rFonts w:hint="eastAsia" w:ascii="宋体" w:hAnsi="宋体" w:cs="宋体"/>
          <w:color w:val="000000"/>
          <w:kern w:val="0"/>
          <w:sz w:val="24"/>
          <w:szCs w:val="24"/>
        </w:rPr>
        <w:t>12.5支付账户</w:t>
      </w:r>
      <w:bookmarkEnd w:id="367"/>
      <w:bookmarkEnd w:id="3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发包人应将合同价款支付至合同协议书中约定的承包人账户。</w:t>
      </w:r>
    </w:p>
    <w:p>
      <w:pPr>
        <w:pStyle w:val="3"/>
        <w:spacing w:before="0" w:after="0" w:line="360" w:lineRule="auto"/>
        <w:rPr>
          <w:rFonts w:ascii="宋体" w:hAnsi="宋体" w:eastAsia="宋体" w:cs="宋体"/>
          <w:color w:val="000000"/>
          <w:kern w:val="0"/>
          <w:sz w:val="28"/>
          <w:szCs w:val="28"/>
        </w:rPr>
      </w:pPr>
      <w:bookmarkStart w:id="369" w:name="_Toc351203586"/>
      <w:bookmarkStart w:id="370" w:name="_Toc10929"/>
      <w:bookmarkStart w:id="371" w:name="_Toc1297"/>
      <w:bookmarkStart w:id="372" w:name="_Toc381175625"/>
      <w:bookmarkStart w:id="373" w:name="_Toc296503106"/>
      <w:bookmarkStart w:id="374" w:name="_Toc322522574"/>
      <w:bookmarkStart w:id="375" w:name="_Toc296346607"/>
      <w:bookmarkStart w:id="376" w:name="_Toc337558804"/>
      <w:r>
        <w:rPr>
          <w:rFonts w:hint="eastAsia" w:ascii="宋体" w:hAnsi="宋体" w:eastAsia="宋体" w:cs="宋体"/>
          <w:color w:val="000000"/>
          <w:kern w:val="0"/>
          <w:sz w:val="28"/>
          <w:szCs w:val="28"/>
        </w:rPr>
        <w:t>13. 验收和工程试车</w:t>
      </w:r>
      <w:bookmarkEnd w:id="369"/>
      <w:bookmarkEnd w:id="370"/>
      <w:bookmarkEnd w:id="371"/>
      <w:bookmarkEnd w:id="372"/>
    </w:p>
    <w:bookmarkEnd w:id="373"/>
    <w:bookmarkEnd w:id="374"/>
    <w:bookmarkEnd w:id="375"/>
    <w:bookmarkEnd w:id="376"/>
    <w:p>
      <w:pPr>
        <w:pStyle w:val="4"/>
        <w:spacing w:before="0" w:after="0" w:line="360" w:lineRule="auto"/>
        <w:rPr>
          <w:rFonts w:ascii="宋体" w:hAnsi="宋体" w:cs="宋体"/>
          <w:color w:val="000000"/>
          <w:kern w:val="0"/>
          <w:sz w:val="24"/>
          <w:szCs w:val="24"/>
        </w:rPr>
      </w:pPr>
      <w:bookmarkStart w:id="377" w:name="_Toc381175626"/>
      <w:bookmarkStart w:id="378" w:name="_Toc351203587"/>
      <w:bookmarkStart w:id="379" w:name="_Toc337558805"/>
      <w:bookmarkStart w:id="380" w:name="_Toc296503110"/>
      <w:bookmarkStart w:id="381" w:name="_Toc296346611"/>
      <w:r>
        <w:rPr>
          <w:rFonts w:hint="eastAsia" w:ascii="宋体" w:hAnsi="宋体" w:cs="宋体"/>
          <w:color w:val="000000"/>
          <w:kern w:val="0"/>
          <w:sz w:val="24"/>
          <w:szCs w:val="24"/>
        </w:rPr>
        <w:t>13.1分部分项工程验收</w:t>
      </w:r>
      <w:bookmarkEnd w:id="377"/>
      <w:bookmarkEnd w:id="378"/>
    </w:p>
    <w:bookmarkEnd w:id="379"/>
    <w:p>
      <w:pPr>
        <w:spacing w:line="360" w:lineRule="auto"/>
        <w:ind w:firstLine="480" w:firstLineChars="200"/>
        <w:rPr>
          <w:rFonts w:ascii="宋体" w:hAnsi="宋体" w:cs="宋体"/>
          <w:color w:val="000000"/>
          <w:sz w:val="24"/>
        </w:rPr>
      </w:pPr>
      <w:r>
        <w:rPr>
          <w:rFonts w:hint="eastAsia" w:ascii="宋体" w:hAnsi="宋体" w:cs="宋体"/>
          <w:color w:val="000000"/>
          <w:sz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13.1.2 除专用合同条款另有约定外，分部分项工程经承包人自检合格并具备验收条件的，承包人应提前48小时通知监理人进行验收。</w:t>
      </w:r>
      <w:r>
        <w:rPr>
          <w:rFonts w:hint="eastAsia" w:ascii="宋体" w:hAnsi="宋体" w:cs="宋体"/>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000000"/>
          <w:sz w:val="24"/>
        </w:rPr>
        <w:t>分部分项工程未经验收的，不得进入下一道工序施工。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分部分项工程的验收资料应当作为竣工资料的组成部分。</w:t>
      </w:r>
    </w:p>
    <w:p>
      <w:pPr>
        <w:pStyle w:val="4"/>
        <w:spacing w:before="0" w:after="0" w:line="360" w:lineRule="auto"/>
        <w:rPr>
          <w:rFonts w:ascii="宋体" w:hAnsi="宋体" w:cs="宋体"/>
          <w:color w:val="000000"/>
          <w:kern w:val="0"/>
          <w:sz w:val="24"/>
          <w:szCs w:val="24"/>
        </w:rPr>
      </w:pPr>
      <w:bookmarkStart w:id="382" w:name="_Toc351203588"/>
      <w:bookmarkStart w:id="383" w:name="_Toc381175627"/>
      <w:bookmarkStart w:id="384" w:name="_Toc337558806"/>
      <w:r>
        <w:rPr>
          <w:rFonts w:hint="eastAsia" w:ascii="宋体" w:hAnsi="宋体" w:cs="宋体"/>
          <w:color w:val="000000"/>
          <w:kern w:val="0"/>
          <w:sz w:val="24"/>
          <w:szCs w:val="24"/>
        </w:rPr>
        <w:t>13.2竣工验收</w:t>
      </w:r>
      <w:bookmarkEnd w:id="382"/>
      <w:bookmarkEnd w:id="383"/>
    </w:p>
    <w:bookmarkEnd w:id="380"/>
    <w:bookmarkEnd w:id="381"/>
    <w:bookmarkEnd w:id="3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13.2.1竣工验收条件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工程具备以下条件的，承包人可以申请竣工验收：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（1）除发包人同意的甩项工作和缺陷修补工作外，合同范围内的全部工程以及有关工作，包括合同要求的试验、试运行以及检验均已完成，并符合合同要求；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（2）已按合同约定编制了甩项工作和缺陷修补工作清单以及相应的施工计划；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（3）已按合同约定的内容和份数备齐竣工资料。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13.2.2竣工验收程序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除专用合同条款另有约定外，承包人申请竣工验收的，应当按照以下程序进行：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13.2.3竣工日期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hint="eastAsia" w:ascii="宋体" w:hAnsi="宋体" w:cs="宋体"/>
          <w:color w:val="000000"/>
          <w:kern w:val="0"/>
          <w:sz w:val="24"/>
        </w:rPr>
        <w:t>收申请报告的日期为实际竣工日期；工程未经竣工验收，发包人擅自使用的，以转移占有工程之日为实际竣工日期。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13.2.4 拒绝接收全部或部分工程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13.2.5 移交、接收全部与部分工程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除专用合同条款另有约定外，合同当事人应当在颁发工程接收证书后7天内完成工程的移交。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pPr>
        <w:pStyle w:val="4"/>
        <w:spacing w:before="0" w:after="0" w:line="360" w:lineRule="auto"/>
        <w:rPr>
          <w:rFonts w:ascii="宋体" w:hAnsi="宋体" w:cs="宋体"/>
          <w:color w:val="000000"/>
          <w:kern w:val="0"/>
          <w:sz w:val="24"/>
          <w:szCs w:val="24"/>
        </w:rPr>
      </w:pPr>
      <w:bookmarkStart w:id="386" w:name="_Toc381175628"/>
      <w:bookmarkStart w:id="387" w:name="_Toc351203589"/>
      <w:bookmarkStart w:id="388" w:name="_Toc337558807"/>
      <w:bookmarkStart w:id="389" w:name="_Toc296503111"/>
      <w:bookmarkStart w:id="390" w:name="_Toc296346612"/>
      <w:r>
        <w:rPr>
          <w:rFonts w:hint="eastAsia" w:ascii="宋体" w:hAnsi="宋体" w:cs="宋体"/>
          <w:color w:val="000000"/>
          <w:kern w:val="0"/>
          <w:sz w:val="24"/>
          <w:szCs w:val="24"/>
        </w:rPr>
        <w:t>13.3工程试车</w:t>
      </w:r>
      <w:bookmarkEnd w:id="386"/>
      <w:bookmarkEnd w:id="387"/>
    </w:p>
    <w:bookmarkEnd w:id="388"/>
    <w:bookmarkEnd w:id="389"/>
    <w:bookmarkEnd w:id="39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13.3.1试车程序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13.3.2 试车中的责任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4"/>
        <w:spacing w:before="0" w:after="0" w:line="360" w:lineRule="auto"/>
        <w:rPr>
          <w:rFonts w:ascii="宋体" w:hAnsi="宋体" w:cs="宋体"/>
          <w:color w:val="000000"/>
          <w:kern w:val="0"/>
          <w:sz w:val="24"/>
          <w:szCs w:val="24"/>
        </w:rPr>
      </w:pPr>
      <w:bookmarkStart w:id="391" w:name="_Toc351203590"/>
      <w:bookmarkStart w:id="392" w:name="_Toc381175629"/>
      <w:bookmarkStart w:id="393" w:name="_Toc337558808"/>
      <w:r>
        <w:rPr>
          <w:rFonts w:hint="eastAsia" w:ascii="宋体" w:hAnsi="宋体" w:cs="宋体"/>
          <w:color w:val="000000"/>
          <w:kern w:val="0"/>
          <w:sz w:val="24"/>
          <w:szCs w:val="24"/>
        </w:rPr>
        <w:t>13.4提前交付单位工程的验收</w:t>
      </w:r>
      <w:bookmarkEnd w:id="391"/>
      <w:bookmarkEnd w:id="392"/>
    </w:p>
    <w:bookmarkEnd w:id="39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13.4.2 发包人要求在工程竣工前交付单位工程，由此导致承包人费用增加和（或）工期延误的，由发包人承担由此增加的费用和（或）延误的工期，并支付承包人合理的利润。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394" w:name="_Toc351203591"/>
      <w:bookmarkStart w:id="395" w:name="_Toc381175630"/>
      <w:r>
        <w:rPr>
          <w:rFonts w:hint="eastAsia" w:ascii="宋体" w:hAnsi="宋体" w:cs="宋体"/>
          <w:color w:val="000000"/>
          <w:kern w:val="0"/>
          <w:sz w:val="24"/>
          <w:szCs w:val="24"/>
        </w:rPr>
        <w:t>13.5 施工期运行</w:t>
      </w:r>
      <w:bookmarkEnd w:id="394"/>
      <w:bookmarkEnd w:id="3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13.5.2 在施工期运行中发现工程或工程设备损坏或存在缺陷的，由承包人按第15.2款〔缺陷责任期〕约定进行修复。</w:t>
      </w:r>
    </w:p>
    <w:p>
      <w:pPr>
        <w:pStyle w:val="4"/>
        <w:spacing w:before="0" w:after="0" w:line="360" w:lineRule="auto"/>
        <w:rPr>
          <w:rFonts w:ascii="宋体" w:hAnsi="宋体" w:cs="宋体"/>
          <w:color w:val="000000"/>
          <w:kern w:val="0"/>
          <w:sz w:val="24"/>
          <w:szCs w:val="24"/>
        </w:rPr>
      </w:pPr>
      <w:bookmarkStart w:id="396" w:name="_Toc296346613"/>
      <w:bookmarkStart w:id="397" w:name="_Toc296503112"/>
      <w:bookmarkStart w:id="398" w:name="_Toc381175631"/>
      <w:bookmarkStart w:id="399" w:name="_Toc351203592"/>
      <w:bookmarkStart w:id="400" w:name="_Toc337558809"/>
      <w:r>
        <w:rPr>
          <w:rFonts w:hint="eastAsia" w:ascii="宋体" w:hAnsi="宋体" w:cs="宋体"/>
          <w:color w:val="000000"/>
          <w:kern w:val="0"/>
          <w:sz w:val="24"/>
          <w:szCs w:val="24"/>
        </w:rPr>
        <w:t>13.6 竣工退</w:t>
      </w:r>
      <w:bookmarkEnd w:id="396"/>
      <w:bookmarkEnd w:id="397"/>
      <w:r>
        <w:rPr>
          <w:rFonts w:hint="eastAsia" w:ascii="宋体" w:hAnsi="宋体" w:cs="宋体"/>
          <w:color w:val="000000"/>
          <w:kern w:val="0"/>
          <w:sz w:val="24"/>
          <w:szCs w:val="24"/>
        </w:rPr>
        <w:t>场</w:t>
      </w:r>
      <w:bookmarkEnd w:id="398"/>
      <w:bookmarkEnd w:id="399"/>
    </w:p>
    <w:bookmarkEnd w:id="40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颁发工程接收证书后，承包人应按以下要求对施工现场进行清理：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（1）施工现场内残留的垃圾已全部清除出场；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（2）临时工程已拆除，场地已进行清理、平整或复原；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（3）按合同约定应撤离的人员、承包人施工设备和剩余的材料，包括废弃的施工设备和材料，已按计划撤离施工现场；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（4）施工现场周边及其附近道路、河道的施工堆积物，已全部清理；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（5）施工现场其他场地清理工作已全部完成。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13.6.2 地表还原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3"/>
        <w:spacing w:before="0" w:after="0" w:line="360" w:lineRule="auto"/>
        <w:rPr>
          <w:rFonts w:ascii="宋体" w:hAnsi="宋体" w:eastAsia="宋体" w:cs="宋体"/>
          <w:color w:val="000000"/>
          <w:kern w:val="0"/>
          <w:sz w:val="28"/>
          <w:szCs w:val="28"/>
        </w:rPr>
      </w:pPr>
      <w:bookmarkStart w:id="401" w:name="_Toc351203593"/>
      <w:bookmarkStart w:id="402" w:name="_Toc32519"/>
      <w:bookmarkStart w:id="403" w:name="_Toc2819"/>
      <w:bookmarkStart w:id="404" w:name="_Toc381175632"/>
      <w:bookmarkStart w:id="405" w:name="_Toc337558810"/>
      <w:bookmarkStart w:id="406" w:name="_Toc296503113"/>
      <w:bookmarkStart w:id="407" w:name="_Toc296346614"/>
      <w:r>
        <w:rPr>
          <w:rFonts w:hint="eastAsia" w:ascii="宋体" w:hAnsi="宋体" w:eastAsia="宋体" w:cs="宋体"/>
          <w:color w:val="000000"/>
          <w:kern w:val="0"/>
          <w:sz w:val="28"/>
          <w:szCs w:val="28"/>
        </w:rPr>
        <w:t>14. 竣工结算</w:t>
      </w:r>
      <w:bookmarkEnd w:id="401"/>
      <w:bookmarkEnd w:id="402"/>
      <w:bookmarkEnd w:id="403"/>
      <w:bookmarkEnd w:id="404"/>
    </w:p>
    <w:bookmarkEnd w:id="405"/>
    <w:p>
      <w:pPr>
        <w:pStyle w:val="4"/>
        <w:spacing w:before="0" w:after="0" w:line="360" w:lineRule="auto"/>
        <w:rPr>
          <w:rFonts w:ascii="宋体" w:hAnsi="宋体" w:cs="宋体"/>
          <w:color w:val="000000"/>
          <w:kern w:val="0"/>
          <w:sz w:val="24"/>
          <w:szCs w:val="24"/>
        </w:rPr>
      </w:pPr>
      <w:bookmarkStart w:id="408" w:name="_Toc381175633"/>
      <w:bookmarkStart w:id="409" w:name="_Toc351203594"/>
      <w:bookmarkStart w:id="410" w:name="_Toc337558811"/>
      <w:r>
        <w:rPr>
          <w:rFonts w:hint="eastAsia" w:ascii="宋体" w:hAnsi="宋体" w:cs="宋体"/>
          <w:color w:val="000000"/>
          <w:kern w:val="0"/>
          <w:sz w:val="24"/>
          <w:szCs w:val="24"/>
        </w:rPr>
        <w:t>14.1 竣工结算申请</w:t>
      </w:r>
      <w:bookmarkEnd w:id="408"/>
      <w:bookmarkEnd w:id="409"/>
    </w:p>
    <w:bookmarkEnd w:id="410"/>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除专用合同条款另有约定外，</w:t>
      </w:r>
      <w:r>
        <w:rPr>
          <w:rFonts w:hint="eastAsia" w:ascii="宋体" w:hAnsi="宋体" w:cs="宋体"/>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除专用合同条款另有约定外，竣工结算申请单应包括以下内容：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（1）竣工结算合同价格；</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（2）发包人已支付承包人的款项；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（3）应扣留的质量保证金；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（4）发包人应支付承包人的合同价款。</w:t>
      </w:r>
    </w:p>
    <w:p>
      <w:pPr>
        <w:pStyle w:val="4"/>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hint="eastAsia" w:ascii="宋体" w:hAnsi="宋体" w:cs="宋体"/>
          <w:color w:val="000000"/>
          <w:kern w:val="0"/>
          <w:sz w:val="24"/>
          <w:szCs w:val="24"/>
        </w:rPr>
        <w:t>14.2 竣工结算审核</w:t>
      </w:r>
      <w:bookmarkEnd w:id="411"/>
      <w:bookmarkEnd w:id="412"/>
    </w:p>
    <w:bookmarkEnd w:id="41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000000"/>
          <w:sz w:val="24"/>
        </w:rPr>
        <w:t>发包人对竣工</w:t>
      </w:r>
      <w:r>
        <w:rPr>
          <w:rFonts w:hint="eastAsia" w:ascii="宋体" w:hAnsi="宋体" w:cs="宋体"/>
          <w:color w:val="000000"/>
          <w:kern w:val="0"/>
          <w:sz w:val="24"/>
        </w:rPr>
        <w:t>结算</w:t>
      </w:r>
      <w:r>
        <w:rPr>
          <w:rFonts w:hint="eastAsia" w:ascii="宋体" w:hAnsi="宋体" w:cs="宋体"/>
          <w:color w:val="000000"/>
          <w:sz w:val="24"/>
        </w:rPr>
        <w:t>申请单有异议的，有权要求承包人进行修正和提供补充资料，承包人应提交修正后的竣工</w:t>
      </w:r>
      <w:r>
        <w:rPr>
          <w:rFonts w:hint="eastAsia" w:ascii="宋体" w:hAnsi="宋体" w:cs="宋体"/>
          <w:color w:val="000000"/>
          <w:kern w:val="0"/>
          <w:sz w:val="24"/>
        </w:rPr>
        <w:t>结算</w:t>
      </w:r>
      <w:r>
        <w:rPr>
          <w:rFonts w:hint="eastAsia" w:ascii="宋体" w:hAnsi="宋体" w:cs="宋体"/>
          <w:color w:val="000000"/>
          <w:sz w:val="24"/>
        </w:rPr>
        <w:t>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4"/>
        <w:spacing w:before="0" w:after="0" w:line="360" w:lineRule="auto"/>
        <w:rPr>
          <w:rFonts w:ascii="宋体" w:hAnsi="宋体" w:cs="宋体"/>
          <w:color w:val="000000"/>
          <w:kern w:val="0"/>
          <w:sz w:val="24"/>
          <w:szCs w:val="24"/>
        </w:rPr>
      </w:pPr>
      <w:bookmarkStart w:id="414" w:name="_Toc381175635"/>
      <w:bookmarkStart w:id="415" w:name="_Toc351203596"/>
      <w:bookmarkStart w:id="416" w:name="_Toc337558813"/>
      <w:r>
        <w:rPr>
          <w:rFonts w:hint="eastAsia" w:ascii="宋体" w:hAnsi="宋体" w:cs="宋体"/>
          <w:color w:val="000000"/>
          <w:kern w:val="0"/>
          <w:sz w:val="24"/>
          <w:szCs w:val="24"/>
        </w:rPr>
        <w:t>14.3 甩项竣工协议</w:t>
      </w:r>
      <w:bookmarkEnd w:id="414"/>
      <w:bookmarkEnd w:id="415"/>
    </w:p>
    <w:bookmarkEnd w:id="416"/>
    <w:p>
      <w:pPr>
        <w:autoSpaceDE w:val="0"/>
        <w:autoSpaceDN w:val="0"/>
        <w:adjustRightInd w:val="0"/>
        <w:spacing w:line="360" w:lineRule="auto"/>
        <w:ind w:firstLine="470" w:firstLineChars="196"/>
        <w:jc w:val="left"/>
        <w:rPr>
          <w:rFonts w:ascii="宋体" w:hAnsi="宋体" w:cs="宋体"/>
          <w:color w:val="000000"/>
          <w:kern w:val="0"/>
          <w:sz w:val="24"/>
        </w:rPr>
      </w:pPr>
      <w:r>
        <w:rPr>
          <w:rFonts w:hint="eastAsia" w:ascii="宋体" w:hAnsi="宋体" w:cs="宋体"/>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4"/>
        <w:spacing w:before="0" w:after="0" w:line="360" w:lineRule="auto"/>
        <w:rPr>
          <w:rFonts w:ascii="宋体" w:hAnsi="宋体" w:cs="宋体"/>
          <w:color w:val="000000"/>
          <w:kern w:val="0"/>
          <w:sz w:val="24"/>
          <w:szCs w:val="24"/>
        </w:rPr>
      </w:pPr>
      <w:bookmarkStart w:id="417" w:name="_Toc351203597"/>
      <w:bookmarkStart w:id="418" w:name="_Toc381175636"/>
      <w:bookmarkStart w:id="419" w:name="_Toc337558814"/>
      <w:r>
        <w:rPr>
          <w:rFonts w:hint="eastAsia" w:ascii="宋体" w:hAnsi="宋体" w:cs="宋体"/>
          <w:color w:val="000000"/>
          <w:kern w:val="0"/>
          <w:sz w:val="24"/>
          <w:szCs w:val="24"/>
        </w:rPr>
        <w:t>14.4 最终结清</w:t>
      </w:r>
      <w:bookmarkEnd w:id="417"/>
      <w:bookmarkEnd w:id="418"/>
    </w:p>
    <w:bookmarkEnd w:id="4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w:t>
      </w:r>
      <w:r>
        <w:rPr>
          <w:rFonts w:hint="eastAsia" w:ascii="宋体" w:hAnsi="宋体" w:cs="宋体"/>
          <w:color w:val="000000"/>
          <w:kern w:val="0"/>
          <w:sz w:val="24"/>
        </w:rPr>
        <w:t>最终结清申请单</w:t>
      </w:r>
      <w:r>
        <w:rPr>
          <w:rFonts w:hint="eastAsia" w:ascii="宋体" w:hAnsi="宋体" w:cs="宋体"/>
          <w:color w:val="000000"/>
          <w:sz w:val="24"/>
        </w:rPr>
        <w:t>应列明质量保证金、应扣除的质量保证金、缺陷责任期内发生的增减费用。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14.4.2 最终结清证书和支付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（3）承包人对发包人颁发的最终结清证书有异议的，按第20条〔争议解决〕的约定办理。</w:t>
      </w:r>
    </w:p>
    <w:p>
      <w:pPr>
        <w:pStyle w:val="3"/>
        <w:spacing w:before="0" w:after="0" w:line="360" w:lineRule="auto"/>
        <w:rPr>
          <w:rFonts w:ascii="宋体" w:hAnsi="宋体" w:eastAsia="宋体" w:cs="宋体"/>
          <w:color w:val="000000"/>
          <w:kern w:val="0"/>
          <w:sz w:val="28"/>
          <w:szCs w:val="28"/>
        </w:rPr>
      </w:pPr>
      <w:bookmarkStart w:id="420" w:name="_Toc13834"/>
      <w:bookmarkStart w:id="421" w:name="_Toc381175637"/>
      <w:bookmarkStart w:id="422" w:name="_Toc351203598"/>
      <w:bookmarkStart w:id="423" w:name="_Toc11172"/>
      <w:bookmarkStart w:id="424" w:name="_Toc337558815"/>
      <w:r>
        <w:rPr>
          <w:rFonts w:hint="eastAsia" w:ascii="宋体" w:hAnsi="宋体" w:eastAsia="宋体" w:cs="宋体"/>
          <w:color w:val="000000"/>
          <w:kern w:val="0"/>
          <w:sz w:val="28"/>
          <w:szCs w:val="28"/>
        </w:rPr>
        <w:t>15. 缺陷责任与保修</w:t>
      </w:r>
      <w:bookmarkEnd w:id="420"/>
      <w:bookmarkEnd w:id="421"/>
      <w:bookmarkEnd w:id="422"/>
      <w:bookmarkEnd w:id="423"/>
    </w:p>
    <w:bookmarkEnd w:id="406"/>
    <w:bookmarkEnd w:id="407"/>
    <w:bookmarkEnd w:id="424"/>
    <w:p>
      <w:pPr>
        <w:pStyle w:val="4"/>
        <w:spacing w:before="0" w:after="0" w:line="360" w:lineRule="auto"/>
        <w:rPr>
          <w:rFonts w:ascii="宋体" w:hAnsi="宋体" w:cs="宋体"/>
          <w:color w:val="000000"/>
          <w:kern w:val="0"/>
          <w:sz w:val="24"/>
          <w:szCs w:val="24"/>
        </w:rPr>
      </w:pPr>
      <w:bookmarkStart w:id="425" w:name="_Toc381175638"/>
      <w:bookmarkStart w:id="426" w:name="_Toc351203599"/>
      <w:bookmarkStart w:id="427" w:name="_Toc337558816"/>
      <w:bookmarkStart w:id="428" w:name="_Toc296346615"/>
      <w:bookmarkStart w:id="429" w:name="_Toc296503114"/>
      <w:r>
        <w:rPr>
          <w:rFonts w:hint="eastAsia" w:ascii="宋体" w:hAnsi="宋体" w:cs="宋体"/>
          <w:color w:val="000000"/>
          <w:kern w:val="0"/>
          <w:sz w:val="24"/>
          <w:szCs w:val="24"/>
        </w:rPr>
        <w:t>15.1 工程保修的原则</w:t>
      </w:r>
      <w:bookmarkEnd w:id="425"/>
      <w:bookmarkEnd w:id="426"/>
    </w:p>
    <w:bookmarkEnd w:id="42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在工程移交发包人后，因承包人原因产生的质量缺陷，承包人应承担质量缺陷责任和保修义务。缺陷责任期届满，承包人仍应按合同约定的工程各部位保修年限承担保修义务。</w:t>
      </w:r>
    </w:p>
    <w:p>
      <w:pPr>
        <w:pStyle w:val="4"/>
        <w:spacing w:before="0" w:after="0" w:line="360" w:lineRule="auto"/>
        <w:rPr>
          <w:rFonts w:ascii="宋体" w:hAnsi="宋体" w:cs="宋体"/>
          <w:color w:val="000000"/>
          <w:kern w:val="0"/>
          <w:sz w:val="24"/>
          <w:szCs w:val="24"/>
        </w:rPr>
      </w:pPr>
      <w:bookmarkStart w:id="430" w:name="_Toc351203600"/>
      <w:bookmarkStart w:id="431" w:name="_Toc381175639"/>
      <w:bookmarkStart w:id="432" w:name="_Toc337558817"/>
      <w:r>
        <w:rPr>
          <w:rFonts w:hint="eastAsia" w:ascii="宋体" w:hAnsi="宋体" w:cs="宋体"/>
          <w:color w:val="000000"/>
          <w:kern w:val="0"/>
          <w:sz w:val="24"/>
          <w:szCs w:val="24"/>
        </w:rPr>
        <w:t>15.2 缺陷责任期</w:t>
      </w:r>
      <w:bookmarkEnd w:id="428"/>
      <w:bookmarkEnd w:id="429"/>
      <w:bookmarkEnd w:id="430"/>
      <w:bookmarkEnd w:id="431"/>
    </w:p>
    <w:bookmarkEnd w:id="4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15.2.1 缺陷责任期自实际竣工日期起计算，合同当事人应在专用合同条款约定缺陷责任期的具体期限，但该期限最长不超过24个月。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15.2.2 工程竣工验收合格后，因承包人原因导致的缺陷或损坏致使工程、单位工程或某项主要设备不能按原定目的使用的，则发包人有权要求承</w:t>
      </w:r>
      <w:r>
        <w:rPr>
          <w:rFonts w:hint="eastAsia" w:ascii="宋体" w:hAnsi="宋体" w:cs="宋体"/>
          <w:bCs/>
          <w:color w:val="000000"/>
          <w:sz w:val="24"/>
        </w:rPr>
        <w:t>包人延长缺陷责任期，</w:t>
      </w:r>
      <w:r>
        <w:rPr>
          <w:rFonts w:hint="eastAsia" w:ascii="宋体" w:hAnsi="宋体" w:cs="宋体"/>
          <w:color w:val="000000"/>
          <w:kern w:val="0"/>
          <w:sz w:val="24"/>
        </w:rPr>
        <w:t>并应在原缺陷责任期届满前发出延长通知，</w:t>
      </w:r>
      <w:r>
        <w:rPr>
          <w:rFonts w:hint="eastAsia" w:ascii="宋体" w:hAnsi="宋体" w:cs="宋体"/>
          <w:bCs/>
          <w:color w:val="000000"/>
          <w:sz w:val="24"/>
        </w:rPr>
        <w:t>但缺陷责任期最长</w:t>
      </w:r>
      <w:r>
        <w:rPr>
          <w:rFonts w:hint="eastAsia" w:ascii="宋体" w:hAnsi="宋体" w:cs="宋体"/>
          <w:color w:val="000000"/>
          <w:kern w:val="0"/>
          <w:sz w:val="24"/>
        </w:rPr>
        <w:t>不能超过24个月。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4"/>
        <w:spacing w:before="0" w:after="0" w:line="360" w:lineRule="auto"/>
        <w:rPr>
          <w:rFonts w:ascii="宋体" w:hAnsi="宋体" w:cs="宋体"/>
          <w:color w:val="000000"/>
          <w:kern w:val="0"/>
          <w:sz w:val="24"/>
          <w:szCs w:val="24"/>
        </w:rPr>
      </w:pPr>
      <w:bookmarkStart w:id="433" w:name="_Toc381175640"/>
      <w:bookmarkStart w:id="434" w:name="_Toc351203601"/>
      <w:bookmarkStart w:id="435" w:name="_Toc337558818"/>
      <w:bookmarkStart w:id="436" w:name="_Toc296346616"/>
      <w:bookmarkStart w:id="437" w:name="_Toc296503115"/>
      <w:r>
        <w:rPr>
          <w:rFonts w:hint="eastAsia" w:ascii="宋体" w:hAnsi="宋体" w:cs="宋体"/>
          <w:color w:val="000000"/>
          <w:kern w:val="0"/>
          <w:sz w:val="24"/>
          <w:szCs w:val="24"/>
        </w:rPr>
        <w:t>15.3 质量保证金</w:t>
      </w:r>
      <w:bookmarkEnd w:id="433"/>
      <w:bookmarkEnd w:id="434"/>
    </w:p>
    <w:bookmarkEnd w:id="43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经合同当事人协商一致扣留质量保证金的，应在专用合同条款中予以明确。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15.3.1 承包人提供质量保证金的方式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承包人提供质量保证金有以下三种方式：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（2）相应比例的工程款；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15.3.2 质量保证金的扣留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质量保证金的扣留有以下三种方式：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w:t>
      </w:r>
      <w:bookmarkStart w:id="438" w:name="#go6"/>
      <w:bookmarkEnd w:id="438"/>
      <w:r>
        <w:rPr>
          <w:rFonts w:hint="eastAsia" w:ascii="宋体" w:hAnsi="宋体" w:cs="宋体"/>
          <w:color w:val="000000"/>
          <w:kern w:val="0"/>
          <w:sz w:val="24"/>
        </w:rPr>
        <w:t>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（3）双方约定的其他扣留方式。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除专用合同条款另有约定外，质量保证金的扣留原则上采用上述第（1）种方式。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w:t>
      </w:r>
      <w:bookmarkStart w:id="439" w:name="#go4"/>
      <w:bookmarkEnd w:id="439"/>
      <w:r>
        <w:rPr>
          <w:rFonts w:hint="eastAsia" w:ascii="宋体" w:hAnsi="宋体" w:cs="宋体"/>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15.3.3 </w:t>
      </w:r>
      <w:r>
        <w:rPr>
          <w:rFonts w:hint="eastAsia" w:ascii="宋体" w:hAnsi="宋体" w:cs="宋体"/>
          <w:color w:val="000000"/>
          <w:sz w:val="24"/>
        </w:rPr>
        <w:t>质量保证金</w:t>
      </w:r>
      <w:r>
        <w:rPr>
          <w:rFonts w:hint="eastAsia" w:ascii="宋体" w:hAnsi="宋体" w:cs="宋体"/>
          <w:color w:val="000000"/>
          <w:kern w:val="0"/>
          <w:sz w:val="24"/>
        </w:rPr>
        <w:t>的退还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发包人应按14.4款〔最终结清〕的约定退还质量保证金。</w:t>
      </w:r>
    </w:p>
    <w:p>
      <w:pPr>
        <w:pStyle w:val="4"/>
        <w:spacing w:before="0" w:after="0" w:line="360" w:lineRule="auto"/>
        <w:rPr>
          <w:rFonts w:ascii="宋体" w:hAnsi="宋体" w:cs="宋体"/>
          <w:color w:val="000000"/>
          <w:kern w:val="0"/>
          <w:sz w:val="24"/>
          <w:szCs w:val="24"/>
        </w:rPr>
      </w:pPr>
      <w:bookmarkStart w:id="440" w:name="_Toc381175641"/>
      <w:bookmarkStart w:id="441" w:name="_Toc351203602"/>
      <w:bookmarkStart w:id="442" w:name="_Toc337558819"/>
      <w:r>
        <w:rPr>
          <w:rFonts w:hint="eastAsia" w:ascii="宋体" w:hAnsi="宋体" w:cs="宋体"/>
          <w:color w:val="000000"/>
          <w:kern w:val="0"/>
          <w:sz w:val="24"/>
          <w:szCs w:val="24"/>
        </w:rPr>
        <w:t>15.4 保修</w:t>
      </w:r>
      <w:bookmarkEnd w:id="440"/>
      <w:bookmarkEnd w:id="441"/>
    </w:p>
    <w:bookmarkEnd w:id="436"/>
    <w:bookmarkEnd w:id="437"/>
    <w:bookmarkEnd w:id="44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15.4.1保修责任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发包人未经竣工验收擅自使用工程的，保修期自</w:t>
      </w:r>
      <w:r>
        <w:rPr>
          <w:rFonts w:hint="eastAsia" w:ascii="宋体" w:hAnsi="宋体" w:cs="宋体"/>
          <w:color w:val="000000"/>
          <w:kern w:val="0"/>
          <w:sz w:val="24"/>
        </w:rPr>
        <w:t>转移占有之日起算</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15.4.2 修复费用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保修期内，修复的费用按照以下约定处理：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15.4.3 修复通知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15.4.4 未能修复</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15.4.5 承包人出入权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3"/>
        <w:spacing w:before="0" w:after="0" w:line="360" w:lineRule="auto"/>
        <w:rPr>
          <w:rFonts w:ascii="宋体" w:hAnsi="宋体" w:eastAsia="宋体" w:cs="宋体"/>
          <w:color w:val="000000"/>
          <w:kern w:val="0"/>
          <w:sz w:val="28"/>
          <w:szCs w:val="28"/>
        </w:rPr>
      </w:pPr>
      <w:bookmarkStart w:id="443" w:name="_Toc30498"/>
      <w:bookmarkStart w:id="444" w:name="_Toc3533"/>
      <w:bookmarkStart w:id="445" w:name="_Toc381175642"/>
      <w:bookmarkStart w:id="446" w:name="_Toc351203603"/>
      <w:bookmarkStart w:id="447" w:name="_Toc337558820"/>
      <w:r>
        <w:rPr>
          <w:rFonts w:hint="eastAsia" w:ascii="宋体" w:hAnsi="宋体" w:eastAsia="宋体" w:cs="宋体"/>
          <w:color w:val="000000"/>
          <w:kern w:val="0"/>
          <w:sz w:val="28"/>
          <w:szCs w:val="28"/>
        </w:rPr>
        <w:t>16. 违约</w:t>
      </w:r>
      <w:bookmarkEnd w:id="443"/>
      <w:bookmarkEnd w:id="444"/>
      <w:bookmarkEnd w:id="445"/>
      <w:bookmarkEnd w:id="446"/>
    </w:p>
    <w:bookmarkEnd w:id="447"/>
    <w:p>
      <w:pPr>
        <w:pStyle w:val="4"/>
        <w:spacing w:before="0" w:after="0" w:line="360" w:lineRule="auto"/>
        <w:rPr>
          <w:rFonts w:ascii="宋体" w:hAnsi="宋体" w:cs="宋体"/>
          <w:color w:val="000000"/>
          <w:kern w:val="0"/>
          <w:sz w:val="24"/>
          <w:szCs w:val="24"/>
        </w:rPr>
      </w:pPr>
      <w:bookmarkStart w:id="448" w:name="_Toc296503129"/>
      <w:bookmarkStart w:id="449" w:name="_Toc296346630"/>
      <w:bookmarkStart w:id="450" w:name="_Toc351203604"/>
      <w:bookmarkStart w:id="451" w:name="_Toc381175643"/>
      <w:bookmarkStart w:id="452" w:name="_Toc337558821"/>
      <w:r>
        <w:rPr>
          <w:rFonts w:hint="eastAsia" w:ascii="宋体" w:hAnsi="宋体" w:cs="宋体"/>
          <w:color w:val="000000"/>
          <w:kern w:val="0"/>
          <w:sz w:val="24"/>
          <w:szCs w:val="24"/>
        </w:rPr>
        <w:t>16.1 发</w:t>
      </w:r>
      <w:bookmarkEnd w:id="448"/>
      <w:bookmarkEnd w:id="449"/>
      <w:r>
        <w:rPr>
          <w:rFonts w:hint="eastAsia" w:ascii="宋体" w:hAnsi="宋体" w:cs="宋体"/>
          <w:color w:val="000000"/>
          <w:kern w:val="0"/>
          <w:sz w:val="24"/>
          <w:szCs w:val="24"/>
        </w:rPr>
        <w:t>包人违约</w:t>
      </w:r>
      <w:bookmarkEnd w:id="450"/>
      <w:bookmarkEnd w:id="451"/>
    </w:p>
    <w:bookmarkEnd w:id="45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16.1.1 发包人违约的情形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在合同履行过程中发生的下列情形，属于发包人违约：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（1）因发包人原因未能在计划开工日期前7天内下达开工通知的；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（7）发包人明确表示或者以其行为表明不履行合同主要义务的；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（8）发包人未能按照合同约定履行其他义务的。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16.1.2 发包人违约的责任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16.1.4 因发包人违约解除合同后的付款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承包人按照本款约定解除合同的，发包人应在解除合同后28天内支付下列款项，并解除履约担保：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（1）合同解除前所完成工作的价款；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（2）承包人为工程施工订购并已付款的材料、工程设备和其他物品的价款；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（3）承包人撤离施工现场以及遣散承包人人员的款项；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（4）按照合同约定在合同解除前应支付的违约金；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（5）按照合同约定应当支付给承包人的其他款项；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（6）按照合同约定应退还的质量保证金；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（7）因解除合同给承包人造成的损失。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合同当事人未能就解除合同后的结清达成一致的，按照第20条〔争议解决〕的约定处理。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承包人应妥善做好已完工程和与工程有关的已购材料、工程设备的保护和移交工作，并将施工设备和人员撤出施工现场，发包人应为承包人撤出提供必要条件。</w:t>
      </w:r>
    </w:p>
    <w:p>
      <w:pPr>
        <w:pStyle w:val="4"/>
        <w:spacing w:before="0" w:after="0" w:line="360" w:lineRule="auto"/>
        <w:rPr>
          <w:rFonts w:ascii="宋体" w:hAnsi="宋体" w:cs="宋体"/>
          <w:color w:val="000000"/>
          <w:kern w:val="0"/>
          <w:sz w:val="24"/>
          <w:szCs w:val="24"/>
        </w:rPr>
      </w:pPr>
      <w:bookmarkStart w:id="453" w:name="_Toc351203605"/>
      <w:bookmarkStart w:id="454" w:name="_Toc381175644"/>
      <w:bookmarkStart w:id="455" w:name="_Toc296503131"/>
      <w:bookmarkStart w:id="456" w:name="_Toc296346632"/>
      <w:bookmarkStart w:id="457" w:name="_Toc337558822"/>
      <w:r>
        <w:rPr>
          <w:rFonts w:hint="eastAsia" w:ascii="宋体" w:hAnsi="宋体" w:cs="宋体"/>
          <w:color w:val="000000"/>
          <w:kern w:val="0"/>
          <w:sz w:val="24"/>
          <w:szCs w:val="24"/>
        </w:rPr>
        <w:t>16.2 承包人违约</w:t>
      </w:r>
      <w:bookmarkEnd w:id="453"/>
      <w:bookmarkEnd w:id="454"/>
    </w:p>
    <w:bookmarkEnd w:id="455"/>
    <w:bookmarkEnd w:id="456"/>
    <w:bookmarkEnd w:id="45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在合同履行过程中发生的下列情形，属于承包人违约：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（1）承包人违反合同约定进行转包或违法分包的；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（2）承包人违反合同约定采购和使用不合格的材料和工程设备的；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（3）因承包人原因导致工程质量不符合合同要求的；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（7）承包人明确表示或者以其行为表明不履行合同主要义务的；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（8）承包人未能按照合同约定履行其他义务的。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 承包人违约的责任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16.2.3 因承包人违约解除合同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16.2.4因承包人违约解除合同后的处理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因承包人原因导致合同解除的，则合同当事人应在合同解除后28天内完成估价、付款和清算，并按以下约定执行：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（1）合同解除后，按第4.4款〔商定或确定〕商定或确定承包人实际完成工作对应的合同价款，以及承包人已提供的材料、工程设备、施工设备和临时工程等的价值；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（2）合同解除后，承包人应支付的违约金；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（3）合同解除后，因解除合同给发包人造成的损失；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（4）合同解除后，承包人应按照发包人要求和监理人的指示完成现场的清理和撤离；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（5）发包人和承包人应在合同解除后进行清算，出具最终结清付款证书，结清全部款项。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16.2.5采购合同权益转让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4"/>
        <w:spacing w:before="0" w:after="0" w:line="360" w:lineRule="auto"/>
        <w:rPr>
          <w:rFonts w:ascii="宋体" w:hAnsi="宋体" w:cs="宋体"/>
          <w:color w:val="000000"/>
          <w:kern w:val="0"/>
          <w:sz w:val="24"/>
          <w:szCs w:val="24"/>
        </w:rPr>
      </w:pPr>
      <w:bookmarkStart w:id="458" w:name="_Toc381175645"/>
      <w:bookmarkStart w:id="459" w:name="_Toc351203606"/>
      <w:r>
        <w:rPr>
          <w:rFonts w:hint="eastAsia" w:ascii="宋体" w:hAnsi="宋体" w:cs="宋体"/>
          <w:color w:val="000000"/>
          <w:kern w:val="0"/>
          <w:sz w:val="24"/>
          <w:szCs w:val="24"/>
        </w:rPr>
        <w:t>16.3 第三人造成的违约</w:t>
      </w:r>
      <w:bookmarkEnd w:id="458"/>
      <w:bookmarkEnd w:id="45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在履行合同过程中，一方当事人因第三人的原因造成违约的，应当向对方当事人承担违约责任。一方当事人和第三人之间的纠纷，依照法律规定或者按照约定解决。</w:t>
      </w:r>
    </w:p>
    <w:p>
      <w:pPr>
        <w:pStyle w:val="3"/>
        <w:spacing w:before="0" w:after="0" w:line="360" w:lineRule="auto"/>
        <w:rPr>
          <w:rFonts w:ascii="宋体" w:hAnsi="宋体" w:eastAsia="宋体" w:cs="宋体"/>
          <w:color w:val="000000"/>
          <w:kern w:val="0"/>
          <w:sz w:val="28"/>
          <w:szCs w:val="28"/>
        </w:rPr>
      </w:pPr>
      <w:bookmarkStart w:id="460" w:name="_Toc30230"/>
      <w:bookmarkStart w:id="461" w:name="_Toc296503116"/>
      <w:bookmarkStart w:id="462" w:name="_Toc351203607"/>
      <w:bookmarkStart w:id="463" w:name="_Toc3498"/>
      <w:bookmarkStart w:id="464" w:name="_Toc381175646"/>
      <w:bookmarkStart w:id="465" w:name="_Toc337558823"/>
      <w:bookmarkStart w:id="466" w:name="_Toc296346617"/>
      <w:r>
        <w:rPr>
          <w:rFonts w:hint="eastAsia" w:ascii="宋体" w:hAnsi="宋体" w:eastAsia="宋体" w:cs="宋体"/>
          <w:color w:val="000000"/>
          <w:kern w:val="0"/>
          <w:sz w:val="28"/>
          <w:szCs w:val="28"/>
        </w:rPr>
        <w:t>17. 不可抗力</w:t>
      </w:r>
      <w:bookmarkEnd w:id="460"/>
      <w:bookmarkEnd w:id="461"/>
      <w:bookmarkEnd w:id="462"/>
      <w:bookmarkEnd w:id="463"/>
      <w:bookmarkEnd w:id="464"/>
      <w:bookmarkEnd w:id="465"/>
      <w:bookmarkEnd w:id="466"/>
    </w:p>
    <w:p>
      <w:pPr>
        <w:pStyle w:val="4"/>
        <w:spacing w:before="0" w:after="0" w:line="360" w:lineRule="auto"/>
        <w:rPr>
          <w:rFonts w:ascii="宋体" w:hAnsi="宋体" w:cs="宋体"/>
          <w:color w:val="000000"/>
          <w:kern w:val="0"/>
          <w:sz w:val="24"/>
          <w:szCs w:val="24"/>
        </w:rPr>
      </w:pPr>
      <w:bookmarkStart w:id="467" w:name="_Toc381175647"/>
      <w:bookmarkStart w:id="468" w:name="_Toc351203608"/>
      <w:bookmarkStart w:id="469" w:name="_Toc337558824"/>
      <w:bookmarkStart w:id="470" w:name="_Toc296503117"/>
      <w:bookmarkStart w:id="471" w:name="_Toc296346618"/>
      <w:r>
        <w:rPr>
          <w:rFonts w:hint="eastAsia" w:ascii="宋体" w:hAnsi="宋体" w:cs="宋体"/>
          <w:color w:val="000000"/>
          <w:kern w:val="0"/>
          <w:sz w:val="24"/>
          <w:szCs w:val="24"/>
        </w:rPr>
        <w:t>17.1 不可抗力的确认</w:t>
      </w:r>
      <w:bookmarkEnd w:id="467"/>
      <w:bookmarkEnd w:id="468"/>
    </w:p>
    <w:bookmarkEnd w:id="469"/>
    <w:bookmarkEnd w:id="470"/>
    <w:bookmarkEnd w:id="47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4"/>
        <w:spacing w:before="0" w:after="0" w:line="360" w:lineRule="auto"/>
        <w:rPr>
          <w:rFonts w:ascii="宋体" w:hAnsi="宋体" w:cs="宋体"/>
          <w:color w:val="000000"/>
          <w:kern w:val="0"/>
          <w:sz w:val="24"/>
          <w:szCs w:val="24"/>
        </w:rPr>
      </w:pPr>
      <w:bookmarkStart w:id="472" w:name="_Toc351203609"/>
      <w:bookmarkStart w:id="473" w:name="_Toc381175648"/>
      <w:bookmarkStart w:id="474" w:name="_Toc337558825"/>
      <w:bookmarkStart w:id="475" w:name="_Toc296503118"/>
      <w:bookmarkStart w:id="476" w:name="_Toc296346619"/>
      <w:r>
        <w:rPr>
          <w:rFonts w:hint="eastAsia" w:ascii="宋体" w:hAnsi="宋体" w:cs="宋体"/>
          <w:color w:val="000000"/>
          <w:kern w:val="0"/>
          <w:sz w:val="24"/>
          <w:szCs w:val="24"/>
        </w:rPr>
        <w:t>17.2 不可抗力的通知</w:t>
      </w:r>
      <w:bookmarkEnd w:id="472"/>
      <w:bookmarkEnd w:id="473"/>
    </w:p>
    <w:bookmarkEnd w:id="474"/>
    <w:bookmarkEnd w:id="475"/>
    <w:bookmarkEnd w:id="47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4"/>
        <w:spacing w:before="0" w:after="0" w:line="360" w:lineRule="auto"/>
        <w:rPr>
          <w:rFonts w:ascii="宋体" w:hAnsi="宋体" w:cs="宋体"/>
          <w:color w:val="000000"/>
          <w:kern w:val="0"/>
          <w:sz w:val="24"/>
          <w:szCs w:val="24"/>
        </w:rPr>
      </w:pPr>
      <w:bookmarkStart w:id="477" w:name="_Toc381175649"/>
      <w:bookmarkStart w:id="478" w:name="_Toc351203610"/>
      <w:bookmarkStart w:id="479" w:name="_Toc337558826"/>
      <w:bookmarkStart w:id="480" w:name="_Toc296346620"/>
      <w:bookmarkStart w:id="481" w:name="_Toc296503119"/>
      <w:r>
        <w:rPr>
          <w:rFonts w:hint="eastAsia" w:ascii="宋体" w:hAnsi="宋体" w:cs="宋体"/>
          <w:color w:val="000000"/>
          <w:kern w:val="0"/>
          <w:sz w:val="24"/>
          <w:szCs w:val="24"/>
        </w:rPr>
        <w:t>17.3 不可抗力后果的承担</w:t>
      </w:r>
      <w:bookmarkEnd w:id="477"/>
      <w:bookmarkEnd w:id="478"/>
    </w:p>
    <w:bookmarkEnd w:id="479"/>
    <w:bookmarkEnd w:id="480"/>
    <w:bookmarkEnd w:id="48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（2）承包人施工设备的损坏由承包人承担；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（3）发包人和承包人承担各自人员伤亡和财产的损失；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因合同一方迟延履行合同义务，在迟延履行期间遭遇不可抗力的，不免除其违约责任。</w:t>
      </w:r>
    </w:p>
    <w:p>
      <w:pPr>
        <w:pStyle w:val="4"/>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hint="eastAsia" w:ascii="宋体" w:hAnsi="宋体" w:cs="宋体"/>
          <w:color w:val="000000"/>
          <w:kern w:val="0"/>
          <w:sz w:val="24"/>
          <w:szCs w:val="24"/>
        </w:rPr>
        <w:t>17.4 因不可抗力解除合同</w:t>
      </w:r>
      <w:bookmarkEnd w:id="482"/>
      <w:bookmarkEnd w:id="483"/>
    </w:p>
    <w:bookmarkEnd w:id="4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（1）合同解除前承包人已完成工作的价款；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（2）承包人为工程订购的并已交付给承包人，或承包人有责任接受交付的材料、工程设备和其他物品的价款；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（3）发包人要求承包人退货或解除订货合同而产生的费用，或因不能退货或解除合同而产生的损失；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（4）承包人撤离施工现场以及遣散承包人人员的费用；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（5）按照合同约定在合同解除前应支付给承包人的其他款项；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（6）扣减承包人按照合同约定应向发包人支付的款项；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（7）双方商定或确定的其他款项。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除专用合同条款另有约定外，合同解除后，发包人应在商定或确定上述款项后28天内完成上述款项的支付。</w:t>
      </w:r>
    </w:p>
    <w:p>
      <w:pPr>
        <w:pStyle w:val="3"/>
        <w:spacing w:before="0" w:after="0" w:line="360" w:lineRule="auto"/>
        <w:rPr>
          <w:rFonts w:ascii="宋体" w:hAnsi="宋体" w:eastAsia="宋体" w:cs="宋体"/>
          <w:color w:val="000000"/>
          <w:kern w:val="0"/>
          <w:sz w:val="28"/>
          <w:szCs w:val="28"/>
        </w:rPr>
      </w:pPr>
      <w:bookmarkStart w:id="485" w:name="_Toc381175651"/>
      <w:bookmarkStart w:id="486" w:name="_Toc5284"/>
      <w:bookmarkStart w:id="487" w:name="_Toc351203612"/>
      <w:bookmarkStart w:id="488" w:name="_Toc915"/>
      <w:bookmarkStart w:id="489" w:name="_Toc296503120"/>
      <w:bookmarkStart w:id="490" w:name="_Toc337558828"/>
      <w:bookmarkStart w:id="491" w:name="_Toc296346621"/>
      <w:r>
        <w:rPr>
          <w:rFonts w:hint="eastAsia" w:ascii="宋体" w:hAnsi="宋体" w:eastAsia="宋体" w:cs="宋体"/>
          <w:color w:val="000000"/>
          <w:kern w:val="0"/>
          <w:sz w:val="28"/>
          <w:szCs w:val="28"/>
        </w:rPr>
        <w:t>18. 保险</w:t>
      </w:r>
      <w:bookmarkEnd w:id="485"/>
      <w:bookmarkEnd w:id="486"/>
      <w:bookmarkEnd w:id="487"/>
      <w:bookmarkEnd w:id="488"/>
    </w:p>
    <w:bookmarkEnd w:id="489"/>
    <w:bookmarkEnd w:id="490"/>
    <w:bookmarkEnd w:id="491"/>
    <w:p>
      <w:pPr>
        <w:pStyle w:val="4"/>
        <w:spacing w:before="0" w:after="0" w:line="360" w:lineRule="auto"/>
        <w:rPr>
          <w:rFonts w:ascii="宋体" w:hAnsi="宋体" w:cs="宋体"/>
          <w:color w:val="000000"/>
          <w:kern w:val="0"/>
          <w:sz w:val="24"/>
          <w:szCs w:val="24"/>
        </w:rPr>
      </w:pPr>
      <w:bookmarkStart w:id="492" w:name="_Toc351203613"/>
      <w:bookmarkStart w:id="493" w:name="_Toc381175652"/>
      <w:bookmarkStart w:id="494" w:name="_Toc296346622"/>
      <w:bookmarkStart w:id="495" w:name="_Toc337558829"/>
      <w:bookmarkStart w:id="496" w:name="_Toc296503121"/>
      <w:r>
        <w:rPr>
          <w:rFonts w:hint="eastAsia" w:ascii="宋体" w:hAnsi="宋体" w:cs="宋体"/>
          <w:color w:val="000000"/>
          <w:kern w:val="0"/>
          <w:sz w:val="24"/>
          <w:szCs w:val="24"/>
        </w:rPr>
        <w:t>18.1 工程保险</w:t>
      </w:r>
      <w:bookmarkEnd w:id="492"/>
      <w:bookmarkEnd w:id="493"/>
    </w:p>
    <w:bookmarkEnd w:id="494"/>
    <w:bookmarkEnd w:id="495"/>
    <w:bookmarkEnd w:id="4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除专用合同条款另有约定外，发包人应投保建筑工程一切险或安装工程一切险；发包人委托承包人投保的，因投保产生的保险费和其他相关费用由发包人承担。</w:t>
      </w:r>
    </w:p>
    <w:p>
      <w:pPr>
        <w:pStyle w:val="4"/>
        <w:spacing w:before="0" w:after="0" w:line="360" w:lineRule="auto"/>
        <w:rPr>
          <w:rFonts w:ascii="宋体" w:hAnsi="宋体" w:cs="宋体"/>
          <w:color w:val="000000"/>
          <w:kern w:val="0"/>
          <w:sz w:val="24"/>
          <w:szCs w:val="24"/>
        </w:rPr>
      </w:pPr>
      <w:bookmarkStart w:id="497" w:name="_Toc351203614"/>
      <w:bookmarkStart w:id="498" w:name="_Toc381175653"/>
      <w:bookmarkStart w:id="499" w:name="_Toc337558830"/>
      <w:bookmarkStart w:id="500" w:name="_Toc296503122"/>
      <w:bookmarkStart w:id="501" w:name="_Toc296346623"/>
      <w:r>
        <w:rPr>
          <w:rFonts w:hint="eastAsia" w:ascii="宋体" w:hAnsi="宋体" w:cs="宋体"/>
          <w:color w:val="000000"/>
          <w:kern w:val="0"/>
          <w:sz w:val="24"/>
          <w:szCs w:val="24"/>
        </w:rPr>
        <w:t>18.2 工伤保险</w:t>
      </w:r>
      <w:bookmarkEnd w:id="497"/>
      <w:bookmarkEnd w:id="498"/>
    </w:p>
    <w:bookmarkEnd w:id="499"/>
    <w:bookmarkEnd w:id="500"/>
    <w:bookmarkEnd w:id="5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pPr>
        <w:pStyle w:val="4"/>
        <w:spacing w:before="0" w:after="0" w:line="360" w:lineRule="auto"/>
        <w:rPr>
          <w:rFonts w:ascii="宋体" w:hAnsi="宋体" w:cs="宋体"/>
          <w:color w:val="000000"/>
          <w:kern w:val="0"/>
          <w:sz w:val="24"/>
          <w:szCs w:val="24"/>
        </w:rPr>
      </w:pPr>
      <w:bookmarkStart w:id="502" w:name="_Toc381175654"/>
      <w:bookmarkStart w:id="503" w:name="_Toc351203615"/>
      <w:bookmarkStart w:id="504" w:name="_Toc296503125"/>
      <w:bookmarkStart w:id="505" w:name="_Toc296346626"/>
      <w:bookmarkStart w:id="506" w:name="_Toc337558831"/>
      <w:r>
        <w:rPr>
          <w:rFonts w:hint="eastAsia" w:ascii="宋体" w:hAnsi="宋体" w:cs="宋体"/>
          <w:color w:val="000000"/>
          <w:kern w:val="0"/>
          <w:sz w:val="24"/>
          <w:szCs w:val="24"/>
        </w:rPr>
        <w:t>18.3其他保险</w:t>
      </w:r>
      <w:bookmarkEnd w:id="502"/>
      <w:bookmarkEnd w:id="503"/>
    </w:p>
    <w:bookmarkEnd w:id="504"/>
    <w:bookmarkEnd w:id="505"/>
    <w:bookmarkEnd w:id="50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除专用合同条款另有约定外，承包人应为其施工设备等办理财产保险。</w:t>
      </w:r>
    </w:p>
    <w:p>
      <w:pPr>
        <w:pStyle w:val="4"/>
        <w:spacing w:before="0" w:after="0" w:line="360" w:lineRule="auto"/>
        <w:rPr>
          <w:rFonts w:ascii="宋体" w:hAnsi="宋体" w:cs="宋体"/>
          <w:color w:val="000000"/>
          <w:kern w:val="0"/>
          <w:sz w:val="24"/>
          <w:szCs w:val="24"/>
        </w:rPr>
      </w:pPr>
      <w:bookmarkStart w:id="507" w:name="_Toc351203616"/>
      <w:bookmarkStart w:id="508" w:name="_Toc381175655"/>
      <w:r>
        <w:rPr>
          <w:rFonts w:hint="eastAsia" w:ascii="宋体" w:hAnsi="宋体" w:cs="宋体"/>
          <w:color w:val="000000"/>
          <w:kern w:val="0"/>
          <w:sz w:val="24"/>
          <w:szCs w:val="24"/>
        </w:rPr>
        <w:t>18.4持续保险</w:t>
      </w:r>
      <w:bookmarkEnd w:id="507"/>
      <w:bookmarkEnd w:id="508"/>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合同当事人应与保险人保持联系，使保险人能够随时了解工程实施中的变动，并确保按保险合同条款要求持续保险。</w:t>
      </w:r>
    </w:p>
    <w:p>
      <w:pPr>
        <w:pStyle w:val="4"/>
        <w:spacing w:before="0" w:after="0" w:line="360" w:lineRule="auto"/>
        <w:rPr>
          <w:rFonts w:ascii="宋体" w:hAnsi="宋体" w:cs="宋体"/>
          <w:color w:val="000000"/>
          <w:kern w:val="0"/>
          <w:sz w:val="24"/>
          <w:szCs w:val="24"/>
        </w:rPr>
      </w:pPr>
      <w:bookmarkStart w:id="509" w:name="_Toc381175656"/>
      <w:bookmarkStart w:id="510" w:name="_Toc351203617"/>
      <w:bookmarkStart w:id="511" w:name="_Toc296346627"/>
      <w:bookmarkStart w:id="512" w:name="_Toc296503126"/>
      <w:bookmarkStart w:id="513" w:name="_Toc337558832"/>
      <w:r>
        <w:rPr>
          <w:rFonts w:hint="eastAsia" w:ascii="宋体" w:hAnsi="宋体" w:cs="宋体"/>
          <w:color w:val="000000"/>
          <w:kern w:val="0"/>
          <w:sz w:val="24"/>
          <w:szCs w:val="24"/>
        </w:rPr>
        <w:t>18.5 保险凭证</w:t>
      </w:r>
      <w:bookmarkEnd w:id="509"/>
      <w:bookmarkEnd w:id="510"/>
    </w:p>
    <w:bookmarkEnd w:id="511"/>
    <w:bookmarkEnd w:id="512"/>
    <w:bookmarkEnd w:id="51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合同当事人应及时向另一方当事人提交其已投保的各项保险的凭证和保险单复印件。</w:t>
      </w:r>
    </w:p>
    <w:p>
      <w:pPr>
        <w:pStyle w:val="4"/>
        <w:spacing w:before="0" w:after="0" w:line="360" w:lineRule="auto"/>
        <w:rPr>
          <w:rFonts w:ascii="宋体" w:hAnsi="宋体" w:cs="宋体"/>
          <w:color w:val="000000"/>
          <w:kern w:val="0"/>
          <w:sz w:val="24"/>
          <w:szCs w:val="24"/>
        </w:rPr>
      </w:pPr>
      <w:bookmarkStart w:id="514" w:name="_Toc351203618"/>
      <w:bookmarkStart w:id="515" w:name="_Toc381175657"/>
      <w:bookmarkStart w:id="516" w:name="_Toc337558833"/>
      <w:bookmarkStart w:id="517" w:name="_Toc296346628"/>
      <w:bookmarkStart w:id="518" w:name="_Toc296503127"/>
      <w:r>
        <w:rPr>
          <w:rFonts w:hint="eastAsia" w:ascii="宋体" w:hAnsi="宋体" w:cs="宋体"/>
          <w:color w:val="000000"/>
          <w:kern w:val="0"/>
          <w:sz w:val="24"/>
          <w:szCs w:val="24"/>
        </w:rPr>
        <w:t>18.6 未按约定投保的补救</w:t>
      </w:r>
      <w:bookmarkEnd w:id="514"/>
      <w:bookmarkEnd w:id="515"/>
    </w:p>
    <w:bookmarkEnd w:id="516"/>
    <w:bookmarkEnd w:id="517"/>
    <w:bookmarkEnd w:id="51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18.6.2承包人未按合同约定办理保险，或未能使保险持续有效的，则发包人可代为办理，所需费用由承包人承担。承包人未按合同约定办理保险，导致未能得到足额赔偿的，由承包人负责补足。</w:t>
      </w:r>
    </w:p>
    <w:p>
      <w:pPr>
        <w:pStyle w:val="4"/>
        <w:spacing w:before="0" w:after="0" w:line="360" w:lineRule="auto"/>
        <w:rPr>
          <w:rFonts w:ascii="宋体" w:hAnsi="宋体" w:cs="宋体"/>
          <w:color w:val="000000"/>
          <w:kern w:val="0"/>
          <w:sz w:val="24"/>
          <w:szCs w:val="24"/>
        </w:rPr>
      </w:pPr>
      <w:bookmarkStart w:id="519" w:name="_Toc381175658"/>
      <w:bookmarkStart w:id="520" w:name="_Toc351203619"/>
      <w:bookmarkStart w:id="521" w:name="_Toc337558834"/>
      <w:r>
        <w:rPr>
          <w:rFonts w:hint="eastAsia" w:ascii="宋体" w:hAnsi="宋体" w:cs="宋体"/>
          <w:color w:val="000000"/>
          <w:kern w:val="0"/>
          <w:sz w:val="24"/>
          <w:szCs w:val="24"/>
        </w:rPr>
        <w:t>18.7 通知义务</w:t>
      </w:r>
      <w:bookmarkEnd w:id="519"/>
      <w:bookmarkEnd w:id="520"/>
    </w:p>
    <w:bookmarkEnd w:id="521"/>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保险事故发生时，投保人应按照保险合同规定的条件和期限及时向保险人报告。发包人和承包人应当在知道保险事故发生后及时通知对方。</w:t>
      </w:r>
    </w:p>
    <w:p>
      <w:pPr>
        <w:pStyle w:val="3"/>
        <w:spacing w:before="0" w:after="0" w:line="360" w:lineRule="auto"/>
        <w:rPr>
          <w:rFonts w:ascii="宋体" w:hAnsi="宋体" w:eastAsia="宋体" w:cs="宋体"/>
          <w:color w:val="000000"/>
          <w:kern w:val="0"/>
          <w:sz w:val="28"/>
          <w:szCs w:val="28"/>
        </w:rPr>
      </w:pPr>
      <w:bookmarkStart w:id="522" w:name="_Toc26536"/>
      <w:bookmarkStart w:id="523" w:name="_Toc351203620"/>
      <w:bookmarkStart w:id="524" w:name="_Toc381175659"/>
      <w:bookmarkStart w:id="525" w:name="_Toc24717"/>
      <w:bookmarkStart w:id="526" w:name="_Toc337558835"/>
      <w:bookmarkStart w:id="527" w:name="_Toc296503140"/>
      <w:bookmarkStart w:id="528" w:name="_Toc296346641"/>
      <w:r>
        <w:rPr>
          <w:rFonts w:hint="eastAsia" w:ascii="宋体" w:hAnsi="宋体" w:eastAsia="宋体" w:cs="宋体"/>
          <w:color w:val="000000"/>
          <w:kern w:val="0"/>
          <w:sz w:val="28"/>
          <w:szCs w:val="28"/>
        </w:rPr>
        <w:t>19. 索赔</w:t>
      </w:r>
      <w:bookmarkEnd w:id="522"/>
      <w:bookmarkEnd w:id="523"/>
      <w:bookmarkEnd w:id="524"/>
      <w:bookmarkEnd w:id="525"/>
    </w:p>
    <w:bookmarkEnd w:id="526"/>
    <w:bookmarkEnd w:id="527"/>
    <w:bookmarkEnd w:id="528"/>
    <w:p>
      <w:pPr>
        <w:pStyle w:val="4"/>
        <w:spacing w:before="0" w:after="0" w:line="360" w:lineRule="auto"/>
        <w:rPr>
          <w:rFonts w:ascii="宋体" w:hAnsi="宋体" w:cs="宋体"/>
          <w:color w:val="000000"/>
          <w:kern w:val="0"/>
          <w:sz w:val="24"/>
          <w:szCs w:val="24"/>
        </w:rPr>
      </w:pPr>
      <w:bookmarkStart w:id="529" w:name="_Toc381175660"/>
      <w:bookmarkStart w:id="530" w:name="_Toc351203621"/>
      <w:bookmarkStart w:id="531" w:name="_Toc337558836"/>
      <w:bookmarkStart w:id="532" w:name="_Toc296346642"/>
      <w:bookmarkStart w:id="533" w:name="_Toc296503141"/>
      <w:r>
        <w:rPr>
          <w:rFonts w:hint="eastAsia" w:ascii="宋体" w:hAnsi="宋体" w:cs="宋体"/>
          <w:color w:val="000000"/>
          <w:kern w:val="0"/>
          <w:sz w:val="24"/>
          <w:szCs w:val="24"/>
        </w:rPr>
        <w:t>19.1承包人的索赔</w:t>
      </w:r>
      <w:bookmarkEnd w:id="529"/>
      <w:bookmarkEnd w:id="530"/>
    </w:p>
    <w:bookmarkEnd w:id="531"/>
    <w:bookmarkEnd w:id="532"/>
    <w:bookmarkEnd w:id="53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根据合同约定，承包人认为有权得到追加付款和（或）延长工期的，应按以下程序向发包人提出索赔：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（4）在索赔事件影响结束后28天内，承包人应向监理人递交最终索赔报告，说明最终要求索赔的追加付款金额和（或）延长的工期，并附必要的记录和证明材料。</w:t>
      </w:r>
    </w:p>
    <w:p>
      <w:pPr>
        <w:pStyle w:val="4"/>
        <w:spacing w:before="0" w:after="0" w:line="360" w:lineRule="auto"/>
        <w:rPr>
          <w:rFonts w:ascii="宋体" w:hAnsi="宋体" w:cs="宋体"/>
          <w:color w:val="000000"/>
          <w:kern w:val="0"/>
          <w:sz w:val="24"/>
          <w:szCs w:val="24"/>
        </w:rPr>
      </w:pPr>
      <w:bookmarkStart w:id="534" w:name="_Toc381175661"/>
      <w:bookmarkStart w:id="535" w:name="_Toc351203622"/>
      <w:bookmarkStart w:id="536" w:name="_Toc296503142"/>
      <w:bookmarkStart w:id="537" w:name="_Toc337558837"/>
      <w:bookmarkStart w:id="538" w:name="_Toc296346643"/>
      <w:r>
        <w:rPr>
          <w:rFonts w:hint="eastAsia" w:ascii="宋体" w:hAnsi="宋体" w:cs="宋体"/>
          <w:color w:val="000000"/>
          <w:kern w:val="0"/>
          <w:sz w:val="24"/>
          <w:szCs w:val="24"/>
        </w:rPr>
        <w:t>19.2 对承包人索赔的处理</w:t>
      </w:r>
      <w:bookmarkEnd w:id="534"/>
      <w:bookmarkEnd w:id="535"/>
    </w:p>
    <w:bookmarkEnd w:id="536"/>
    <w:bookmarkEnd w:id="537"/>
    <w:bookmarkEnd w:id="5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对承包人索赔的处理如下：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（3）承包人接受索赔处理结果的，索赔款项在当期进度款中进行支付；承包人不接受索赔处理结果的，按照第20条〔争议解决〕约定处理。</w:t>
      </w:r>
    </w:p>
    <w:p>
      <w:pPr>
        <w:pStyle w:val="4"/>
        <w:spacing w:before="0" w:after="0" w:line="360" w:lineRule="auto"/>
        <w:rPr>
          <w:rFonts w:ascii="宋体" w:hAnsi="宋体" w:cs="宋体"/>
          <w:color w:val="000000"/>
          <w:kern w:val="0"/>
          <w:sz w:val="24"/>
          <w:szCs w:val="24"/>
        </w:rPr>
      </w:pPr>
      <w:bookmarkStart w:id="539" w:name="_Toc381175662"/>
      <w:bookmarkStart w:id="540" w:name="_Toc351203623"/>
      <w:bookmarkStart w:id="541" w:name="_Toc337558838"/>
      <w:bookmarkStart w:id="542" w:name="_Toc296346644"/>
      <w:bookmarkStart w:id="543" w:name="_Toc296503143"/>
      <w:r>
        <w:rPr>
          <w:rFonts w:hint="eastAsia" w:ascii="宋体" w:hAnsi="宋体" w:cs="宋体"/>
          <w:color w:val="000000"/>
          <w:kern w:val="0"/>
          <w:sz w:val="24"/>
          <w:szCs w:val="24"/>
        </w:rPr>
        <w:t>19.3发包人的索赔</w:t>
      </w:r>
      <w:bookmarkEnd w:id="539"/>
      <w:bookmarkEnd w:id="540"/>
    </w:p>
    <w:bookmarkEnd w:id="541"/>
    <w:bookmarkEnd w:id="542"/>
    <w:bookmarkEnd w:id="5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4"/>
        <w:spacing w:before="0" w:after="0" w:line="360" w:lineRule="auto"/>
        <w:rPr>
          <w:rFonts w:ascii="宋体" w:hAnsi="宋体" w:cs="宋体"/>
          <w:color w:val="000000"/>
          <w:kern w:val="0"/>
          <w:sz w:val="24"/>
          <w:szCs w:val="24"/>
        </w:rPr>
      </w:pPr>
      <w:bookmarkStart w:id="544" w:name="_Toc351203624"/>
      <w:bookmarkStart w:id="545" w:name="_Toc381175663"/>
      <w:bookmarkStart w:id="546" w:name="_Toc296503144"/>
      <w:bookmarkStart w:id="547" w:name="_Toc296346645"/>
      <w:bookmarkStart w:id="548" w:name="_Toc337558839"/>
      <w:r>
        <w:rPr>
          <w:rFonts w:hint="eastAsia" w:ascii="宋体" w:hAnsi="宋体" w:cs="宋体"/>
          <w:color w:val="000000"/>
          <w:kern w:val="0"/>
          <w:sz w:val="24"/>
          <w:szCs w:val="24"/>
        </w:rPr>
        <w:t>19.4 对发包人索赔的处理</w:t>
      </w:r>
      <w:bookmarkEnd w:id="544"/>
      <w:bookmarkEnd w:id="545"/>
    </w:p>
    <w:bookmarkEnd w:id="546"/>
    <w:bookmarkEnd w:id="547"/>
    <w:bookmarkEnd w:id="54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对发包人索赔的处理如下：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（3）承包人接受索赔处理结果的，发包人可从应支付给承包人的合同价款中扣除赔付的金额或延长缺陷责任期；发包人不接受索赔处理结果的，按第20条〔争议解决〕约定处理。</w:t>
      </w:r>
    </w:p>
    <w:p>
      <w:pPr>
        <w:pStyle w:val="4"/>
        <w:spacing w:before="0" w:after="0" w:line="360" w:lineRule="auto"/>
        <w:rPr>
          <w:rFonts w:ascii="宋体" w:hAnsi="宋体" w:cs="宋体"/>
          <w:color w:val="000000"/>
          <w:kern w:val="0"/>
          <w:sz w:val="24"/>
          <w:szCs w:val="24"/>
        </w:rPr>
      </w:pPr>
      <w:bookmarkStart w:id="549" w:name="_Toc381175664"/>
      <w:bookmarkStart w:id="550" w:name="_Toc351203625"/>
      <w:r>
        <w:rPr>
          <w:rFonts w:hint="eastAsia" w:ascii="宋体" w:hAnsi="宋体" w:cs="宋体"/>
          <w:color w:val="000000"/>
          <w:kern w:val="0"/>
          <w:sz w:val="24"/>
          <w:szCs w:val="24"/>
        </w:rPr>
        <w:t>19.5 提出索赔的期限</w:t>
      </w:r>
      <w:bookmarkEnd w:id="549"/>
      <w:bookmarkEnd w:id="550"/>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（1）承包人按第14.2款〔竣工结算审核〕约定接收竣工付款证书后，应被视为已无权再提出在工程接收证书颁发前所发生的任何索赔。</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（2）承包人按第14.4款〔最终结清〕提交的最终结清申请单中，只限于提出工程接收证书颁发后发生的索赔。提出索赔的期限自接受最终结清证书时终止。</w:t>
      </w:r>
    </w:p>
    <w:p>
      <w:pPr>
        <w:pStyle w:val="3"/>
        <w:spacing w:before="0" w:after="0" w:line="360" w:lineRule="auto"/>
        <w:rPr>
          <w:rFonts w:ascii="宋体" w:hAnsi="宋体" w:eastAsia="宋体" w:cs="宋体"/>
          <w:color w:val="000000"/>
          <w:kern w:val="0"/>
          <w:sz w:val="28"/>
          <w:szCs w:val="28"/>
        </w:rPr>
      </w:pPr>
      <w:bookmarkStart w:id="551" w:name="_Toc351203626"/>
      <w:bookmarkStart w:id="552" w:name="_Toc381175665"/>
      <w:bookmarkStart w:id="553" w:name="_Toc8131"/>
      <w:bookmarkStart w:id="554" w:name="_Toc28652"/>
      <w:r>
        <w:rPr>
          <w:rFonts w:hint="eastAsia" w:ascii="宋体" w:hAnsi="宋体" w:eastAsia="宋体" w:cs="宋体"/>
          <w:color w:val="000000"/>
          <w:kern w:val="0"/>
          <w:sz w:val="28"/>
          <w:szCs w:val="28"/>
        </w:rPr>
        <w:t>20</w:t>
      </w:r>
      <w:bookmarkStart w:id="555" w:name="_Toc337558840"/>
      <w:bookmarkStart w:id="556" w:name="_Toc296503146"/>
      <w:bookmarkStart w:id="557" w:name="_Toc296346647"/>
      <w:r>
        <w:rPr>
          <w:rFonts w:hint="eastAsia" w:ascii="宋体" w:hAnsi="宋体" w:eastAsia="宋体" w:cs="宋体"/>
          <w:color w:val="000000"/>
          <w:kern w:val="0"/>
          <w:sz w:val="28"/>
          <w:szCs w:val="28"/>
        </w:rPr>
        <w:t>. 争议解决</w:t>
      </w:r>
      <w:bookmarkEnd w:id="551"/>
      <w:bookmarkEnd w:id="552"/>
      <w:bookmarkEnd w:id="553"/>
      <w:bookmarkEnd w:id="554"/>
    </w:p>
    <w:bookmarkEnd w:id="555"/>
    <w:bookmarkEnd w:id="556"/>
    <w:bookmarkEnd w:id="557"/>
    <w:p>
      <w:pPr>
        <w:pStyle w:val="4"/>
        <w:spacing w:before="0" w:after="0" w:line="360" w:lineRule="auto"/>
        <w:rPr>
          <w:rFonts w:ascii="宋体" w:hAnsi="宋体" w:cs="宋体"/>
          <w:color w:val="000000"/>
          <w:kern w:val="0"/>
          <w:sz w:val="24"/>
          <w:szCs w:val="24"/>
        </w:rPr>
      </w:pPr>
      <w:bookmarkStart w:id="558" w:name="_Toc381175666"/>
      <w:bookmarkStart w:id="559" w:name="_Toc351203627"/>
      <w:bookmarkStart w:id="560" w:name="_Toc337558841"/>
      <w:bookmarkStart w:id="561" w:name="_Toc296346648"/>
      <w:bookmarkStart w:id="562" w:name="_Toc296503147"/>
      <w:r>
        <w:rPr>
          <w:rFonts w:hint="eastAsia" w:ascii="宋体" w:hAnsi="宋体" w:cs="宋体"/>
          <w:color w:val="000000"/>
          <w:kern w:val="0"/>
          <w:sz w:val="24"/>
          <w:szCs w:val="24"/>
        </w:rPr>
        <w:t>20.1和解</w:t>
      </w:r>
      <w:bookmarkEnd w:id="558"/>
      <w:bookmarkEnd w:id="559"/>
    </w:p>
    <w:bookmarkEnd w:id="560"/>
    <w:bookmarkEnd w:id="561"/>
    <w:bookmarkEnd w:id="56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合同当事人可以就争议自行和解，自行和解达成协议的经双方签字并盖章后作为合同补充文件，双方均应遵照执行。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3" w:name="_Toc381175667"/>
      <w:bookmarkStart w:id="564" w:name="_Toc351203628"/>
      <w:r>
        <w:rPr>
          <w:rFonts w:hint="eastAsia" w:ascii="宋体" w:hAnsi="宋体" w:cs="宋体"/>
          <w:color w:val="000000"/>
          <w:kern w:val="0"/>
          <w:sz w:val="24"/>
          <w:szCs w:val="24"/>
        </w:rPr>
        <w:t>20</w:t>
      </w:r>
      <w:bookmarkStart w:id="565" w:name="_Toc296503148"/>
      <w:bookmarkStart w:id="566" w:name="_Toc337558842"/>
      <w:bookmarkStart w:id="567" w:name="_Toc296346649"/>
      <w:r>
        <w:rPr>
          <w:rFonts w:hint="eastAsia" w:ascii="宋体" w:hAnsi="宋体" w:cs="宋体"/>
          <w:color w:val="000000"/>
          <w:kern w:val="0"/>
          <w:sz w:val="24"/>
          <w:szCs w:val="24"/>
        </w:rPr>
        <w:t>.2调解</w:t>
      </w:r>
      <w:bookmarkEnd w:id="563"/>
      <w:bookmarkEnd w:id="564"/>
    </w:p>
    <w:bookmarkEnd w:id="565"/>
    <w:bookmarkEnd w:id="566"/>
    <w:bookmarkEnd w:id="56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合同当事人可以就争议请求建设行政主管部门、行业协会或其他第三方进行调解，调解达成协议的，经双方签字并盖章后作为合同补充文件，双方均应遵照执行。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8" w:name="_Toc351203629"/>
      <w:bookmarkStart w:id="569" w:name="_Toc381175668"/>
      <w:bookmarkStart w:id="570" w:name="_Toc296346650"/>
      <w:bookmarkStart w:id="571" w:name="_Toc337558843"/>
      <w:bookmarkStart w:id="572" w:name="_Toc296503149"/>
      <w:r>
        <w:rPr>
          <w:rFonts w:hint="eastAsia" w:ascii="宋体" w:hAnsi="宋体" w:cs="宋体"/>
          <w:color w:val="000000"/>
          <w:kern w:val="0"/>
          <w:sz w:val="24"/>
          <w:szCs w:val="24"/>
        </w:rPr>
        <w:t>20.3争议评审</w:t>
      </w:r>
      <w:bookmarkEnd w:id="568"/>
      <w:bookmarkEnd w:id="569"/>
    </w:p>
    <w:bookmarkEnd w:id="570"/>
    <w:bookmarkEnd w:id="571"/>
    <w:bookmarkEnd w:id="57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合同当事人在专用合同条款中约定采取争议评审方式解决争议以及评审规则，并按下列约定执行：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20.3.1 争议评审小组的确定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除专用合同条款另有约定外，评审员报酬由发包人和承包人各承担一半。</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20.3.3 争议评审小组决定的效力</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任何一方当事人不接受争议评审小组决定或不履行争议评审小组决定的，双方可选择采用其他争议解决方式。</w:t>
      </w:r>
    </w:p>
    <w:p>
      <w:pPr>
        <w:pStyle w:val="4"/>
        <w:spacing w:before="0" w:after="0" w:line="360" w:lineRule="auto"/>
        <w:rPr>
          <w:rFonts w:ascii="宋体" w:hAnsi="宋体" w:cs="宋体"/>
          <w:color w:val="000000"/>
          <w:kern w:val="0"/>
          <w:sz w:val="24"/>
          <w:szCs w:val="24"/>
        </w:rPr>
      </w:pPr>
      <w:bookmarkStart w:id="573" w:name="_Toc381175669"/>
      <w:bookmarkStart w:id="574" w:name="_Toc351203630"/>
      <w:bookmarkStart w:id="575" w:name="_Toc337558844"/>
      <w:bookmarkStart w:id="576" w:name="_Toc296503150"/>
      <w:bookmarkStart w:id="577" w:name="_Toc296346651"/>
      <w:r>
        <w:rPr>
          <w:rFonts w:hint="eastAsia" w:ascii="宋体" w:hAnsi="宋体" w:cs="宋体"/>
          <w:color w:val="000000"/>
          <w:kern w:val="0"/>
          <w:sz w:val="24"/>
          <w:szCs w:val="24"/>
        </w:rPr>
        <w:t>20.4仲裁或诉讼</w:t>
      </w:r>
      <w:bookmarkEnd w:id="573"/>
      <w:bookmarkEnd w:id="574"/>
    </w:p>
    <w:bookmarkEnd w:id="575"/>
    <w:bookmarkEnd w:id="576"/>
    <w:bookmarkEnd w:id="57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（1）向约定的仲裁委员会申请仲裁；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（2）向有管辖权的人民法院起诉。</w:t>
      </w:r>
    </w:p>
    <w:p>
      <w:pPr>
        <w:pStyle w:val="4"/>
        <w:spacing w:before="0" w:after="0" w:line="360" w:lineRule="auto"/>
        <w:rPr>
          <w:rFonts w:ascii="宋体" w:hAnsi="宋体" w:cs="宋体"/>
          <w:color w:val="000000"/>
          <w:kern w:val="0"/>
          <w:sz w:val="24"/>
          <w:szCs w:val="24"/>
        </w:rPr>
      </w:pPr>
      <w:bookmarkStart w:id="578" w:name="_Toc381175670"/>
      <w:bookmarkStart w:id="579" w:name="_Toc351203631"/>
      <w:bookmarkStart w:id="580" w:name="_Toc296503152"/>
      <w:bookmarkStart w:id="581" w:name="_Toc296346653"/>
      <w:bookmarkStart w:id="582" w:name="_Toc337558845"/>
      <w:r>
        <w:rPr>
          <w:rFonts w:hint="eastAsia" w:ascii="宋体" w:hAnsi="宋体" w:cs="宋体"/>
          <w:color w:val="000000"/>
          <w:kern w:val="0"/>
          <w:sz w:val="24"/>
          <w:szCs w:val="24"/>
        </w:rPr>
        <w:t>20.5争议解决条款效力</w:t>
      </w:r>
      <w:bookmarkEnd w:id="578"/>
      <w:bookmarkEnd w:id="579"/>
    </w:p>
    <w:bookmarkEnd w:id="580"/>
    <w:bookmarkEnd w:id="581"/>
    <w:bookmarkEnd w:id="58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合同有关争议解决的条款独立存在，合同的变更、解除、终止、无效或者被撤销均不影响其效力。</w:t>
      </w:r>
    </w:p>
    <w:p>
      <w:pPr>
        <w:pStyle w:val="3"/>
        <w:spacing w:before="0" w:after="0" w:line="360" w:lineRule="auto"/>
        <w:jc w:val="center"/>
        <w:rPr>
          <w:rFonts w:ascii="宋体" w:hAnsi="宋体" w:eastAsia="宋体" w:cs="宋体"/>
          <w:color w:val="000000"/>
          <w:kern w:val="0"/>
          <w:sz w:val="28"/>
          <w:szCs w:val="28"/>
        </w:rPr>
      </w:pPr>
      <w:bookmarkStart w:id="583" w:name="_Toc199151991"/>
      <w:bookmarkStart w:id="584" w:name="_Toc144974734"/>
      <w:bookmarkStart w:id="585" w:name="_Toc152045764"/>
      <w:bookmarkStart w:id="586" w:name="_Toc179632782"/>
      <w:bookmarkStart w:id="587" w:name="_Toc152042543"/>
      <w:r>
        <w:rPr>
          <w:rFonts w:hint="eastAsia" w:ascii="宋体" w:hAnsi="宋体" w:eastAsia="宋体" w:cs="宋体"/>
          <w:color w:val="000000"/>
          <w:kern w:val="0"/>
          <w:sz w:val="28"/>
          <w:szCs w:val="28"/>
        </w:rPr>
        <w:br w:type="page"/>
      </w:r>
      <w:bookmarkStart w:id="588" w:name="_Toc27755"/>
      <w:bookmarkStart w:id="589" w:name="_Toc381175671"/>
      <w:bookmarkStart w:id="590" w:name="_Toc26517"/>
      <w:r>
        <w:rPr>
          <w:rFonts w:hint="eastAsia" w:ascii="宋体" w:hAnsi="宋体" w:eastAsia="宋体" w:cs="宋体"/>
          <w:color w:val="000000"/>
          <w:kern w:val="0"/>
          <w:sz w:val="28"/>
          <w:szCs w:val="28"/>
        </w:rPr>
        <w:t>第二节 专用合同条款</w:t>
      </w:r>
      <w:bookmarkEnd w:id="583"/>
      <w:bookmarkEnd w:id="588"/>
      <w:bookmarkEnd w:id="589"/>
      <w:bookmarkEnd w:id="590"/>
    </w:p>
    <w:bookmarkEnd w:id="584"/>
    <w:bookmarkEnd w:id="585"/>
    <w:bookmarkEnd w:id="586"/>
    <w:bookmarkEnd w:id="587"/>
    <w:p>
      <w:pPr>
        <w:pStyle w:val="3"/>
        <w:spacing w:before="0" w:after="0" w:line="360" w:lineRule="auto"/>
        <w:rPr>
          <w:rFonts w:ascii="宋体" w:hAnsi="宋体" w:eastAsia="宋体" w:cs="宋体"/>
          <w:color w:val="000000"/>
          <w:kern w:val="0"/>
          <w:sz w:val="28"/>
          <w:szCs w:val="28"/>
        </w:rPr>
      </w:pPr>
      <w:bookmarkStart w:id="591" w:name="_Toc275854088"/>
      <w:bookmarkStart w:id="592" w:name="_Toc20021"/>
      <w:bookmarkStart w:id="593" w:name="_Toc199151992"/>
      <w:bookmarkStart w:id="594" w:name="_Toc1342"/>
      <w:bookmarkStart w:id="595" w:name="_Toc381175672"/>
      <w:r>
        <w:rPr>
          <w:rFonts w:hint="eastAsia" w:ascii="宋体" w:hAnsi="宋体" w:eastAsia="宋体" w:cs="宋体"/>
          <w:color w:val="000000"/>
          <w:kern w:val="0"/>
          <w:sz w:val="28"/>
          <w:szCs w:val="28"/>
        </w:rPr>
        <w:t>1. 一般约定</w:t>
      </w:r>
      <w:bookmarkEnd w:id="591"/>
      <w:bookmarkEnd w:id="592"/>
      <w:bookmarkEnd w:id="593"/>
      <w:bookmarkEnd w:id="594"/>
      <w:bookmarkEnd w:id="595"/>
    </w:p>
    <w:p>
      <w:pPr>
        <w:pStyle w:val="4"/>
        <w:spacing w:before="0" w:after="0" w:line="360" w:lineRule="auto"/>
        <w:rPr>
          <w:rFonts w:ascii="宋体" w:hAnsi="宋体" w:cs="宋体"/>
          <w:color w:val="000000"/>
          <w:kern w:val="0"/>
          <w:sz w:val="24"/>
          <w:szCs w:val="24"/>
        </w:rPr>
      </w:pPr>
      <w:bookmarkStart w:id="596" w:name="_Toc381175673"/>
      <w:r>
        <w:rPr>
          <w:rFonts w:hint="eastAsia" w:ascii="宋体" w:hAnsi="宋体" w:cs="宋体"/>
          <w:color w:val="000000"/>
          <w:kern w:val="0"/>
          <w:sz w:val="24"/>
          <w:szCs w:val="24"/>
        </w:rPr>
        <w:t>1.1 词语定义</w:t>
      </w:r>
      <w:bookmarkEnd w:id="59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1.1.1合同</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 合同当事人及其他相关方</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1.1.2.4监理人：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1.1.2.5 设计人：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 工程和设备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1.1.3.7 作为施工现场组成部分的其他场所包括：。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永久占地包括：</w:t>
      </w:r>
      <w:r>
        <w:rPr>
          <w:rFonts w:hint="eastAsia" w:ascii="宋体" w:hAnsi="宋体" w:cs="宋体"/>
          <w:color w:val="000000"/>
          <w:sz w:val="24"/>
          <w:u w:val="single"/>
        </w:rPr>
        <w:t xml:space="preserve">                                </w:t>
      </w:r>
      <w:r>
        <w:rPr>
          <w:rFonts w:hint="eastAsia" w:ascii="宋体" w:hAnsi="宋体" w:cs="宋体"/>
          <w:color w:val="000000"/>
          <w:kern w:val="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1.1.3.10 临时占地包括：</w:t>
      </w:r>
      <w:r>
        <w:rPr>
          <w:rFonts w:hint="eastAsia" w:ascii="宋体" w:hAnsi="宋体" w:cs="宋体"/>
          <w:color w:val="000000"/>
          <w:sz w:val="24"/>
          <w:u w:val="single"/>
        </w:rPr>
        <w:t xml:space="preserve">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597" w:name="_Toc381175674"/>
      <w:r>
        <w:rPr>
          <w:rFonts w:hint="eastAsia" w:ascii="宋体" w:hAnsi="宋体" w:cs="宋体"/>
          <w:color w:val="000000"/>
          <w:kern w:val="0"/>
          <w:sz w:val="24"/>
          <w:szCs w:val="24"/>
        </w:rPr>
        <w:t>1.3法律</w:t>
      </w:r>
      <w:bookmarkEnd w:id="597"/>
    </w:p>
    <w:p>
      <w:pPr>
        <w:autoSpaceDE w:val="0"/>
        <w:autoSpaceDN w:val="0"/>
        <w:adjustRightInd w:val="0"/>
        <w:spacing w:line="360" w:lineRule="auto"/>
        <w:ind w:firstLine="360" w:firstLineChars="150"/>
        <w:jc w:val="left"/>
        <w:rPr>
          <w:rFonts w:ascii="宋体" w:hAnsi="宋体" w:cs="宋体"/>
          <w:color w:val="000000"/>
          <w:sz w:val="24"/>
        </w:rPr>
      </w:pPr>
      <w:r>
        <w:rPr>
          <w:rFonts w:hint="eastAsia" w:ascii="宋体" w:hAnsi="宋体" w:cs="宋体"/>
          <w:color w:val="000000"/>
          <w:sz w:val="24"/>
        </w:rPr>
        <w:t>适用于合同的其他规范性文件：。</w:t>
      </w:r>
    </w:p>
    <w:p>
      <w:pPr>
        <w:pStyle w:val="4"/>
        <w:spacing w:before="0" w:after="0" w:line="360" w:lineRule="auto"/>
        <w:rPr>
          <w:rFonts w:ascii="宋体" w:hAnsi="宋体" w:cs="宋体"/>
          <w:color w:val="000000"/>
          <w:kern w:val="0"/>
          <w:sz w:val="24"/>
          <w:szCs w:val="24"/>
        </w:rPr>
      </w:pPr>
      <w:bookmarkStart w:id="598" w:name="_Toc381175675"/>
      <w:r>
        <w:rPr>
          <w:rFonts w:hint="eastAsia" w:ascii="宋体" w:hAnsi="宋体" w:cs="宋体"/>
          <w:color w:val="000000"/>
          <w:kern w:val="0"/>
          <w:sz w:val="24"/>
          <w:szCs w:val="24"/>
        </w:rPr>
        <w:t>1.4 标准和规范</w:t>
      </w:r>
      <w:bookmarkEnd w:id="598"/>
    </w:p>
    <w:p>
      <w:pPr>
        <w:spacing w:line="360" w:lineRule="auto"/>
        <w:rPr>
          <w:rFonts w:ascii="宋体" w:hAnsi="宋体" w:cs="宋体"/>
          <w:color w:val="000000"/>
          <w:sz w:val="24"/>
        </w:rPr>
      </w:pPr>
      <w:r>
        <w:rPr>
          <w:rFonts w:hint="eastAsia" w:ascii="宋体" w:hAnsi="宋体" w:cs="宋体"/>
          <w:color w:val="000000"/>
          <w:sz w:val="24"/>
        </w:rPr>
        <w:t>1.4.1适用于工程的标准规范包括：</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1.4.2 发包人提供国外标准、规范的名称：；</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发包人提供国外标准、规范的份数：；</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发包人提供国外标准、规范的名称：。</w:t>
      </w:r>
    </w:p>
    <w:p>
      <w:pPr>
        <w:spacing w:line="360" w:lineRule="auto"/>
        <w:rPr>
          <w:rFonts w:ascii="宋体" w:hAnsi="宋体" w:cs="宋体"/>
          <w:color w:val="000000"/>
          <w:sz w:val="24"/>
        </w:rPr>
      </w:pPr>
      <w:r>
        <w:rPr>
          <w:rFonts w:hint="eastAsia" w:ascii="宋体" w:hAnsi="宋体" w:cs="宋体"/>
          <w:color w:val="000000"/>
          <w:sz w:val="24"/>
        </w:rPr>
        <w:t>1.4.3发包人对工程的技术标准和功能要求的特殊要求：。</w:t>
      </w:r>
    </w:p>
    <w:p>
      <w:pPr>
        <w:pStyle w:val="4"/>
        <w:spacing w:before="0" w:after="0" w:line="360" w:lineRule="auto"/>
        <w:rPr>
          <w:rFonts w:ascii="宋体" w:hAnsi="宋体" w:cs="宋体"/>
          <w:color w:val="000000"/>
          <w:kern w:val="0"/>
          <w:sz w:val="24"/>
          <w:szCs w:val="24"/>
        </w:rPr>
      </w:pPr>
      <w:bookmarkStart w:id="599" w:name="_Toc381175676"/>
      <w:r>
        <w:rPr>
          <w:rFonts w:hint="eastAsia" w:ascii="宋体" w:hAnsi="宋体" w:cs="宋体"/>
          <w:color w:val="000000"/>
          <w:kern w:val="0"/>
          <w:sz w:val="24"/>
          <w:szCs w:val="24"/>
        </w:rPr>
        <w:t>1.5 合同文件的优先顺序</w:t>
      </w:r>
      <w:bookmarkEnd w:id="599"/>
    </w:p>
    <w:p>
      <w:pPr>
        <w:spacing w:line="360" w:lineRule="auto"/>
        <w:ind w:firstLine="480" w:firstLineChars="200"/>
        <w:rPr>
          <w:rFonts w:ascii="宋体" w:hAnsi="宋体" w:cs="宋体"/>
          <w:color w:val="000000"/>
          <w:sz w:val="24"/>
        </w:rPr>
      </w:pPr>
      <w:r>
        <w:rPr>
          <w:rFonts w:hint="eastAsia" w:ascii="宋体" w:hAnsi="宋体" w:cs="宋体"/>
          <w:color w:val="000000"/>
          <w:sz w:val="24"/>
        </w:rPr>
        <w:t>合同文件组成及优先顺序为：。</w:t>
      </w:r>
    </w:p>
    <w:p>
      <w:pPr>
        <w:pStyle w:val="4"/>
        <w:spacing w:before="0" w:after="0" w:line="360" w:lineRule="auto"/>
        <w:rPr>
          <w:rFonts w:ascii="宋体" w:hAnsi="宋体" w:cs="宋体"/>
          <w:color w:val="000000"/>
          <w:kern w:val="0"/>
          <w:sz w:val="24"/>
          <w:szCs w:val="24"/>
        </w:rPr>
      </w:pPr>
      <w:bookmarkStart w:id="600" w:name="_Toc381175677"/>
      <w:r>
        <w:rPr>
          <w:rFonts w:hint="eastAsia" w:ascii="宋体" w:hAnsi="宋体" w:cs="宋体"/>
          <w:color w:val="000000"/>
          <w:kern w:val="0"/>
          <w:sz w:val="24"/>
          <w:szCs w:val="24"/>
        </w:rPr>
        <w:t>1.6 图纸和承包人文件</w:t>
      </w:r>
      <w:bookmarkEnd w:id="600"/>
      <w:r>
        <w:rPr>
          <w:rFonts w:hint="eastAsia" w:ascii="宋体" w:hAnsi="宋体" w:cs="宋体"/>
          <w:color w:val="000000"/>
          <w:kern w:val="0"/>
          <w:sz w:val="24"/>
          <w:szCs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1.6.1 图纸的提供</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发包人向承包人提供图纸的数量：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1.6.4 承包人文件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承包人提供的文件的期限为：</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承包人提供的文件的数量为：</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1.6.5 现场图纸准备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关于现场图纸准备的约定：</w:t>
      </w:r>
      <w:r>
        <w:rPr>
          <w:rFonts w:hint="eastAsia" w:ascii="宋体" w:hAnsi="宋体" w:cs="宋体"/>
          <w:color w:val="000000"/>
          <w:sz w:val="24"/>
          <w:u w:val="single"/>
        </w:rPr>
        <w:t>         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01" w:name="_Toc381175678"/>
      <w:r>
        <w:rPr>
          <w:rFonts w:hint="eastAsia" w:ascii="宋体" w:hAnsi="宋体" w:cs="宋体"/>
          <w:color w:val="000000"/>
          <w:kern w:val="0"/>
          <w:sz w:val="24"/>
          <w:szCs w:val="24"/>
        </w:rPr>
        <w:t>1.7 联络</w:t>
      </w:r>
      <w:bookmarkEnd w:id="601"/>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 xml:space="preserve">    </w:t>
      </w:r>
      <w:r>
        <w:rPr>
          <w:rFonts w:hint="eastAsia" w:ascii="宋体" w:hAnsi="宋体" w:cs="宋体"/>
          <w:color w:val="000000"/>
          <w:kern w:val="0"/>
          <w:sz w:val="24"/>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 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监理人指定的接收人为：</w:t>
      </w:r>
      <w:r>
        <w:rPr>
          <w:rFonts w:hint="eastAsia" w:ascii="宋体" w:hAnsi="宋体" w:cs="宋体"/>
          <w:color w:val="000000"/>
          <w:sz w:val="24"/>
          <w:u w:val="single"/>
        </w:rPr>
        <w:t>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02" w:name="_Toc381175679"/>
      <w:r>
        <w:rPr>
          <w:rFonts w:hint="eastAsia" w:ascii="宋体" w:hAnsi="宋体" w:cs="宋体"/>
          <w:color w:val="000000"/>
          <w:kern w:val="0"/>
          <w:sz w:val="24"/>
          <w:szCs w:val="24"/>
        </w:rPr>
        <w:t>1.10 交通运输</w:t>
      </w:r>
      <w:bookmarkEnd w:id="602"/>
    </w:p>
    <w:p>
      <w:pPr>
        <w:spacing w:line="360" w:lineRule="auto"/>
        <w:ind w:firstLine="480" w:firstLineChars="200"/>
        <w:rPr>
          <w:rFonts w:ascii="宋体" w:hAnsi="宋体" w:cs="宋体"/>
          <w:color w:val="000000"/>
          <w:sz w:val="24"/>
        </w:rPr>
      </w:pPr>
      <w:r>
        <w:rPr>
          <w:rFonts w:hint="eastAsia" w:ascii="宋体" w:hAnsi="宋体" w:cs="宋体"/>
          <w:color w:val="000000"/>
          <w:sz w:val="24"/>
        </w:rPr>
        <w:t>1</w:t>
      </w:r>
      <w:bookmarkStart w:id="603" w:name="_Toc303539100"/>
      <w:bookmarkStart w:id="604" w:name="_Toc304295521"/>
      <w:bookmarkStart w:id="605" w:name="_Toc318581155"/>
      <w:bookmarkStart w:id="606" w:name="_Toc300934943"/>
      <w:bookmarkStart w:id="607" w:name="_Toc312677986"/>
      <w:r>
        <w:rPr>
          <w:rFonts w:hint="eastAsia" w:ascii="宋体" w:hAnsi="宋体" w:cs="宋体"/>
          <w:color w:val="000000"/>
          <w:sz w:val="24"/>
        </w:rPr>
        <w:t>.10.1 出入现场的权利</w:t>
      </w:r>
    </w:p>
    <w:p>
      <w:pPr>
        <w:spacing w:line="360" w:lineRule="auto"/>
        <w:rPr>
          <w:rFonts w:ascii="宋体" w:hAnsi="宋体" w:cs="宋体"/>
          <w:color w:val="000000"/>
          <w:sz w:val="24"/>
        </w:rPr>
      </w:pPr>
      <w:r>
        <w:rPr>
          <w:rFonts w:hint="eastAsia" w:ascii="宋体" w:hAnsi="宋体" w:cs="宋体"/>
          <w:color w:val="000000"/>
          <w:sz w:val="24"/>
        </w:rPr>
        <w:t>关于出入现场的权利的约定：</w:t>
      </w:r>
      <w:r>
        <w:rPr>
          <w:rFonts w:hint="eastAsia" w:ascii="宋体" w:hAnsi="宋体" w:cs="宋体"/>
          <w:color w:val="000000"/>
          <w:sz w:val="24"/>
          <w:u w:val="single"/>
        </w:rPr>
        <w:t xml:space="preserve">                                    </w:t>
      </w:r>
      <w:r>
        <w:rPr>
          <w:rFonts w:hint="eastAsia" w:ascii="宋体" w:hAnsi="宋体" w:cs="宋体"/>
          <w:color w:val="000000"/>
          <w:sz w:val="24"/>
        </w:rPr>
        <w:t>。</w:t>
      </w:r>
    </w:p>
    <w:bookmarkEnd w:id="603"/>
    <w:bookmarkEnd w:id="604"/>
    <w:bookmarkEnd w:id="605"/>
    <w:bookmarkEnd w:id="606"/>
    <w:bookmarkEnd w:id="607"/>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608" w:name="_Toc318581156"/>
      <w:bookmarkStart w:id="609" w:name="_Toc312677987"/>
      <w:bookmarkStart w:id="610" w:name="_Toc304295522"/>
      <w:bookmarkStart w:id="611" w:name="_Toc303539101"/>
      <w:bookmarkStart w:id="612" w:name="_Toc300934944"/>
      <w:r>
        <w:rPr>
          <w:rFonts w:hint="eastAsia" w:ascii="宋体" w:hAnsi="宋体" w:cs="宋体"/>
          <w:color w:val="000000"/>
          <w:sz w:val="24"/>
        </w:rPr>
        <w:t>.10.3 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关于发包人向承包人免费提供满足工程施工需要的场内道路和交通设施的约定：</w:t>
      </w:r>
      <w:r>
        <w:rPr>
          <w:rFonts w:hint="eastAsia" w:ascii="宋体" w:hAnsi="宋体" w:cs="宋体"/>
          <w:color w:val="000000"/>
          <w:sz w:val="24"/>
          <w:u w:val="single"/>
        </w:rPr>
        <w:t>  </w:t>
      </w:r>
      <w:bookmarkEnd w:id="608"/>
      <w:bookmarkEnd w:id="609"/>
      <w:bookmarkEnd w:id="610"/>
      <w:bookmarkEnd w:id="611"/>
      <w:bookmarkEnd w:id="612"/>
      <w:bookmarkStart w:id="613" w:name="_Toc318581157"/>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1.10.4超大件和超重件的运输</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运输超大件或超重件所需的道路和桥梁临时加固改造费用和其他有关费用由承担。</w:t>
      </w:r>
    </w:p>
    <w:bookmarkEnd w:id="613"/>
    <w:p>
      <w:pPr>
        <w:pStyle w:val="4"/>
        <w:spacing w:before="0" w:after="0" w:line="360" w:lineRule="auto"/>
        <w:rPr>
          <w:rFonts w:ascii="宋体" w:hAnsi="宋体" w:cs="宋体"/>
          <w:color w:val="000000"/>
          <w:kern w:val="0"/>
          <w:sz w:val="24"/>
          <w:szCs w:val="24"/>
        </w:rPr>
      </w:pPr>
      <w:bookmarkStart w:id="614" w:name="_Toc381175680"/>
      <w:r>
        <w:rPr>
          <w:rFonts w:hint="eastAsia" w:ascii="宋体" w:hAnsi="宋体" w:cs="宋体"/>
          <w:color w:val="000000"/>
          <w:kern w:val="0"/>
          <w:sz w:val="24"/>
          <w:szCs w:val="24"/>
        </w:rPr>
        <w:t>1.11 知识产权</w:t>
      </w:r>
      <w:bookmarkEnd w:id="614"/>
    </w:p>
    <w:p>
      <w:pPr>
        <w:spacing w:line="360" w:lineRule="auto"/>
        <w:rPr>
          <w:rFonts w:ascii="宋体" w:hAnsi="宋体" w:cs="宋体"/>
          <w:color w:val="000000"/>
          <w:sz w:val="24"/>
        </w:rPr>
      </w:pPr>
      <w:r>
        <w:rPr>
          <w:rFonts w:hint="eastAsia" w:ascii="宋体" w:hAnsi="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关于发包人提供的上述文件的使用限制的要求：。</w:t>
      </w:r>
    </w:p>
    <w:p>
      <w:pPr>
        <w:spacing w:line="360" w:lineRule="auto"/>
        <w:rPr>
          <w:rFonts w:ascii="宋体" w:hAnsi="宋体" w:cs="宋体"/>
          <w:color w:val="000000"/>
          <w:sz w:val="24"/>
        </w:rPr>
      </w:pPr>
      <w:r>
        <w:rPr>
          <w:rFonts w:hint="eastAsia" w:ascii="宋体" w:hAnsi="宋体" w:cs="宋体"/>
          <w:color w:val="000000"/>
          <w:sz w:val="24"/>
        </w:rPr>
        <w:t>1.11.2 关于承包人为实施工程所编制文件的著作权的归属：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关于承包人提供的上述文件的使用限制的要求：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1.11.4 承包人在施工过程中所采用的专利、专有技术、技术秘密的使用费的承担方式：</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15" w:name="_Toc381175681"/>
      <w:r>
        <w:rPr>
          <w:rFonts w:hint="eastAsia" w:ascii="宋体" w:hAnsi="宋体" w:cs="宋体"/>
          <w:color w:val="000000"/>
          <w:kern w:val="0"/>
          <w:sz w:val="24"/>
          <w:szCs w:val="24"/>
        </w:rPr>
        <w:t>1.13工程量清单错误的修正</w:t>
      </w:r>
      <w:bookmarkEnd w:id="615"/>
    </w:p>
    <w:p>
      <w:pPr>
        <w:spacing w:line="360" w:lineRule="auto"/>
        <w:ind w:firstLine="480" w:firstLineChars="200"/>
        <w:rPr>
          <w:rFonts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 xml:space="preserve">                    </w:t>
      </w:r>
      <w:r>
        <w:rPr>
          <w:rFonts w:hint="eastAsia" w:ascii="宋体" w:hAnsi="宋体" w:cs="宋体"/>
          <w:color w:val="000000"/>
          <w:kern w:val="0"/>
          <w:sz w:val="24"/>
        </w:rPr>
        <w:t>。</w:t>
      </w:r>
    </w:p>
    <w:p>
      <w:pPr>
        <w:spacing w:line="360" w:lineRule="auto"/>
        <w:rPr>
          <w:rFonts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3"/>
        <w:spacing w:before="0" w:after="0" w:line="360" w:lineRule="auto"/>
        <w:rPr>
          <w:rFonts w:ascii="宋体" w:hAnsi="宋体" w:eastAsia="宋体" w:cs="宋体"/>
          <w:color w:val="000000"/>
          <w:kern w:val="0"/>
          <w:sz w:val="28"/>
          <w:szCs w:val="28"/>
        </w:rPr>
      </w:pPr>
      <w:bookmarkStart w:id="616" w:name="_Toc351203634"/>
      <w:bookmarkStart w:id="617" w:name="_Toc31885"/>
      <w:bookmarkStart w:id="618" w:name="_Toc7553"/>
      <w:bookmarkStart w:id="619" w:name="_Toc381175682"/>
      <w:r>
        <w:rPr>
          <w:rFonts w:hint="eastAsia" w:ascii="宋体" w:hAnsi="宋体" w:eastAsia="宋体" w:cs="宋体"/>
          <w:color w:val="000000"/>
          <w:kern w:val="0"/>
          <w:sz w:val="28"/>
          <w:szCs w:val="28"/>
        </w:rPr>
        <w:t>2</w:t>
      </w:r>
      <w:bookmarkStart w:id="620" w:name="_Toc296944496"/>
      <w:bookmarkStart w:id="621" w:name="_Toc296347156"/>
      <w:bookmarkStart w:id="622" w:name="_Toc292559867"/>
      <w:bookmarkStart w:id="623" w:name="_Toc292559362"/>
      <w:bookmarkStart w:id="624" w:name="_Toc297120457"/>
      <w:bookmarkStart w:id="625" w:name="_Toc296890985"/>
      <w:bookmarkStart w:id="626" w:name="_Toc297048343"/>
      <w:bookmarkStart w:id="627" w:name="_Toc296346658"/>
      <w:bookmarkStart w:id="628" w:name="_Toc296891197"/>
      <w:bookmarkStart w:id="629" w:name="_Toc296503157"/>
      <w:r>
        <w:rPr>
          <w:rFonts w:hint="eastAsia" w:ascii="宋体" w:hAnsi="宋体" w:eastAsia="宋体" w:cs="宋体"/>
          <w:color w:val="000000"/>
          <w:kern w:val="0"/>
          <w:sz w:val="28"/>
          <w:szCs w:val="28"/>
        </w:rPr>
        <w:t>. 发包人</w:t>
      </w:r>
      <w:bookmarkEnd w:id="616"/>
      <w:bookmarkEnd w:id="617"/>
      <w:bookmarkEnd w:id="618"/>
      <w:bookmarkEnd w:id="619"/>
    </w:p>
    <w:bookmarkEnd w:id="620"/>
    <w:bookmarkEnd w:id="621"/>
    <w:bookmarkEnd w:id="622"/>
    <w:bookmarkEnd w:id="623"/>
    <w:bookmarkEnd w:id="624"/>
    <w:bookmarkEnd w:id="625"/>
    <w:bookmarkEnd w:id="626"/>
    <w:bookmarkEnd w:id="627"/>
    <w:bookmarkEnd w:id="628"/>
    <w:bookmarkEnd w:id="629"/>
    <w:p>
      <w:pPr>
        <w:pStyle w:val="4"/>
        <w:spacing w:before="0" w:after="0" w:line="360" w:lineRule="auto"/>
        <w:rPr>
          <w:rFonts w:ascii="宋体" w:hAnsi="宋体" w:cs="宋体"/>
          <w:color w:val="000000"/>
          <w:kern w:val="0"/>
          <w:sz w:val="24"/>
          <w:szCs w:val="24"/>
        </w:rPr>
      </w:pPr>
      <w:bookmarkStart w:id="630" w:name="_Toc381175683"/>
      <w:r>
        <w:rPr>
          <w:rFonts w:hint="eastAsia" w:ascii="宋体" w:hAnsi="宋体" w:cs="宋体"/>
          <w:color w:val="000000"/>
          <w:kern w:val="0"/>
          <w:sz w:val="24"/>
          <w:szCs w:val="24"/>
        </w:rPr>
        <w:t>2.2 发包人代表</w:t>
      </w:r>
      <w:bookmarkEnd w:id="630"/>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发包人代表：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rPr>
          <w:rFonts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31" w:name="_Toc381175684"/>
      <w:r>
        <w:rPr>
          <w:rFonts w:hint="eastAsia" w:ascii="宋体" w:hAnsi="宋体" w:cs="宋体"/>
          <w:color w:val="000000"/>
          <w:kern w:val="0"/>
          <w:sz w:val="24"/>
          <w:szCs w:val="24"/>
        </w:rPr>
        <w:t>2.4 施工现场、施工条件和基础资料的提供</w:t>
      </w:r>
      <w:bookmarkEnd w:id="631"/>
    </w:p>
    <w:p>
      <w:pPr>
        <w:spacing w:line="360" w:lineRule="auto"/>
        <w:ind w:firstLine="480" w:firstLineChars="200"/>
        <w:rPr>
          <w:rFonts w:ascii="宋体" w:hAnsi="宋体" w:cs="宋体"/>
          <w:color w:val="000000"/>
          <w:sz w:val="24"/>
        </w:rPr>
      </w:pPr>
      <w:r>
        <w:rPr>
          <w:rFonts w:hint="eastAsia" w:ascii="宋体" w:hAnsi="宋体" w:cs="宋体"/>
          <w:color w:val="000000"/>
          <w:sz w:val="24"/>
        </w:rPr>
        <w:t>2.4.1 提供施工现场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2.4.2 提供施工条件</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关于发包人应负责提供施工所需要的条件，包括：。</w:t>
      </w:r>
    </w:p>
    <w:p>
      <w:pPr>
        <w:pStyle w:val="4"/>
        <w:spacing w:before="0" w:after="0" w:line="360" w:lineRule="auto"/>
        <w:rPr>
          <w:rFonts w:ascii="宋体" w:hAnsi="宋体" w:cs="宋体"/>
          <w:color w:val="000000"/>
          <w:kern w:val="0"/>
          <w:sz w:val="24"/>
          <w:szCs w:val="24"/>
        </w:rPr>
      </w:pPr>
      <w:bookmarkStart w:id="632" w:name="_Toc381175685"/>
      <w:r>
        <w:rPr>
          <w:rFonts w:hint="eastAsia" w:ascii="宋体" w:hAnsi="宋体" w:cs="宋体"/>
          <w:color w:val="000000"/>
          <w:kern w:val="0"/>
          <w:sz w:val="24"/>
          <w:szCs w:val="24"/>
        </w:rPr>
        <w:t>2.5 资金来源证明及支付担保</w:t>
      </w:r>
      <w:bookmarkEnd w:id="632"/>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                             </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633" w:name="_Toc351203635"/>
      <w:bookmarkStart w:id="634" w:name="_Toc19246"/>
      <w:bookmarkStart w:id="635" w:name="_Toc11728"/>
      <w:bookmarkStart w:id="636" w:name="_Toc381175686"/>
      <w:r>
        <w:rPr>
          <w:rFonts w:hint="eastAsia" w:ascii="宋体" w:hAnsi="宋体" w:eastAsia="宋体" w:cs="宋体"/>
          <w:color w:val="000000"/>
          <w:kern w:val="0"/>
          <w:sz w:val="28"/>
          <w:szCs w:val="28"/>
        </w:rPr>
        <w:t>3</w:t>
      </w:r>
      <w:bookmarkStart w:id="637" w:name="_Toc292559868"/>
      <w:bookmarkStart w:id="638" w:name="_Toc297120458"/>
      <w:bookmarkStart w:id="639" w:name="_Toc296347157"/>
      <w:bookmarkStart w:id="640" w:name="_Toc296890986"/>
      <w:bookmarkStart w:id="641" w:name="_Toc292559363"/>
      <w:bookmarkStart w:id="642" w:name="_Toc296944497"/>
      <w:bookmarkStart w:id="643" w:name="_Toc296346659"/>
      <w:bookmarkStart w:id="644" w:name="_Toc296891198"/>
      <w:bookmarkStart w:id="645" w:name="_Toc297048344"/>
      <w:bookmarkStart w:id="646" w:name="_Toc296503158"/>
      <w:r>
        <w:rPr>
          <w:rFonts w:hint="eastAsia" w:ascii="宋体" w:hAnsi="宋体" w:eastAsia="宋体" w:cs="宋体"/>
          <w:color w:val="000000"/>
          <w:kern w:val="0"/>
          <w:sz w:val="28"/>
          <w:szCs w:val="28"/>
        </w:rPr>
        <w:t>. 承包人</w:t>
      </w:r>
      <w:bookmarkEnd w:id="633"/>
      <w:bookmarkEnd w:id="634"/>
      <w:bookmarkEnd w:id="635"/>
      <w:bookmarkEnd w:id="636"/>
    </w:p>
    <w:bookmarkEnd w:id="637"/>
    <w:bookmarkEnd w:id="638"/>
    <w:bookmarkEnd w:id="639"/>
    <w:bookmarkEnd w:id="640"/>
    <w:bookmarkEnd w:id="641"/>
    <w:bookmarkEnd w:id="642"/>
    <w:bookmarkEnd w:id="643"/>
    <w:bookmarkEnd w:id="644"/>
    <w:bookmarkEnd w:id="645"/>
    <w:bookmarkEnd w:id="646"/>
    <w:p>
      <w:pPr>
        <w:pStyle w:val="4"/>
        <w:spacing w:before="0" w:after="0" w:line="360" w:lineRule="auto"/>
        <w:rPr>
          <w:rFonts w:ascii="宋体" w:hAnsi="宋体" w:cs="宋体"/>
          <w:color w:val="000000"/>
          <w:kern w:val="0"/>
          <w:sz w:val="24"/>
          <w:szCs w:val="24"/>
        </w:rPr>
      </w:pPr>
      <w:bookmarkStart w:id="647" w:name="_Toc381175687"/>
      <w:r>
        <w:rPr>
          <w:rFonts w:hint="eastAsia" w:ascii="宋体" w:hAnsi="宋体" w:cs="宋体"/>
          <w:color w:val="000000"/>
          <w:kern w:val="0"/>
          <w:sz w:val="24"/>
          <w:szCs w:val="24"/>
        </w:rPr>
        <w:t>3.1 承包人的一般义务</w:t>
      </w:r>
      <w:bookmarkEnd w:id="647"/>
    </w:p>
    <w:p>
      <w:pPr>
        <w:spacing w:line="360" w:lineRule="auto"/>
        <w:jc w:val="left"/>
        <w:rPr>
          <w:rFonts w:ascii="宋体" w:hAnsi="宋体" w:cs="宋体"/>
          <w:color w:val="000000"/>
          <w:sz w:val="24"/>
        </w:rPr>
      </w:pPr>
      <w:r>
        <w:rPr>
          <w:rFonts w:hint="eastAsia" w:ascii="宋体" w:hAnsi="宋体" w:cs="宋体"/>
          <w:color w:val="000000"/>
          <w:kern w:val="0"/>
          <w:sz w:val="24"/>
        </w:rPr>
        <w:t>（5）</w:t>
      </w:r>
      <w:r>
        <w:rPr>
          <w:rFonts w:hint="eastAsia" w:ascii="宋体" w:hAnsi="宋体" w:cs="宋体"/>
          <w:color w:val="000000"/>
          <w:sz w:val="24"/>
        </w:rPr>
        <w:t>承包人提交的竣工资料的内容：。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承包人需要提交的竣工资料套数：。</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承包人提交的竣工资料的费用承担：。</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承包人提交的竣工资料移交时间：。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承包人提交的竣工资料形式要求：。</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（6）承包人应履行的其他义务：</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8" w:name="_Toc381175688"/>
      <w:r>
        <w:rPr>
          <w:rFonts w:hint="eastAsia" w:ascii="宋体" w:hAnsi="宋体" w:cs="宋体"/>
          <w:color w:val="000000"/>
          <w:kern w:val="0"/>
          <w:sz w:val="24"/>
          <w:szCs w:val="24"/>
        </w:rPr>
        <w:t>3.2 项目经理</w:t>
      </w:r>
      <w:bookmarkEnd w:id="648"/>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建造师执业资格等级：</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建造师注册证书号：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建造师执业印章号：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安全生产考核合格证书号：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 xml:space="preserve">    3.2.4 承包人无正当理由拒绝更换项目经理的违约责任：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9" w:name="_Toc381175689"/>
      <w:r>
        <w:rPr>
          <w:rFonts w:hint="eastAsia" w:ascii="宋体" w:hAnsi="宋体" w:cs="宋体"/>
          <w:color w:val="000000"/>
          <w:kern w:val="0"/>
          <w:sz w:val="24"/>
          <w:szCs w:val="24"/>
        </w:rPr>
        <w:t>3.3 承包人人员</w:t>
      </w:r>
      <w:bookmarkEnd w:id="649"/>
    </w:p>
    <w:p>
      <w:pPr>
        <w:spacing w:line="360" w:lineRule="auto"/>
        <w:ind w:firstLine="480" w:firstLineChars="200"/>
        <w:rPr>
          <w:rFonts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 xml:space="preserve">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 xml:space="preserve">                          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   </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3.3.5承包人擅自更换主要施工管理人员的违约责任：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承包人主要施工管理人员擅自离开施工现场的违约责任：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50" w:name="_Toc381175690"/>
      <w:r>
        <w:rPr>
          <w:rFonts w:hint="eastAsia" w:ascii="宋体" w:hAnsi="宋体" w:cs="宋体"/>
          <w:color w:val="000000"/>
          <w:kern w:val="0"/>
          <w:sz w:val="24"/>
          <w:szCs w:val="24"/>
        </w:rPr>
        <w:t>3</w:t>
      </w:r>
      <w:bookmarkStart w:id="651" w:name="_Toc292559364"/>
      <w:bookmarkStart w:id="652" w:name="_Toc292559869"/>
      <w:bookmarkStart w:id="653" w:name="_Toc297120459"/>
      <w:bookmarkStart w:id="654" w:name="_Toc296346660"/>
      <w:bookmarkStart w:id="655" w:name="_Toc297216151"/>
      <w:bookmarkStart w:id="656" w:name="_Toc296503159"/>
      <w:bookmarkStart w:id="657" w:name="_Toc296890987"/>
      <w:bookmarkStart w:id="658" w:name="_Toc296944498"/>
      <w:bookmarkStart w:id="659" w:name="_Toc304295523"/>
      <w:bookmarkStart w:id="660" w:name="_Toc297048345"/>
      <w:bookmarkStart w:id="661" w:name="_Toc296347158"/>
      <w:bookmarkStart w:id="662" w:name="_Toc300934945"/>
      <w:bookmarkStart w:id="663" w:name="_Toc296891199"/>
      <w:bookmarkStart w:id="664" w:name="_Toc303539102"/>
      <w:bookmarkStart w:id="665" w:name="_Toc297123492"/>
      <w:bookmarkStart w:id="666" w:name="_Toc312677988"/>
      <w:r>
        <w:rPr>
          <w:rFonts w:hint="eastAsia" w:ascii="宋体" w:hAnsi="宋体" w:cs="宋体"/>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spacing w:line="360" w:lineRule="auto"/>
        <w:ind w:firstLine="480" w:firstLineChars="200"/>
        <w:rPr>
          <w:rFonts w:ascii="宋体" w:hAnsi="宋体" w:cs="宋体"/>
          <w:color w:val="000000"/>
          <w:sz w:val="24"/>
        </w:rPr>
      </w:pPr>
      <w:r>
        <w:rPr>
          <w:rFonts w:hint="eastAsia" w:ascii="宋体" w:hAnsi="宋体" w:cs="宋体"/>
          <w:color w:val="000000"/>
          <w:sz w:val="24"/>
        </w:rPr>
        <w:t>3</w:t>
      </w:r>
      <w:bookmarkStart w:id="667" w:name="_Toc297120460"/>
      <w:bookmarkStart w:id="668" w:name="_Toc296890988"/>
      <w:bookmarkStart w:id="669" w:name="_Toc296346661"/>
      <w:bookmarkStart w:id="670" w:name="_Toc304295524"/>
      <w:bookmarkStart w:id="671" w:name="_Toc297048346"/>
      <w:bookmarkStart w:id="672" w:name="_Toc292559870"/>
      <w:bookmarkStart w:id="673" w:name="_Toc300934946"/>
      <w:bookmarkStart w:id="674" w:name="_Toc303539103"/>
      <w:bookmarkStart w:id="675" w:name="_Toc296347159"/>
      <w:bookmarkStart w:id="676" w:name="_Toc292559365"/>
      <w:bookmarkStart w:id="677" w:name="_Toc296891200"/>
      <w:bookmarkStart w:id="678" w:name="_Toc296503160"/>
      <w:bookmarkStart w:id="679" w:name="_Toc297216152"/>
      <w:bookmarkStart w:id="680" w:name="_Toc296944499"/>
      <w:bookmarkStart w:id="681" w:name="_Toc297123493"/>
      <w:bookmarkStart w:id="682" w:name="_Toc312677989"/>
      <w:bookmarkStart w:id="683" w:name="_Toc318581158"/>
      <w:r>
        <w:rPr>
          <w:rFonts w:hint="eastAsia" w:ascii="宋体" w:hAnsi="宋体" w:cs="宋体"/>
          <w:color w:val="000000"/>
          <w:sz w:val="24"/>
        </w:rPr>
        <w:t>.5.1 分包的一般约定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禁止分包的工程包括：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jc w:val="left"/>
        <w:rPr>
          <w:rFonts w:ascii="宋体" w:hAnsi="宋体" w:cs="宋体"/>
          <w:color w:val="000000"/>
          <w:sz w:val="24"/>
          <w:u w:val="single"/>
        </w:rPr>
      </w:pPr>
      <w:r>
        <w:rPr>
          <w:rFonts w:hint="eastAsia" w:ascii="宋体" w:hAnsi="宋体" w:cs="宋体"/>
          <w:color w:val="000000"/>
          <w:sz w:val="24"/>
        </w:rPr>
        <w:t>主体结构、关键性工作的范围：</w:t>
      </w:r>
      <w:r>
        <w:rPr>
          <w:rFonts w:hint="eastAsia" w:ascii="宋体" w:hAnsi="宋体" w:cs="宋体"/>
          <w:color w:val="000000"/>
          <w:sz w:val="24"/>
          <w:u w:val="single"/>
        </w:rPr>
        <w:t xml:space="preserve">                                </w:t>
      </w:r>
      <w:r>
        <w:rPr>
          <w:rFonts w:hint="eastAsia" w:ascii="宋体" w:hAnsi="宋体" w:cs="宋体"/>
          <w:color w:val="000000"/>
          <w:sz w:val="24"/>
        </w:rPr>
        <w:t>。</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Start w:id="684" w:name="_Toc297123494"/>
      <w:bookmarkStart w:id="685" w:name="_Toc296891201"/>
      <w:bookmarkStart w:id="686" w:name="_Toc296890989"/>
      <w:bookmarkStart w:id="687" w:name="_Toc296944500"/>
      <w:bookmarkStart w:id="688" w:name="_Toc297120461"/>
      <w:bookmarkStart w:id="689" w:name="_Toc297048347"/>
      <w:bookmarkStart w:id="690" w:name="_Toc300934947"/>
      <w:bookmarkStart w:id="691" w:name="_Toc303539104"/>
      <w:bookmarkStart w:id="692" w:name="_Toc296347160"/>
      <w:bookmarkStart w:id="693" w:name="_Toc296503161"/>
      <w:bookmarkStart w:id="694" w:name="_Toc304295525"/>
      <w:bookmarkStart w:id="695" w:name="_Toc296346662"/>
      <w:bookmarkStart w:id="696" w:name="_Toc297216153"/>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Pr>
        <w:spacing w:line="360" w:lineRule="auto"/>
        <w:rPr>
          <w:rFonts w:ascii="宋体" w:hAnsi="宋体" w:cs="宋体"/>
          <w:color w:val="000000"/>
          <w:sz w:val="24"/>
        </w:rPr>
      </w:pPr>
      <w:r>
        <w:rPr>
          <w:rFonts w:hint="eastAsia" w:ascii="宋体" w:hAnsi="宋体" w:cs="宋体"/>
          <w:color w:val="000000"/>
          <w:sz w:val="24"/>
        </w:rPr>
        <w:t xml:space="preserve">    3</w:t>
      </w:r>
      <w:bookmarkStart w:id="697" w:name="_Toc312677990"/>
      <w:bookmarkStart w:id="698" w:name="_Toc318581159"/>
      <w:r>
        <w:rPr>
          <w:rFonts w:hint="eastAsia" w:ascii="宋体" w:hAnsi="宋体" w:cs="宋体"/>
          <w:color w:val="000000"/>
          <w:sz w:val="24"/>
        </w:rPr>
        <w:t>.5.2分包的确定</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允许分包的专业工程包括：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其他关于分包的约定：。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分包合同价款</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关于分包合同价款支付的约定：</w:t>
      </w:r>
      <w:r>
        <w:rPr>
          <w:rFonts w:hint="eastAsia" w:ascii="宋体" w:hAnsi="宋体" w:cs="宋体"/>
          <w:color w:val="000000"/>
          <w:sz w:val="24"/>
          <w:u w:val="single"/>
        </w:rPr>
        <w:t xml:space="preserve">                           </w:t>
      </w:r>
      <w:r>
        <w:rPr>
          <w:rFonts w:hint="eastAsia" w:ascii="宋体" w:hAnsi="宋体" w:cs="宋体"/>
          <w:color w:val="000000"/>
          <w:sz w:val="24"/>
        </w:rPr>
        <w:t>。</w:t>
      </w:r>
    </w:p>
    <w:bookmarkEnd w:id="697"/>
    <w:bookmarkEnd w:id="698"/>
    <w:p>
      <w:pPr>
        <w:spacing w:line="360" w:lineRule="auto"/>
        <w:ind w:firstLine="480" w:firstLineChars="200"/>
        <w:rPr>
          <w:rFonts w:ascii="宋体" w:hAnsi="宋体" w:cs="宋体"/>
          <w:color w:val="000000"/>
          <w:sz w:val="24"/>
        </w:rPr>
      </w:pPr>
      <w:r>
        <w:rPr>
          <w:rFonts w:hint="eastAsia" w:ascii="宋体" w:hAnsi="宋体" w:cs="宋体"/>
          <w:color w:val="000000"/>
          <w:sz w:val="24"/>
        </w:rPr>
        <w:t>3.6 工程照管与成品、半成品保护</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承包人负责照管工程及工程相关的材料、工程设备的起始时间：。</w:t>
      </w:r>
    </w:p>
    <w:p>
      <w:pPr>
        <w:pStyle w:val="4"/>
        <w:spacing w:before="0" w:after="0" w:line="360" w:lineRule="auto"/>
        <w:rPr>
          <w:rFonts w:ascii="宋体" w:hAnsi="宋体" w:cs="宋体"/>
          <w:color w:val="000000"/>
          <w:kern w:val="0"/>
          <w:sz w:val="24"/>
          <w:szCs w:val="24"/>
        </w:rPr>
      </w:pPr>
      <w:bookmarkStart w:id="699" w:name="_Toc381175691"/>
      <w:r>
        <w:rPr>
          <w:rFonts w:hint="eastAsia" w:ascii="宋体" w:hAnsi="宋体" w:cs="宋体"/>
          <w:color w:val="000000"/>
          <w:kern w:val="0"/>
          <w:sz w:val="24"/>
          <w:szCs w:val="24"/>
        </w:rPr>
        <w:t>3.7 履约担保</w:t>
      </w:r>
      <w:bookmarkEnd w:id="69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承包人是否提供履约担保：。</w:t>
      </w:r>
    </w:p>
    <w:p>
      <w:pPr>
        <w:spacing w:line="360" w:lineRule="auto"/>
        <w:jc w:val="left"/>
        <w:rPr>
          <w:rFonts w:ascii="宋体" w:hAnsi="宋体" w:cs="宋体"/>
          <w:color w:val="000000"/>
          <w:sz w:val="24"/>
        </w:rPr>
      </w:pPr>
      <w:r>
        <w:rPr>
          <w:rFonts w:hint="eastAsia" w:ascii="宋体" w:hAnsi="宋体" w:cs="宋体"/>
          <w:color w:val="000000"/>
          <w:sz w:val="24"/>
        </w:rPr>
        <w:t>承包人提供履约担保的形式、金额及期限的：。</w:t>
      </w:r>
    </w:p>
    <w:p>
      <w:pPr>
        <w:pStyle w:val="3"/>
        <w:spacing w:before="0" w:after="0" w:line="360" w:lineRule="auto"/>
        <w:rPr>
          <w:rFonts w:ascii="宋体" w:hAnsi="宋体" w:eastAsia="宋体" w:cs="宋体"/>
          <w:color w:val="000000"/>
          <w:kern w:val="0"/>
          <w:sz w:val="28"/>
          <w:szCs w:val="28"/>
        </w:rPr>
      </w:pPr>
      <w:bookmarkStart w:id="700" w:name="_Toc11703"/>
      <w:bookmarkStart w:id="701" w:name="_Toc4426"/>
      <w:bookmarkStart w:id="702" w:name="_Toc351203636"/>
      <w:bookmarkStart w:id="703" w:name="_Toc381175692"/>
      <w:r>
        <w:rPr>
          <w:rFonts w:hint="eastAsia" w:ascii="宋体" w:hAnsi="宋体" w:eastAsia="宋体" w:cs="宋体"/>
          <w:color w:val="000000"/>
          <w:kern w:val="0"/>
          <w:sz w:val="28"/>
          <w:szCs w:val="28"/>
        </w:rPr>
        <w:t>4</w:t>
      </w:r>
      <w:bookmarkStart w:id="704" w:name="_Toc297048348"/>
      <w:bookmarkStart w:id="705" w:name="_Toc297120462"/>
      <w:bookmarkStart w:id="706" w:name="_Toc296891202"/>
      <w:bookmarkStart w:id="707" w:name="_Toc296347161"/>
      <w:bookmarkStart w:id="708" w:name="_Toc296890990"/>
      <w:bookmarkStart w:id="709" w:name="_Toc267251413"/>
      <w:bookmarkStart w:id="710" w:name="_Toc292559871"/>
      <w:bookmarkStart w:id="711" w:name="_Toc296346663"/>
      <w:bookmarkStart w:id="712" w:name="_Toc296944501"/>
      <w:bookmarkStart w:id="713" w:name="_Toc296503162"/>
      <w:bookmarkStart w:id="714" w:name="_Toc292559366"/>
      <w:r>
        <w:rPr>
          <w:rFonts w:hint="eastAsia" w:ascii="宋体" w:hAnsi="宋体" w:eastAsia="宋体" w:cs="宋体"/>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eastAsia="宋体" w:cs="宋体"/>
          <w:color w:val="000000"/>
          <w:kern w:val="0"/>
          <w:sz w:val="28"/>
          <w:szCs w:val="28"/>
        </w:rPr>
        <w:t>理人</w:t>
      </w:r>
      <w:bookmarkEnd w:id="700"/>
      <w:bookmarkEnd w:id="701"/>
      <w:bookmarkEnd w:id="702"/>
      <w:bookmarkEnd w:id="703"/>
    </w:p>
    <w:p>
      <w:pPr>
        <w:spacing w:line="360" w:lineRule="auto"/>
        <w:ind w:firstLine="480" w:firstLineChars="200"/>
        <w:rPr>
          <w:rFonts w:ascii="宋体" w:hAnsi="宋体" w:cs="宋体"/>
          <w:color w:val="000000"/>
          <w:sz w:val="24"/>
        </w:rPr>
      </w:pPr>
      <w:r>
        <w:rPr>
          <w:rFonts w:hint="eastAsia" w:ascii="宋体" w:hAnsi="宋体" w:cs="宋体"/>
          <w:color w:val="000000"/>
          <w:sz w:val="24"/>
        </w:rPr>
        <w:t>4.1监理人的一般规定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关于监理人的监理内容：。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关于监理人的监理权限：。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关于监理人在施工现场的办公场所、生活场所的提供和费用承担的约定：</w:t>
      </w:r>
    </w:p>
    <w:p>
      <w:pPr>
        <w:spacing w:line="360" w:lineRule="auto"/>
        <w:rPr>
          <w:rFonts w:ascii="宋体" w:hAnsi="宋体" w:cs="宋体"/>
          <w:color w:val="000000"/>
          <w:sz w:val="24"/>
        </w:rPr>
      </w:pP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715" w:name="_Toc381175693"/>
      <w:r>
        <w:rPr>
          <w:rFonts w:hint="eastAsia" w:ascii="宋体" w:hAnsi="宋体" w:cs="宋体"/>
          <w:color w:val="000000"/>
          <w:kern w:val="0"/>
          <w:sz w:val="24"/>
          <w:szCs w:val="24"/>
        </w:rPr>
        <w:t>4.2 监理人员</w:t>
      </w:r>
      <w:bookmarkEnd w:id="715"/>
    </w:p>
    <w:p>
      <w:pPr>
        <w:spacing w:line="360" w:lineRule="auto"/>
        <w:ind w:firstLine="480" w:firstLineChars="200"/>
        <w:rPr>
          <w:rFonts w:ascii="宋体" w:hAnsi="宋体" w:cs="宋体"/>
          <w:color w:val="000000"/>
          <w:sz w:val="24"/>
        </w:rPr>
      </w:pPr>
      <w:r>
        <w:rPr>
          <w:rFonts w:hint="eastAsia" w:ascii="宋体" w:hAnsi="宋体" w:cs="宋体"/>
          <w:color w:val="000000"/>
          <w:sz w:val="24"/>
        </w:rPr>
        <w:t>总监理工程师：</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4.4 商定或确定</w:t>
      </w:r>
    </w:p>
    <w:p>
      <w:pPr>
        <w:spacing w:line="360" w:lineRule="auto"/>
        <w:ind w:firstLine="480" w:firstLineChars="200"/>
        <w:rPr>
          <w:rFonts w:ascii="宋体" w:hAnsi="宋体" w:cs="宋体"/>
          <w:color w:val="000000"/>
          <w:sz w:val="24"/>
        </w:rPr>
      </w:pPr>
      <w:bookmarkStart w:id="716" w:name="_Toc267251418"/>
      <w:r>
        <w:rPr>
          <w:rFonts w:hint="eastAsia" w:ascii="宋体" w:hAnsi="宋体" w:cs="宋体"/>
          <w:color w:val="000000"/>
          <w:sz w:val="24"/>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717" w:name="_Toc22840"/>
      <w:bookmarkStart w:id="718" w:name="_Toc381175694"/>
      <w:bookmarkStart w:id="719" w:name="_Toc351203637"/>
      <w:bookmarkStart w:id="720" w:name="_Toc31208"/>
      <w:r>
        <w:rPr>
          <w:rFonts w:hint="eastAsia" w:ascii="宋体" w:hAnsi="宋体" w:eastAsia="宋体" w:cs="宋体"/>
          <w:color w:val="000000"/>
          <w:kern w:val="0"/>
          <w:sz w:val="28"/>
          <w:szCs w:val="28"/>
        </w:rPr>
        <w:t>5</w:t>
      </w:r>
      <w:bookmarkEnd w:id="716"/>
      <w:bookmarkStart w:id="721" w:name="_Toc292559367"/>
      <w:bookmarkStart w:id="722" w:name="_Toc296503163"/>
      <w:bookmarkStart w:id="723" w:name="_Toc292559872"/>
      <w:bookmarkStart w:id="724" w:name="_Toc296346664"/>
      <w:bookmarkStart w:id="725" w:name="_Toc296944502"/>
      <w:bookmarkStart w:id="726" w:name="_Toc297120463"/>
      <w:bookmarkStart w:id="727" w:name="_Toc296891203"/>
      <w:bookmarkStart w:id="728" w:name="_Toc296890991"/>
      <w:bookmarkStart w:id="729" w:name="_Toc296347162"/>
      <w:bookmarkStart w:id="730" w:name="_Toc297048349"/>
      <w:r>
        <w:rPr>
          <w:rFonts w:hint="eastAsia" w:ascii="宋体" w:hAnsi="宋体" w:eastAsia="宋体" w:cs="宋体"/>
          <w:color w:val="000000"/>
          <w:kern w:val="0"/>
          <w:sz w:val="28"/>
          <w:szCs w:val="28"/>
        </w:rPr>
        <w:t>. 工程质量</w:t>
      </w:r>
      <w:bookmarkEnd w:id="717"/>
      <w:bookmarkEnd w:id="718"/>
      <w:bookmarkEnd w:id="719"/>
      <w:bookmarkEnd w:id="720"/>
    </w:p>
    <w:p>
      <w:pPr>
        <w:pStyle w:val="4"/>
        <w:spacing w:before="0" w:after="0" w:line="360" w:lineRule="auto"/>
        <w:rPr>
          <w:rFonts w:ascii="宋体" w:hAnsi="宋体" w:cs="宋体"/>
          <w:color w:val="000000"/>
          <w:kern w:val="0"/>
          <w:sz w:val="24"/>
          <w:szCs w:val="24"/>
        </w:rPr>
      </w:pPr>
      <w:bookmarkStart w:id="731" w:name="_Toc381175695"/>
      <w:r>
        <w:rPr>
          <w:rFonts w:hint="eastAsia" w:ascii="宋体" w:hAnsi="宋体" w:cs="宋体"/>
          <w:color w:val="000000"/>
          <w:kern w:val="0"/>
          <w:sz w:val="24"/>
          <w:szCs w:val="24"/>
        </w:rPr>
        <w:t>5.1 质量要求</w:t>
      </w:r>
      <w:bookmarkEnd w:id="731"/>
    </w:p>
    <w:p>
      <w:pPr>
        <w:spacing w:line="360" w:lineRule="auto"/>
        <w:jc w:val="left"/>
        <w:rPr>
          <w:rFonts w:ascii="宋体" w:hAnsi="宋体" w:cs="宋体"/>
          <w:color w:val="000000"/>
          <w:sz w:val="24"/>
        </w:rPr>
      </w:pPr>
      <w:r>
        <w:rPr>
          <w:rFonts w:hint="eastAsia" w:ascii="宋体" w:hAnsi="宋体" w:cs="宋体"/>
          <w:color w:val="000000"/>
          <w:sz w:val="24"/>
        </w:rPr>
        <w:t>5</w:t>
      </w:r>
      <w:bookmarkStart w:id="732" w:name="_Toc297123496"/>
      <w:bookmarkStart w:id="733" w:name="_Toc304295527"/>
      <w:bookmarkStart w:id="734" w:name="_Toc318581164"/>
      <w:bookmarkStart w:id="735" w:name="_Toc300934949"/>
      <w:bookmarkStart w:id="736" w:name="_Toc303539106"/>
      <w:bookmarkStart w:id="737" w:name="_Toc312677997"/>
      <w:bookmarkStart w:id="738" w:name="_Toc297216155"/>
      <w:r>
        <w:rPr>
          <w:rFonts w:hint="eastAsia" w:ascii="宋体" w:hAnsi="宋体" w:cs="宋体"/>
          <w:color w:val="000000"/>
          <w:sz w:val="24"/>
        </w:rPr>
        <w:t>.1.1 特殊质量标准和要求：。</w:t>
      </w:r>
    </w:p>
    <w:p>
      <w:pPr>
        <w:spacing w:line="360" w:lineRule="auto"/>
        <w:jc w:val="left"/>
        <w:rPr>
          <w:rFonts w:ascii="宋体" w:hAnsi="宋体" w:cs="宋体"/>
          <w:color w:val="000000"/>
          <w:sz w:val="24"/>
        </w:rPr>
      </w:pPr>
      <w:r>
        <w:rPr>
          <w:rFonts w:hint="eastAsia" w:ascii="宋体" w:hAnsi="宋体" w:cs="宋体"/>
          <w:color w:val="000000"/>
          <w:sz w:val="24"/>
        </w:rPr>
        <w:t>关于工程奖项的约定：。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5.3 隐蔽工程检查</w:t>
      </w:r>
    </w:p>
    <w:p>
      <w:pPr>
        <w:spacing w:line="360" w:lineRule="auto"/>
        <w:jc w:val="left"/>
        <w:rPr>
          <w:rFonts w:ascii="宋体" w:hAnsi="宋体" w:cs="宋体"/>
          <w:color w:val="000000"/>
          <w:sz w:val="24"/>
        </w:rPr>
      </w:pPr>
      <w:r>
        <w:rPr>
          <w:rFonts w:hint="eastAsia" w:ascii="宋体" w:hAnsi="宋体" w:cs="宋体"/>
          <w:color w:val="000000"/>
          <w:sz w:val="24"/>
        </w:rPr>
        <w:t>5.3.2承包人提前通知监理人隐蔽工程检查的期限的约定：。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监理人不能按时进行检查时，应提前小时提交书面延期要求。</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关于延期最长不得超过：小时。</w:t>
      </w:r>
    </w:p>
    <w:p>
      <w:pPr>
        <w:pStyle w:val="3"/>
        <w:spacing w:before="0" w:after="0" w:line="360" w:lineRule="auto"/>
        <w:rPr>
          <w:rFonts w:ascii="宋体" w:hAnsi="宋体" w:eastAsia="宋体" w:cs="宋体"/>
          <w:color w:val="000000"/>
          <w:kern w:val="0"/>
          <w:sz w:val="28"/>
          <w:szCs w:val="28"/>
        </w:rPr>
      </w:pPr>
      <w:bookmarkStart w:id="739" w:name="_Toc351203638"/>
      <w:bookmarkStart w:id="740" w:name="_Toc23560"/>
      <w:bookmarkStart w:id="741" w:name="_Toc23659"/>
      <w:bookmarkStart w:id="742" w:name="_Toc381175696"/>
      <w:r>
        <w:rPr>
          <w:rFonts w:hint="eastAsia" w:ascii="宋体" w:hAnsi="宋体" w:eastAsia="宋体" w:cs="宋体"/>
          <w:color w:val="000000"/>
          <w:kern w:val="0"/>
          <w:sz w:val="28"/>
          <w:szCs w:val="28"/>
        </w:rPr>
        <w:t>6. 安全文明施工与环境保护</w:t>
      </w:r>
      <w:bookmarkEnd w:id="739"/>
      <w:bookmarkEnd w:id="740"/>
      <w:bookmarkEnd w:id="741"/>
      <w:bookmarkEnd w:id="742"/>
    </w:p>
    <w:p>
      <w:pPr>
        <w:pStyle w:val="4"/>
        <w:spacing w:before="0" w:after="0" w:line="360" w:lineRule="auto"/>
        <w:rPr>
          <w:rFonts w:ascii="宋体" w:hAnsi="宋体" w:cs="宋体"/>
          <w:color w:val="000000"/>
          <w:kern w:val="0"/>
          <w:sz w:val="24"/>
          <w:szCs w:val="24"/>
        </w:rPr>
      </w:pPr>
      <w:bookmarkStart w:id="743" w:name="_Toc381175697"/>
      <w:r>
        <w:rPr>
          <w:rFonts w:hint="eastAsia" w:ascii="宋体" w:hAnsi="宋体" w:cs="宋体"/>
          <w:color w:val="000000"/>
          <w:kern w:val="0"/>
          <w:sz w:val="24"/>
          <w:szCs w:val="24"/>
        </w:rPr>
        <w:t>6.1安全文明施工</w:t>
      </w:r>
      <w:bookmarkEnd w:id="743"/>
    </w:p>
    <w:p>
      <w:pPr>
        <w:spacing w:line="360" w:lineRule="auto"/>
        <w:jc w:val="left"/>
        <w:rPr>
          <w:rFonts w:ascii="宋体" w:hAnsi="宋体" w:cs="宋体"/>
          <w:color w:val="000000"/>
          <w:sz w:val="24"/>
        </w:rPr>
      </w:pPr>
      <w:r>
        <w:rPr>
          <w:rFonts w:hint="eastAsia" w:ascii="宋体" w:hAnsi="宋体" w:cs="宋体"/>
          <w:color w:val="000000"/>
          <w:sz w:val="24"/>
        </w:rPr>
        <w:t>6.1.1 项目安全生产的达标目标及相应事项的约定：。</w:t>
      </w:r>
    </w:p>
    <w:p>
      <w:pPr>
        <w:spacing w:line="360" w:lineRule="auto"/>
        <w:jc w:val="left"/>
        <w:rPr>
          <w:rFonts w:ascii="宋体" w:hAnsi="宋体" w:cs="宋体"/>
          <w:color w:val="000000"/>
          <w:sz w:val="24"/>
        </w:rPr>
      </w:pPr>
      <w:r>
        <w:rPr>
          <w:rFonts w:hint="eastAsia" w:ascii="宋体" w:hAnsi="宋体" w:cs="宋体"/>
          <w:color w:val="000000"/>
          <w:sz w:val="24"/>
        </w:rPr>
        <w:t>6.1.4 关于治安保卫的特别约定：。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关于编制施工场地治安管理计划的约定：。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6.1.5 文明施工</w:t>
      </w:r>
    </w:p>
    <w:p>
      <w:pPr>
        <w:spacing w:line="360" w:lineRule="auto"/>
        <w:jc w:val="left"/>
        <w:rPr>
          <w:rFonts w:ascii="宋体" w:hAnsi="宋体" w:cs="宋体"/>
          <w:color w:val="000000"/>
          <w:sz w:val="24"/>
        </w:rPr>
      </w:pPr>
      <w:r>
        <w:rPr>
          <w:rFonts w:hint="eastAsia" w:ascii="宋体" w:hAnsi="宋体" w:cs="宋体"/>
          <w:color w:val="000000"/>
          <w:sz w:val="24"/>
        </w:rPr>
        <w:t>合同当事人对文明施工的要求：。</w:t>
      </w:r>
    </w:p>
    <w:p>
      <w:pPr>
        <w:spacing w:line="360" w:lineRule="auto"/>
        <w:jc w:val="left"/>
        <w:rPr>
          <w:rFonts w:ascii="宋体" w:hAnsi="宋体" w:cs="宋体"/>
          <w:color w:val="000000"/>
          <w:sz w:val="24"/>
        </w:rPr>
      </w:pPr>
      <w:r>
        <w:rPr>
          <w:rFonts w:hint="eastAsia" w:ascii="宋体" w:hAnsi="宋体" w:cs="宋体"/>
          <w:color w:val="000000"/>
          <w:sz w:val="24"/>
        </w:rPr>
        <w:t>6.1.6 关于安全文明施工费支付比例和支付期限的约定：。</w:t>
      </w:r>
    </w:p>
    <w:bookmarkEnd w:id="732"/>
    <w:bookmarkEnd w:id="733"/>
    <w:bookmarkEnd w:id="734"/>
    <w:bookmarkEnd w:id="735"/>
    <w:bookmarkEnd w:id="736"/>
    <w:bookmarkEnd w:id="737"/>
    <w:bookmarkEnd w:id="738"/>
    <w:p>
      <w:pPr>
        <w:pStyle w:val="3"/>
        <w:spacing w:before="0" w:after="0" w:line="360" w:lineRule="auto"/>
        <w:rPr>
          <w:rFonts w:ascii="宋体" w:hAnsi="宋体" w:eastAsia="宋体" w:cs="宋体"/>
          <w:color w:val="000000"/>
          <w:kern w:val="0"/>
          <w:sz w:val="28"/>
          <w:szCs w:val="28"/>
        </w:rPr>
      </w:pPr>
      <w:bookmarkStart w:id="744" w:name="_Toc28371"/>
      <w:bookmarkStart w:id="745" w:name="_Toc381175698"/>
      <w:bookmarkStart w:id="746" w:name="_Toc351203639"/>
      <w:bookmarkStart w:id="747" w:name="_Toc14399"/>
      <w:r>
        <w:rPr>
          <w:rFonts w:hint="eastAsia" w:ascii="宋体" w:hAnsi="宋体" w:eastAsia="宋体" w:cs="宋体"/>
          <w:color w:val="000000"/>
          <w:kern w:val="0"/>
          <w:sz w:val="28"/>
          <w:szCs w:val="28"/>
        </w:rPr>
        <w:t>7. 工期和进度</w:t>
      </w:r>
      <w:bookmarkEnd w:id="744"/>
      <w:bookmarkEnd w:id="745"/>
      <w:bookmarkEnd w:id="746"/>
      <w:bookmarkEnd w:id="747"/>
    </w:p>
    <w:p>
      <w:pPr>
        <w:pStyle w:val="4"/>
        <w:spacing w:before="0" w:after="0" w:line="360" w:lineRule="auto"/>
        <w:rPr>
          <w:rFonts w:ascii="宋体" w:hAnsi="宋体" w:cs="宋体"/>
          <w:color w:val="000000"/>
          <w:kern w:val="0"/>
          <w:sz w:val="24"/>
          <w:szCs w:val="24"/>
        </w:rPr>
      </w:pPr>
      <w:bookmarkStart w:id="748" w:name="_Toc381175699"/>
      <w:r>
        <w:rPr>
          <w:rFonts w:hint="eastAsia" w:ascii="宋体" w:hAnsi="宋体" w:cs="宋体"/>
          <w:color w:val="000000"/>
          <w:kern w:val="0"/>
          <w:sz w:val="24"/>
          <w:szCs w:val="24"/>
        </w:rPr>
        <w:t>7.1 施工组织设计</w:t>
      </w:r>
      <w:bookmarkEnd w:id="748"/>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sz w:val="24"/>
        </w:rPr>
        <w:t>7.1.1 合</w:t>
      </w:r>
      <w:r>
        <w:rPr>
          <w:rFonts w:hint="eastAsia" w:ascii="宋体" w:hAnsi="宋体" w:cs="宋体"/>
          <w:color w:val="000000"/>
          <w:kern w:val="0"/>
          <w:sz w:val="24"/>
        </w:rPr>
        <w:t>同当事人约定的施工组织设计应包括的其他内容：</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发包人和监理人在收到详细的施工组织设计后确认或提出修改意见的期限：。</w:t>
      </w:r>
    </w:p>
    <w:p>
      <w:pPr>
        <w:pStyle w:val="4"/>
        <w:spacing w:before="0" w:after="0" w:line="360" w:lineRule="auto"/>
        <w:rPr>
          <w:rFonts w:ascii="宋体" w:hAnsi="宋体" w:cs="宋体"/>
          <w:color w:val="000000"/>
          <w:kern w:val="0"/>
          <w:sz w:val="24"/>
          <w:szCs w:val="24"/>
        </w:rPr>
      </w:pPr>
      <w:bookmarkStart w:id="749" w:name="_Toc381175700"/>
      <w:r>
        <w:rPr>
          <w:rFonts w:hint="eastAsia" w:ascii="宋体" w:hAnsi="宋体" w:cs="宋体"/>
          <w:color w:val="000000"/>
          <w:kern w:val="0"/>
          <w:sz w:val="24"/>
          <w:szCs w:val="24"/>
        </w:rPr>
        <w:t>7</w:t>
      </w:r>
      <w:bookmarkStart w:id="750" w:name="_Toc300934966"/>
      <w:bookmarkStart w:id="751" w:name="_Toc297123514"/>
      <w:bookmarkStart w:id="752" w:name="_Toc297216173"/>
      <w:bookmarkStart w:id="753" w:name="_Toc303539123"/>
      <w:bookmarkStart w:id="754" w:name="_Toc304295541"/>
      <w:bookmarkStart w:id="755" w:name="_Toc312677479"/>
      <w:bookmarkStart w:id="756" w:name="_Toc312678005"/>
      <w:r>
        <w:rPr>
          <w:rFonts w:hint="eastAsia" w:ascii="宋体" w:hAnsi="宋体" w:cs="宋体"/>
          <w:color w:val="000000"/>
          <w:kern w:val="0"/>
          <w:sz w:val="24"/>
          <w:szCs w:val="24"/>
        </w:rPr>
        <w:t>.2 施工进度计划</w:t>
      </w:r>
      <w:bookmarkEnd w:id="74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7.2.2 施工进度计划的修订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p>
    <w:p>
      <w:pPr>
        <w:pStyle w:val="4"/>
        <w:spacing w:before="0" w:after="0" w:line="360" w:lineRule="auto"/>
        <w:rPr>
          <w:rFonts w:ascii="宋体" w:hAnsi="宋体" w:cs="宋体"/>
          <w:color w:val="000000"/>
          <w:kern w:val="0"/>
          <w:sz w:val="24"/>
          <w:szCs w:val="24"/>
        </w:rPr>
      </w:pPr>
      <w:bookmarkStart w:id="757" w:name="_Toc381175701"/>
      <w:r>
        <w:rPr>
          <w:rFonts w:hint="eastAsia" w:ascii="宋体" w:hAnsi="宋体" w:cs="宋体"/>
          <w:color w:val="000000"/>
          <w:kern w:val="0"/>
          <w:sz w:val="24"/>
          <w:szCs w:val="24"/>
        </w:rPr>
        <w:t>7.3 开工</w:t>
      </w:r>
      <w:bookmarkEnd w:id="75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7.3.1 开工准备</w:t>
      </w:r>
    </w:p>
    <w:p>
      <w:pPr>
        <w:spacing w:line="360" w:lineRule="auto"/>
        <w:ind w:firstLine="645"/>
        <w:jc w:val="left"/>
        <w:rPr>
          <w:rFonts w:ascii="宋体" w:hAnsi="宋体" w:cs="宋体"/>
          <w:color w:val="000000"/>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sz w:val="24"/>
        </w:rPr>
        <w:t>关于发包人应完成的其他开工准备工作及期限：。</w:t>
      </w:r>
    </w:p>
    <w:p>
      <w:pPr>
        <w:spacing w:line="360" w:lineRule="auto"/>
        <w:jc w:val="left"/>
        <w:rPr>
          <w:rFonts w:ascii="宋体" w:hAnsi="宋体" w:cs="宋体"/>
          <w:color w:val="000000"/>
          <w:sz w:val="24"/>
        </w:rPr>
      </w:pPr>
      <w:r>
        <w:rPr>
          <w:rFonts w:hint="eastAsia" w:ascii="宋体" w:hAnsi="宋体" w:cs="宋体"/>
          <w:color w:val="000000"/>
          <w:sz w:val="24"/>
        </w:rPr>
        <w:t>关于承包人应完成的其他开工准备工作及期限：。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7.3.2开工通知</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因发包人原因造成监理人未能在计划开工日期之日起天内发出开工通知的，承包人有权提出价格调整要求，或者解除合同。</w:t>
      </w:r>
    </w:p>
    <w:bookmarkEnd w:id="750"/>
    <w:bookmarkEnd w:id="751"/>
    <w:bookmarkEnd w:id="752"/>
    <w:bookmarkEnd w:id="753"/>
    <w:bookmarkEnd w:id="754"/>
    <w:bookmarkEnd w:id="755"/>
    <w:bookmarkEnd w:id="756"/>
    <w:p>
      <w:pPr>
        <w:pStyle w:val="4"/>
        <w:spacing w:before="0" w:after="0" w:line="360" w:lineRule="auto"/>
        <w:rPr>
          <w:rFonts w:ascii="宋体" w:hAnsi="宋体" w:cs="宋体"/>
          <w:color w:val="000000"/>
          <w:kern w:val="0"/>
          <w:sz w:val="24"/>
          <w:szCs w:val="24"/>
        </w:rPr>
      </w:pPr>
      <w:bookmarkStart w:id="758" w:name="_Toc381175702"/>
      <w:r>
        <w:rPr>
          <w:rFonts w:hint="eastAsia" w:ascii="宋体" w:hAnsi="宋体" w:cs="宋体"/>
          <w:color w:val="000000"/>
          <w:kern w:val="0"/>
          <w:sz w:val="24"/>
          <w:szCs w:val="24"/>
        </w:rPr>
        <w:t>7.4 测量放线</w:t>
      </w:r>
      <w:bookmarkEnd w:id="758"/>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7.4.1发包人通过监理人向承包人提供测量基准点、基准线和水准点及其书面资料的期限：。</w:t>
      </w:r>
    </w:p>
    <w:p>
      <w:pPr>
        <w:pStyle w:val="4"/>
        <w:spacing w:before="0" w:after="0" w:line="360" w:lineRule="auto"/>
        <w:rPr>
          <w:rFonts w:ascii="宋体" w:hAnsi="宋体" w:cs="宋体"/>
          <w:color w:val="000000"/>
          <w:kern w:val="0"/>
          <w:sz w:val="24"/>
          <w:szCs w:val="24"/>
        </w:rPr>
      </w:pPr>
      <w:bookmarkStart w:id="759" w:name="_Toc381175703"/>
      <w:r>
        <w:rPr>
          <w:rFonts w:hint="eastAsia" w:ascii="宋体" w:hAnsi="宋体" w:cs="宋体"/>
          <w:color w:val="000000"/>
          <w:kern w:val="0"/>
          <w:sz w:val="24"/>
          <w:szCs w:val="24"/>
        </w:rPr>
        <w:t>7</w:t>
      </w:r>
      <w:bookmarkStart w:id="760" w:name="_Toc297123516"/>
      <w:bookmarkStart w:id="761" w:name="_Toc312678010"/>
      <w:bookmarkStart w:id="762" w:name="_Toc304295546"/>
      <w:bookmarkStart w:id="763" w:name="_Toc297216175"/>
      <w:bookmarkStart w:id="764" w:name="_Toc303539125"/>
      <w:bookmarkStart w:id="765" w:name="_Toc300934968"/>
      <w:bookmarkStart w:id="766" w:name="_Toc312677484"/>
      <w:r>
        <w:rPr>
          <w:rFonts w:hint="eastAsia" w:ascii="宋体" w:hAnsi="宋体" w:cs="宋体"/>
          <w:color w:val="000000"/>
          <w:kern w:val="0"/>
          <w:sz w:val="24"/>
          <w:szCs w:val="24"/>
        </w:rPr>
        <w:t>.5 工期延误</w:t>
      </w:r>
      <w:bookmarkEnd w:id="759"/>
    </w:p>
    <w:bookmarkEnd w:id="760"/>
    <w:bookmarkEnd w:id="761"/>
    <w:bookmarkEnd w:id="762"/>
    <w:bookmarkEnd w:id="763"/>
    <w:bookmarkEnd w:id="764"/>
    <w:bookmarkEnd w:id="765"/>
    <w:bookmarkEnd w:id="76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7.5.1 因发包人原因导致工期延误</w:t>
      </w:r>
    </w:p>
    <w:p>
      <w:pPr>
        <w:spacing w:line="360" w:lineRule="auto"/>
        <w:jc w:val="left"/>
        <w:rPr>
          <w:rFonts w:ascii="宋体" w:hAnsi="宋体" w:cs="宋体"/>
          <w:color w:val="000000"/>
          <w:sz w:val="24"/>
        </w:rPr>
      </w:pPr>
      <w:r>
        <w:rPr>
          <w:rFonts w:hint="eastAsia" w:ascii="宋体" w:hAnsi="宋体" w:cs="宋体"/>
          <w:color w:val="000000"/>
          <w:sz w:val="24"/>
        </w:rPr>
        <w:t>（7）因发包人原因导致工期延误的其他情形：。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w:t>
      </w:r>
      <w:bookmarkStart w:id="767" w:name="_Toc312678012"/>
      <w:bookmarkStart w:id="768" w:name="_Toc312677486"/>
      <w:bookmarkStart w:id="769" w:name="_Toc318581169"/>
      <w:bookmarkStart w:id="770" w:name="_Toc304295548"/>
      <w:bookmarkStart w:id="771" w:name="_Toc297216177"/>
      <w:bookmarkStart w:id="772" w:name="_Toc297123518"/>
      <w:bookmarkStart w:id="773" w:name="_Toc303539127"/>
      <w:bookmarkStart w:id="774" w:name="_Toc300934970"/>
      <w:r>
        <w:rPr>
          <w:rFonts w:hint="eastAsia" w:ascii="宋体" w:hAnsi="宋体" w:cs="宋体"/>
          <w:color w:val="000000"/>
          <w:sz w:val="24"/>
        </w:rPr>
        <w:t>.5.2 因承包人原因导致工期延误</w:t>
      </w:r>
    </w:p>
    <w:bookmarkEnd w:id="767"/>
    <w:bookmarkEnd w:id="768"/>
    <w:bookmarkEnd w:id="769"/>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因</w:t>
      </w:r>
      <w:bookmarkStart w:id="775" w:name="_Toc312677487"/>
      <w:bookmarkStart w:id="776" w:name="_Toc312678013"/>
      <w:bookmarkStart w:id="777" w:name="_Toc318581170"/>
      <w:r>
        <w:rPr>
          <w:rFonts w:hint="eastAsia" w:ascii="宋体" w:hAnsi="宋体" w:cs="宋体"/>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pPr>
        <w:spacing w:line="360" w:lineRule="auto"/>
        <w:jc w:val="left"/>
        <w:rPr>
          <w:rFonts w:ascii="宋体" w:hAnsi="宋体" w:cs="宋体"/>
          <w:color w:val="000000"/>
          <w:sz w:val="24"/>
        </w:rPr>
      </w:pPr>
      <w:r>
        <w:rPr>
          <w:rFonts w:hint="eastAsia" w:ascii="宋体" w:hAnsi="宋体" w:cs="宋体"/>
          <w:color w:val="000000"/>
          <w:sz w:val="24"/>
        </w:rPr>
        <w:t>因承包人原因造成工期延误，逾</w:t>
      </w:r>
      <w:bookmarkStart w:id="778" w:name="_Toc318581171"/>
      <w:bookmarkStart w:id="779" w:name="_Toc312678014"/>
      <w:r>
        <w:rPr>
          <w:rFonts w:hint="eastAsia" w:ascii="宋体" w:hAnsi="宋体" w:cs="宋体"/>
          <w:color w:val="000000"/>
          <w:sz w:val="24"/>
        </w:rPr>
        <w:t>期竣工违约金的上限：。</w:t>
      </w:r>
    </w:p>
    <w:bookmarkEnd w:id="778"/>
    <w:bookmarkEnd w:id="779"/>
    <w:p>
      <w:pPr>
        <w:pStyle w:val="4"/>
        <w:spacing w:before="0" w:after="0" w:line="360" w:lineRule="auto"/>
        <w:rPr>
          <w:rFonts w:ascii="宋体" w:hAnsi="宋体" w:cs="宋体"/>
          <w:color w:val="000000"/>
          <w:kern w:val="0"/>
          <w:sz w:val="24"/>
          <w:szCs w:val="24"/>
        </w:rPr>
      </w:pPr>
      <w:bookmarkStart w:id="780" w:name="_Toc381175704"/>
      <w:r>
        <w:rPr>
          <w:rFonts w:hint="eastAsia" w:ascii="宋体" w:hAnsi="宋体" w:cs="宋体"/>
          <w:color w:val="000000"/>
          <w:kern w:val="0"/>
          <w:sz w:val="24"/>
          <w:szCs w:val="24"/>
        </w:rPr>
        <w:t>7</w:t>
      </w:r>
      <w:bookmarkStart w:id="781" w:name="_Toc300934971"/>
      <w:bookmarkStart w:id="782" w:name="_Toc297216178"/>
      <w:bookmarkStart w:id="783" w:name="_Toc303539128"/>
      <w:bookmarkStart w:id="784" w:name="_Toc312678015"/>
      <w:bookmarkStart w:id="785" w:name="_Toc297123519"/>
      <w:bookmarkStart w:id="786" w:name="_Toc304295549"/>
      <w:r>
        <w:rPr>
          <w:rFonts w:hint="eastAsia" w:ascii="宋体" w:hAnsi="宋体" w:cs="宋体"/>
          <w:color w:val="000000"/>
          <w:kern w:val="0"/>
          <w:sz w:val="24"/>
          <w:szCs w:val="24"/>
        </w:rPr>
        <w:t>.6 不</w:t>
      </w:r>
      <w:bookmarkEnd w:id="781"/>
      <w:bookmarkEnd w:id="782"/>
      <w:bookmarkEnd w:id="783"/>
      <w:bookmarkEnd w:id="784"/>
      <w:bookmarkEnd w:id="785"/>
      <w:bookmarkEnd w:id="786"/>
      <w:r>
        <w:rPr>
          <w:rFonts w:hint="eastAsia" w:ascii="宋体" w:hAnsi="宋体" w:cs="宋体"/>
          <w:color w:val="000000"/>
          <w:kern w:val="0"/>
          <w:sz w:val="24"/>
          <w:szCs w:val="24"/>
        </w:rPr>
        <w:t>利物质条件</w:t>
      </w:r>
      <w:bookmarkEnd w:id="780"/>
    </w:p>
    <w:p>
      <w:pPr>
        <w:spacing w:line="360" w:lineRule="auto"/>
        <w:jc w:val="left"/>
        <w:rPr>
          <w:rFonts w:ascii="宋体" w:hAnsi="宋体" w:cs="宋体"/>
          <w:color w:val="000000"/>
          <w:sz w:val="24"/>
        </w:rPr>
      </w:pPr>
      <w:bookmarkStart w:id="787" w:name="_Toc300934972"/>
      <w:bookmarkStart w:id="788" w:name="_Toc297216179"/>
      <w:bookmarkStart w:id="789" w:name="_Toc297123520"/>
      <w:bookmarkStart w:id="790" w:name="_Toc318581172"/>
      <w:bookmarkStart w:id="791" w:name="_Toc304295550"/>
      <w:bookmarkStart w:id="792" w:name="_Toc312678016"/>
      <w:bookmarkStart w:id="793" w:name="_Toc303539129"/>
      <w:r>
        <w:rPr>
          <w:rFonts w:hint="eastAsia" w:ascii="宋体" w:hAnsi="宋体" w:cs="宋体"/>
          <w:color w:val="000000"/>
          <w:sz w:val="24"/>
        </w:rPr>
        <w:t>不利物质条件的其他情形和有关约定：。</w:t>
      </w:r>
    </w:p>
    <w:bookmarkEnd w:id="787"/>
    <w:bookmarkEnd w:id="788"/>
    <w:bookmarkEnd w:id="789"/>
    <w:bookmarkEnd w:id="790"/>
    <w:bookmarkEnd w:id="791"/>
    <w:bookmarkEnd w:id="792"/>
    <w:bookmarkEnd w:id="793"/>
    <w:p>
      <w:pPr>
        <w:pStyle w:val="4"/>
        <w:spacing w:before="0" w:after="0" w:line="360" w:lineRule="auto"/>
        <w:rPr>
          <w:rFonts w:ascii="宋体" w:hAnsi="宋体" w:cs="宋体"/>
          <w:color w:val="000000"/>
          <w:kern w:val="0"/>
          <w:sz w:val="24"/>
          <w:szCs w:val="24"/>
        </w:rPr>
      </w:pPr>
      <w:bookmarkStart w:id="794" w:name="_Toc381175705"/>
      <w:r>
        <w:rPr>
          <w:rFonts w:hint="eastAsia" w:ascii="宋体" w:hAnsi="宋体" w:cs="宋体"/>
          <w:color w:val="000000"/>
          <w:kern w:val="0"/>
          <w:sz w:val="24"/>
          <w:szCs w:val="24"/>
        </w:rPr>
        <w:t>7</w:t>
      </w:r>
      <w:bookmarkStart w:id="795" w:name="_Toc312678017"/>
      <w:bookmarkStart w:id="796" w:name="_Toc297123521"/>
      <w:bookmarkStart w:id="797" w:name="_Toc297216180"/>
      <w:bookmarkStart w:id="798" w:name="_Toc304295551"/>
      <w:bookmarkStart w:id="799" w:name="_Toc300934973"/>
      <w:bookmarkStart w:id="800" w:name="_Toc303539130"/>
      <w:r>
        <w:rPr>
          <w:rFonts w:hint="eastAsia" w:ascii="宋体" w:hAnsi="宋体" w:cs="宋体"/>
          <w:color w:val="000000"/>
          <w:kern w:val="0"/>
          <w:sz w:val="24"/>
          <w:szCs w:val="24"/>
        </w:rPr>
        <w:t>.7异常恶劣的气候条件</w:t>
      </w:r>
      <w:bookmarkEnd w:id="794"/>
    </w:p>
    <w:bookmarkEnd w:id="795"/>
    <w:bookmarkEnd w:id="796"/>
    <w:bookmarkEnd w:id="797"/>
    <w:bookmarkEnd w:id="798"/>
    <w:bookmarkEnd w:id="799"/>
    <w:bookmarkEnd w:id="800"/>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发包人和承包人同意以下情形视为异常恶劣的气候条件：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w:t>
      </w:r>
    </w:p>
    <w:p>
      <w:pPr>
        <w:pStyle w:val="4"/>
        <w:spacing w:before="0" w:after="0" w:line="360" w:lineRule="auto"/>
        <w:rPr>
          <w:rFonts w:ascii="宋体" w:hAnsi="宋体" w:cs="宋体"/>
          <w:color w:val="000000"/>
          <w:kern w:val="0"/>
          <w:sz w:val="24"/>
          <w:szCs w:val="24"/>
        </w:rPr>
      </w:pPr>
      <w:bookmarkStart w:id="801" w:name="_Toc381175706"/>
      <w:r>
        <w:rPr>
          <w:rFonts w:hint="eastAsia" w:ascii="宋体" w:hAnsi="宋体" w:cs="宋体"/>
          <w:color w:val="000000"/>
          <w:kern w:val="0"/>
          <w:sz w:val="24"/>
          <w:szCs w:val="24"/>
        </w:rPr>
        <w:t>7.9 提前竣工的奖励</w:t>
      </w:r>
      <w:bookmarkEnd w:id="80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7.9.2提前竣工的奖励：。</w:t>
      </w:r>
    </w:p>
    <w:p>
      <w:pPr>
        <w:pStyle w:val="3"/>
        <w:spacing w:before="0" w:after="0" w:line="360" w:lineRule="auto"/>
        <w:rPr>
          <w:rFonts w:ascii="宋体" w:hAnsi="宋体" w:eastAsia="宋体" w:cs="宋体"/>
          <w:color w:val="000000"/>
          <w:kern w:val="0"/>
          <w:sz w:val="28"/>
          <w:szCs w:val="28"/>
        </w:rPr>
      </w:pPr>
      <w:bookmarkStart w:id="802" w:name="_Toc351203640"/>
      <w:bookmarkStart w:id="803" w:name="_Toc381175707"/>
      <w:bookmarkStart w:id="804" w:name="_Toc9003"/>
      <w:bookmarkStart w:id="805" w:name="_Toc20827"/>
      <w:r>
        <w:rPr>
          <w:rFonts w:hint="eastAsia" w:ascii="宋体" w:hAnsi="宋体" w:eastAsia="宋体" w:cs="宋体"/>
          <w:color w:val="000000"/>
          <w:kern w:val="0"/>
          <w:sz w:val="28"/>
          <w:szCs w:val="28"/>
        </w:rPr>
        <w:t>8. 材料与设备</w:t>
      </w:r>
      <w:bookmarkEnd w:id="802"/>
      <w:bookmarkEnd w:id="803"/>
      <w:bookmarkEnd w:id="804"/>
      <w:bookmarkEnd w:id="805"/>
    </w:p>
    <w:bookmarkEnd w:id="721"/>
    <w:bookmarkEnd w:id="722"/>
    <w:bookmarkEnd w:id="723"/>
    <w:bookmarkEnd w:id="724"/>
    <w:bookmarkEnd w:id="725"/>
    <w:bookmarkEnd w:id="726"/>
    <w:bookmarkEnd w:id="727"/>
    <w:bookmarkEnd w:id="728"/>
    <w:bookmarkEnd w:id="729"/>
    <w:bookmarkEnd w:id="730"/>
    <w:p>
      <w:pPr>
        <w:pStyle w:val="4"/>
        <w:spacing w:before="0" w:after="0" w:line="360" w:lineRule="auto"/>
        <w:rPr>
          <w:rFonts w:ascii="宋体" w:hAnsi="宋体" w:cs="宋体"/>
          <w:color w:val="000000"/>
          <w:kern w:val="0"/>
          <w:sz w:val="24"/>
          <w:szCs w:val="24"/>
        </w:rPr>
      </w:pPr>
      <w:bookmarkStart w:id="806" w:name="_Toc381175708"/>
      <w:r>
        <w:rPr>
          <w:rFonts w:hint="eastAsia" w:ascii="宋体" w:hAnsi="宋体" w:cs="宋体"/>
          <w:color w:val="000000"/>
          <w:kern w:val="0"/>
          <w:sz w:val="24"/>
          <w:szCs w:val="24"/>
        </w:rPr>
        <w:t>8</w:t>
      </w:r>
      <w:bookmarkStart w:id="807" w:name="_Toc297216186"/>
      <w:bookmarkStart w:id="808" w:name="_Toc297123527"/>
      <w:bookmarkStart w:id="809" w:name="_Toc304295556"/>
      <w:bookmarkStart w:id="810" w:name="_Toc296347166"/>
      <w:bookmarkStart w:id="811" w:name="_Toc312677493"/>
      <w:bookmarkStart w:id="812" w:name="_Toc292559877"/>
      <w:bookmarkStart w:id="813" w:name="_Toc292559372"/>
      <w:bookmarkStart w:id="814" w:name="_Toc300934979"/>
      <w:bookmarkStart w:id="815" w:name="_Toc296891207"/>
      <w:bookmarkStart w:id="816" w:name="_Toc312678019"/>
      <w:bookmarkStart w:id="817" w:name="_Toc296503167"/>
      <w:bookmarkStart w:id="818" w:name="_Toc297048353"/>
      <w:bookmarkStart w:id="819" w:name="_Toc280868654"/>
      <w:bookmarkStart w:id="820" w:name="_Toc303539136"/>
      <w:bookmarkStart w:id="821" w:name="_Toc297120467"/>
      <w:bookmarkStart w:id="822" w:name="_Toc296944506"/>
      <w:bookmarkStart w:id="823" w:name="_Toc296346668"/>
      <w:bookmarkStart w:id="824" w:name="_Toc296890995"/>
      <w:bookmarkStart w:id="825" w:name="_Toc267251424"/>
      <w:bookmarkStart w:id="826" w:name="_Toc280868656"/>
      <w:bookmarkStart w:id="827" w:name="_Toc280868655"/>
      <w:r>
        <w:rPr>
          <w:rFonts w:hint="eastAsia" w:ascii="宋体" w:hAnsi="宋体" w:cs="宋体"/>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8</w:t>
      </w:r>
      <w:bookmarkStart w:id="828" w:name="_Toc292559373"/>
      <w:bookmarkStart w:id="829" w:name="_Toc292559878"/>
      <w:bookmarkStart w:id="830" w:name="_Toc296891208"/>
      <w:bookmarkStart w:id="831" w:name="_Toc296346669"/>
      <w:bookmarkStart w:id="832" w:name="_Toc312678020"/>
      <w:bookmarkStart w:id="833" w:name="_Toc297120468"/>
      <w:bookmarkStart w:id="834" w:name="_Toc296890996"/>
      <w:bookmarkStart w:id="835" w:name="_Toc297216187"/>
      <w:bookmarkStart w:id="836" w:name="_Toc296347167"/>
      <w:bookmarkStart w:id="837" w:name="_Toc304295557"/>
      <w:bookmarkStart w:id="838" w:name="_Toc296944507"/>
      <w:bookmarkStart w:id="839" w:name="_Toc318581173"/>
      <w:bookmarkStart w:id="840" w:name="_Toc303539137"/>
      <w:bookmarkStart w:id="841" w:name="_Toc312677494"/>
      <w:bookmarkStart w:id="842" w:name="_Toc297048354"/>
      <w:bookmarkStart w:id="843" w:name="_Toc297123528"/>
      <w:bookmarkStart w:id="844" w:name="_Toc296503168"/>
      <w:bookmarkStart w:id="845" w:name="_Toc300934980"/>
      <w:r>
        <w:rPr>
          <w:rFonts w:hint="eastAsia" w:ascii="宋体" w:hAnsi="宋体" w:cs="宋体"/>
          <w:color w:val="000000"/>
          <w:sz w:val="24"/>
        </w:rPr>
        <w:t>.4.1发包人供应的材料设备的保管费用的承担：。</w:t>
      </w:r>
      <w:bookmarkEnd w:id="828"/>
      <w:bookmarkEnd w:id="829"/>
    </w:p>
    <w:p>
      <w:pPr>
        <w:pStyle w:val="4"/>
        <w:spacing w:before="0" w:after="0" w:line="360" w:lineRule="auto"/>
        <w:rPr>
          <w:rFonts w:ascii="宋体" w:hAnsi="宋体" w:cs="宋体"/>
          <w:color w:val="000000"/>
          <w:kern w:val="0"/>
          <w:sz w:val="24"/>
          <w:szCs w:val="24"/>
        </w:rPr>
      </w:pPr>
      <w:bookmarkStart w:id="846" w:name="_Toc381175709"/>
      <w:r>
        <w:rPr>
          <w:rFonts w:hint="eastAsia" w:ascii="宋体" w:hAnsi="宋体" w:cs="宋体"/>
          <w:color w:val="000000"/>
          <w:kern w:val="0"/>
          <w:sz w:val="24"/>
          <w:szCs w:val="24"/>
        </w:rPr>
        <w:t>8.6 样品</w:t>
      </w:r>
      <w:bookmarkEnd w:id="84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需要承包人报送样品的材料或工程设备，样品的种类、名称、规格、数量要求：</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847" w:name="_Toc381175710"/>
      <w:r>
        <w:rPr>
          <w:rFonts w:hint="eastAsia" w:ascii="宋体" w:hAnsi="宋体" w:cs="宋体"/>
          <w:color w:val="000000"/>
          <w:kern w:val="0"/>
          <w:sz w:val="24"/>
          <w:szCs w:val="24"/>
        </w:rPr>
        <w:t>8.8 施工设备和临时设施</w:t>
      </w:r>
      <w:bookmarkEnd w:id="847"/>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关于修建临时设施费用承担的约定：。</w:t>
      </w:r>
    </w:p>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Pr>
        <w:pStyle w:val="3"/>
        <w:spacing w:before="0" w:after="0" w:line="360" w:lineRule="auto"/>
        <w:rPr>
          <w:rFonts w:ascii="宋体" w:hAnsi="宋体" w:eastAsia="宋体" w:cs="宋体"/>
          <w:color w:val="000000"/>
          <w:kern w:val="0"/>
          <w:sz w:val="28"/>
          <w:szCs w:val="28"/>
        </w:rPr>
      </w:pPr>
      <w:bookmarkStart w:id="848" w:name="_Toc351203641"/>
      <w:bookmarkStart w:id="849" w:name="_Toc17575"/>
      <w:bookmarkStart w:id="850" w:name="_Toc7219"/>
      <w:bookmarkStart w:id="851" w:name="_Toc381175711"/>
      <w:r>
        <w:rPr>
          <w:rFonts w:hint="eastAsia" w:ascii="宋体" w:hAnsi="宋体" w:eastAsia="宋体" w:cs="宋体"/>
          <w:color w:val="000000"/>
          <w:kern w:val="0"/>
          <w:sz w:val="28"/>
          <w:szCs w:val="28"/>
        </w:rPr>
        <w:t>9</w:t>
      </w:r>
      <w:bookmarkEnd w:id="825"/>
      <w:bookmarkEnd w:id="826"/>
      <w:bookmarkEnd w:id="827"/>
      <w:bookmarkStart w:id="852" w:name="_Toc297216192"/>
      <w:bookmarkStart w:id="853" w:name="_Toc304295559"/>
      <w:bookmarkStart w:id="854" w:name="_Toc312677495"/>
      <w:bookmarkStart w:id="855" w:name="_Toc303539139"/>
      <w:bookmarkStart w:id="856" w:name="_Toc312678021"/>
      <w:bookmarkStart w:id="857" w:name="_Toc297123533"/>
      <w:bookmarkStart w:id="858" w:name="_Toc300934982"/>
      <w:bookmarkStart w:id="859" w:name="_Toc296944512"/>
      <w:bookmarkStart w:id="860" w:name="_Toc297120473"/>
      <w:bookmarkStart w:id="861" w:name="_Toc292559378"/>
      <w:bookmarkStart w:id="862" w:name="_Toc267251428"/>
      <w:bookmarkStart w:id="863" w:name="_Toc296346674"/>
      <w:bookmarkStart w:id="864" w:name="_Toc296347172"/>
      <w:bookmarkStart w:id="865" w:name="_Toc296891213"/>
      <w:bookmarkStart w:id="866" w:name="_Toc267251427"/>
      <w:bookmarkStart w:id="867" w:name="_Toc296891001"/>
      <w:bookmarkStart w:id="868" w:name="_Toc296503173"/>
      <w:bookmarkStart w:id="869" w:name="_Toc292559883"/>
      <w:bookmarkStart w:id="870" w:name="_Toc297048359"/>
      <w:r>
        <w:rPr>
          <w:rFonts w:hint="eastAsia" w:ascii="宋体" w:hAnsi="宋体" w:eastAsia="宋体" w:cs="宋体"/>
          <w:color w:val="000000"/>
          <w:kern w:val="0"/>
          <w:sz w:val="28"/>
          <w:szCs w:val="28"/>
        </w:rPr>
        <w:t>. 试验与检验</w:t>
      </w:r>
      <w:bookmarkEnd w:id="848"/>
      <w:bookmarkEnd w:id="849"/>
      <w:bookmarkEnd w:id="850"/>
      <w:bookmarkEnd w:id="851"/>
    </w:p>
    <w:bookmarkEnd w:id="852"/>
    <w:bookmarkEnd w:id="853"/>
    <w:bookmarkEnd w:id="854"/>
    <w:bookmarkEnd w:id="855"/>
    <w:bookmarkEnd w:id="856"/>
    <w:bookmarkEnd w:id="857"/>
    <w:bookmarkEnd w:id="858"/>
    <w:p>
      <w:pPr>
        <w:pStyle w:val="4"/>
        <w:spacing w:before="0" w:after="0" w:line="360" w:lineRule="auto"/>
        <w:rPr>
          <w:rFonts w:ascii="宋体" w:hAnsi="宋体" w:cs="宋体"/>
          <w:color w:val="000000"/>
          <w:kern w:val="0"/>
          <w:sz w:val="24"/>
          <w:szCs w:val="24"/>
        </w:rPr>
      </w:pPr>
      <w:bookmarkStart w:id="871" w:name="_Toc381175712"/>
      <w:r>
        <w:rPr>
          <w:rFonts w:hint="eastAsia" w:ascii="宋体" w:hAnsi="宋体" w:cs="宋体"/>
          <w:color w:val="000000"/>
          <w:kern w:val="0"/>
          <w:sz w:val="24"/>
          <w:szCs w:val="24"/>
        </w:rPr>
        <w:t>9</w:t>
      </w:r>
      <w:bookmarkStart w:id="872" w:name="_Toc304295560"/>
      <w:bookmarkStart w:id="873" w:name="_Toc303539140"/>
      <w:bookmarkStart w:id="874" w:name="_Toc312677496"/>
      <w:bookmarkStart w:id="875" w:name="_Toc312678022"/>
      <w:bookmarkStart w:id="876" w:name="_Toc300934983"/>
      <w:bookmarkStart w:id="877" w:name="_Toc297216193"/>
      <w:bookmarkStart w:id="878" w:name="_Toc297123534"/>
      <w:r>
        <w:rPr>
          <w:rFonts w:hint="eastAsia" w:ascii="宋体" w:hAnsi="宋体" w:cs="宋体"/>
          <w:color w:val="000000"/>
          <w:kern w:val="0"/>
          <w:sz w:val="24"/>
          <w:szCs w:val="24"/>
        </w:rPr>
        <w:t>.1试验设备与试验人员</w:t>
      </w:r>
      <w:bookmarkEnd w:id="871"/>
    </w:p>
    <w:bookmarkEnd w:id="872"/>
    <w:bookmarkEnd w:id="873"/>
    <w:bookmarkEnd w:id="874"/>
    <w:bookmarkEnd w:id="875"/>
    <w:bookmarkEnd w:id="876"/>
    <w:bookmarkEnd w:id="877"/>
    <w:bookmarkEnd w:id="87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9</w:t>
      </w:r>
      <w:bookmarkStart w:id="879" w:name="_Toc312678023"/>
      <w:bookmarkStart w:id="880" w:name="_Toc303539141"/>
      <w:bookmarkStart w:id="881" w:name="_Toc297123535"/>
      <w:bookmarkStart w:id="882" w:name="_Toc297216194"/>
      <w:bookmarkStart w:id="883" w:name="_Toc312677497"/>
      <w:bookmarkStart w:id="884" w:name="_Toc300934984"/>
      <w:bookmarkStart w:id="885" w:name="_Toc304295561"/>
      <w:bookmarkStart w:id="886" w:name="_Toc318581174"/>
      <w:r>
        <w:rPr>
          <w:rFonts w:hint="eastAsia" w:ascii="宋体" w:hAnsi="宋体" w:cs="宋体"/>
          <w:color w:val="000000"/>
          <w:sz w:val="24"/>
        </w:rPr>
        <w:t>.1.2 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施工现场需要配置的试验场所：</w:t>
      </w:r>
      <w:bookmarkEnd w:id="879"/>
      <w:bookmarkEnd w:id="880"/>
      <w:bookmarkEnd w:id="881"/>
      <w:bookmarkEnd w:id="882"/>
      <w:bookmarkEnd w:id="883"/>
      <w:bookmarkEnd w:id="884"/>
      <w:bookmarkEnd w:id="885"/>
      <w:bookmarkStart w:id="887" w:name="_Toc297216195"/>
      <w:bookmarkStart w:id="888" w:name="_Toc312678024"/>
      <w:bookmarkStart w:id="889" w:name="_Toc300934985"/>
      <w:bookmarkStart w:id="890" w:name="_Toc297123536"/>
      <w:bookmarkStart w:id="891" w:name="_Toc304295562"/>
      <w:bookmarkStart w:id="892" w:name="_Toc303539142"/>
      <w:bookmarkStart w:id="893" w:name="_Toc312677498"/>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施工现场需要配备的试验设备：。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施工现场需要具备的其他试验条件：。</w:t>
      </w:r>
    </w:p>
    <w:p>
      <w:pPr>
        <w:pStyle w:val="4"/>
        <w:spacing w:before="0" w:after="0" w:line="360" w:lineRule="auto"/>
        <w:rPr>
          <w:rFonts w:ascii="宋体" w:hAnsi="宋体" w:cs="宋体"/>
          <w:color w:val="000000"/>
          <w:kern w:val="0"/>
          <w:sz w:val="24"/>
          <w:szCs w:val="24"/>
        </w:rPr>
      </w:pPr>
      <w:bookmarkStart w:id="894" w:name="_Toc381175713"/>
      <w:r>
        <w:rPr>
          <w:rFonts w:hint="eastAsia" w:ascii="宋体" w:hAnsi="宋体" w:cs="宋体"/>
          <w:color w:val="000000"/>
          <w:kern w:val="0"/>
          <w:sz w:val="24"/>
          <w:szCs w:val="24"/>
        </w:rPr>
        <w:t>9.4 现场工艺试验</w:t>
      </w:r>
      <w:bookmarkEnd w:id="89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现场工艺试验的有关约定：。</w:t>
      </w:r>
    </w:p>
    <w:bookmarkEnd w:id="886"/>
    <w:bookmarkEnd w:id="887"/>
    <w:bookmarkEnd w:id="888"/>
    <w:bookmarkEnd w:id="889"/>
    <w:bookmarkEnd w:id="890"/>
    <w:bookmarkEnd w:id="891"/>
    <w:bookmarkEnd w:id="892"/>
    <w:bookmarkEnd w:id="893"/>
    <w:p>
      <w:pPr>
        <w:pStyle w:val="3"/>
        <w:spacing w:before="0" w:after="0" w:line="360" w:lineRule="auto"/>
        <w:rPr>
          <w:rFonts w:ascii="宋体" w:hAnsi="宋体" w:eastAsia="宋体" w:cs="宋体"/>
          <w:color w:val="000000"/>
          <w:kern w:val="0"/>
          <w:sz w:val="28"/>
          <w:szCs w:val="28"/>
        </w:rPr>
      </w:pPr>
      <w:bookmarkStart w:id="895" w:name="_Toc25937"/>
      <w:bookmarkStart w:id="896" w:name="_Toc351203642"/>
      <w:bookmarkStart w:id="897" w:name="_Toc22168"/>
      <w:bookmarkStart w:id="898" w:name="_Toc381175714"/>
      <w:r>
        <w:rPr>
          <w:rFonts w:hint="eastAsia" w:ascii="宋体" w:hAnsi="宋体" w:eastAsia="宋体" w:cs="宋体"/>
          <w:color w:val="000000"/>
          <w:kern w:val="0"/>
          <w:sz w:val="28"/>
          <w:szCs w:val="28"/>
        </w:rPr>
        <w:t>1</w:t>
      </w:r>
      <w:bookmarkEnd w:id="859"/>
      <w:bookmarkEnd w:id="860"/>
      <w:bookmarkEnd w:id="861"/>
      <w:bookmarkEnd w:id="862"/>
      <w:bookmarkEnd w:id="863"/>
      <w:bookmarkEnd w:id="864"/>
      <w:bookmarkEnd w:id="865"/>
      <w:bookmarkEnd w:id="866"/>
      <w:bookmarkEnd w:id="867"/>
      <w:bookmarkEnd w:id="868"/>
      <w:bookmarkEnd w:id="869"/>
      <w:bookmarkEnd w:id="870"/>
      <w:bookmarkStart w:id="899" w:name="_Toc300934989"/>
      <w:bookmarkStart w:id="900" w:name="_Toc296891233"/>
      <w:bookmarkStart w:id="901" w:name="_Toc296891021"/>
      <w:bookmarkStart w:id="902" w:name="_Toc297120493"/>
      <w:bookmarkStart w:id="903" w:name="_Toc296503193"/>
      <w:bookmarkStart w:id="904" w:name="_Toc292559903"/>
      <w:bookmarkStart w:id="905" w:name="_Toc292559398"/>
      <w:bookmarkStart w:id="906" w:name="_Toc297123540"/>
      <w:bookmarkStart w:id="907" w:name="_Toc296944532"/>
      <w:bookmarkStart w:id="908" w:name="_Toc304295566"/>
      <w:bookmarkStart w:id="909" w:name="_Toc297216199"/>
      <w:bookmarkStart w:id="910" w:name="_Toc303539146"/>
      <w:bookmarkStart w:id="911" w:name="_Toc296347192"/>
      <w:bookmarkStart w:id="912" w:name="_Toc297048379"/>
      <w:bookmarkStart w:id="913" w:name="_Toc296346694"/>
      <w:bookmarkStart w:id="914" w:name="_Toc312677499"/>
      <w:bookmarkStart w:id="915" w:name="_Toc312678025"/>
      <w:bookmarkStart w:id="916" w:name="_Toc267251441"/>
      <w:bookmarkStart w:id="917" w:name="_Toc267251435"/>
      <w:bookmarkStart w:id="918" w:name="_Toc267251437"/>
      <w:bookmarkStart w:id="919" w:name="_Toc267251433"/>
      <w:bookmarkStart w:id="920" w:name="_Toc267251440"/>
      <w:bookmarkStart w:id="921" w:name="_Toc267251439"/>
      <w:bookmarkStart w:id="922" w:name="_Toc267251442"/>
      <w:r>
        <w:rPr>
          <w:rFonts w:hint="eastAsia" w:ascii="宋体" w:hAnsi="宋体" w:eastAsia="宋体" w:cs="宋体"/>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pPr>
        <w:pStyle w:val="4"/>
        <w:spacing w:before="0" w:after="0" w:line="360" w:lineRule="auto"/>
        <w:rPr>
          <w:rFonts w:ascii="宋体" w:hAnsi="宋体" w:cs="宋体"/>
          <w:color w:val="000000"/>
          <w:kern w:val="0"/>
          <w:sz w:val="24"/>
          <w:szCs w:val="24"/>
        </w:rPr>
      </w:pPr>
      <w:bookmarkStart w:id="923" w:name="_Toc381175715"/>
      <w:r>
        <w:rPr>
          <w:rFonts w:hint="eastAsia" w:ascii="宋体" w:hAnsi="宋体" w:cs="宋体"/>
          <w:color w:val="000000"/>
          <w:kern w:val="0"/>
          <w:sz w:val="24"/>
          <w:szCs w:val="24"/>
        </w:rPr>
        <w:t>1</w:t>
      </w:r>
      <w:bookmarkStart w:id="924" w:name="_Toc296346695"/>
      <w:bookmarkStart w:id="925" w:name="_Toc297048380"/>
      <w:bookmarkStart w:id="926" w:name="_Toc296503194"/>
      <w:bookmarkStart w:id="927" w:name="_Toc292559904"/>
      <w:bookmarkStart w:id="928" w:name="_Toc297216200"/>
      <w:bookmarkStart w:id="929" w:name="_Toc292559399"/>
      <w:bookmarkStart w:id="930" w:name="_Toc304295567"/>
      <w:bookmarkStart w:id="931" w:name="_Toc312678026"/>
      <w:bookmarkStart w:id="932" w:name="_Toc296891234"/>
      <w:bookmarkStart w:id="933" w:name="_Toc300934990"/>
      <w:bookmarkStart w:id="934" w:name="_Toc296347193"/>
      <w:bookmarkStart w:id="935" w:name="_Toc297120494"/>
      <w:bookmarkStart w:id="936" w:name="_Toc296891022"/>
      <w:bookmarkStart w:id="937" w:name="_Toc303539147"/>
      <w:bookmarkStart w:id="938" w:name="_Toc296944533"/>
      <w:bookmarkStart w:id="939" w:name="_Toc297123541"/>
      <w:bookmarkStart w:id="940" w:name="_Toc312677500"/>
      <w:r>
        <w:rPr>
          <w:rFonts w:hint="eastAsia" w:ascii="宋体" w:hAnsi="宋体" w:cs="宋体"/>
          <w:color w:val="000000"/>
          <w:kern w:val="0"/>
          <w:sz w:val="24"/>
          <w:szCs w:val="24"/>
        </w:rPr>
        <w:t>0.1变更的范围</w:t>
      </w:r>
      <w:bookmarkEnd w:id="92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关于变更的范围的约定：。</w:t>
      </w:r>
    </w:p>
    <w:p>
      <w:pPr>
        <w:pStyle w:val="4"/>
        <w:spacing w:before="0" w:after="0" w:line="360" w:lineRule="auto"/>
        <w:rPr>
          <w:rFonts w:ascii="宋体" w:hAnsi="宋体" w:cs="宋体"/>
          <w:color w:val="000000"/>
          <w:kern w:val="0"/>
          <w:sz w:val="24"/>
          <w:szCs w:val="24"/>
        </w:rPr>
      </w:pPr>
      <w:bookmarkStart w:id="941" w:name="_Toc381175716"/>
      <w:r>
        <w:rPr>
          <w:rFonts w:hint="eastAsia" w:ascii="宋体" w:hAnsi="宋体" w:cs="宋体"/>
          <w:color w:val="000000"/>
          <w:kern w:val="0"/>
          <w:sz w:val="24"/>
          <w:szCs w:val="24"/>
        </w:rPr>
        <w:t>10.4 变更估价</w:t>
      </w:r>
      <w:bookmarkEnd w:id="94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10.4.1 变更估价原则</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关于变更估价的约定: 。</w:t>
      </w:r>
    </w:p>
    <w:p>
      <w:pPr>
        <w:pStyle w:val="4"/>
        <w:spacing w:before="0" w:after="0" w:line="360" w:lineRule="auto"/>
        <w:rPr>
          <w:rFonts w:ascii="宋体" w:hAnsi="宋体" w:cs="宋体"/>
          <w:color w:val="000000"/>
          <w:kern w:val="0"/>
          <w:sz w:val="24"/>
          <w:szCs w:val="24"/>
        </w:rPr>
      </w:pPr>
      <w:bookmarkStart w:id="942" w:name="_Toc381175717"/>
      <w:r>
        <w:rPr>
          <w:rFonts w:hint="eastAsia" w:ascii="宋体" w:hAnsi="宋体" w:cs="宋体"/>
          <w:color w:val="000000"/>
          <w:kern w:val="0"/>
          <w:sz w:val="24"/>
          <w:szCs w:val="24"/>
        </w:rPr>
        <w:t>1</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Start w:id="943" w:name="_Toc296891237"/>
      <w:bookmarkStart w:id="944" w:name="_Toc296347196"/>
      <w:bookmarkStart w:id="945" w:name="_Toc292559907"/>
      <w:bookmarkStart w:id="946" w:name="_Toc296944536"/>
      <w:bookmarkStart w:id="947" w:name="_Toc297048383"/>
      <w:bookmarkStart w:id="948" w:name="_Toc300934993"/>
      <w:bookmarkStart w:id="949" w:name="_Toc297216203"/>
      <w:bookmarkStart w:id="950" w:name="_Toc296503197"/>
      <w:bookmarkStart w:id="951" w:name="_Toc303539150"/>
      <w:bookmarkStart w:id="952" w:name="_Toc297123544"/>
      <w:bookmarkStart w:id="953" w:name="_Toc292559402"/>
      <w:bookmarkStart w:id="954" w:name="_Toc296891025"/>
      <w:bookmarkStart w:id="955" w:name="_Toc296346698"/>
      <w:bookmarkStart w:id="956" w:name="_Toc297120497"/>
      <w:bookmarkStart w:id="957" w:name="_Toc312678029"/>
      <w:bookmarkStart w:id="958" w:name="_Toc312677503"/>
      <w:bookmarkStart w:id="959" w:name="_Toc304295570"/>
      <w:r>
        <w:rPr>
          <w:rFonts w:hint="eastAsia" w:ascii="宋体" w:hAnsi="宋体" w:cs="宋体"/>
          <w:color w:val="000000"/>
          <w:kern w:val="0"/>
          <w:sz w:val="24"/>
          <w:szCs w:val="24"/>
        </w:rPr>
        <w:t>0.5承</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Start w:id="960" w:name="_Toc297048389"/>
      <w:bookmarkStart w:id="961" w:name="_Toc297120503"/>
      <w:bookmarkStart w:id="962" w:name="_Toc297216204"/>
      <w:bookmarkStart w:id="963" w:name="_Toc300934994"/>
      <w:bookmarkStart w:id="964" w:name="_Toc296944542"/>
      <w:bookmarkStart w:id="965" w:name="_Toc296891031"/>
      <w:bookmarkStart w:id="966" w:name="_Toc296347202"/>
      <w:bookmarkStart w:id="967" w:name="_Toc296346704"/>
      <w:bookmarkStart w:id="968" w:name="_Toc292559913"/>
      <w:bookmarkStart w:id="969" w:name="_Toc297123545"/>
      <w:bookmarkStart w:id="970" w:name="_Toc296891243"/>
      <w:bookmarkStart w:id="971" w:name="_Toc303539151"/>
      <w:bookmarkStart w:id="972" w:name="_Toc292559408"/>
      <w:bookmarkStart w:id="973" w:name="_Toc296503203"/>
      <w:r>
        <w:rPr>
          <w:rFonts w:hint="eastAsia" w:ascii="宋体" w:hAnsi="宋体" w:cs="宋体"/>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监理人审查承包人合理化建议的期限：。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发包人审批承包人合理化建议的期限：。</w:t>
      </w:r>
    </w:p>
    <w:p>
      <w:pPr>
        <w:spacing w:line="360" w:lineRule="auto"/>
        <w:jc w:val="left"/>
        <w:rPr>
          <w:rFonts w:ascii="宋体" w:hAnsi="宋体" w:cs="宋体"/>
          <w:color w:val="000000"/>
          <w:sz w:val="24"/>
          <w:u w:val="single"/>
        </w:rPr>
      </w:pPr>
      <w:r>
        <w:rPr>
          <w:rFonts w:hint="eastAsia" w:ascii="宋体" w:hAnsi="宋体" w:cs="宋体"/>
          <w:color w:val="000000"/>
          <w:sz w:val="24"/>
        </w:rPr>
        <w:t>承</w:t>
      </w:r>
      <w:bookmarkStart w:id="974" w:name="_Toc297123546"/>
      <w:bookmarkStart w:id="975" w:name="_Toc296346705"/>
      <w:bookmarkStart w:id="976" w:name="_Toc312678030"/>
      <w:bookmarkStart w:id="977" w:name="_Toc300934995"/>
      <w:bookmarkStart w:id="978" w:name="_Toc303539152"/>
      <w:bookmarkStart w:id="979" w:name="_Toc312677504"/>
      <w:bookmarkStart w:id="980" w:name="_Toc296944543"/>
      <w:bookmarkStart w:id="981" w:name="_Toc292559409"/>
      <w:bookmarkStart w:id="982" w:name="_Toc297048390"/>
      <w:bookmarkStart w:id="983" w:name="_Toc304295571"/>
      <w:bookmarkStart w:id="984" w:name="_Toc292559914"/>
      <w:bookmarkStart w:id="985" w:name="_Toc297216205"/>
      <w:bookmarkStart w:id="986" w:name="_Toc296891244"/>
      <w:bookmarkStart w:id="987" w:name="_Toc296347203"/>
      <w:bookmarkStart w:id="988" w:name="_Toc297120504"/>
      <w:bookmarkStart w:id="989" w:name="_Toc296503204"/>
      <w:bookmarkStart w:id="990" w:name="_Toc296891032"/>
      <w:bookmarkStart w:id="991" w:name="_Toc318581175"/>
      <w:r>
        <w:rPr>
          <w:rFonts w:hint="eastAsia" w:ascii="宋体" w:hAnsi="宋体" w:cs="宋体"/>
          <w:color w:val="000000"/>
          <w:sz w:val="24"/>
        </w:rPr>
        <w:t>包人提出的合理化建议降低了合同价格或者提高了工程经济效益的奖励的方法和金额为：。</w:t>
      </w:r>
    </w:p>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Pr>
        <w:pStyle w:val="4"/>
        <w:spacing w:before="0" w:after="0" w:line="360" w:lineRule="auto"/>
        <w:rPr>
          <w:rFonts w:ascii="宋体" w:hAnsi="宋体" w:cs="宋体"/>
          <w:color w:val="000000"/>
          <w:kern w:val="0"/>
          <w:sz w:val="24"/>
          <w:szCs w:val="24"/>
        </w:rPr>
      </w:pPr>
      <w:bookmarkStart w:id="992" w:name="_Toc381175718"/>
      <w:r>
        <w:rPr>
          <w:rFonts w:hint="eastAsia" w:ascii="宋体" w:hAnsi="宋体" w:cs="宋体"/>
          <w:color w:val="000000"/>
          <w:kern w:val="0"/>
          <w:sz w:val="24"/>
          <w:szCs w:val="24"/>
        </w:rPr>
        <w:t>1</w:t>
      </w:r>
      <w:bookmarkStart w:id="993" w:name="_Toc303539154"/>
      <w:bookmarkStart w:id="994" w:name="_Toc296891239"/>
      <w:bookmarkStart w:id="995" w:name="_Toc297216207"/>
      <w:bookmarkStart w:id="996" w:name="_Toc296944538"/>
      <w:bookmarkStart w:id="997" w:name="_Toc312678033"/>
      <w:bookmarkStart w:id="998" w:name="_Toc296347198"/>
      <w:bookmarkStart w:id="999" w:name="_Toc296503199"/>
      <w:bookmarkStart w:id="1000" w:name="_Toc292559909"/>
      <w:bookmarkStart w:id="1001" w:name="_Toc300934997"/>
      <w:bookmarkStart w:id="1002" w:name="_Toc297123548"/>
      <w:bookmarkStart w:id="1003" w:name="_Toc296891027"/>
      <w:bookmarkStart w:id="1004" w:name="_Toc296346700"/>
      <w:bookmarkStart w:id="1005" w:name="_Toc292559404"/>
      <w:bookmarkStart w:id="1006" w:name="_Toc297120499"/>
      <w:bookmarkStart w:id="1007" w:name="_Toc304295574"/>
      <w:bookmarkStart w:id="1008" w:name="_Toc297048385"/>
      <w:bookmarkStart w:id="1009" w:name="_Toc312677507"/>
      <w:r>
        <w:rPr>
          <w:rFonts w:hint="eastAsia" w:ascii="宋体" w:hAnsi="宋体" w:cs="宋体"/>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暂</w:t>
      </w:r>
      <w:bookmarkStart w:id="1010" w:name="_Toc318581176"/>
      <w:bookmarkStart w:id="1011" w:name="_Toc312677508"/>
      <w:bookmarkStart w:id="1012" w:name="_Toc312678034"/>
      <w:r>
        <w:rPr>
          <w:rFonts w:hint="eastAsia" w:ascii="宋体" w:hAnsi="宋体" w:cs="宋体"/>
          <w:color w:val="000000"/>
          <w:kern w:val="0"/>
          <w:sz w:val="24"/>
        </w:rPr>
        <w:t>估价材料和工程设备的明细详见附件11：《</w:t>
      </w:r>
      <w:r>
        <w:rPr>
          <w:rFonts w:hint="eastAsia" w:ascii="宋体" w:hAnsi="宋体" w:cs="宋体"/>
          <w:color w:val="000000"/>
          <w:sz w:val="24"/>
        </w:rPr>
        <w:t>暂估价一览表》</w:t>
      </w:r>
      <w:r>
        <w:rPr>
          <w:rFonts w:hint="eastAsia" w:ascii="宋体" w:hAnsi="宋体" w:cs="宋体"/>
          <w:color w:val="000000"/>
          <w:kern w:val="0"/>
          <w:sz w:val="24"/>
        </w:rPr>
        <w:t>。</w:t>
      </w:r>
    </w:p>
    <w:bookmarkEnd w:id="1010"/>
    <w:bookmarkEnd w:id="1011"/>
    <w:bookmarkEnd w:id="101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1013" w:name="_Toc312678035"/>
      <w:bookmarkStart w:id="1014" w:name="_Toc318581177"/>
      <w:bookmarkStart w:id="1015" w:name="_Toc312677509"/>
      <w:r>
        <w:rPr>
          <w:rFonts w:hint="eastAsia" w:ascii="宋体" w:hAnsi="宋体" w:cs="宋体"/>
          <w:color w:val="000000"/>
          <w:sz w:val="24"/>
        </w:rPr>
        <w:t>0.7.1 依法必须招标的暂估价项目</w:t>
      </w:r>
    </w:p>
    <w:bookmarkEnd w:id="1013"/>
    <w:bookmarkEnd w:id="1014"/>
    <w:bookmarkEnd w:id="101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对于依法必须招标的暂估价项目的确认和批准采取第种方式确定。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10.7.2 不属于依法必须招标的暂估价项目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对于不属于依法必须招标的暂估价项目的确认和批准采取第 种方式确定。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jc w:val="left"/>
        <w:rPr>
          <w:rFonts w:ascii="宋体" w:hAnsi="宋体" w:cs="宋体"/>
          <w:color w:val="000000"/>
          <w:sz w:val="24"/>
        </w:rPr>
      </w:pPr>
      <w:r>
        <w:rPr>
          <w:rFonts w:hint="eastAsia" w:ascii="宋体" w:hAnsi="宋体" w:cs="宋体"/>
          <w:color w:val="000000"/>
          <w:sz w:val="24"/>
        </w:rPr>
        <w:t>承包人直接实施的暂估价项目的约定：。</w:t>
      </w:r>
    </w:p>
    <w:p>
      <w:pPr>
        <w:pStyle w:val="4"/>
        <w:spacing w:before="0" w:after="0" w:line="360" w:lineRule="auto"/>
        <w:rPr>
          <w:rFonts w:ascii="宋体" w:hAnsi="宋体" w:cs="宋体"/>
          <w:color w:val="000000"/>
          <w:kern w:val="0"/>
          <w:sz w:val="24"/>
          <w:szCs w:val="24"/>
        </w:rPr>
      </w:pPr>
      <w:bookmarkStart w:id="1016" w:name="_Toc381175719"/>
      <w:r>
        <w:rPr>
          <w:rFonts w:hint="eastAsia" w:ascii="宋体" w:hAnsi="宋体" w:cs="宋体"/>
          <w:color w:val="000000"/>
          <w:kern w:val="0"/>
          <w:sz w:val="24"/>
          <w:szCs w:val="24"/>
        </w:rPr>
        <w:t>10.8 暂列金额</w:t>
      </w:r>
      <w:bookmarkEnd w:id="1016"/>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合同当事人关于暂列金额使用的约定：。</w:t>
      </w:r>
    </w:p>
    <w:p>
      <w:pPr>
        <w:pStyle w:val="3"/>
        <w:spacing w:before="0" w:after="0" w:line="360" w:lineRule="auto"/>
        <w:rPr>
          <w:rFonts w:ascii="宋体" w:hAnsi="宋体" w:eastAsia="宋体" w:cs="宋体"/>
          <w:color w:val="000000"/>
          <w:kern w:val="0"/>
          <w:sz w:val="28"/>
          <w:szCs w:val="28"/>
        </w:rPr>
      </w:pPr>
      <w:bookmarkStart w:id="1017" w:name="_Toc381175720"/>
      <w:bookmarkStart w:id="1018" w:name="_Toc2159"/>
      <w:bookmarkStart w:id="1019" w:name="_Toc351203643"/>
      <w:bookmarkStart w:id="1020" w:name="_Toc26566"/>
      <w:r>
        <w:rPr>
          <w:rFonts w:hint="eastAsia" w:ascii="宋体" w:hAnsi="宋体" w:eastAsia="宋体" w:cs="宋体"/>
          <w:color w:val="000000"/>
          <w:kern w:val="0"/>
          <w:sz w:val="28"/>
          <w:szCs w:val="28"/>
        </w:rPr>
        <w:t>11. 价格调整</w:t>
      </w:r>
      <w:bookmarkEnd w:id="1017"/>
      <w:bookmarkEnd w:id="1018"/>
      <w:bookmarkEnd w:id="1019"/>
      <w:bookmarkEnd w:id="1020"/>
    </w:p>
    <w:p>
      <w:pPr>
        <w:pStyle w:val="4"/>
        <w:spacing w:before="0" w:after="0" w:line="360" w:lineRule="auto"/>
        <w:rPr>
          <w:rFonts w:ascii="宋体" w:hAnsi="宋体" w:cs="宋体"/>
          <w:color w:val="000000"/>
          <w:kern w:val="0"/>
          <w:sz w:val="24"/>
          <w:szCs w:val="24"/>
        </w:rPr>
      </w:pPr>
      <w:bookmarkStart w:id="1021" w:name="_Toc381175721"/>
      <w:bookmarkStart w:id="1022" w:name="_Toc300935000"/>
      <w:bookmarkStart w:id="1023" w:name="_Toc312678039"/>
      <w:bookmarkStart w:id="1024" w:name="_Toc292559406"/>
      <w:bookmarkStart w:id="1025" w:name="_Toc296891029"/>
      <w:bookmarkStart w:id="1026" w:name="_Toc296944540"/>
      <w:bookmarkStart w:id="1027" w:name="_Toc297120501"/>
      <w:bookmarkStart w:id="1028" w:name="_Toc297123550"/>
      <w:bookmarkStart w:id="1029" w:name="_Toc296503201"/>
      <w:bookmarkStart w:id="1030" w:name="_Toc304295577"/>
      <w:bookmarkStart w:id="1031" w:name="_Toc296346702"/>
      <w:bookmarkStart w:id="1032" w:name="_Toc297048387"/>
      <w:bookmarkStart w:id="1033" w:name="_Toc292559911"/>
      <w:bookmarkStart w:id="1034" w:name="_Toc296891241"/>
      <w:bookmarkStart w:id="1035" w:name="_Toc296347200"/>
      <w:bookmarkStart w:id="1036" w:name="_Toc303539157"/>
      <w:bookmarkStart w:id="1037" w:name="_Toc297216209"/>
      <w:r>
        <w:rPr>
          <w:rFonts w:hint="eastAsia" w:ascii="宋体" w:hAnsi="宋体" w:cs="宋体"/>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市场价格波动是否调整合同价格的约定：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因市场价格波动调整合同价格，采用以下第种方式对合同价格进行调整：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第1种方式：采用价格指数进行价格调整。</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（2）关于基准价格的约定：。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360" w:lineRule="auto"/>
        <w:ind w:firstLine="645"/>
        <w:jc w:val="left"/>
        <w:rPr>
          <w:rFonts w:ascii="宋体" w:hAnsi="宋体" w:cs="宋体"/>
          <w:color w:val="000000"/>
          <w:sz w:val="24"/>
        </w:rPr>
      </w:pPr>
      <w:r>
        <w:rPr>
          <w:rFonts w:hint="eastAsia" w:ascii="宋体" w:hAnsi="宋体" w:cs="宋体"/>
          <w:color w:val="000000"/>
          <w:sz w:val="24"/>
        </w:rPr>
        <w:t>③承包人在已标价工程量清单或预算书中载明的材料单价等于基准单价的：专用合同条款合同履行期间材料单价涨跌幅以基准单价为基础超过±%时，其超过部分据实调整。</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第3种方式：其他价格调整方式：。</w:t>
      </w:r>
    </w:p>
    <w:bookmarkEnd w:id="916"/>
    <w:bookmarkEnd w:id="917"/>
    <w:bookmarkEnd w:id="918"/>
    <w:bookmarkEnd w:id="919"/>
    <w:bookmarkEnd w:id="920"/>
    <w:bookmarkEnd w:id="921"/>
    <w:p>
      <w:pPr>
        <w:pStyle w:val="3"/>
        <w:spacing w:before="0" w:after="0" w:line="360" w:lineRule="auto"/>
        <w:rPr>
          <w:rFonts w:ascii="宋体" w:hAnsi="宋体" w:eastAsia="宋体" w:cs="宋体"/>
          <w:color w:val="000000"/>
          <w:kern w:val="0"/>
          <w:sz w:val="28"/>
          <w:szCs w:val="28"/>
        </w:rPr>
      </w:pPr>
      <w:bookmarkStart w:id="1038" w:name="_Toc296891033"/>
      <w:bookmarkStart w:id="1039" w:name="_Toc296891245"/>
      <w:bookmarkStart w:id="1040" w:name="_Toc296944544"/>
      <w:bookmarkStart w:id="1041" w:name="_Toc292559410"/>
      <w:bookmarkStart w:id="1042" w:name="_Toc296347204"/>
      <w:bookmarkStart w:id="1043" w:name="_Toc296503205"/>
      <w:bookmarkStart w:id="1044" w:name="_Toc297048391"/>
      <w:bookmarkStart w:id="1045" w:name="_Toc292559915"/>
      <w:bookmarkStart w:id="1046" w:name="_Toc296346706"/>
      <w:bookmarkStart w:id="1047" w:name="_Toc297120505"/>
      <w:bookmarkStart w:id="1048" w:name="_Toc8360"/>
      <w:bookmarkStart w:id="1049" w:name="_Toc351203644"/>
      <w:bookmarkStart w:id="1050" w:name="_Toc29023"/>
      <w:bookmarkStart w:id="1051" w:name="_Toc381175722"/>
      <w:bookmarkStart w:id="1052" w:name="_Toc297216211"/>
      <w:bookmarkStart w:id="1053" w:name="_Toc297123552"/>
      <w:bookmarkStart w:id="1054" w:name="_Toc300935002"/>
      <w:bookmarkStart w:id="1055" w:name="_Toc312678040"/>
      <w:bookmarkStart w:id="1056" w:name="_Toc304295579"/>
      <w:bookmarkStart w:id="1057" w:name="_Toc303539159"/>
      <w:r>
        <w:rPr>
          <w:rFonts w:hint="eastAsia" w:ascii="宋体" w:hAnsi="宋体" w:eastAsia="宋体" w:cs="宋体"/>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hint="eastAsia" w:ascii="宋体" w:hAnsi="宋体" w:eastAsia="宋体" w:cs="宋体"/>
          <w:color w:val="000000"/>
          <w:kern w:val="0"/>
          <w:sz w:val="28"/>
          <w:szCs w:val="28"/>
        </w:rPr>
        <w:t>合同价格、计量与支付</w:t>
      </w:r>
      <w:bookmarkEnd w:id="1048"/>
      <w:bookmarkEnd w:id="1049"/>
      <w:bookmarkEnd w:id="1050"/>
      <w:bookmarkEnd w:id="1051"/>
    </w:p>
    <w:bookmarkEnd w:id="1052"/>
    <w:bookmarkEnd w:id="1053"/>
    <w:bookmarkEnd w:id="1054"/>
    <w:bookmarkEnd w:id="1055"/>
    <w:bookmarkEnd w:id="1056"/>
    <w:bookmarkEnd w:id="1057"/>
    <w:p>
      <w:pPr>
        <w:pStyle w:val="4"/>
        <w:spacing w:before="0" w:after="0" w:line="360" w:lineRule="auto"/>
        <w:rPr>
          <w:rFonts w:ascii="宋体" w:hAnsi="宋体" w:cs="宋体"/>
          <w:color w:val="000000"/>
          <w:kern w:val="0"/>
          <w:sz w:val="24"/>
          <w:szCs w:val="24"/>
        </w:rPr>
      </w:pPr>
      <w:bookmarkStart w:id="1058" w:name="_Toc292559916"/>
      <w:bookmarkStart w:id="1059" w:name="_Toc267251461"/>
      <w:bookmarkStart w:id="1060" w:name="_Toc292559411"/>
      <w:bookmarkStart w:id="1061" w:name="_Toc296503206"/>
      <w:bookmarkStart w:id="1062" w:name="_Toc296346707"/>
      <w:bookmarkStart w:id="1063" w:name="_Toc296891034"/>
      <w:bookmarkStart w:id="1064" w:name="_Toc296347205"/>
      <w:bookmarkStart w:id="1065" w:name="_Toc296891246"/>
      <w:bookmarkStart w:id="1066" w:name="_Toc296944545"/>
      <w:bookmarkStart w:id="1067" w:name="_Toc297120506"/>
      <w:bookmarkStart w:id="1068" w:name="_Toc297048392"/>
      <w:bookmarkStart w:id="1069" w:name="_Toc381175723"/>
      <w:bookmarkStart w:id="1070" w:name="_Toc297123553"/>
      <w:bookmarkStart w:id="1071" w:name="_Toc304295580"/>
      <w:bookmarkStart w:id="1072" w:name="_Toc312678041"/>
      <w:bookmarkStart w:id="1073" w:name="_Toc300935003"/>
      <w:bookmarkStart w:id="1074" w:name="_Toc303539160"/>
      <w:bookmarkStart w:id="1075" w:name="_Toc297216212"/>
      <w:r>
        <w:rPr>
          <w:rFonts w:hint="eastAsia" w:ascii="宋体" w:hAnsi="宋体" w:cs="宋体"/>
          <w:color w:val="000000"/>
          <w:kern w:val="0"/>
          <w:sz w:val="24"/>
          <w:szCs w:val="24"/>
        </w:rPr>
        <w:t>12.1 合</w:t>
      </w:r>
      <w:bookmarkEnd w:id="1058"/>
      <w:bookmarkEnd w:id="1059"/>
      <w:bookmarkEnd w:id="1060"/>
      <w:r>
        <w:rPr>
          <w:rFonts w:hint="eastAsia" w:ascii="宋体" w:hAnsi="宋体" w:cs="宋体"/>
          <w:color w:val="000000"/>
          <w:kern w:val="0"/>
          <w:sz w:val="24"/>
          <w:szCs w:val="24"/>
        </w:rPr>
        <w:t>同价</w:t>
      </w:r>
      <w:bookmarkEnd w:id="1061"/>
      <w:bookmarkEnd w:id="1062"/>
      <w:bookmarkEnd w:id="1063"/>
      <w:bookmarkEnd w:id="1064"/>
      <w:bookmarkEnd w:id="1065"/>
      <w:bookmarkEnd w:id="1066"/>
      <w:bookmarkEnd w:id="1067"/>
      <w:bookmarkEnd w:id="1068"/>
      <w:r>
        <w:rPr>
          <w:rFonts w:hint="eastAsia" w:ascii="宋体" w:hAnsi="宋体" w:cs="宋体"/>
          <w:color w:val="000000"/>
          <w:kern w:val="0"/>
          <w:sz w:val="24"/>
          <w:szCs w:val="24"/>
        </w:rPr>
        <w:t>格形式</w:t>
      </w:r>
      <w:bookmarkEnd w:id="1069"/>
    </w:p>
    <w:bookmarkEnd w:id="1070"/>
    <w:bookmarkEnd w:id="1071"/>
    <w:bookmarkEnd w:id="1072"/>
    <w:bookmarkEnd w:id="1073"/>
    <w:bookmarkEnd w:id="1074"/>
    <w:bookmarkEnd w:id="107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综合单价包含的风险范围：。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总价包含的风险范围：。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3、其他价格方式：。</w:t>
      </w:r>
    </w:p>
    <w:p>
      <w:pPr>
        <w:pStyle w:val="4"/>
        <w:spacing w:before="0" w:after="0" w:line="360" w:lineRule="auto"/>
        <w:rPr>
          <w:rFonts w:ascii="宋体" w:hAnsi="宋体" w:cs="宋体"/>
          <w:color w:val="000000"/>
          <w:kern w:val="0"/>
          <w:sz w:val="24"/>
          <w:szCs w:val="24"/>
        </w:rPr>
      </w:pPr>
      <w:bookmarkStart w:id="1076" w:name="_Toc381175724"/>
      <w:bookmarkStart w:id="1077" w:name="_Toc297123554"/>
      <w:bookmarkStart w:id="1078" w:name="_Toc297216213"/>
      <w:bookmarkStart w:id="1079" w:name="_Toc304295581"/>
      <w:bookmarkStart w:id="1080" w:name="_Toc303539161"/>
      <w:bookmarkStart w:id="1081" w:name="_Toc300935004"/>
      <w:bookmarkStart w:id="1082" w:name="_Toc312678042"/>
      <w:bookmarkStart w:id="1083" w:name="_Toc292559917"/>
      <w:bookmarkStart w:id="1084" w:name="_Toc296503207"/>
      <w:bookmarkStart w:id="1085" w:name="_Toc296346708"/>
      <w:bookmarkStart w:id="1086" w:name="_Toc296347206"/>
      <w:bookmarkStart w:id="1087" w:name="_Toc296944546"/>
      <w:bookmarkStart w:id="1088" w:name="_Toc296891247"/>
      <w:bookmarkStart w:id="1089" w:name="_Toc292559412"/>
      <w:bookmarkStart w:id="1090" w:name="_Toc296891035"/>
      <w:bookmarkStart w:id="1091" w:name="_Toc297120507"/>
      <w:bookmarkStart w:id="1092" w:name="_Toc297048393"/>
      <w:r>
        <w:rPr>
          <w:rFonts w:hint="eastAsia" w:ascii="宋体" w:hAnsi="宋体" w:cs="宋体"/>
          <w:color w:val="000000"/>
          <w:kern w:val="0"/>
          <w:sz w:val="24"/>
          <w:szCs w:val="24"/>
        </w:rPr>
        <w:t>12.2 预付款</w:t>
      </w:r>
      <w:bookmarkEnd w:id="1076"/>
    </w:p>
    <w:bookmarkEnd w:id="1077"/>
    <w:bookmarkEnd w:id="1078"/>
    <w:bookmarkEnd w:id="1079"/>
    <w:bookmarkEnd w:id="1080"/>
    <w:bookmarkEnd w:id="1081"/>
    <w:bookmarkEnd w:id="108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12.2.1 预付款的支付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预付款支付比例或金额：。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预付款扣回的方式：。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承包人提交预付款担保的期限：。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预付款担保的形式为：。</w:t>
      </w:r>
    </w:p>
    <w:bookmarkEnd w:id="1083"/>
    <w:bookmarkEnd w:id="1084"/>
    <w:bookmarkEnd w:id="1085"/>
    <w:bookmarkEnd w:id="1086"/>
    <w:bookmarkEnd w:id="1087"/>
    <w:bookmarkEnd w:id="1088"/>
    <w:bookmarkEnd w:id="1089"/>
    <w:bookmarkEnd w:id="1090"/>
    <w:bookmarkEnd w:id="1091"/>
    <w:bookmarkEnd w:id="1092"/>
    <w:p>
      <w:pPr>
        <w:pStyle w:val="4"/>
        <w:spacing w:before="0" w:after="0" w:line="360" w:lineRule="auto"/>
        <w:rPr>
          <w:rFonts w:ascii="宋体" w:hAnsi="宋体" w:cs="宋体"/>
          <w:color w:val="000000"/>
          <w:kern w:val="0"/>
          <w:sz w:val="24"/>
          <w:szCs w:val="24"/>
        </w:rPr>
      </w:pPr>
      <w:bookmarkStart w:id="1093" w:name="_Toc381175725"/>
      <w:r>
        <w:rPr>
          <w:rFonts w:hint="eastAsia" w:ascii="宋体" w:hAnsi="宋体" w:cs="宋体"/>
          <w:color w:val="000000"/>
          <w:kern w:val="0"/>
          <w:sz w:val="24"/>
          <w:szCs w:val="24"/>
        </w:rPr>
        <w:t>12.3 计量</w:t>
      </w:r>
      <w:bookmarkEnd w:id="109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12.3.1 计量原则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工程量计算规则：。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12.3.2 计量周期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关于计量周期的约定：。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12.3.3 单价合同的计量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关于单价合同计量的约定：。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12.3.4 总价合同的计量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关于总价合同计量的约定：。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12.3.5总价合同采用支付分解表计量支付的，是否适用第</w:t>
      </w:r>
      <w:r>
        <w:rPr>
          <w:rFonts w:hint="eastAsia" w:ascii="宋体" w:hAnsi="宋体" w:cs="宋体"/>
          <w:color w:val="000000"/>
          <w:kern w:val="0"/>
          <w:sz w:val="24"/>
        </w:rPr>
        <w:t xml:space="preserve">12.3.4 </w:t>
      </w:r>
      <w:r>
        <w:rPr>
          <w:rFonts w:hint="eastAsia" w:ascii="宋体" w:hAnsi="宋体" w:cs="宋体"/>
          <w:color w:val="000000"/>
          <w:sz w:val="24"/>
        </w:rPr>
        <w:t>项</w:t>
      </w:r>
      <w:r>
        <w:rPr>
          <w:rFonts w:hint="eastAsia" w:ascii="宋体" w:hAnsi="宋体" w:cs="宋体"/>
          <w:color w:val="000000"/>
          <w:kern w:val="0"/>
          <w:sz w:val="24"/>
        </w:rPr>
        <w:t>〔总价合同的计量〕</w:t>
      </w:r>
      <w:r>
        <w:rPr>
          <w:rFonts w:hint="eastAsia" w:ascii="宋体" w:hAnsi="宋体" w:cs="宋体"/>
          <w:color w:val="000000"/>
          <w:sz w:val="24"/>
        </w:rPr>
        <w:t>约定进行计量：。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12.3.6 其他价格形式合同的计量</w:t>
      </w:r>
    </w:p>
    <w:p>
      <w:pPr>
        <w:spacing w:line="360" w:lineRule="auto"/>
        <w:jc w:val="left"/>
        <w:rPr>
          <w:rFonts w:ascii="宋体" w:hAnsi="宋体" w:cs="宋体"/>
          <w:color w:val="000000"/>
          <w:sz w:val="24"/>
        </w:rPr>
      </w:pPr>
      <w:r>
        <w:rPr>
          <w:rFonts w:hint="eastAsia" w:ascii="宋体" w:hAnsi="宋体" w:cs="宋体"/>
          <w:color w:val="000000"/>
          <w:sz w:val="24"/>
        </w:rPr>
        <w:t>其他价格形式的计量方式和程序：。</w:t>
      </w:r>
    </w:p>
    <w:p>
      <w:pPr>
        <w:pStyle w:val="4"/>
        <w:spacing w:before="0" w:after="0" w:line="360" w:lineRule="auto"/>
        <w:rPr>
          <w:rFonts w:ascii="宋体" w:hAnsi="宋体" w:cs="宋体"/>
          <w:color w:val="000000"/>
          <w:kern w:val="0"/>
          <w:sz w:val="24"/>
          <w:szCs w:val="24"/>
        </w:rPr>
      </w:pPr>
      <w:bookmarkStart w:id="1094" w:name="_Toc381175726"/>
      <w:r>
        <w:rPr>
          <w:rFonts w:hint="eastAsia" w:ascii="宋体" w:hAnsi="宋体" w:cs="宋体"/>
          <w:color w:val="000000"/>
          <w:kern w:val="0"/>
          <w:sz w:val="24"/>
          <w:szCs w:val="24"/>
        </w:rPr>
        <w:t>12.4 工程进度款支付</w:t>
      </w:r>
      <w:bookmarkEnd w:id="1094"/>
    </w:p>
    <w:p>
      <w:pPr>
        <w:spacing w:line="360" w:lineRule="auto"/>
        <w:ind w:firstLine="480" w:firstLineChars="200"/>
        <w:jc w:val="left"/>
        <w:rPr>
          <w:rFonts w:ascii="宋体" w:hAnsi="宋体" w:cs="宋体"/>
          <w:color w:val="000000"/>
          <w:sz w:val="24"/>
        </w:rPr>
      </w:pPr>
      <w:bookmarkStart w:id="1095" w:name="_Toc296503211"/>
      <w:bookmarkStart w:id="1096" w:name="_Toc303539163"/>
      <w:bookmarkStart w:id="1097" w:name="_Toc296346712"/>
      <w:bookmarkStart w:id="1098" w:name="_Toc297123556"/>
      <w:bookmarkStart w:id="1099" w:name="_Toc297048397"/>
      <w:bookmarkStart w:id="1100" w:name="_Toc297120511"/>
      <w:bookmarkStart w:id="1101" w:name="_Toc296347210"/>
      <w:bookmarkStart w:id="1102" w:name="_Toc292559416"/>
      <w:bookmarkStart w:id="1103" w:name="_Toc296891251"/>
      <w:bookmarkStart w:id="1104" w:name="_Toc292559921"/>
      <w:bookmarkStart w:id="1105" w:name="_Toc296891039"/>
      <w:bookmarkStart w:id="1106" w:name="_Toc296944550"/>
      <w:bookmarkStart w:id="1107" w:name="_Toc297216215"/>
      <w:bookmarkStart w:id="1108" w:name="_Toc300935006"/>
      <w:r>
        <w:rPr>
          <w:rFonts w:hint="eastAsia" w:ascii="宋体" w:hAnsi="宋体" w:cs="宋体"/>
          <w:color w:val="000000"/>
          <w:sz w:val="24"/>
        </w:rPr>
        <w:t>12.4.1 付款周期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关于付款周期的约定：。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12.4.2 进度付款申请单的编制</w:t>
      </w:r>
    </w:p>
    <w:p>
      <w:pPr>
        <w:spacing w:line="360" w:lineRule="auto"/>
        <w:jc w:val="left"/>
        <w:rPr>
          <w:rFonts w:ascii="宋体" w:hAnsi="宋体" w:cs="宋体"/>
          <w:color w:val="000000"/>
          <w:sz w:val="24"/>
        </w:rPr>
      </w:pPr>
      <w:r>
        <w:rPr>
          <w:rFonts w:hint="eastAsia" w:ascii="宋体" w:hAnsi="宋体" w:cs="宋体"/>
          <w:color w:val="000000"/>
          <w:sz w:val="24"/>
        </w:rPr>
        <w:t>关于进度付款申请单编制的约定：。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hint="eastAsia" w:ascii="宋体" w:hAnsi="宋体" w:cs="宋体"/>
          <w:color w:val="000000"/>
          <w:sz w:val="24"/>
        </w:rPr>
        <w:t>2.4.3 进度付款申请单的提交</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（2）总价合同进度付款申请单提交的约定：。</w:t>
      </w:r>
    </w:p>
    <w:p>
      <w:pPr>
        <w:spacing w:line="360" w:lineRule="auto"/>
        <w:jc w:val="left"/>
        <w:rPr>
          <w:rFonts w:ascii="宋体" w:hAnsi="宋体" w:cs="宋体"/>
          <w:color w:val="000000"/>
          <w:sz w:val="24"/>
        </w:rPr>
      </w:pPr>
      <w:r>
        <w:rPr>
          <w:rFonts w:hint="eastAsia" w:ascii="宋体" w:hAnsi="宋体" w:cs="宋体"/>
          <w:color w:val="000000"/>
          <w:sz w:val="24"/>
        </w:rPr>
        <w:t>（3）其他价格形式合同进度付款申请单提交的约定：。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12.4.4 进度款审核和支付</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（1）监理人审查并报送发包人的期限：。</w:t>
      </w:r>
    </w:p>
    <w:p>
      <w:pPr>
        <w:spacing w:line="360" w:lineRule="auto"/>
        <w:jc w:val="left"/>
        <w:rPr>
          <w:rFonts w:ascii="宋体" w:hAnsi="宋体" w:cs="宋体"/>
          <w:color w:val="000000"/>
          <w:sz w:val="24"/>
        </w:rPr>
      </w:pPr>
      <w:r>
        <w:rPr>
          <w:rFonts w:hint="eastAsia" w:ascii="宋体" w:hAnsi="宋体" w:cs="宋体"/>
          <w:color w:val="000000"/>
          <w:sz w:val="24"/>
        </w:rPr>
        <w:t>发包人完成审批并签发进度款支付证书的期限：。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（2）发包人支付进度款的期限：。</w:t>
      </w:r>
    </w:p>
    <w:p>
      <w:pPr>
        <w:spacing w:line="360" w:lineRule="auto"/>
        <w:jc w:val="left"/>
        <w:rPr>
          <w:rFonts w:ascii="宋体" w:hAnsi="宋体" w:cs="宋体"/>
          <w:color w:val="000000"/>
          <w:sz w:val="24"/>
        </w:rPr>
      </w:pPr>
      <w:r>
        <w:rPr>
          <w:rFonts w:hint="eastAsia" w:ascii="宋体" w:hAnsi="宋体" w:cs="宋体"/>
          <w:color w:val="000000"/>
          <w:sz w:val="24"/>
        </w:rPr>
        <w:t>发包人逾期支付进度款的违约金的计算方式：。</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12.4.6 支付分解表的编制</w:t>
      </w:r>
    </w:p>
    <w:p>
      <w:pPr>
        <w:spacing w:line="360" w:lineRule="auto"/>
        <w:ind w:left="4800" w:hanging="4800" w:hangingChars="2000"/>
        <w:jc w:val="left"/>
        <w:rPr>
          <w:rFonts w:ascii="宋体" w:hAnsi="宋体" w:cs="宋体"/>
          <w:color w:val="000000"/>
          <w:sz w:val="24"/>
        </w:rPr>
      </w:pPr>
      <w:r>
        <w:rPr>
          <w:rFonts w:hint="eastAsia" w:ascii="宋体" w:hAnsi="宋体" w:cs="宋体"/>
          <w:color w:val="000000"/>
          <w:sz w:val="24"/>
        </w:rPr>
        <w:t>2、总价合同支付分解表的编制与审批：。</w:t>
      </w:r>
    </w:p>
    <w:p>
      <w:pPr>
        <w:spacing w:line="360" w:lineRule="auto"/>
        <w:jc w:val="left"/>
        <w:rPr>
          <w:rFonts w:ascii="宋体" w:hAnsi="宋体" w:cs="宋体"/>
          <w:color w:val="000000"/>
          <w:sz w:val="24"/>
        </w:rPr>
      </w:pPr>
      <w:r>
        <w:rPr>
          <w:rFonts w:hint="eastAsia" w:ascii="宋体" w:hAnsi="宋体" w:cs="宋体"/>
          <w:color w:val="000000"/>
          <w:sz w:val="24"/>
        </w:rPr>
        <w:t>3、单价合同的总价项目支付分解表的编制与审批：。</w:t>
      </w:r>
    </w:p>
    <w:bookmarkEnd w:id="922"/>
    <w:p>
      <w:pPr>
        <w:pStyle w:val="3"/>
        <w:spacing w:before="0" w:after="0" w:line="360" w:lineRule="auto"/>
        <w:rPr>
          <w:rFonts w:ascii="宋体" w:hAnsi="宋体" w:eastAsia="宋体" w:cs="宋体"/>
          <w:color w:val="000000"/>
          <w:kern w:val="0"/>
          <w:sz w:val="28"/>
          <w:szCs w:val="28"/>
        </w:rPr>
      </w:pPr>
      <w:bookmarkStart w:id="1109" w:name="_Toc351203645"/>
      <w:bookmarkStart w:id="1110" w:name="_Toc381175727"/>
      <w:bookmarkStart w:id="1111" w:name="_Toc11378"/>
      <w:bookmarkStart w:id="1112" w:name="_Toc5796"/>
      <w:bookmarkStart w:id="1113" w:name="_Toc297048405"/>
      <w:bookmarkStart w:id="1114" w:name="_Toc296891259"/>
      <w:bookmarkStart w:id="1115" w:name="_Toc303539172"/>
      <w:bookmarkStart w:id="1116" w:name="_Toc312678053"/>
      <w:bookmarkStart w:id="1117" w:name="_Toc296891047"/>
      <w:bookmarkStart w:id="1118" w:name="_Toc297216223"/>
      <w:bookmarkStart w:id="1119" w:name="_Toc296347218"/>
      <w:bookmarkStart w:id="1120" w:name="_Toc296346720"/>
      <w:bookmarkStart w:id="1121" w:name="_Toc296944558"/>
      <w:bookmarkStart w:id="1122" w:name="_Toc296503219"/>
      <w:bookmarkStart w:id="1123" w:name="_Toc297120519"/>
      <w:bookmarkStart w:id="1124" w:name="_Toc292559929"/>
      <w:bookmarkStart w:id="1125" w:name="_Toc297123564"/>
      <w:bookmarkStart w:id="1126" w:name="_Toc304295593"/>
      <w:bookmarkStart w:id="1127" w:name="_Toc300935015"/>
      <w:bookmarkStart w:id="1128" w:name="_Toc292559424"/>
      <w:r>
        <w:rPr>
          <w:rFonts w:hint="eastAsia" w:ascii="宋体" w:hAnsi="宋体" w:eastAsia="宋体" w:cs="宋体"/>
          <w:color w:val="000000"/>
          <w:kern w:val="0"/>
          <w:sz w:val="28"/>
          <w:szCs w:val="28"/>
        </w:rPr>
        <w:t>13. 验收和工程试车</w:t>
      </w:r>
      <w:bookmarkEnd w:id="1109"/>
      <w:bookmarkEnd w:id="1110"/>
      <w:bookmarkEnd w:id="1111"/>
      <w:bookmarkEnd w:id="1112"/>
    </w:p>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Pr>
        <w:pStyle w:val="4"/>
        <w:spacing w:before="0" w:after="0" w:line="360" w:lineRule="auto"/>
        <w:rPr>
          <w:rFonts w:ascii="宋体" w:hAnsi="宋体" w:cs="宋体"/>
          <w:color w:val="000000"/>
          <w:kern w:val="0"/>
          <w:sz w:val="24"/>
          <w:szCs w:val="24"/>
        </w:rPr>
      </w:pPr>
      <w:bookmarkStart w:id="1129" w:name="_Toc381175728"/>
      <w:r>
        <w:rPr>
          <w:rFonts w:hint="eastAsia" w:ascii="宋体" w:hAnsi="宋体" w:cs="宋体"/>
          <w:color w:val="000000"/>
          <w:kern w:val="0"/>
          <w:sz w:val="24"/>
          <w:szCs w:val="24"/>
        </w:rPr>
        <w:t>13.1 分部分项工程验收</w:t>
      </w:r>
      <w:bookmarkEnd w:id="112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13.1.2监理人不能按时进行验收时，应提前小时提交书面延期要求。</w:t>
      </w:r>
    </w:p>
    <w:p>
      <w:pPr>
        <w:spacing w:line="360" w:lineRule="auto"/>
        <w:ind w:firstLine="480" w:firstLineChars="200"/>
        <w:jc w:val="left"/>
        <w:rPr>
          <w:rFonts w:ascii="宋体" w:hAnsi="宋体" w:cs="宋体"/>
          <w:b/>
          <w:color w:val="000000"/>
          <w:sz w:val="24"/>
        </w:rPr>
      </w:pPr>
      <w:r>
        <w:rPr>
          <w:rFonts w:hint="eastAsia" w:ascii="宋体" w:hAnsi="宋体" w:cs="宋体"/>
          <w:color w:val="000000"/>
          <w:sz w:val="24"/>
        </w:rPr>
        <w:t>关于延期最长不得超过：小时。</w:t>
      </w:r>
    </w:p>
    <w:p>
      <w:pPr>
        <w:pStyle w:val="4"/>
        <w:spacing w:before="0" w:after="0" w:line="360" w:lineRule="auto"/>
        <w:rPr>
          <w:rFonts w:ascii="宋体" w:hAnsi="宋体" w:cs="宋体"/>
          <w:color w:val="000000"/>
          <w:kern w:val="0"/>
          <w:sz w:val="24"/>
          <w:szCs w:val="24"/>
        </w:rPr>
      </w:pPr>
      <w:bookmarkStart w:id="1130" w:name="_Toc381175729"/>
      <w:bookmarkStart w:id="1131" w:name="_Toc296346724"/>
      <w:bookmarkStart w:id="1132" w:name="_Toc296347222"/>
      <w:bookmarkStart w:id="1133" w:name="_Toc297048409"/>
      <w:bookmarkStart w:id="1134" w:name="_Toc296944562"/>
      <w:bookmarkStart w:id="1135" w:name="_Toc292559933"/>
      <w:bookmarkStart w:id="1136" w:name="_Toc300935016"/>
      <w:bookmarkStart w:id="1137" w:name="_Toc297123565"/>
      <w:bookmarkStart w:id="1138" w:name="_Toc296503223"/>
      <w:bookmarkStart w:id="1139" w:name="_Toc297216224"/>
      <w:bookmarkStart w:id="1140" w:name="_Toc312678056"/>
      <w:bookmarkStart w:id="1141" w:name="_Toc296891263"/>
      <w:bookmarkStart w:id="1142" w:name="_Toc304295596"/>
      <w:bookmarkStart w:id="1143" w:name="_Toc297120523"/>
      <w:bookmarkStart w:id="1144" w:name="_Toc296891051"/>
      <w:bookmarkStart w:id="1145" w:name="_Toc292559428"/>
      <w:bookmarkStart w:id="1146" w:name="_Toc303539173"/>
      <w:bookmarkStart w:id="1147" w:name="_Toc267251474"/>
      <w:bookmarkStart w:id="1148" w:name="_Toc267251476"/>
      <w:bookmarkStart w:id="1149" w:name="_Toc267251473"/>
      <w:bookmarkStart w:id="1150" w:name="_Toc267251470"/>
      <w:bookmarkStart w:id="1151" w:name="_Toc267251475"/>
      <w:bookmarkStart w:id="1152" w:name="_Toc267251471"/>
      <w:bookmarkStart w:id="1153" w:name="_Toc267251472"/>
      <w:r>
        <w:rPr>
          <w:rFonts w:hint="eastAsia" w:ascii="宋体" w:hAnsi="宋体" w:cs="宋体"/>
          <w:color w:val="000000"/>
          <w:kern w:val="0"/>
          <w:sz w:val="24"/>
          <w:szCs w:val="24"/>
        </w:rPr>
        <w:t>13.2 竣工验收</w:t>
      </w:r>
      <w:bookmarkEnd w:id="1130"/>
    </w:p>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Pr>
        <w:spacing w:line="360" w:lineRule="auto"/>
        <w:ind w:firstLine="480" w:firstLineChars="20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r>
        <w:rPr>
          <w:rFonts w:hint="eastAsia" w:ascii="宋体" w:hAnsi="宋体" w:cs="宋体"/>
          <w:color w:val="000000"/>
          <w:sz w:val="24"/>
        </w:rPr>
        <w:t>13.2.2竣工验收程序</w:t>
      </w:r>
    </w:p>
    <w:bookmarkEnd w:id="1154"/>
    <w:p>
      <w:pPr>
        <w:spacing w:line="360" w:lineRule="auto"/>
        <w:ind w:left="4800" w:hanging="4800" w:hangingChars="2000"/>
        <w:jc w:val="left"/>
        <w:rPr>
          <w:rFonts w:ascii="宋体" w:hAnsi="宋体" w:cs="宋体"/>
          <w:color w:val="000000"/>
          <w:sz w:val="24"/>
        </w:rPr>
      </w:pPr>
      <w:r>
        <w:rPr>
          <w:rFonts w:hint="eastAsia" w:ascii="宋体" w:hAnsi="宋体" w:cs="宋体"/>
          <w:color w:val="000000"/>
          <w:kern w:val="0"/>
          <w:sz w:val="24"/>
        </w:rPr>
        <w:t>关于竣工验收程序的约定：</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kern w:val="0"/>
          <w:sz w:val="24"/>
        </w:rPr>
        <w:t>发包人不按照本项约定组织竣工验收、颁发工程接收证书的违约金的计算方法：</w:t>
      </w:r>
      <w:r>
        <w:rPr>
          <w:rFonts w:hint="eastAsia" w:ascii="宋体" w:hAnsi="宋体" w:cs="宋体"/>
          <w:color w:val="000000"/>
          <w:sz w:val="24"/>
        </w:rPr>
        <w:t>。</w:t>
      </w:r>
    </w:p>
    <w:bookmarkEnd w:id="115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13.2.5移交、接收全部与部分工程</w:t>
      </w:r>
    </w:p>
    <w:bookmarkEnd w:id="1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kern w:val="0"/>
          <w:sz w:val="24"/>
        </w:rPr>
        <w:t>发包人未按本合同约定接收全部或部分工程的，违约金的计算方法为：</w:t>
      </w:r>
      <w:r>
        <w:rPr>
          <w:rFonts w:hint="eastAsia" w:ascii="宋体" w:hAnsi="宋体" w:cs="宋体"/>
          <w:color w:val="000000"/>
          <w:sz w:val="24"/>
        </w:rPr>
        <w:t>。</w:t>
      </w:r>
    </w:p>
    <w:bookmarkEnd w:id="1157"/>
    <w:p>
      <w:pPr>
        <w:spacing w:line="360" w:lineRule="auto"/>
        <w:jc w:val="left"/>
        <w:rPr>
          <w:rFonts w:ascii="宋体" w:hAnsi="宋体" w:cs="宋体"/>
          <w:color w:val="000000"/>
          <w:sz w:val="24"/>
        </w:rPr>
      </w:pPr>
      <w:r>
        <w:rPr>
          <w:rFonts w:hint="eastAsia" w:ascii="宋体" w:hAnsi="宋体" w:cs="宋体"/>
          <w:color w:val="000000"/>
          <w:sz w:val="24"/>
        </w:rPr>
        <w:t>承包人未按时移交工程的，违约金的计算方法为：。</w:t>
      </w:r>
    </w:p>
    <w:p>
      <w:pPr>
        <w:pStyle w:val="4"/>
        <w:spacing w:before="0" w:after="0" w:line="360" w:lineRule="auto"/>
        <w:rPr>
          <w:rFonts w:ascii="宋体" w:hAnsi="宋体" w:cs="宋体"/>
          <w:color w:val="000000"/>
          <w:kern w:val="0"/>
          <w:sz w:val="24"/>
          <w:szCs w:val="24"/>
        </w:rPr>
      </w:pPr>
      <w:bookmarkStart w:id="1160" w:name="_Toc381175730"/>
      <w:r>
        <w:rPr>
          <w:rFonts w:hint="eastAsia" w:ascii="宋体" w:hAnsi="宋体" w:cs="宋体"/>
          <w:color w:val="000000"/>
          <w:kern w:val="0"/>
          <w:sz w:val="24"/>
          <w:szCs w:val="24"/>
        </w:rPr>
        <w:t>13.3 工程试车</w:t>
      </w:r>
      <w:bookmarkEnd w:id="1160"/>
    </w:p>
    <w:bookmarkEnd w:id="115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 试车程序</w:t>
      </w:r>
    </w:p>
    <w:p>
      <w:pPr>
        <w:spacing w:line="360" w:lineRule="auto"/>
        <w:jc w:val="left"/>
        <w:rPr>
          <w:rFonts w:ascii="宋体" w:hAnsi="宋体" w:cs="宋体"/>
          <w:color w:val="000000"/>
          <w:kern w:val="0"/>
          <w:sz w:val="24"/>
        </w:rPr>
      </w:pPr>
      <w:r>
        <w:rPr>
          <w:rFonts w:hint="eastAsia" w:ascii="宋体" w:hAnsi="宋体" w:cs="宋体"/>
          <w:color w:val="000000"/>
          <w:kern w:val="0"/>
          <w:sz w:val="24"/>
        </w:rPr>
        <w:t>工程试车内容：</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（1）单机无负荷试车费用由承担；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（2）无负荷联动试车费用由承担。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jc w:val="left"/>
        <w:rPr>
          <w:rFonts w:ascii="宋体" w:hAnsi="宋体" w:cs="宋体"/>
          <w:color w:val="000000"/>
          <w:kern w:val="0"/>
          <w:sz w:val="24"/>
        </w:rPr>
      </w:pPr>
      <w:r>
        <w:rPr>
          <w:rFonts w:hint="eastAsia" w:ascii="宋体" w:hAnsi="宋体" w:cs="宋体"/>
          <w:color w:val="000000"/>
          <w:kern w:val="0"/>
          <w:sz w:val="24"/>
        </w:rPr>
        <w:t>关于投料试车相关事项的约定：</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1161" w:name="_Toc381175731"/>
      <w:r>
        <w:rPr>
          <w:rFonts w:hint="eastAsia" w:ascii="宋体" w:hAnsi="宋体" w:cs="宋体"/>
          <w:color w:val="000000"/>
          <w:kern w:val="0"/>
          <w:sz w:val="24"/>
          <w:szCs w:val="24"/>
        </w:rPr>
        <w:t>13.6 竣工退场</w:t>
      </w:r>
      <w:bookmarkEnd w:id="116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承包人完成竣工退场的期限：。</w:t>
      </w:r>
    </w:p>
    <w:p>
      <w:pPr>
        <w:pStyle w:val="3"/>
        <w:spacing w:before="0" w:after="0" w:line="360" w:lineRule="auto"/>
        <w:rPr>
          <w:rFonts w:ascii="宋体" w:hAnsi="宋体" w:eastAsia="宋体" w:cs="宋体"/>
          <w:color w:val="000000"/>
          <w:kern w:val="0"/>
          <w:sz w:val="28"/>
          <w:szCs w:val="28"/>
        </w:rPr>
      </w:pPr>
      <w:bookmarkStart w:id="1162" w:name="_Toc16838"/>
      <w:bookmarkStart w:id="1163" w:name="_Toc12984"/>
      <w:bookmarkStart w:id="1164" w:name="_Toc381175732"/>
      <w:bookmarkStart w:id="1165" w:name="_Toc351203646"/>
      <w:r>
        <w:rPr>
          <w:rFonts w:hint="eastAsia" w:ascii="宋体" w:hAnsi="宋体" w:eastAsia="宋体" w:cs="宋体"/>
          <w:color w:val="000000"/>
          <w:kern w:val="0"/>
          <w:sz w:val="28"/>
          <w:szCs w:val="28"/>
        </w:rPr>
        <w:t>14. 竣工结算</w:t>
      </w:r>
      <w:bookmarkEnd w:id="1162"/>
      <w:bookmarkEnd w:id="1163"/>
      <w:bookmarkEnd w:id="1164"/>
      <w:bookmarkEnd w:id="1165"/>
    </w:p>
    <w:p>
      <w:pPr>
        <w:pStyle w:val="4"/>
        <w:spacing w:before="0" w:after="0" w:line="360" w:lineRule="auto"/>
        <w:rPr>
          <w:rFonts w:ascii="宋体" w:hAnsi="宋体" w:cs="宋体"/>
          <w:color w:val="000000"/>
          <w:kern w:val="0"/>
          <w:sz w:val="24"/>
          <w:szCs w:val="24"/>
        </w:rPr>
      </w:pPr>
      <w:bookmarkStart w:id="1166" w:name="_Toc381175733"/>
      <w:r>
        <w:rPr>
          <w:rFonts w:hint="eastAsia" w:ascii="宋体" w:hAnsi="宋体" w:cs="宋体"/>
          <w:color w:val="000000"/>
          <w:kern w:val="0"/>
          <w:sz w:val="24"/>
          <w:szCs w:val="24"/>
        </w:rPr>
        <w:t>14.1 竣工付款申请</w:t>
      </w:r>
      <w:bookmarkEnd w:id="1166"/>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承包人提交竣工付款申请单的期限：。</w:t>
      </w:r>
    </w:p>
    <w:p>
      <w:pPr>
        <w:spacing w:line="360" w:lineRule="auto"/>
        <w:jc w:val="left"/>
        <w:rPr>
          <w:rFonts w:ascii="宋体" w:hAnsi="宋体" w:cs="宋体"/>
          <w:color w:val="000000"/>
          <w:sz w:val="24"/>
        </w:rPr>
      </w:pPr>
      <w:r>
        <w:rPr>
          <w:rFonts w:hint="eastAsia" w:ascii="宋体" w:hAnsi="宋体" w:cs="宋体"/>
          <w:color w:val="000000"/>
          <w:sz w:val="24"/>
        </w:rPr>
        <w:t>竣工付款申请单应包括的内容：。</w:t>
      </w:r>
    </w:p>
    <w:p>
      <w:pPr>
        <w:pStyle w:val="4"/>
        <w:spacing w:before="0" w:after="0" w:line="360" w:lineRule="auto"/>
        <w:rPr>
          <w:rFonts w:ascii="宋体" w:hAnsi="宋体" w:cs="宋体"/>
          <w:color w:val="000000"/>
          <w:kern w:val="0"/>
          <w:sz w:val="24"/>
          <w:szCs w:val="24"/>
        </w:rPr>
      </w:pPr>
      <w:bookmarkStart w:id="1167" w:name="_Toc381175734"/>
      <w:r>
        <w:rPr>
          <w:rFonts w:hint="eastAsia" w:ascii="宋体" w:hAnsi="宋体" w:cs="宋体"/>
          <w:color w:val="000000"/>
          <w:kern w:val="0"/>
          <w:sz w:val="24"/>
          <w:szCs w:val="24"/>
        </w:rPr>
        <w:t>14.2 竣工结算审核</w:t>
      </w:r>
      <w:bookmarkEnd w:id="116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发包人审批竣工付款申请单的期限：。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发包人完成竣工付款的期限：。</w:t>
      </w:r>
    </w:p>
    <w:p>
      <w:pPr>
        <w:spacing w:line="360" w:lineRule="auto"/>
        <w:jc w:val="left"/>
        <w:rPr>
          <w:rFonts w:ascii="宋体" w:hAnsi="宋体" w:cs="宋体"/>
          <w:color w:val="000000"/>
          <w:sz w:val="24"/>
        </w:rPr>
      </w:pPr>
      <w:r>
        <w:rPr>
          <w:rFonts w:hint="eastAsia" w:ascii="宋体" w:hAnsi="宋体" w:cs="宋体"/>
          <w:color w:val="000000"/>
          <w:sz w:val="24"/>
        </w:rPr>
        <w:t>关于竣工付款证书异议部分复核的方式和程序：。</w:t>
      </w:r>
    </w:p>
    <w:p>
      <w:pPr>
        <w:pStyle w:val="4"/>
        <w:spacing w:before="0" w:after="0" w:line="360" w:lineRule="auto"/>
        <w:rPr>
          <w:rFonts w:ascii="宋体" w:hAnsi="宋体" w:cs="宋体"/>
          <w:color w:val="000000"/>
          <w:kern w:val="0"/>
          <w:sz w:val="24"/>
          <w:szCs w:val="24"/>
        </w:rPr>
      </w:pPr>
      <w:bookmarkStart w:id="1168" w:name="_Toc381175735"/>
      <w:r>
        <w:rPr>
          <w:rFonts w:hint="eastAsia" w:ascii="宋体" w:hAnsi="宋体" w:cs="宋体"/>
          <w:color w:val="000000"/>
          <w:kern w:val="0"/>
          <w:sz w:val="24"/>
          <w:szCs w:val="24"/>
        </w:rPr>
        <w:t>14.4 最终结清</w:t>
      </w:r>
      <w:bookmarkEnd w:id="11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承包人提交最终结算申请单的期限：</w:t>
      </w:r>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14.4.2 最终结清证书和支付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（1）发包人完成最终结清申请单的审批并颁发最终结清证书的期限：。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（2）发包人完成支付的期限：。</w:t>
      </w:r>
    </w:p>
    <w:bookmarkEnd w:id="1147"/>
    <w:bookmarkEnd w:id="1148"/>
    <w:bookmarkEnd w:id="1149"/>
    <w:bookmarkEnd w:id="1150"/>
    <w:bookmarkEnd w:id="1151"/>
    <w:bookmarkEnd w:id="1152"/>
    <w:bookmarkEnd w:id="1153"/>
    <w:bookmarkEnd w:id="1159"/>
    <w:p>
      <w:pPr>
        <w:pStyle w:val="3"/>
        <w:spacing w:before="0" w:after="0" w:line="360" w:lineRule="auto"/>
        <w:rPr>
          <w:rFonts w:ascii="宋体" w:hAnsi="宋体" w:eastAsia="宋体" w:cs="宋体"/>
          <w:color w:val="000000"/>
          <w:kern w:val="0"/>
          <w:sz w:val="28"/>
          <w:szCs w:val="28"/>
        </w:rPr>
      </w:pPr>
      <w:bookmarkStart w:id="1169" w:name="_Toc381175736"/>
      <w:bookmarkStart w:id="1170" w:name="_Toc31784"/>
      <w:bookmarkStart w:id="1171" w:name="_Toc32253"/>
      <w:bookmarkStart w:id="1172" w:name="_Toc351203647"/>
      <w:bookmarkStart w:id="1173" w:name="_Toc267251483"/>
      <w:bookmarkStart w:id="1174" w:name="_Toc267251484"/>
      <w:bookmarkStart w:id="1175" w:name="_Toc267251482"/>
      <w:bookmarkStart w:id="1176" w:name="_Toc267251485"/>
      <w:bookmarkStart w:id="1177" w:name="_Toc267251490"/>
      <w:bookmarkStart w:id="1178" w:name="_Toc267251488"/>
      <w:bookmarkStart w:id="1179" w:name="_Toc267251489"/>
      <w:bookmarkStart w:id="1180" w:name="_Toc267251486"/>
      <w:bookmarkStart w:id="1181" w:name="_Toc267251498"/>
      <w:bookmarkStart w:id="1182" w:name="_Toc267251495"/>
      <w:bookmarkStart w:id="1183" w:name="_Toc267251501"/>
      <w:bookmarkStart w:id="1184" w:name="_Toc267251503"/>
      <w:bookmarkStart w:id="1185" w:name="_Toc267251497"/>
      <w:bookmarkStart w:id="1186" w:name="_Toc267251493"/>
      <w:bookmarkStart w:id="1187" w:name="_Toc267251499"/>
      <w:bookmarkStart w:id="1188" w:name="_Toc267251496"/>
      <w:bookmarkStart w:id="1189" w:name="_Toc267251492"/>
      <w:bookmarkStart w:id="1190" w:name="_Toc267251502"/>
      <w:bookmarkStart w:id="1191" w:name="_Toc267251491"/>
      <w:bookmarkStart w:id="1192" w:name="_Toc267251494"/>
      <w:bookmarkStart w:id="1193" w:name="_Toc267251506"/>
      <w:bookmarkStart w:id="1194" w:name="_Toc267251504"/>
      <w:bookmarkStart w:id="1195" w:name="_Toc267251507"/>
      <w:bookmarkStart w:id="1196" w:name="_Toc267251508"/>
      <w:bookmarkStart w:id="1197" w:name="_Toc267251514"/>
      <w:bookmarkStart w:id="1198" w:name="_Toc267251511"/>
      <w:bookmarkStart w:id="1199" w:name="_Toc267251515"/>
      <w:bookmarkStart w:id="1200" w:name="_Toc267251510"/>
      <w:bookmarkStart w:id="1201" w:name="_Toc267251509"/>
      <w:bookmarkStart w:id="1202" w:name="_Toc267251513"/>
      <w:r>
        <w:rPr>
          <w:rFonts w:hint="eastAsia" w:ascii="宋体" w:hAnsi="宋体" w:eastAsia="宋体" w:cs="宋体"/>
          <w:color w:val="000000"/>
          <w:kern w:val="0"/>
          <w:sz w:val="28"/>
          <w:szCs w:val="28"/>
        </w:rPr>
        <w:t>15. 缺陷责任期与保修</w:t>
      </w:r>
      <w:bookmarkEnd w:id="1169"/>
      <w:bookmarkEnd w:id="1170"/>
      <w:bookmarkEnd w:id="1171"/>
      <w:bookmarkEnd w:id="1172"/>
    </w:p>
    <w:p>
      <w:pPr>
        <w:pStyle w:val="4"/>
        <w:spacing w:before="0" w:after="0" w:line="360" w:lineRule="auto"/>
        <w:rPr>
          <w:rFonts w:ascii="宋体" w:hAnsi="宋体" w:cs="宋体"/>
          <w:color w:val="000000"/>
          <w:kern w:val="0"/>
          <w:sz w:val="24"/>
          <w:szCs w:val="24"/>
        </w:rPr>
      </w:pPr>
      <w:bookmarkStart w:id="1203" w:name="_Toc381175737"/>
      <w:r>
        <w:rPr>
          <w:rFonts w:hint="eastAsia" w:ascii="宋体" w:hAnsi="宋体" w:cs="宋体"/>
          <w:color w:val="000000"/>
          <w:kern w:val="0"/>
          <w:sz w:val="24"/>
          <w:szCs w:val="24"/>
        </w:rPr>
        <w:t>15.2缺陷责任期</w:t>
      </w:r>
      <w:bookmarkEnd w:id="1173"/>
      <w:bookmarkEnd w:id="1203"/>
    </w:p>
    <w:p>
      <w:pPr>
        <w:spacing w:line="360" w:lineRule="auto"/>
        <w:jc w:val="left"/>
        <w:rPr>
          <w:rFonts w:ascii="宋体" w:hAnsi="宋体" w:cs="宋体"/>
          <w:color w:val="000000"/>
          <w:sz w:val="24"/>
        </w:rPr>
      </w:pPr>
      <w:r>
        <w:rPr>
          <w:rFonts w:hint="eastAsia" w:ascii="宋体" w:hAnsi="宋体" w:cs="宋体"/>
          <w:color w:val="000000"/>
          <w:sz w:val="24"/>
        </w:rPr>
        <w:t>缺陷责任期的具体期限：。</w:t>
      </w:r>
    </w:p>
    <w:p>
      <w:pPr>
        <w:pStyle w:val="4"/>
        <w:spacing w:before="0" w:after="0" w:line="360" w:lineRule="auto"/>
        <w:rPr>
          <w:rFonts w:ascii="宋体" w:hAnsi="宋体" w:cs="宋体"/>
          <w:color w:val="000000"/>
          <w:kern w:val="0"/>
          <w:sz w:val="24"/>
          <w:szCs w:val="24"/>
        </w:rPr>
      </w:pPr>
      <w:bookmarkStart w:id="1204" w:name="_Toc381175738"/>
      <w:r>
        <w:rPr>
          <w:rFonts w:hint="eastAsia" w:ascii="宋体" w:hAnsi="宋体" w:cs="宋体"/>
          <w:color w:val="000000"/>
          <w:kern w:val="0"/>
          <w:sz w:val="24"/>
          <w:szCs w:val="24"/>
        </w:rPr>
        <w:t>15.3 质量保证金</w:t>
      </w:r>
      <w:bookmarkEnd w:id="120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关于是否扣留质量保证金的约定：。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15.3.1 承包人提供质量保证金的方式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质量保证金采用以下第种方式：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（1）质量保证金保函，保证金额为：；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15.3.2 质量保证金的扣留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质量保证金的扣留采取以下第种方式：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（3）其他扣留方式:。</w:t>
      </w:r>
    </w:p>
    <w:p>
      <w:pPr>
        <w:spacing w:line="360" w:lineRule="auto"/>
        <w:jc w:val="left"/>
        <w:rPr>
          <w:rFonts w:ascii="宋体" w:hAnsi="宋体" w:cs="宋体"/>
          <w:color w:val="000000"/>
          <w:sz w:val="24"/>
        </w:rPr>
      </w:pPr>
      <w:r>
        <w:rPr>
          <w:rFonts w:hint="eastAsia" w:ascii="宋体" w:hAnsi="宋体" w:cs="宋体"/>
          <w:color w:val="000000"/>
          <w:sz w:val="24"/>
        </w:rPr>
        <w:t>关于质量保证金的补充约定：</w:t>
      </w:r>
      <w:r>
        <w:rPr>
          <w:rFonts w:hint="eastAsia" w:ascii="宋体" w:hAnsi="宋体" w:cs="宋体"/>
          <w:color w:val="000000"/>
          <w:kern w:val="0"/>
          <w:sz w:val="24"/>
        </w:rPr>
        <w:t>。</w:t>
      </w:r>
    </w:p>
    <w:bookmarkEnd w:id="1174"/>
    <w:bookmarkEnd w:id="1175"/>
    <w:p>
      <w:pPr>
        <w:pStyle w:val="4"/>
        <w:spacing w:before="0" w:after="0" w:line="360" w:lineRule="auto"/>
        <w:rPr>
          <w:rFonts w:ascii="宋体" w:hAnsi="宋体" w:cs="宋体"/>
          <w:color w:val="000000"/>
          <w:kern w:val="0"/>
          <w:sz w:val="24"/>
          <w:szCs w:val="24"/>
        </w:rPr>
      </w:pPr>
      <w:bookmarkStart w:id="1205" w:name="_Toc381175739"/>
      <w:r>
        <w:rPr>
          <w:rFonts w:hint="eastAsia" w:ascii="宋体" w:hAnsi="宋体" w:cs="宋体"/>
          <w:color w:val="000000"/>
          <w:kern w:val="0"/>
          <w:sz w:val="24"/>
          <w:szCs w:val="24"/>
        </w:rPr>
        <w:t>15.4保修</w:t>
      </w:r>
      <w:bookmarkEnd w:id="1205"/>
    </w:p>
    <w:bookmarkEnd w:id="1176"/>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15.4.1 保修责任</w:t>
      </w:r>
    </w:p>
    <w:p>
      <w:pPr>
        <w:spacing w:line="360" w:lineRule="auto"/>
        <w:jc w:val="left"/>
        <w:rPr>
          <w:rFonts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rPr>
        <w:t>。</w:t>
      </w:r>
    </w:p>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15.4.3 修复通知</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承包人收到保修通知并到达工程现场的合理时间：。</w:t>
      </w:r>
    </w:p>
    <w:bookmarkEnd w:id="1177"/>
    <w:bookmarkEnd w:id="1178"/>
    <w:bookmarkEnd w:id="1179"/>
    <w:bookmarkEnd w:id="1180"/>
    <w:p>
      <w:pPr>
        <w:pStyle w:val="3"/>
        <w:spacing w:before="0" w:after="0" w:line="360" w:lineRule="auto"/>
        <w:rPr>
          <w:rFonts w:ascii="宋体" w:hAnsi="宋体" w:eastAsia="宋体" w:cs="宋体"/>
          <w:color w:val="000000"/>
          <w:kern w:val="0"/>
          <w:sz w:val="28"/>
          <w:szCs w:val="28"/>
        </w:rPr>
      </w:pPr>
      <w:bookmarkStart w:id="1206" w:name="_Toc351203648"/>
      <w:bookmarkStart w:id="1207" w:name="_Toc16257"/>
      <w:bookmarkStart w:id="1208" w:name="_Toc381175740"/>
      <w:bookmarkStart w:id="1209" w:name="_Toc9519"/>
      <w:bookmarkStart w:id="1210" w:name="_Toc280868717"/>
      <w:bookmarkStart w:id="1211" w:name="_Toc280868718"/>
      <w:r>
        <w:rPr>
          <w:rFonts w:hint="eastAsia" w:ascii="宋体" w:hAnsi="宋体" w:eastAsia="宋体" w:cs="宋体"/>
          <w:color w:val="000000"/>
          <w:kern w:val="0"/>
          <w:sz w:val="28"/>
          <w:szCs w:val="28"/>
        </w:rPr>
        <w:t>16. 违约</w:t>
      </w:r>
      <w:bookmarkEnd w:id="1206"/>
      <w:bookmarkEnd w:id="1207"/>
      <w:bookmarkEnd w:id="1208"/>
      <w:bookmarkEnd w:id="1209"/>
    </w:p>
    <w:p>
      <w:pPr>
        <w:pStyle w:val="4"/>
        <w:spacing w:before="0" w:after="0" w:line="360" w:lineRule="auto"/>
        <w:rPr>
          <w:rFonts w:ascii="宋体" w:hAnsi="宋体" w:cs="宋体"/>
          <w:color w:val="000000"/>
          <w:kern w:val="0"/>
          <w:sz w:val="24"/>
          <w:szCs w:val="24"/>
        </w:rPr>
      </w:pPr>
      <w:bookmarkStart w:id="1212" w:name="_Toc381175741"/>
      <w:r>
        <w:rPr>
          <w:rFonts w:hint="eastAsia" w:ascii="宋体" w:hAnsi="宋体" w:cs="宋体"/>
          <w:color w:val="000000"/>
          <w:kern w:val="0"/>
          <w:sz w:val="24"/>
          <w:szCs w:val="24"/>
        </w:rPr>
        <w:t>16.1 发包人违约</w:t>
      </w:r>
      <w:bookmarkEnd w:id="1212"/>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16.1.1发包人违约的情形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发包人违约的其他情形：。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 xml:space="preserve">    16.1.2 发包人违约的责任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发包人违约责任的承担方式和计算方法：</w:t>
      </w:r>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（7）其他：。</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承包人按16.1.1项〔发包人违约的情形〕约定暂停施工满天后发包人仍不纠正其违约行为并致使合同目的不能实现的，承包人有权解除合同。</w:t>
      </w:r>
    </w:p>
    <w:p>
      <w:pPr>
        <w:pStyle w:val="4"/>
        <w:spacing w:before="0" w:after="0" w:line="360" w:lineRule="auto"/>
        <w:rPr>
          <w:rFonts w:ascii="宋体" w:hAnsi="宋体" w:cs="宋体"/>
          <w:color w:val="000000"/>
          <w:kern w:val="0"/>
          <w:sz w:val="24"/>
          <w:szCs w:val="24"/>
        </w:rPr>
      </w:pPr>
      <w:bookmarkStart w:id="1213" w:name="_Toc381175742"/>
      <w:r>
        <w:rPr>
          <w:rFonts w:hint="eastAsia" w:ascii="宋体" w:hAnsi="宋体" w:cs="宋体"/>
          <w:color w:val="000000"/>
          <w:kern w:val="0"/>
          <w:sz w:val="24"/>
          <w:szCs w:val="24"/>
        </w:rPr>
        <w:t>16.2 承包人违约</w:t>
      </w:r>
      <w:bookmarkEnd w:id="121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承包人违约的其他情形：。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16.2.2承包人违约的责任</w:t>
      </w:r>
    </w:p>
    <w:p>
      <w:pPr>
        <w:spacing w:line="360" w:lineRule="auto"/>
        <w:ind w:left="1200" w:hanging="1200" w:hangingChars="500"/>
        <w:jc w:val="left"/>
        <w:rPr>
          <w:rFonts w:ascii="宋体" w:hAnsi="宋体" w:cs="宋体"/>
          <w:color w:val="000000"/>
          <w:kern w:val="0"/>
          <w:sz w:val="24"/>
          <w:u w:val="single"/>
        </w:rPr>
      </w:pPr>
      <w:r>
        <w:rPr>
          <w:rFonts w:hint="eastAsia" w:ascii="宋体" w:hAnsi="宋体" w:cs="宋体"/>
          <w:color w:val="000000"/>
          <w:kern w:val="0"/>
          <w:sz w:val="24"/>
        </w:rPr>
        <w:t>承包人违约责任的承担方式和计算方法：。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16.2.3 因承包人违约解除合同</w:t>
      </w:r>
    </w:p>
    <w:p>
      <w:pPr>
        <w:spacing w:line="360" w:lineRule="auto"/>
        <w:rPr>
          <w:rFonts w:ascii="宋体" w:hAnsi="宋体" w:cs="宋体"/>
          <w:color w:val="000000"/>
          <w:kern w:val="0"/>
          <w:sz w:val="24"/>
        </w:rPr>
      </w:pPr>
      <w:r>
        <w:rPr>
          <w:rFonts w:hint="eastAsia" w:ascii="宋体" w:hAnsi="宋体" w:cs="宋体"/>
          <w:color w:val="000000"/>
          <w:kern w:val="0"/>
          <w:sz w:val="24"/>
        </w:rPr>
        <w:t>关于承包人违约解除合同的特别约定：。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p>
    <w:p>
      <w:pPr>
        <w:pStyle w:val="3"/>
        <w:spacing w:before="0" w:after="0" w:line="360" w:lineRule="auto"/>
        <w:rPr>
          <w:rFonts w:ascii="宋体" w:hAnsi="宋体" w:eastAsia="宋体" w:cs="宋体"/>
          <w:color w:val="000000"/>
          <w:kern w:val="0"/>
          <w:sz w:val="28"/>
          <w:szCs w:val="28"/>
        </w:rPr>
      </w:pPr>
      <w:bookmarkStart w:id="1214" w:name="_Toc381175743"/>
      <w:bookmarkStart w:id="1215" w:name="_Toc351203649"/>
      <w:bookmarkStart w:id="1216" w:name="_Toc7682"/>
      <w:bookmarkStart w:id="1217" w:name="_Toc14636"/>
      <w:r>
        <w:rPr>
          <w:rFonts w:hint="eastAsia" w:ascii="宋体" w:hAnsi="宋体" w:eastAsia="宋体" w:cs="宋体"/>
          <w:color w:val="000000"/>
          <w:kern w:val="0"/>
          <w:sz w:val="28"/>
          <w:szCs w:val="28"/>
        </w:rPr>
        <w:t>17. 不可抗力</w:t>
      </w:r>
      <w:bookmarkEnd w:id="1210"/>
      <w:bookmarkEnd w:id="1214"/>
      <w:bookmarkEnd w:id="1215"/>
      <w:bookmarkEnd w:id="1216"/>
      <w:bookmarkEnd w:id="1217"/>
    </w:p>
    <w:p>
      <w:pPr>
        <w:pStyle w:val="4"/>
        <w:spacing w:before="0" w:after="0" w:line="360" w:lineRule="auto"/>
        <w:rPr>
          <w:rFonts w:ascii="宋体" w:hAnsi="宋体" w:cs="宋体"/>
          <w:color w:val="000000"/>
          <w:kern w:val="0"/>
          <w:sz w:val="24"/>
          <w:szCs w:val="24"/>
        </w:rPr>
      </w:pPr>
      <w:bookmarkStart w:id="1218" w:name="_Toc381175744"/>
      <w:r>
        <w:rPr>
          <w:rFonts w:hint="eastAsia" w:ascii="宋体" w:hAnsi="宋体" w:cs="宋体"/>
          <w:color w:val="000000"/>
          <w:kern w:val="0"/>
          <w:sz w:val="24"/>
          <w:szCs w:val="24"/>
        </w:rPr>
        <w:t>17.1 不可抗力的确认</w:t>
      </w:r>
      <w:bookmarkEnd w:id="1218"/>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19" w:name="_Toc381175745"/>
      <w:r>
        <w:rPr>
          <w:rFonts w:hint="eastAsia" w:ascii="宋体" w:hAnsi="宋体" w:cs="宋体"/>
          <w:color w:val="000000"/>
          <w:kern w:val="0"/>
          <w:sz w:val="24"/>
          <w:szCs w:val="24"/>
        </w:rPr>
        <w:t>17.4 因不可抗力解除合同</w:t>
      </w:r>
      <w:bookmarkEnd w:id="121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合同解除后，发包人应在商定或确定发包人应支付款项后天内完成款项的支付。</w:t>
      </w:r>
    </w:p>
    <w:p>
      <w:pPr>
        <w:pStyle w:val="3"/>
        <w:spacing w:before="0" w:after="0" w:line="360" w:lineRule="auto"/>
        <w:rPr>
          <w:rFonts w:ascii="宋体" w:hAnsi="宋体" w:eastAsia="宋体" w:cs="宋体"/>
          <w:color w:val="000000"/>
          <w:kern w:val="0"/>
          <w:sz w:val="28"/>
          <w:szCs w:val="28"/>
        </w:rPr>
      </w:pPr>
      <w:bookmarkStart w:id="1220" w:name="_Toc8832"/>
      <w:bookmarkStart w:id="1221" w:name="_Toc381175746"/>
      <w:bookmarkStart w:id="1222" w:name="_Toc351203650"/>
      <w:bookmarkStart w:id="1223" w:name="_Toc22778"/>
      <w:r>
        <w:rPr>
          <w:rFonts w:hint="eastAsia" w:ascii="宋体" w:hAnsi="宋体" w:eastAsia="宋体" w:cs="宋体"/>
          <w:color w:val="000000"/>
          <w:kern w:val="0"/>
          <w:sz w:val="28"/>
          <w:szCs w:val="28"/>
        </w:rPr>
        <w:t>18. 保险</w:t>
      </w:r>
      <w:bookmarkEnd w:id="1220"/>
      <w:bookmarkEnd w:id="1221"/>
      <w:bookmarkEnd w:id="1222"/>
      <w:bookmarkEnd w:id="1223"/>
    </w:p>
    <w:bookmarkEnd w:id="1211"/>
    <w:p>
      <w:pPr>
        <w:pStyle w:val="4"/>
        <w:spacing w:before="0" w:after="0" w:line="360" w:lineRule="auto"/>
        <w:rPr>
          <w:rFonts w:ascii="宋体" w:hAnsi="宋体" w:cs="宋体"/>
          <w:color w:val="000000"/>
          <w:kern w:val="0"/>
          <w:sz w:val="24"/>
          <w:szCs w:val="24"/>
        </w:rPr>
      </w:pPr>
      <w:bookmarkStart w:id="1224" w:name="_Toc381175747"/>
      <w:r>
        <w:rPr>
          <w:rFonts w:hint="eastAsia" w:ascii="宋体" w:hAnsi="宋体" w:cs="宋体"/>
          <w:color w:val="000000"/>
          <w:kern w:val="0"/>
          <w:sz w:val="24"/>
          <w:szCs w:val="24"/>
        </w:rPr>
        <w:t>18.1 工程保险</w:t>
      </w:r>
      <w:bookmarkEnd w:id="122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25" w:name="_Toc381175748"/>
      <w:r>
        <w:rPr>
          <w:rFonts w:hint="eastAsia" w:ascii="宋体" w:hAnsi="宋体" w:cs="宋体"/>
          <w:color w:val="000000"/>
          <w:kern w:val="0"/>
          <w:sz w:val="24"/>
          <w:szCs w:val="24"/>
        </w:rPr>
        <w:t>18.3 其他保险</w:t>
      </w:r>
      <w:bookmarkEnd w:id="122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关于其他保险的约定：</w:t>
      </w:r>
      <w:r>
        <w:rPr>
          <w:rFonts w:hint="eastAsia" w:ascii="宋体" w:hAnsi="宋体" w:cs="宋体"/>
          <w:color w:val="000000"/>
          <w:kern w:val="0"/>
          <w:sz w:val="24"/>
        </w:rPr>
        <w:t>。</w:t>
      </w:r>
    </w:p>
    <w:p>
      <w:pPr>
        <w:spacing w:line="360" w:lineRule="auto"/>
        <w:jc w:val="left"/>
        <w:rPr>
          <w:rFonts w:ascii="宋体" w:hAnsi="宋体" w:cs="宋体"/>
          <w:color w:val="000000"/>
          <w:kern w:val="0"/>
          <w:sz w:val="24"/>
        </w:rPr>
      </w:pPr>
      <w:r>
        <w:rPr>
          <w:rFonts w:hint="eastAsia" w:ascii="宋体" w:hAnsi="宋体" w:cs="宋体"/>
          <w:color w:val="000000"/>
          <w:sz w:val="24"/>
        </w:rPr>
        <w:t>承包人是否应为其施工设备等办理财产保险：。</w:t>
      </w:r>
    </w:p>
    <w:p>
      <w:pPr>
        <w:spacing w:line="360" w:lineRule="auto"/>
        <w:ind w:firstLine="480" w:firstLineChars="200"/>
        <w:rPr>
          <w:rFonts w:ascii="宋体" w:hAnsi="宋体" w:cs="宋体"/>
          <w:color w:val="000000"/>
          <w:sz w:val="24"/>
        </w:rPr>
      </w:pPr>
      <w:r>
        <w:rPr>
          <w:rFonts w:hint="eastAsia" w:ascii="宋体" w:hAnsi="宋体" w:cs="宋体"/>
          <w:color w:val="000000"/>
          <w:sz w:val="24"/>
        </w:rPr>
        <w:t>18.7 通知义务</w:t>
      </w:r>
    </w:p>
    <w:p>
      <w:pPr>
        <w:spacing w:line="360" w:lineRule="auto"/>
        <w:jc w:val="left"/>
        <w:rPr>
          <w:rFonts w:ascii="宋体" w:hAnsi="宋体" w:cs="宋体"/>
          <w:color w:val="000000"/>
          <w:sz w:val="24"/>
        </w:rPr>
      </w:pPr>
      <w:r>
        <w:rPr>
          <w:rFonts w:hint="eastAsia" w:ascii="宋体" w:hAnsi="宋体" w:cs="宋体"/>
          <w:color w:val="000000"/>
          <w:kern w:val="0"/>
          <w:sz w:val="24"/>
        </w:rPr>
        <w:t>关于变更保险合同时的通知义务的约定：</w:t>
      </w:r>
      <w:r>
        <w:rPr>
          <w:rFonts w:hint="eastAsia" w:ascii="宋体" w:hAnsi="宋体" w:cs="宋体"/>
          <w:color w:val="000000"/>
          <w:sz w:val="24"/>
        </w:rPr>
        <w:t>。</w:t>
      </w:r>
    </w:p>
    <w:bookmarkEnd w:id="1181"/>
    <w:bookmarkEnd w:id="1182"/>
    <w:bookmarkEnd w:id="1183"/>
    <w:bookmarkEnd w:id="1184"/>
    <w:bookmarkEnd w:id="1185"/>
    <w:bookmarkEnd w:id="1186"/>
    <w:bookmarkEnd w:id="1187"/>
    <w:bookmarkEnd w:id="1188"/>
    <w:bookmarkEnd w:id="1189"/>
    <w:bookmarkEnd w:id="1190"/>
    <w:bookmarkEnd w:id="1191"/>
    <w:bookmarkEnd w:id="1192"/>
    <w:p>
      <w:pPr>
        <w:pStyle w:val="3"/>
        <w:spacing w:before="0" w:after="0" w:line="360" w:lineRule="auto"/>
        <w:rPr>
          <w:rFonts w:ascii="宋体" w:hAnsi="宋体" w:eastAsia="宋体" w:cs="宋体"/>
          <w:color w:val="000000"/>
          <w:kern w:val="0"/>
          <w:sz w:val="28"/>
          <w:szCs w:val="28"/>
        </w:rPr>
      </w:pPr>
      <w:bookmarkStart w:id="1226" w:name="_Toc351203651"/>
      <w:bookmarkStart w:id="1227" w:name="_Toc22934"/>
      <w:bookmarkStart w:id="1228" w:name="_Toc381175749"/>
      <w:bookmarkStart w:id="1229" w:name="_Toc2896"/>
      <w:r>
        <w:rPr>
          <w:rFonts w:hint="eastAsia" w:ascii="宋体" w:hAnsi="宋体" w:eastAsia="宋体" w:cs="宋体"/>
          <w:color w:val="000000"/>
          <w:kern w:val="0"/>
          <w:sz w:val="28"/>
          <w:szCs w:val="28"/>
        </w:rPr>
        <w:t>20. 争议解决</w:t>
      </w:r>
      <w:bookmarkEnd w:id="1226"/>
      <w:bookmarkEnd w:id="1227"/>
      <w:bookmarkEnd w:id="1228"/>
      <w:bookmarkEnd w:id="1229"/>
    </w:p>
    <w:bookmarkEnd w:id="1193"/>
    <w:bookmarkEnd w:id="1194"/>
    <w:p>
      <w:pPr>
        <w:pStyle w:val="4"/>
        <w:spacing w:before="0" w:after="0" w:line="360" w:lineRule="auto"/>
        <w:rPr>
          <w:rFonts w:ascii="宋体" w:hAnsi="宋体" w:cs="宋体"/>
          <w:color w:val="000000"/>
          <w:kern w:val="0"/>
          <w:sz w:val="24"/>
          <w:szCs w:val="24"/>
        </w:rPr>
      </w:pPr>
      <w:bookmarkStart w:id="1230" w:name="_Toc381175750"/>
      <w:r>
        <w:rPr>
          <w:rFonts w:hint="eastAsia" w:ascii="宋体" w:hAnsi="宋体" w:cs="宋体"/>
          <w:color w:val="000000"/>
          <w:kern w:val="0"/>
          <w:sz w:val="24"/>
          <w:szCs w:val="24"/>
        </w:rPr>
        <w:t>20.3 争</w:t>
      </w:r>
      <w:bookmarkEnd w:id="1195"/>
      <w:r>
        <w:rPr>
          <w:rFonts w:hint="eastAsia" w:ascii="宋体" w:hAnsi="宋体" w:cs="宋体"/>
          <w:color w:val="000000"/>
          <w:kern w:val="0"/>
          <w:sz w:val="24"/>
          <w:szCs w:val="24"/>
        </w:rPr>
        <w:t>议评审</w:t>
      </w:r>
      <w:bookmarkEnd w:id="1230"/>
    </w:p>
    <w:p>
      <w:pPr>
        <w:spacing w:line="360" w:lineRule="auto"/>
        <w:jc w:val="left"/>
        <w:rPr>
          <w:rFonts w:ascii="宋体" w:hAnsi="宋体" w:cs="宋体"/>
          <w:color w:val="000000"/>
          <w:sz w:val="24"/>
        </w:rPr>
      </w:pPr>
      <w:r>
        <w:rPr>
          <w:rFonts w:hint="eastAsia" w:ascii="宋体" w:hAnsi="宋体" w:cs="宋体"/>
          <w:color w:val="000000"/>
          <w:sz w:val="24"/>
        </w:rPr>
        <w:t xml:space="preserve">合同当事人是否同意将工程争议提交争议评审小组决定：。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20.3.1 争议评审小组的确定</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争议评审小组成员的确定：。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选定争议评审员的期限：。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争议评审小组成员的报酬承担方式：。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其他事项的约定：。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合同当事人关于本项的约定：。</w:t>
      </w:r>
    </w:p>
    <w:p>
      <w:pPr>
        <w:pStyle w:val="4"/>
        <w:spacing w:before="0" w:after="0" w:line="360" w:lineRule="auto"/>
        <w:rPr>
          <w:rFonts w:ascii="宋体" w:hAnsi="宋体" w:cs="宋体"/>
          <w:color w:val="000000"/>
          <w:kern w:val="0"/>
          <w:sz w:val="24"/>
          <w:szCs w:val="24"/>
        </w:rPr>
      </w:pPr>
      <w:bookmarkStart w:id="1231" w:name="_Toc381175751"/>
      <w:r>
        <w:rPr>
          <w:rFonts w:hint="eastAsia" w:ascii="宋体" w:hAnsi="宋体" w:cs="宋体"/>
          <w:color w:val="000000"/>
          <w:kern w:val="0"/>
          <w:sz w:val="24"/>
          <w:szCs w:val="24"/>
        </w:rPr>
        <w:t>20.4仲裁或诉讼</w:t>
      </w:r>
      <w:bookmarkEnd w:id="1196"/>
      <w:bookmarkEnd w:id="1231"/>
    </w:p>
    <w:p>
      <w:pPr>
        <w:spacing w:line="360" w:lineRule="auto"/>
        <w:ind w:firstLine="480" w:firstLineChars="200"/>
        <w:rPr>
          <w:rFonts w:ascii="宋体" w:hAnsi="宋体" w:cs="宋体"/>
          <w:color w:val="000000"/>
          <w:sz w:val="24"/>
        </w:rPr>
      </w:pPr>
      <w:r>
        <w:rPr>
          <w:rFonts w:hint="eastAsia" w:ascii="宋体" w:hAnsi="宋体" w:cs="宋体"/>
          <w:color w:val="000000"/>
          <w:sz w:val="24"/>
        </w:rPr>
        <w:t>因合同及合同有关事项发生的争议，按下列第种方式解决：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（1）向仲裁委员会申请仲裁；</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（2）向人民法院起诉。</w:t>
      </w:r>
      <w:bookmarkEnd w:id="1197"/>
      <w:bookmarkEnd w:id="1198"/>
      <w:bookmarkEnd w:id="1199"/>
      <w:bookmarkEnd w:id="1200"/>
      <w:bookmarkEnd w:id="1201"/>
      <w:bookmarkEnd w:id="1202"/>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color w:val="000000"/>
          <w:kern w:val="0"/>
          <w:sz w:val="24"/>
        </w:rPr>
        <w:br w:type="page"/>
      </w:r>
    </w:p>
    <w:p>
      <w:pPr>
        <w:pStyle w:val="3"/>
        <w:spacing w:before="0" w:after="0" w:line="360" w:lineRule="auto"/>
        <w:jc w:val="center"/>
        <w:rPr>
          <w:rFonts w:ascii="宋体" w:hAnsi="宋体" w:eastAsia="宋体" w:cs="宋体"/>
          <w:color w:val="000000"/>
          <w:kern w:val="0"/>
          <w:sz w:val="28"/>
          <w:szCs w:val="28"/>
        </w:rPr>
      </w:pPr>
      <w:bookmarkStart w:id="1232" w:name="_Toc201287611"/>
      <w:bookmarkStart w:id="1233" w:name="_Toc22145"/>
      <w:bookmarkStart w:id="1234" w:name="_Toc381175752"/>
      <w:bookmarkStart w:id="1235" w:name="_Toc29270"/>
      <w:r>
        <w:rPr>
          <w:rFonts w:hint="eastAsia" w:ascii="宋体" w:hAnsi="宋体" w:eastAsia="宋体" w:cs="宋体"/>
          <w:color w:val="000000"/>
          <w:kern w:val="0"/>
          <w:sz w:val="28"/>
          <w:szCs w:val="28"/>
        </w:rPr>
        <w:t>第三节 合同附件格式</w:t>
      </w:r>
      <w:bookmarkEnd w:id="1232"/>
      <w:bookmarkEnd w:id="1233"/>
      <w:bookmarkEnd w:id="1234"/>
      <w:bookmarkEnd w:id="1235"/>
    </w:p>
    <w:p>
      <w:pPr>
        <w:pStyle w:val="4"/>
        <w:spacing w:before="0" w:after="0" w:line="360" w:lineRule="auto"/>
        <w:rPr>
          <w:rFonts w:ascii="宋体" w:hAnsi="宋体" w:cs="宋体"/>
          <w:color w:val="000000"/>
          <w:kern w:val="0"/>
          <w:sz w:val="24"/>
          <w:szCs w:val="24"/>
        </w:rPr>
      </w:pPr>
      <w:bookmarkStart w:id="1236" w:name="_Toc201287612"/>
      <w:bookmarkStart w:id="1237" w:name="_Toc381175753"/>
      <w:r>
        <w:rPr>
          <w:rFonts w:hint="eastAsia" w:ascii="宋体" w:hAnsi="宋体" w:cs="宋体"/>
          <w:color w:val="000000"/>
          <w:kern w:val="0"/>
          <w:sz w:val="24"/>
          <w:szCs w:val="24"/>
        </w:rPr>
        <w:t>附件一：合同协议书</w:t>
      </w:r>
      <w:bookmarkEnd w:id="1236"/>
      <w:bookmarkEnd w:id="1237"/>
    </w:p>
    <w:p>
      <w:pPr>
        <w:spacing w:line="360" w:lineRule="auto"/>
        <w:jc w:val="center"/>
        <w:rPr>
          <w:rFonts w:ascii="宋体" w:hAnsi="宋体" w:cs="宋体"/>
          <w:b/>
          <w:color w:val="000000"/>
          <w:sz w:val="32"/>
          <w:szCs w:val="32"/>
        </w:rPr>
      </w:pPr>
      <w:r>
        <w:rPr>
          <w:rFonts w:hint="eastAsia" w:ascii="宋体" w:hAnsi="宋体" w:cs="宋体"/>
          <w:b/>
          <w:color w:val="000000"/>
          <w:sz w:val="32"/>
          <w:szCs w:val="32"/>
        </w:rPr>
        <w:t>合同协议书</w:t>
      </w:r>
    </w:p>
    <w:p>
      <w:pPr>
        <w:pStyle w:val="118"/>
        <w:spacing w:line="360" w:lineRule="auto"/>
        <w:rPr>
          <w:rFonts w:ascii="宋体" w:hAnsi="宋体" w:cs="宋体"/>
          <w:color w:val="000000"/>
          <w:szCs w:val="21"/>
        </w:rPr>
      </w:pPr>
      <w:r>
        <w:rPr>
          <w:rFonts w:hint="eastAsia" w:ascii="宋体" w:hAnsi="宋体" w:cs="宋体"/>
          <w:color w:val="000000"/>
          <w:szCs w:val="21"/>
        </w:rPr>
        <w:t xml:space="preserve">                                                    编号：</w:t>
      </w:r>
    </w:p>
    <w:p>
      <w:pPr>
        <w:spacing w:line="360" w:lineRule="auto"/>
        <w:rPr>
          <w:rFonts w:ascii="宋体" w:hAnsi="宋体" w:cs="宋体"/>
          <w:b/>
          <w:color w:val="000000"/>
          <w:sz w:val="24"/>
          <w:u w:val="single"/>
        </w:rPr>
      </w:pPr>
      <w:r>
        <w:rPr>
          <w:rFonts w:hint="eastAsia" w:ascii="宋体" w:hAnsi="宋体" w:cs="宋体"/>
          <w:b/>
          <w:color w:val="000000"/>
          <w:sz w:val="24"/>
        </w:rPr>
        <w:t>发包人（全称）：</w:t>
      </w:r>
      <w:r>
        <w:rPr>
          <w:rFonts w:hint="eastAsia" w:ascii="宋体" w:hAnsi="宋体" w:cs="宋体"/>
          <w:b/>
          <w:color w:val="000000"/>
          <w:sz w:val="24"/>
          <w:u w:val="single"/>
        </w:rPr>
        <w:t>                       </w:t>
      </w:r>
    </w:p>
    <w:p>
      <w:pPr>
        <w:spacing w:line="360" w:lineRule="auto"/>
        <w:rPr>
          <w:rFonts w:ascii="宋体" w:hAnsi="宋体" w:cs="宋体"/>
          <w:b/>
          <w:color w:val="000000"/>
          <w:sz w:val="24"/>
          <w:u w:val="single"/>
        </w:rPr>
      </w:pPr>
      <w:r>
        <w:rPr>
          <w:rFonts w:hint="eastAsia" w:ascii="宋体" w:hAnsi="宋体" w:cs="宋体"/>
          <w:b/>
          <w:color w:val="000000"/>
          <w:sz w:val="24"/>
        </w:rPr>
        <w:t>承包人（全称）：</w:t>
      </w:r>
      <w:r>
        <w:rPr>
          <w:rFonts w:hint="eastAsia" w:ascii="宋体" w:hAnsi="宋体" w:cs="宋体"/>
          <w:b/>
          <w:color w:val="000000"/>
          <w:sz w:val="24"/>
          <w:u w:val="single"/>
        </w:rPr>
        <w:t>                      </w:t>
      </w:r>
    </w:p>
    <w:p>
      <w:pPr>
        <w:spacing w:line="360" w:lineRule="auto"/>
        <w:ind w:firstLine="480" w:firstLineChars="200"/>
        <w:rPr>
          <w:rFonts w:ascii="宋体" w:hAnsi="宋体" w:cs="宋体"/>
          <w:color w:val="000000"/>
          <w:sz w:val="24"/>
        </w:rPr>
      </w:pPr>
      <w:r>
        <w:rPr>
          <w:rFonts w:hint="eastAsia" w:ascii="宋体" w:hAnsi="宋体" w:cs="宋体"/>
          <w:color w:val="000000"/>
          <w:sz w:val="24"/>
        </w:rPr>
        <w:t>根据《中华人民共和国合同法》、《中华人民共和国建筑法》及有关法律规定，遵循平等、自愿、公平和诚实信用的原则，双方就</w:t>
      </w:r>
    </w:p>
    <w:p>
      <w:pPr>
        <w:spacing w:line="360" w:lineRule="auto"/>
        <w:rPr>
          <w:rFonts w:ascii="宋体" w:hAnsi="宋体" w:cs="宋体"/>
          <w:color w:val="000000"/>
          <w:sz w:val="24"/>
        </w:rPr>
      </w:pPr>
      <w:r>
        <w:rPr>
          <w:rFonts w:hint="eastAsia" w:ascii="宋体" w:hAnsi="宋体" w:cs="宋体"/>
          <w:color w:val="000000"/>
          <w:sz w:val="24"/>
        </w:rPr>
        <w:t>工程施工及有关事项协商一致，共同达成如下协议：</w:t>
      </w:r>
    </w:p>
    <w:p>
      <w:pPr>
        <w:spacing w:line="360" w:lineRule="auto"/>
        <w:ind w:firstLine="480" w:firstLineChars="200"/>
        <w:rPr>
          <w:rFonts w:ascii="宋体" w:hAnsi="宋体" w:cs="宋体"/>
          <w:color w:val="000000"/>
          <w:sz w:val="24"/>
        </w:rPr>
      </w:pPr>
      <w:bookmarkStart w:id="1238" w:name="_Toc351203481"/>
      <w:r>
        <w:rPr>
          <w:rFonts w:hint="eastAsia" w:ascii="宋体" w:hAnsi="宋体" w:cs="宋体"/>
          <w:color w:val="000000"/>
          <w:sz w:val="24"/>
        </w:rPr>
        <w:t>一、工程概况</w:t>
      </w:r>
      <w:bookmarkEnd w:id="1238"/>
    </w:p>
    <w:p>
      <w:pPr>
        <w:spacing w:line="360" w:lineRule="auto"/>
        <w:ind w:firstLine="470" w:firstLineChars="196"/>
        <w:rPr>
          <w:rFonts w:ascii="宋体" w:hAnsi="宋体" w:cs="宋体"/>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2.工程地点：</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4.资金来源：</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color w:val="000000"/>
          <w:sz w:val="24"/>
        </w:rPr>
        <w:t>群体工程应附《承包人承揽工程项目一览表》（附件1）。</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6.工程承包范围：</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39" w:name="_Toc351203482"/>
      <w:r>
        <w:rPr>
          <w:rFonts w:hint="eastAsia" w:ascii="宋体" w:hAnsi="宋体" w:cs="宋体"/>
          <w:color w:val="000000"/>
          <w:sz w:val="24"/>
        </w:rPr>
        <w:t>二、合同工期</w:t>
      </w:r>
      <w:bookmarkEnd w:id="1239"/>
    </w:p>
    <w:p>
      <w:pPr>
        <w:spacing w:line="360" w:lineRule="auto"/>
        <w:ind w:firstLine="459"/>
        <w:rPr>
          <w:rFonts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w:t>
      </w:r>
      <w:r>
        <w:rPr>
          <w:rFonts w:hint="eastAsia" w:ascii="宋体" w:hAnsi="宋体" w:cs="宋体"/>
          <w:color w:val="000000"/>
          <w:sz w:val="24"/>
        </w:rPr>
        <w:t>天。工期总日历天数与根据前述计划开竣工日期计算的工期天数不一致的，以工期总日历天数为准。</w:t>
      </w:r>
    </w:p>
    <w:p>
      <w:pPr>
        <w:spacing w:line="360" w:lineRule="auto"/>
        <w:ind w:firstLine="480" w:firstLineChars="200"/>
        <w:rPr>
          <w:rFonts w:ascii="宋体" w:hAnsi="宋体" w:cs="宋体"/>
          <w:color w:val="000000"/>
          <w:sz w:val="24"/>
        </w:rPr>
      </w:pPr>
      <w:bookmarkStart w:id="1240" w:name="_Toc351203483"/>
      <w:r>
        <w:rPr>
          <w:rFonts w:hint="eastAsia" w:ascii="宋体" w:hAnsi="宋体" w:cs="宋体"/>
          <w:color w:val="000000"/>
          <w:sz w:val="24"/>
        </w:rPr>
        <w:t>三、质量标准</w:t>
      </w:r>
      <w:bookmarkEnd w:id="1240"/>
    </w:p>
    <w:p>
      <w:pPr>
        <w:spacing w:line="360" w:lineRule="auto"/>
        <w:ind w:firstLine="459"/>
        <w:rPr>
          <w:rFonts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w:t>
      </w:r>
      <w:r>
        <w:rPr>
          <w:rFonts w:hint="eastAsia" w:ascii="宋体" w:hAnsi="宋体" w:cs="宋体"/>
          <w:color w:val="000000"/>
          <w:sz w:val="24"/>
        </w:rPr>
        <w:t>标准。</w:t>
      </w:r>
    </w:p>
    <w:p>
      <w:pPr>
        <w:spacing w:line="360" w:lineRule="auto"/>
        <w:ind w:firstLine="480" w:firstLineChars="200"/>
        <w:rPr>
          <w:rFonts w:ascii="宋体" w:hAnsi="宋体" w:cs="宋体"/>
          <w:color w:val="000000"/>
          <w:sz w:val="24"/>
        </w:rPr>
      </w:pPr>
      <w:bookmarkStart w:id="1241" w:name="_Toc351203484"/>
      <w:r>
        <w:rPr>
          <w:rFonts w:hint="eastAsia" w:ascii="宋体" w:hAnsi="宋体" w:cs="宋体"/>
          <w:color w:val="000000"/>
          <w:sz w:val="24"/>
        </w:rPr>
        <w:t>四、签约合同价与合同价格形式</w:t>
      </w:r>
      <w:bookmarkEnd w:id="1241"/>
      <w:r>
        <w:rPr>
          <w:rFonts w:hint="eastAsia" w:ascii="宋体" w:hAnsi="宋体" w:cs="宋体"/>
          <w:color w:val="000000"/>
          <w:sz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1.签约合同价为：</w:t>
      </w:r>
    </w:p>
    <w:p>
      <w:pPr>
        <w:spacing w:line="360" w:lineRule="auto"/>
        <w:ind w:firstLine="600" w:firstLineChars="250"/>
        <w:rPr>
          <w:rFonts w:ascii="宋体" w:hAnsi="宋体" w:cs="宋体"/>
          <w:color w:val="000000"/>
          <w:sz w:val="24"/>
        </w:rPr>
      </w:pPr>
      <w:r>
        <w:rPr>
          <w:rFonts w:hint="eastAsia" w:ascii="宋体" w:hAnsi="宋体" w:cs="宋体"/>
          <w:color w:val="000000"/>
          <w:sz w:val="24"/>
        </w:rPr>
        <w:t>人民币（大写）(¥元)；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其中：</w:t>
      </w:r>
    </w:p>
    <w:p>
      <w:pPr>
        <w:spacing w:line="360" w:lineRule="auto"/>
        <w:ind w:firstLine="480" w:firstLineChars="200"/>
        <w:rPr>
          <w:rFonts w:ascii="宋体" w:hAnsi="宋体" w:cs="宋体"/>
          <w:color w:val="000000"/>
          <w:sz w:val="24"/>
        </w:rPr>
      </w:pPr>
      <w:r>
        <w:rPr>
          <w:rFonts w:hint="eastAsia" w:ascii="宋体" w:hAnsi="宋体" w:cs="宋体"/>
          <w:color w:val="000000"/>
          <w:sz w:val="24"/>
        </w:rPr>
        <w:t>（1）安全文明施工费：</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（2）材料和工程设备暂估价金额：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（3）专业工程暂估价金额：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（4）暂列金额：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2.合同价格形式：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2" w:name="_Toc351203485"/>
      <w:r>
        <w:rPr>
          <w:rFonts w:hint="eastAsia" w:ascii="宋体" w:hAnsi="宋体" w:cs="宋体"/>
          <w:color w:val="000000"/>
          <w:sz w:val="24"/>
        </w:rPr>
        <w:t>五、</w:t>
      </w:r>
      <w:bookmarkEnd w:id="1242"/>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3" w:name="_Toc351203486"/>
      <w:r>
        <w:rPr>
          <w:rFonts w:hint="eastAsia" w:ascii="宋体" w:hAnsi="宋体" w:cs="宋体"/>
          <w:color w:val="000000"/>
          <w:sz w:val="24"/>
        </w:rPr>
        <w:t>六、合同文件构成</w:t>
      </w:r>
      <w:bookmarkEnd w:id="1243"/>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（1）中标通知书（如果有）；</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（2）投标函及其附录（如果有）；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（3）专用合同条款及其附件；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（4）通用合同条款；</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（5）技术标准和要求；</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（6）图纸；</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（7）已标价工程量清单或预算书；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（8）其他合同文件。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80" w:firstLineChars="200"/>
        <w:rPr>
          <w:rFonts w:ascii="宋体" w:hAnsi="宋体" w:cs="宋体"/>
          <w:color w:val="000000"/>
          <w:sz w:val="24"/>
        </w:rPr>
      </w:pPr>
      <w:bookmarkStart w:id="1244" w:name="_Toc351203487"/>
      <w:r>
        <w:rPr>
          <w:rFonts w:hint="eastAsia" w:ascii="宋体" w:hAnsi="宋体" w:cs="宋体"/>
          <w:color w:val="000000"/>
          <w:sz w:val="24"/>
        </w:rPr>
        <w:t>七、承诺</w:t>
      </w:r>
      <w:bookmarkEnd w:id="1244"/>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pPr>
        <w:spacing w:line="360" w:lineRule="auto"/>
        <w:ind w:firstLine="480" w:firstLineChars="200"/>
        <w:rPr>
          <w:rFonts w:ascii="宋体" w:hAnsi="宋体" w:cs="宋体"/>
          <w:color w:val="000000"/>
          <w:sz w:val="24"/>
        </w:rPr>
      </w:pPr>
      <w:bookmarkStart w:id="1245" w:name="_Toc351203488"/>
      <w:r>
        <w:rPr>
          <w:rFonts w:hint="eastAsia" w:ascii="宋体" w:hAnsi="宋体" w:cs="宋体"/>
          <w:color w:val="000000"/>
          <w:sz w:val="24"/>
        </w:rPr>
        <w:t>八、词语含义</w:t>
      </w:r>
      <w:bookmarkEnd w:id="1245"/>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本协议书中词语含义与第二部分通用合同条款中赋予的含义相同。</w:t>
      </w:r>
    </w:p>
    <w:p>
      <w:pPr>
        <w:spacing w:line="360" w:lineRule="auto"/>
        <w:ind w:firstLine="480" w:firstLineChars="200"/>
        <w:rPr>
          <w:rFonts w:ascii="宋体" w:hAnsi="宋体" w:cs="宋体"/>
          <w:color w:val="000000"/>
          <w:sz w:val="24"/>
        </w:rPr>
      </w:pPr>
      <w:bookmarkStart w:id="1246" w:name="_Toc351203489"/>
      <w:r>
        <w:rPr>
          <w:rFonts w:hint="eastAsia" w:ascii="宋体" w:hAnsi="宋体" w:cs="宋体"/>
          <w:color w:val="000000"/>
          <w:sz w:val="24"/>
        </w:rPr>
        <w:t>九、签订时间</w:t>
      </w:r>
      <w:bookmarkEnd w:id="1246"/>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本合同于年月日签订。</w:t>
      </w:r>
    </w:p>
    <w:p>
      <w:pPr>
        <w:spacing w:line="360" w:lineRule="auto"/>
        <w:ind w:firstLine="480" w:firstLineChars="200"/>
        <w:rPr>
          <w:rFonts w:ascii="宋体" w:hAnsi="宋体" w:cs="宋体"/>
          <w:color w:val="000000"/>
          <w:sz w:val="24"/>
        </w:rPr>
      </w:pPr>
      <w:bookmarkStart w:id="1247" w:name="_Toc351203490"/>
      <w:r>
        <w:rPr>
          <w:rFonts w:hint="eastAsia" w:ascii="宋体" w:hAnsi="宋体" w:cs="宋体"/>
          <w:color w:val="000000"/>
          <w:sz w:val="24"/>
        </w:rPr>
        <w:t>十、签订地点</w:t>
      </w:r>
      <w:bookmarkEnd w:id="1247"/>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本合同在签订。</w:t>
      </w:r>
    </w:p>
    <w:p>
      <w:pPr>
        <w:spacing w:line="360" w:lineRule="auto"/>
        <w:ind w:firstLine="480" w:firstLineChars="200"/>
        <w:rPr>
          <w:rFonts w:ascii="宋体" w:hAnsi="宋体" w:cs="宋体"/>
          <w:color w:val="000000"/>
          <w:sz w:val="24"/>
        </w:rPr>
      </w:pPr>
      <w:bookmarkStart w:id="1248" w:name="_Toc351203491"/>
      <w:r>
        <w:rPr>
          <w:rFonts w:hint="eastAsia" w:ascii="宋体" w:hAnsi="宋体" w:cs="宋体"/>
          <w:color w:val="000000"/>
          <w:sz w:val="24"/>
        </w:rPr>
        <w:t>十一、补充协议</w:t>
      </w:r>
      <w:bookmarkEnd w:id="1248"/>
    </w:p>
    <w:p>
      <w:pPr>
        <w:spacing w:line="360" w:lineRule="auto"/>
        <w:ind w:firstLine="480" w:firstLineChars="200"/>
        <w:rPr>
          <w:rFonts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pPr>
        <w:spacing w:line="360" w:lineRule="auto"/>
        <w:ind w:firstLine="480" w:firstLineChars="200"/>
        <w:rPr>
          <w:rFonts w:ascii="宋体" w:hAnsi="宋体" w:cs="宋体"/>
          <w:color w:val="000000"/>
          <w:sz w:val="24"/>
        </w:rPr>
      </w:pPr>
      <w:bookmarkStart w:id="1249" w:name="_Toc351203492"/>
      <w:r>
        <w:rPr>
          <w:rFonts w:hint="eastAsia" w:ascii="宋体" w:hAnsi="宋体" w:cs="宋体"/>
          <w:color w:val="000000"/>
          <w:sz w:val="24"/>
        </w:rPr>
        <w:t>十二、合同生效</w:t>
      </w:r>
      <w:bookmarkEnd w:id="1249"/>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本合同自生效。</w:t>
      </w:r>
    </w:p>
    <w:p>
      <w:pPr>
        <w:spacing w:line="360" w:lineRule="auto"/>
        <w:ind w:firstLine="480" w:firstLineChars="200"/>
        <w:rPr>
          <w:rFonts w:ascii="宋体" w:hAnsi="宋体" w:cs="宋体"/>
          <w:color w:val="000000"/>
          <w:sz w:val="24"/>
        </w:rPr>
      </w:pPr>
      <w:bookmarkStart w:id="1250" w:name="_Toc351203493"/>
      <w:r>
        <w:rPr>
          <w:rFonts w:hint="eastAsia" w:ascii="宋体" w:hAnsi="宋体" w:cs="宋体"/>
          <w:color w:val="000000"/>
          <w:sz w:val="24"/>
        </w:rPr>
        <w:t>十三、合同份数</w:t>
      </w:r>
      <w:bookmarkEnd w:id="1250"/>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本合同一式份，均具有同等法律效力，发包人执份，承包人执份。</w:t>
      </w:r>
    </w:p>
    <w:p>
      <w:pPr>
        <w:spacing w:line="360" w:lineRule="auto"/>
        <w:ind w:firstLine="480" w:firstLineChars="200"/>
        <w:rPr>
          <w:rFonts w:ascii="宋体" w:hAnsi="宋体" w:cs="宋体"/>
          <w:bCs/>
          <w:color w:val="000000"/>
          <w:sz w:val="24"/>
        </w:rPr>
      </w:pPr>
    </w:p>
    <w:p>
      <w:pPr>
        <w:spacing w:line="360" w:lineRule="auto"/>
        <w:ind w:firstLine="525" w:firstLineChars="250"/>
        <w:rPr>
          <w:rFonts w:ascii="宋体" w:hAnsi="宋体" w:cs="宋体"/>
          <w:color w:val="000000"/>
          <w:szCs w:val="21"/>
        </w:rPr>
      </w:pPr>
      <w:r>
        <w:rPr>
          <w:rFonts w:hint="eastAsia" w:ascii="宋体" w:hAnsi="宋体" w:cs="宋体"/>
          <w:color w:val="000000"/>
          <w:szCs w:val="21"/>
        </w:rPr>
        <w:t>发包人：  (公章)             　　　    承包人：  (公章)</w:t>
      </w:r>
    </w:p>
    <w:p>
      <w:pPr>
        <w:spacing w:line="360" w:lineRule="auto"/>
        <w:rPr>
          <w:rFonts w:ascii="宋体" w:hAnsi="宋体" w:cs="宋体"/>
          <w:color w:val="000000"/>
          <w:szCs w:val="21"/>
          <w:u w:val="single"/>
        </w:rPr>
      </w:pPr>
    </w:p>
    <w:p>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法定代表人或其委托代理人：  （签字）　　　法定代表人或其委托代理人：（签字）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法定代表人或委托代理人：</w:t>
      </w:r>
      <w:r>
        <w:rPr>
          <w:rFonts w:hint="eastAsia" w:ascii="宋体" w:hAnsi="宋体" w:cs="宋体"/>
          <w:color w:val="000000"/>
          <w:szCs w:val="21"/>
          <w:u w:val="single"/>
        </w:rPr>
        <w:t xml:space="preserve">           </w:t>
      </w:r>
      <w:r>
        <w:rPr>
          <w:rFonts w:hint="eastAsia" w:ascii="宋体" w:hAnsi="宋体" w:cs="宋体"/>
          <w:color w:val="000000"/>
          <w:szCs w:val="21"/>
        </w:rPr>
        <w:t>法定代表人或委托代理人：</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      </w:t>
      </w:r>
      <w:r>
        <w:rPr>
          <w:rFonts w:hint="eastAsia" w:ascii="宋体" w:hAnsi="宋体" w:cs="宋体"/>
          <w:color w:val="000000"/>
          <w:szCs w:val="21"/>
        </w:rPr>
        <w:t>电    话：</w:t>
      </w:r>
      <w:r>
        <w:rPr>
          <w:rFonts w:hint="eastAsia" w:ascii="宋体" w:hAnsi="宋体" w:cs="宋体"/>
          <w:color w:val="000000"/>
          <w:szCs w:val="21"/>
          <w:u w:val="single"/>
        </w:rPr>
        <w:t xml:space="preserve">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账    号：账    号：</w:t>
      </w:r>
      <w:r>
        <w:rPr>
          <w:rFonts w:hint="eastAsia" w:ascii="宋体" w:hAnsi="宋体" w:cs="宋体"/>
          <w:color w:val="000000"/>
          <w:szCs w:val="21"/>
          <w:u w:val="single"/>
        </w:rPr>
        <w:t>     </w:t>
      </w:r>
    </w:p>
    <w:p>
      <w:pPr>
        <w:spacing w:line="360" w:lineRule="auto"/>
        <w:ind w:firstLine="420" w:firstLineChars="200"/>
        <w:rPr>
          <w:rFonts w:ascii="宋体" w:hAnsi="宋体" w:cs="宋体"/>
          <w:color w:val="000000"/>
          <w:szCs w:val="21"/>
        </w:rPr>
      </w:pP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 xml:space="preserve">采购代理机构：                        </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负责人或经办人：</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合同备案时间： 2020年   月    日</w:t>
      </w:r>
    </w:p>
    <w:p>
      <w:pPr>
        <w:spacing w:line="360" w:lineRule="auto"/>
        <w:ind w:firstLine="420" w:firstLineChars="200"/>
        <w:rPr>
          <w:rFonts w:ascii="宋体" w:hAnsi="宋体" w:cs="宋体"/>
          <w:color w:val="000000"/>
          <w:szCs w:val="21"/>
        </w:rPr>
      </w:pPr>
      <w:bookmarkStart w:id="1251" w:name="_Toc14107"/>
      <w:bookmarkStart w:id="1252" w:name="_Toc201287626"/>
      <w:bookmarkStart w:id="1253" w:name="_Toc13104"/>
    </w:p>
    <w:p>
      <w:pPr>
        <w:pStyle w:val="2"/>
        <w:spacing w:line="360" w:lineRule="auto"/>
        <w:jc w:val="center"/>
        <w:rPr>
          <w:rFonts w:ascii="宋体" w:hAnsi="宋体" w:cs="宋体"/>
          <w:color w:val="000000"/>
          <w:szCs w:val="32"/>
        </w:rPr>
      </w:pPr>
      <w:r>
        <w:rPr>
          <w:rFonts w:hint="eastAsia" w:ascii="宋体" w:hAnsi="宋体" w:cs="宋体"/>
          <w:color w:val="000000"/>
          <w:szCs w:val="32"/>
        </w:rPr>
        <w:t>第五</w:t>
      </w:r>
      <w:bookmarkEnd w:id="1251"/>
      <w:bookmarkEnd w:id="1252"/>
      <w:bookmarkEnd w:id="1253"/>
      <w:r>
        <w:rPr>
          <w:rFonts w:hint="eastAsia" w:ascii="宋体" w:hAnsi="宋体" w:cs="宋体"/>
          <w:color w:val="000000"/>
          <w:szCs w:val="32"/>
        </w:rPr>
        <w:t>部分  工程量清单</w:t>
      </w: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color w:val="000000"/>
          <w:kern w:val="0"/>
          <w:sz w:val="32"/>
          <w:szCs w:val="32"/>
        </w:rPr>
      </w:pPr>
      <w:r>
        <w:rPr>
          <w:rFonts w:hint="eastAsia" w:ascii="宋体" w:hAnsi="宋体" w:cs="宋体"/>
          <w:b/>
          <w:bCs/>
          <w:color w:val="000000"/>
          <w:kern w:val="0"/>
          <w:sz w:val="28"/>
          <w:szCs w:val="28"/>
        </w:rPr>
        <w:t>后 附</w:t>
      </w:r>
      <w:r>
        <w:rPr>
          <w:rFonts w:hint="eastAsia" w:ascii="宋体" w:hAnsi="宋体" w:cs="宋体"/>
          <w:color w:val="000000"/>
          <w:kern w:val="0"/>
          <w:sz w:val="32"/>
          <w:szCs w:val="32"/>
        </w:rPr>
        <w:br w:type="page"/>
      </w:r>
    </w:p>
    <w:p>
      <w:pPr>
        <w:pStyle w:val="2"/>
        <w:spacing w:line="360" w:lineRule="auto"/>
        <w:jc w:val="center"/>
        <w:rPr>
          <w:rFonts w:ascii="宋体" w:hAnsi="宋体"/>
          <w:color w:val="000000"/>
          <w:szCs w:val="32"/>
        </w:rPr>
      </w:pPr>
      <w:bookmarkStart w:id="1254" w:name="_Toc415209328"/>
      <w:bookmarkStart w:id="1255" w:name="_Toc201287629"/>
      <w:bookmarkStart w:id="1256" w:name="_Toc20029"/>
      <w:r>
        <w:rPr>
          <w:rFonts w:hint="eastAsia" w:ascii="宋体" w:hAnsi="宋体"/>
          <w:color w:val="000000"/>
          <w:szCs w:val="32"/>
        </w:rPr>
        <w:t>第六部分技术标准和要求</w:t>
      </w:r>
      <w:bookmarkEnd w:id="1254"/>
      <w:bookmarkEnd w:id="1255"/>
      <w:bookmarkEnd w:id="1256"/>
    </w:p>
    <w:p>
      <w:pPr>
        <w:pStyle w:val="3"/>
        <w:spacing w:before="120" w:after="120" w:line="360" w:lineRule="auto"/>
        <w:rPr>
          <w:rFonts w:ascii="宋体" w:hAnsi="宋体" w:eastAsia="宋体" w:cs="TimesNewRomanPSMT"/>
          <w:color w:val="000000"/>
          <w:kern w:val="0"/>
          <w:sz w:val="28"/>
          <w:szCs w:val="28"/>
        </w:rPr>
      </w:pPr>
      <w:bookmarkStart w:id="1257" w:name="_Toc415209329"/>
      <w:bookmarkStart w:id="1258" w:name="_Toc30802"/>
      <w:bookmarkStart w:id="1259" w:name="_Toc194999248"/>
      <w:bookmarkStart w:id="1260" w:name="_Toc201287630"/>
      <w:r>
        <w:rPr>
          <w:rFonts w:hint="eastAsia" w:ascii="宋体" w:hAnsi="宋体" w:eastAsia="宋体" w:cs="TimesNewRomanPSMT"/>
          <w:color w:val="000000"/>
          <w:kern w:val="0"/>
          <w:sz w:val="28"/>
          <w:szCs w:val="28"/>
        </w:rPr>
        <w:t>1.工程建设条件</w:t>
      </w:r>
      <w:bookmarkEnd w:id="1257"/>
      <w:bookmarkEnd w:id="1258"/>
      <w:bookmarkEnd w:id="1259"/>
      <w:bookmarkEnd w:id="1260"/>
    </w:p>
    <w:p>
      <w:pPr>
        <w:spacing w:line="360" w:lineRule="auto"/>
        <w:ind w:firstLine="480" w:firstLineChars="200"/>
        <w:rPr>
          <w:rFonts w:ascii="宋体" w:hAnsi="宋体"/>
          <w:color w:val="000000"/>
          <w:sz w:val="24"/>
        </w:rPr>
      </w:pPr>
      <w:r>
        <w:rPr>
          <w:rFonts w:hint="eastAsia" w:ascii="宋体" w:hAnsi="宋体"/>
          <w:color w:val="000000"/>
          <w:sz w:val="24"/>
        </w:rPr>
        <w:t>1、现场施工条件：现场已具备施工条件。</w:t>
      </w:r>
    </w:p>
    <w:p>
      <w:pPr>
        <w:pStyle w:val="3"/>
        <w:spacing w:before="120" w:after="120" w:line="360" w:lineRule="auto"/>
        <w:rPr>
          <w:rFonts w:ascii="宋体" w:hAnsi="宋体" w:eastAsia="宋体" w:cs="TimesNewRomanPSMT"/>
          <w:color w:val="000000"/>
          <w:kern w:val="0"/>
          <w:sz w:val="28"/>
          <w:szCs w:val="28"/>
        </w:rPr>
      </w:pPr>
      <w:bookmarkStart w:id="1261" w:name="_Toc415209330"/>
      <w:bookmarkStart w:id="1262" w:name="_Toc20805"/>
      <w:r>
        <w:rPr>
          <w:rFonts w:hint="eastAsia" w:ascii="宋体" w:hAnsi="宋体" w:eastAsia="宋体" w:cs="TimesNewRomanPSMT"/>
          <w:color w:val="000000"/>
          <w:kern w:val="0"/>
          <w:sz w:val="28"/>
          <w:szCs w:val="28"/>
        </w:rPr>
        <w:t>2、基本要求</w:t>
      </w:r>
      <w:bookmarkEnd w:id="1261"/>
      <w:bookmarkEnd w:id="1262"/>
    </w:p>
    <w:p>
      <w:pPr>
        <w:spacing w:line="360" w:lineRule="auto"/>
        <w:ind w:firstLine="480" w:firstLineChars="200"/>
        <w:rPr>
          <w:rFonts w:ascii="宋体" w:hAnsi="宋体"/>
          <w:color w:val="000000"/>
          <w:sz w:val="24"/>
        </w:rPr>
      </w:pPr>
      <w:r>
        <w:rPr>
          <w:rFonts w:hint="eastAsia" w:ascii="宋体" w:hAnsi="宋体"/>
          <w:color w:val="000000"/>
          <w:sz w:val="24"/>
        </w:rPr>
        <w:t>2.1本工程项目管理目标：</w:t>
      </w:r>
    </w:p>
    <w:p>
      <w:pPr>
        <w:spacing w:line="360" w:lineRule="auto"/>
        <w:ind w:firstLine="480" w:firstLineChars="200"/>
        <w:rPr>
          <w:rFonts w:ascii="宋体" w:hAnsi="宋体"/>
          <w:color w:val="000000"/>
          <w:sz w:val="24"/>
        </w:rPr>
      </w:pPr>
      <w:r>
        <w:rPr>
          <w:rFonts w:hint="eastAsia" w:ascii="宋体" w:hAnsi="宋体"/>
          <w:color w:val="000000"/>
          <w:sz w:val="24"/>
        </w:rPr>
        <w:t>2.1.1质量：合格；</w:t>
      </w:r>
    </w:p>
    <w:p>
      <w:pPr>
        <w:spacing w:line="360" w:lineRule="auto"/>
        <w:ind w:firstLine="480" w:firstLineChars="200"/>
        <w:rPr>
          <w:rFonts w:ascii="宋体" w:hAnsi="宋体"/>
          <w:color w:val="000000"/>
          <w:sz w:val="24"/>
        </w:rPr>
      </w:pPr>
      <w:r>
        <w:rPr>
          <w:rFonts w:hint="eastAsia" w:ascii="宋体" w:hAnsi="宋体"/>
          <w:color w:val="000000"/>
          <w:sz w:val="24"/>
        </w:rPr>
        <w:t>2.1.2施工工期：同供应商须知前附表；</w:t>
      </w:r>
    </w:p>
    <w:p>
      <w:pPr>
        <w:spacing w:line="360" w:lineRule="auto"/>
        <w:ind w:firstLine="480" w:firstLineChars="200"/>
        <w:rPr>
          <w:rFonts w:ascii="宋体" w:hAnsi="宋体"/>
          <w:color w:val="000000"/>
          <w:sz w:val="24"/>
        </w:rPr>
      </w:pPr>
      <w:r>
        <w:rPr>
          <w:rFonts w:hint="eastAsia" w:ascii="宋体" w:hAnsi="宋体"/>
          <w:color w:val="000000"/>
          <w:sz w:val="24"/>
        </w:rPr>
        <w:t>2.1.3施工现场应做好安全生产及文明施工。</w:t>
      </w:r>
    </w:p>
    <w:p>
      <w:pPr>
        <w:spacing w:line="360" w:lineRule="auto"/>
        <w:ind w:firstLine="480" w:firstLineChars="200"/>
        <w:rPr>
          <w:rFonts w:ascii="宋体" w:hAnsi="宋体"/>
          <w:color w:val="000000"/>
          <w:sz w:val="24"/>
        </w:rPr>
      </w:pPr>
      <w:r>
        <w:rPr>
          <w:rFonts w:hint="eastAsia" w:ascii="宋体" w:hAnsi="宋体"/>
          <w:color w:val="000000"/>
          <w:sz w:val="24"/>
        </w:rPr>
        <w:t>2.2承包人必须按照本工程的施工图纸及国家现行施工验收规范、质量检验评定标准组织施工。建立和健全质量保证体系，以承包人主体行为规范和施工人员的工作质量确保施工质量。</w:t>
      </w:r>
    </w:p>
    <w:p>
      <w:pPr>
        <w:spacing w:line="360" w:lineRule="auto"/>
        <w:ind w:firstLine="480" w:firstLineChars="200"/>
        <w:rPr>
          <w:rFonts w:ascii="宋体" w:hAnsi="宋体"/>
          <w:color w:val="000000"/>
          <w:sz w:val="24"/>
        </w:rPr>
      </w:pPr>
      <w:r>
        <w:rPr>
          <w:rFonts w:hint="eastAsia" w:ascii="宋体" w:hAnsi="宋体"/>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360" w:lineRule="auto"/>
        <w:ind w:firstLine="480" w:firstLineChars="200"/>
        <w:rPr>
          <w:rFonts w:ascii="宋体" w:hAnsi="宋体"/>
          <w:color w:val="000000"/>
          <w:sz w:val="24"/>
        </w:rPr>
      </w:pPr>
      <w:r>
        <w:rPr>
          <w:rFonts w:hint="eastAsia" w:ascii="宋体" w:hAnsi="宋体"/>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pPr>
        <w:spacing w:line="360" w:lineRule="auto"/>
        <w:ind w:firstLine="480" w:firstLineChars="200"/>
        <w:rPr>
          <w:rFonts w:ascii="宋体" w:hAnsi="宋体"/>
          <w:color w:val="000000"/>
          <w:sz w:val="24"/>
        </w:rPr>
      </w:pPr>
      <w:r>
        <w:rPr>
          <w:rFonts w:hint="eastAsia" w:ascii="宋体" w:hAnsi="宋体"/>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360" w:lineRule="auto"/>
        <w:ind w:firstLine="480" w:firstLineChars="200"/>
        <w:rPr>
          <w:rFonts w:ascii="宋体" w:hAnsi="宋体"/>
          <w:color w:val="000000"/>
          <w:sz w:val="24"/>
        </w:rPr>
      </w:pPr>
      <w:r>
        <w:rPr>
          <w:rFonts w:hint="eastAsia" w:ascii="宋体" w:hAnsi="宋体"/>
          <w:color w:val="000000"/>
          <w:sz w:val="24"/>
        </w:rPr>
        <w:t>2.6承包人必须编制切实可行的施工进度计划，以保证施工连续均衡、有节奏地进行，合理使用人力、物力和财力，确保工程按期完成。</w:t>
      </w:r>
    </w:p>
    <w:p>
      <w:pPr>
        <w:spacing w:line="360" w:lineRule="auto"/>
        <w:ind w:firstLine="480" w:firstLineChars="200"/>
        <w:rPr>
          <w:rFonts w:ascii="宋体" w:hAnsi="宋体"/>
          <w:color w:val="000000"/>
          <w:sz w:val="24"/>
        </w:rPr>
      </w:pPr>
      <w:r>
        <w:rPr>
          <w:rFonts w:hint="eastAsia" w:ascii="宋体" w:hAnsi="宋体"/>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pPr>
        <w:spacing w:line="360" w:lineRule="auto"/>
        <w:ind w:firstLine="490"/>
        <w:rPr>
          <w:rFonts w:ascii="宋体" w:hAnsi="宋体"/>
          <w:color w:val="000000"/>
          <w:sz w:val="24"/>
        </w:rPr>
      </w:pPr>
      <w:r>
        <w:rPr>
          <w:rFonts w:hint="eastAsia" w:ascii="宋体" w:hAnsi="宋体"/>
          <w:color w:val="000000"/>
          <w:sz w:val="24"/>
        </w:rPr>
        <w:t>2.8承包人在质量保修期内，应按照有关法律、法规的管理规定和双方在合同中的约定，承担本工程质量保修责任。</w:t>
      </w:r>
    </w:p>
    <w:p>
      <w:pPr>
        <w:pStyle w:val="3"/>
        <w:spacing w:before="120" w:after="120" w:line="360" w:lineRule="auto"/>
        <w:rPr>
          <w:rFonts w:ascii="宋体" w:hAnsi="宋体" w:eastAsia="宋体" w:cs="TimesNewRomanPSMT"/>
          <w:color w:val="000000"/>
          <w:kern w:val="0"/>
          <w:sz w:val="28"/>
          <w:szCs w:val="28"/>
        </w:rPr>
      </w:pPr>
      <w:bookmarkStart w:id="1263" w:name="_Toc22983"/>
      <w:bookmarkStart w:id="1264" w:name="_Toc389205460"/>
      <w:bookmarkStart w:id="1265" w:name="_Toc415209331"/>
      <w:bookmarkStart w:id="1266" w:name="_Toc194999250"/>
      <w:bookmarkStart w:id="1267" w:name="_Toc201287632"/>
      <w:bookmarkStart w:id="1268" w:name="_Toc471460794"/>
      <w:r>
        <w:rPr>
          <w:rFonts w:hint="eastAsia" w:ascii="宋体" w:hAnsi="宋体" w:eastAsia="宋体" w:cs="TimesNewRomanPSMT"/>
          <w:color w:val="000000"/>
          <w:kern w:val="0"/>
          <w:sz w:val="28"/>
          <w:szCs w:val="28"/>
        </w:rPr>
        <w:t>3.工程建设应执行的技术规范</w:t>
      </w:r>
      <w:bookmarkEnd w:id="1263"/>
      <w:bookmarkEnd w:id="1264"/>
      <w:bookmarkEnd w:id="1265"/>
      <w:bookmarkEnd w:id="1266"/>
      <w:bookmarkEnd w:id="1267"/>
    </w:p>
    <w:p>
      <w:pPr>
        <w:spacing w:line="360" w:lineRule="auto"/>
        <w:ind w:firstLine="480" w:firstLineChars="200"/>
        <w:rPr>
          <w:rFonts w:ascii="宋体" w:hAnsi="宋体"/>
          <w:color w:val="000000"/>
          <w:sz w:val="24"/>
        </w:rPr>
      </w:pPr>
      <w:r>
        <w:rPr>
          <w:rFonts w:hint="eastAsia" w:ascii="宋体" w:hAnsi="宋体"/>
          <w:color w:val="000000"/>
          <w:sz w:val="24"/>
        </w:rPr>
        <w:t>本工程在施工过程中必须严格执行国家、行业的现行有关各专业工程施工质量验收规范及验收统一标准。</w:t>
      </w:r>
    </w:p>
    <w:bookmarkEnd w:id="1268"/>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pStyle w:val="2"/>
        <w:spacing w:line="360" w:lineRule="auto"/>
        <w:jc w:val="center"/>
        <w:rPr>
          <w:rFonts w:ascii="宋体" w:hAnsi="宋体" w:cs="宋体"/>
          <w:color w:val="000000"/>
          <w:szCs w:val="32"/>
        </w:rPr>
      </w:pPr>
      <w:bookmarkStart w:id="1269" w:name="_Toc201287634"/>
      <w:bookmarkStart w:id="1270" w:name="_Toc17841"/>
      <w:bookmarkStart w:id="1271" w:name="_Toc29265"/>
      <w:r>
        <w:rPr>
          <w:rFonts w:hint="eastAsia" w:ascii="宋体" w:hAnsi="宋体" w:cs="宋体"/>
          <w:color w:val="000000"/>
          <w:szCs w:val="32"/>
        </w:rPr>
        <w:t>第七部分 竞争性磋商响应文件格式</w:t>
      </w:r>
      <w:bookmarkEnd w:id="1269"/>
      <w:bookmarkEnd w:id="1270"/>
      <w:bookmarkEnd w:id="1271"/>
    </w:p>
    <w:p>
      <w:pPr>
        <w:spacing w:line="360" w:lineRule="auto"/>
        <w:ind w:firstLine="1124" w:firstLineChars="400"/>
        <w:rPr>
          <w:b/>
          <w:bCs/>
          <w:sz w:val="28"/>
          <w:szCs w:val="28"/>
        </w:rPr>
      </w:pPr>
      <w:r>
        <w:rPr>
          <w:rFonts w:hint="eastAsia"/>
          <w:b/>
          <w:bCs/>
          <w:sz w:val="28"/>
          <w:szCs w:val="28"/>
        </w:rPr>
        <w:t>一、响应文件封面</w:t>
      </w:r>
    </w:p>
    <w:p>
      <w:pPr>
        <w:autoSpaceDE w:val="0"/>
        <w:autoSpaceDN w:val="0"/>
        <w:adjustRightInd w:val="0"/>
        <w:spacing w:line="360" w:lineRule="auto"/>
        <w:jc w:val="left"/>
        <w:rPr>
          <w:rFonts w:ascii="宋体" w:hAnsi="宋体" w:cs="宋体"/>
          <w:color w:val="000000"/>
          <w:kern w:val="0"/>
          <w:szCs w:val="28"/>
        </w:rPr>
      </w:pPr>
    </w:p>
    <w:p>
      <w:pPr>
        <w:autoSpaceDE w:val="0"/>
        <w:autoSpaceDN w:val="0"/>
        <w:adjustRightInd w:val="0"/>
        <w:spacing w:line="360" w:lineRule="auto"/>
        <w:jc w:val="left"/>
        <w:rPr>
          <w:rFonts w:ascii="宋体" w:hAnsi="宋体" w:cs="宋体"/>
          <w:color w:val="000000"/>
          <w:kern w:val="0"/>
          <w:sz w:val="44"/>
          <w:szCs w:val="44"/>
        </w:rPr>
      </w:pPr>
    </w:p>
    <w:p>
      <w:pPr>
        <w:spacing w:line="360" w:lineRule="auto"/>
        <w:ind w:firstLine="2364" w:firstLineChars="327"/>
        <w:rPr>
          <w:rFonts w:ascii="宋体"/>
          <w:b/>
          <w:bCs/>
          <w:sz w:val="72"/>
          <w:szCs w:val="72"/>
        </w:rPr>
      </w:pPr>
      <w:r>
        <w:rPr>
          <w:rFonts w:hint="eastAsia" w:ascii="宋体" w:hAnsi="宋体" w:cs="宋体"/>
          <w:b/>
          <w:bCs/>
          <w:sz w:val="72"/>
          <w:szCs w:val="72"/>
        </w:rPr>
        <w:t>响应文件</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r>
        <w:rPr>
          <w:rFonts w:hint="eastAsia" w:ascii="宋体" w:hAnsi="宋体" w:cs="宋体"/>
          <w:b/>
          <w:bCs/>
          <w:sz w:val="36"/>
          <w:szCs w:val="36"/>
        </w:rPr>
        <w:t>采购项目编号：青海恒诚竞磋（工程）2021-009号</w:t>
      </w:r>
    </w:p>
    <w:p>
      <w:pPr>
        <w:adjustRightInd w:val="0"/>
        <w:spacing w:line="360" w:lineRule="auto"/>
        <w:ind w:left="2530" w:hanging="2530" w:hangingChars="700"/>
        <w:textAlignment w:val="baseline"/>
        <w:rPr>
          <w:rFonts w:hint="eastAsia" w:ascii="宋体" w:eastAsia="宋体"/>
          <w:b/>
          <w:bCs/>
          <w:sz w:val="36"/>
          <w:szCs w:val="36"/>
          <w:lang w:eastAsia="zh-CN"/>
        </w:rPr>
      </w:pPr>
      <w:r>
        <w:rPr>
          <w:rFonts w:hint="eastAsia" w:ascii="宋体" w:hAnsi="宋体" w:cs="宋体"/>
          <w:b/>
          <w:bCs/>
          <w:sz w:val="36"/>
          <w:szCs w:val="36"/>
        </w:rPr>
        <w:t>采购项目名称：</w:t>
      </w:r>
      <w:r>
        <w:rPr>
          <w:rFonts w:hint="eastAsia" w:ascii="宋体" w:hAnsi="宋体" w:cs="宋体"/>
          <w:b/>
          <w:bCs/>
          <w:sz w:val="36"/>
          <w:szCs w:val="36"/>
          <w:lang w:eastAsia="zh-CN"/>
        </w:rPr>
        <w:t>宏觉寺街街景整治项目</w:t>
      </w:r>
    </w:p>
    <w:p>
      <w:pPr>
        <w:adjustRightInd w:val="0"/>
        <w:spacing w:line="360" w:lineRule="auto"/>
        <w:textAlignment w:val="baseline"/>
        <w:rPr>
          <w:rFonts w:ascii="宋体" w:hAnsi="宋体" w:cs="宋体"/>
          <w:b/>
          <w:bCs/>
          <w:sz w:val="36"/>
          <w:szCs w:val="36"/>
        </w:rPr>
      </w:pPr>
      <w:r>
        <w:rPr>
          <w:rFonts w:hint="eastAsia" w:ascii="宋体" w:hAnsi="宋体" w:cs="宋体"/>
          <w:b/>
          <w:bCs/>
          <w:sz w:val="36"/>
          <w:szCs w:val="36"/>
        </w:rPr>
        <w:t>供应商名称：</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spacing w:line="360" w:lineRule="auto"/>
        <w:ind w:firstLine="643"/>
        <w:jc w:val="center"/>
        <w:rPr>
          <w:rFonts w:ascii="宋体"/>
          <w:b/>
          <w:bCs/>
          <w:sz w:val="32"/>
          <w:szCs w:val="32"/>
        </w:rPr>
      </w:pPr>
      <w:r>
        <w:rPr>
          <w:rFonts w:hint="eastAsia" w:ascii="宋体" w:hAnsi="宋体" w:cs="宋体"/>
          <w:b/>
          <w:bCs/>
          <w:sz w:val="32"/>
          <w:szCs w:val="32"/>
        </w:rPr>
        <w:t>供应商：（公章）</w:t>
      </w:r>
    </w:p>
    <w:p>
      <w:pPr>
        <w:spacing w:line="360" w:lineRule="auto"/>
        <w:ind w:firstLine="643"/>
        <w:jc w:val="center"/>
        <w:rPr>
          <w:rFonts w:ascii="宋体"/>
          <w:b/>
          <w:bCs/>
          <w:sz w:val="32"/>
          <w:szCs w:val="32"/>
        </w:rPr>
      </w:pPr>
      <w:r>
        <w:rPr>
          <w:rFonts w:hint="eastAsia" w:ascii="宋体" w:hAnsi="宋体" w:cs="宋体"/>
          <w:b/>
          <w:bCs/>
          <w:sz w:val="32"/>
          <w:szCs w:val="32"/>
        </w:rPr>
        <w:t>法定代表人或委托代理人：（签字或盖章）</w:t>
      </w:r>
    </w:p>
    <w:p>
      <w:pPr>
        <w:wordWrap w:val="0"/>
        <w:spacing w:line="360" w:lineRule="auto"/>
        <w:jc w:val="center"/>
        <w:rPr>
          <w:rFonts w:ascii="宋体"/>
          <w:b/>
          <w:bCs/>
          <w:sz w:val="32"/>
          <w:szCs w:val="32"/>
        </w:rPr>
      </w:pPr>
    </w:p>
    <w:p>
      <w:pPr>
        <w:wordWrap w:val="0"/>
        <w:spacing w:line="360" w:lineRule="auto"/>
        <w:jc w:val="center"/>
        <w:rPr>
          <w:rFonts w:ascii="宋体" w:hAnsi="宋体" w:cs="宋体"/>
          <w:b/>
          <w:bCs/>
          <w:sz w:val="32"/>
          <w:szCs w:val="32"/>
        </w:rPr>
      </w:pPr>
      <w:r>
        <w:rPr>
          <w:rFonts w:hint="eastAsia" w:ascii="宋体" w:hAnsi="宋体" w:cs="宋体"/>
          <w:b/>
          <w:bCs/>
          <w:sz w:val="32"/>
          <w:szCs w:val="32"/>
        </w:rPr>
        <w:t xml:space="preserve">     年   月   日</w:t>
      </w:r>
    </w:p>
    <w:p>
      <w:pPr>
        <w:autoSpaceDE w:val="0"/>
        <w:autoSpaceDN w:val="0"/>
        <w:adjustRightInd w:val="0"/>
        <w:spacing w:line="360" w:lineRule="auto"/>
        <w:jc w:val="left"/>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Cs w:val="28"/>
        </w:rPr>
      </w:pPr>
      <w:r>
        <w:rPr>
          <w:rFonts w:hint="eastAsia" w:ascii="宋体" w:hAnsi="宋体" w:cs="宋体"/>
          <w:color w:val="000000"/>
          <w:kern w:val="0"/>
          <w:szCs w:val="28"/>
        </w:rPr>
        <w:br w:type="page"/>
      </w:r>
    </w:p>
    <w:p>
      <w:pPr>
        <w:spacing w:line="360" w:lineRule="auto"/>
        <w:ind w:firstLine="1124" w:firstLineChars="400"/>
        <w:rPr>
          <w:b/>
          <w:bCs/>
          <w:sz w:val="28"/>
          <w:szCs w:val="28"/>
          <w:lang w:val="zh-CN"/>
        </w:rPr>
      </w:pPr>
      <w:bookmarkStart w:id="1272" w:name="_Toc476125034"/>
      <w:bookmarkStart w:id="1273" w:name="_Toc505613279"/>
      <w:r>
        <w:rPr>
          <w:rFonts w:hint="eastAsia"/>
          <w:b/>
          <w:bCs/>
          <w:sz w:val="28"/>
          <w:szCs w:val="28"/>
          <w:lang w:val="zh-CN"/>
        </w:rPr>
        <w:t>二、目录</w:t>
      </w:r>
      <w:bookmarkEnd w:id="1272"/>
      <w:bookmarkEnd w:id="1273"/>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（1）响应文件封面…………………</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（2）</w:t>
      </w:r>
      <w:r>
        <w:rPr>
          <w:rFonts w:hint="eastAsia" w:ascii="宋体" w:hAnsi="Cambria" w:cs="宋体"/>
          <w:sz w:val="24"/>
        </w:rPr>
        <w:t>目录</w:t>
      </w:r>
      <w:r>
        <w:rPr>
          <w:rFonts w:hint="eastAsia" w:ascii="宋体" w:hAnsi="Cambria" w:cs="宋体"/>
          <w:sz w:val="24"/>
          <w:lang w:val="zh-CN"/>
        </w:rPr>
        <w:t>…………………</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3</w:t>
      </w:r>
      <w:r>
        <w:rPr>
          <w:rFonts w:hint="eastAsia" w:ascii="宋体" w:hAnsi="Cambria" w:cs="宋体"/>
          <w:sz w:val="24"/>
          <w:lang w:val="zh-CN"/>
        </w:rPr>
        <w:t>）磋商函…………………</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4</w:t>
      </w:r>
      <w:r>
        <w:rPr>
          <w:rFonts w:hint="eastAsia" w:ascii="宋体" w:hAnsi="Cambria" w:cs="宋体"/>
          <w:sz w:val="24"/>
          <w:lang w:val="zh-CN"/>
        </w:rPr>
        <w:t>）报价一览表…………………</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5</w:t>
      </w:r>
      <w:r>
        <w:rPr>
          <w:rFonts w:hint="eastAsia" w:ascii="宋体" w:hAnsi="Cambria" w:cs="宋体"/>
          <w:sz w:val="24"/>
          <w:lang w:val="zh-CN"/>
        </w:rPr>
        <w:t>）法定代表人证明书…………………</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6</w:t>
      </w:r>
      <w:r>
        <w:rPr>
          <w:rFonts w:hint="eastAsia" w:ascii="宋体" w:hAnsi="Cambria" w:cs="宋体"/>
          <w:sz w:val="24"/>
          <w:lang w:val="zh-CN"/>
        </w:rPr>
        <w:t>）</w:t>
      </w:r>
      <w:r>
        <w:rPr>
          <w:rFonts w:hint="eastAsia" w:ascii="宋体" w:hAnsi="Cambria" w:cs="宋体"/>
          <w:sz w:val="24"/>
        </w:rPr>
        <w:t>授权委托</w:t>
      </w:r>
      <w:r>
        <w:rPr>
          <w:rFonts w:hint="eastAsia" w:ascii="宋体" w:hAnsi="Cambria" w:cs="宋体"/>
          <w:sz w:val="24"/>
          <w:lang w:val="zh-CN"/>
        </w:rPr>
        <w:t>书…………………………………………………所在页码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7</w:t>
      </w:r>
      <w:r>
        <w:rPr>
          <w:rFonts w:hint="eastAsia" w:ascii="宋体" w:hAnsi="Cambria" w:cs="宋体"/>
          <w:sz w:val="24"/>
          <w:lang w:val="zh-CN"/>
        </w:rPr>
        <w:t>）磋商保证金证明……………………………………………所在页码</w:t>
      </w:r>
    </w:p>
    <w:p>
      <w:pPr>
        <w:pStyle w:val="4"/>
        <w:spacing w:before="0" w:after="0" w:line="360" w:lineRule="auto"/>
        <w:jc w:val="left"/>
        <w:rPr>
          <w:rFonts w:ascii="宋体" w:hAnsi="Cambria" w:cs="宋体"/>
          <w:b w:val="0"/>
          <w:bCs w:val="0"/>
          <w:sz w:val="24"/>
          <w:lang w:val="zh-CN"/>
        </w:rPr>
      </w:pPr>
      <w:r>
        <w:rPr>
          <w:rFonts w:hint="eastAsia" w:ascii="宋体" w:hAnsi="Cambria" w:cs="宋体"/>
          <w:b w:val="0"/>
          <w:bCs w:val="0"/>
          <w:sz w:val="24"/>
          <w:szCs w:val="24"/>
          <w:lang w:val="zh-CN"/>
        </w:rPr>
        <w:t>（</w:t>
      </w:r>
      <w:r>
        <w:rPr>
          <w:rFonts w:hint="eastAsia" w:ascii="宋体" w:hAnsi="Cambria" w:cs="宋体"/>
          <w:b w:val="0"/>
          <w:bCs w:val="0"/>
          <w:sz w:val="24"/>
          <w:szCs w:val="24"/>
        </w:rPr>
        <w:t>8</w:t>
      </w:r>
      <w:r>
        <w:rPr>
          <w:rFonts w:hint="eastAsia" w:ascii="宋体" w:hAnsi="Cambria" w:cs="宋体"/>
          <w:b w:val="0"/>
          <w:bCs w:val="0"/>
          <w:sz w:val="24"/>
          <w:szCs w:val="24"/>
          <w:lang w:val="zh-CN"/>
        </w:rPr>
        <w:t>）</w:t>
      </w:r>
      <w:r>
        <w:rPr>
          <w:rFonts w:hint="eastAsia" w:ascii="宋体" w:hAnsi="Cambria" w:cs="宋体"/>
          <w:b w:val="0"/>
          <w:bCs w:val="0"/>
          <w:sz w:val="24"/>
          <w:szCs w:val="24"/>
        </w:rPr>
        <w:t>已标价工程量清单部分格式</w:t>
      </w:r>
      <w:r>
        <w:rPr>
          <w:rFonts w:hint="eastAsia" w:ascii="宋体" w:hAnsi="Cambria" w:cs="宋体"/>
          <w:b w:val="0"/>
          <w:bCs w:val="0"/>
          <w:sz w:val="24"/>
          <w:lang w:val="zh-CN"/>
        </w:rPr>
        <w:t>…………</w:t>
      </w:r>
      <w:r>
        <w:rPr>
          <w:rFonts w:hint="eastAsia" w:ascii="宋体" w:hAnsi="Cambria" w:cs="宋体"/>
          <w:sz w:val="24"/>
          <w:lang w:val="zh-CN"/>
        </w:rPr>
        <w:t>………</w:t>
      </w:r>
      <w:r>
        <w:rPr>
          <w:rFonts w:hint="eastAsia" w:ascii="宋体" w:hAnsi="Cambria" w:cs="宋体"/>
          <w:b w:val="0"/>
          <w:bCs w:val="0"/>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（9）施工组织设计………………………………………………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（10）项目管理机构………………………………………………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（11）拟分包项目情况表…………………………………………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）资格审查资料……………………………………………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（13）其他材料………………………………………………… 所在页码</w:t>
      </w:r>
    </w:p>
    <w:p>
      <w:pPr>
        <w:spacing w:line="360" w:lineRule="auto"/>
        <w:ind w:firstLine="420"/>
        <w:rPr>
          <w:lang w:val="zh-CN"/>
        </w:rPr>
      </w:pPr>
    </w:p>
    <w:p>
      <w:pPr>
        <w:spacing w:line="360" w:lineRule="auto"/>
        <w:ind w:firstLine="422"/>
        <w:rPr>
          <w:b/>
          <w:lang w:val="zh-CN"/>
        </w:rPr>
      </w:pPr>
      <w:r>
        <w:rPr>
          <w:rFonts w:hint="eastAsia"/>
          <w:b/>
          <w:lang w:val="zh-CN"/>
        </w:rPr>
        <w:t xml:space="preserve">        注：此目录根据实际情况编写</w:t>
      </w:r>
    </w:p>
    <w:p>
      <w:pPr>
        <w:autoSpaceDE w:val="0"/>
        <w:autoSpaceDN w:val="0"/>
        <w:adjustRightInd w:val="0"/>
        <w:spacing w:line="360" w:lineRule="auto"/>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 w:val="18"/>
          <w:szCs w:val="18"/>
        </w:rPr>
      </w:pPr>
    </w:p>
    <w:p>
      <w:pPr>
        <w:pStyle w:val="37"/>
        <w:spacing w:line="360" w:lineRule="auto"/>
        <w:jc w:val="left"/>
        <w:rPr>
          <w:rFonts w:ascii="宋体" w:hAnsi="宋体" w:cs="宋体"/>
          <w:sz w:val="28"/>
          <w:szCs w:val="28"/>
        </w:rPr>
      </w:pPr>
      <w:r>
        <w:rPr>
          <w:rFonts w:hint="eastAsia" w:ascii="宋体" w:hAnsi="宋体" w:cs="宋体"/>
          <w:color w:val="000000"/>
          <w:szCs w:val="28"/>
        </w:rPr>
        <w:br w:type="page"/>
      </w:r>
      <w:bookmarkStart w:id="1274" w:name="_Toc30269"/>
      <w:bookmarkStart w:id="1275" w:name="_Toc376936768"/>
      <w:bookmarkStart w:id="1276" w:name="_Toc505613280"/>
      <w:bookmarkStart w:id="1277" w:name="_Toc17238"/>
      <w:bookmarkStart w:id="1278" w:name="_Toc325726037"/>
      <w:bookmarkStart w:id="1279" w:name="_Toc464136648"/>
      <w:bookmarkStart w:id="1280" w:name="_Toc415209337"/>
      <w:bookmarkStart w:id="1281" w:name="_Toc201287638"/>
      <w:r>
        <w:rPr>
          <w:rFonts w:hint="eastAsia" w:ascii="宋体" w:hAnsi="宋体" w:cs="宋体"/>
          <w:color w:val="000000"/>
          <w:sz w:val="28"/>
          <w:szCs w:val="28"/>
        </w:rPr>
        <w:t>三、</w:t>
      </w:r>
      <w:r>
        <w:rPr>
          <w:rFonts w:hint="eastAsia" w:ascii="宋体" w:hAnsi="宋体" w:cs="宋体"/>
          <w:sz w:val="28"/>
          <w:szCs w:val="28"/>
        </w:rPr>
        <w:t>磋商函</w:t>
      </w:r>
      <w:bookmarkEnd w:id="1274"/>
      <w:bookmarkEnd w:id="1275"/>
      <w:bookmarkEnd w:id="1276"/>
      <w:bookmarkEnd w:id="1277"/>
      <w:bookmarkEnd w:id="1278"/>
      <w:bookmarkEnd w:id="1279"/>
    </w:p>
    <w:p>
      <w:pPr>
        <w:spacing w:line="360" w:lineRule="auto"/>
        <w:jc w:val="center"/>
        <w:rPr>
          <w:rFonts w:ascii="宋体"/>
          <w:b/>
          <w:bCs/>
          <w:sz w:val="28"/>
          <w:szCs w:val="28"/>
        </w:rPr>
      </w:pPr>
      <w:r>
        <w:rPr>
          <w:rFonts w:hint="eastAsia" w:ascii="宋体" w:hAnsi="宋体" w:cs="宋体"/>
          <w:b/>
          <w:bCs/>
          <w:sz w:val="28"/>
          <w:szCs w:val="28"/>
        </w:rPr>
        <w:t>磋商函</w:t>
      </w:r>
    </w:p>
    <w:p>
      <w:pPr>
        <w:spacing w:line="360" w:lineRule="auto"/>
        <w:textAlignment w:val="baseline"/>
        <w:rPr>
          <w:rFonts w:ascii="宋体"/>
          <w:b/>
          <w:bCs/>
          <w:sz w:val="28"/>
          <w:szCs w:val="28"/>
        </w:rPr>
      </w:pPr>
      <w:r>
        <w:rPr>
          <w:rFonts w:hint="eastAsia" w:ascii="宋体" w:hAnsi="宋体" w:cs="宋体"/>
          <w:b/>
          <w:bCs/>
          <w:sz w:val="28"/>
          <w:szCs w:val="28"/>
        </w:rPr>
        <w:t>致：青海恒诚工程项目管理有限公司</w:t>
      </w:r>
    </w:p>
    <w:p>
      <w:pPr>
        <w:spacing w:line="360" w:lineRule="auto"/>
        <w:textAlignment w:val="baseline"/>
        <w:rPr>
          <w:rFonts w:ascii="宋体"/>
          <w:sz w:val="24"/>
        </w:rPr>
      </w:pPr>
    </w:p>
    <w:p>
      <w:pPr>
        <w:spacing w:line="360" w:lineRule="auto"/>
        <w:ind w:firstLine="480"/>
        <w:textAlignment w:val="baseline"/>
        <w:rPr>
          <w:rFonts w:ascii="宋体"/>
          <w:sz w:val="24"/>
        </w:rPr>
      </w:pPr>
      <w:r>
        <w:rPr>
          <w:rFonts w:hint="eastAsia" w:ascii="宋体" w:hAnsi="宋体" w:cs="宋体"/>
          <w:sz w:val="24"/>
        </w:rPr>
        <w:t>我们收到青海恒诚竞磋（工程）2021-009磋商文件，经研究，法定代表人（姓名、职务）正式授权（委托代理人姓名、职务） 代表供应商（供应商名称、地址）提交响应文件。</w:t>
      </w:r>
    </w:p>
    <w:p>
      <w:pPr>
        <w:spacing w:line="360" w:lineRule="auto"/>
        <w:textAlignment w:val="baseline"/>
        <w:rPr>
          <w:rFonts w:ascii="宋体"/>
          <w:sz w:val="24"/>
        </w:rPr>
      </w:pPr>
      <w:r>
        <w:rPr>
          <w:rFonts w:hint="eastAsia" w:ascii="宋体" w:hAnsi="宋体" w:cs="宋体"/>
          <w:sz w:val="24"/>
        </w:rPr>
        <w:t>据此函，签字代表宣布同意如下：</w:t>
      </w:r>
    </w:p>
    <w:p>
      <w:pPr>
        <w:spacing w:line="360" w:lineRule="auto"/>
        <w:textAlignment w:val="baseline"/>
        <w:rPr>
          <w:rFonts w:ascii="宋体"/>
          <w:sz w:val="24"/>
        </w:rPr>
      </w:pPr>
      <w:r>
        <w:rPr>
          <w:rFonts w:ascii="宋体" w:hAnsi="宋体" w:cs="宋体"/>
          <w:sz w:val="24"/>
        </w:rPr>
        <w:t>1</w:t>
      </w:r>
      <w:r>
        <w:rPr>
          <w:rFonts w:hint="eastAsia" w:ascii="宋体" w:hAnsi="宋体" w:cs="宋体"/>
          <w:sz w:val="24"/>
        </w:rPr>
        <w:t>、我方已详阅磋商文件的全部内容，包括澄清、修改条款等有关附件，承诺对其完全理解并接受。</w:t>
      </w:r>
    </w:p>
    <w:p>
      <w:pPr>
        <w:spacing w:line="360" w:lineRule="auto"/>
        <w:textAlignment w:val="baseline"/>
        <w:rPr>
          <w:rFonts w:ascii="宋体"/>
          <w:sz w:val="24"/>
        </w:rPr>
      </w:pPr>
      <w:r>
        <w:rPr>
          <w:rFonts w:ascii="宋体" w:hAnsi="宋体" w:cs="宋体"/>
          <w:sz w:val="24"/>
        </w:rPr>
        <w:t>2</w:t>
      </w:r>
      <w:r>
        <w:rPr>
          <w:rFonts w:hint="eastAsia" w:ascii="宋体" w:hAnsi="宋体" w:cs="宋体"/>
          <w:sz w:val="24"/>
        </w:rPr>
        <w:t>、磋商有效期自开标之日起日历内有效。如果在规定的磋商时间后，我方在磋商有效期内撤回投标或成交后不签约的，磋商保证金将被贵方没收。</w:t>
      </w:r>
    </w:p>
    <w:p>
      <w:pPr>
        <w:spacing w:line="360" w:lineRule="auto"/>
        <w:textAlignment w:val="baseline"/>
        <w:rPr>
          <w:rFonts w:ascii="宋体"/>
          <w:sz w:val="24"/>
        </w:rPr>
      </w:pPr>
      <w:r>
        <w:rPr>
          <w:rFonts w:ascii="宋体" w:hAnsi="宋体" w:cs="宋体"/>
          <w:sz w:val="24"/>
        </w:rPr>
        <w:t>3</w:t>
      </w:r>
      <w:r>
        <w:rPr>
          <w:rFonts w:hint="eastAsia" w:ascii="宋体" w:hAnsi="宋体" w:cs="宋体"/>
          <w:sz w:val="24"/>
        </w:rPr>
        <w:t>、我方同意按照贵方要求提供与磋商有关的一切数据或资料，理解并接受贵方制定的磋商办法。</w:t>
      </w:r>
    </w:p>
    <w:p>
      <w:pPr>
        <w:spacing w:line="360" w:lineRule="auto"/>
        <w:textAlignment w:val="baseline"/>
        <w:rPr>
          <w:rFonts w:ascii="宋体"/>
          <w:sz w:val="24"/>
        </w:rPr>
      </w:pPr>
      <w:r>
        <w:rPr>
          <w:rFonts w:ascii="宋体" w:hAnsi="宋体" w:cs="宋体"/>
          <w:sz w:val="24"/>
        </w:rPr>
        <w:t>4</w:t>
      </w:r>
      <w:r>
        <w:rPr>
          <w:rFonts w:hint="eastAsia" w:ascii="宋体" w:hAnsi="宋体" w:cs="宋体"/>
          <w:sz w:val="24"/>
        </w:rPr>
        <w:t>、与本磋商有关的一切正式往来通讯请寄：</w:t>
      </w:r>
    </w:p>
    <w:p>
      <w:pPr>
        <w:spacing w:line="360" w:lineRule="auto"/>
        <w:textAlignment w:val="baseline"/>
        <w:rPr>
          <w:rFonts w:ascii="宋体"/>
          <w:sz w:val="24"/>
        </w:rPr>
      </w:pPr>
      <w:r>
        <w:rPr>
          <w:rFonts w:hint="eastAsia" w:ascii="宋体" w:hAnsi="宋体" w:cs="宋体"/>
          <w:sz w:val="24"/>
        </w:rPr>
        <w:t>地址：</w:t>
      </w:r>
      <w:r>
        <w:rPr>
          <w:rFonts w:ascii="宋体" w:hAnsi="宋体" w:cs="宋体"/>
          <w:sz w:val="24"/>
        </w:rPr>
        <w:t xml:space="preserve">_______________        </w:t>
      </w:r>
      <w:r>
        <w:rPr>
          <w:rFonts w:hint="eastAsia" w:ascii="宋体" w:hAnsi="宋体" w:cs="宋体"/>
          <w:sz w:val="24"/>
        </w:rPr>
        <w:t>邮编：</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电话：</w:t>
      </w:r>
      <w:r>
        <w:rPr>
          <w:rFonts w:ascii="宋体" w:hAnsi="宋体" w:cs="宋体"/>
          <w:sz w:val="24"/>
        </w:rPr>
        <w:t xml:space="preserve">_______________        </w:t>
      </w:r>
      <w:r>
        <w:rPr>
          <w:rFonts w:hint="eastAsia" w:ascii="宋体" w:hAnsi="宋体" w:cs="宋体"/>
          <w:sz w:val="24"/>
        </w:rPr>
        <w:t>传真：</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法定代表人姓名：</w:t>
      </w:r>
      <w:r>
        <w:rPr>
          <w:rFonts w:ascii="宋体" w:hAnsi="宋体" w:cs="宋体"/>
          <w:sz w:val="24"/>
        </w:rPr>
        <w:t xml:space="preserve"> ___________ </w:t>
      </w:r>
      <w:r>
        <w:rPr>
          <w:rFonts w:hint="eastAsia" w:ascii="宋体" w:hAnsi="宋体" w:cs="宋体"/>
          <w:sz w:val="24"/>
        </w:rPr>
        <w:t>职务：</w:t>
      </w:r>
      <w:r>
        <w:rPr>
          <w:rFonts w:ascii="宋体" w:hAnsi="宋体" w:cs="宋体"/>
          <w:sz w:val="24"/>
        </w:rPr>
        <w:t>____________</w:t>
      </w:r>
    </w:p>
    <w:p>
      <w:pPr>
        <w:spacing w:line="360" w:lineRule="auto"/>
        <w:rPr>
          <w:rFonts w:ascii="宋体"/>
          <w:sz w:val="24"/>
        </w:rPr>
      </w:pPr>
    </w:p>
    <w:p>
      <w:pPr>
        <w:spacing w:line="360" w:lineRule="auto"/>
        <w:textAlignment w:val="baseline"/>
        <w:rPr>
          <w:rFonts w:ascii="宋体"/>
          <w:sz w:val="24"/>
        </w:rPr>
      </w:pPr>
    </w:p>
    <w:p>
      <w:pPr>
        <w:spacing w:line="360" w:lineRule="auto"/>
        <w:textAlignment w:val="baseline"/>
        <w:rPr>
          <w:rFonts w:ascii="宋体"/>
          <w:sz w:val="24"/>
        </w:rPr>
      </w:pPr>
    </w:p>
    <w:p>
      <w:pPr>
        <w:spacing w:line="360" w:lineRule="auto"/>
        <w:jc w:val="center"/>
        <w:rPr>
          <w:rFonts w:ascii="宋体"/>
          <w:b/>
          <w:bCs/>
          <w:sz w:val="24"/>
        </w:rPr>
      </w:pPr>
      <w:r>
        <w:rPr>
          <w:rFonts w:hint="eastAsia" w:ascii="宋体" w:hAnsi="宋体" w:cs="宋体"/>
          <w:b/>
          <w:bCs/>
          <w:sz w:val="24"/>
        </w:rPr>
        <w:t>供应商名称：（公章）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wordWrap w:val="0"/>
        <w:spacing w:line="360" w:lineRule="auto"/>
        <w:rPr>
          <w:rFonts w:ascii="宋体"/>
          <w:b/>
          <w:bCs/>
          <w:sz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8"/>
          <w:szCs w:val="28"/>
        </w:rPr>
      </w:pPr>
      <w:r>
        <w:rPr>
          <w:rFonts w:hint="eastAsia" w:ascii="宋体" w:hAnsi="宋体" w:cs="宋体"/>
          <w:sz w:val="28"/>
          <w:szCs w:val="28"/>
        </w:rPr>
        <w:t>四、报价一览表</w:t>
      </w: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报价一览表</w:t>
      </w:r>
      <w:bookmarkEnd w:id="1280"/>
      <w:bookmarkEnd w:id="1281"/>
    </w:p>
    <w:p>
      <w:pPr>
        <w:spacing w:line="360" w:lineRule="auto"/>
        <w:rPr>
          <w:rFonts w:ascii="宋体" w:hAnsi="宋体"/>
          <w:color w:val="000000"/>
        </w:rPr>
      </w:pPr>
      <w:r>
        <w:rPr>
          <w:rFonts w:hint="eastAsia" w:ascii="宋体" w:hAnsi="宋体"/>
          <w:color w:val="000000"/>
          <w:szCs w:val="21"/>
        </w:rPr>
        <w:t>供应商名称</w:t>
      </w:r>
      <w:r>
        <w:rPr>
          <w:rFonts w:hint="eastAsia" w:ascii="宋体" w:hAnsi="宋体"/>
          <w:color w:val="000000"/>
        </w:rPr>
        <w:t>：</w:t>
      </w:r>
    </w:p>
    <w:tbl>
      <w:tblPr>
        <w:tblStyle w:val="39"/>
        <w:tblW w:w="8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5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项目编号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项目名称</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磋商报价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工期</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trPr>
        <w:tc>
          <w:tcPr>
            <w:tcW w:w="8143" w:type="dxa"/>
            <w:gridSpan w:val="2"/>
            <w:vAlign w:val="center"/>
          </w:tcPr>
          <w:p>
            <w:pPr>
              <w:spacing w:line="360" w:lineRule="auto"/>
              <w:jc w:val="left"/>
              <w:rPr>
                <w:rFonts w:ascii="宋体" w:hAnsi="宋体"/>
                <w:color w:val="000000"/>
                <w:szCs w:val="21"/>
              </w:rPr>
            </w:pPr>
            <w:r>
              <w:rPr>
                <w:rFonts w:hint="eastAsia" w:ascii="宋体" w:hAnsi="宋体"/>
                <w:color w:val="000000"/>
                <w:szCs w:val="21"/>
              </w:rPr>
              <w:t>优惠承诺及其他：</w:t>
            </w:r>
          </w:p>
        </w:tc>
      </w:tr>
    </w:tbl>
    <w:p>
      <w:pPr>
        <w:spacing w:line="360" w:lineRule="auto"/>
        <w:ind w:firstLine="3373" w:firstLineChars="1400"/>
        <w:rPr>
          <w:rFonts w:ascii="宋体"/>
          <w:b/>
          <w:bCs/>
          <w:sz w:val="24"/>
        </w:rPr>
      </w:pPr>
      <w:r>
        <w:rPr>
          <w:rFonts w:hint="eastAsia" w:ascii="宋体" w:hAnsi="宋体" w:cs="宋体"/>
          <w:b/>
          <w:bCs/>
          <w:sz w:val="24"/>
        </w:rPr>
        <w:t>供应商名称：（公章）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br w:type="page"/>
      </w:r>
    </w:p>
    <w:p>
      <w:pPr>
        <w:spacing w:line="360" w:lineRule="auto"/>
        <w:rPr>
          <w:rFonts w:ascii="宋体" w:hAnsi="宋体" w:cs="TimesNewRomanPSMT"/>
          <w:b/>
          <w:bCs/>
          <w:color w:val="000000"/>
          <w:kern w:val="0"/>
          <w:sz w:val="24"/>
        </w:rPr>
      </w:pPr>
    </w:p>
    <w:p>
      <w:pPr>
        <w:pStyle w:val="37"/>
        <w:spacing w:line="360" w:lineRule="auto"/>
        <w:jc w:val="left"/>
      </w:pPr>
      <w:r>
        <w:rPr>
          <w:rFonts w:hint="eastAsia" w:ascii="宋体" w:hAnsi="宋体" w:cs="宋体"/>
          <w:sz w:val="28"/>
          <w:szCs w:val="28"/>
        </w:rPr>
        <w:t>五、法定代表人证明书</w:t>
      </w:r>
    </w:p>
    <w:p>
      <w:pPr>
        <w:spacing w:line="360" w:lineRule="auto"/>
        <w:rPr>
          <w:rFonts w:ascii="宋体" w:hAnsi="宋体"/>
          <w:color w:val="000000"/>
          <w:szCs w:val="21"/>
        </w:rPr>
      </w:pPr>
    </w:p>
    <w:p>
      <w:pPr>
        <w:pStyle w:val="3"/>
        <w:spacing w:before="120" w:after="120" w:line="360" w:lineRule="auto"/>
        <w:ind w:firstLine="1687" w:firstLineChars="600"/>
        <w:rPr>
          <w:rFonts w:ascii="宋体" w:hAnsi="宋体" w:eastAsia="宋体" w:cs="宋体"/>
          <w:color w:val="000000"/>
          <w:kern w:val="0"/>
          <w:sz w:val="28"/>
          <w:szCs w:val="28"/>
        </w:rPr>
      </w:pPr>
      <w:bookmarkStart w:id="1282" w:name="_Toc201287639"/>
      <w:bookmarkStart w:id="1283" w:name="_Toc2770"/>
      <w:bookmarkStart w:id="1284" w:name="_Toc19556"/>
      <w:r>
        <w:rPr>
          <w:rFonts w:hint="eastAsia" w:ascii="宋体" w:hAnsi="宋体" w:eastAsia="宋体" w:cs="宋体"/>
          <w:color w:val="000000"/>
          <w:kern w:val="0"/>
          <w:sz w:val="28"/>
          <w:szCs w:val="28"/>
        </w:rPr>
        <w:t>法定代表人身份证明</w:t>
      </w:r>
      <w:bookmarkEnd w:id="1282"/>
      <w:r>
        <w:rPr>
          <w:rFonts w:hint="eastAsia" w:ascii="宋体" w:hAnsi="宋体" w:eastAsia="宋体" w:cs="宋体"/>
          <w:color w:val="000000"/>
          <w:kern w:val="0"/>
          <w:sz w:val="28"/>
          <w:szCs w:val="28"/>
        </w:rPr>
        <w:t>书</w:t>
      </w:r>
      <w:bookmarkEnd w:id="1283"/>
      <w:bookmarkEnd w:id="1284"/>
    </w:p>
    <w:p>
      <w:pPr>
        <w:autoSpaceDE w:val="0"/>
        <w:autoSpaceDN w:val="0"/>
        <w:adjustRightInd w:val="0"/>
        <w:spacing w:line="360" w:lineRule="auto"/>
        <w:jc w:val="left"/>
        <w:rPr>
          <w:rFonts w:ascii="宋体" w:hAnsi="宋体" w:cs="宋体"/>
          <w:color w:val="000000"/>
          <w:kern w:val="0"/>
          <w:szCs w:val="28"/>
        </w:rPr>
      </w:pPr>
    </w:p>
    <w:p>
      <w:pPr>
        <w:autoSpaceDE w:val="0"/>
        <w:autoSpaceDN w:val="0"/>
        <w:spacing w:line="360" w:lineRule="auto"/>
        <w:ind w:firstLine="482"/>
        <w:rPr>
          <w:rFonts w:ascii="宋体" w:hAnsi="宋体" w:cs="宋体"/>
          <w:sz w:val="24"/>
          <w:lang w:val="zh-CN"/>
        </w:rPr>
      </w:pPr>
      <w:r>
        <w:rPr>
          <w:rFonts w:hint="eastAsia" w:ascii="宋体" w:hAnsi="宋体" w:cs="宋体"/>
          <w:b/>
          <w:bCs/>
          <w:sz w:val="24"/>
          <w:lang w:val="zh-CN"/>
        </w:rPr>
        <w:t>致：</w:t>
      </w:r>
      <w:r>
        <w:rPr>
          <w:rFonts w:hint="eastAsia" w:ascii="宋体" w:hAnsi="宋体" w:cs="宋体"/>
          <w:b/>
          <w:bCs/>
          <w:sz w:val="28"/>
          <w:szCs w:val="28"/>
        </w:rPr>
        <w:t>青海恒诚工程项目管理有限公司</w:t>
      </w:r>
    </w:p>
    <w:p>
      <w:pPr>
        <w:autoSpaceDE w:val="0"/>
        <w:autoSpaceDN w:val="0"/>
        <w:spacing w:line="360" w:lineRule="auto"/>
        <w:ind w:firstLine="480"/>
        <w:rPr>
          <w:rFonts w:ascii="宋体" w:hAnsi="宋体" w:cs="宋体"/>
          <w:sz w:val="24"/>
          <w:lang w:val="zh-CN"/>
        </w:rPr>
      </w:pPr>
      <w:r>
        <w:rPr>
          <w:rFonts w:hint="eastAsia" w:ascii="宋体" w:hAnsi="宋体" w:cs="宋体"/>
          <w:sz w:val="24"/>
          <w:u w:val="single"/>
          <w:lang w:val="zh-CN"/>
        </w:rPr>
        <w:t>（法定代表人姓名）</w:t>
      </w:r>
      <w:r>
        <w:rPr>
          <w:rFonts w:hint="eastAsia" w:ascii="宋体" w:hAnsi="宋体" w:cs="宋体"/>
          <w:sz w:val="24"/>
          <w:lang w:val="zh-CN"/>
        </w:rPr>
        <w:t>现任我单位职务，为法定代表人，特此证明。</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法定代表人基本情况：</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性别：   年龄：    民族：</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地址：</w:t>
      </w: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身份证号码：</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附法定代表人第二代身份证双面扫描（或复印）件</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p>
    <w:p>
      <w:pPr>
        <w:spacing w:line="360" w:lineRule="auto"/>
        <w:jc w:val="center"/>
        <w:rPr>
          <w:rFonts w:ascii="宋体"/>
          <w:b/>
          <w:bCs/>
          <w:sz w:val="24"/>
        </w:rPr>
      </w:pPr>
      <w:r>
        <w:rPr>
          <w:rFonts w:hint="eastAsia" w:ascii="宋体" w:hAnsi="宋体" w:cs="宋体"/>
          <w:b/>
          <w:bCs/>
          <w:sz w:val="24"/>
        </w:rPr>
        <w:t>供应商名称：（公章）</w:t>
      </w:r>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b/>
          <w:bCs/>
          <w:sz w:val="24"/>
        </w:rPr>
        <w:t xml:space="preserve">                            年  月  日</w:t>
      </w:r>
    </w:p>
    <w:p>
      <w:pPr>
        <w:pStyle w:val="3"/>
        <w:spacing w:before="120" w:after="120" w:line="360" w:lineRule="auto"/>
        <w:jc w:val="center"/>
        <w:rPr>
          <w:rFonts w:ascii="宋体" w:hAnsi="宋体" w:eastAsia="宋体" w:cs="宋体"/>
          <w:color w:val="000000"/>
          <w:kern w:val="0"/>
          <w:szCs w:val="28"/>
        </w:rPr>
      </w:pPr>
      <w:r>
        <w:rPr>
          <w:rFonts w:hint="eastAsia" w:ascii="宋体" w:hAnsi="宋体" w:eastAsia="宋体" w:cs="宋体"/>
          <w:color w:val="000000"/>
          <w:kern w:val="0"/>
          <w:szCs w:val="28"/>
        </w:rPr>
        <w:br w:type="page"/>
      </w:r>
      <w:bookmarkStart w:id="1285" w:name="_Toc201287640"/>
      <w:bookmarkStart w:id="1286" w:name="_Toc292"/>
      <w:bookmarkStart w:id="1287" w:name="_Toc3356"/>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六、授权委托书</w:t>
      </w:r>
    </w:p>
    <w:p>
      <w:pPr>
        <w:pStyle w:val="3"/>
        <w:spacing w:before="120" w:after="120" w:line="360" w:lineRule="auto"/>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授权委托书</w:t>
      </w:r>
      <w:bookmarkEnd w:id="1285"/>
      <w:bookmarkEnd w:id="1286"/>
      <w:bookmarkEnd w:id="1287"/>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本人</w:t>
      </w:r>
      <w:r>
        <w:rPr>
          <w:rFonts w:hint="eastAsia" w:ascii="宋体" w:hAnsi="宋体" w:cs="宋体"/>
          <w:color w:val="000000"/>
          <w:kern w:val="0"/>
          <w:sz w:val="24"/>
          <w:u w:val="single"/>
        </w:rPr>
        <w:t xml:space="preserve"> （姓名）</w:t>
      </w:r>
      <w:r>
        <w:rPr>
          <w:rFonts w:hint="eastAsia" w:ascii="宋体" w:hAnsi="宋体" w:cs="宋体"/>
          <w:color w:val="000000"/>
          <w:kern w:val="0"/>
          <w:sz w:val="24"/>
        </w:rPr>
        <w:t>系</w:t>
      </w:r>
      <w:r>
        <w:rPr>
          <w:rFonts w:hint="eastAsia" w:ascii="宋体" w:hAnsi="宋体" w:cs="宋体"/>
          <w:color w:val="000000"/>
          <w:kern w:val="0"/>
          <w:sz w:val="24"/>
          <w:u w:val="single"/>
        </w:rPr>
        <w:t xml:space="preserve"> （供应商名称）</w:t>
      </w:r>
      <w:r>
        <w:rPr>
          <w:rFonts w:hint="eastAsia" w:ascii="宋体" w:hAnsi="宋体" w:cs="宋体"/>
          <w:color w:val="000000"/>
          <w:kern w:val="0"/>
          <w:sz w:val="24"/>
        </w:rPr>
        <w:t xml:space="preserve">的法定代表人，现委托 </w:t>
      </w:r>
      <w:r>
        <w:rPr>
          <w:rFonts w:hint="eastAsia" w:ascii="宋体" w:hAnsi="宋体" w:cs="宋体"/>
          <w:color w:val="000000"/>
          <w:kern w:val="0"/>
          <w:sz w:val="24"/>
          <w:u w:val="single"/>
        </w:rPr>
        <w:t>（姓名）</w:t>
      </w:r>
      <w:r>
        <w:rPr>
          <w:rFonts w:hint="eastAsia" w:ascii="宋体" w:hAnsi="宋体" w:cs="宋体"/>
          <w:color w:val="000000"/>
          <w:kern w:val="0"/>
          <w:sz w:val="24"/>
        </w:rPr>
        <w:t>为我方代理人。代理人根据授权，以我方名义签署、澄清、说明、补正、递交、撤回、修改</w:t>
      </w:r>
      <w:r>
        <w:rPr>
          <w:rFonts w:hint="eastAsia" w:ascii="宋体" w:hAnsi="宋体" w:cs="宋体"/>
          <w:color w:val="000000"/>
          <w:kern w:val="0"/>
          <w:sz w:val="24"/>
          <w:u w:val="single"/>
        </w:rPr>
        <w:t xml:space="preserve"> （项目名称）</w:t>
      </w:r>
      <w:r>
        <w:rPr>
          <w:rFonts w:hint="eastAsia" w:ascii="宋体" w:hAnsi="宋体" w:cs="宋体"/>
          <w:color w:val="000000"/>
          <w:kern w:val="0"/>
          <w:sz w:val="24"/>
        </w:rPr>
        <w:t>施工竞争性磋商响应文件、签订合同和处理有关事宜，其法律后果由我方承担。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委托期限：   年    月   日至   年    月   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代理人无转委托权。</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附：法定代表人身份证复印件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    被授权人身份证复印件</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供应商（盖单位章）： </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法定代表人（签字或盖章）：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委托代理人（签字或盖章）：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5760" w:firstLineChars="2400"/>
        <w:jc w:val="left"/>
        <w:rPr>
          <w:rFonts w:ascii="宋体" w:hAnsi="宋体" w:cs="宋体"/>
          <w:color w:val="000000"/>
          <w:kern w:val="0"/>
          <w:szCs w:val="21"/>
        </w:rPr>
      </w:pPr>
      <w:r>
        <w:rPr>
          <w:rFonts w:hint="eastAsia" w:ascii="宋体" w:hAnsi="宋体" w:cs="宋体"/>
          <w:color w:val="000000"/>
          <w:kern w:val="0"/>
          <w:sz w:val="24"/>
        </w:rPr>
        <w:t>年　 月 　日</w:t>
      </w:r>
    </w:p>
    <w:p>
      <w:pPr>
        <w:autoSpaceDE w:val="0"/>
        <w:autoSpaceDN w:val="0"/>
        <w:adjustRightInd w:val="0"/>
        <w:spacing w:line="360" w:lineRule="auto"/>
        <w:jc w:val="left"/>
        <w:rPr>
          <w:rFonts w:ascii="宋体" w:hAnsi="宋体" w:cs="宋体"/>
          <w:color w:val="000000"/>
          <w:kern w:val="0"/>
          <w:sz w:val="18"/>
          <w:szCs w:val="18"/>
        </w:rPr>
      </w:pPr>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Cs w:val="28"/>
        </w:rPr>
        <w:br w:type="page"/>
      </w:r>
      <w:bookmarkStart w:id="1288" w:name="_Toc9133"/>
      <w:r>
        <w:rPr>
          <w:rFonts w:hint="eastAsia" w:ascii="宋体" w:hAnsi="宋体" w:eastAsia="宋体" w:cs="宋体"/>
          <w:color w:val="000000"/>
          <w:kern w:val="0"/>
          <w:sz w:val="28"/>
          <w:szCs w:val="28"/>
        </w:rPr>
        <w:t>七、磋商保证金</w:t>
      </w:r>
      <w:bookmarkEnd w:id="1288"/>
    </w:p>
    <w:p>
      <w:pPr>
        <w:autoSpaceDE w:val="0"/>
        <w:autoSpaceDN w:val="0"/>
        <w:adjustRightInd w:val="0"/>
        <w:spacing w:line="360" w:lineRule="auto"/>
        <w:ind w:firstLine="281" w:firstLineChars="100"/>
        <w:jc w:val="center"/>
        <w:rPr>
          <w:rFonts w:ascii="宋体" w:hAnsi="宋体" w:cs="宋体"/>
          <w:b/>
          <w:bCs/>
          <w:color w:val="000000"/>
          <w:kern w:val="0"/>
          <w:sz w:val="28"/>
          <w:szCs w:val="28"/>
        </w:rPr>
      </w:pPr>
      <w:r>
        <w:rPr>
          <w:rFonts w:hint="eastAsia" w:ascii="宋体" w:hAnsi="宋体" w:cs="宋体"/>
          <w:b/>
          <w:bCs/>
          <w:color w:val="000000"/>
          <w:kern w:val="0"/>
          <w:sz w:val="28"/>
          <w:szCs w:val="28"/>
        </w:rPr>
        <w:t>磋商保证金</w:t>
      </w:r>
    </w:p>
    <w:p>
      <w:pPr>
        <w:autoSpaceDE w:val="0"/>
        <w:autoSpaceDN w:val="0"/>
        <w:adjustRightInd w:val="0"/>
        <w:spacing w:line="360" w:lineRule="auto"/>
        <w:rPr>
          <w:rFonts w:ascii="宋体" w:hAnsi="宋体" w:cs="宋体"/>
          <w:kern w:val="0"/>
          <w:sz w:val="24"/>
        </w:rPr>
      </w:pPr>
      <w:r>
        <w:rPr>
          <w:rFonts w:hint="eastAsia" w:ascii="宋体" w:hAnsi="宋体" w:cs="宋体"/>
          <w:color w:val="000000"/>
          <w:kern w:val="0"/>
          <w:sz w:val="24"/>
        </w:rPr>
        <w:t xml:space="preserve">   附磋商保证金汇出</w:t>
      </w:r>
      <w:r>
        <w:rPr>
          <w:rFonts w:hint="eastAsia" w:ascii="宋体" w:hAnsi="宋体" w:cs="宋体"/>
          <w:kern w:val="0"/>
          <w:sz w:val="24"/>
        </w:rPr>
        <w:t>凭据及基本账户开户许可证复印件。</w:t>
      </w:r>
    </w:p>
    <w:p>
      <w:pPr>
        <w:keepNext/>
        <w:keepLines/>
        <w:spacing w:before="120" w:after="120" w:line="360" w:lineRule="auto"/>
        <w:jc w:val="center"/>
        <w:rPr>
          <w:rFonts w:ascii="宋体" w:hAnsi="宋体" w:cs="宋体"/>
          <w:color w:val="000000"/>
          <w:kern w:val="0"/>
          <w:sz w:val="28"/>
          <w:szCs w:val="28"/>
        </w:rPr>
      </w:pPr>
      <w:bookmarkStart w:id="1289" w:name="_Toc12372"/>
      <w:bookmarkStart w:id="1290" w:name="_Toc201287642"/>
    </w:p>
    <w:p>
      <w:pPr>
        <w:keepNext/>
        <w:keepLines/>
        <w:spacing w:before="120" w:after="120" w:line="360" w:lineRule="auto"/>
        <w:jc w:val="center"/>
        <w:rPr>
          <w:rFonts w:ascii="宋体" w:hAnsi="宋体" w:cs="宋体"/>
          <w:color w:val="000000"/>
          <w:kern w:val="0"/>
          <w:sz w:val="28"/>
          <w:szCs w:val="28"/>
        </w:rPr>
      </w:pPr>
      <w:r>
        <w:rPr>
          <w:rFonts w:hint="eastAsia" w:ascii="宋体" w:hAnsi="宋体" w:cs="宋体"/>
          <w:color w:val="000000"/>
          <w:kern w:val="0"/>
          <w:sz w:val="28"/>
          <w:szCs w:val="28"/>
        </w:rPr>
        <w:br w:type="page"/>
      </w:r>
    </w:p>
    <w:bookmarkEnd w:id="1289"/>
    <w:bookmarkEnd w:id="1290"/>
    <w:p>
      <w:pPr>
        <w:pStyle w:val="4"/>
        <w:spacing w:before="120" w:after="120" w:line="360" w:lineRule="auto"/>
        <w:jc w:val="left"/>
        <w:rPr>
          <w:rFonts w:ascii="宋体" w:hAnsi="宋体" w:cs="TimesNewRomanPSMT"/>
          <w:color w:val="000000"/>
          <w:kern w:val="0"/>
          <w:sz w:val="28"/>
          <w:szCs w:val="28"/>
        </w:rPr>
      </w:pPr>
      <w:bookmarkStart w:id="1291" w:name="_Toc415209342"/>
      <w:r>
        <w:rPr>
          <w:rFonts w:hint="eastAsia" w:ascii="宋体" w:hAnsi="宋体" w:cs="TimesNewRomanPSMT"/>
          <w:color w:val="000000"/>
          <w:kern w:val="0"/>
          <w:sz w:val="28"/>
          <w:szCs w:val="28"/>
        </w:rPr>
        <w:t>八、已标价工程量清单部分格式</w:t>
      </w:r>
    </w:p>
    <w:bookmarkEnd w:id="1291"/>
    <w:p>
      <w:pPr>
        <w:pStyle w:val="3"/>
        <w:spacing w:before="120" w:after="120" w:line="360" w:lineRule="auto"/>
        <w:jc w:val="center"/>
        <w:rPr>
          <w:rFonts w:ascii="宋体" w:hAnsi="宋体" w:cs="TimesNewRomanPSMT"/>
          <w:kern w:val="0"/>
          <w:sz w:val="28"/>
          <w:szCs w:val="28"/>
        </w:rPr>
      </w:pPr>
    </w:p>
    <w:p>
      <w:pPr>
        <w:spacing w:line="360" w:lineRule="auto"/>
        <w:jc w:val="center"/>
        <w:rPr>
          <w:b/>
          <w:bCs/>
          <w:sz w:val="28"/>
          <w:szCs w:val="28"/>
        </w:rPr>
      </w:pPr>
    </w:p>
    <w:p>
      <w:pPr>
        <w:spacing w:line="360" w:lineRule="auto"/>
        <w:rPr>
          <w:b/>
          <w:bCs/>
          <w:sz w:val="24"/>
        </w:rPr>
      </w:pPr>
      <w:bookmarkStart w:id="1292" w:name="_Toc395533587"/>
      <w:bookmarkStart w:id="1293" w:name="_Toc29450"/>
      <w:bookmarkStart w:id="1294" w:name="_Toc382382710"/>
      <w:r>
        <w:rPr>
          <w:rFonts w:hint="eastAsia"/>
          <w:b/>
          <w:bCs/>
          <w:sz w:val="24"/>
        </w:rPr>
        <w:t>本部分格式仅作参考。</w:t>
      </w: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bookmarkEnd w:id="1292"/>
    <w:bookmarkEnd w:id="1293"/>
    <w:bookmarkEnd w:id="1294"/>
    <w:p>
      <w:pPr>
        <w:spacing w:line="360" w:lineRule="auto"/>
        <w:jc w:val="center"/>
        <w:rPr>
          <w:rFonts w:ascii="宋体" w:hAnsi="宋体"/>
          <w:b/>
          <w:sz w:val="24"/>
        </w:rPr>
      </w:pPr>
      <w:bookmarkStart w:id="1295" w:name="_Toc201287656"/>
      <w:r>
        <w:rPr>
          <w:rFonts w:hint="eastAsia" w:ascii="宋体" w:hAnsi="宋体"/>
          <w:b/>
        </w:rPr>
        <w:t>（一）</w:t>
      </w:r>
      <w:r>
        <w:rPr>
          <w:rFonts w:hint="eastAsia" w:ascii="宋体" w:hAnsi="宋体"/>
          <w:b/>
          <w:sz w:val="24"/>
        </w:rPr>
        <w:t>投标总价封面</w:t>
      </w: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ind w:firstLine="940" w:firstLineChars="392"/>
        <w:rPr>
          <w:rFonts w:ascii="宋体" w:hAnsi="宋体"/>
          <w:sz w:val="24"/>
        </w:rPr>
      </w:pPr>
      <w:r>
        <w:rPr>
          <w:rFonts w:hint="eastAsia" w:ascii="宋体" w:hAnsi="宋体"/>
          <w:sz w:val="24"/>
        </w:rPr>
        <w:t>工程</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jc w:val="center"/>
        <w:rPr>
          <w:rFonts w:ascii="宋体" w:hAnsi="宋体"/>
          <w:sz w:val="24"/>
        </w:rPr>
      </w:pPr>
      <w:r>
        <w:rPr>
          <w:rFonts w:hint="eastAsia" w:ascii="宋体" w:hAnsi="宋体"/>
          <w:sz w:val="24"/>
        </w:rPr>
        <w:t>投标总价</w:t>
      </w: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1300" w:firstLineChars="542"/>
        <w:rPr>
          <w:rFonts w:ascii="宋体" w:hAnsi="宋体"/>
          <w:sz w:val="24"/>
          <w:u w:val="single"/>
        </w:rPr>
      </w:pPr>
      <w:r>
        <w:rPr>
          <w:rFonts w:hint="eastAsia" w:ascii="宋体" w:hAnsi="宋体"/>
          <w:sz w:val="24"/>
        </w:rPr>
        <w:t>供应商：</w:t>
      </w:r>
    </w:p>
    <w:p>
      <w:pPr>
        <w:spacing w:line="360" w:lineRule="auto"/>
        <w:ind w:firstLine="940" w:firstLineChars="392"/>
        <w:rPr>
          <w:rFonts w:ascii="宋体" w:hAnsi="宋体"/>
          <w:sz w:val="24"/>
        </w:rPr>
      </w:pPr>
      <w:r>
        <w:rPr>
          <w:rFonts w:hint="eastAsia" w:ascii="宋体" w:hAnsi="宋体"/>
          <w:sz w:val="24"/>
        </w:rPr>
        <w:t xml:space="preserve">                  （单位盖章）   </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bCs/>
          <w:kern w:val="0"/>
          <w:sz w:val="24"/>
        </w:rPr>
      </w:pPr>
      <w:r>
        <w:rPr>
          <w:rFonts w:hint="eastAsia" w:ascii="宋体" w:hAnsi="宋体" w:cs="TimesNewRomanPSMT"/>
          <w:b/>
          <w:kern w:val="0"/>
          <w:sz w:val="24"/>
        </w:rPr>
        <w:t>（二）投标总价扉页</w:t>
      </w:r>
    </w:p>
    <w:p>
      <w:pPr>
        <w:spacing w:line="360" w:lineRule="auto"/>
        <w:ind w:firstLine="482" w:firstLineChars="200"/>
        <w:jc w:val="center"/>
        <w:rPr>
          <w:rFonts w:ascii="宋体" w:hAnsi="宋体" w:cs="TimesNewRomanPSMT"/>
          <w:b/>
          <w:bCs/>
          <w:kern w:val="0"/>
          <w:sz w:val="24"/>
        </w:rPr>
      </w:pPr>
    </w:p>
    <w:p>
      <w:pPr>
        <w:spacing w:line="360" w:lineRule="auto"/>
        <w:ind w:firstLine="723" w:firstLineChars="200"/>
        <w:jc w:val="center"/>
        <w:rPr>
          <w:rFonts w:ascii="宋体" w:hAnsi="宋体"/>
          <w:b/>
          <w:sz w:val="36"/>
        </w:rPr>
      </w:pPr>
      <w:r>
        <w:rPr>
          <w:rFonts w:hint="eastAsia" w:ascii="宋体" w:hAnsi="宋体"/>
          <w:b/>
          <w:sz w:val="36"/>
        </w:rPr>
        <w:t>投　标　总　价</w:t>
      </w:r>
    </w:p>
    <w:p>
      <w:pPr>
        <w:spacing w:line="360" w:lineRule="auto"/>
        <w:ind w:firstLine="720" w:firstLineChars="200"/>
        <w:jc w:val="center"/>
        <w:rPr>
          <w:rFonts w:ascii="宋体" w:hAnsi="宋体"/>
          <w:sz w:val="36"/>
        </w:rPr>
      </w:pPr>
    </w:p>
    <w:p>
      <w:pPr>
        <w:spacing w:line="360" w:lineRule="auto"/>
        <w:ind w:firstLine="640" w:firstLineChars="200"/>
        <w:rPr>
          <w:rFonts w:ascii="宋体" w:hAnsi="宋体"/>
          <w:sz w:val="32"/>
          <w:u w:val="single"/>
        </w:rPr>
      </w:pPr>
      <w:r>
        <w:rPr>
          <w:rFonts w:hint="eastAsia" w:ascii="宋体" w:hAnsi="宋体"/>
          <w:sz w:val="32"/>
        </w:rPr>
        <w:t>招标人：</w:t>
      </w:r>
    </w:p>
    <w:p>
      <w:pPr>
        <w:spacing w:line="360" w:lineRule="auto"/>
        <w:ind w:firstLine="640" w:firstLineChars="200"/>
        <w:rPr>
          <w:rFonts w:ascii="宋体" w:hAnsi="宋体"/>
          <w:sz w:val="32"/>
          <w:u w:val="single"/>
        </w:rPr>
      </w:pPr>
    </w:p>
    <w:p>
      <w:pPr>
        <w:spacing w:line="360" w:lineRule="auto"/>
        <w:ind w:firstLine="640" w:firstLineChars="200"/>
        <w:rPr>
          <w:rFonts w:ascii="宋体" w:hAnsi="宋体"/>
          <w:sz w:val="32"/>
        </w:rPr>
      </w:pPr>
      <w:r>
        <w:rPr>
          <w:rFonts w:hint="eastAsia" w:ascii="宋体" w:hAnsi="宋体"/>
          <w:sz w:val="32"/>
        </w:rPr>
        <w:t>工程名称：</w:t>
      </w:r>
    </w:p>
    <w:p>
      <w:pPr>
        <w:spacing w:line="360" w:lineRule="auto"/>
        <w:ind w:firstLine="640" w:firstLineChars="200"/>
        <w:rPr>
          <w:rFonts w:ascii="宋体" w:hAnsi="宋体"/>
          <w:sz w:val="32"/>
        </w:rPr>
      </w:pPr>
    </w:p>
    <w:p>
      <w:pPr>
        <w:spacing w:line="360" w:lineRule="auto"/>
        <w:ind w:firstLine="640" w:firstLineChars="200"/>
        <w:rPr>
          <w:rFonts w:ascii="宋体" w:hAnsi="宋体"/>
          <w:sz w:val="32"/>
          <w:u w:val="single"/>
        </w:rPr>
      </w:pPr>
      <w:r>
        <w:rPr>
          <w:rFonts w:hint="eastAsia" w:ascii="宋体" w:hAnsi="宋体"/>
          <w:sz w:val="32"/>
        </w:rPr>
        <w:t>投标总价（小写）：</w:t>
      </w:r>
    </w:p>
    <w:p>
      <w:pPr>
        <w:spacing w:line="360" w:lineRule="auto"/>
        <w:ind w:firstLine="1920" w:firstLineChars="600"/>
        <w:rPr>
          <w:rFonts w:ascii="宋体" w:hAnsi="宋体"/>
          <w:sz w:val="32"/>
        </w:rPr>
      </w:pPr>
      <w:r>
        <w:rPr>
          <w:rFonts w:hint="eastAsia" w:ascii="宋体" w:hAnsi="宋体"/>
          <w:sz w:val="32"/>
        </w:rPr>
        <w:t>（大写）：</w:t>
      </w: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供应商：</w:t>
      </w:r>
    </w:p>
    <w:p>
      <w:pPr>
        <w:spacing w:line="360" w:lineRule="auto"/>
        <w:ind w:firstLine="2940" w:firstLineChars="1400"/>
        <w:rPr>
          <w:rFonts w:ascii="宋体" w:hAnsi="宋体"/>
          <w:sz w:val="32"/>
        </w:rPr>
      </w:pPr>
      <w:r>
        <w:rPr>
          <w:rFonts w:hint="eastAsia" w:ascii="宋体" w:hAnsi="宋体"/>
        </w:rPr>
        <w:t>（单位盖章）</w:t>
      </w: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r>
        <w:rPr>
          <w:rFonts w:hint="eastAsia" w:ascii="宋体" w:hAnsi="宋体"/>
          <w:sz w:val="32"/>
        </w:rPr>
        <w:t>法定代表人</w:t>
      </w:r>
    </w:p>
    <w:p>
      <w:pPr>
        <w:spacing w:line="360" w:lineRule="auto"/>
        <w:ind w:firstLine="640" w:firstLineChars="200"/>
        <w:rPr>
          <w:rFonts w:ascii="宋体" w:hAnsi="宋体"/>
          <w:u w:val="single"/>
        </w:rPr>
      </w:pPr>
      <w:r>
        <w:rPr>
          <w:rFonts w:hint="eastAsia" w:ascii="宋体" w:hAnsi="宋体"/>
          <w:sz w:val="32"/>
        </w:rPr>
        <w:t>或其授权人：</w:t>
      </w:r>
    </w:p>
    <w:p>
      <w:pPr>
        <w:spacing w:line="360" w:lineRule="auto"/>
        <w:ind w:firstLine="3045" w:firstLineChars="1450"/>
        <w:rPr>
          <w:rFonts w:ascii="宋体" w:hAnsi="宋体"/>
        </w:rPr>
      </w:pPr>
      <w:r>
        <w:rPr>
          <w:rFonts w:hint="eastAsia" w:ascii="宋体" w:hAnsi="宋体"/>
        </w:rPr>
        <w:t>（签字或盖章）</w:t>
      </w:r>
    </w:p>
    <w:p>
      <w:pPr>
        <w:spacing w:line="360" w:lineRule="auto"/>
        <w:ind w:firstLine="420" w:firstLineChars="200"/>
        <w:rPr>
          <w:rFonts w:ascii="宋体" w:hAnsi="宋体"/>
        </w:rPr>
      </w:pP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编制人：</w:t>
      </w:r>
    </w:p>
    <w:p>
      <w:pPr>
        <w:spacing w:line="360" w:lineRule="auto"/>
        <w:ind w:firstLine="3045" w:firstLineChars="1450"/>
        <w:rPr>
          <w:rFonts w:ascii="宋体" w:hAnsi="宋体"/>
        </w:rPr>
      </w:pPr>
      <w:r>
        <w:rPr>
          <w:rFonts w:hint="eastAsia" w:ascii="宋体" w:hAnsi="宋体"/>
        </w:rPr>
        <w:t>（造价人员签字盖专用章）</w:t>
      </w:r>
    </w:p>
    <w:p>
      <w:pPr>
        <w:spacing w:line="360" w:lineRule="auto"/>
        <w:rPr>
          <w:rFonts w:ascii="宋体" w:hAnsi="宋体"/>
          <w:b/>
          <w:bCs/>
          <w:sz w:val="32"/>
        </w:rPr>
      </w:pPr>
    </w:p>
    <w:p>
      <w:pPr>
        <w:spacing w:line="360" w:lineRule="auto"/>
        <w:ind w:firstLine="640" w:firstLineChars="200"/>
        <w:rPr>
          <w:rFonts w:ascii="宋体" w:hAnsi="宋体"/>
          <w:sz w:val="32"/>
        </w:rPr>
      </w:pPr>
      <w:r>
        <w:rPr>
          <w:rFonts w:hint="eastAsia" w:ascii="宋体" w:hAnsi="宋体"/>
          <w:sz w:val="32"/>
        </w:rPr>
        <w:t>时间：　　年　　月   日</w:t>
      </w:r>
    </w:p>
    <w:p>
      <w:pPr>
        <w:spacing w:line="360" w:lineRule="auto"/>
        <w:ind w:firstLine="482" w:firstLineChars="200"/>
        <w:jc w:val="center"/>
        <w:rPr>
          <w:rFonts w:ascii="宋体" w:hAnsi="宋体"/>
          <w:b/>
          <w:sz w:val="24"/>
        </w:rPr>
      </w:pPr>
      <w:r>
        <w:rPr>
          <w:rFonts w:hint="eastAsia" w:ascii="宋体" w:hAnsi="宋体"/>
          <w:b/>
          <w:sz w:val="24"/>
        </w:rPr>
        <w:t>（三）工程计价总说明</w:t>
      </w:r>
      <w:bookmarkStart w:id="1296" w:name="_Toc199152111"/>
      <w:bookmarkStart w:id="1297" w:name="_Toc194999268"/>
    </w:p>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r>
        <w:rPr>
          <w:rFonts w:hint="eastAsia" w:ascii="宋体" w:hAnsi="宋体" w:cs="TimesNewRomanPSMT"/>
          <w:b/>
          <w:kern w:val="0"/>
          <w:sz w:val="24"/>
        </w:rPr>
        <w:t>总　说　明</w:t>
      </w:r>
      <w:bookmarkEnd w:id="1296"/>
      <w:bookmarkEnd w:id="1297"/>
    </w:p>
    <w:p>
      <w:pPr>
        <w:spacing w:line="360" w:lineRule="auto"/>
        <w:rPr>
          <w:rFonts w:ascii="宋体" w:hAnsi="宋体"/>
          <w:b/>
        </w:rPr>
      </w:pPr>
      <w:r>
        <w:rPr>
          <w:rFonts w:hint="eastAsia" w:ascii="宋体" w:hAnsi="宋体"/>
          <w:bCs/>
        </w:rPr>
        <w:t>工程名称：</w:t>
      </w:r>
      <w:r>
        <w:rPr>
          <w:rFonts w:hint="eastAsia" w:ascii="宋体" w:hAnsi="宋体"/>
          <w:b/>
        </w:rPr>
        <w:t>　　　　　　　　　　　　　　　　　　　             　</w:t>
      </w:r>
      <w:r>
        <w:rPr>
          <w:rFonts w:hint="eastAsia" w:ascii="宋体" w:hAnsi="宋体"/>
        </w:rPr>
        <w:t>第　页　共　页</w:t>
      </w:r>
    </w:p>
    <w:tbl>
      <w:tblPr>
        <w:tblStyle w:val="39"/>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8" w:hRule="atLeast"/>
        </w:trPr>
        <w:tc>
          <w:tcPr>
            <w:tcW w:w="8756" w:type="dxa"/>
          </w:tcPr>
          <w:p>
            <w:pPr>
              <w:autoSpaceDE w:val="0"/>
              <w:autoSpaceDN w:val="0"/>
              <w:adjustRightInd w:val="0"/>
              <w:spacing w:line="360" w:lineRule="auto"/>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rPr>
                <w:rFonts w:ascii="宋体" w:hAnsi="宋体"/>
                <w:szCs w:val="28"/>
              </w:rPr>
            </w:pPr>
          </w:p>
        </w:tc>
      </w:tr>
    </w:tbl>
    <w:p>
      <w:pPr>
        <w:spacing w:line="360" w:lineRule="auto"/>
        <w:rPr>
          <w:rFonts w:ascii="宋体" w:hAnsi="宋体"/>
          <w:b/>
          <w:bCs/>
          <w:sz w:val="44"/>
        </w:rPr>
      </w:pPr>
    </w:p>
    <w:p>
      <w:pPr>
        <w:spacing w:line="360" w:lineRule="auto"/>
        <w:ind w:firstLine="480" w:firstLineChars="200"/>
        <w:jc w:val="center"/>
        <w:rPr>
          <w:rFonts w:ascii="宋体" w:hAnsi="宋体"/>
          <w:bCs/>
          <w:sz w:val="24"/>
        </w:rPr>
      </w:pPr>
      <w:r>
        <w:rPr>
          <w:rFonts w:hint="eastAsia" w:ascii="宋体" w:hAnsi="宋体"/>
          <w:bCs/>
          <w:sz w:val="24"/>
        </w:rPr>
        <w:t xml:space="preserve">                                                        表-01</w:t>
      </w:r>
      <w:r>
        <w:rPr>
          <w:rFonts w:ascii="宋体" w:hAnsi="宋体" w:cs="TimesNewRomanPSMT"/>
          <w:kern w:val="0"/>
          <w:sz w:val="24"/>
        </w:rPr>
        <w:br w:type="page"/>
      </w:r>
      <w:r>
        <w:rPr>
          <w:rFonts w:hint="eastAsia" w:ascii="宋体" w:hAnsi="宋体" w:cs="TimesNewRomanPSMT"/>
          <w:b/>
          <w:kern w:val="0"/>
          <w:sz w:val="24"/>
        </w:rPr>
        <w:t>（五）建设项目投标报价汇总表</w:t>
      </w:r>
    </w:p>
    <w:p>
      <w:pPr>
        <w:spacing w:line="360" w:lineRule="auto"/>
        <w:rPr>
          <w:rFonts w:ascii="宋体" w:hAnsi="宋体"/>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单项工程名称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ascii="宋体" w:hAnsi="宋体"/>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w w:val="200"/>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7" w:type="dxa"/>
            <w:gridSpan w:val="2"/>
            <w:vAlign w:val="center"/>
          </w:tcPr>
          <w:p>
            <w:pPr>
              <w:spacing w:line="360" w:lineRule="auto"/>
              <w:jc w:val="center"/>
              <w:rPr>
                <w:rFonts w:ascii="宋体" w:hAnsi="宋体"/>
              </w:rPr>
            </w:pPr>
            <w:r>
              <w:rPr>
                <w:rFonts w:hint="eastAsia" w:ascii="宋体" w:hAnsi="宋体"/>
              </w:rPr>
              <w:t>合      计</w:t>
            </w: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bl>
    <w:p>
      <w:pPr>
        <w:spacing w:line="360" w:lineRule="auto"/>
        <w:rPr>
          <w:rFonts w:ascii="宋体" w:hAnsi="宋体"/>
        </w:rPr>
      </w:pPr>
      <w:r>
        <w:rPr>
          <w:rFonts w:hint="eastAsia" w:ascii="宋体" w:hAnsi="宋体"/>
        </w:rPr>
        <w:t>注：本表适用于建设项目投标报价的汇总。</w:t>
      </w:r>
    </w:p>
    <w:p>
      <w:pPr>
        <w:spacing w:line="360" w:lineRule="auto"/>
        <w:ind w:firstLine="6600" w:firstLineChars="2750"/>
        <w:jc w:val="center"/>
        <w:rPr>
          <w:rFonts w:ascii="宋体" w:hAnsi="宋体" w:cs="TimesNewRomanPSMT"/>
          <w:b/>
          <w:kern w:val="0"/>
          <w:sz w:val="24"/>
        </w:rPr>
      </w:pPr>
      <w:r>
        <w:rPr>
          <w:rFonts w:hint="eastAsia" w:ascii="宋体" w:hAnsi="宋体"/>
          <w:bCs/>
          <w:sz w:val="24"/>
        </w:rPr>
        <w:t>表-02</w:t>
      </w:r>
      <w:r>
        <w:rPr>
          <w:rFonts w:ascii="宋体" w:hAnsi="宋体" w:cs="TimesNewRomanPSMT"/>
          <w:kern w:val="0"/>
          <w:sz w:val="24"/>
        </w:rPr>
        <w:br w:type="page"/>
      </w:r>
      <w:r>
        <w:rPr>
          <w:rFonts w:hint="eastAsia" w:ascii="宋体" w:hAnsi="宋体" w:cs="TimesNewRomanPSMT"/>
          <w:b/>
          <w:kern w:val="0"/>
        </w:rPr>
        <w:t>（六）单项工程投标报价汇总表</w:t>
      </w:r>
    </w:p>
    <w:p>
      <w:pPr>
        <w:spacing w:line="360" w:lineRule="auto"/>
        <w:ind w:firstLine="6626" w:firstLineChars="2750"/>
        <w:jc w:val="center"/>
        <w:rPr>
          <w:rFonts w:ascii="宋体" w:hAnsi="宋体"/>
          <w:b/>
          <w:sz w:val="24"/>
        </w:rPr>
      </w:pPr>
    </w:p>
    <w:p>
      <w:pPr>
        <w:spacing w:line="360" w:lineRule="auto"/>
        <w:rPr>
          <w:rFonts w:eastAsia="楷体_GB2312"/>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单位工程名称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eastAsia="楷体_GB2312"/>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bl>
    <w:p>
      <w:pPr>
        <w:spacing w:line="360" w:lineRule="auto"/>
        <w:rPr>
          <w:kern w:val="0"/>
        </w:rPr>
      </w:pPr>
      <w:r>
        <w:rPr>
          <w:rFonts w:hint="eastAsia"/>
        </w:rPr>
        <w:t>注：本表适用于单项工程投标报价的汇总。暂估价包括分部分项工程中的暂估价和专业工程暂估价。</w:t>
      </w:r>
    </w:p>
    <w:p>
      <w:pPr>
        <w:spacing w:line="360" w:lineRule="auto"/>
        <w:ind w:firstLine="6171" w:firstLineChars="2939"/>
        <w:jc w:val="center"/>
        <w:rPr>
          <w:kern w:val="0"/>
        </w:rPr>
      </w:pPr>
      <w:r>
        <w:rPr>
          <w:rFonts w:hint="eastAsia" w:ascii="宋体" w:hAnsi="宋体"/>
          <w:bCs/>
        </w:rPr>
        <w:t xml:space="preserve">表-03 </w:t>
      </w:r>
      <w:r>
        <w:rPr>
          <w:rFonts w:ascii="宋体" w:hAnsi="宋体" w:cs="TimesNewRomanPSMT"/>
          <w:kern w:val="0"/>
        </w:rPr>
        <w:br w:type="page"/>
      </w:r>
      <w:r>
        <w:rPr>
          <w:rFonts w:hint="eastAsia" w:ascii="宋体" w:hAnsi="宋体" w:cs="TimesNewRomanPSMT"/>
          <w:b/>
          <w:kern w:val="0"/>
          <w:sz w:val="24"/>
        </w:rPr>
        <w:t>（七）单位工程投标报价汇总表</w:t>
      </w:r>
    </w:p>
    <w:p>
      <w:pPr>
        <w:spacing w:line="360" w:lineRule="auto"/>
        <w:jc w:val="center"/>
        <w:rPr>
          <w:rFonts w:ascii="宋体" w:hAnsi="宋体"/>
        </w:rPr>
      </w:pPr>
      <w:r>
        <w:rPr>
          <w:rFonts w:hint="eastAsia" w:ascii="宋体" w:hAnsi="宋体"/>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7"/>
        <w:gridCol w:w="2155"/>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jc w:val="center"/>
              <w:rPr>
                <w:rFonts w:ascii="宋体" w:hAnsi="宋体"/>
                <w:bCs/>
              </w:rPr>
            </w:pPr>
            <w:r>
              <w:rPr>
                <w:rFonts w:hint="eastAsia" w:ascii="宋体" w:hAnsi="宋体"/>
                <w:bCs/>
              </w:rPr>
              <w:t>序号</w:t>
            </w:r>
          </w:p>
        </w:tc>
        <w:tc>
          <w:tcPr>
            <w:tcW w:w="3497" w:type="dxa"/>
          </w:tcPr>
          <w:p>
            <w:pPr>
              <w:spacing w:line="360" w:lineRule="auto"/>
              <w:jc w:val="center"/>
              <w:rPr>
                <w:rFonts w:ascii="宋体" w:hAnsi="宋体"/>
                <w:bCs/>
              </w:rPr>
            </w:pPr>
            <w:r>
              <w:rPr>
                <w:rFonts w:hint="eastAsia" w:ascii="宋体" w:hAnsi="宋体"/>
                <w:bCs/>
              </w:rPr>
              <w:t>汇总内容</w:t>
            </w:r>
          </w:p>
        </w:tc>
        <w:tc>
          <w:tcPr>
            <w:tcW w:w="2155" w:type="dxa"/>
          </w:tcPr>
          <w:p>
            <w:pPr>
              <w:spacing w:line="360" w:lineRule="auto"/>
              <w:jc w:val="center"/>
              <w:rPr>
                <w:rFonts w:ascii="宋体" w:hAnsi="宋体"/>
                <w:bCs/>
              </w:rPr>
            </w:pPr>
            <w:r>
              <w:rPr>
                <w:rFonts w:hint="eastAsia" w:ascii="宋体" w:hAnsi="宋体"/>
                <w:bCs/>
              </w:rPr>
              <w:t>金额（元）</w:t>
            </w:r>
          </w:p>
        </w:tc>
        <w:tc>
          <w:tcPr>
            <w:tcW w:w="2155" w:type="dxa"/>
          </w:tcPr>
          <w:p>
            <w:pPr>
              <w:spacing w:line="360" w:lineRule="auto"/>
              <w:jc w:val="center"/>
              <w:rPr>
                <w:rFonts w:ascii="宋体" w:hAnsi="宋体"/>
                <w:bCs/>
              </w:rPr>
            </w:pPr>
            <w:r>
              <w:rPr>
                <w:rFonts w:hint="eastAsia" w:ascii="宋体" w:hAnsi="宋体"/>
                <w:bCs/>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w:t>
            </w:r>
          </w:p>
        </w:tc>
        <w:tc>
          <w:tcPr>
            <w:tcW w:w="3497" w:type="dxa"/>
          </w:tcPr>
          <w:p>
            <w:pPr>
              <w:spacing w:line="360" w:lineRule="auto"/>
              <w:rPr>
                <w:rFonts w:ascii="宋体" w:hAnsi="宋体"/>
                <w:bCs/>
              </w:rPr>
            </w:pPr>
            <w:r>
              <w:rPr>
                <w:rFonts w:hint="eastAsia" w:ascii="宋体" w:hAnsi="宋体"/>
                <w:bCs/>
              </w:rPr>
              <w:t>分部分项工程</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1.1</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1.2</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1.3</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1.4</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1.5</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w:t>
            </w:r>
          </w:p>
        </w:tc>
        <w:tc>
          <w:tcPr>
            <w:tcW w:w="3497" w:type="dxa"/>
          </w:tcPr>
          <w:p>
            <w:pPr>
              <w:spacing w:line="360" w:lineRule="auto"/>
              <w:rPr>
                <w:rFonts w:ascii="宋体" w:hAnsi="宋体"/>
                <w:bCs/>
              </w:rPr>
            </w:pPr>
            <w:r>
              <w:rPr>
                <w:rFonts w:hint="eastAsia" w:ascii="宋体" w:hAnsi="宋体"/>
                <w:bCs/>
              </w:rPr>
              <w:t>措施项目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2.1</w:t>
            </w:r>
          </w:p>
        </w:tc>
        <w:tc>
          <w:tcPr>
            <w:tcW w:w="3497" w:type="dxa"/>
          </w:tcPr>
          <w:p>
            <w:pPr>
              <w:spacing w:line="360" w:lineRule="auto"/>
              <w:rPr>
                <w:rFonts w:ascii="宋体" w:hAnsi="宋体"/>
                <w:bCs/>
              </w:rPr>
            </w:pPr>
            <w:r>
              <w:rPr>
                <w:rFonts w:hint="eastAsia" w:ascii="宋体" w:hAnsi="宋体"/>
                <w:bCs/>
              </w:rPr>
              <w:t>其中：安全文明施工费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w:t>
            </w:r>
          </w:p>
        </w:tc>
        <w:tc>
          <w:tcPr>
            <w:tcW w:w="3497" w:type="dxa"/>
          </w:tcPr>
          <w:p>
            <w:pPr>
              <w:spacing w:line="360" w:lineRule="auto"/>
              <w:rPr>
                <w:rFonts w:ascii="宋体" w:hAnsi="宋体"/>
                <w:bCs/>
              </w:rPr>
            </w:pPr>
            <w:r>
              <w:rPr>
                <w:rFonts w:hint="eastAsia" w:ascii="宋体" w:hAnsi="宋体"/>
                <w:bCs/>
              </w:rPr>
              <w:t>其他项目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3.1</w:t>
            </w:r>
          </w:p>
        </w:tc>
        <w:tc>
          <w:tcPr>
            <w:tcW w:w="3497" w:type="dxa"/>
          </w:tcPr>
          <w:p>
            <w:pPr>
              <w:spacing w:line="360" w:lineRule="auto"/>
              <w:rPr>
                <w:rFonts w:ascii="宋体" w:hAnsi="宋体"/>
                <w:bCs/>
              </w:rPr>
            </w:pPr>
            <w:r>
              <w:rPr>
                <w:rFonts w:hint="eastAsia" w:ascii="宋体" w:hAnsi="宋体"/>
                <w:bCs/>
              </w:rPr>
              <w:t>其中：暂列金额</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3.2</w:t>
            </w:r>
          </w:p>
        </w:tc>
        <w:tc>
          <w:tcPr>
            <w:tcW w:w="3497" w:type="dxa"/>
          </w:tcPr>
          <w:p>
            <w:pPr>
              <w:spacing w:line="360" w:lineRule="auto"/>
              <w:rPr>
                <w:rFonts w:ascii="宋体" w:hAnsi="宋体"/>
                <w:bCs/>
              </w:rPr>
            </w:pPr>
            <w:r>
              <w:rPr>
                <w:rFonts w:hint="eastAsia" w:ascii="宋体" w:hAnsi="宋体"/>
                <w:bCs/>
              </w:rPr>
              <w:t>其中：专业工程暂估价</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3.3</w:t>
            </w:r>
          </w:p>
        </w:tc>
        <w:tc>
          <w:tcPr>
            <w:tcW w:w="3497" w:type="dxa"/>
          </w:tcPr>
          <w:p>
            <w:pPr>
              <w:spacing w:line="360" w:lineRule="auto"/>
              <w:rPr>
                <w:rFonts w:ascii="宋体" w:hAnsi="宋体"/>
                <w:bCs/>
              </w:rPr>
            </w:pPr>
            <w:r>
              <w:rPr>
                <w:rFonts w:hint="eastAsia" w:ascii="宋体" w:hAnsi="宋体"/>
                <w:bCs/>
              </w:rPr>
              <w:t>其中：计日工</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3.4</w:t>
            </w:r>
          </w:p>
        </w:tc>
        <w:tc>
          <w:tcPr>
            <w:tcW w:w="3497" w:type="dxa"/>
          </w:tcPr>
          <w:p>
            <w:pPr>
              <w:spacing w:line="360" w:lineRule="auto"/>
              <w:rPr>
                <w:rFonts w:ascii="宋体" w:hAnsi="宋体"/>
                <w:bCs/>
              </w:rPr>
            </w:pPr>
            <w:r>
              <w:rPr>
                <w:rFonts w:hint="eastAsia" w:ascii="宋体" w:hAnsi="宋体"/>
                <w:bCs/>
              </w:rPr>
              <w:t>其中：总承包服务费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4</w:t>
            </w:r>
          </w:p>
        </w:tc>
        <w:tc>
          <w:tcPr>
            <w:tcW w:w="3497" w:type="dxa"/>
          </w:tcPr>
          <w:p>
            <w:pPr>
              <w:spacing w:line="360" w:lineRule="auto"/>
              <w:rPr>
                <w:rFonts w:ascii="宋体" w:hAnsi="宋体"/>
                <w:bCs/>
              </w:rPr>
            </w:pPr>
            <w:r>
              <w:rPr>
                <w:rFonts w:hint="eastAsia" w:ascii="宋体" w:hAnsi="宋体"/>
                <w:bCs/>
              </w:rPr>
              <w:t>规费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5</w:t>
            </w:r>
          </w:p>
        </w:tc>
        <w:tc>
          <w:tcPr>
            <w:tcW w:w="3497" w:type="dxa"/>
          </w:tcPr>
          <w:p>
            <w:pPr>
              <w:spacing w:line="360" w:lineRule="auto"/>
              <w:rPr>
                <w:rFonts w:ascii="宋体" w:hAnsi="宋体"/>
                <w:bCs/>
              </w:rPr>
            </w:pPr>
            <w:r>
              <w:rPr>
                <w:rFonts w:hint="eastAsia" w:ascii="宋体" w:hAnsi="宋体"/>
                <w:bCs/>
              </w:rPr>
              <w:t>税金</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2" w:type="dxa"/>
            <w:gridSpan w:val="2"/>
          </w:tcPr>
          <w:p>
            <w:pPr>
              <w:spacing w:line="360" w:lineRule="auto"/>
              <w:rPr>
                <w:rFonts w:ascii="宋体" w:hAnsi="宋体"/>
                <w:bCs/>
              </w:rPr>
            </w:pPr>
            <w:r>
              <w:rPr>
                <w:rFonts w:hint="eastAsia" w:ascii="宋体" w:hAnsi="宋体"/>
                <w:bCs/>
              </w:rPr>
              <w:t>投标报价合计=1+2+3+4+5</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bl>
    <w:p>
      <w:pPr>
        <w:spacing w:line="360" w:lineRule="auto"/>
        <w:rPr>
          <w:rFonts w:ascii="宋体" w:hAnsi="宋体"/>
        </w:rPr>
      </w:pPr>
      <w:r>
        <w:rPr>
          <w:rFonts w:hint="eastAsia" w:ascii="宋体" w:hAnsi="宋体"/>
        </w:rPr>
        <w:t>注：本表适用于单位工程投标报价的汇总，如无单位工程划分，单项工程也使用本表汇总。</w:t>
      </w:r>
    </w:p>
    <w:p>
      <w:pPr>
        <w:spacing w:line="360" w:lineRule="auto"/>
        <w:jc w:val="center"/>
        <w:rPr>
          <w:rFonts w:ascii="宋体" w:hAnsi="宋体" w:cs="TimesNewRomanPSMT"/>
          <w:b/>
          <w:kern w:val="0"/>
          <w:sz w:val="24"/>
        </w:rPr>
      </w:pPr>
      <w:r>
        <w:rPr>
          <w:rFonts w:hint="eastAsia" w:ascii="宋体" w:hAnsi="宋体"/>
          <w:bCs/>
        </w:rPr>
        <w:t>表-04</w:t>
      </w:r>
      <w:r>
        <w:rPr>
          <w:rFonts w:ascii="宋体" w:hAnsi="宋体"/>
        </w:rPr>
        <w:br w:type="page"/>
      </w:r>
      <w:r>
        <w:rPr>
          <w:rFonts w:hint="eastAsia" w:ascii="宋体" w:hAnsi="宋体"/>
          <w:b/>
          <w:sz w:val="24"/>
        </w:rPr>
        <w:t>（八）</w:t>
      </w:r>
      <w:r>
        <w:rPr>
          <w:rFonts w:hint="eastAsia" w:ascii="宋体" w:hAnsi="宋体" w:cs="TimesNewRomanPSMT"/>
          <w:b/>
          <w:kern w:val="0"/>
          <w:sz w:val="24"/>
        </w:rPr>
        <w:t>分部分项工程和单价措施项目清单与计价表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311"/>
        <w:gridCol w:w="944"/>
        <w:gridCol w:w="944"/>
        <w:gridCol w:w="677"/>
        <w:gridCol w:w="1211"/>
        <w:gridCol w:w="944"/>
        <w:gridCol w:w="944"/>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序号</w:t>
            </w:r>
          </w:p>
        </w:tc>
        <w:tc>
          <w:tcPr>
            <w:tcW w:w="13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项目编码</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项目名称</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项目特</w:t>
            </w:r>
          </w:p>
          <w:p>
            <w:pPr>
              <w:spacing w:line="360" w:lineRule="auto"/>
              <w:ind w:left="-105" w:leftChars="-50" w:right="-105" w:rightChars="-50"/>
              <w:jc w:val="center"/>
              <w:rPr>
                <w:rFonts w:ascii="宋体" w:hAnsi="宋体"/>
                <w:bCs/>
              </w:rPr>
            </w:pPr>
            <w:r>
              <w:rPr>
                <w:rFonts w:hint="eastAsia" w:ascii="宋体" w:hAnsi="宋体"/>
                <w:bCs/>
              </w:rPr>
              <w:t>征描述</w:t>
            </w:r>
          </w:p>
        </w:tc>
        <w:tc>
          <w:tcPr>
            <w:tcW w:w="6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计量</w:t>
            </w:r>
          </w:p>
          <w:p>
            <w:pPr>
              <w:spacing w:line="360" w:lineRule="auto"/>
              <w:ind w:left="-105" w:leftChars="-50" w:right="-105" w:rightChars="-50"/>
              <w:jc w:val="center"/>
              <w:rPr>
                <w:rFonts w:ascii="宋体" w:hAnsi="宋体"/>
                <w:bCs/>
              </w:rPr>
            </w:pPr>
            <w:r>
              <w:rPr>
                <w:rFonts w:hint="eastAsia" w:ascii="宋体" w:hAnsi="宋体"/>
                <w:bCs/>
              </w:rPr>
              <w:t>单位</w:t>
            </w:r>
          </w:p>
        </w:tc>
        <w:tc>
          <w:tcPr>
            <w:tcW w:w="12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工程量</w:t>
            </w:r>
          </w:p>
        </w:tc>
        <w:tc>
          <w:tcPr>
            <w:tcW w:w="2858" w:type="dxa"/>
            <w:gridSpan w:val="3"/>
            <w:vAlign w:val="center"/>
          </w:tcPr>
          <w:p>
            <w:pPr>
              <w:spacing w:line="360" w:lineRule="auto"/>
              <w:ind w:left="-105" w:leftChars="-50" w:right="-105" w:rightChars="-50"/>
              <w:jc w:val="center"/>
              <w:rPr>
                <w:rFonts w:ascii="宋体" w:hAnsi="宋体"/>
                <w:bCs/>
              </w:rPr>
            </w:pPr>
            <w:r>
              <w:rPr>
                <w:rFonts w:hint="eastAsia" w:ascii="宋体" w:hAnsi="宋体"/>
                <w:bCs/>
              </w:rPr>
              <w:t>金  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continue"/>
            <w:vAlign w:val="center"/>
          </w:tcPr>
          <w:p>
            <w:pPr>
              <w:spacing w:line="360" w:lineRule="auto"/>
              <w:ind w:left="-105" w:leftChars="-50" w:right="-105" w:rightChars="-50"/>
              <w:jc w:val="center"/>
              <w:rPr>
                <w:rFonts w:ascii="宋体" w:hAnsi="宋体"/>
                <w:bCs/>
              </w:rPr>
            </w:pPr>
          </w:p>
        </w:tc>
        <w:tc>
          <w:tcPr>
            <w:tcW w:w="1311"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677" w:type="dxa"/>
            <w:vMerge w:val="continue"/>
            <w:vAlign w:val="center"/>
          </w:tcPr>
          <w:p>
            <w:pPr>
              <w:spacing w:line="360" w:lineRule="auto"/>
              <w:ind w:left="-105" w:leftChars="-50" w:right="-105" w:rightChars="-50"/>
              <w:jc w:val="center"/>
              <w:rPr>
                <w:rFonts w:ascii="宋体" w:hAnsi="宋体"/>
                <w:bCs/>
              </w:rPr>
            </w:pPr>
          </w:p>
        </w:tc>
        <w:tc>
          <w:tcPr>
            <w:tcW w:w="1211" w:type="dxa"/>
            <w:vMerge w:val="continue"/>
            <w:vAlign w:val="center"/>
          </w:tcPr>
          <w:p>
            <w:pPr>
              <w:spacing w:line="360" w:lineRule="auto"/>
              <w:ind w:left="-105" w:leftChars="-50" w:right="-105" w:rightChars="-50"/>
              <w:jc w:val="center"/>
              <w:rPr>
                <w:rFonts w:ascii="宋体" w:hAnsi="宋体"/>
                <w:bCs/>
              </w:rPr>
            </w:pP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综合单价</w:t>
            </w: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合价</w:t>
            </w:r>
          </w:p>
        </w:tc>
        <w:tc>
          <w:tcPr>
            <w:tcW w:w="970" w:type="dxa"/>
            <w:vAlign w:val="center"/>
          </w:tcPr>
          <w:p>
            <w:pPr>
              <w:spacing w:line="360" w:lineRule="auto"/>
              <w:ind w:left="-105" w:leftChars="-50" w:right="-105" w:rightChars="-50"/>
              <w:jc w:val="center"/>
              <w:rPr>
                <w:rFonts w:ascii="宋体" w:hAnsi="宋体"/>
                <w:bCs/>
              </w:rPr>
            </w:pPr>
            <w:r>
              <w:rPr>
                <w:rFonts w:hint="eastAsia" w:ascii="宋体" w:hAnsi="宋体"/>
                <w:bCs/>
              </w:rPr>
              <w:t>其中：</w:t>
            </w:r>
          </w:p>
          <w:p>
            <w:pPr>
              <w:spacing w:line="360" w:lineRule="auto"/>
              <w:ind w:left="-105" w:leftChars="-50" w:right="-105" w:rightChars="-50"/>
              <w:jc w:val="center"/>
              <w:rPr>
                <w:rFonts w:ascii="宋体" w:hAnsi="宋体"/>
                <w:bCs/>
              </w:rPr>
            </w:pPr>
            <w:r>
              <w:rPr>
                <w:rFonts w:hint="eastAsia" w:ascii="宋体" w:hAnsi="宋体"/>
                <w:bCs/>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本 页 小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合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bl>
    <w:p>
      <w:pPr>
        <w:spacing w:line="360" w:lineRule="auto"/>
        <w:ind w:firstLine="420" w:firstLineChars="200"/>
        <w:rPr>
          <w:rFonts w:ascii="宋体" w:hAnsi="宋体"/>
          <w:bCs/>
        </w:rPr>
      </w:pPr>
      <w:r>
        <w:rPr>
          <w:rFonts w:hint="eastAsia" w:ascii="宋体" w:hAnsi="宋体"/>
          <w:bCs/>
        </w:rPr>
        <w:t>注：为计取规费等的使用，可在表中增设其中：“定额人工费”。</w:t>
      </w:r>
    </w:p>
    <w:p>
      <w:pPr>
        <w:spacing w:line="360" w:lineRule="auto"/>
        <w:jc w:val="center"/>
        <w:rPr>
          <w:rFonts w:ascii="宋体" w:hAnsi="宋体" w:cs="TimesNewRomanPSMT"/>
          <w:b/>
          <w:kern w:val="0"/>
          <w:sz w:val="24"/>
        </w:rPr>
      </w:pPr>
      <w:r>
        <w:rPr>
          <w:rFonts w:hint="eastAsia" w:ascii="宋体" w:hAnsi="宋体"/>
          <w:bCs/>
        </w:rPr>
        <w:t>表-08</w:t>
      </w:r>
      <w:r>
        <w:rPr>
          <w:rFonts w:ascii="宋体" w:hAnsi="宋体" w:cs="TimesNewRomanPSMT"/>
          <w:kern w:val="0"/>
        </w:rPr>
        <w:br w:type="page"/>
      </w:r>
      <w:r>
        <w:rPr>
          <w:rFonts w:hint="eastAsia" w:ascii="宋体" w:hAnsi="宋体" w:cs="TimesNewRomanPSMT"/>
          <w:b/>
          <w:kern w:val="0"/>
          <w:sz w:val="24"/>
        </w:rPr>
        <w:t>（九）综合单价分析表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Layout w:type="fixed"/>
        <w:tblCellMar>
          <w:top w:w="0" w:type="dxa"/>
          <w:left w:w="108" w:type="dxa"/>
          <w:bottom w:w="0" w:type="dxa"/>
          <w:right w:w="108" w:type="dxa"/>
        </w:tblCellMar>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tblPrEx>
          <w:tblCellMar>
            <w:top w:w="0" w:type="dxa"/>
            <w:left w:w="108" w:type="dxa"/>
            <w:bottom w:w="0" w:type="dxa"/>
            <w:right w:w="108" w:type="dxa"/>
          </w:tblCellMar>
        </w:tblPrEx>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项目编码</w:t>
            </w:r>
          </w:p>
        </w:tc>
        <w:tc>
          <w:tcPr>
            <w:tcW w:w="1080"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260"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项目名称</w:t>
            </w:r>
          </w:p>
        </w:tc>
        <w:tc>
          <w:tcPr>
            <w:tcW w:w="1082"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15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计量单位</w:t>
            </w:r>
          </w:p>
        </w:tc>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901"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工程量</w:t>
            </w:r>
          </w:p>
        </w:tc>
        <w:tc>
          <w:tcPr>
            <w:tcW w:w="1034"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sz w:val="18"/>
                <w:szCs w:val="18"/>
              </w:rPr>
            </w:pPr>
          </w:p>
        </w:tc>
      </w:tr>
      <w:tr>
        <w:tblPrEx>
          <w:tblCellMar>
            <w:top w:w="0" w:type="dxa"/>
            <w:left w:w="108" w:type="dxa"/>
            <w:bottom w:w="0" w:type="dxa"/>
            <w:right w:w="108" w:type="dxa"/>
          </w:tblCellMar>
        </w:tblPrEx>
        <w:tc>
          <w:tcPr>
            <w:tcW w:w="8522" w:type="dxa"/>
            <w:gridSpan w:val="2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清单综合单价组成明细</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w:t>
            </w:r>
          </w:p>
          <w:p>
            <w:pPr>
              <w:spacing w:line="360" w:lineRule="auto"/>
              <w:jc w:val="center"/>
              <w:rPr>
                <w:rFonts w:ascii="宋体" w:hAnsi="宋体" w:cs="宋体"/>
                <w:color w:val="000000"/>
                <w:sz w:val="18"/>
                <w:szCs w:val="18"/>
              </w:rPr>
            </w:pPr>
            <w:r>
              <w:rPr>
                <w:rFonts w:hint="eastAsia" w:ascii="宋体" w:hAnsi="宋体"/>
                <w:color w:val="000000"/>
                <w:sz w:val="18"/>
                <w:szCs w:val="18"/>
              </w:rPr>
              <w:t>编号</w:t>
            </w: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定额项目</w:t>
            </w:r>
          </w:p>
          <w:p>
            <w:pPr>
              <w:spacing w:line="360" w:lineRule="auto"/>
              <w:jc w:val="center"/>
              <w:rPr>
                <w:rFonts w:ascii="宋体" w:hAnsi="宋体" w:cs="宋体"/>
                <w:color w:val="000000"/>
                <w:sz w:val="18"/>
                <w:szCs w:val="18"/>
              </w:rPr>
            </w:pPr>
            <w:r>
              <w:rPr>
                <w:rFonts w:hint="eastAsia" w:ascii="宋体" w:hAnsi="宋体"/>
                <w:color w:val="000000"/>
                <w:sz w:val="18"/>
                <w:szCs w:val="18"/>
              </w:rPr>
              <w:t>名称</w:t>
            </w: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定额</w:t>
            </w:r>
            <w:r>
              <w:rPr>
                <w:rFonts w:hint="eastAsia" w:ascii="宋体" w:hAnsi="宋体"/>
                <w:color w:val="000000"/>
                <w:sz w:val="18"/>
                <w:szCs w:val="18"/>
              </w:rPr>
              <w:br w:type="textWrapping"/>
            </w:r>
            <w:r>
              <w:rPr>
                <w:rFonts w:hint="eastAsia" w:ascii="宋体" w:hAnsi="宋体"/>
                <w:color w:val="000000"/>
                <w:sz w:val="18"/>
                <w:szCs w:val="18"/>
              </w:rPr>
              <w:t>单位</w:t>
            </w: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2791"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单价</w:t>
            </w:r>
          </w:p>
        </w:tc>
        <w:tc>
          <w:tcPr>
            <w:tcW w:w="2940"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合价</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人工单价</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ind w:firstLine="540" w:firstLineChars="300"/>
              <w:rPr>
                <w:rFonts w:ascii="宋体" w:hAnsi="宋体"/>
                <w:sz w:val="18"/>
                <w:szCs w:val="18"/>
              </w:rPr>
            </w:pPr>
            <w:r>
              <w:rPr>
                <w:rFonts w:hint="eastAsia" w:ascii="宋体" w:hAnsi="宋体"/>
                <w:sz w:val="18"/>
                <w:szCs w:val="18"/>
              </w:rPr>
              <w:t>元／工日</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未计价材料费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5582" w:type="dxa"/>
            <w:gridSpan w:val="1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清单项目综合单价</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材料费明细</w:t>
            </w:r>
          </w:p>
        </w:tc>
        <w:tc>
          <w:tcPr>
            <w:tcW w:w="3490" w:type="dxa"/>
            <w:gridSpan w:val="10"/>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主要材料名称、规格、型号</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单位</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单价</w:t>
            </w:r>
            <w:r>
              <w:rPr>
                <w:rFonts w:hint="eastAsia" w:ascii="宋体" w:hAnsi="宋体"/>
                <w:color w:val="000000"/>
                <w:sz w:val="18"/>
                <w:szCs w:val="18"/>
              </w:rPr>
              <w:br w:type="textWrapping"/>
            </w:r>
            <w:r>
              <w:rPr>
                <w:rFonts w:hint="eastAsia" w:ascii="宋体" w:hAnsi="宋体"/>
                <w:color w:val="000000"/>
                <w:sz w:val="18"/>
                <w:szCs w:val="18"/>
              </w:rPr>
              <w:t>(元)</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合价</w:t>
            </w:r>
            <w:r>
              <w:rPr>
                <w:rFonts w:hint="eastAsia" w:ascii="宋体" w:hAnsi="宋体"/>
                <w:color w:val="000000"/>
                <w:sz w:val="18"/>
                <w:szCs w:val="18"/>
              </w:rPr>
              <w:br w:type="textWrapping"/>
            </w:r>
            <w:r>
              <w:rPr>
                <w:rFonts w:hint="eastAsia" w:ascii="宋体" w:hAnsi="宋体"/>
                <w:color w:val="000000"/>
                <w:sz w:val="18"/>
                <w:szCs w:val="18"/>
              </w:rPr>
              <w:t>(元)</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暂估单价</w:t>
            </w:r>
            <w:r>
              <w:rPr>
                <w:rFonts w:hint="eastAsia" w:ascii="宋体" w:hAnsi="宋体"/>
                <w:color w:val="000000"/>
                <w:sz w:val="18"/>
                <w:szCs w:val="18"/>
              </w:rPr>
              <w:br w:type="textWrapping"/>
            </w:r>
            <w:r>
              <w:rPr>
                <w:rFonts w:hint="eastAsia" w:ascii="宋体" w:hAnsi="宋体"/>
                <w:color w:val="000000"/>
                <w:sz w:val="18"/>
                <w:szCs w:val="18"/>
              </w:rPr>
              <w:t>(元)</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暂估合价</w:t>
            </w:r>
            <w:r>
              <w:rPr>
                <w:rFonts w:hint="eastAsia" w:ascii="宋体" w:hAnsi="宋体"/>
                <w:color w:val="000000"/>
                <w:sz w:val="18"/>
                <w:szCs w:val="18"/>
              </w:rPr>
              <w:br w:type="textWrapping"/>
            </w:r>
            <w:r>
              <w:rPr>
                <w:rFonts w:hint="eastAsia" w:ascii="宋体" w:hAnsi="宋体"/>
                <w:color w:val="000000"/>
                <w:sz w:val="18"/>
                <w:szCs w:val="18"/>
              </w:rPr>
              <w:t>(元)</w:t>
            </w: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其他材料费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材料费小计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bl>
    <w:p>
      <w:pPr>
        <w:spacing w:line="360" w:lineRule="auto"/>
        <w:rPr>
          <w:rFonts w:ascii="宋体" w:hAnsi="宋体"/>
          <w:b/>
        </w:rPr>
      </w:pPr>
      <w:bookmarkStart w:id="1298" w:name="_Toc456710187"/>
      <w:bookmarkStart w:id="1299" w:name="_Toc459240814"/>
      <w:bookmarkStart w:id="1300" w:name="_Toc448005525"/>
      <w:bookmarkStart w:id="1301" w:name="_Toc459241168"/>
      <w:r>
        <w:rPr>
          <w:rFonts w:hint="eastAsia" w:ascii="宋体" w:hAnsi="宋体"/>
        </w:rPr>
        <w:t>注：1.如不使用省级或行业建设主管部门发布的计价依据，可不填定额编号、名称等；</w:t>
      </w:r>
      <w:r>
        <w:rPr>
          <w:rFonts w:hint="eastAsia" w:ascii="宋体" w:hAnsi="宋体"/>
        </w:rPr>
        <w:cr/>
      </w:r>
      <w:r>
        <w:rPr>
          <w:rFonts w:hint="eastAsia" w:ascii="宋体" w:hAnsi="宋体"/>
        </w:rPr>
        <w:t xml:space="preserve">     2.招标文件提供了暂估单价的材料，按暂估的单价填入表内“暂估单价”栏及“暂估合价”栏。                                                           表-09</w:t>
      </w:r>
      <w:r>
        <w:rPr>
          <w:rFonts w:ascii="宋体" w:hAnsi="宋体"/>
          <w:b/>
        </w:rPr>
        <w:br w:type="page"/>
      </w:r>
      <w:bookmarkStart w:id="1302" w:name="_Toc456710188"/>
      <w:bookmarkStart w:id="1303" w:name="_Toc459241169"/>
      <w:bookmarkStart w:id="1304" w:name="_Toc459240815"/>
      <w:bookmarkStart w:id="1305" w:name="_Toc448005526"/>
      <w:r>
        <w:rPr>
          <w:rFonts w:hint="eastAsia" w:ascii="宋体" w:hAnsi="宋体"/>
          <w:sz w:val="24"/>
        </w:rPr>
        <w:t>（十）总价</w:t>
      </w:r>
      <w:r>
        <w:rPr>
          <w:rFonts w:hint="eastAsia" w:ascii="宋体" w:hAnsi="宋体" w:cs="TimesNewRomanPSMT"/>
          <w:kern w:val="0"/>
          <w:sz w:val="24"/>
        </w:rPr>
        <w:t>措施项目清单与计价表</w:t>
      </w:r>
      <w:bookmarkEnd w:id="1298"/>
      <w:bookmarkEnd w:id="1299"/>
      <w:bookmarkEnd w:id="1300"/>
      <w:bookmarkEnd w:id="1301"/>
      <w:bookmarkEnd w:id="1302"/>
      <w:bookmarkEnd w:id="1303"/>
      <w:bookmarkEnd w:id="1304"/>
      <w:bookmarkEnd w:id="1305"/>
    </w:p>
    <w:p>
      <w:pPr>
        <w:spacing w:line="360" w:lineRule="auto"/>
      </w:pPr>
      <w:r>
        <w:rPr>
          <w:rFonts w:hint="eastAsia" w:ascii="宋体" w:hAnsi="宋体"/>
        </w:rPr>
        <w:t>工程名称： 　　　          　　标段：　　　　　　　　　　  第    页  共    页</w:t>
      </w:r>
    </w:p>
    <w:tbl>
      <w:tblPr>
        <w:tblStyle w:val="39"/>
        <w:tblW w:w="8475" w:type="dxa"/>
        <w:tblInd w:w="93" w:type="dxa"/>
        <w:tblLayout w:type="fixed"/>
        <w:tblCellMar>
          <w:top w:w="0" w:type="dxa"/>
          <w:left w:w="108" w:type="dxa"/>
          <w:bottom w:w="0" w:type="dxa"/>
          <w:right w:w="108" w:type="dxa"/>
        </w:tblCellMar>
      </w:tblPr>
      <w:tblGrid>
        <w:gridCol w:w="638"/>
        <w:gridCol w:w="997"/>
        <w:gridCol w:w="2160"/>
        <w:gridCol w:w="1080"/>
        <w:gridCol w:w="720"/>
        <w:gridCol w:w="576"/>
        <w:gridCol w:w="684"/>
        <w:gridCol w:w="1080"/>
        <w:gridCol w:w="540"/>
      </w:tblGrid>
      <w:tr>
        <w:tblPrEx>
          <w:tblCellMar>
            <w:top w:w="0" w:type="dxa"/>
            <w:left w:w="108" w:type="dxa"/>
            <w:bottom w:w="0" w:type="dxa"/>
            <w:right w:w="108" w:type="dxa"/>
          </w:tblCellMar>
        </w:tblPrEx>
        <w:trPr>
          <w:trHeight w:val="525" w:hRule="atLeast"/>
        </w:trPr>
        <w:tc>
          <w:tcPr>
            <w:tcW w:w="6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997"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项目编码</w:t>
            </w:r>
          </w:p>
        </w:tc>
        <w:tc>
          <w:tcPr>
            <w:tcW w:w="216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7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5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c>
          <w:tcPr>
            <w:tcW w:w="6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调整费率(%)</w:t>
            </w:r>
          </w:p>
        </w:tc>
        <w:tc>
          <w:tcPr>
            <w:tcW w:w="1080" w:type="dxa"/>
            <w:tcBorders>
              <w:top w:val="single" w:color="000000" w:sz="8" w:space="0"/>
              <w:left w:val="nil"/>
              <w:bottom w:val="single" w:color="000000" w:sz="4" w:space="0"/>
              <w:right w:val="single" w:color="auto"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调整后金额(元)</w:t>
            </w:r>
          </w:p>
        </w:tc>
        <w:tc>
          <w:tcPr>
            <w:tcW w:w="540" w:type="dxa"/>
            <w:tcBorders>
              <w:top w:val="single" w:color="000000" w:sz="8" w:space="0"/>
              <w:left w:val="single" w:color="auto" w:sz="4" w:space="0"/>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15"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安全文明施工费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夜间施工增加费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二次搬运费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冬雨季施工增加费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已完工程及设备保护费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02"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5595"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576"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8"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cs="TimesNewRomanPSMT"/>
          <w:kern w:val="0"/>
          <w:sz w:val="18"/>
          <w:szCs w:val="18"/>
        </w:rPr>
      </w:pPr>
      <w:bookmarkStart w:id="1306" w:name="_Toc459240816"/>
      <w:bookmarkStart w:id="1307" w:name="_Toc459241170"/>
      <w:bookmarkStart w:id="1308" w:name="_Toc448005527"/>
      <w:bookmarkStart w:id="1309" w:name="_Toc456710189"/>
      <w:r>
        <w:rPr>
          <w:rFonts w:hint="eastAsia" w:ascii="宋体" w:hAnsi="宋体" w:cs="TimesNewRomanPSMT"/>
          <w:kern w:val="0"/>
          <w:sz w:val="18"/>
          <w:szCs w:val="18"/>
        </w:rPr>
        <w:t xml:space="preserve">编制人（造价人员）：                    复核人（造价工程师）： </w:t>
      </w:r>
    </w:p>
    <w:p>
      <w:pPr>
        <w:spacing w:line="360" w:lineRule="auto"/>
        <w:rPr>
          <w:rFonts w:ascii="宋体" w:hAnsi="宋体" w:cs="TimesNewRomanPSMT"/>
          <w:kern w:val="0"/>
          <w:sz w:val="18"/>
          <w:szCs w:val="18"/>
        </w:rPr>
      </w:pPr>
      <w:r>
        <w:rPr>
          <w:rFonts w:hint="eastAsia" w:ascii="宋体" w:hAnsi="宋体" w:cs="TimesNewRomanPSMT"/>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pPr>
        <w:spacing w:line="360" w:lineRule="auto"/>
        <w:rPr>
          <w:rFonts w:ascii="宋体" w:hAnsi="宋体" w:cs="TimesNewRomanPSMT"/>
          <w:bCs/>
          <w:kern w:val="0"/>
          <w:sz w:val="18"/>
          <w:szCs w:val="18"/>
        </w:rPr>
      </w:pPr>
      <w:r>
        <w:rPr>
          <w:rFonts w:hint="eastAsia" w:ascii="宋体" w:hAnsi="宋体" w:cs="TimesNewRomanPSMT"/>
          <w:bCs/>
          <w:kern w:val="0"/>
          <w:sz w:val="18"/>
          <w:szCs w:val="18"/>
        </w:rPr>
        <w:t>2按施工方案计算的措施费，若无“计算基础”和“费率”的数值，也可只填“金额”数值，但应在备注栏说明施工方案出处或计算方法。</w:t>
      </w:r>
    </w:p>
    <w:p>
      <w:pPr>
        <w:spacing w:line="360" w:lineRule="auto"/>
        <w:rPr>
          <w:rFonts w:ascii="宋体" w:hAnsi="宋体" w:cs="TimesNewRomanPSMT"/>
          <w:bCs/>
          <w:kern w:val="0"/>
        </w:rPr>
      </w:pPr>
    </w:p>
    <w:p>
      <w:pPr>
        <w:spacing w:line="360" w:lineRule="auto"/>
        <w:jc w:val="center"/>
        <w:rPr>
          <w:b/>
          <w:sz w:val="24"/>
        </w:rPr>
      </w:pPr>
      <w:r>
        <w:rPr>
          <w:rFonts w:hint="eastAsia" w:ascii="宋体" w:hAnsi="宋体" w:cs="TimesNewRomanPSMT"/>
          <w:b/>
          <w:kern w:val="0"/>
        </w:rPr>
        <w:t>表-11</w:t>
      </w:r>
      <w:r>
        <w:rPr>
          <w:rFonts w:ascii="宋体" w:hAnsi="宋体"/>
        </w:rPr>
        <w:br w:type="page"/>
      </w:r>
      <w:r>
        <w:rPr>
          <w:rFonts w:hint="eastAsia" w:ascii="宋体" w:hAnsi="宋体"/>
          <w:b/>
          <w:sz w:val="24"/>
        </w:rPr>
        <w:t>（十一）</w:t>
      </w:r>
      <w:r>
        <w:rPr>
          <w:rFonts w:hint="eastAsia" w:ascii="宋体" w:hAnsi="宋体" w:cs="TimesNewRomanPSMT"/>
          <w:b/>
          <w:kern w:val="0"/>
          <w:sz w:val="24"/>
        </w:rPr>
        <w:t>其他项目清单与计价汇总表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372"/>
        <w:gridCol w:w="1645"/>
        <w:gridCol w:w="1708"/>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372"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金额（元）</w:t>
            </w:r>
          </w:p>
        </w:tc>
        <w:tc>
          <w:tcPr>
            <w:tcW w:w="1646"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1</w:t>
            </w:r>
          </w:p>
        </w:tc>
        <w:tc>
          <w:tcPr>
            <w:tcW w:w="2372" w:type="dxa"/>
            <w:vAlign w:val="center"/>
          </w:tcPr>
          <w:p>
            <w:pPr>
              <w:spacing w:line="360" w:lineRule="auto"/>
              <w:rPr>
                <w:rFonts w:ascii="宋体" w:hAnsi="宋体" w:cs="宋体"/>
                <w:color w:val="000000"/>
              </w:rPr>
            </w:pPr>
            <w:r>
              <w:rPr>
                <w:rFonts w:hint="eastAsia" w:ascii="宋体" w:hAnsi="宋体"/>
                <w:color w:val="000000"/>
              </w:rPr>
              <w:t>暂列金额</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2</w:t>
            </w:r>
          </w:p>
        </w:tc>
        <w:tc>
          <w:tcPr>
            <w:tcW w:w="2372" w:type="dxa"/>
            <w:vAlign w:val="center"/>
          </w:tcPr>
          <w:p>
            <w:pPr>
              <w:spacing w:line="360" w:lineRule="auto"/>
              <w:rPr>
                <w:rFonts w:ascii="宋体" w:hAnsi="宋体" w:cs="宋体"/>
                <w:color w:val="000000"/>
              </w:rPr>
            </w:pPr>
            <w:r>
              <w:rPr>
                <w:rFonts w:hint="eastAsia" w:ascii="宋体" w:hAnsi="宋体"/>
                <w:color w:val="000000"/>
              </w:rPr>
              <w:t>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2.1</w:t>
            </w:r>
          </w:p>
        </w:tc>
        <w:tc>
          <w:tcPr>
            <w:tcW w:w="2372" w:type="dxa"/>
            <w:vAlign w:val="center"/>
          </w:tcPr>
          <w:p>
            <w:pPr>
              <w:spacing w:line="360" w:lineRule="auto"/>
              <w:rPr>
                <w:rFonts w:ascii="宋体" w:hAnsi="宋体" w:cs="宋体"/>
                <w:color w:val="000000"/>
              </w:rPr>
            </w:pPr>
            <w:r>
              <w:rPr>
                <w:rFonts w:hint="eastAsia" w:ascii="宋体" w:hAnsi="宋体" w:cs="宋体"/>
                <w:color w:val="000000"/>
              </w:rPr>
              <w:t>材料（工程设备）暂估价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2.2</w:t>
            </w:r>
          </w:p>
        </w:tc>
        <w:tc>
          <w:tcPr>
            <w:tcW w:w="2372" w:type="dxa"/>
            <w:vAlign w:val="center"/>
          </w:tcPr>
          <w:p>
            <w:pPr>
              <w:spacing w:line="360" w:lineRule="auto"/>
              <w:rPr>
                <w:rFonts w:ascii="宋体" w:hAnsi="宋体" w:cs="宋体"/>
                <w:color w:val="000000"/>
              </w:rPr>
            </w:pPr>
            <w:r>
              <w:rPr>
                <w:rFonts w:hint="eastAsia" w:ascii="宋体" w:hAnsi="宋体" w:cs="宋体"/>
                <w:color w:val="000000"/>
              </w:rPr>
              <w:t>专业暂估价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3</w:t>
            </w:r>
          </w:p>
        </w:tc>
        <w:tc>
          <w:tcPr>
            <w:tcW w:w="2372" w:type="dxa"/>
            <w:vAlign w:val="center"/>
          </w:tcPr>
          <w:p>
            <w:pPr>
              <w:spacing w:line="360" w:lineRule="auto"/>
              <w:rPr>
                <w:rFonts w:ascii="宋体" w:hAnsi="宋体" w:cs="宋体"/>
                <w:color w:val="000000"/>
              </w:rPr>
            </w:pPr>
            <w:r>
              <w:rPr>
                <w:rFonts w:hint="eastAsia" w:ascii="宋体" w:hAnsi="宋体"/>
                <w:color w:val="000000"/>
              </w:rPr>
              <w:t>计日工</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4</w:t>
            </w:r>
          </w:p>
        </w:tc>
        <w:tc>
          <w:tcPr>
            <w:tcW w:w="2372" w:type="dxa"/>
          </w:tcPr>
          <w:p>
            <w:pPr>
              <w:spacing w:line="360" w:lineRule="auto"/>
              <w:rPr>
                <w:rFonts w:ascii="宋体" w:hAnsi="宋体"/>
              </w:rPr>
            </w:pPr>
            <w:r>
              <w:rPr>
                <w:rFonts w:hint="eastAsia" w:ascii="宋体" w:hAnsi="宋体"/>
              </w:rPr>
              <w:t>总承包服务费</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5</w:t>
            </w:r>
          </w:p>
        </w:tc>
        <w:tc>
          <w:tcPr>
            <w:tcW w:w="2372" w:type="dxa"/>
          </w:tcPr>
          <w:p>
            <w:pPr>
              <w:spacing w:line="360" w:lineRule="auto"/>
              <w:rPr>
                <w:rFonts w:ascii="宋体" w:hAnsi="宋体"/>
              </w:rPr>
            </w:pPr>
            <w:r>
              <w:rPr>
                <w:rFonts w:hint="eastAsia" w:ascii="宋体" w:hAnsi="宋体"/>
              </w:rPr>
              <w:t>索赔与现场签证</w:t>
            </w: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bl>
    <w:p>
      <w:pPr>
        <w:spacing w:line="360" w:lineRule="auto"/>
        <w:rPr>
          <w:rFonts w:ascii="宋体" w:hAnsi="宋体"/>
        </w:rPr>
      </w:pPr>
      <w:r>
        <w:rPr>
          <w:rFonts w:hint="eastAsia" w:ascii="宋体" w:hAnsi="宋体"/>
        </w:rPr>
        <w:t>注：材料（工程设备）暂估单价进入清单项目综合单价，此处不汇总。</w:t>
      </w:r>
    </w:p>
    <w:p>
      <w:pPr>
        <w:spacing w:line="360" w:lineRule="auto"/>
        <w:rPr>
          <w:rFonts w:ascii="宋体" w:hAnsi="宋体"/>
          <w:b/>
          <w:sz w:val="24"/>
        </w:rPr>
      </w:pPr>
      <w:r>
        <w:rPr>
          <w:rFonts w:hint="eastAsia"/>
        </w:rPr>
        <w:t>表-12</w:t>
      </w:r>
      <w:r>
        <w:rPr>
          <w:rFonts w:ascii="宋体" w:hAnsi="宋体"/>
        </w:rPr>
        <w:br w:type="page"/>
      </w:r>
      <w:r>
        <w:rPr>
          <w:rFonts w:hint="eastAsia" w:ascii="宋体" w:hAnsi="宋体"/>
          <w:b/>
          <w:sz w:val="24"/>
        </w:rPr>
        <w:t>（十二）</w:t>
      </w:r>
      <w:r>
        <w:rPr>
          <w:rFonts w:hint="eastAsia" w:ascii="宋体" w:hAnsi="宋体" w:cs="TimesNewRomanPSMT"/>
          <w:b/>
          <w:kern w:val="0"/>
          <w:sz w:val="24"/>
        </w:rPr>
        <w:t>暂列金额明细表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475"/>
        <w:gridCol w:w="1658"/>
        <w:gridCol w:w="1687"/>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475"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687" w:type="dxa"/>
            <w:vAlign w:val="center"/>
          </w:tcPr>
          <w:p>
            <w:pPr>
              <w:spacing w:line="360" w:lineRule="auto"/>
              <w:jc w:val="center"/>
              <w:rPr>
                <w:rFonts w:ascii="宋体" w:hAnsi="宋体" w:cs="宋体"/>
                <w:color w:val="000000"/>
              </w:rPr>
            </w:pPr>
            <w:r>
              <w:rPr>
                <w:rFonts w:hint="eastAsia" w:ascii="宋体" w:hAnsi="宋体"/>
                <w:color w:val="000000"/>
              </w:rPr>
              <w:t>暂列金额(元)</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1" w:type="dxa"/>
            <w:gridSpan w:val="3"/>
          </w:tcPr>
          <w:p>
            <w:pPr>
              <w:spacing w:line="360" w:lineRule="auto"/>
              <w:jc w:val="center"/>
              <w:rPr>
                <w:rFonts w:ascii="宋体" w:hAnsi="宋体"/>
              </w:rPr>
            </w:pPr>
            <w:r>
              <w:rPr>
                <w:rFonts w:hint="eastAsia" w:ascii="宋体" w:hAnsi="宋体"/>
              </w:rPr>
              <w:t>合   计</w:t>
            </w:r>
          </w:p>
        </w:tc>
        <w:tc>
          <w:tcPr>
            <w:tcW w:w="1687" w:type="dxa"/>
          </w:tcPr>
          <w:p>
            <w:pPr>
              <w:spacing w:line="360" w:lineRule="auto"/>
              <w:rPr>
                <w:rFonts w:ascii="宋体" w:hAnsi="宋体"/>
              </w:rPr>
            </w:pPr>
          </w:p>
        </w:tc>
        <w:tc>
          <w:tcPr>
            <w:tcW w:w="1658" w:type="dxa"/>
          </w:tcPr>
          <w:p>
            <w:pPr>
              <w:spacing w:line="360" w:lineRule="auto"/>
              <w:jc w:val="center"/>
              <w:rPr>
                <w:rFonts w:ascii="宋体" w:hAnsi="宋体"/>
              </w:rPr>
            </w:pPr>
            <w:r>
              <w:rPr>
                <w:rFonts w:hint="eastAsia" w:ascii="宋体" w:hAnsi="宋体"/>
              </w:rPr>
              <w:t>----</w:t>
            </w:r>
          </w:p>
        </w:tc>
      </w:tr>
    </w:tbl>
    <w:p>
      <w:pPr>
        <w:spacing w:line="360" w:lineRule="auto"/>
        <w:ind w:firstLine="105" w:firstLineChars="50"/>
        <w:rPr>
          <w:rFonts w:ascii="宋体" w:hAnsi="宋体" w:cs="TimesNewRomanPSMT"/>
          <w:b/>
          <w:kern w:val="0"/>
        </w:rPr>
      </w:pPr>
      <w:r>
        <w:rPr>
          <w:rFonts w:hint="eastAsia"/>
        </w:rPr>
        <w:t>注：此表由招标人填写，如不能详列，也可只列暂定金额总额。供应商应将暂定金额计入投标总价中。</w:t>
      </w:r>
      <w:bookmarkStart w:id="1310" w:name="_Toc194999276"/>
      <w:bookmarkStart w:id="1311" w:name="_Toc199152120"/>
    </w:p>
    <w:p>
      <w:pPr>
        <w:spacing w:line="360" w:lineRule="auto"/>
        <w:ind w:firstLine="105" w:firstLineChars="50"/>
        <w:rPr>
          <w:rFonts w:ascii="宋体" w:hAnsi="宋体" w:cs="TimesNewRomanPSMT"/>
          <w:b/>
          <w:kern w:val="0"/>
        </w:rPr>
      </w:pPr>
    </w:p>
    <w:p>
      <w:pPr>
        <w:spacing w:line="360" w:lineRule="auto"/>
        <w:ind w:firstLine="6171" w:firstLineChars="2939"/>
        <w:jc w:val="center"/>
        <w:rPr>
          <w:rFonts w:ascii="宋体" w:hAnsi="宋体" w:cs="TimesNewRomanPSMT"/>
          <w:b/>
          <w:kern w:val="0"/>
          <w:sz w:val="24"/>
        </w:rPr>
      </w:pPr>
      <w:r>
        <w:rPr>
          <w:rFonts w:hint="eastAsia"/>
        </w:rPr>
        <w:t>表-12-1</w:t>
      </w:r>
      <w:r>
        <w:rPr>
          <w:rFonts w:ascii="宋体" w:hAnsi="宋体" w:cs="TimesNewRomanPSMT"/>
          <w:kern w:val="0"/>
        </w:rPr>
        <w:br w:type="page"/>
      </w:r>
      <w:r>
        <w:rPr>
          <w:rFonts w:hint="eastAsia" w:ascii="宋体" w:hAnsi="宋体" w:cs="TimesNewRomanPSMT"/>
          <w:b/>
          <w:kern w:val="0"/>
          <w:sz w:val="24"/>
        </w:rPr>
        <w:t>（十三）</w:t>
      </w:r>
      <w:bookmarkEnd w:id="1310"/>
      <w:bookmarkEnd w:id="1311"/>
      <w:r>
        <w:rPr>
          <w:rFonts w:hint="eastAsia" w:ascii="宋体" w:hAnsi="宋体" w:cs="TimesNewRomanPSMT"/>
          <w:b/>
          <w:kern w:val="0"/>
          <w:sz w:val="24"/>
        </w:rPr>
        <w:t>材料（工程设备）暂估单价及调整表</w:t>
      </w:r>
    </w:p>
    <w:p>
      <w:pPr>
        <w:spacing w:line="360" w:lineRule="auto"/>
        <w:ind w:firstLine="210" w:firstLineChars="100"/>
        <w:rPr>
          <w:rFonts w:ascii="宋体" w:hAnsi="宋体"/>
        </w:rPr>
      </w:pPr>
      <w:r>
        <w:rPr>
          <w:rFonts w:hint="eastAsia" w:ascii="宋体" w:hAnsi="宋体"/>
        </w:rPr>
        <w:t>工程名称：  　　　          标段：  　　　　　　　 第   页   共   页</w:t>
      </w:r>
    </w:p>
    <w:tbl>
      <w:tblPr>
        <w:tblStyle w:val="39"/>
        <w:tblW w:w="8195" w:type="dxa"/>
        <w:tblInd w:w="93" w:type="dxa"/>
        <w:tblLayout w:type="fixed"/>
        <w:tblCellMar>
          <w:top w:w="0" w:type="dxa"/>
          <w:left w:w="108" w:type="dxa"/>
          <w:bottom w:w="0" w:type="dxa"/>
          <w:right w:w="108" w:type="dxa"/>
        </w:tblCellMar>
      </w:tblPr>
      <w:tblGrid>
        <w:gridCol w:w="540"/>
        <w:gridCol w:w="1635"/>
        <w:gridCol w:w="720"/>
        <w:gridCol w:w="540"/>
        <w:gridCol w:w="540"/>
        <w:gridCol w:w="540"/>
        <w:gridCol w:w="540"/>
        <w:gridCol w:w="540"/>
        <w:gridCol w:w="540"/>
        <w:gridCol w:w="520"/>
        <w:gridCol w:w="520"/>
        <w:gridCol w:w="1020"/>
      </w:tblGrid>
      <w:tr>
        <w:tblPrEx>
          <w:tblCellMar>
            <w:top w:w="0" w:type="dxa"/>
            <w:left w:w="108" w:type="dxa"/>
            <w:bottom w:w="0" w:type="dxa"/>
            <w:right w:w="108" w:type="dxa"/>
          </w:tblCellMar>
        </w:tblPrEx>
        <w:trPr>
          <w:trHeight w:val="360" w:hRule="atLeast"/>
        </w:trPr>
        <w:tc>
          <w:tcPr>
            <w:tcW w:w="54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63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材料(工程设备)名称、规格、型号</w:t>
            </w:r>
          </w:p>
        </w:tc>
        <w:tc>
          <w:tcPr>
            <w:tcW w:w="7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计量单位</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暂估（元）</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确认(元)</w:t>
            </w:r>
          </w:p>
        </w:tc>
        <w:tc>
          <w:tcPr>
            <w:tcW w:w="104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差额±(元)</w:t>
            </w:r>
          </w:p>
        </w:tc>
        <w:tc>
          <w:tcPr>
            <w:tcW w:w="102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54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1635"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720"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289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rPr>
          <w:rFonts w:ascii="宋体" w:hAnsi="宋体"/>
        </w:rPr>
      </w:pPr>
      <w:r>
        <w:rPr>
          <w:rFonts w:hint="eastAsia" w:ascii="宋体" w:hAnsi="宋体"/>
        </w:rPr>
        <w:t>注：1.此表由招标人填写“暂估单价”，并在备注栏说明暂估价的材料、工程设备拟用在哪些清单项目上，供应商应将上述材料、工程设备暂估单价计入工程量清单综合单价报价中。</w:t>
      </w:r>
    </w:p>
    <w:p>
      <w:pPr>
        <w:spacing w:line="360" w:lineRule="auto"/>
        <w:rPr>
          <w:rFonts w:ascii="宋体" w:hAnsi="宋体"/>
          <w:b/>
        </w:rPr>
      </w:pPr>
    </w:p>
    <w:p>
      <w:pPr>
        <w:spacing w:line="360" w:lineRule="auto"/>
        <w:rPr>
          <w:rFonts w:ascii="宋体" w:hAnsi="宋体"/>
          <w:b/>
        </w:rPr>
      </w:pPr>
    </w:p>
    <w:p>
      <w:pPr>
        <w:spacing w:line="360" w:lineRule="auto"/>
        <w:ind w:firstLine="7434" w:firstLineChars="3540"/>
        <w:jc w:val="center"/>
        <w:rPr>
          <w:rFonts w:ascii="宋体" w:hAnsi="宋体"/>
          <w:b/>
          <w:sz w:val="24"/>
        </w:rPr>
      </w:pPr>
      <w:r>
        <w:rPr>
          <w:rFonts w:hint="eastAsia"/>
        </w:rPr>
        <w:t>表-12-2</w:t>
      </w:r>
      <w:r>
        <w:br w:type="page"/>
      </w:r>
      <w:bookmarkStart w:id="1312" w:name="_Toc194999277"/>
      <w:bookmarkStart w:id="1313" w:name="_Toc199152121"/>
      <w:r>
        <w:rPr>
          <w:rFonts w:hint="eastAsia" w:ascii="宋体" w:hAnsi="宋体" w:cs="TimesNewRomanPSMT"/>
          <w:b/>
          <w:kern w:val="0"/>
          <w:sz w:val="24"/>
        </w:rPr>
        <w:t>（十四）</w:t>
      </w:r>
      <w:bookmarkEnd w:id="1312"/>
      <w:bookmarkEnd w:id="1313"/>
      <w:r>
        <w:rPr>
          <w:rFonts w:hint="eastAsia" w:ascii="宋体" w:hAnsi="宋体" w:cs="TimesNewRomanPSMT"/>
          <w:b/>
          <w:kern w:val="0"/>
          <w:sz w:val="24"/>
        </w:rPr>
        <w:t>专业工程暂估价及结算价表</w:t>
      </w:r>
    </w:p>
    <w:p>
      <w:pPr>
        <w:spacing w:line="360" w:lineRule="auto"/>
        <w:ind w:left="-136" w:leftChars="-65"/>
        <w:rPr>
          <w:rFonts w:ascii="宋体" w:hAnsi="宋体"/>
        </w:rPr>
      </w:pPr>
      <w:r>
        <w:rPr>
          <w:rFonts w:hint="eastAsia" w:ascii="宋体" w:hAnsi="宋体"/>
        </w:rPr>
        <w:t>工程名称：                 　　　标段：　　　　　　   第    页  共     页</w:t>
      </w:r>
    </w:p>
    <w:tbl>
      <w:tblPr>
        <w:tblStyle w:val="39"/>
        <w:tblW w:w="8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151"/>
        <w:gridCol w:w="1260"/>
        <w:gridCol w:w="1080"/>
        <w:gridCol w:w="1080"/>
        <w:gridCol w:w="900"/>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151" w:type="dxa"/>
            <w:vAlign w:val="center"/>
          </w:tcPr>
          <w:p>
            <w:pPr>
              <w:spacing w:line="360" w:lineRule="auto"/>
              <w:jc w:val="center"/>
              <w:rPr>
                <w:rFonts w:ascii="宋体" w:hAnsi="宋体" w:cs="宋体"/>
                <w:color w:val="000000"/>
              </w:rPr>
            </w:pPr>
            <w:r>
              <w:rPr>
                <w:rFonts w:hint="eastAsia" w:ascii="宋体" w:hAnsi="宋体"/>
                <w:color w:val="000000"/>
              </w:rPr>
              <w:t>工程名称</w:t>
            </w:r>
          </w:p>
        </w:tc>
        <w:tc>
          <w:tcPr>
            <w:tcW w:w="1260" w:type="dxa"/>
            <w:vAlign w:val="center"/>
          </w:tcPr>
          <w:p>
            <w:pPr>
              <w:spacing w:line="360" w:lineRule="auto"/>
              <w:jc w:val="center"/>
              <w:rPr>
                <w:rFonts w:ascii="宋体" w:hAnsi="宋体" w:cs="宋体"/>
                <w:color w:val="000000"/>
              </w:rPr>
            </w:pPr>
            <w:r>
              <w:rPr>
                <w:rFonts w:hint="eastAsia" w:ascii="宋体" w:hAnsi="宋体"/>
                <w:color w:val="000000"/>
              </w:rPr>
              <w:t>工程内容</w:t>
            </w:r>
          </w:p>
        </w:tc>
        <w:tc>
          <w:tcPr>
            <w:tcW w:w="1080" w:type="dxa"/>
            <w:vAlign w:val="center"/>
          </w:tcPr>
          <w:p>
            <w:pPr>
              <w:spacing w:line="360" w:lineRule="auto"/>
              <w:jc w:val="center"/>
              <w:rPr>
                <w:rFonts w:ascii="宋体" w:hAnsi="宋体" w:cs="宋体"/>
                <w:color w:val="000000"/>
              </w:rPr>
            </w:pPr>
            <w:r>
              <w:rPr>
                <w:rFonts w:hint="eastAsia" w:ascii="宋体" w:hAnsi="宋体"/>
                <w:color w:val="000000"/>
              </w:rPr>
              <w:t>暂估金额（元）</w:t>
            </w:r>
          </w:p>
        </w:tc>
        <w:tc>
          <w:tcPr>
            <w:tcW w:w="1080" w:type="dxa"/>
            <w:vAlign w:val="center"/>
          </w:tcPr>
          <w:p>
            <w:pPr>
              <w:spacing w:line="360" w:lineRule="auto"/>
              <w:jc w:val="center"/>
              <w:rPr>
                <w:rFonts w:ascii="宋体" w:hAnsi="宋体" w:cs="宋体"/>
                <w:color w:val="000000"/>
              </w:rPr>
            </w:pPr>
            <w:r>
              <w:rPr>
                <w:rFonts w:hint="eastAsia" w:ascii="宋体" w:hAnsi="宋体" w:cs="宋体"/>
                <w:color w:val="000000"/>
              </w:rPr>
              <w:t>结算金额（元）</w:t>
            </w:r>
          </w:p>
        </w:tc>
        <w:tc>
          <w:tcPr>
            <w:tcW w:w="900" w:type="dxa"/>
            <w:vAlign w:val="center"/>
          </w:tcPr>
          <w:p>
            <w:pPr>
              <w:spacing w:line="360" w:lineRule="auto"/>
              <w:jc w:val="center"/>
              <w:rPr>
                <w:rFonts w:ascii="宋体" w:hAnsi="宋体" w:cs="宋体"/>
                <w:color w:val="000000"/>
              </w:rPr>
            </w:pPr>
            <w:r>
              <w:rPr>
                <w:rFonts w:hint="eastAsia" w:ascii="宋体" w:hAnsi="宋体" w:cs="宋体"/>
                <w:color w:val="000000"/>
              </w:rPr>
              <w:t>差额±（元）</w:t>
            </w:r>
          </w:p>
        </w:tc>
        <w:tc>
          <w:tcPr>
            <w:tcW w:w="932"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gridSpan w:val="3"/>
          </w:tcPr>
          <w:p>
            <w:pPr>
              <w:spacing w:line="360" w:lineRule="auto"/>
              <w:jc w:val="center"/>
              <w:rPr>
                <w:rFonts w:ascii="宋体" w:hAnsi="宋体"/>
              </w:rPr>
            </w:pPr>
            <w:r>
              <w:rPr>
                <w:rFonts w:hint="eastAsia" w:ascii="宋体" w:hAnsi="宋体"/>
              </w:rPr>
              <w:t>合    计</w:t>
            </w: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bl>
    <w:p>
      <w:pPr>
        <w:spacing w:line="360" w:lineRule="auto"/>
        <w:ind w:left="-136" w:leftChars="-65"/>
        <w:rPr>
          <w:rFonts w:ascii="宋体" w:hAnsi="宋体"/>
          <w:b/>
        </w:rPr>
      </w:pPr>
      <w:r>
        <w:rPr>
          <w:rFonts w:hint="eastAsia" w:ascii="宋体" w:hAnsi="宋体"/>
        </w:rPr>
        <w:t>　注：此表“暂估金额”由招标人填写，供应商应将“暂估金额”计入投标总价中。结算时按合同约定结算金额填写。</w:t>
      </w:r>
    </w:p>
    <w:p>
      <w:pPr>
        <w:spacing w:line="360" w:lineRule="auto"/>
        <w:ind w:left="-136" w:leftChars="-65" w:firstLine="6607" w:firstLineChars="3134"/>
        <w:rPr>
          <w:rFonts w:ascii="宋体" w:hAnsi="宋体"/>
          <w:b/>
        </w:rPr>
      </w:pPr>
    </w:p>
    <w:p>
      <w:pPr>
        <w:spacing w:line="360" w:lineRule="auto"/>
        <w:ind w:left="-136" w:leftChars="-65" w:firstLine="7455" w:firstLineChars="3550"/>
        <w:jc w:val="center"/>
        <w:rPr>
          <w:rFonts w:ascii="宋体" w:hAnsi="宋体"/>
          <w:b/>
          <w:sz w:val="24"/>
        </w:rPr>
      </w:pPr>
      <w:r>
        <w:rPr>
          <w:rFonts w:hint="eastAsia"/>
        </w:rPr>
        <w:t>表-12-3</w:t>
      </w:r>
      <w:r>
        <w:br w:type="page"/>
      </w:r>
      <w:r>
        <w:rPr>
          <w:rFonts w:hint="eastAsia" w:ascii="宋体" w:hAnsi="宋体"/>
          <w:b/>
          <w:sz w:val="24"/>
        </w:rPr>
        <w:t>(十五)计日工表</w:t>
      </w:r>
    </w:p>
    <w:p>
      <w:pPr>
        <w:spacing w:line="360" w:lineRule="auto"/>
      </w:pPr>
    </w:p>
    <w:p>
      <w:pPr>
        <w:spacing w:line="360" w:lineRule="auto"/>
      </w:pPr>
      <w:r>
        <w:rPr>
          <w:rFonts w:hint="eastAsia"/>
        </w:rPr>
        <w:t xml:space="preserve">   工程名称：                      标段：                第   页   共  页</w:t>
      </w:r>
    </w:p>
    <w:tbl>
      <w:tblPr>
        <w:tblStyle w:val="39"/>
        <w:tblW w:w="8144" w:type="dxa"/>
        <w:tblInd w:w="93" w:type="dxa"/>
        <w:tblLayout w:type="fixed"/>
        <w:tblCellMar>
          <w:top w:w="0" w:type="dxa"/>
          <w:left w:w="108" w:type="dxa"/>
          <w:bottom w:w="0" w:type="dxa"/>
          <w:right w:w="108" w:type="dxa"/>
        </w:tblCellMar>
      </w:tblPr>
      <w:tblGrid>
        <w:gridCol w:w="810"/>
        <w:gridCol w:w="1829"/>
        <w:gridCol w:w="974"/>
        <w:gridCol w:w="1047"/>
        <w:gridCol w:w="953"/>
        <w:gridCol w:w="1041"/>
        <w:gridCol w:w="733"/>
        <w:gridCol w:w="757"/>
      </w:tblGrid>
      <w:tr>
        <w:tblPrEx>
          <w:tblCellMar>
            <w:top w:w="0" w:type="dxa"/>
            <w:left w:w="108" w:type="dxa"/>
            <w:bottom w:w="0" w:type="dxa"/>
            <w:right w:w="108" w:type="dxa"/>
          </w:tblCellMar>
        </w:tblPrEx>
        <w:trPr>
          <w:trHeight w:val="300" w:hRule="atLeast"/>
        </w:trPr>
        <w:tc>
          <w:tcPr>
            <w:tcW w:w="81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编号</w:t>
            </w:r>
          </w:p>
        </w:tc>
        <w:tc>
          <w:tcPr>
            <w:tcW w:w="182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项目名称</w:t>
            </w:r>
          </w:p>
        </w:tc>
        <w:tc>
          <w:tcPr>
            <w:tcW w:w="9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10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暂定数量</w:t>
            </w:r>
          </w:p>
        </w:tc>
        <w:tc>
          <w:tcPr>
            <w:tcW w:w="95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实际数量</w:t>
            </w:r>
          </w:p>
        </w:tc>
        <w:tc>
          <w:tcPr>
            <w:tcW w:w="10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综合单价(元)</w:t>
            </w:r>
          </w:p>
        </w:tc>
        <w:tc>
          <w:tcPr>
            <w:tcW w:w="1490" w:type="dxa"/>
            <w:gridSpan w:val="2"/>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合价</w:t>
            </w:r>
          </w:p>
        </w:tc>
      </w:tr>
      <w:tr>
        <w:tblPrEx>
          <w:tblCellMar>
            <w:top w:w="0" w:type="dxa"/>
            <w:left w:w="108" w:type="dxa"/>
            <w:bottom w:w="0" w:type="dxa"/>
            <w:right w:w="108" w:type="dxa"/>
          </w:tblCellMar>
        </w:tblPrEx>
        <w:trPr>
          <w:trHeight w:val="300" w:hRule="atLeast"/>
        </w:trPr>
        <w:tc>
          <w:tcPr>
            <w:tcW w:w="81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829"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74"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7"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53"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1"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一</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人   工</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人工小计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二</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材   料</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1</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三</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施  工  机   械</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施工机械小计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rPr>
                <w:rFonts w:ascii="宋体" w:hAnsi="宋体" w:cs="宋体"/>
                <w:color w:val="000000"/>
                <w:kern w:val="0"/>
              </w:rPr>
            </w:pPr>
            <w:r>
              <w:rPr>
                <w:rFonts w:hint="eastAsia" w:ascii="宋体" w:hAnsi="宋体" w:cs="宋体"/>
                <w:color w:val="000000"/>
                <w:kern w:val="0"/>
              </w:rPr>
              <w:t>四、企业管理费和利润</w:t>
            </w:r>
          </w:p>
        </w:tc>
        <w:tc>
          <w:tcPr>
            <w:tcW w:w="733" w:type="dxa"/>
            <w:tcBorders>
              <w:top w:val="nil"/>
              <w:left w:val="nil"/>
              <w:bottom w:val="nil"/>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nil"/>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总    计</w:t>
            </w:r>
          </w:p>
        </w:tc>
        <w:tc>
          <w:tcPr>
            <w:tcW w:w="733"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bl>
    <w:p>
      <w:pPr>
        <w:spacing w:line="360" w:lineRule="auto"/>
        <w:ind w:firstLine="315" w:firstLineChars="150"/>
      </w:pPr>
      <w:r>
        <w:rPr>
          <w:rFonts w:hint="eastAsia"/>
        </w:rPr>
        <w:t>注：此表项目名称、暂定数量由招标人填写，编制招标控制价时，单价由招标人按有关计价规定确定；投标时，单价由供应商自主报价，按暂定数量计算合价计入投标总价中。结算时，按发承包双方确认的实际数量计算合价。</w:t>
      </w:r>
    </w:p>
    <w:p>
      <w:pPr>
        <w:spacing w:line="360" w:lineRule="auto"/>
        <w:jc w:val="center"/>
      </w:pPr>
      <w:r>
        <w:rPr>
          <w:rFonts w:hint="eastAsia"/>
        </w:rPr>
        <w:t xml:space="preserve">                                                                     表-12-4</w:t>
      </w:r>
    </w:p>
    <w:p>
      <w:pPr>
        <w:spacing w:line="360" w:lineRule="auto"/>
        <w:jc w:val="center"/>
        <w:rPr>
          <w:b/>
          <w:sz w:val="24"/>
        </w:rPr>
      </w:pPr>
      <w:r>
        <w:br w:type="page"/>
      </w:r>
      <w:r>
        <w:rPr>
          <w:rFonts w:hint="eastAsia"/>
          <w:b/>
          <w:sz w:val="24"/>
        </w:rPr>
        <w:t>（十六）总承包服务费计价表</w:t>
      </w:r>
    </w:p>
    <w:p>
      <w:pPr>
        <w:spacing w:line="360" w:lineRule="auto"/>
        <w:jc w:val="center"/>
        <w:rPr>
          <w:b/>
        </w:rPr>
      </w:pPr>
    </w:p>
    <w:p>
      <w:pPr>
        <w:spacing w:line="360" w:lineRule="auto"/>
      </w:pPr>
      <w:r>
        <w:rPr>
          <w:rFonts w:hint="eastAsia"/>
        </w:rPr>
        <w:t xml:space="preserve">  工程名称：                        标段：                             第  页  共  页</w:t>
      </w:r>
    </w:p>
    <w:tbl>
      <w:tblPr>
        <w:tblStyle w:val="39"/>
        <w:tblW w:w="9229" w:type="dxa"/>
        <w:tblInd w:w="93" w:type="dxa"/>
        <w:tblLayout w:type="fixed"/>
        <w:tblCellMar>
          <w:top w:w="0" w:type="dxa"/>
          <w:left w:w="108" w:type="dxa"/>
          <w:bottom w:w="0" w:type="dxa"/>
          <w:right w:w="108" w:type="dxa"/>
        </w:tblCellMar>
      </w:tblPr>
      <w:tblGrid>
        <w:gridCol w:w="961"/>
        <w:gridCol w:w="2244"/>
        <w:gridCol w:w="1152"/>
        <w:gridCol w:w="1328"/>
        <w:gridCol w:w="1276"/>
        <w:gridCol w:w="1134"/>
        <w:gridCol w:w="1134"/>
      </w:tblGrid>
      <w:tr>
        <w:tblPrEx>
          <w:tblCellMar>
            <w:top w:w="0" w:type="dxa"/>
            <w:left w:w="108" w:type="dxa"/>
            <w:bottom w:w="0" w:type="dxa"/>
            <w:right w:w="108" w:type="dxa"/>
          </w:tblCellMar>
        </w:tblPrEx>
        <w:trPr>
          <w:trHeight w:val="360" w:hRule="atLeast"/>
        </w:trPr>
        <w:tc>
          <w:tcPr>
            <w:tcW w:w="96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24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15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项目价值(元)</w:t>
            </w:r>
          </w:p>
        </w:tc>
        <w:tc>
          <w:tcPr>
            <w:tcW w:w="132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服务内容</w:t>
            </w:r>
          </w:p>
        </w:tc>
        <w:tc>
          <w:tcPr>
            <w:tcW w:w="12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发包人发包专业工程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发包人提供材料</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合  计</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注：此表项目名称、服务内容由招标人填写，编制招标控制价时，费率及金额由招标人按有关计价规定确定；投标时，费率及金额由供应商自主报价，计入投标总价中。</w:t>
      </w:r>
    </w:p>
    <w:p>
      <w:pPr>
        <w:spacing w:line="360" w:lineRule="auto"/>
        <w:jc w:val="center"/>
      </w:pPr>
    </w:p>
    <w:p>
      <w:pPr>
        <w:spacing w:line="360" w:lineRule="auto"/>
        <w:jc w:val="center"/>
        <w:rPr>
          <w:b/>
        </w:rPr>
      </w:pPr>
      <w:r>
        <w:rPr>
          <w:rFonts w:hint="eastAsia" w:ascii="宋体" w:hAnsi="宋体"/>
        </w:rPr>
        <w:t>表-12-5</w:t>
      </w:r>
      <w:r>
        <w:rPr>
          <w:rFonts w:ascii="宋体" w:hAnsi="宋体"/>
        </w:rPr>
        <w:br w:type="page"/>
      </w:r>
      <w:r>
        <w:rPr>
          <w:rFonts w:hint="eastAsia"/>
          <w:b/>
          <w:sz w:val="24"/>
        </w:rPr>
        <w:t>（十七）规费、税金项目计价表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666"/>
        <w:gridCol w:w="1986"/>
        <w:gridCol w:w="2966"/>
        <w:gridCol w:w="1194"/>
        <w:gridCol w:w="1283"/>
        <w:gridCol w:w="992"/>
      </w:tblGrid>
      <w:tr>
        <w:tblPrEx>
          <w:tblCellMar>
            <w:top w:w="0" w:type="dxa"/>
            <w:left w:w="108" w:type="dxa"/>
            <w:bottom w:w="0" w:type="dxa"/>
            <w:right w:w="108" w:type="dxa"/>
          </w:tblCellMar>
        </w:tblPrEx>
        <w:trPr>
          <w:trHeight w:val="345" w:hRule="atLeast"/>
        </w:trPr>
        <w:tc>
          <w:tcPr>
            <w:tcW w:w="666"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98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296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9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计算基数</w:t>
            </w:r>
          </w:p>
        </w:tc>
        <w:tc>
          <w:tcPr>
            <w:tcW w:w="1283"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计算费率(%)</w:t>
            </w:r>
          </w:p>
        </w:tc>
        <w:tc>
          <w:tcPr>
            <w:tcW w:w="992"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75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规费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社会保障费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养老保险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失业保险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医疗保险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工伤保险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生育保险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住房公积金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工程排污费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按工程所在地环境保护部门收取标准，按实计入</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税金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分部分项工程费+措施项目费+其他项目费+规费-按规定不计税的工程设备金额</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812" w:type="dxa"/>
            <w:gridSpan w:val="4"/>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编制人（造价人员）：                         复核人（造价工程师）：</w:t>
      </w:r>
    </w:p>
    <w:p>
      <w:pPr>
        <w:spacing w:line="360" w:lineRule="auto"/>
        <w:ind w:firstLine="210" w:firstLineChars="100"/>
      </w:pPr>
    </w:p>
    <w:p>
      <w:pPr>
        <w:spacing w:line="360" w:lineRule="auto"/>
        <w:ind w:firstLine="210" w:firstLineChars="100"/>
        <w:jc w:val="center"/>
      </w:pPr>
    </w:p>
    <w:p>
      <w:pPr>
        <w:spacing w:line="360" w:lineRule="auto"/>
        <w:ind w:firstLine="210" w:firstLineChars="100"/>
        <w:jc w:val="center"/>
        <w:rPr>
          <w:b/>
          <w:sz w:val="24"/>
        </w:rPr>
      </w:pPr>
      <w:r>
        <w:rPr>
          <w:rFonts w:hint="eastAsia" w:ascii="宋体" w:hAnsi="宋体"/>
        </w:rPr>
        <w:t xml:space="preserve">                                                         表-13</w:t>
      </w:r>
      <w:r>
        <w:br w:type="page"/>
      </w:r>
      <w:r>
        <w:rPr>
          <w:rFonts w:hint="eastAsia"/>
          <w:b/>
          <w:sz w:val="24"/>
        </w:rPr>
        <w:t>（十八）发包人提供材料和工程设备一览表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12"/>
        <w:gridCol w:w="1955"/>
        <w:gridCol w:w="668"/>
        <w:gridCol w:w="992"/>
        <w:gridCol w:w="1080"/>
        <w:gridCol w:w="1596"/>
        <w:gridCol w:w="1134"/>
        <w:gridCol w:w="850"/>
      </w:tblGrid>
      <w:tr>
        <w:tblPrEx>
          <w:tblCellMar>
            <w:top w:w="0" w:type="dxa"/>
            <w:left w:w="108" w:type="dxa"/>
            <w:bottom w:w="0" w:type="dxa"/>
            <w:right w:w="108" w:type="dxa"/>
          </w:tblCellMar>
        </w:tblPrEx>
        <w:trPr>
          <w:trHeight w:val="525" w:hRule="atLeast"/>
        </w:trPr>
        <w:tc>
          <w:tcPr>
            <w:tcW w:w="81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195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材料(工程设备)名称、规格、型号</w:t>
            </w:r>
          </w:p>
        </w:tc>
        <w:tc>
          <w:tcPr>
            <w:tcW w:w="66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9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数量</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单价(元)</w:t>
            </w:r>
          </w:p>
        </w:tc>
        <w:tc>
          <w:tcPr>
            <w:tcW w:w="159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交货方式</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送达地点</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备注</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bl>
    <w:p>
      <w:pPr>
        <w:spacing w:line="360" w:lineRule="auto"/>
        <w:ind w:firstLine="210" w:firstLineChars="100"/>
      </w:pPr>
      <w:r>
        <w:rPr>
          <w:rFonts w:hint="eastAsia"/>
        </w:rPr>
        <w:t>注：此表由招标人填写，供供应商在投标报价，确定总承包服务费时参考。</w:t>
      </w:r>
    </w:p>
    <w:p>
      <w:pPr>
        <w:spacing w:line="360" w:lineRule="auto"/>
      </w:pPr>
      <w:r>
        <w:rPr>
          <w:rFonts w:hint="eastAsia"/>
        </w:rPr>
        <w:t xml:space="preserve">                                                          表-20</w:t>
      </w:r>
    </w:p>
    <w:p>
      <w:pPr>
        <w:spacing w:line="360" w:lineRule="auto"/>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r>
        <w:rPr>
          <w:rFonts w:hint="eastAsia"/>
          <w:b/>
          <w:sz w:val="24"/>
        </w:rPr>
        <w:t>（十九）承包人提供主要材料和工程设备一览表</w:t>
      </w:r>
    </w:p>
    <w:p>
      <w:pPr>
        <w:spacing w:line="360" w:lineRule="auto"/>
        <w:jc w:val="center"/>
        <w:rPr>
          <w:b/>
        </w:rPr>
      </w:pPr>
    </w:p>
    <w:p>
      <w:pPr>
        <w:spacing w:line="360" w:lineRule="auto"/>
        <w:jc w:val="center"/>
      </w:pPr>
      <w:r>
        <w:rPr>
          <w:rFonts w:hint="eastAsia"/>
        </w:rPr>
        <w:t>（适用于造价信息差额调整法）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702"/>
        <w:gridCol w:w="1781"/>
        <w:gridCol w:w="546"/>
        <w:gridCol w:w="558"/>
        <w:gridCol w:w="1211"/>
        <w:gridCol w:w="820"/>
        <w:gridCol w:w="924"/>
        <w:gridCol w:w="1695"/>
        <w:gridCol w:w="850"/>
      </w:tblGrid>
      <w:tr>
        <w:tblPrEx>
          <w:tblCellMar>
            <w:top w:w="0" w:type="dxa"/>
            <w:left w:w="108" w:type="dxa"/>
            <w:bottom w:w="0" w:type="dxa"/>
            <w:right w:w="108" w:type="dxa"/>
          </w:tblCellMar>
        </w:tblPrEx>
        <w:trPr>
          <w:trHeight w:val="525" w:hRule="atLeast"/>
        </w:trPr>
        <w:tc>
          <w:tcPr>
            <w:tcW w:w="70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78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54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单位</w:t>
            </w:r>
          </w:p>
        </w:tc>
        <w:tc>
          <w:tcPr>
            <w:tcW w:w="55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21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风险系数%</w:t>
            </w:r>
          </w:p>
        </w:tc>
        <w:tc>
          <w:tcPr>
            <w:tcW w:w="8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基准单价</w:t>
            </w:r>
          </w:p>
        </w:tc>
        <w:tc>
          <w:tcPr>
            <w:tcW w:w="92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投标单价（元）</w:t>
            </w:r>
          </w:p>
        </w:tc>
        <w:tc>
          <w:tcPr>
            <w:tcW w:w="169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发承包人确认单价(元)</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pPr>
      <w:r>
        <w:rPr>
          <w:rFonts w:hint="eastAsia"/>
        </w:rPr>
        <w:t>注：1  此表由招标人填写除“投标单价”栏的内容，供应商在投标时自主确定投标单价。</w:t>
      </w:r>
    </w:p>
    <w:p>
      <w:pPr>
        <w:spacing w:line="360" w:lineRule="auto"/>
      </w:pPr>
      <w:r>
        <w:rPr>
          <w:rFonts w:hint="eastAsia"/>
        </w:rPr>
        <w:t xml:space="preserve">    2  招标人应优先采用工程造价管理机构发布的单价作为基准单价，未发布的，通过市场调查确定其基准单价。</w:t>
      </w:r>
    </w:p>
    <w:p>
      <w:pPr>
        <w:spacing w:line="360" w:lineRule="auto"/>
        <w:ind w:firstLine="4935" w:firstLineChars="2350"/>
        <w:rPr>
          <w:rFonts w:ascii="宋体" w:hAnsi="宋体"/>
        </w:rPr>
      </w:pPr>
    </w:p>
    <w:p>
      <w:pPr>
        <w:spacing w:line="360" w:lineRule="auto"/>
        <w:ind w:firstLine="4935" w:firstLineChars="2350"/>
        <w:rPr>
          <w:rFonts w:ascii="宋体" w:hAnsi="宋体"/>
        </w:rPr>
      </w:pPr>
    </w:p>
    <w:p>
      <w:pPr>
        <w:spacing w:line="360" w:lineRule="auto"/>
        <w:ind w:right="420"/>
        <w:jc w:val="right"/>
        <w:rPr>
          <w:rFonts w:ascii="宋体" w:hAnsi="宋体"/>
        </w:rPr>
      </w:pPr>
      <w:r>
        <w:rPr>
          <w:rFonts w:hint="eastAsia" w:ascii="宋体" w:hAnsi="宋体"/>
        </w:rPr>
        <w:t>表-21</w:t>
      </w:r>
    </w:p>
    <w:p>
      <w:pPr>
        <w:spacing w:line="360" w:lineRule="auto"/>
        <w:jc w:val="center"/>
        <w:rPr>
          <w:b/>
          <w:sz w:val="24"/>
        </w:rPr>
      </w:pPr>
      <w:r>
        <w:br w:type="page"/>
      </w:r>
      <w:r>
        <w:rPr>
          <w:rFonts w:hint="eastAsia"/>
          <w:b/>
          <w:sz w:val="24"/>
        </w:rPr>
        <w:t>（二十）承包人提供主要材料和工程设备一览表</w:t>
      </w:r>
    </w:p>
    <w:p>
      <w:pPr>
        <w:spacing w:line="360" w:lineRule="auto"/>
        <w:jc w:val="center"/>
      </w:pPr>
      <w:r>
        <w:rPr>
          <w:rFonts w:hint="eastAsia"/>
        </w:rPr>
        <w:t>（适用于价格指数差额调整法）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69"/>
        <w:gridCol w:w="2188"/>
        <w:gridCol w:w="1120"/>
        <w:gridCol w:w="1792"/>
        <w:gridCol w:w="1984"/>
        <w:gridCol w:w="1134"/>
      </w:tblGrid>
      <w:tr>
        <w:tblPrEx>
          <w:tblCellMar>
            <w:top w:w="0" w:type="dxa"/>
            <w:left w:w="108" w:type="dxa"/>
            <w:bottom w:w="0" w:type="dxa"/>
            <w:right w:w="108" w:type="dxa"/>
          </w:tblCellMar>
        </w:tblPrEx>
        <w:trPr>
          <w:trHeight w:val="465" w:hRule="atLeast"/>
        </w:trPr>
        <w:tc>
          <w:tcPr>
            <w:tcW w:w="86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18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11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变值权重B</w:t>
            </w:r>
          </w:p>
        </w:tc>
        <w:tc>
          <w:tcPr>
            <w:tcW w:w="17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基本价格指数F0</w:t>
            </w:r>
          </w:p>
        </w:tc>
        <w:tc>
          <w:tcPr>
            <w:tcW w:w="19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现行价格指数F1</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定值权重A</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405" w:hRule="atLeast"/>
        </w:trPr>
        <w:tc>
          <w:tcPr>
            <w:tcW w:w="3057" w:type="dxa"/>
            <w:gridSpan w:val="2"/>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1120"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1792"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rPr>
      </w:pPr>
      <w:r>
        <w:rPr>
          <w:rFonts w:hint="eastAsia" w:ascii="宋体" w:hAnsi="宋体"/>
        </w:rPr>
        <w:t>注：1  “名称、规格、型号”、“基本价格指数”栏由招标人填写，基本价格指数应首先采用工程造价管理机构发布的价格指数，没有时，可采用发布的价格代替。如人工、机械费也采用本法调整，由招标人在“名称”栏填写。</w:t>
      </w:r>
    </w:p>
    <w:p>
      <w:pPr>
        <w:spacing w:line="360" w:lineRule="auto"/>
        <w:ind w:firstLine="630" w:firstLineChars="300"/>
        <w:rPr>
          <w:rFonts w:ascii="宋体" w:hAnsi="宋体"/>
        </w:rPr>
      </w:pPr>
      <w:r>
        <w:rPr>
          <w:rFonts w:hint="eastAsia" w:ascii="宋体" w:hAnsi="宋体"/>
        </w:rPr>
        <w:t>2  “变值权重”栏由供应商根据该项人工、机械费和材料、工程设备价值在投标总报价中所占的比例填写，1减去其比例为定值权重。</w:t>
      </w:r>
    </w:p>
    <w:p>
      <w:pPr>
        <w:spacing w:line="360" w:lineRule="auto"/>
        <w:ind w:firstLine="630" w:firstLineChars="300"/>
        <w:rPr>
          <w:rFonts w:ascii="宋体" w:hAnsi="宋体"/>
        </w:rPr>
      </w:pPr>
      <w:r>
        <w:rPr>
          <w:rFonts w:hint="eastAsia" w:ascii="宋体" w:hAnsi="宋体"/>
        </w:rPr>
        <w:t>3   “现行价格指数”按约定的付款证书相关周期最后一天的前42天的各项价格指数填写，该指数应首先采用工程造价管理机构发布的价格指数，没有时，可采用发布的价格代替。</w:t>
      </w:r>
    </w:p>
    <w:p>
      <w:pPr>
        <w:spacing w:line="360" w:lineRule="auto"/>
        <w:rPr>
          <w:rFonts w:ascii="宋体" w:hAnsi="宋体" w:cs="TimesNewRomanPSMT"/>
          <w:kern w:val="0"/>
        </w:rPr>
      </w:pPr>
    </w:p>
    <w:p>
      <w:pPr>
        <w:spacing w:line="360" w:lineRule="auto"/>
        <w:rPr>
          <w:rFonts w:ascii="宋体" w:hAnsi="宋体" w:cs="宋体"/>
          <w:bCs/>
          <w:color w:val="000000"/>
          <w:kern w:val="0"/>
          <w:sz w:val="24"/>
        </w:rPr>
      </w:pPr>
      <w:r>
        <w:rPr>
          <w:rFonts w:hint="eastAsia" w:ascii="宋体" w:hAnsi="宋体" w:cs="TimesNewRomanPSMT"/>
          <w:kern w:val="0"/>
        </w:rPr>
        <w:t xml:space="preserve">                                                                               表-22</w:t>
      </w:r>
      <w:bookmarkEnd w:id="1295"/>
      <w:r>
        <w:rPr>
          <w:rFonts w:hint="eastAsia" w:ascii="宋体" w:hAnsi="宋体" w:cs="宋体"/>
          <w:color w:val="000000"/>
          <w:sz w:val="24"/>
        </w:rPr>
        <w:br w:type="page"/>
      </w:r>
    </w:p>
    <w:p>
      <w:pPr>
        <w:pStyle w:val="3"/>
        <w:spacing w:before="120" w:after="120" w:line="360" w:lineRule="auto"/>
        <w:jc w:val="left"/>
        <w:rPr>
          <w:rFonts w:ascii="宋体" w:hAnsi="宋体" w:eastAsia="宋体" w:cs="TimesNewRomanPSMT"/>
          <w:color w:val="000000"/>
          <w:kern w:val="0"/>
          <w:sz w:val="28"/>
          <w:szCs w:val="28"/>
        </w:rPr>
      </w:pPr>
      <w:bookmarkStart w:id="1314" w:name="_Toc9865"/>
      <w:bookmarkStart w:id="1315" w:name="_Toc415209345"/>
      <w:bookmarkStart w:id="1316" w:name="_Toc194999269"/>
      <w:bookmarkStart w:id="1317" w:name="_Toc199152112"/>
      <w:r>
        <w:rPr>
          <w:rFonts w:hint="eastAsia" w:ascii="宋体" w:hAnsi="宋体" w:eastAsia="宋体" w:cs="TimesNewRomanPSMT"/>
          <w:color w:val="000000"/>
          <w:kern w:val="0"/>
          <w:sz w:val="28"/>
          <w:szCs w:val="28"/>
        </w:rPr>
        <w:t xml:space="preserve">  九、施工组织设计</w:t>
      </w:r>
      <w:bookmarkEnd w:id="1314"/>
      <w:bookmarkEnd w:id="1315"/>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施工组织设计除采用文字表述外可附下列图表，图表及格式要求附后。</w:t>
      </w:r>
    </w:p>
    <w:p>
      <w:pPr>
        <w:autoSpaceDE w:val="0"/>
        <w:autoSpaceDN w:val="0"/>
        <w:adjustRightInd w:val="0"/>
        <w:spacing w:line="360" w:lineRule="auto"/>
        <w:ind w:firstLine="480" w:firstLineChars="20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附表一拟投入本标段的主要施工设备表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附表二 劳动力计划表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附表三 计划开、竣工日期和施工进度网络图或横道图</w:t>
      </w:r>
    </w:p>
    <w:p>
      <w:pPr>
        <w:autoSpaceDE w:val="0"/>
        <w:autoSpaceDN w:val="0"/>
        <w:adjustRightIn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附表四 施工总平面图</w:t>
      </w:r>
    </w:p>
    <w:p>
      <w:pPr>
        <w:keepNext/>
        <w:keepLines/>
        <w:spacing w:before="120" w:after="120" w:line="360" w:lineRule="auto"/>
        <w:jc w:val="center"/>
        <w:rPr>
          <w:rFonts w:ascii="宋体" w:hAnsi="宋体" w:cs="宋体"/>
          <w:color w:val="000000"/>
          <w:kern w:val="0"/>
          <w:sz w:val="24"/>
        </w:rPr>
      </w:pPr>
      <w:r>
        <w:rPr>
          <w:rFonts w:hint="eastAsia" w:ascii="宋体" w:hAnsi="宋体" w:cs="宋体"/>
          <w:color w:val="000000"/>
          <w:kern w:val="0"/>
          <w:sz w:val="24"/>
        </w:rPr>
        <w:br w:type="page"/>
      </w:r>
    </w:p>
    <w:bookmarkEnd w:id="1316"/>
    <w:bookmarkEnd w:id="1317"/>
    <w:p>
      <w:pPr>
        <w:pStyle w:val="4"/>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4999270"/>
      <w:bookmarkStart w:id="1321" w:name="_Toc199152114"/>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附表一：拟投入本标段的主要施工设备表</w:t>
      </w:r>
      <w:bookmarkEnd w:id="1318"/>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spacing w:line="360" w:lineRule="auto"/>
              <w:jc w:val="center"/>
              <w:rPr>
                <w:rFonts w:ascii="宋体" w:hAnsi="宋体"/>
                <w:b/>
                <w:color w:val="000000"/>
                <w:szCs w:val="21"/>
              </w:rPr>
            </w:pPr>
            <w:r>
              <w:rPr>
                <w:rFonts w:hint="eastAsia" w:ascii="宋体" w:hAnsi="宋体"/>
                <w:b/>
                <w:color w:val="000000"/>
                <w:szCs w:val="21"/>
              </w:rPr>
              <w:t>序号</w:t>
            </w:r>
          </w:p>
        </w:tc>
        <w:tc>
          <w:tcPr>
            <w:tcW w:w="2520" w:type="dxa"/>
            <w:vAlign w:val="center"/>
          </w:tcPr>
          <w:p>
            <w:pPr>
              <w:spacing w:line="360" w:lineRule="auto"/>
              <w:jc w:val="center"/>
              <w:rPr>
                <w:rFonts w:ascii="宋体" w:hAnsi="宋体"/>
                <w:b/>
                <w:color w:val="000000"/>
                <w:szCs w:val="21"/>
              </w:rPr>
            </w:pPr>
            <w:r>
              <w:rPr>
                <w:rFonts w:hint="eastAsia" w:ascii="宋体" w:hAnsi="宋体"/>
                <w:b/>
                <w:color w:val="000000"/>
                <w:szCs w:val="21"/>
              </w:rPr>
              <w:t>机　械　或</w:t>
            </w:r>
          </w:p>
          <w:p>
            <w:pPr>
              <w:spacing w:line="360" w:lineRule="auto"/>
              <w:jc w:val="center"/>
              <w:rPr>
                <w:rFonts w:ascii="宋体" w:hAnsi="宋体"/>
                <w:b/>
                <w:color w:val="000000"/>
                <w:szCs w:val="21"/>
              </w:rPr>
            </w:pPr>
            <w:r>
              <w:rPr>
                <w:rFonts w:hint="eastAsia" w:ascii="宋体" w:hAnsi="宋体"/>
                <w:b/>
                <w:color w:val="000000"/>
                <w:szCs w:val="21"/>
              </w:rPr>
              <w:t>设　备　名　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型号</w:t>
            </w:r>
          </w:p>
          <w:p>
            <w:pPr>
              <w:spacing w:line="360" w:lineRule="auto"/>
              <w:jc w:val="center"/>
              <w:rPr>
                <w:rFonts w:ascii="宋体" w:hAnsi="宋体"/>
                <w:b/>
                <w:color w:val="000000"/>
                <w:szCs w:val="21"/>
              </w:rPr>
            </w:pPr>
            <w:r>
              <w:rPr>
                <w:rFonts w:hint="eastAsia" w:ascii="宋体" w:hAnsi="宋体"/>
                <w:b/>
                <w:color w:val="000000"/>
                <w:szCs w:val="21"/>
              </w:rPr>
              <w:t>规格</w:t>
            </w:r>
          </w:p>
        </w:tc>
        <w:tc>
          <w:tcPr>
            <w:tcW w:w="420" w:type="dxa"/>
            <w:vAlign w:val="center"/>
          </w:tcPr>
          <w:p>
            <w:pPr>
              <w:spacing w:line="360" w:lineRule="auto"/>
              <w:jc w:val="center"/>
              <w:rPr>
                <w:rFonts w:ascii="宋体" w:hAnsi="宋体"/>
                <w:b/>
                <w:color w:val="000000"/>
                <w:szCs w:val="21"/>
              </w:rPr>
            </w:pPr>
            <w:r>
              <w:rPr>
                <w:rFonts w:hint="eastAsia" w:ascii="宋体" w:hAnsi="宋体"/>
                <w:b/>
                <w:color w:val="000000"/>
                <w:szCs w:val="21"/>
              </w:rPr>
              <w:t>数</w:t>
            </w:r>
          </w:p>
          <w:p>
            <w:pPr>
              <w:spacing w:line="360" w:lineRule="auto"/>
              <w:jc w:val="center"/>
              <w:rPr>
                <w:rFonts w:ascii="宋体" w:hAnsi="宋体"/>
                <w:b/>
                <w:color w:val="000000"/>
                <w:szCs w:val="21"/>
              </w:rPr>
            </w:pPr>
            <w:r>
              <w:rPr>
                <w:rFonts w:hint="eastAsia" w:ascii="宋体" w:hAnsi="宋体"/>
                <w:b/>
                <w:color w:val="000000"/>
                <w:szCs w:val="21"/>
              </w:rPr>
              <w:t>量</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国别</w:t>
            </w:r>
          </w:p>
          <w:p>
            <w:pPr>
              <w:spacing w:line="360" w:lineRule="auto"/>
              <w:jc w:val="center"/>
              <w:rPr>
                <w:rFonts w:ascii="宋体" w:hAnsi="宋体"/>
                <w:b/>
                <w:color w:val="000000"/>
                <w:szCs w:val="21"/>
              </w:rPr>
            </w:pPr>
            <w:r>
              <w:rPr>
                <w:rFonts w:hint="eastAsia" w:ascii="宋体" w:hAnsi="宋体"/>
                <w:b/>
                <w:color w:val="000000"/>
                <w:szCs w:val="21"/>
              </w:rPr>
              <w:t>产地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制造</w:t>
            </w:r>
          </w:p>
          <w:p>
            <w:pPr>
              <w:spacing w:line="360" w:lineRule="auto"/>
              <w:jc w:val="center"/>
              <w:rPr>
                <w:rFonts w:ascii="宋体" w:hAnsi="宋体"/>
                <w:b/>
                <w:color w:val="000000"/>
                <w:szCs w:val="21"/>
              </w:rPr>
            </w:pPr>
            <w:r>
              <w:rPr>
                <w:rFonts w:hint="eastAsia" w:ascii="宋体" w:hAnsi="宋体"/>
                <w:b/>
                <w:color w:val="000000"/>
                <w:szCs w:val="21"/>
              </w:rPr>
              <w:t>年份</w:t>
            </w:r>
          </w:p>
        </w:tc>
        <w:tc>
          <w:tcPr>
            <w:tcW w:w="1120" w:type="dxa"/>
            <w:vAlign w:val="center"/>
          </w:tcPr>
          <w:p>
            <w:pPr>
              <w:spacing w:line="360" w:lineRule="auto"/>
              <w:ind w:left="-113" w:right="-113"/>
              <w:jc w:val="center"/>
              <w:rPr>
                <w:rFonts w:ascii="宋体" w:hAnsi="宋体"/>
                <w:b/>
                <w:color w:val="000000"/>
                <w:szCs w:val="21"/>
              </w:rPr>
            </w:pPr>
            <w:r>
              <w:rPr>
                <w:rFonts w:hint="eastAsia" w:ascii="宋体" w:hAnsi="宋体"/>
                <w:b/>
                <w:color w:val="000000"/>
                <w:szCs w:val="21"/>
              </w:rPr>
              <w:t>定额功率</w:t>
            </w:r>
          </w:p>
          <w:p>
            <w:pPr>
              <w:spacing w:line="360" w:lineRule="auto"/>
              <w:ind w:left="-113" w:right="-113"/>
              <w:jc w:val="center"/>
              <w:rPr>
                <w:rFonts w:ascii="宋体" w:hAnsi="宋体"/>
                <w:b/>
                <w:color w:val="000000"/>
                <w:szCs w:val="21"/>
              </w:rPr>
            </w:pPr>
            <w:r>
              <w:rPr>
                <w:rFonts w:hint="eastAsia" w:ascii="宋体" w:hAnsi="宋体"/>
                <w:b/>
                <w:color w:val="000000"/>
                <w:szCs w:val="21"/>
              </w:rPr>
              <w:t>（KW）</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生产</w:t>
            </w:r>
          </w:p>
          <w:p>
            <w:pPr>
              <w:spacing w:line="360" w:lineRule="auto"/>
              <w:jc w:val="center"/>
              <w:rPr>
                <w:rFonts w:ascii="宋体" w:hAnsi="宋体"/>
                <w:b/>
                <w:color w:val="000000"/>
                <w:szCs w:val="21"/>
              </w:rPr>
            </w:pPr>
            <w:r>
              <w:rPr>
                <w:rFonts w:hint="eastAsia" w:ascii="宋体" w:hAnsi="宋体"/>
                <w:b/>
                <w:color w:val="000000"/>
                <w:szCs w:val="21"/>
              </w:rPr>
              <w:t>能力</w:t>
            </w:r>
          </w:p>
        </w:tc>
        <w:tc>
          <w:tcPr>
            <w:tcW w:w="980" w:type="dxa"/>
            <w:vAlign w:val="center"/>
          </w:tcPr>
          <w:p>
            <w:pPr>
              <w:spacing w:line="360" w:lineRule="auto"/>
              <w:jc w:val="center"/>
              <w:rPr>
                <w:rFonts w:ascii="宋体" w:hAnsi="宋体"/>
                <w:b/>
                <w:color w:val="000000"/>
                <w:szCs w:val="21"/>
              </w:rPr>
            </w:pPr>
            <w:r>
              <w:rPr>
                <w:rFonts w:hint="eastAsia" w:ascii="宋体" w:hAnsi="宋体"/>
                <w:b/>
                <w:color w:val="000000"/>
                <w:szCs w:val="21"/>
              </w:rPr>
              <w:t>用于施工部位</w:t>
            </w:r>
          </w:p>
        </w:tc>
        <w:tc>
          <w:tcPr>
            <w:tcW w:w="722" w:type="dxa"/>
            <w:vAlign w:val="center"/>
          </w:tcPr>
          <w:p>
            <w:pPr>
              <w:spacing w:line="360" w:lineRule="auto"/>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bl>
    <w:p>
      <w:pPr>
        <w:spacing w:before="240" w:line="360" w:lineRule="auto"/>
        <w:rPr>
          <w:rFonts w:ascii="宋体" w:hAnsi="宋体"/>
          <w:color w:val="000000"/>
        </w:rPr>
      </w:pPr>
    </w:p>
    <w:p>
      <w:pPr>
        <w:keepNext/>
        <w:keepLines/>
        <w:spacing w:before="120" w:after="120" w:line="360" w:lineRule="auto"/>
        <w:jc w:val="center"/>
        <w:rPr>
          <w:rFonts w:ascii="宋体" w:hAnsi="宋体" w:cs="宋体"/>
          <w:color w:val="000000"/>
          <w:kern w:val="0"/>
          <w:sz w:val="24"/>
        </w:rPr>
      </w:pPr>
    </w:p>
    <w:bookmarkEnd w:id="1319"/>
    <w:p>
      <w:pPr>
        <w:pStyle w:val="4"/>
        <w:spacing w:before="120" w:after="120" w:line="360" w:lineRule="auto"/>
        <w:rPr>
          <w:rFonts w:ascii="宋体" w:hAnsi="宋体" w:cs="TimesNewRomanPSMT"/>
          <w:color w:val="000000"/>
          <w:kern w:val="0"/>
          <w:sz w:val="24"/>
          <w:szCs w:val="24"/>
        </w:rPr>
      </w:pPr>
      <w:bookmarkStart w:id="1322" w:name="_Toc415209347"/>
    </w:p>
    <w:p>
      <w:pPr>
        <w:spacing w:line="360" w:lineRule="auto"/>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附表二：劳动力计划表</w:t>
      </w:r>
      <w:bookmarkEnd w:id="1322"/>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vAlign w:val="center"/>
          </w:tcPr>
          <w:p>
            <w:pPr>
              <w:spacing w:line="360" w:lineRule="auto"/>
              <w:jc w:val="center"/>
              <w:rPr>
                <w:rFonts w:ascii="宋体" w:hAnsi="宋体"/>
                <w:b/>
                <w:color w:val="000000"/>
                <w:szCs w:val="21"/>
              </w:rPr>
            </w:pPr>
            <w:r>
              <w:rPr>
                <w:rFonts w:hint="eastAsia" w:ascii="宋体" w:hAnsi="宋体"/>
                <w:b/>
                <w:color w:val="000000"/>
                <w:szCs w:val="21"/>
              </w:rPr>
              <w:t>工种</w:t>
            </w:r>
          </w:p>
        </w:tc>
        <w:tc>
          <w:tcPr>
            <w:tcW w:w="7617" w:type="dxa"/>
            <w:gridSpan w:val="7"/>
            <w:vAlign w:val="center"/>
          </w:tcPr>
          <w:p>
            <w:pPr>
              <w:spacing w:line="360" w:lineRule="auto"/>
              <w:jc w:val="center"/>
              <w:rPr>
                <w:rFonts w:ascii="宋体" w:hAnsi="宋体"/>
                <w:b/>
                <w:color w:val="000000"/>
                <w:szCs w:val="21"/>
              </w:rPr>
            </w:pPr>
            <w:r>
              <w:rPr>
                <w:rFonts w:hint="eastAsia" w:ascii="宋体" w:hAnsi="宋体"/>
                <w:b/>
                <w:color w:val="000000"/>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945" w:type="dxa"/>
          </w:tcPr>
          <w:p>
            <w:pPr>
              <w:spacing w:line="360" w:lineRule="auto"/>
              <w:ind w:left="-113" w:right="-113"/>
              <w:jc w:val="center"/>
              <w:rPr>
                <w:rFonts w:ascii="宋体" w:hAnsi="宋体"/>
                <w:color w:val="000000"/>
                <w:szCs w:val="21"/>
              </w:rPr>
            </w:pPr>
          </w:p>
        </w:tc>
        <w:tc>
          <w:tcPr>
            <w:tcW w:w="945" w:type="dxa"/>
          </w:tcPr>
          <w:p>
            <w:pPr>
              <w:spacing w:line="360" w:lineRule="auto"/>
              <w:jc w:val="center"/>
              <w:rPr>
                <w:rFonts w:ascii="宋体" w:hAnsi="宋体"/>
                <w:color w:val="000000"/>
                <w:szCs w:val="21"/>
              </w:rPr>
            </w:pPr>
          </w:p>
        </w:tc>
        <w:tc>
          <w:tcPr>
            <w:tcW w:w="1317" w:type="dxa"/>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bl>
    <w:p>
      <w:pPr>
        <w:autoSpaceDE w:val="0"/>
        <w:autoSpaceDN w:val="0"/>
        <w:adjustRightInd w:val="0"/>
        <w:spacing w:line="360" w:lineRule="auto"/>
        <w:jc w:val="left"/>
        <w:rPr>
          <w:rFonts w:ascii="宋体" w:hAnsi="宋体" w:cs="宋体"/>
          <w:color w:val="000000"/>
          <w:kern w:val="0"/>
          <w:szCs w:val="21"/>
        </w:rPr>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宋体"/>
          <w:color w:val="000000"/>
          <w:kern w:val="0"/>
          <w:sz w:val="24"/>
          <w:szCs w:val="24"/>
        </w:rPr>
        <w:br w:type="page"/>
      </w:r>
      <w:bookmarkEnd w:id="1320"/>
      <w:bookmarkEnd w:id="1321"/>
      <w:bookmarkStart w:id="1323" w:name="_Toc415209348"/>
      <w:r>
        <w:rPr>
          <w:rFonts w:hint="eastAsia" w:ascii="宋体" w:hAnsi="宋体" w:cs="TimesNewRomanPSMT"/>
          <w:color w:val="000000"/>
          <w:kern w:val="0"/>
          <w:sz w:val="24"/>
          <w:szCs w:val="24"/>
        </w:rPr>
        <w:t>附表三：计划开、竣工日期和施工进度网络图</w:t>
      </w:r>
      <w:r>
        <w:rPr>
          <w:rFonts w:hint="eastAsia" w:ascii="宋体" w:hAnsi="宋体" w:cs="宋体"/>
          <w:color w:val="000000"/>
          <w:kern w:val="0"/>
          <w:sz w:val="24"/>
          <w:szCs w:val="24"/>
        </w:rPr>
        <w:t>或横道图</w:t>
      </w:r>
      <w:bookmarkEnd w:id="1323"/>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供应商应递交施工进度网络图或施工进度表，说明按招标文件要求的计划工期进行施工的各个关键日期。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施工进度表可采用网络图或横道图表示。</w:t>
      </w:r>
    </w:p>
    <w:p>
      <w:pPr>
        <w:autoSpaceDE w:val="0"/>
        <w:autoSpaceDN w:val="0"/>
        <w:adjustRightInd w:val="0"/>
        <w:spacing w:line="360" w:lineRule="auto"/>
        <w:jc w:val="left"/>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24"/>
          <w:szCs w:val="24"/>
        </w:rPr>
      </w:pPr>
      <w:bookmarkStart w:id="1324" w:name="_Toc415209349"/>
      <w:r>
        <w:rPr>
          <w:rFonts w:hint="eastAsia" w:ascii="宋体" w:hAnsi="宋体" w:cs="TimesNewRomanPSMT"/>
          <w:color w:val="000000"/>
          <w:kern w:val="0"/>
          <w:sz w:val="24"/>
          <w:szCs w:val="24"/>
        </w:rPr>
        <w:t>附表四：施工总平面图</w:t>
      </w:r>
      <w:bookmarkEnd w:id="132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供应商应递交一份施工总平面图，绘出现场临时设施布置图表并附文字说明，说明临时设施、加工车间、现场办公、设备及仓储、供电、供水、卫生、生活、道路、消防等设施的情况和布置。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pStyle w:val="3"/>
        <w:spacing w:before="120" w:after="120" w:line="360" w:lineRule="auto"/>
        <w:jc w:val="center"/>
        <w:rPr>
          <w:rFonts w:ascii="宋体" w:hAnsi="宋体" w:eastAsia="宋体" w:cs="宋体"/>
          <w:color w:val="000000"/>
          <w:kern w:val="0"/>
          <w:szCs w:val="28"/>
        </w:rPr>
      </w:pPr>
    </w:p>
    <w:p>
      <w:pPr>
        <w:spacing w:line="360" w:lineRule="auto"/>
        <w:rPr>
          <w:rFonts w:ascii="宋体" w:hAnsi="宋体" w:cs="宋体"/>
          <w:b/>
          <w:bCs/>
          <w:color w:val="000000"/>
        </w:rPr>
      </w:pPr>
    </w:p>
    <w:p>
      <w:pPr>
        <w:keepNext/>
        <w:keepLines/>
        <w:spacing w:before="120" w:after="120" w:line="360" w:lineRule="auto"/>
        <w:jc w:val="center"/>
        <w:rPr>
          <w:rFonts w:ascii="宋体" w:hAnsi="宋体" w:cs="宋体"/>
          <w:color w:val="000000"/>
        </w:rPr>
      </w:pPr>
      <w:bookmarkStart w:id="1325" w:name="_Toc194999271"/>
      <w:bookmarkStart w:id="1326" w:name="_Toc199152115"/>
      <w:r>
        <w:rPr>
          <w:rFonts w:hint="eastAsia" w:ascii="宋体" w:hAnsi="宋体" w:cs="宋体"/>
          <w:color w:val="000000"/>
        </w:rPr>
        <w:br w:type="page"/>
      </w:r>
    </w:p>
    <w:bookmarkEnd w:id="1325"/>
    <w:bookmarkEnd w:id="1326"/>
    <w:p>
      <w:pPr>
        <w:pStyle w:val="3"/>
        <w:spacing w:before="120" w:after="120" w:line="360" w:lineRule="auto"/>
        <w:jc w:val="left"/>
        <w:rPr>
          <w:rFonts w:ascii="宋体" w:hAnsi="宋体" w:eastAsia="宋体" w:cs="TimesNewRomanPSMT"/>
          <w:color w:val="000000"/>
          <w:kern w:val="0"/>
          <w:sz w:val="28"/>
          <w:szCs w:val="28"/>
        </w:rPr>
      </w:pPr>
      <w:bookmarkStart w:id="1327" w:name="_Toc415209350"/>
      <w:bookmarkStart w:id="1328" w:name="_Toc14512"/>
      <w:r>
        <w:rPr>
          <w:rFonts w:hint="eastAsia" w:ascii="宋体" w:hAnsi="宋体" w:eastAsia="宋体" w:cs="TimesNewRomanPSMT"/>
          <w:color w:val="000000"/>
          <w:kern w:val="0"/>
          <w:sz w:val="28"/>
          <w:szCs w:val="28"/>
        </w:rPr>
        <w:t>十、  项目管理机构</w:t>
      </w:r>
      <w:bookmarkEnd w:id="1327"/>
      <w:bookmarkEnd w:id="1328"/>
    </w:p>
    <w:p>
      <w:pPr>
        <w:pStyle w:val="4"/>
        <w:spacing w:before="120" w:after="120" w:line="360" w:lineRule="auto"/>
        <w:jc w:val="center"/>
        <w:rPr>
          <w:rFonts w:ascii="宋体" w:hAnsi="宋体" w:cs="TimesNewRomanPSMT"/>
          <w:color w:val="000000"/>
          <w:kern w:val="0"/>
          <w:sz w:val="24"/>
          <w:szCs w:val="24"/>
        </w:rPr>
      </w:pPr>
      <w:bookmarkStart w:id="1329" w:name="_Toc415209351"/>
      <w:r>
        <w:rPr>
          <w:rFonts w:hint="eastAsia" w:ascii="宋体" w:hAnsi="宋体" w:cs="TimesNewRomanPSMT"/>
          <w:color w:val="000000"/>
          <w:kern w:val="0"/>
          <w:sz w:val="24"/>
          <w:szCs w:val="24"/>
        </w:rPr>
        <w:t>（一）项目管理机构组成表</w:t>
      </w:r>
      <w:bookmarkEnd w:id="1329"/>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32"/>
        <w:gridCol w:w="945"/>
        <w:gridCol w:w="1266"/>
        <w:gridCol w:w="900"/>
        <w:gridCol w:w="720"/>
        <w:gridCol w:w="1740"/>
        <w:gridCol w:w="780"/>
        <w:gridCol w:w="10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职务</w:t>
            </w:r>
          </w:p>
        </w:tc>
        <w:tc>
          <w:tcPr>
            <w:tcW w:w="1032"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姓名</w:t>
            </w:r>
          </w:p>
        </w:tc>
        <w:tc>
          <w:tcPr>
            <w:tcW w:w="94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职称</w:t>
            </w:r>
          </w:p>
        </w:tc>
        <w:tc>
          <w:tcPr>
            <w:tcW w:w="5406" w:type="dxa"/>
            <w:gridSpan w:val="5"/>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执业或职业资格证明</w:t>
            </w:r>
          </w:p>
        </w:tc>
        <w:tc>
          <w:tcPr>
            <w:tcW w:w="1078"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032"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94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证书名称</w:t>
            </w:r>
          </w:p>
        </w:tc>
        <w:tc>
          <w:tcPr>
            <w:tcW w:w="90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级别</w:t>
            </w:r>
          </w:p>
        </w:tc>
        <w:tc>
          <w:tcPr>
            <w:tcW w:w="72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证号</w:t>
            </w:r>
          </w:p>
        </w:tc>
        <w:tc>
          <w:tcPr>
            <w:tcW w:w="174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专业</w:t>
            </w:r>
          </w:p>
        </w:tc>
        <w:tc>
          <w:tcPr>
            <w:tcW w:w="78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养老保险</w:t>
            </w:r>
          </w:p>
        </w:tc>
        <w:tc>
          <w:tcPr>
            <w:tcW w:w="1078"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vAlign w:val="center"/>
          </w:tcPr>
          <w:p>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bl>
    <w:p>
      <w:pPr>
        <w:pStyle w:val="4"/>
        <w:spacing w:before="120" w:after="120" w:line="360" w:lineRule="auto"/>
        <w:jc w:val="center"/>
        <w:rPr>
          <w:rFonts w:ascii="宋体" w:hAnsi="宋体" w:cs="TimesNewRomanPSMT"/>
          <w:color w:val="000000"/>
          <w:kern w:val="0"/>
          <w:sz w:val="24"/>
          <w:szCs w:val="24"/>
        </w:rPr>
      </w:pPr>
      <w:bookmarkStart w:id="1330" w:name="_Toc415209352"/>
      <w:r>
        <w:rPr>
          <w:rFonts w:hint="eastAsia" w:ascii="宋体" w:hAnsi="宋体" w:cs="TimesNewRomanPSMT"/>
          <w:color w:val="000000"/>
          <w:kern w:val="0"/>
          <w:sz w:val="24"/>
          <w:szCs w:val="24"/>
        </w:rPr>
        <w:t>（二）主要人员简历表</w:t>
      </w:r>
      <w:bookmarkEnd w:id="1330"/>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Style w:val="39"/>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33"/>
        <w:gridCol w:w="1567"/>
        <w:gridCol w:w="1080"/>
        <w:gridCol w:w="1616"/>
        <w:gridCol w:w="1844"/>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姓名</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年龄</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学历</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职称</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职务</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拟在本合同任职</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tcPr>
          <w:p>
            <w:pPr>
              <w:spacing w:line="360" w:lineRule="auto"/>
              <w:jc w:val="center"/>
              <w:rPr>
                <w:rFonts w:ascii="宋体" w:hAnsi="宋体"/>
                <w:color w:val="000000"/>
                <w:szCs w:val="21"/>
              </w:rPr>
            </w:pPr>
            <w:r>
              <w:rPr>
                <w:rFonts w:hint="eastAsia" w:ascii="宋体" w:hAnsi="宋体"/>
                <w:color w:val="000000"/>
                <w:szCs w:val="21"/>
              </w:rPr>
              <w:t>毕业学校</w:t>
            </w:r>
          </w:p>
        </w:tc>
        <w:tc>
          <w:tcPr>
            <w:tcW w:w="6300" w:type="dxa"/>
            <w:gridSpan w:val="4"/>
          </w:tcPr>
          <w:p>
            <w:pPr>
              <w:pStyle w:val="29"/>
              <w:spacing w:line="360" w:lineRule="auto"/>
              <w:jc w:val="center"/>
              <w:rPr>
                <w:rFonts w:ascii="宋体" w:hAnsi="宋体"/>
                <w:color w:val="000000"/>
                <w:sz w:val="21"/>
                <w:szCs w:val="21"/>
              </w:rPr>
            </w:pPr>
            <w:r>
              <w:rPr>
                <w:rFonts w:hint="eastAsia" w:ascii="宋体" w:hAnsi="宋体" w:cs="宋体"/>
                <w:color w:val="000000"/>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60" w:type="dxa"/>
            <w:gridSpan w:val="7"/>
          </w:tcPr>
          <w:p>
            <w:pPr>
              <w:spacing w:line="360" w:lineRule="auto"/>
              <w:jc w:val="center"/>
              <w:rPr>
                <w:rFonts w:ascii="宋体" w:hAnsi="宋体"/>
                <w:color w:val="000000"/>
                <w:szCs w:val="21"/>
              </w:rPr>
            </w:pPr>
            <w:r>
              <w:rPr>
                <w:rFonts w:hint="eastAsia" w:ascii="宋体" w:hAnsi="宋体"/>
                <w:color w:val="000000"/>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vAlign w:val="center"/>
          </w:tcPr>
          <w:p>
            <w:pPr>
              <w:spacing w:line="360" w:lineRule="auto"/>
              <w:jc w:val="center"/>
              <w:rPr>
                <w:rFonts w:ascii="宋体" w:hAnsi="宋体"/>
                <w:color w:val="000000"/>
                <w:szCs w:val="21"/>
              </w:rPr>
            </w:pPr>
            <w:r>
              <w:rPr>
                <w:rFonts w:hint="eastAsia" w:ascii="宋体" w:hAnsi="宋体" w:cs="宋体"/>
                <w:color w:val="000000"/>
                <w:kern w:val="0"/>
                <w:szCs w:val="21"/>
              </w:rPr>
              <w:t>时间</w:t>
            </w:r>
          </w:p>
        </w:tc>
        <w:tc>
          <w:tcPr>
            <w:tcW w:w="4263" w:type="dxa"/>
            <w:gridSpan w:val="3"/>
            <w:vAlign w:val="center"/>
          </w:tcPr>
          <w:p>
            <w:pPr>
              <w:spacing w:line="360" w:lineRule="auto"/>
              <w:jc w:val="center"/>
              <w:rPr>
                <w:rFonts w:ascii="宋体" w:hAnsi="宋体"/>
                <w:color w:val="000000"/>
                <w:szCs w:val="21"/>
              </w:rPr>
            </w:pPr>
            <w:r>
              <w:rPr>
                <w:rFonts w:hint="eastAsia" w:ascii="宋体" w:hAnsi="宋体" w:cs="宋体"/>
                <w:color w:val="000000"/>
                <w:kern w:val="0"/>
                <w:szCs w:val="21"/>
              </w:rPr>
              <w:t>参加过的类似项目</w:t>
            </w:r>
          </w:p>
        </w:tc>
        <w:tc>
          <w:tcPr>
            <w:tcW w:w="1844"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担任职务</w:t>
            </w:r>
          </w:p>
        </w:tc>
        <w:tc>
          <w:tcPr>
            <w:tcW w:w="1760"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bl>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cs="宋体"/>
          <w:color w:val="000000"/>
          <w:kern w:val="0"/>
          <w:sz w:val="24"/>
          <w:szCs w:val="24"/>
        </w:rPr>
        <w:br w:type="page"/>
      </w:r>
      <w:bookmarkStart w:id="1331" w:name="_Toc2086"/>
      <w:bookmarkStart w:id="1332" w:name="_Toc415209353"/>
      <w:r>
        <w:rPr>
          <w:rFonts w:hint="eastAsia" w:ascii="宋体" w:hAnsi="宋体" w:cs="宋体"/>
          <w:color w:val="000000"/>
          <w:kern w:val="0"/>
          <w:sz w:val="28"/>
          <w:szCs w:val="28"/>
        </w:rPr>
        <w:t xml:space="preserve">十一、   </w:t>
      </w:r>
      <w:r>
        <w:rPr>
          <w:rFonts w:hint="eastAsia" w:ascii="宋体" w:hAnsi="宋体" w:eastAsia="宋体" w:cs="TimesNewRomanPSMT"/>
          <w:color w:val="000000"/>
          <w:kern w:val="0"/>
          <w:sz w:val="28"/>
          <w:szCs w:val="28"/>
        </w:rPr>
        <w:t>拟分包项目情况表</w:t>
      </w:r>
      <w:bookmarkEnd w:id="1331"/>
      <w:bookmarkEnd w:id="1332"/>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分包人名称</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地址</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营业执照号码</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资质等级</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拟分包的工程项目</w:t>
            </w:r>
          </w:p>
        </w:tc>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主要内容</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预计造价（万元）</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bl>
    <w:p>
      <w:pPr>
        <w:pStyle w:val="3"/>
        <w:spacing w:before="120" w:after="120" w:line="360" w:lineRule="auto"/>
        <w:jc w:val="left"/>
        <w:rPr>
          <w:rFonts w:ascii="宋体" w:hAnsi="宋体" w:eastAsia="宋体" w:cs="TimesNewRomanPSMT"/>
          <w:color w:val="000000"/>
          <w:kern w:val="0"/>
          <w:sz w:val="28"/>
          <w:szCs w:val="28"/>
        </w:rPr>
      </w:pPr>
      <w:bookmarkStart w:id="1333" w:name="_Toc415209354"/>
      <w:bookmarkStart w:id="1334" w:name="_Toc20983"/>
    </w:p>
    <w:p>
      <w:pPr>
        <w:rPr>
          <w:kern w:val="0"/>
        </w:rPr>
      </w:pPr>
      <w:r>
        <w:rPr>
          <w:kern w:val="0"/>
        </w:rPr>
        <w:br w:type="page"/>
      </w:r>
    </w:p>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eastAsia="宋体" w:cs="TimesNewRomanPSMT"/>
          <w:color w:val="000000"/>
          <w:kern w:val="0"/>
          <w:sz w:val="28"/>
          <w:szCs w:val="28"/>
        </w:rPr>
        <w:t>十二、  资格审查资料</w:t>
      </w:r>
      <w:bookmarkEnd w:id="1333"/>
      <w:bookmarkEnd w:id="1334"/>
    </w:p>
    <w:p>
      <w:pPr>
        <w:spacing w:line="360" w:lineRule="auto"/>
        <w:jc w:val="center"/>
        <w:rPr>
          <w:rFonts w:ascii="宋体" w:hAnsi="宋体"/>
          <w:color w:val="000000"/>
        </w:rPr>
      </w:pPr>
      <w:r>
        <w:rPr>
          <w:rFonts w:hint="eastAsia" w:ascii="宋体" w:hAnsi="宋体" w:cs="宋体"/>
          <w:color w:val="000000"/>
          <w:kern w:val="0"/>
          <w:szCs w:val="21"/>
        </w:rPr>
        <w:t>（填写年份要求前投标须知前附表3.5.2、3.5.3、3.5.5）</w:t>
      </w:r>
    </w:p>
    <w:p>
      <w:pPr>
        <w:pStyle w:val="4"/>
        <w:spacing w:before="120" w:after="120" w:line="360" w:lineRule="auto"/>
        <w:rPr>
          <w:rFonts w:ascii="宋体" w:hAnsi="宋体" w:cs="TimesNewRomanPSMT"/>
          <w:color w:val="000000"/>
          <w:kern w:val="0"/>
          <w:sz w:val="24"/>
          <w:szCs w:val="24"/>
        </w:rPr>
      </w:pPr>
      <w:bookmarkStart w:id="1335" w:name="_Toc415209355"/>
      <w:r>
        <w:rPr>
          <w:rFonts w:hint="eastAsia" w:ascii="宋体" w:hAnsi="宋体" w:cs="TimesNewRomanPSMT"/>
          <w:color w:val="000000"/>
          <w:kern w:val="0"/>
          <w:sz w:val="24"/>
          <w:szCs w:val="24"/>
        </w:rPr>
        <w:t>（一）供应商基本情况表</w:t>
      </w:r>
      <w:bookmarkEnd w:id="1335"/>
    </w:p>
    <w:tbl>
      <w:tblPr>
        <w:tblStyle w:val="39"/>
        <w:tblW w:w="9286" w:type="dxa"/>
        <w:tblInd w:w="0" w:type="dxa"/>
        <w:tblLayout w:type="fixed"/>
        <w:tblCellMar>
          <w:top w:w="0" w:type="dxa"/>
          <w:left w:w="108" w:type="dxa"/>
          <w:bottom w:w="0" w:type="dxa"/>
          <w:right w:w="108" w:type="dxa"/>
        </w:tblCellMar>
      </w:tblPr>
      <w:tblGrid>
        <w:gridCol w:w="1857"/>
        <w:gridCol w:w="951"/>
        <w:gridCol w:w="1295"/>
        <w:gridCol w:w="1296"/>
        <w:gridCol w:w="172"/>
        <w:gridCol w:w="1123"/>
        <w:gridCol w:w="648"/>
        <w:gridCol w:w="86"/>
        <w:gridCol w:w="562"/>
        <w:gridCol w:w="1296"/>
      </w:tblGrid>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供应商名称</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注册地址</w:t>
            </w:r>
          </w:p>
        </w:tc>
        <w:tc>
          <w:tcPr>
            <w:tcW w:w="3714"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邮政编码</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联系方式</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联系人</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传真</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网址</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组织结构</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技术负责人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成立时间</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员工总人数：</w:t>
            </w: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企业资质等级</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其中</w:t>
            </w: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项目经理</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高级职称人员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注册资金</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中级职称人员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开户银行</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初级职称人员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账号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技工</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625"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经营范围</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备注</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bl>
    <w:p>
      <w:pPr>
        <w:keepNext/>
        <w:keepLines/>
        <w:spacing w:before="120" w:after="120" w:line="360" w:lineRule="auto"/>
        <w:jc w:val="center"/>
        <w:rPr>
          <w:rFonts w:ascii="宋体" w:hAnsi="宋体" w:cs="宋体"/>
          <w:color w:val="000000"/>
          <w:szCs w:val="21"/>
        </w:rPr>
      </w:pPr>
      <w:bookmarkStart w:id="1336" w:name="_Toc194999272"/>
      <w:bookmarkStart w:id="1337" w:name="_Toc199152116"/>
      <w:r>
        <w:rPr>
          <w:rFonts w:hint="eastAsia" w:ascii="宋体" w:hAnsi="宋体" w:cs="宋体"/>
          <w:color w:val="000000"/>
          <w:szCs w:val="21"/>
        </w:rPr>
        <w:br w:type="page"/>
      </w:r>
    </w:p>
    <w:bookmarkEnd w:id="1336"/>
    <w:bookmarkEnd w:id="1337"/>
    <w:p>
      <w:pPr>
        <w:pStyle w:val="4"/>
        <w:spacing w:before="120" w:after="120" w:line="360" w:lineRule="auto"/>
        <w:rPr>
          <w:rFonts w:ascii="宋体" w:hAnsi="宋体" w:cs="TimesNewRomanPSMT"/>
          <w:color w:val="000000"/>
          <w:kern w:val="0"/>
          <w:sz w:val="24"/>
          <w:szCs w:val="24"/>
        </w:rPr>
      </w:pPr>
      <w:bookmarkStart w:id="1338" w:name="_Toc199152118"/>
      <w:bookmarkStart w:id="1339" w:name="_Toc194999274"/>
      <w:r>
        <w:rPr>
          <w:rFonts w:hint="eastAsia" w:ascii="宋体" w:hAnsi="宋体" w:cs="TimesNewRomanPSMT"/>
          <w:color w:val="000000"/>
          <w:kern w:val="0"/>
          <w:sz w:val="24"/>
          <w:szCs w:val="24"/>
        </w:rPr>
        <w:t>（二）近年完成的类似项目情况表</w:t>
      </w:r>
    </w:p>
    <w:tbl>
      <w:tblPr>
        <w:tblStyle w:val="39"/>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2"/>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合同价格</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开工日期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竣工日期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工程质量</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项目经理</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项目描述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备注</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bl>
    <w:p>
      <w:pPr>
        <w:keepNext/>
        <w:keepLines/>
        <w:spacing w:before="120" w:after="120" w:line="360" w:lineRule="auto"/>
        <w:rPr>
          <w:rFonts w:ascii="宋体" w:hAnsi="宋体" w:cs="宋体"/>
          <w:color w:val="000000"/>
        </w:rPr>
      </w:pPr>
      <w:r>
        <w:rPr>
          <w:rFonts w:hint="eastAsia" w:ascii="宋体" w:hAnsi="宋体" w:cs="宋体"/>
          <w:color w:val="000000"/>
        </w:rPr>
        <w:br w:type="page"/>
      </w:r>
    </w:p>
    <w:bookmarkEnd w:id="1338"/>
    <w:bookmarkEnd w:id="1339"/>
    <w:p>
      <w:pPr>
        <w:pStyle w:val="4"/>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r>
        <w:rPr>
          <w:rFonts w:hint="eastAsia" w:ascii="宋体" w:hAnsi="宋体" w:cs="TimesNewRomanPSMT"/>
          <w:color w:val="000000"/>
          <w:kern w:val="0"/>
          <w:sz w:val="24"/>
          <w:szCs w:val="24"/>
        </w:rPr>
        <w:t>（三）正在施工的和新承接的项目情况表</w:t>
      </w:r>
      <w:bookmarkEnd w:id="1340"/>
      <w:bookmarkEnd w:id="1341"/>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签约合同价</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开工日期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计划竣工日期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工程质量</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项目经理</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项目描述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备注</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bookmarkEnd w:id="1342"/>
      <w:bookmarkEnd w:id="1343"/>
    </w:tbl>
    <w:p>
      <w:pPr>
        <w:spacing w:line="360" w:lineRule="auto"/>
        <w:rPr>
          <w:rFonts w:ascii="宋体" w:hAnsi="宋体" w:cs="宋体"/>
          <w:color w:val="000000"/>
          <w:kern w:val="0"/>
          <w:szCs w:val="21"/>
        </w:rPr>
      </w:pPr>
      <w:bookmarkStart w:id="1344" w:name="_Toc201287673"/>
      <w:bookmarkStart w:id="1345" w:name="_Toc1436"/>
      <w:r>
        <w:rPr>
          <w:rFonts w:hint="eastAsia" w:ascii="宋体" w:hAnsi="宋体" w:cs="宋体"/>
          <w:color w:val="000000"/>
          <w:szCs w:val="32"/>
        </w:rPr>
        <w:br w:type="page"/>
      </w:r>
    </w:p>
    <w:p>
      <w:pPr>
        <w:pStyle w:val="3"/>
        <w:spacing w:before="120" w:after="120" w:line="360" w:lineRule="auto"/>
        <w:rPr>
          <w:rFonts w:ascii="宋体" w:hAnsi="宋体" w:eastAsia="宋体" w:cs="宋体"/>
          <w:color w:val="000000"/>
          <w:kern w:val="0"/>
          <w:sz w:val="28"/>
          <w:szCs w:val="28"/>
        </w:rPr>
      </w:pPr>
      <w:bookmarkStart w:id="1346" w:name="_Toc11804"/>
      <w:r>
        <w:rPr>
          <w:rFonts w:hint="eastAsia" w:ascii="宋体" w:hAnsi="宋体" w:eastAsia="宋体" w:cs="宋体"/>
          <w:color w:val="000000"/>
          <w:kern w:val="0"/>
          <w:sz w:val="28"/>
          <w:szCs w:val="28"/>
        </w:rPr>
        <w:t>十三、其他材料</w:t>
      </w:r>
      <w:bookmarkEnd w:id="1344"/>
      <w:bookmarkEnd w:id="1345"/>
      <w:bookmarkEnd w:id="1346"/>
    </w:p>
    <w:p>
      <w:pPr>
        <w:spacing w:line="360" w:lineRule="auto"/>
        <w:rPr>
          <w:rFonts w:ascii="宋体" w:hAnsi="宋体"/>
          <w:b/>
          <w:bCs/>
          <w:color w:val="000000"/>
          <w:sz w:val="24"/>
        </w:rPr>
      </w:pPr>
      <w:bookmarkStart w:id="1347" w:name="_Toc234732876"/>
      <w:bookmarkStart w:id="1348" w:name="_Toc3110"/>
      <w:r>
        <w:rPr>
          <w:rFonts w:hint="eastAsia" w:ascii="宋体" w:hAnsi="宋体"/>
          <w:b/>
          <w:bCs/>
          <w:color w:val="000000"/>
          <w:sz w:val="24"/>
        </w:rPr>
        <w:t>附件1</w:t>
      </w:r>
    </w:p>
    <w:p>
      <w:pPr>
        <w:pStyle w:val="3"/>
        <w:spacing w:before="120" w:after="120" w:line="360" w:lineRule="auto"/>
        <w:jc w:val="center"/>
        <w:rPr>
          <w:rFonts w:ascii="宋体" w:hAnsi="宋体" w:eastAsia="宋体" w:cs="TimesNewRomanPSMT"/>
          <w:color w:val="000000"/>
          <w:kern w:val="0"/>
          <w:sz w:val="28"/>
          <w:szCs w:val="28"/>
        </w:rPr>
      </w:pPr>
      <w:bookmarkStart w:id="1349" w:name="_Toc1622"/>
      <w:bookmarkStart w:id="1350" w:name="_Toc475956593"/>
      <w:bookmarkStart w:id="1351" w:name="_Toc14990"/>
      <w:bookmarkStart w:id="1352" w:name="_Toc5693"/>
      <w:r>
        <w:rPr>
          <w:rFonts w:hint="eastAsia" w:ascii="宋体" w:hAnsi="宋体" w:eastAsia="宋体" w:cs="TimesNewRomanPSMT"/>
          <w:color w:val="000000"/>
          <w:kern w:val="0"/>
          <w:sz w:val="28"/>
          <w:szCs w:val="28"/>
        </w:rPr>
        <w:t>财务状况、缴纳税收和社会保障资金证明</w:t>
      </w:r>
      <w:bookmarkEnd w:id="1349"/>
      <w:bookmarkEnd w:id="1350"/>
      <w:bookmarkEnd w:id="1351"/>
      <w:bookmarkEnd w:id="1352"/>
    </w:p>
    <w:p>
      <w:pPr>
        <w:autoSpaceDE w:val="0"/>
        <w:autoSpaceDN w:val="0"/>
        <w:spacing w:line="360" w:lineRule="auto"/>
        <w:ind w:firstLine="480"/>
        <w:rPr>
          <w:rFonts w:ascii="宋体" w:hAnsi="宋体" w:cs="宋体"/>
          <w:color w:val="000000"/>
          <w:kern w:val="0"/>
          <w:sz w:val="24"/>
          <w:szCs w:val="32"/>
          <w:lang w:val="zh-CN"/>
        </w:rPr>
      </w:pPr>
      <w:r>
        <w:rPr>
          <w:rFonts w:hint="eastAsia" w:ascii="宋体" w:hAnsi="宋体" w:cs="宋体"/>
          <w:color w:val="000000"/>
          <w:kern w:val="0"/>
          <w:sz w:val="24"/>
          <w:szCs w:val="32"/>
          <w:lang w:val="zh-CN"/>
        </w:rPr>
        <w:t>按照</w:t>
      </w:r>
      <w:r>
        <w:rPr>
          <w:rFonts w:hint="eastAsia" w:ascii="宋体" w:hAnsi="宋体" w:cs="宋体"/>
          <w:color w:val="000000"/>
          <w:kern w:val="0"/>
          <w:sz w:val="24"/>
          <w:szCs w:val="32"/>
        </w:rPr>
        <w:t>招标</w:t>
      </w:r>
      <w:r>
        <w:rPr>
          <w:rFonts w:hint="eastAsia" w:ascii="宋体" w:hAnsi="宋体" w:cs="宋体"/>
          <w:color w:val="000000"/>
          <w:kern w:val="0"/>
          <w:sz w:val="24"/>
          <w:szCs w:val="32"/>
          <w:lang w:val="zh-CN"/>
        </w:rPr>
        <w:t>文件</w:t>
      </w:r>
      <w:r>
        <w:rPr>
          <w:rFonts w:hint="eastAsia" w:ascii="宋体" w:hAnsi="宋体" w:cs="宋体"/>
          <w:color w:val="000000"/>
          <w:kern w:val="0"/>
          <w:sz w:val="24"/>
          <w:szCs w:val="32"/>
        </w:rPr>
        <w:t>供应商须</w:t>
      </w:r>
      <w:r>
        <w:rPr>
          <w:rFonts w:hint="eastAsia" w:ascii="宋体" w:hAnsi="宋体" w:cs="宋体"/>
          <w:color w:val="000000"/>
          <w:kern w:val="0"/>
          <w:sz w:val="24"/>
          <w:szCs w:val="32"/>
          <w:lang w:val="zh-CN"/>
        </w:rPr>
        <w:t>提供以下相关材料。</w:t>
      </w:r>
    </w:p>
    <w:p>
      <w:pPr>
        <w:autoSpaceDE w:val="0"/>
        <w:autoSpaceDN w:val="0"/>
        <w:spacing w:line="360" w:lineRule="auto"/>
        <w:ind w:firstLine="480"/>
        <w:rPr>
          <w:rFonts w:ascii="宋体" w:hAnsi="宋体" w:cs="宋体"/>
          <w:color w:val="000000"/>
          <w:kern w:val="0"/>
          <w:sz w:val="24"/>
          <w:szCs w:val="32"/>
          <w:lang w:val="zh-CN"/>
        </w:rPr>
      </w:pPr>
      <w:r>
        <w:rPr>
          <w:rFonts w:hint="eastAsia" w:ascii="宋体" w:hAnsi="宋体" w:cs="宋体"/>
          <w:color w:val="000000"/>
          <w:kern w:val="0"/>
          <w:sz w:val="24"/>
          <w:szCs w:val="32"/>
          <w:lang w:val="zh-CN"/>
        </w:rPr>
        <w:t>1、供应商基本开户银行近三个月内出具的资信证明或经第三方机构出具的2019年度财务状况审计报告（扫描或复印件应全面、完整、清晰），包括资产负债表、现金流量表、利润表和财务（会计）报表附注,并提供第三方机构的营业执照、执业证书。</w:t>
      </w:r>
    </w:p>
    <w:p>
      <w:pPr>
        <w:autoSpaceDE w:val="0"/>
        <w:autoSpaceDN w:val="0"/>
        <w:spacing w:line="360" w:lineRule="auto"/>
        <w:ind w:firstLine="480"/>
        <w:rPr>
          <w:rFonts w:ascii="宋体" w:hAnsi="宋体" w:cs="宋体"/>
          <w:color w:val="000000"/>
          <w:kern w:val="0"/>
          <w:sz w:val="24"/>
          <w:szCs w:val="32"/>
          <w:highlight w:val="yellow"/>
          <w:lang w:val="zh-CN"/>
        </w:rPr>
      </w:pPr>
      <w:r>
        <w:rPr>
          <w:rFonts w:hint="eastAsia" w:ascii="宋体" w:hAnsi="宋体" w:cs="宋体"/>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pPr>
        <w:spacing w:line="360" w:lineRule="auto"/>
        <w:rPr>
          <w:rFonts w:ascii="宋体" w:hAnsi="宋体"/>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b/>
          <w:bCs/>
          <w:color w:val="000000"/>
          <w:sz w:val="22"/>
          <w:szCs w:val="28"/>
        </w:rPr>
      </w:pPr>
      <w:r>
        <w:rPr>
          <w:rFonts w:hint="eastAsia" w:ascii="宋体" w:hAnsi="宋体"/>
          <w:b/>
          <w:bCs/>
          <w:color w:val="000000"/>
          <w:sz w:val="22"/>
          <w:szCs w:val="28"/>
        </w:rPr>
        <w:t>附件2.</w:t>
      </w:r>
    </w:p>
    <w:p>
      <w:pPr>
        <w:pStyle w:val="3"/>
        <w:spacing w:before="120" w:after="120" w:line="360" w:lineRule="auto"/>
        <w:jc w:val="center"/>
        <w:rPr>
          <w:rFonts w:ascii="宋体" w:hAnsi="宋体" w:eastAsia="宋体" w:cs="TimesNewRomanPSMT"/>
          <w:color w:val="000000"/>
          <w:kern w:val="0"/>
          <w:sz w:val="28"/>
          <w:szCs w:val="28"/>
        </w:rPr>
      </w:pPr>
      <w:bookmarkStart w:id="1353" w:name="_Toc31899"/>
      <w:bookmarkStart w:id="1354" w:name="_Toc6826"/>
      <w:bookmarkStart w:id="1355" w:name="_Toc11099"/>
      <w:r>
        <w:rPr>
          <w:rFonts w:hint="eastAsia" w:ascii="宋体" w:hAnsi="宋体" w:eastAsia="宋体" w:cs="TimesNewRomanPSMT"/>
          <w:color w:val="000000"/>
          <w:kern w:val="0"/>
          <w:sz w:val="28"/>
          <w:szCs w:val="28"/>
        </w:rPr>
        <w:t>制造（生产）企业小型、微型企业声明函</w:t>
      </w:r>
      <w:bookmarkEnd w:id="1353"/>
      <w:r>
        <w:rPr>
          <w:rFonts w:hint="eastAsia" w:ascii="宋体" w:hAnsi="宋体" w:eastAsia="宋体" w:cs="TimesNewRomanPSMT"/>
          <w:color w:val="000000"/>
          <w:kern w:val="0"/>
          <w:sz w:val="28"/>
          <w:szCs w:val="28"/>
        </w:rPr>
        <w:t>（若有）</w:t>
      </w:r>
      <w:bookmarkEnd w:id="1354"/>
      <w:bookmarkEnd w:id="1355"/>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libri" w:cs="宋体"/>
          <w:b/>
          <w:bCs/>
          <w:color w:val="000000"/>
          <w:kern w:val="0"/>
          <w:szCs w:val="28"/>
          <w:lang w:val="zh-CN"/>
        </w:rPr>
        <w:t>致</w:t>
      </w:r>
      <w:r>
        <w:rPr>
          <w:rFonts w:hint="eastAsia" w:ascii="宋体" w:hAnsi="Cambria" w:cs="宋体"/>
          <w:b/>
          <w:bCs/>
          <w:color w:val="000000"/>
          <w:kern w:val="0"/>
          <w:sz w:val="24"/>
          <w:lang w:val="zh-CN"/>
        </w:rPr>
        <w:t>：采购代理机构</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360"/>
        <w:rPr>
          <w:rFonts w:ascii="宋体" w:hAnsi="Cambria" w:cs="宋体"/>
          <w:color w:val="000000"/>
          <w:kern w:val="0"/>
          <w:sz w:val="24"/>
          <w:lang w:val="zh-CN"/>
        </w:rPr>
      </w:pPr>
      <w:r>
        <w:rPr>
          <w:rFonts w:hint="eastAsia" w:ascii="宋体" w:hAnsi="Cambria" w:cs="宋体"/>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181</w:t>
      </w:r>
      <w:r>
        <w:rPr>
          <w:rFonts w:hint="eastAsia" w:ascii="宋体" w:hAnsi="Cambria" w:cs="宋体"/>
          <w:color w:val="000000"/>
          <w:kern w:val="0"/>
          <w:sz w:val="24"/>
          <w:lang w:val="zh-CN"/>
        </w:rPr>
        <w:t>号）的规定，本公司为</w:t>
      </w:r>
      <w:r>
        <w:rPr>
          <w:rFonts w:ascii="宋体" w:hAnsi="Cambria" w:cs="宋体"/>
          <w:color w:val="000000"/>
          <w:kern w:val="0"/>
          <w:sz w:val="24"/>
          <w:lang w:val="zh-CN"/>
        </w:rPr>
        <w:t>______</w:t>
      </w:r>
      <w:r>
        <w:rPr>
          <w:rFonts w:hint="eastAsia" w:ascii="宋体" w:hAnsi="Cambria" w:cs="宋体"/>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300</w:t>
      </w:r>
      <w:r>
        <w:rPr>
          <w:rFonts w:hint="eastAsia" w:ascii="宋体" w:hAnsi="Cambria" w:cs="宋体"/>
          <w:color w:val="000000"/>
          <w:kern w:val="0"/>
          <w:sz w:val="24"/>
          <w:lang w:val="zh-CN"/>
        </w:rPr>
        <w:t>号）规定的划分标准。</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color w:val="000000"/>
          <w:kern w:val="0"/>
          <w:sz w:val="24"/>
          <w:lang w:val="zh-CN"/>
        </w:rPr>
        <w:t>　　</w:t>
      </w:r>
      <w:r>
        <w:rPr>
          <w:rFonts w:hint="eastAsia" w:ascii="宋体" w:hAnsi="Cambria" w:cs="宋体"/>
          <w:b/>
          <w:bCs/>
          <w:color w:val="000000"/>
          <w:kern w:val="0"/>
          <w:sz w:val="24"/>
          <w:lang w:val="zh-CN"/>
        </w:rPr>
        <w:t>本公司对上述声明的真实性负责。如有虚假，将依法承担相应责任。　　</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b/>
          <w:bCs/>
          <w:color w:val="000000"/>
          <w:kern w:val="0"/>
          <w:sz w:val="24"/>
          <w:lang w:val="zh-CN"/>
        </w:rPr>
        <w:t>注：</w:t>
      </w:r>
      <w:r>
        <w:rPr>
          <w:rFonts w:ascii="宋体" w:hAnsi="Cambria" w:cs="宋体"/>
          <w:b/>
          <w:bCs/>
          <w:color w:val="000000"/>
          <w:kern w:val="0"/>
          <w:sz w:val="24"/>
          <w:lang w:val="zh-CN"/>
        </w:rPr>
        <w:t xml:space="preserve"> 1.</w:t>
      </w:r>
      <w:r>
        <w:rPr>
          <w:rFonts w:hint="eastAsia" w:ascii="宋体" w:hAnsi="Cambria" w:cs="宋体"/>
          <w:b/>
          <w:bCs/>
          <w:color w:val="000000"/>
          <w:kern w:val="0"/>
          <w:sz w:val="24"/>
          <w:lang w:val="zh-CN"/>
        </w:rPr>
        <w:t>此函需声明参与本次投标的货物（产品）名称、规格、型号等相关资料；</w:t>
      </w:r>
    </w:p>
    <w:p>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hint="eastAsia" w:ascii="宋体" w:hAnsi="Cambria" w:cs="宋体"/>
          <w:b/>
          <w:bCs/>
          <w:color w:val="000000"/>
          <w:kern w:val="0"/>
          <w:sz w:val="24"/>
          <w:lang w:val="zh-CN"/>
        </w:rPr>
        <w:t>此函须由投标产品的制造（生产）企业提供并声明，且加盖供应商公章。同时附制造（生产）企业上一年度的财务状况审计报告；</w:t>
      </w:r>
    </w:p>
    <w:p>
      <w:pPr>
        <w:autoSpaceDE w:val="0"/>
        <w:autoSpaceDN w:val="0"/>
        <w:adjustRightInd w:val="0"/>
        <w:spacing w:line="360" w:lineRule="auto"/>
        <w:ind w:firstLine="482" w:firstLineChars="200"/>
        <w:rPr>
          <w:rFonts w:ascii="宋体" w:hAnsi="Cambria" w:cs="宋体"/>
          <w:b/>
          <w:bCs/>
          <w:color w:val="000000"/>
          <w:kern w:val="0"/>
          <w:sz w:val="24"/>
          <w:lang w:val="zh-CN"/>
        </w:rPr>
      </w:pPr>
      <w:r>
        <w:rPr>
          <w:rFonts w:ascii="宋体" w:hAnsi="Cambria" w:cs="宋体"/>
          <w:b/>
          <w:bCs/>
          <w:color w:val="000000"/>
          <w:kern w:val="0"/>
          <w:sz w:val="24"/>
          <w:lang w:val="zh-CN"/>
        </w:rPr>
        <w:t>3.</w:t>
      </w:r>
      <w:r>
        <w:rPr>
          <w:rFonts w:hint="eastAsia" w:ascii="宋体" w:hAnsi="Cambria" w:cs="宋体"/>
          <w:b/>
          <w:bCs/>
          <w:color w:val="000000"/>
          <w:kern w:val="0"/>
          <w:sz w:val="24"/>
          <w:lang w:val="zh-CN"/>
        </w:rPr>
        <w:t>此函若出现多家制造（生产）企业的货物（产品）投标时，可按制造（生产）</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企业分别声明，一家制造（生产）企业填写一张。</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2891" w:firstLineChars="1200"/>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制造（生产）企业名称：（公章）</w:t>
      </w:r>
    </w:p>
    <w:p>
      <w:pPr>
        <w:autoSpaceDE w:val="0"/>
        <w:autoSpaceDN w:val="0"/>
        <w:adjustRightInd w:val="0"/>
        <w:spacing w:line="360" w:lineRule="auto"/>
        <w:ind w:firstLine="2479" w:firstLineChars="1029"/>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制造（生产）企业法定代表人：（签字）</w:t>
      </w:r>
    </w:p>
    <w:p>
      <w:pPr>
        <w:autoSpaceDE w:val="0"/>
        <w:autoSpaceDN w:val="0"/>
        <w:adjustRightInd w:val="0"/>
        <w:spacing w:line="360" w:lineRule="auto"/>
        <w:ind w:firstLine="4250" w:firstLineChars="1764"/>
        <w:rPr>
          <w:rFonts w:ascii="宋体" w:hAnsi="宋体"/>
          <w:color w:val="000000"/>
        </w:rPr>
      </w:pPr>
      <w:r>
        <w:rPr>
          <w:rFonts w:hint="eastAsia" w:ascii="宋体" w:hAnsi="Cambria" w:cs="宋体"/>
          <w:b/>
          <w:bCs/>
          <w:color w:val="000000"/>
          <w:kern w:val="0"/>
          <w:sz w:val="24"/>
          <w:lang w:val="zh-CN"/>
        </w:rPr>
        <w:t xml:space="preserve">年   月   </w:t>
      </w:r>
      <w:r>
        <w:rPr>
          <w:rFonts w:hint="eastAsia" w:ascii="宋体" w:hAnsi="Cambria" w:cs="宋体"/>
          <w:b/>
          <w:bCs/>
          <w:color w:val="000000"/>
          <w:kern w:val="0"/>
          <w:sz w:val="24"/>
        </w:rPr>
        <w:t>日</w:t>
      </w:r>
    </w:p>
    <w:p>
      <w:pPr>
        <w:spacing w:line="360" w:lineRule="auto"/>
        <w:rPr>
          <w:rFonts w:ascii="宋体" w:hAnsi="宋体"/>
          <w:b/>
          <w:bCs/>
          <w:color w:val="000000"/>
          <w:sz w:val="22"/>
          <w:szCs w:val="28"/>
        </w:rPr>
      </w:pPr>
    </w:p>
    <w:p>
      <w:pPr>
        <w:spacing w:line="360" w:lineRule="auto"/>
        <w:rPr>
          <w:rFonts w:ascii="宋体" w:hAnsi="宋体"/>
          <w:b/>
          <w:bCs/>
          <w:color w:val="000000"/>
          <w:sz w:val="22"/>
          <w:szCs w:val="28"/>
        </w:rPr>
      </w:pPr>
      <w:r>
        <w:rPr>
          <w:rFonts w:hint="eastAsia" w:ascii="宋体" w:hAnsi="宋体"/>
          <w:b/>
          <w:bCs/>
          <w:color w:val="000000"/>
          <w:sz w:val="22"/>
          <w:szCs w:val="28"/>
        </w:rPr>
        <w:t>附件3.</w:t>
      </w:r>
    </w:p>
    <w:p>
      <w:pPr>
        <w:pStyle w:val="3"/>
        <w:spacing w:before="120" w:after="120" w:line="360" w:lineRule="auto"/>
        <w:rPr>
          <w:rFonts w:ascii="宋体" w:hAnsi="宋体" w:eastAsia="宋体" w:cs="TimesNewRomanPSMT"/>
          <w:color w:val="000000"/>
          <w:kern w:val="0"/>
          <w:sz w:val="28"/>
          <w:szCs w:val="28"/>
        </w:rPr>
      </w:pPr>
      <w:bookmarkStart w:id="1356" w:name="_Toc6363"/>
      <w:bookmarkStart w:id="1357" w:name="_Toc6175"/>
      <w:bookmarkStart w:id="1358" w:name="_Toc4900"/>
      <w:r>
        <w:rPr>
          <w:rFonts w:hint="eastAsia" w:ascii="宋体" w:hAnsi="宋体" w:eastAsia="宋体" w:cs="TimesNewRomanPSMT"/>
          <w:color w:val="000000"/>
          <w:kern w:val="0"/>
          <w:sz w:val="28"/>
          <w:szCs w:val="28"/>
        </w:rPr>
        <w:t>无重大违法记录声明</w:t>
      </w:r>
      <w:bookmarkEnd w:id="1356"/>
      <w:bookmarkEnd w:id="1357"/>
      <w:bookmarkEnd w:id="1358"/>
    </w:p>
    <w:p>
      <w:pPr>
        <w:spacing w:line="360" w:lineRule="auto"/>
        <w:rPr>
          <w:rFonts w:ascii="宋体" w:hAnsi="宋体"/>
          <w:color w:val="000000"/>
          <w:sz w:val="24"/>
          <w:szCs w:val="18"/>
        </w:rPr>
      </w:pPr>
      <w:r>
        <w:rPr>
          <w:rFonts w:hint="eastAsia" w:ascii="宋体" w:hAnsi="宋体"/>
          <w:color w:val="000000"/>
          <w:sz w:val="24"/>
          <w:szCs w:val="18"/>
        </w:rPr>
        <w:t xml:space="preserve">    提供参加政府采购活动前三年内在经营活动中没有重大违法记录的书面声明书。（格式可自定）</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b/>
          <w:bCs/>
          <w:color w:val="000000"/>
          <w:sz w:val="22"/>
          <w:szCs w:val="28"/>
        </w:rPr>
      </w:pPr>
      <w:r>
        <w:rPr>
          <w:rFonts w:hint="eastAsia" w:ascii="宋体" w:hAnsi="宋体"/>
          <w:b/>
          <w:bCs/>
          <w:color w:val="000000"/>
          <w:sz w:val="22"/>
          <w:szCs w:val="28"/>
        </w:rPr>
        <w:t>附件4</w:t>
      </w:r>
    </w:p>
    <w:p>
      <w:pPr>
        <w:pStyle w:val="3"/>
        <w:spacing w:before="120" w:after="120" w:line="360" w:lineRule="auto"/>
        <w:jc w:val="center"/>
        <w:rPr>
          <w:rFonts w:ascii="宋体" w:hAnsi="宋体" w:eastAsia="宋体" w:cs="TimesNewRomanPSMT"/>
          <w:color w:val="000000"/>
          <w:kern w:val="0"/>
          <w:sz w:val="28"/>
          <w:szCs w:val="28"/>
        </w:rPr>
      </w:pPr>
      <w:bookmarkStart w:id="1359" w:name="_Toc28929"/>
      <w:bookmarkStart w:id="1360" w:name="_Toc20363"/>
      <w:r>
        <w:rPr>
          <w:rFonts w:hint="eastAsia" w:ascii="宋体" w:hAnsi="宋体" w:eastAsia="宋体" w:cs="TimesNewRomanPSMT"/>
          <w:color w:val="000000"/>
          <w:kern w:val="0"/>
          <w:sz w:val="28"/>
          <w:szCs w:val="28"/>
        </w:rPr>
        <w:t>最终报价确定表</w:t>
      </w:r>
      <w:bookmarkEnd w:id="1359"/>
      <w:bookmarkEnd w:id="1360"/>
    </w:p>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项目名称：</w:t>
      </w:r>
    </w:p>
    <w:tbl>
      <w:tblPr>
        <w:tblStyle w:val="39"/>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557"/>
        <w:gridCol w:w="2467"/>
        <w:gridCol w:w="2402"/>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标段</w:t>
            </w:r>
          </w:p>
        </w:tc>
        <w:tc>
          <w:tcPr>
            <w:tcW w:w="155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最初报价</w:t>
            </w:r>
          </w:p>
        </w:tc>
        <w:tc>
          <w:tcPr>
            <w:tcW w:w="246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调整因素</w:t>
            </w:r>
          </w:p>
        </w:tc>
        <w:tc>
          <w:tcPr>
            <w:tcW w:w="2402"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最终报价</w:t>
            </w:r>
          </w:p>
        </w:tc>
        <w:tc>
          <w:tcPr>
            <w:tcW w:w="1260"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（大写）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（小写）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6" w:hRule="atLeast"/>
        </w:trPr>
        <w:tc>
          <w:tcPr>
            <w:tcW w:w="1314" w:type="dxa"/>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最终确定的质量保证及服务承诺</w:t>
            </w:r>
          </w:p>
        </w:tc>
        <w:tc>
          <w:tcPr>
            <w:tcW w:w="7686" w:type="dxa"/>
            <w:gridSpan w:val="4"/>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p>
        </w:tc>
      </w:tr>
    </w:tbl>
    <w:p>
      <w:pPr>
        <w:autoSpaceDE w:val="0"/>
        <w:autoSpaceDN w:val="0"/>
        <w:adjustRightInd w:val="0"/>
        <w:spacing w:line="360" w:lineRule="auto"/>
        <w:jc w:val="left"/>
        <w:rPr>
          <w:rFonts w:ascii="宋体" w:hAnsi="宋体"/>
          <w:b/>
          <w:bCs/>
          <w:color w:val="000000"/>
          <w:szCs w:val="21"/>
        </w:rPr>
      </w:pPr>
      <w:r>
        <w:rPr>
          <w:rFonts w:hint="eastAsia" w:ascii="宋体" w:hAnsi="宋体"/>
          <w:b/>
          <w:bCs/>
          <w:color w:val="000000"/>
          <w:szCs w:val="21"/>
        </w:rPr>
        <w:t>注：此表须单独提交（不需装订在竞争性磋商响应文件正本中），事先盖好投标单位（公司）公章，由法定代表人或被授权供应商现场填写相关内容后提交。</w:t>
      </w:r>
    </w:p>
    <w:p>
      <w:pPr>
        <w:autoSpaceDE w:val="0"/>
        <w:autoSpaceDN w:val="0"/>
        <w:adjustRightInd w:val="0"/>
        <w:spacing w:line="360" w:lineRule="auto"/>
        <w:jc w:val="left"/>
        <w:rPr>
          <w:rFonts w:ascii="宋体" w:hAnsi="宋体"/>
          <w:color w:val="000000"/>
          <w:szCs w:val="21"/>
        </w:rPr>
      </w:pP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投标单位（公司）盖章：</w:t>
      </w: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法定代表人或被授权供应商（签名或盖章）：</w:t>
      </w:r>
    </w:p>
    <w:p>
      <w:pPr>
        <w:autoSpaceDE w:val="0"/>
        <w:autoSpaceDN w:val="0"/>
        <w:adjustRightInd w:val="0"/>
        <w:spacing w:line="360" w:lineRule="auto"/>
        <w:ind w:right="480" w:firstLine="5880" w:firstLineChars="2800"/>
        <w:rPr>
          <w:rFonts w:ascii="宋体" w:hAnsi="宋体"/>
          <w:color w:val="000000"/>
          <w:szCs w:val="21"/>
        </w:rPr>
      </w:pPr>
      <w:r>
        <w:rPr>
          <w:rFonts w:hint="eastAsia" w:ascii="宋体" w:hAnsi="宋体"/>
          <w:color w:val="000000"/>
          <w:szCs w:val="21"/>
        </w:rPr>
        <w:t>年  月  日</w:t>
      </w:r>
    </w:p>
    <w:bookmarkEnd w:id="1347"/>
    <w:bookmarkEnd w:id="1348"/>
    <w:p>
      <w:pPr>
        <w:rPr>
          <w:rFonts w:ascii="宋体" w:hAnsi="宋体" w:cs="宋体"/>
          <w:sz w:val="24"/>
        </w:rPr>
        <w:sectPr>
          <w:headerReference r:id="rId3" w:type="default"/>
          <w:footerReference r:id="rId4" w:type="default"/>
          <w:footerReference r:id="rId5" w:type="even"/>
          <w:pgSz w:w="11906" w:h="16838"/>
          <w:pgMar w:top="1440" w:right="2006" w:bottom="1440" w:left="1180" w:header="851" w:footer="992" w:gutter="0"/>
          <w:pgNumType w:fmt="numberInDash"/>
          <w:cols w:space="720" w:num="1"/>
          <w:docGrid w:type="lines" w:linePitch="312" w:charSpace="0"/>
        </w:sectPr>
      </w:pPr>
      <w:r>
        <w:rPr>
          <w:rFonts w:ascii="宋体" w:hAnsi="宋体" w:cs="宋体"/>
          <w:sz w:val="24"/>
        </w:rPr>
        <w:br w:type="page"/>
      </w:r>
      <w:r>
        <w:rPr>
          <w:rFonts w:hint="eastAsia" w:ascii="宋体" w:hAnsi="宋体" w:cs="宋体"/>
          <w:sz w:val="24"/>
        </w:rPr>
        <w:drawing>
          <wp:inline distT="0" distB="0" distL="114300" distR="114300">
            <wp:extent cx="6539865" cy="8899525"/>
            <wp:effectExtent l="0" t="0" r="13335" b="15875"/>
            <wp:docPr id="1" name="图片 1" descr="封皮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皮1"/>
                    <pic:cNvPicPr>
                      <a:picLocks noChangeAspect="1"/>
                    </pic:cNvPicPr>
                  </pic:nvPicPr>
                  <pic:blipFill>
                    <a:blip r:embed="rId7"/>
                    <a:stretch>
                      <a:fillRect/>
                    </a:stretch>
                  </pic:blipFill>
                  <pic:spPr>
                    <a:xfrm>
                      <a:off x="0" y="0"/>
                      <a:ext cx="6539865" cy="8899525"/>
                    </a:xfrm>
                    <a:prstGeom prst="rect">
                      <a:avLst/>
                    </a:prstGeom>
                  </pic:spPr>
                </pic:pic>
              </a:graphicData>
            </a:graphic>
          </wp:inline>
        </w:drawing>
      </w:r>
      <w:r>
        <w:rPr>
          <w:rFonts w:hint="eastAsia" w:ascii="宋体" w:hAnsi="宋体" w:cs="宋体"/>
          <w:sz w:val="24"/>
        </w:rPr>
        <w:drawing>
          <wp:inline distT="0" distB="0" distL="114300" distR="114300">
            <wp:extent cx="5907405" cy="8958580"/>
            <wp:effectExtent l="0" t="0" r="17145" b="13970"/>
            <wp:docPr id="2" name="图片 2" descr="封皮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封皮2"/>
                    <pic:cNvPicPr>
                      <a:picLocks noChangeAspect="1"/>
                    </pic:cNvPicPr>
                  </pic:nvPicPr>
                  <pic:blipFill>
                    <a:blip r:embed="rId8"/>
                    <a:stretch>
                      <a:fillRect/>
                    </a:stretch>
                  </pic:blipFill>
                  <pic:spPr>
                    <a:xfrm>
                      <a:off x="0" y="0"/>
                      <a:ext cx="5907405" cy="8958580"/>
                    </a:xfrm>
                    <a:prstGeom prst="rect">
                      <a:avLst/>
                    </a:prstGeom>
                  </pic:spPr>
                </pic:pic>
              </a:graphicData>
            </a:graphic>
          </wp:inline>
        </w:drawing>
      </w:r>
      <w:r>
        <w:rPr>
          <w:rFonts w:hint="eastAsia" w:ascii="宋体" w:hAnsi="宋体" w:cs="宋体"/>
          <w:sz w:val="24"/>
        </w:rPr>
        <w:drawing>
          <wp:inline distT="0" distB="0" distL="114300" distR="114300">
            <wp:extent cx="5767705" cy="9174480"/>
            <wp:effectExtent l="0" t="0" r="4445" b="7620"/>
            <wp:docPr id="3" name="图片 3" descr="编制说明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编制说明1"/>
                    <pic:cNvPicPr>
                      <a:picLocks noChangeAspect="1"/>
                    </pic:cNvPicPr>
                  </pic:nvPicPr>
                  <pic:blipFill>
                    <a:blip r:embed="rId9"/>
                    <a:stretch>
                      <a:fillRect/>
                    </a:stretch>
                  </pic:blipFill>
                  <pic:spPr>
                    <a:xfrm>
                      <a:off x="0" y="0"/>
                      <a:ext cx="5767705" cy="9174480"/>
                    </a:xfrm>
                    <a:prstGeom prst="rect">
                      <a:avLst/>
                    </a:prstGeom>
                  </pic:spPr>
                </pic:pic>
              </a:graphicData>
            </a:graphic>
          </wp:inline>
        </w:drawing>
      </w:r>
      <w:r>
        <w:rPr>
          <w:rFonts w:hint="eastAsia" w:ascii="宋体" w:hAnsi="宋体" w:cs="宋体"/>
          <w:sz w:val="24"/>
        </w:rPr>
        <w:drawing>
          <wp:inline distT="0" distB="0" distL="114300" distR="114300">
            <wp:extent cx="5906135" cy="9112250"/>
            <wp:effectExtent l="0" t="0" r="18415" b="12700"/>
            <wp:docPr id="4" name="图片 4" descr="编制说明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编制说明2"/>
                    <pic:cNvPicPr>
                      <a:picLocks noChangeAspect="1"/>
                    </pic:cNvPicPr>
                  </pic:nvPicPr>
                  <pic:blipFill>
                    <a:blip r:embed="rId10"/>
                    <a:stretch>
                      <a:fillRect/>
                    </a:stretch>
                  </pic:blipFill>
                  <pic:spPr>
                    <a:xfrm>
                      <a:off x="0" y="0"/>
                      <a:ext cx="5906135" cy="9112250"/>
                    </a:xfrm>
                    <a:prstGeom prst="rect">
                      <a:avLst/>
                    </a:prstGeom>
                  </pic:spPr>
                </pic:pic>
              </a:graphicData>
            </a:graphic>
          </wp:inline>
        </w:drawing>
      </w:r>
    </w:p>
    <w:tbl>
      <w:tblPr>
        <w:tblStyle w:val="39"/>
        <w:tblpPr w:leftFromText="180" w:rightFromText="180" w:vertAnchor="text" w:horzAnchor="page" w:tblpX="745" w:tblpY="58"/>
        <w:tblOverlap w:val="never"/>
        <w:tblW w:w="10470" w:type="dxa"/>
        <w:tblInd w:w="0" w:type="dxa"/>
        <w:tblLayout w:type="autofit"/>
        <w:tblCellMar>
          <w:top w:w="0" w:type="dxa"/>
          <w:left w:w="0" w:type="dxa"/>
          <w:bottom w:w="0" w:type="dxa"/>
          <w:right w:w="0" w:type="dxa"/>
        </w:tblCellMar>
      </w:tblPr>
      <w:tblGrid>
        <w:gridCol w:w="842"/>
        <w:gridCol w:w="76"/>
        <w:gridCol w:w="26"/>
        <w:gridCol w:w="658"/>
        <w:gridCol w:w="29"/>
        <w:gridCol w:w="52"/>
        <w:gridCol w:w="1162"/>
        <w:gridCol w:w="133"/>
        <w:gridCol w:w="1164"/>
        <w:gridCol w:w="37"/>
        <w:gridCol w:w="60"/>
        <w:gridCol w:w="57"/>
        <w:gridCol w:w="353"/>
        <w:gridCol w:w="14"/>
        <w:gridCol w:w="796"/>
        <w:gridCol w:w="255"/>
        <w:gridCol w:w="110"/>
        <w:gridCol w:w="499"/>
        <w:gridCol w:w="492"/>
        <w:gridCol w:w="126"/>
        <w:gridCol w:w="105"/>
        <w:gridCol w:w="19"/>
        <w:gridCol w:w="217"/>
        <w:gridCol w:w="242"/>
        <w:gridCol w:w="101"/>
        <w:gridCol w:w="424"/>
        <w:gridCol w:w="49"/>
        <w:gridCol w:w="190"/>
        <w:gridCol w:w="88"/>
        <w:gridCol w:w="79"/>
        <w:gridCol w:w="35"/>
        <w:gridCol w:w="115"/>
        <w:gridCol w:w="80"/>
        <w:gridCol w:w="84"/>
        <w:gridCol w:w="134"/>
        <w:gridCol w:w="114"/>
        <w:gridCol w:w="101"/>
        <w:gridCol w:w="137"/>
        <w:gridCol w:w="155"/>
        <w:gridCol w:w="951"/>
        <w:gridCol w:w="135"/>
      </w:tblGrid>
      <w:tr>
        <w:trPr>
          <w:trHeight w:val="412"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36"/>
                <w:szCs w:val="36"/>
              </w:rPr>
              <w:t>分部分项工程和单价措施项目清单与计价表</w:t>
            </w:r>
          </w:p>
        </w:tc>
      </w:tr>
      <w:tr>
        <w:tblPrEx>
          <w:tblCellMar>
            <w:top w:w="0" w:type="dxa"/>
            <w:left w:w="0" w:type="dxa"/>
            <w:bottom w:w="0" w:type="dxa"/>
            <w:right w:w="0" w:type="dxa"/>
          </w:tblCellMar>
        </w:tblPrEx>
        <w:trPr>
          <w:trHeight w:val="177" w:hRule="atLeast"/>
        </w:trPr>
        <w:tc>
          <w:tcPr>
            <w:tcW w:w="4587" w:type="dxa"/>
            <w:gridSpan w:val="1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工程名称：建筑与装饰工程</w:t>
            </w:r>
          </w:p>
        </w:tc>
        <w:tc>
          <w:tcPr>
            <w:tcW w:w="3385" w:type="dxa"/>
            <w:gridSpan w:val="14"/>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498" w:type="dxa"/>
            <w:gridSpan w:val="14"/>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2  页</w:t>
            </w:r>
          </w:p>
        </w:tc>
      </w:tr>
      <w:tr>
        <w:tblPrEx>
          <w:tblCellMar>
            <w:top w:w="0" w:type="dxa"/>
            <w:left w:w="0" w:type="dxa"/>
            <w:bottom w:w="0" w:type="dxa"/>
            <w:right w:w="0" w:type="dxa"/>
          </w:tblCellMar>
        </w:tblPrEx>
        <w:trPr>
          <w:trHeight w:val="257" w:hRule="atLeast"/>
        </w:trPr>
        <w:tc>
          <w:tcPr>
            <w:tcW w:w="912"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815"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326"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80" w:type="dxa"/>
            <w:gridSpan w:val="9"/>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695" w:type="dxa"/>
            <w:gridSpan w:val="4"/>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944"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498" w:type="dxa"/>
            <w:gridSpan w:val="1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78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78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A.8</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门窗工程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020509013001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直拼库门</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1.门代号及洞口尺寸:1.8*2.1</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2.其他:含五金</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樘</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020509002001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槛窗</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1.窗代号及洞口尺寸:1.5*1.8</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2.其他:含五金</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樘</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A.12</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墙面修复</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1691"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011201001001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墙面一般抹灰</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1.做法详见:05J909-外墙4A</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2.底层厚度、砂浆配合比:12厚1:3水泥砂浆打底</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3.面层厚度、砂浆配合比:6厚1:2.5水泥砂浆面层</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232</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17"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7"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A.12</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围墙</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010101003001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挖沟槽土方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1.土壤类别:详见设计说明</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2.挖土深度:1.4m</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352.8</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010103001001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回填方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1.密实度要求:详见设计说明</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2.填方材料品种:综合</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236.16</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881"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010103002001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余方弃置</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1.废弃料品种:综合</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2.运距:投标方自行考虑</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116.64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010501002001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带形基础</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1.混凝土种类:商品砼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2.混凝土强度等级:c30</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010503004001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圈梁</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1.混凝土种类:商品砼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2.混凝土强度等级:c25</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20.74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010507005001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扶手、压顶</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1.混凝土种类:商品砼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2.混凝土强度等级:c25</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25.2</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010502002001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构造柱</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1.混凝土种类:商品砼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2.混凝土强度等级:c25</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59.94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010515001001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现浇构件钢筋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1.钢筋种类、规格:HPB300 直径10mm以内</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t</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1.489</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010515001002</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现浇构件钢筋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1.钢筋种类、规格:HRB400 直径12mm</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t</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2.543</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595" w:type="dxa"/>
            <w:gridSpan w:val="33"/>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783" w:type="dxa"/>
            <w:gridSpan w:val="6"/>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23" w:hRule="atLeast"/>
        </w:trPr>
        <w:tc>
          <w:tcPr>
            <w:tcW w:w="4587" w:type="dxa"/>
            <w:gridSpan w:val="1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385" w:type="dxa"/>
            <w:gridSpan w:val="1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498" w:type="dxa"/>
            <w:gridSpan w:val="14"/>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trHeight w:val="23" w:hRule="atLeast"/>
        </w:trPr>
        <w:tc>
          <w:tcPr>
            <w:tcW w:w="4587" w:type="dxa"/>
            <w:gridSpan w:val="1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工程名称：建筑与装饰工程</w:t>
            </w:r>
          </w:p>
        </w:tc>
        <w:tc>
          <w:tcPr>
            <w:tcW w:w="3385" w:type="dxa"/>
            <w:gridSpan w:val="14"/>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498" w:type="dxa"/>
            <w:gridSpan w:val="14"/>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2  页  共  2  页</w:t>
            </w:r>
          </w:p>
        </w:tc>
      </w:tr>
      <w:tr>
        <w:tblPrEx>
          <w:tblCellMar>
            <w:top w:w="0" w:type="dxa"/>
            <w:left w:w="0" w:type="dxa"/>
            <w:bottom w:w="0" w:type="dxa"/>
            <w:right w:w="0" w:type="dxa"/>
          </w:tblCellMar>
        </w:tblPrEx>
        <w:trPr>
          <w:trHeight w:val="23" w:hRule="atLeast"/>
        </w:trPr>
        <w:tc>
          <w:tcPr>
            <w:tcW w:w="912"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815"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326"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80" w:type="dxa"/>
            <w:gridSpan w:val="9"/>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695" w:type="dxa"/>
            <w:gridSpan w:val="4"/>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944"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498" w:type="dxa"/>
            <w:gridSpan w:val="1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78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78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010515001003</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现浇构件钢筋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1.钢筋种类、规格:HRB400 直径8mm</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t</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0.787</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010401001001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砖基础</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1.砖品种、规格、强度等级:360厚</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2.防潮层材料种类:20厚1：2.5水泥砂浆加5%防水剂</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41.47</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010401003001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实心砖墙</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1.砖品种、规格、强度等级:360厚</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2.墙体类型:围墙</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81.65</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011204001001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石材墙面</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1.安装方式:规格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2.面层材料品种、规格、颜色:0.3m高灰色外墙石材</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54.26</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011204001002</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石材墙面</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1、定制外墙石材</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225.14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011406001001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抹灰面油漆</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1、1遍底漆，3遍面漆</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2、含刮腻子</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270.94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011407001001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墙面喷刷涂料</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1、防水涂料</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262.8</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措施项目</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011705001001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大型机械设备进出场及安拆</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1.机械设备名称:挖掘机</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台次</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011702001001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基础</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1.基础类型:条形基础</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144.48</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011702003001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构造柱</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295.7</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011702008001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圈梁</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011702025001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其他现浇构件</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1.构件类型:压顶</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210.52</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011701003001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里脚手架</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747</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595" w:type="dxa"/>
            <w:gridSpan w:val="3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595" w:type="dxa"/>
            <w:gridSpan w:val="33"/>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783" w:type="dxa"/>
            <w:gridSpan w:val="6"/>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92"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23" w:hRule="atLeast"/>
        </w:trPr>
        <w:tc>
          <w:tcPr>
            <w:tcW w:w="4587" w:type="dxa"/>
            <w:gridSpan w:val="1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385" w:type="dxa"/>
            <w:gridSpan w:val="1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498" w:type="dxa"/>
            <w:gridSpan w:val="14"/>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总价措施项目清单与计价表</w:t>
            </w:r>
          </w:p>
        </w:tc>
      </w:tr>
      <w:tr>
        <w:tblPrEx>
          <w:tblCellMar>
            <w:top w:w="0" w:type="dxa"/>
            <w:left w:w="0" w:type="dxa"/>
            <w:bottom w:w="0" w:type="dxa"/>
            <w:right w:w="0" w:type="dxa"/>
          </w:tblCellMar>
        </w:tblPrEx>
        <w:trPr>
          <w:trHeight w:val="23" w:hRule="atLeast"/>
        </w:trPr>
        <w:tc>
          <w:tcPr>
            <w:tcW w:w="4600" w:type="dxa"/>
            <w:gridSpan w:val="14"/>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工程名称：建筑与装饰工程</w:t>
            </w:r>
          </w:p>
        </w:tc>
        <w:tc>
          <w:tcPr>
            <w:tcW w:w="3676" w:type="dxa"/>
            <w:gridSpan w:val="15"/>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194" w:type="dxa"/>
            <w:gridSpan w:val="1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23" w:hRule="atLeast"/>
        </w:trPr>
        <w:tc>
          <w:tcPr>
            <w:tcW w:w="778"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828"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447"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80" w:type="dxa"/>
            <w:gridSpan w:val="9"/>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674"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175"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878" w:type="dxa"/>
            <w:gridSpan w:val="9"/>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调整费率(%)</w:t>
            </w:r>
          </w:p>
        </w:tc>
        <w:tc>
          <w:tcPr>
            <w:tcW w:w="1410" w:type="dxa"/>
            <w:gridSpan w:val="4"/>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调整后金额(元)</w:t>
            </w: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011707001001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安全文明施工费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7.87</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文明施工费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环境保护费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2.53</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临时设施费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6.9</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011707002001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夜间施工增加费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0.96</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011707004001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二次搬运费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011707005001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冬雨季施工增加费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011707007001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已完工程及设备保护费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0.18</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011707008001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工程定位复测费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0.66</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007" w:type="dxa"/>
            <w:gridSpan w:val="21"/>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175" w:type="dxa"/>
            <w:gridSpan w:val="7"/>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10" w:type="dxa"/>
            <w:gridSpan w:val="4"/>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4600" w:type="dxa"/>
            <w:gridSpan w:val="14"/>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5870" w:type="dxa"/>
            <w:gridSpan w:val="2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注：1.“计算基础”中安全文明施工费可为“定额基价”、“定额人工费”或“定额人工费+定额机械费”，其他项目可为“定额人工费”或“定额人工费+定额机械费”。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2.按施工方案计算的措施费，若无“计算基础”和“费率”的数值，也可只填“金额”数值，但应在备注栏说明施工方案出处或计算方法。</w:t>
            </w:r>
          </w:p>
        </w:tc>
      </w:tr>
      <w:tr>
        <w:tblPrEx>
          <w:tblCellMar>
            <w:top w:w="0" w:type="dxa"/>
            <w:left w:w="0" w:type="dxa"/>
            <w:bottom w:w="0" w:type="dxa"/>
            <w:right w:w="0" w:type="dxa"/>
          </w:tblCellMar>
        </w:tblPrEx>
        <w:trPr>
          <w:trHeight w:val="23" w:hRule="atLeast"/>
        </w:trPr>
        <w:tc>
          <w:tcPr>
            <w:tcW w:w="4600" w:type="dxa"/>
            <w:gridSpan w:val="1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676" w:type="dxa"/>
            <w:gridSpan w:val="15"/>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194" w:type="dxa"/>
            <w:gridSpan w:val="1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表-11</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其他项目清单与计价汇总表</w:t>
            </w:r>
          </w:p>
        </w:tc>
      </w:tr>
      <w:tr>
        <w:tblPrEx>
          <w:tblCellMar>
            <w:top w:w="0" w:type="dxa"/>
            <w:left w:w="0" w:type="dxa"/>
            <w:bottom w:w="0" w:type="dxa"/>
            <w:right w:w="0" w:type="dxa"/>
          </w:tblCellMar>
        </w:tblPrEx>
        <w:trPr>
          <w:trHeight w:val="23" w:hRule="atLeast"/>
        </w:trPr>
        <w:tc>
          <w:tcPr>
            <w:tcW w:w="4091"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工程名称：建筑与装饰工程</w:t>
            </w:r>
          </w:p>
        </w:tc>
        <w:tc>
          <w:tcPr>
            <w:tcW w:w="4268" w:type="dxa"/>
            <w:gridSpan w:val="2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111" w:type="dxa"/>
            <w:gridSpan w:val="11"/>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23" w:hRule="atLeast"/>
        </w:trPr>
        <w:tc>
          <w:tcPr>
            <w:tcW w:w="1524" w:type="dxa"/>
            <w:gridSpan w:val="5"/>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174"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1528"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459"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结算金额(元)</w:t>
            </w:r>
          </w:p>
        </w:tc>
        <w:tc>
          <w:tcPr>
            <w:tcW w:w="1785" w:type="dxa"/>
            <w:gridSpan w:val="7"/>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暂列金额</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100000</w:t>
            </w: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明细详见表-12-1</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暂估价</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材料暂估价</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w:t>
            </w: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明细详见表-12-2</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专业工程暂估价</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明细详见表-12-3</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计日工</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明细详见表-12-4</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总承包服务费</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明细详见表-12-5</w:t>
            </w: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索赔与签证</w:t>
            </w: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24" w:type="dxa"/>
            <w:gridSpan w:val="5"/>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17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52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9"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5698" w:type="dxa"/>
            <w:gridSpan w:val="16"/>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528" w:type="dxa"/>
            <w:gridSpan w:val="7"/>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100000</w:t>
            </w:r>
          </w:p>
        </w:tc>
        <w:tc>
          <w:tcPr>
            <w:tcW w:w="1459" w:type="dxa"/>
            <w:gridSpan w:val="11"/>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785" w:type="dxa"/>
            <w:gridSpan w:val="7"/>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注：材料（工程设备）暂估单价进入清单项目综合单价，此处不汇总。</w:t>
            </w:r>
          </w:p>
        </w:tc>
      </w:tr>
      <w:tr>
        <w:tblPrEx>
          <w:tblCellMar>
            <w:top w:w="0" w:type="dxa"/>
            <w:left w:w="0" w:type="dxa"/>
            <w:bottom w:w="0" w:type="dxa"/>
            <w:right w:w="0" w:type="dxa"/>
          </w:tblCellMar>
        </w:tblPrEx>
        <w:trPr>
          <w:trHeight w:val="23" w:hRule="atLeast"/>
        </w:trPr>
        <w:tc>
          <w:tcPr>
            <w:tcW w:w="409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4268" w:type="dxa"/>
            <w:gridSpan w:val="2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111" w:type="dxa"/>
            <w:gridSpan w:val="11"/>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表-12</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暂列金额明细表</w:t>
            </w:r>
          </w:p>
        </w:tc>
      </w:tr>
      <w:tr>
        <w:tblPrEx>
          <w:tblCellMar>
            <w:top w:w="0" w:type="dxa"/>
            <w:left w:w="0" w:type="dxa"/>
            <w:bottom w:w="0" w:type="dxa"/>
            <w:right w:w="0" w:type="dxa"/>
          </w:tblCellMar>
        </w:tblPrEx>
        <w:trPr>
          <w:trHeight w:val="23" w:hRule="atLeast"/>
        </w:trPr>
        <w:tc>
          <w:tcPr>
            <w:tcW w:w="4053" w:type="dxa"/>
            <w:gridSpan w:val="9"/>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工程名称：建筑与装饰工程</w:t>
            </w:r>
          </w:p>
        </w:tc>
        <w:tc>
          <w:tcPr>
            <w:tcW w:w="3876" w:type="dxa"/>
            <w:gridSpan w:val="1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标段：宏觉寺街街景整治项目</w:t>
            </w:r>
          </w:p>
        </w:tc>
        <w:tc>
          <w:tcPr>
            <w:tcW w:w="2541" w:type="dxa"/>
            <w:gridSpan w:val="15"/>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第 1 页  共 1 页</w:t>
            </w:r>
          </w:p>
        </w:tc>
      </w:tr>
      <w:tr>
        <w:tblPrEx>
          <w:tblCellMar>
            <w:top w:w="0" w:type="dxa"/>
            <w:left w:w="0" w:type="dxa"/>
            <w:bottom w:w="0" w:type="dxa"/>
            <w:right w:w="0" w:type="dxa"/>
          </w:tblCellMar>
        </w:tblPrEx>
        <w:trPr>
          <w:trHeight w:val="23" w:hRule="atLeast"/>
        </w:trPr>
        <w:tc>
          <w:tcPr>
            <w:tcW w:w="1499" w:type="dxa"/>
            <w:gridSpan w:val="4"/>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3934"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项目名称</w:t>
            </w:r>
          </w:p>
        </w:tc>
        <w:tc>
          <w:tcPr>
            <w:tcW w:w="1361"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计量单位</w:t>
            </w:r>
          </w:p>
        </w:tc>
        <w:tc>
          <w:tcPr>
            <w:tcW w:w="2160" w:type="dxa"/>
            <w:gridSpan w:val="1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暂定金额(元)</w:t>
            </w:r>
          </w:p>
        </w:tc>
        <w:tc>
          <w:tcPr>
            <w:tcW w:w="1516" w:type="dxa"/>
            <w:gridSpan w:val="5"/>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工程优质费</w:t>
            </w: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1、计算基数为不含工程优质费的税前工程造价</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2、费率参考鲁班奖3%,全国建筑工程装饰奖1.5%,江河源杯1%</w:t>
            </w: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暂列金</w:t>
            </w: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100000</w:t>
            </w: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23" w:hRule="atLeast"/>
        </w:trPr>
        <w:tc>
          <w:tcPr>
            <w:tcW w:w="1499" w:type="dxa"/>
            <w:gridSpan w:val="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3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61"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60" w:type="dxa"/>
            <w:gridSpan w:val="1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516" w:type="dxa"/>
            <w:gridSpan w:val="5"/>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rPr>
          <w:trHeight w:val="23" w:hRule="atLeast"/>
        </w:trPr>
        <w:tc>
          <w:tcPr>
            <w:tcW w:w="6794" w:type="dxa"/>
            <w:gridSpan w:val="19"/>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    计</w:t>
            </w:r>
          </w:p>
        </w:tc>
        <w:tc>
          <w:tcPr>
            <w:tcW w:w="2160" w:type="dxa"/>
            <w:gridSpan w:val="17"/>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100000</w:t>
            </w:r>
          </w:p>
        </w:tc>
        <w:tc>
          <w:tcPr>
            <w:tcW w:w="1516" w:type="dxa"/>
            <w:gridSpan w:val="5"/>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注：此表由招标人填写，如不能详列，也可只列暂列金额总额，投标人应将上述暂列金额计入投标总价中。</w:t>
            </w:r>
          </w:p>
        </w:tc>
      </w:tr>
      <w:tr>
        <w:tblPrEx>
          <w:tblCellMar>
            <w:top w:w="0" w:type="dxa"/>
            <w:left w:w="0" w:type="dxa"/>
            <w:bottom w:w="0" w:type="dxa"/>
            <w:right w:w="0" w:type="dxa"/>
          </w:tblCellMar>
        </w:tblPrEx>
        <w:trPr>
          <w:trHeight w:val="23" w:hRule="atLeast"/>
        </w:trPr>
        <w:tc>
          <w:tcPr>
            <w:tcW w:w="4053" w:type="dxa"/>
            <w:gridSpan w:val="9"/>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3876" w:type="dxa"/>
            <w:gridSpan w:val="17"/>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541" w:type="dxa"/>
            <w:gridSpan w:val="15"/>
            <w:tcBorders>
              <w:top w:val="nil"/>
              <w:left w:val="nil"/>
              <w:bottom w:val="nil"/>
              <w:right w:val="nil"/>
            </w:tcBorders>
            <w:shd w:val="clear" w:color="FFFFFF" w:fill="FFFFFF"/>
            <w:tcMar>
              <w:top w:w="15" w:type="dxa"/>
              <w:left w:w="15" w:type="dxa"/>
              <w:right w:w="15" w:type="dxa"/>
            </w:tcMar>
          </w:tcPr>
          <w:p>
            <w:pPr>
              <w:widowControl/>
              <w:jc w:val="right"/>
              <w:textAlignment w:val="top"/>
              <w:rPr>
                <w:rFonts w:ascii="宋体" w:hAnsi="宋体" w:cs="宋体"/>
                <w:color w:val="000000"/>
                <w:sz w:val="18"/>
                <w:szCs w:val="18"/>
              </w:rPr>
            </w:pPr>
            <w:r>
              <w:rPr>
                <w:rFonts w:hint="eastAsia" w:ascii="宋体" w:hAnsi="宋体" w:cs="宋体"/>
                <w:color w:val="000000"/>
                <w:kern w:val="0"/>
                <w:sz w:val="18"/>
                <w:szCs w:val="18"/>
              </w:rPr>
              <w:t>表—12—1</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（十六）规费、税金项目计价表</w:t>
            </w:r>
          </w:p>
        </w:tc>
      </w:tr>
      <w:tr>
        <w:tblPrEx>
          <w:tblCellMar>
            <w:top w:w="0" w:type="dxa"/>
            <w:left w:w="0" w:type="dxa"/>
            <w:bottom w:w="0" w:type="dxa"/>
            <w:right w:w="0" w:type="dxa"/>
          </w:tblCellMar>
        </w:tblPrEx>
        <w:trPr>
          <w:trHeight w:val="23" w:hRule="atLeast"/>
        </w:trPr>
        <w:tc>
          <w:tcPr>
            <w:tcW w:w="4091"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工程名称：建筑与装饰工程</w:t>
            </w:r>
          </w:p>
        </w:tc>
        <w:tc>
          <w:tcPr>
            <w:tcW w:w="3447" w:type="dxa"/>
            <w:gridSpan w:val="15"/>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932" w:type="dxa"/>
            <w:gridSpan w:val="1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23" w:hRule="atLeast"/>
        </w:trPr>
        <w:tc>
          <w:tcPr>
            <w:tcW w:w="874"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340" w:type="dxa"/>
            <w:gridSpan w:val="10"/>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697"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1484"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计算基数</w:t>
            </w:r>
          </w:p>
        </w:tc>
        <w:tc>
          <w:tcPr>
            <w:tcW w:w="818"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257" w:type="dxa"/>
            <w:gridSpan w:val="3"/>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规费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社会保险费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养老保险费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失业保险费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医疗保险费和生育保险费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6.5</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工伤保险费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工程排污费</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按实际发生额计算</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税金</w:t>
            </w: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分部分项工程量清单项目费+措施项目费+其他项目费+规费</w:t>
            </w: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74"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40" w:type="dxa"/>
            <w:gridSpan w:val="10"/>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697"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84"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1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7"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9213" w:type="dxa"/>
            <w:gridSpan w:val="38"/>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257" w:type="dxa"/>
            <w:gridSpan w:val="3"/>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4091"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3447" w:type="dxa"/>
            <w:gridSpan w:val="15"/>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32" w:type="dxa"/>
            <w:gridSpan w:val="16"/>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23" w:hRule="atLeast"/>
        </w:trPr>
        <w:tc>
          <w:tcPr>
            <w:tcW w:w="409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447" w:type="dxa"/>
            <w:gridSpan w:val="15"/>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32" w:type="dxa"/>
            <w:gridSpan w:val="1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表-13</w:t>
            </w:r>
          </w:p>
        </w:tc>
      </w:tr>
      <w:tr>
        <w:tblPrEx>
          <w:tblCellMar>
            <w:top w:w="0" w:type="dxa"/>
            <w:left w:w="0" w:type="dxa"/>
            <w:bottom w:w="0" w:type="dxa"/>
            <w:right w:w="0" w:type="dxa"/>
          </w:tblCellMar>
        </w:tblPrEx>
        <w:trPr>
          <w:gridAfter w:val="1"/>
          <w:wAfter w:w="161" w:type="dxa"/>
          <w:trHeight w:val="23" w:hRule="atLeast"/>
        </w:trPr>
        <w:tc>
          <w:tcPr>
            <w:tcW w:w="10309" w:type="dxa"/>
            <w:gridSpan w:val="40"/>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gridAfter w:val="1"/>
          <w:wAfter w:w="161" w:type="dxa"/>
          <w:trHeight w:val="23" w:hRule="atLeast"/>
        </w:trPr>
        <w:tc>
          <w:tcPr>
            <w:tcW w:w="4587" w:type="dxa"/>
            <w:gridSpan w:val="1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工程名称：井及暗沟</w:t>
            </w:r>
          </w:p>
        </w:tc>
        <w:tc>
          <w:tcPr>
            <w:tcW w:w="3385" w:type="dxa"/>
            <w:gridSpan w:val="14"/>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337" w:type="dxa"/>
            <w:gridSpan w:val="1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gridAfter w:val="1"/>
          <w:wAfter w:w="161" w:type="dxa"/>
          <w:trHeight w:val="23" w:hRule="atLeast"/>
        </w:trPr>
        <w:tc>
          <w:tcPr>
            <w:tcW w:w="912"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815"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326"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80" w:type="dxa"/>
            <w:gridSpan w:val="9"/>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695" w:type="dxa"/>
            <w:gridSpan w:val="4"/>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944"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337" w:type="dxa"/>
            <w:gridSpan w:val="1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gridAfter w:val="1"/>
          <w:wAfter w:w="161" w:type="dxa"/>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783"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gridAfter w:val="1"/>
          <w:wAfter w:w="161" w:type="dxa"/>
          <w:trHeight w:val="23" w:hRule="atLeast"/>
        </w:trPr>
        <w:tc>
          <w:tcPr>
            <w:tcW w:w="912"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26"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280" w:type="dxa"/>
            <w:gridSpan w:val="9"/>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9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783"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D.1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土石方工程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040101003001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挖基坑土方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1.土壤类别:综合</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2.挖土深度:详见设计说明</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77.62</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040103001001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回填方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1.密实度要求:详见设计说明</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43.64</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040103002001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余方弃置</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1.废弃料品种:综合</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2.运距:投标方自行考虑</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33.98</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D.5</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管网工程</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暗沟</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040201022001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排水沟、截水沟</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1.名称:线型不锈钢排水沟（含配套篦子）</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2.材质:不锈钢</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3.规格:300*500</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123</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040101002001</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挖沟槽土方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1.土壤类别:详见设计说明</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18.45</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040103002002</w:t>
            </w: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余方弃置</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1.废弃料品种:综合</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2.运距:投标方自行考虑</w:t>
            </w: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18.45</w:t>
            </w: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措施项目</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912"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15"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69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44"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62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8595" w:type="dxa"/>
            <w:gridSpan w:val="3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783"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8595" w:type="dxa"/>
            <w:gridSpan w:val="33"/>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783" w:type="dxa"/>
            <w:gridSpan w:val="6"/>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31"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10309" w:type="dxa"/>
            <w:gridSpan w:val="40"/>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gridAfter w:val="1"/>
          <w:wAfter w:w="161" w:type="dxa"/>
          <w:trHeight w:val="23" w:hRule="atLeast"/>
        </w:trPr>
        <w:tc>
          <w:tcPr>
            <w:tcW w:w="4587" w:type="dxa"/>
            <w:gridSpan w:val="1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385" w:type="dxa"/>
            <w:gridSpan w:val="1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337" w:type="dxa"/>
            <w:gridSpan w:val="1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gridAfter w:val="1"/>
          <w:wAfter w:w="161" w:type="dxa"/>
          <w:trHeight w:val="23" w:hRule="atLeast"/>
        </w:trPr>
        <w:tc>
          <w:tcPr>
            <w:tcW w:w="10309" w:type="dxa"/>
            <w:gridSpan w:val="40"/>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总价措施项目清单与计价表</w:t>
            </w:r>
          </w:p>
        </w:tc>
      </w:tr>
      <w:tr>
        <w:tblPrEx>
          <w:tblCellMar>
            <w:top w:w="0" w:type="dxa"/>
            <w:left w:w="0" w:type="dxa"/>
            <w:bottom w:w="0" w:type="dxa"/>
            <w:right w:w="0" w:type="dxa"/>
          </w:tblCellMar>
        </w:tblPrEx>
        <w:trPr>
          <w:gridAfter w:val="1"/>
          <w:wAfter w:w="161" w:type="dxa"/>
          <w:trHeight w:val="23" w:hRule="atLeast"/>
        </w:trPr>
        <w:tc>
          <w:tcPr>
            <w:tcW w:w="4600" w:type="dxa"/>
            <w:gridSpan w:val="14"/>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工程名称：井及暗沟</w:t>
            </w:r>
          </w:p>
        </w:tc>
        <w:tc>
          <w:tcPr>
            <w:tcW w:w="3676" w:type="dxa"/>
            <w:gridSpan w:val="15"/>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033" w:type="dxa"/>
            <w:gridSpan w:val="11"/>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828"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447"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80" w:type="dxa"/>
            <w:gridSpan w:val="9"/>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674"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175"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878" w:type="dxa"/>
            <w:gridSpan w:val="9"/>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调整费率(%)</w:t>
            </w:r>
          </w:p>
        </w:tc>
        <w:tc>
          <w:tcPr>
            <w:tcW w:w="1249" w:type="dxa"/>
            <w:gridSpan w:val="3"/>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调整后金额(元)</w:t>
            </w: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041109001001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安全文明施工费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8.55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文明施工费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6.2</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环境保护费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临时设施费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041109002001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夜间施工增加费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041109003001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二次搬运费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0.86</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041109004001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冬雨季施工增加费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2.45</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041109007001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已完工程及设备保护费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0.18</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041109008001</w:t>
            </w: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工程定位复测费</w:t>
            </w: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0.66</w:t>
            </w: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7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828"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44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80"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674"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75"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7007" w:type="dxa"/>
            <w:gridSpan w:val="21"/>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175" w:type="dxa"/>
            <w:gridSpan w:val="7"/>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878" w:type="dxa"/>
            <w:gridSpan w:val="9"/>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49" w:type="dxa"/>
            <w:gridSpan w:val="3"/>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After w:w="161" w:type="dxa"/>
          <w:trHeight w:val="23" w:hRule="atLeast"/>
        </w:trPr>
        <w:tc>
          <w:tcPr>
            <w:tcW w:w="4600" w:type="dxa"/>
            <w:gridSpan w:val="14"/>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5709" w:type="dxa"/>
            <w:gridSpan w:val="26"/>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gridAfter w:val="1"/>
          <w:wAfter w:w="161" w:type="dxa"/>
          <w:trHeight w:val="1055" w:hRule="atLeast"/>
        </w:trPr>
        <w:tc>
          <w:tcPr>
            <w:tcW w:w="10309" w:type="dxa"/>
            <w:gridSpan w:val="40"/>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注：1.“计算基础”中安全文明施工费可为“定额基价”、“定额人工费”或“定额人工费+定额机械费”，其他项目可为“定额人工费”或“定额人工费+定额机械费”。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2.按施工方案计算的措施费，若无“计算基础”和“费率”的数值，也可只填“金额”数值，但应在备注栏说明施工方案出处或计算方法。</w:t>
            </w:r>
          </w:p>
        </w:tc>
      </w:tr>
      <w:tr>
        <w:tblPrEx>
          <w:tblCellMar>
            <w:top w:w="0" w:type="dxa"/>
            <w:left w:w="0" w:type="dxa"/>
            <w:bottom w:w="0" w:type="dxa"/>
            <w:right w:w="0" w:type="dxa"/>
          </w:tblCellMar>
        </w:tblPrEx>
        <w:trPr>
          <w:gridAfter w:val="1"/>
          <w:wAfter w:w="161" w:type="dxa"/>
          <w:trHeight w:val="108" w:hRule="atLeast"/>
        </w:trPr>
        <w:tc>
          <w:tcPr>
            <w:tcW w:w="4600" w:type="dxa"/>
            <w:gridSpan w:val="1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676" w:type="dxa"/>
            <w:gridSpan w:val="15"/>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033" w:type="dxa"/>
            <w:gridSpan w:val="11"/>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表-11</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其他项目清单与计价汇总表</w:t>
            </w:r>
          </w:p>
        </w:tc>
      </w:tr>
      <w:tr>
        <w:tblPrEx>
          <w:tblCellMar>
            <w:top w:w="0" w:type="dxa"/>
            <w:left w:w="0" w:type="dxa"/>
            <w:bottom w:w="0" w:type="dxa"/>
            <w:right w:w="0" w:type="dxa"/>
          </w:tblCellMar>
        </w:tblPrEx>
        <w:trPr>
          <w:trHeight w:val="23" w:hRule="atLeast"/>
        </w:trPr>
        <w:tc>
          <w:tcPr>
            <w:tcW w:w="4154"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工程名称：井及暗沟</w:t>
            </w:r>
          </w:p>
        </w:tc>
        <w:tc>
          <w:tcPr>
            <w:tcW w:w="4359" w:type="dxa"/>
            <w:gridSpan w:val="2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1957"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23" w:hRule="atLeast"/>
        </w:trPr>
        <w:tc>
          <w:tcPr>
            <w:tcW w:w="1570" w:type="dxa"/>
            <w:gridSpan w:val="6"/>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242"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1636"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383" w:type="dxa"/>
            <w:gridSpan w:val="11"/>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结算金额(元)</w:t>
            </w:r>
          </w:p>
        </w:tc>
        <w:tc>
          <w:tcPr>
            <w:tcW w:w="1639"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暂列金额</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明细详见表-12-1</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暂估价</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材料暂估价</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w:t>
            </w: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明细详见表-12-2</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专业工程暂估价</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明细详见表-12-3</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计日工</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明细详见表-12-4</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总承包服务费</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明细详见表-12-5</w:t>
            </w: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索赔与签证</w:t>
            </w: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636"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570" w:type="dxa"/>
            <w:gridSpan w:val="6"/>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42" w:type="dxa"/>
            <w:gridSpan w:val="11"/>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jc w:val="left"/>
            </w:pPr>
          </w:p>
        </w:tc>
        <w:tc>
          <w:tcPr>
            <w:tcW w:w="1636" w:type="dxa"/>
            <w:gridSpan w:val="7"/>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jc w:val="right"/>
            </w:pPr>
          </w:p>
        </w:tc>
        <w:tc>
          <w:tcPr>
            <w:tcW w:w="1383" w:type="dxa"/>
            <w:gridSpan w:val="11"/>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jc w:val="right"/>
            </w:pPr>
          </w:p>
        </w:tc>
        <w:tc>
          <w:tcPr>
            <w:tcW w:w="1639" w:type="dxa"/>
            <w:gridSpan w:val="6"/>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5812" w:type="dxa"/>
            <w:gridSpan w:val="1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636" w:type="dxa"/>
            <w:gridSpan w:val="7"/>
            <w:tcBorders>
              <w:top w:val="nil"/>
              <w:left w:val="nil"/>
              <w:bottom w:val="nil"/>
              <w:right w:val="nil"/>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383" w:type="dxa"/>
            <w:gridSpan w:val="11"/>
            <w:tcBorders>
              <w:top w:val="nil"/>
              <w:left w:val="nil"/>
              <w:bottom w:val="nil"/>
              <w:right w:val="nil"/>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639" w:type="dxa"/>
            <w:gridSpan w:val="6"/>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pPr>
            <w:r>
              <w:rPr>
                <w:rFonts w:hint="eastAsia" w:ascii="宋体" w:hAnsi="宋体" w:cs="宋体"/>
                <w:color w:val="000000"/>
                <w:kern w:val="0"/>
                <w:sz w:val="18"/>
                <w:szCs w:val="18"/>
              </w:rPr>
              <w:t>—</w:t>
            </w:r>
          </w:p>
        </w:tc>
      </w:tr>
      <w:tr>
        <w:tblPrEx>
          <w:tblCellMar>
            <w:top w:w="0" w:type="dxa"/>
            <w:left w:w="0" w:type="dxa"/>
            <w:bottom w:w="0" w:type="dxa"/>
            <w:right w:w="0" w:type="dxa"/>
          </w:tblCellMar>
        </w:tblPrEx>
        <w:trPr>
          <w:trHeight w:val="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注：材料（工程设备）暂估单价进入清单项目综合单价，此处不汇总。</w:t>
            </w:r>
          </w:p>
        </w:tc>
      </w:tr>
      <w:tr>
        <w:tblPrEx>
          <w:tblCellMar>
            <w:top w:w="0" w:type="dxa"/>
            <w:left w:w="0" w:type="dxa"/>
            <w:bottom w:w="0" w:type="dxa"/>
            <w:right w:w="0" w:type="dxa"/>
          </w:tblCellMar>
        </w:tblPrEx>
        <w:trPr>
          <w:trHeight w:val="223" w:hRule="atLeast"/>
        </w:trPr>
        <w:tc>
          <w:tcPr>
            <w:tcW w:w="10470" w:type="dxa"/>
            <w:gridSpan w:val="41"/>
            <w:tcBorders>
              <w:top w:val="nil"/>
              <w:left w:val="nil"/>
              <w:bottom w:val="nil"/>
              <w:right w:val="nil"/>
            </w:tcBorders>
            <w:shd w:val="clear" w:color="FFFFFF" w:fill="FFFFFF"/>
            <w:tcMar>
              <w:top w:w="15" w:type="dxa"/>
              <w:left w:w="15" w:type="dxa"/>
              <w:right w:w="15" w:type="dxa"/>
            </w:tcMar>
            <w:vAlign w:val="bottom"/>
          </w:tcPr>
          <w:tbl>
            <w:tblPr>
              <w:tblStyle w:val="39"/>
              <w:tblW w:w="10440" w:type="dxa"/>
              <w:tblInd w:w="6" w:type="dxa"/>
              <w:tblLayout w:type="autofit"/>
              <w:tblCellMar>
                <w:top w:w="0" w:type="dxa"/>
                <w:left w:w="0" w:type="dxa"/>
                <w:bottom w:w="0" w:type="dxa"/>
                <w:right w:w="0" w:type="dxa"/>
              </w:tblCellMar>
            </w:tblPr>
            <w:tblGrid>
              <w:gridCol w:w="1297"/>
              <w:gridCol w:w="1927"/>
              <w:gridCol w:w="1664"/>
              <w:gridCol w:w="1438"/>
              <w:gridCol w:w="927"/>
              <w:gridCol w:w="1271"/>
              <w:gridCol w:w="1926"/>
              <w:gridCol w:w="10"/>
            </w:tblGrid>
            <w:tr>
              <w:tblPrEx>
                <w:tblCellMar>
                  <w:top w:w="0" w:type="dxa"/>
                  <w:left w:w="0" w:type="dxa"/>
                  <w:bottom w:w="0" w:type="dxa"/>
                  <w:right w:w="0" w:type="dxa"/>
                </w:tblCellMar>
              </w:tblPrEx>
              <w:trPr>
                <w:wBefore w:w="10" w:type="dxa"/>
                <w:trHeight w:val="795" w:hRule="atLeast"/>
              </w:trPr>
              <w:tc>
                <w:tcPr>
                  <w:tcW w:w="10430" w:type="dxa"/>
                  <w:gridSpan w:val="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暂列金额明细表</w:t>
                  </w:r>
                </w:p>
              </w:tc>
            </w:tr>
            <w:tr>
              <w:tblPrEx>
                <w:tblCellMar>
                  <w:top w:w="0" w:type="dxa"/>
                  <w:left w:w="0" w:type="dxa"/>
                  <w:bottom w:w="0" w:type="dxa"/>
                  <w:right w:w="0" w:type="dxa"/>
                </w:tblCellMar>
              </w:tblPrEx>
              <w:trPr>
                <w:wBefore w:w="10" w:type="dxa"/>
                <w:trHeight w:val="570" w:hRule="atLeast"/>
              </w:trPr>
              <w:tc>
                <w:tcPr>
                  <w:tcW w:w="3321"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工程名称：井及暗沟</w:t>
                  </w:r>
                </w:p>
              </w:tc>
              <w:tc>
                <w:tcPr>
                  <w:tcW w:w="4073"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标段：宏觉寺街街景整治项目</w:t>
                  </w:r>
                </w:p>
              </w:tc>
              <w:tc>
                <w:tcPr>
                  <w:tcW w:w="3036"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第 1 页  共 1 页</w:t>
                  </w: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3983"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项目名称</w:t>
                  </w:r>
                </w:p>
              </w:tc>
              <w:tc>
                <w:tcPr>
                  <w:tcW w:w="1382"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计量单位</w:t>
                  </w:r>
                </w:p>
              </w:tc>
              <w:tc>
                <w:tcPr>
                  <w:tcW w:w="2149"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暂定金额(元)</w:t>
                  </w:r>
                </w:p>
              </w:tc>
              <w:tc>
                <w:tcPr>
                  <w:tcW w:w="1729"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0" w:type="dxa"/>
                  <w:bottom w:w="0" w:type="dxa"/>
                  <w:right w:w="0" w:type="dxa"/>
                </w:tblCellMar>
              </w:tblPrEx>
              <w:trPr>
                <w:gridAfter w:val="1"/>
                <w:wAfter w:w="10" w:type="dxa"/>
                <w:trHeight w:val="18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工程优质费</w:t>
                  </w: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1、计算基数为不含工程优质费的税前工程造价</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2、费率参考鲁班奖3%,全国建筑工程装饰奖1.5%,江河源杯1%</w:t>
                  </w: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7"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83"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9"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6552" w:type="dxa"/>
                  <w:gridSpan w:val="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    计</w:t>
                  </w:r>
                </w:p>
              </w:tc>
              <w:tc>
                <w:tcPr>
                  <w:tcW w:w="2149"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9"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w:t>
                  </w:r>
                </w:p>
              </w:tc>
            </w:tr>
            <w:tr>
              <w:tblPrEx>
                <w:tblCellMar>
                  <w:top w:w="0" w:type="dxa"/>
                  <w:left w:w="0" w:type="dxa"/>
                  <w:bottom w:w="0" w:type="dxa"/>
                  <w:right w:w="0" w:type="dxa"/>
                </w:tblCellMar>
              </w:tblPrEx>
              <w:trPr>
                <w:wBefore w:w="10" w:type="dxa"/>
                <w:trHeight w:val="315" w:hRule="atLeast"/>
              </w:trPr>
              <w:tc>
                <w:tcPr>
                  <w:tcW w:w="10430" w:type="dxa"/>
                  <w:gridSpan w:val="8"/>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注：此表由招标人填写，如不能详列，也可只列暂列金额总额，投标人应将上述暂列金额计入投标总价中。</w:t>
                  </w:r>
                </w:p>
              </w:tc>
            </w:tr>
            <w:tr>
              <w:tblPrEx>
                <w:tblCellMar>
                  <w:top w:w="0" w:type="dxa"/>
                  <w:left w:w="0" w:type="dxa"/>
                  <w:bottom w:w="0" w:type="dxa"/>
                  <w:right w:w="0" w:type="dxa"/>
                </w:tblCellMar>
              </w:tblPrEx>
              <w:trPr>
                <w:wBefore w:w="10" w:type="dxa"/>
                <w:trHeight w:val="315" w:hRule="atLeast"/>
              </w:trPr>
              <w:tc>
                <w:tcPr>
                  <w:tcW w:w="3321"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073" w:type="dxa"/>
                  <w:gridSpan w:val="3"/>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36" w:type="dxa"/>
                  <w:gridSpan w:val="3"/>
                  <w:tcBorders>
                    <w:top w:val="nil"/>
                    <w:left w:val="nil"/>
                    <w:bottom w:val="nil"/>
                    <w:right w:val="nil"/>
                  </w:tcBorders>
                  <w:shd w:val="clear" w:color="FFFFFF" w:fill="FFFFFF"/>
                  <w:tcMar>
                    <w:top w:w="15" w:type="dxa"/>
                    <w:left w:w="15" w:type="dxa"/>
                    <w:right w:w="15" w:type="dxa"/>
                  </w:tcMar>
                </w:tcPr>
                <w:p>
                  <w:pPr>
                    <w:widowControl/>
                    <w:jc w:val="right"/>
                    <w:textAlignment w:val="top"/>
                    <w:rPr>
                      <w:rFonts w:ascii="宋体" w:hAnsi="宋体" w:cs="宋体"/>
                      <w:color w:val="000000"/>
                      <w:sz w:val="18"/>
                      <w:szCs w:val="18"/>
                    </w:rPr>
                  </w:pPr>
                  <w:r>
                    <w:rPr>
                      <w:rFonts w:hint="eastAsia" w:ascii="宋体" w:hAnsi="宋体" w:cs="宋体"/>
                      <w:color w:val="000000"/>
                      <w:kern w:val="0"/>
                      <w:sz w:val="18"/>
                      <w:szCs w:val="18"/>
                    </w:rPr>
                    <w:t>表—12—1</w:t>
                  </w:r>
                </w:p>
              </w:tc>
            </w:tr>
            <w:tr>
              <w:tblPrEx>
                <w:tblCellMar>
                  <w:top w:w="0" w:type="dxa"/>
                  <w:left w:w="0" w:type="dxa"/>
                  <w:bottom w:w="0" w:type="dxa"/>
                  <w:right w:w="0" w:type="dxa"/>
                </w:tblCellMar>
              </w:tblPrEx>
              <w:trPr>
                <w:wBefore w:w="10" w:type="dxa"/>
                <w:trHeight w:val="315" w:hRule="atLeast"/>
              </w:trPr>
              <w:tc>
                <w:tcPr>
                  <w:tcW w:w="10430" w:type="dxa"/>
                  <w:gridSpan w:val="8"/>
                  <w:tcBorders>
                    <w:top w:val="nil"/>
                    <w:left w:val="nil"/>
                    <w:bottom w:val="nil"/>
                    <w:right w:val="nil"/>
                  </w:tcBorders>
                  <w:shd w:val="clear" w:color="FFFFFF" w:fill="FFFFFF"/>
                  <w:tcMar>
                    <w:top w:w="15" w:type="dxa"/>
                    <w:left w:w="15" w:type="dxa"/>
                    <w:right w:w="15" w:type="dxa"/>
                  </w:tcMar>
                  <w:vAlign w:val="center"/>
                </w:tcPr>
                <w:tbl>
                  <w:tblPr>
                    <w:tblStyle w:val="39"/>
                    <w:tblW w:w="10444" w:type="dxa"/>
                    <w:tblInd w:w="10" w:type="dxa"/>
                    <w:tblLayout w:type="autofit"/>
                    <w:tblCellMar>
                      <w:top w:w="0" w:type="dxa"/>
                      <w:left w:w="0" w:type="dxa"/>
                      <w:bottom w:w="0" w:type="dxa"/>
                      <w:right w:w="0" w:type="dxa"/>
                    </w:tblCellMar>
                  </w:tblPr>
                  <w:tblGrid>
                    <w:gridCol w:w="752"/>
                    <w:gridCol w:w="2886"/>
                    <w:gridCol w:w="165"/>
                    <w:gridCol w:w="2841"/>
                    <w:gridCol w:w="465"/>
                    <w:gridCol w:w="872"/>
                    <w:gridCol w:w="1067"/>
                    <w:gridCol w:w="1386"/>
                    <w:gridCol w:w="10"/>
                  </w:tblGrid>
                  <w:tr>
                    <w:tblPrEx>
                      <w:tblCellMar>
                        <w:top w:w="0" w:type="dxa"/>
                        <w:left w:w="0" w:type="dxa"/>
                        <w:bottom w:w="0" w:type="dxa"/>
                        <w:right w:w="0" w:type="dxa"/>
                      </w:tblCellMar>
                    </w:tblPrEx>
                    <w:trPr>
                      <w:gridAfter w:val="1"/>
                      <w:wBefore w:w="10" w:type="dxa"/>
                      <w:trHeight w:val="585" w:hRule="atLeast"/>
                    </w:trPr>
                    <w:tc>
                      <w:tcPr>
                        <w:tcW w:w="10434" w:type="dxa"/>
                        <w:gridSpan w:val="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（十六）规费、税金项目计价表</w:t>
                        </w:r>
                      </w:p>
                    </w:tc>
                  </w:tr>
                  <w:tr>
                    <w:tblPrEx>
                      <w:tblCellMar>
                        <w:top w:w="0" w:type="dxa"/>
                        <w:left w:w="0" w:type="dxa"/>
                        <w:bottom w:w="0" w:type="dxa"/>
                        <w:right w:w="0" w:type="dxa"/>
                      </w:tblCellMar>
                    </w:tblPrEx>
                    <w:trPr>
                      <w:gridAfter w:val="1"/>
                      <w:wBefore w:w="10" w:type="dxa"/>
                      <w:trHeight w:val="510" w:hRule="atLeast"/>
                    </w:trPr>
                    <w:tc>
                      <w:tcPr>
                        <w:tcW w:w="3638"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工程名称：井及暗沟</w:t>
                        </w:r>
                      </w:p>
                    </w:tc>
                    <w:tc>
                      <w:tcPr>
                        <w:tcW w:w="3471"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3325"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30" w:hRule="atLeast"/>
                    </w:trPr>
                    <w:tc>
                      <w:tcPr>
                        <w:tcW w:w="752"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051"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841"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1337"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计算基数</w:t>
                        </w:r>
                      </w:p>
                    </w:tc>
                    <w:tc>
                      <w:tcPr>
                        <w:tcW w:w="1067"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396" w:type="dxa"/>
                        <w:gridSpan w:val="2"/>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规费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社会保险费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养老保险费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失业保险费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医疗保险费和生育保险费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6.5</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工伤保险费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工程排污费</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按实际发生额计算</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税金</w:t>
                        </w: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分部分项工程量清单项目费+措施项目费+其他项目费+规费</w:t>
                        </w: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5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51"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4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37"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67"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96"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90" w:hRule="atLeast"/>
                    </w:trPr>
                    <w:tc>
                      <w:tcPr>
                        <w:tcW w:w="9048" w:type="dxa"/>
                        <w:gridSpan w:val="7"/>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96"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gridAfter w:val="1"/>
                      <w:wBefore w:w="10" w:type="dxa"/>
                      <w:trHeight w:val="285" w:hRule="atLeast"/>
                    </w:trPr>
                    <w:tc>
                      <w:tcPr>
                        <w:tcW w:w="3638"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3471" w:type="dxa"/>
                        <w:gridSpan w:val="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325"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gridAfter w:val="1"/>
                      <w:wBefore w:w="10" w:type="dxa"/>
                      <w:trHeight w:val="285" w:hRule="atLeast"/>
                    </w:trPr>
                    <w:tc>
                      <w:tcPr>
                        <w:tcW w:w="3638" w:type="dxa"/>
                        <w:gridSpan w:val="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471" w:type="dxa"/>
                        <w:gridSpan w:val="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325"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表-13</w:t>
                        </w:r>
                      </w:p>
                    </w:tc>
                  </w:tr>
                </w:tbl>
                <w:p>
                  <w:pPr>
                    <w:widowControl/>
                    <w:jc w:val="right"/>
                    <w:textAlignment w:val="top"/>
                    <w:rPr>
                      <w:rFonts w:ascii="宋体" w:hAnsi="宋体" w:cs="宋体"/>
                      <w:color w:val="000000"/>
                      <w:kern w:val="0"/>
                      <w:sz w:val="18"/>
                      <w:szCs w:val="18"/>
                    </w:rPr>
                  </w:pPr>
                </w:p>
              </w:tc>
            </w:tr>
          </w:tbl>
          <w:p>
            <w:pPr>
              <w:widowControl/>
              <w:jc w:val="left"/>
              <w:textAlignment w:val="bottom"/>
              <w:rPr>
                <w:rFonts w:ascii="宋体" w:hAnsi="宋体" w:cs="宋体"/>
                <w:color w:val="000000"/>
                <w:kern w:val="0"/>
                <w:sz w:val="18"/>
                <w:szCs w:val="18"/>
              </w:rPr>
            </w:pPr>
          </w:p>
        </w:tc>
      </w:tr>
    </w:tbl>
    <w:tbl>
      <w:tblPr>
        <w:tblStyle w:val="39"/>
        <w:tblW w:w="10585" w:type="dxa"/>
        <w:tblInd w:w="0" w:type="dxa"/>
        <w:tblLayout w:type="fixed"/>
        <w:tblCellMar>
          <w:top w:w="0" w:type="dxa"/>
          <w:left w:w="0" w:type="dxa"/>
          <w:bottom w:w="0" w:type="dxa"/>
          <w:right w:w="0" w:type="dxa"/>
        </w:tblCellMar>
      </w:tblPr>
      <w:tblGrid>
        <w:gridCol w:w="624"/>
        <w:gridCol w:w="103"/>
        <w:gridCol w:w="51"/>
        <w:gridCol w:w="1537"/>
        <w:gridCol w:w="401"/>
        <w:gridCol w:w="1085"/>
        <w:gridCol w:w="151"/>
        <w:gridCol w:w="22"/>
        <w:gridCol w:w="144"/>
        <w:gridCol w:w="407"/>
        <w:gridCol w:w="16"/>
        <w:gridCol w:w="1688"/>
        <w:gridCol w:w="150"/>
        <w:gridCol w:w="17"/>
        <w:gridCol w:w="472"/>
        <w:gridCol w:w="64"/>
        <w:gridCol w:w="20"/>
        <w:gridCol w:w="84"/>
        <w:gridCol w:w="410"/>
        <w:gridCol w:w="230"/>
        <w:gridCol w:w="348"/>
        <w:gridCol w:w="111"/>
        <w:gridCol w:w="137"/>
        <w:gridCol w:w="220"/>
        <w:gridCol w:w="549"/>
        <w:gridCol w:w="190"/>
        <w:gridCol w:w="190"/>
        <w:gridCol w:w="1164"/>
      </w:tblGrid>
      <w:tr>
        <w:tblPrEx>
          <w:tblCellMar>
            <w:top w:w="0" w:type="dxa"/>
            <w:left w:w="0" w:type="dxa"/>
            <w:bottom w:w="0" w:type="dxa"/>
            <w:right w:w="0" w:type="dxa"/>
          </w:tblCellMar>
        </w:tblPrEx>
        <w:trPr>
          <w:trHeight w:val="23"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trHeight w:val="23" w:hRule="atLeast"/>
        </w:trPr>
        <w:tc>
          <w:tcPr>
            <w:tcW w:w="4525"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工程名称：照明工程</w:t>
            </w:r>
          </w:p>
        </w:tc>
        <w:tc>
          <w:tcPr>
            <w:tcW w:w="3151" w:type="dxa"/>
            <w:gridSpan w:val="10"/>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2  页</w:t>
            </w:r>
          </w:p>
        </w:tc>
      </w:tr>
      <w:tr>
        <w:tblPrEx>
          <w:tblCellMar>
            <w:top w:w="0" w:type="dxa"/>
            <w:left w:w="0" w:type="dxa"/>
            <w:bottom w:w="0" w:type="dxa"/>
            <w:right w:w="0" w:type="dxa"/>
          </w:tblCellMar>
        </w:tblPrEx>
        <w:trPr>
          <w:trHeight w:val="23" w:hRule="atLeast"/>
        </w:trPr>
        <w:tc>
          <w:tcPr>
            <w:tcW w:w="778"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93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085"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578" w:type="dxa"/>
            <w:gridSpan w:val="7"/>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553"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744" w:type="dxa"/>
            <w:gridSpan w:val="4"/>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909"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3"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08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578" w:type="dxa"/>
            <w:gridSpan w:val="7"/>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553"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744"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929" w:type="dxa"/>
            <w:gridSpan w:val="3"/>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trHeight w:val="23"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08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578" w:type="dxa"/>
            <w:gridSpan w:val="7"/>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553"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744"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29" w:type="dxa"/>
            <w:gridSpan w:val="3"/>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整个项目</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030412008001</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中杆灯</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1.名称:庭院灯</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2.灯杆材质、高度:满足设计要求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3.光源数量:LED光源 45W 220V IP65 温色300K 太阳能定制</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4.附件配置:含路灯基础、接地极、调试等具体型号由甲方与设计确认后确定</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套</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030412004001</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装饰灯</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1.名称:草坪灯</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2.灯杆材质、高度:满足设计要求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3.光源数量:LED光源 18W 220V IP65 温色300K 太阳能定制</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4.附件配置:含路灯基础、接地极、调试等具体型号由甲方与设计确认后确定</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套</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030412004002</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装饰灯</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1.名称:树射灯</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2.灯杆材质、高度:满足设计要求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3.光源数量:LED光源 18W 220V IP65 温色300K 太阳能定制</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4.附件配置:含路灯基础、接地极、调试等具体型号由甲方与设计确认后确定</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套</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030411003001</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桥架</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1.名称:304不锈钢桥架</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2.型号:200*100 </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3.规格:成品安装、含配套支架安装</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950</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03-B-001</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管线梳理</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1.管线梳理</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2.根据现场情况，投标方自行考虑报价</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030414002001</w:t>
            </w: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送配电装置系统</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1.名称：送配电装置系统</w:t>
            </w: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系统</w:t>
            </w: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57"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7"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措施项目</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08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578"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553"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744"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8492" w:type="dxa"/>
            <w:gridSpan w:val="2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929"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23" w:hRule="atLeast"/>
        </w:trPr>
        <w:tc>
          <w:tcPr>
            <w:tcW w:w="4525"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5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489"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trHeight w:val="23" w:hRule="atLeast"/>
        </w:trPr>
        <w:tc>
          <w:tcPr>
            <w:tcW w:w="4525"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工程名称：照明工程</w:t>
            </w:r>
          </w:p>
        </w:tc>
        <w:tc>
          <w:tcPr>
            <w:tcW w:w="3151" w:type="dxa"/>
            <w:gridSpan w:val="10"/>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2  页  共  2  页</w:t>
            </w:r>
          </w:p>
        </w:tc>
      </w:tr>
      <w:tr>
        <w:tblPrEx>
          <w:tblCellMar>
            <w:top w:w="0" w:type="dxa"/>
            <w:left w:w="0" w:type="dxa"/>
            <w:bottom w:w="0" w:type="dxa"/>
            <w:right w:w="0" w:type="dxa"/>
          </w:tblCellMar>
        </w:tblPrEx>
        <w:trPr>
          <w:trHeight w:val="23" w:hRule="atLeast"/>
        </w:trPr>
        <w:tc>
          <w:tcPr>
            <w:tcW w:w="8492" w:type="dxa"/>
            <w:gridSpan w:val="24"/>
            <w:tcBorders>
              <w:top w:val="single" w:color="000000" w:sz="8"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929" w:type="dxa"/>
            <w:gridSpan w:val="3"/>
            <w:tcBorders>
              <w:top w:val="single" w:color="000000" w:sz="8"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8"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23"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177" w:hRule="atLeast"/>
        </w:trPr>
        <w:tc>
          <w:tcPr>
            <w:tcW w:w="4525"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5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350"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总价措施项目清单与计价表</w:t>
            </w:r>
          </w:p>
        </w:tc>
      </w:tr>
      <w:tr>
        <w:tblPrEx>
          <w:tblCellMar>
            <w:top w:w="0" w:type="dxa"/>
            <w:left w:w="0" w:type="dxa"/>
            <w:bottom w:w="0" w:type="dxa"/>
            <w:right w:w="0" w:type="dxa"/>
          </w:tblCellMar>
        </w:tblPrEx>
        <w:trPr>
          <w:trHeight w:val="300"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工程名称：照明工程</w:t>
            </w:r>
          </w:p>
        </w:tc>
        <w:tc>
          <w:tcPr>
            <w:tcW w:w="3594"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624"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91"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659"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55"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807"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988"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017"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调整费率(%)</w:t>
            </w:r>
          </w:p>
        </w:tc>
        <w:tc>
          <w:tcPr>
            <w:tcW w:w="1544" w:type="dxa"/>
            <w:gridSpan w:val="3"/>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调整后金额(元)</w:t>
            </w: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031302001001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3.42</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环境保护费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临时设施费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031302002001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夜间施工增加费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0.52</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031302004001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二次搬运费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0.3</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031302006001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已完工程及设备保护费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0.18</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036" w:type="dxa"/>
            <w:gridSpan w:val="18"/>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988"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6044" w:type="dxa"/>
            <w:gridSpan w:val="1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387"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注：1.“计算基础”中安全文明施工费可为“定额基价”、“定额人工费”或“定额人工费+定额机械费”，其他项目可为“定额人工费”或“定额人工费+定额机械费”。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2.按施工方案计算的措施费，若无“计算基础”和“费率”的数值，也可只填“金额”数值，但应在备注栏说明施工方案出处或计算方法。</w:t>
            </w: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594"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表-11</w:t>
            </w:r>
          </w:p>
        </w:tc>
      </w:tr>
      <w:tr>
        <w:tblPrEx>
          <w:tblCellMar>
            <w:top w:w="0" w:type="dxa"/>
            <w:left w:w="0" w:type="dxa"/>
            <w:bottom w:w="0" w:type="dxa"/>
            <w:right w:w="0" w:type="dxa"/>
          </w:tblCellMar>
        </w:tblPrEx>
        <w:trPr>
          <w:trHeight w:val="285"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tbl>
            <w:tblPr>
              <w:tblStyle w:val="39"/>
              <w:tblW w:w="10443" w:type="dxa"/>
              <w:tblInd w:w="0" w:type="dxa"/>
              <w:tblLayout w:type="fixed"/>
              <w:tblCellMar>
                <w:top w:w="0" w:type="dxa"/>
                <w:left w:w="0" w:type="dxa"/>
                <w:bottom w:w="0" w:type="dxa"/>
                <w:right w:w="0" w:type="dxa"/>
              </w:tblCellMar>
            </w:tblPr>
            <w:tblGrid>
              <w:gridCol w:w="10"/>
              <w:gridCol w:w="1191"/>
              <w:gridCol w:w="2442"/>
              <w:gridCol w:w="1822"/>
              <w:gridCol w:w="1411"/>
              <w:gridCol w:w="1061"/>
              <w:gridCol w:w="395"/>
              <w:gridCol w:w="2111"/>
            </w:tblGrid>
            <w:tr>
              <w:tblPrEx>
                <w:tblCellMar>
                  <w:top w:w="0" w:type="dxa"/>
                  <w:left w:w="0" w:type="dxa"/>
                  <w:bottom w:w="0" w:type="dxa"/>
                  <w:right w:w="0" w:type="dxa"/>
                </w:tblCellMar>
              </w:tblPrEx>
              <w:trPr>
                <w:gridBefore w:val="1"/>
                <w:wBefore w:w="10" w:type="dxa"/>
                <w:trHeight w:val="585" w:hRule="atLeast"/>
              </w:trPr>
              <w:tc>
                <w:tcPr>
                  <w:tcW w:w="10433"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其他项目清单与计价汇总表</w:t>
                  </w:r>
                </w:p>
              </w:tc>
            </w:tr>
            <w:tr>
              <w:tblPrEx>
                <w:tblCellMar>
                  <w:top w:w="0" w:type="dxa"/>
                  <w:left w:w="0" w:type="dxa"/>
                  <w:bottom w:w="0" w:type="dxa"/>
                  <w:right w:w="0" w:type="dxa"/>
                </w:tblCellMar>
              </w:tblPrEx>
              <w:trPr>
                <w:gridBefore w:val="1"/>
                <w:wBefore w:w="10" w:type="dxa"/>
                <w:trHeight w:val="735" w:hRule="atLeast"/>
              </w:trPr>
              <w:tc>
                <w:tcPr>
                  <w:tcW w:w="3633"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工程名称：照明工程</w:t>
                  </w:r>
                </w:p>
              </w:tc>
              <w:tc>
                <w:tcPr>
                  <w:tcW w:w="4294"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506"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1201"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264"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1411"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456"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结算金额(元)</w:t>
                  </w:r>
                </w:p>
              </w:tc>
              <w:tc>
                <w:tcPr>
                  <w:tcW w:w="2111"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暂列金额</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明细详见表-12-1</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暂估价</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材料暂估价</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w:t>
                  </w: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明细详见表-12-2</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专业工程暂估价</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明细详见表-12-3</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计日工</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明细详见表-12-4</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总承包服务费</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明细详见表-12-5</w:t>
                  </w: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索赔与签证</w:t>
                  </w: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1"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4"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5465" w:type="dxa"/>
                  <w:gridSpan w:val="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411"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6"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111"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w:t>
                  </w:r>
                </w:p>
              </w:tc>
            </w:tr>
            <w:tr>
              <w:tblPrEx>
                <w:tblCellMar>
                  <w:top w:w="0" w:type="dxa"/>
                  <w:left w:w="0" w:type="dxa"/>
                  <w:bottom w:w="0" w:type="dxa"/>
                  <w:right w:w="0" w:type="dxa"/>
                </w:tblCellMar>
              </w:tblPrEx>
              <w:trPr>
                <w:gridBefore w:val="1"/>
                <w:wBefore w:w="10" w:type="dxa"/>
                <w:trHeight w:val="330" w:hRule="atLeast"/>
              </w:trPr>
              <w:tc>
                <w:tcPr>
                  <w:tcW w:w="10433" w:type="dxa"/>
                  <w:gridSpan w:val="7"/>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注：材料（工程设备）暂估单价进入清单项目综合单价，此处不汇总。</w:t>
                  </w:r>
                </w:p>
              </w:tc>
            </w:tr>
            <w:tr>
              <w:tblPrEx>
                <w:tblCellMar>
                  <w:top w:w="0" w:type="dxa"/>
                  <w:left w:w="0" w:type="dxa"/>
                  <w:bottom w:w="0" w:type="dxa"/>
                  <w:right w:w="0" w:type="dxa"/>
                </w:tblCellMar>
              </w:tblPrEx>
              <w:trPr>
                <w:gridBefore w:val="1"/>
                <w:wBefore w:w="10" w:type="dxa"/>
                <w:trHeight w:val="375" w:hRule="atLeast"/>
              </w:trPr>
              <w:tc>
                <w:tcPr>
                  <w:tcW w:w="3633" w:type="dxa"/>
                  <w:gridSpan w:val="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4294" w:type="dxa"/>
                  <w:gridSpan w:val="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506"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表-12</w:t>
                  </w:r>
                </w:p>
              </w:tc>
            </w:tr>
            <w:tr>
              <w:tblPrEx>
                <w:tblCellMar>
                  <w:top w:w="0" w:type="dxa"/>
                  <w:left w:w="0" w:type="dxa"/>
                  <w:bottom w:w="0" w:type="dxa"/>
                  <w:right w:w="0" w:type="dxa"/>
                </w:tblCellMar>
              </w:tblPrEx>
              <w:trPr>
                <w:gridBefore w:val="1"/>
                <w:wBefore w:w="10" w:type="dxa"/>
                <w:trHeight w:val="375" w:hRule="atLeast"/>
              </w:trPr>
              <w:tc>
                <w:tcPr>
                  <w:tcW w:w="10433" w:type="dxa"/>
                  <w:gridSpan w:val="7"/>
                  <w:tcBorders>
                    <w:top w:val="nil"/>
                    <w:left w:val="nil"/>
                    <w:bottom w:val="nil"/>
                    <w:right w:val="nil"/>
                  </w:tcBorders>
                  <w:shd w:val="clear" w:color="FFFFFF" w:fill="FFFFFF"/>
                  <w:tcMar>
                    <w:top w:w="15" w:type="dxa"/>
                    <w:left w:w="15" w:type="dxa"/>
                    <w:right w:w="15" w:type="dxa"/>
                  </w:tcMar>
                  <w:vAlign w:val="bottom"/>
                </w:tcPr>
                <w:tbl>
                  <w:tblPr>
                    <w:tblStyle w:val="39"/>
                    <w:tblW w:w="10420" w:type="dxa"/>
                    <w:tblInd w:w="0" w:type="dxa"/>
                    <w:tblLayout w:type="fixed"/>
                    <w:tblCellMar>
                      <w:top w:w="0" w:type="dxa"/>
                      <w:left w:w="0" w:type="dxa"/>
                      <w:bottom w:w="0" w:type="dxa"/>
                      <w:right w:w="0" w:type="dxa"/>
                    </w:tblCellMar>
                  </w:tblPr>
                  <w:tblGrid>
                    <w:gridCol w:w="10"/>
                    <w:gridCol w:w="1175"/>
                    <w:gridCol w:w="2140"/>
                    <w:gridCol w:w="1835"/>
                    <w:gridCol w:w="1380"/>
                    <w:gridCol w:w="850"/>
                    <w:gridCol w:w="1295"/>
                    <w:gridCol w:w="1725"/>
                    <w:gridCol w:w="10"/>
                  </w:tblGrid>
                  <w:tr>
                    <w:tblPrEx>
                      <w:tblCellMar>
                        <w:top w:w="0" w:type="dxa"/>
                        <w:left w:w="0" w:type="dxa"/>
                        <w:bottom w:w="0" w:type="dxa"/>
                        <w:right w:w="0" w:type="dxa"/>
                      </w:tblCellMar>
                    </w:tblPrEx>
                    <w:trPr>
                      <w:gridBefore w:val="1"/>
                      <w:wBefore w:w="10" w:type="dxa"/>
                      <w:trHeight w:val="795" w:hRule="atLeast"/>
                    </w:trPr>
                    <w:tc>
                      <w:tcPr>
                        <w:tcW w:w="10410" w:type="dxa"/>
                        <w:gridSpan w:val="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暂列金额明细表</w:t>
                        </w:r>
                      </w:p>
                    </w:tc>
                  </w:tr>
                  <w:tr>
                    <w:tblPrEx>
                      <w:tblCellMar>
                        <w:top w:w="0" w:type="dxa"/>
                        <w:left w:w="0" w:type="dxa"/>
                        <w:bottom w:w="0" w:type="dxa"/>
                        <w:right w:w="0" w:type="dxa"/>
                      </w:tblCellMar>
                    </w:tblPrEx>
                    <w:trPr>
                      <w:gridBefore w:val="1"/>
                      <w:wBefore w:w="10" w:type="dxa"/>
                      <w:trHeight w:val="570"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工程名称：照明工程</w:t>
                        </w: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标段：宏觉寺街街景整治项目</w:t>
                        </w:r>
                      </w:p>
                    </w:tc>
                    <w:tc>
                      <w:tcPr>
                        <w:tcW w:w="3030"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第 1 页  共 1 页</w:t>
                        </w: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397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项目名称</w:t>
                        </w:r>
                      </w:p>
                    </w:tc>
                    <w:tc>
                      <w:tcPr>
                        <w:tcW w:w="1380"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计量单位</w:t>
                        </w:r>
                      </w:p>
                    </w:tc>
                    <w:tc>
                      <w:tcPr>
                        <w:tcW w:w="214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暂定金额(元)</w:t>
                        </w:r>
                      </w:p>
                    </w:tc>
                    <w:tc>
                      <w:tcPr>
                        <w:tcW w:w="1725"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0" w:type="dxa"/>
                        <w:bottom w:w="0" w:type="dxa"/>
                        <w:right w:w="0" w:type="dxa"/>
                      </w:tblCellMar>
                    </w:tblPrEx>
                    <w:trPr>
                      <w:gridAfter w:val="1"/>
                      <w:wAfter w:w="10" w:type="dxa"/>
                      <w:trHeight w:val="18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工程优质费</w:t>
                        </w: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1、计算基数为不含工程优质费的税前工程造价</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2、费率参考鲁班奖3%,全国建筑工程装饰奖1.5%,江河源杯1%</w:t>
                        </w: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6540" w:type="dxa"/>
                        <w:gridSpan w:val="5"/>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    计</w:t>
                        </w:r>
                      </w:p>
                    </w:tc>
                    <w:tc>
                      <w:tcPr>
                        <w:tcW w:w="2145"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w:t>
                        </w:r>
                      </w:p>
                    </w:tc>
                  </w:tr>
                  <w:tr>
                    <w:tblPrEx>
                      <w:tblCellMar>
                        <w:top w:w="0" w:type="dxa"/>
                        <w:left w:w="0" w:type="dxa"/>
                        <w:bottom w:w="0" w:type="dxa"/>
                        <w:right w:w="0" w:type="dxa"/>
                      </w:tblCellMar>
                    </w:tblPrEx>
                    <w:trPr>
                      <w:gridBefore w:val="1"/>
                      <w:wBefore w:w="10" w:type="dxa"/>
                      <w:trHeight w:val="315" w:hRule="atLeast"/>
                    </w:trPr>
                    <w:tc>
                      <w:tcPr>
                        <w:tcW w:w="10410" w:type="dxa"/>
                        <w:gridSpan w:val="8"/>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注：此表由招标人填写，如不能详列，也可只列暂列金额总额，投标人应将上述暂列金额计入投标总价中。</w:t>
                        </w:r>
                      </w:p>
                    </w:tc>
                  </w:tr>
                  <w:tr>
                    <w:tblPrEx>
                      <w:tblCellMar>
                        <w:top w:w="0" w:type="dxa"/>
                        <w:left w:w="0" w:type="dxa"/>
                        <w:bottom w:w="0" w:type="dxa"/>
                        <w:right w:w="0" w:type="dxa"/>
                      </w:tblCellMar>
                    </w:tblPrEx>
                    <w:trPr>
                      <w:gridBefore w:val="1"/>
                      <w:wBefore w:w="10" w:type="dxa"/>
                      <w:trHeight w:val="315"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30" w:type="dxa"/>
                        <w:gridSpan w:val="3"/>
                        <w:tcBorders>
                          <w:top w:val="nil"/>
                          <w:left w:val="nil"/>
                          <w:bottom w:val="nil"/>
                          <w:right w:val="nil"/>
                        </w:tcBorders>
                        <w:shd w:val="clear" w:color="FFFFFF" w:fill="FFFFFF"/>
                        <w:tcMar>
                          <w:top w:w="15" w:type="dxa"/>
                          <w:left w:w="15" w:type="dxa"/>
                          <w:right w:w="15" w:type="dxa"/>
                        </w:tcMar>
                      </w:tcPr>
                      <w:p>
                        <w:pPr>
                          <w:widowControl/>
                          <w:jc w:val="right"/>
                          <w:textAlignment w:val="top"/>
                          <w:rPr>
                            <w:rFonts w:ascii="宋体" w:hAnsi="宋体" w:cs="宋体"/>
                            <w:color w:val="000000"/>
                            <w:sz w:val="18"/>
                            <w:szCs w:val="18"/>
                          </w:rPr>
                        </w:pPr>
                        <w:r>
                          <w:rPr>
                            <w:rFonts w:hint="eastAsia" w:ascii="宋体" w:hAnsi="宋体" w:cs="宋体"/>
                            <w:color w:val="000000"/>
                            <w:kern w:val="0"/>
                            <w:sz w:val="18"/>
                            <w:szCs w:val="18"/>
                          </w:rPr>
                          <w:t>表—12—1</w:t>
                        </w:r>
                      </w:p>
                    </w:tc>
                  </w:tr>
                </w:tbl>
                <w:p>
                  <w:pPr>
                    <w:widowControl/>
                    <w:jc w:val="right"/>
                    <w:textAlignment w:val="center"/>
                    <w:rPr>
                      <w:rFonts w:ascii="宋体" w:hAnsi="宋体" w:cs="宋体"/>
                      <w:color w:val="000000"/>
                      <w:kern w:val="0"/>
                      <w:sz w:val="18"/>
                      <w:szCs w:val="18"/>
                    </w:rPr>
                  </w:pPr>
                </w:p>
              </w:tc>
            </w:tr>
          </w:tbl>
          <w:p>
            <w:pPr>
              <w:widowControl/>
              <w:jc w:val="right"/>
              <w:textAlignment w:val="center"/>
              <w:rPr>
                <w:rFonts w:ascii="宋体" w:hAnsi="宋体" w:cs="宋体"/>
                <w:color w:val="000000"/>
                <w:kern w:val="0"/>
                <w:sz w:val="18"/>
                <w:szCs w:val="18"/>
              </w:rPr>
            </w:pP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（十六）规费、税金项目计价表</w:t>
            </w:r>
          </w:p>
        </w:tc>
      </w:tr>
      <w:tr>
        <w:tblPrEx>
          <w:tblCellMar>
            <w:top w:w="0" w:type="dxa"/>
            <w:left w:w="0" w:type="dxa"/>
            <w:bottom w:w="0" w:type="dxa"/>
            <w:right w:w="0" w:type="dxa"/>
          </w:tblCellMar>
        </w:tblPrEx>
        <w:trPr>
          <w:trHeight w:val="510"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工程名称：照明工程</w:t>
            </w:r>
          </w:p>
        </w:tc>
        <w:tc>
          <w:tcPr>
            <w:tcW w:w="3494" w:type="dxa"/>
            <w:gridSpan w:val="1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30" w:hRule="atLeast"/>
        </w:trPr>
        <w:tc>
          <w:tcPr>
            <w:tcW w:w="727"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391"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834"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1320"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计算基数</w:t>
            </w:r>
          </w:p>
        </w:tc>
        <w:tc>
          <w:tcPr>
            <w:tcW w:w="959"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354" w:type="dxa"/>
            <w:gridSpan w:val="2"/>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规费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养老保险费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失业保险费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医疗保险费和生育保险费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工伤保险费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工程排污费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按实际发生额计算</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税金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分部分项工程量清单项目费+措施项目费+其他项目费+规费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90" w:hRule="atLeast"/>
        </w:trPr>
        <w:tc>
          <w:tcPr>
            <w:tcW w:w="9231" w:type="dxa"/>
            <w:gridSpan w:val="26"/>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54"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表-13</w:t>
            </w: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trHeight w:val="510" w:hRule="atLeast"/>
        </w:trPr>
        <w:tc>
          <w:tcPr>
            <w:tcW w:w="4525"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工程名称：给排水工程</w:t>
            </w:r>
          </w:p>
        </w:tc>
        <w:tc>
          <w:tcPr>
            <w:tcW w:w="3151" w:type="dxa"/>
            <w:gridSpan w:val="10"/>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60" w:hRule="atLeast"/>
        </w:trPr>
        <w:tc>
          <w:tcPr>
            <w:tcW w:w="778"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93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258"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422" w:type="dxa"/>
            <w:gridSpan w:val="6"/>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472"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808"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909"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360"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422" w:type="dxa"/>
            <w:gridSpan w:val="6"/>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72"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929" w:type="dxa"/>
            <w:gridSpan w:val="3"/>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trHeight w:val="360"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422" w:type="dxa"/>
            <w:gridSpan w:val="6"/>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72"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29" w:type="dxa"/>
            <w:gridSpan w:val="3"/>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排水工程</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给水工程</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141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031001007001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复合管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1.安装部位:钢丝骨架塑料复合管</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2.材质、规格:DN50</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3.压力试验及吹、洗设计要求:满足设计及相关规范要求</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59.27</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1635"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031003013001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水表</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1.安装部位(室内外）:水表组(不带旁通)</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2.型号、规格:DN50</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3.附件配置:蝶阀 2个、 Y型过滤器1个、倒流防止器1 个、异径管 1个、水表1个</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组</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010101003002</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挖沟槽土方</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1.名称:管沟土方开挖</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2.挖土深度:详图纸</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62.23</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141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010103001002</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回填方</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1.名称:管沟土方回填</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2.填方材料品种:100mm粗砂垫层，管底基础至管顶0.7m采用人工回填</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3.其他:具体详见设计图</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62.23</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735"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010103002002</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余方弃置</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1.名称:余土弃土</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2.运距:投标方自行考虑</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4.74</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措施项目</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7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7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7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7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8492" w:type="dxa"/>
            <w:gridSpan w:val="2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8492" w:type="dxa"/>
            <w:gridSpan w:val="2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929"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525"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375" w:hRule="atLeast"/>
        </w:trPr>
        <w:tc>
          <w:tcPr>
            <w:tcW w:w="4525"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5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总价措施项目清单与计价表</w:t>
            </w:r>
          </w:p>
        </w:tc>
      </w:tr>
      <w:tr>
        <w:tblPrEx>
          <w:tblCellMar>
            <w:top w:w="0" w:type="dxa"/>
            <w:left w:w="0" w:type="dxa"/>
            <w:bottom w:w="0" w:type="dxa"/>
            <w:right w:w="0" w:type="dxa"/>
          </w:tblCellMar>
        </w:tblPrEx>
        <w:trPr>
          <w:trHeight w:val="735"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工程名称：给排水工程</w:t>
            </w:r>
          </w:p>
        </w:tc>
        <w:tc>
          <w:tcPr>
            <w:tcW w:w="3594"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624"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91"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659"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55"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807"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988"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017"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调整费率(%)</w:t>
            </w:r>
          </w:p>
        </w:tc>
        <w:tc>
          <w:tcPr>
            <w:tcW w:w="1544" w:type="dxa"/>
            <w:gridSpan w:val="3"/>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调整后金额(元)</w:t>
            </w: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031302001001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3.42</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环境保护费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临时设施费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031302002001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夜间施工增加费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0.52</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031302004001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二次搬运费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0.3</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031302006001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已完工程及设备保护费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0.18</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036" w:type="dxa"/>
            <w:gridSpan w:val="18"/>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988"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6044" w:type="dxa"/>
            <w:gridSpan w:val="1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960"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注：1.“计算基础”中安全文明施工费可为“定额基价”、“定额人工费”或“定额人工费+定额机械费”，其他项目可为“定额人工费”或“定额人工费+定额机械费”。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2.按施工方案计算的措施费，若无“计算基础”和“费率”的数值，也可只填“金额”数值，但应在备注栏说明施工方案出处或计算方法。</w:t>
            </w: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594"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表-11</w:t>
            </w:r>
          </w:p>
        </w:tc>
      </w:tr>
      <w:tr>
        <w:tblPrEx>
          <w:tblCellMar>
            <w:top w:w="0" w:type="dxa"/>
            <w:left w:w="0" w:type="dxa"/>
            <w:bottom w:w="0" w:type="dxa"/>
            <w:right w:w="0" w:type="dxa"/>
          </w:tblCellMar>
        </w:tblPrEx>
        <w:trPr>
          <w:trHeight w:val="285"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tbl>
            <w:tblPr>
              <w:tblStyle w:val="39"/>
              <w:tblW w:w="10561" w:type="dxa"/>
              <w:tblInd w:w="0" w:type="dxa"/>
              <w:tblLayout w:type="fixed"/>
              <w:tblCellMar>
                <w:top w:w="0" w:type="dxa"/>
                <w:left w:w="0" w:type="dxa"/>
                <w:bottom w:w="0" w:type="dxa"/>
                <w:right w:w="0" w:type="dxa"/>
              </w:tblCellMar>
            </w:tblPr>
            <w:tblGrid>
              <w:gridCol w:w="10"/>
              <w:gridCol w:w="1190"/>
              <w:gridCol w:w="2440"/>
              <w:gridCol w:w="1820"/>
              <w:gridCol w:w="1410"/>
              <w:gridCol w:w="1060"/>
              <w:gridCol w:w="395"/>
              <w:gridCol w:w="2236"/>
            </w:tblGrid>
            <w:tr>
              <w:tblPrEx>
                <w:tblCellMar>
                  <w:top w:w="0" w:type="dxa"/>
                  <w:left w:w="0" w:type="dxa"/>
                  <w:bottom w:w="0" w:type="dxa"/>
                  <w:right w:w="0" w:type="dxa"/>
                </w:tblCellMar>
              </w:tblPrEx>
              <w:trPr>
                <w:gridBefore w:val="1"/>
                <w:wBefore w:w="10" w:type="dxa"/>
                <w:trHeight w:val="585" w:hRule="atLeast"/>
              </w:trPr>
              <w:tc>
                <w:tcPr>
                  <w:tcW w:w="10551"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其他项目清单与计价汇总表</w:t>
                  </w:r>
                </w:p>
              </w:tc>
            </w:tr>
            <w:tr>
              <w:tblPrEx>
                <w:tblCellMar>
                  <w:top w:w="0" w:type="dxa"/>
                  <w:left w:w="0" w:type="dxa"/>
                  <w:bottom w:w="0" w:type="dxa"/>
                  <w:right w:w="0" w:type="dxa"/>
                </w:tblCellMar>
              </w:tblPrEx>
              <w:trPr>
                <w:gridBefore w:val="1"/>
                <w:wBefore w:w="10" w:type="dxa"/>
                <w:trHeight w:val="735" w:hRule="atLeast"/>
              </w:trPr>
              <w:tc>
                <w:tcPr>
                  <w:tcW w:w="3630"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工程名称：给排水工程</w:t>
                  </w:r>
                </w:p>
              </w:tc>
              <w:tc>
                <w:tcPr>
                  <w:tcW w:w="4290"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631"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260"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45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结算金额(元)</w:t>
                  </w:r>
                </w:p>
              </w:tc>
              <w:tc>
                <w:tcPr>
                  <w:tcW w:w="2236"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暂列金额</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明细详见表-12-1</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材料暂估价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w:t>
                  </w: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明细详见表-12-2</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专业工程暂估价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明细详见表-12-3</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计日工</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明细详见表-12-4</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总承包服务费</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明细详见表-12-5</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索赔与签证</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5460" w:type="dxa"/>
                  <w:gridSpan w:val="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410"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455"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236"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w:t>
                  </w:r>
                </w:p>
              </w:tc>
            </w:tr>
            <w:tr>
              <w:tblPrEx>
                <w:tblCellMar>
                  <w:top w:w="0" w:type="dxa"/>
                  <w:left w:w="0" w:type="dxa"/>
                  <w:bottom w:w="0" w:type="dxa"/>
                  <w:right w:w="0" w:type="dxa"/>
                </w:tblCellMar>
              </w:tblPrEx>
              <w:trPr>
                <w:gridBefore w:val="1"/>
                <w:wBefore w:w="10" w:type="dxa"/>
                <w:trHeight w:val="330" w:hRule="atLeast"/>
              </w:trPr>
              <w:tc>
                <w:tcPr>
                  <w:tcW w:w="10551" w:type="dxa"/>
                  <w:gridSpan w:val="7"/>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注：材料（工程设备）暂估单价进入清单项目综合单价，此处不汇总。</w:t>
                  </w:r>
                </w:p>
              </w:tc>
            </w:tr>
            <w:tr>
              <w:tblPrEx>
                <w:tblCellMar>
                  <w:top w:w="0" w:type="dxa"/>
                  <w:left w:w="0" w:type="dxa"/>
                  <w:bottom w:w="0" w:type="dxa"/>
                  <w:right w:w="0" w:type="dxa"/>
                </w:tblCellMar>
              </w:tblPrEx>
              <w:trPr>
                <w:gridBefore w:val="1"/>
                <w:wBefore w:w="10" w:type="dxa"/>
                <w:trHeight w:val="375" w:hRule="atLeast"/>
              </w:trPr>
              <w:tc>
                <w:tcPr>
                  <w:tcW w:w="3630" w:type="dxa"/>
                  <w:gridSpan w:val="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4290" w:type="dxa"/>
                  <w:gridSpan w:val="3"/>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631"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表-12</w:t>
                  </w:r>
                </w:p>
              </w:tc>
            </w:tr>
            <w:tr>
              <w:tblPrEx>
                <w:tblCellMar>
                  <w:top w:w="0" w:type="dxa"/>
                  <w:left w:w="0" w:type="dxa"/>
                  <w:bottom w:w="0" w:type="dxa"/>
                  <w:right w:w="0" w:type="dxa"/>
                </w:tblCellMar>
              </w:tblPrEx>
              <w:trPr>
                <w:gridBefore w:val="1"/>
                <w:wBefore w:w="10" w:type="dxa"/>
                <w:trHeight w:val="375" w:hRule="atLeast"/>
              </w:trPr>
              <w:tc>
                <w:tcPr>
                  <w:tcW w:w="10551" w:type="dxa"/>
                  <w:gridSpan w:val="7"/>
                  <w:tcBorders>
                    <w:top w:val="nil"/>
                    <w:left w:val="nil"/>
                    <w:bottom w:val="nil"/>
                    <w:right w:val="nil"/>
                  </w:tcBorders>
                  <w:shd w:val="clear" w:color="FFFFFF" w:fill="FFFFFF"/>
                  <w:tcMar>
                    <w:top w:w="15" w:type="dxa"/>
                    <w:left w:w="15" w:type="dxa"/>
                    <w:right w:w="15" w:type="dxa"/>
                  </w:tcMar>
                  <w:vAlign w:val="bottom"/>
                </w:tcPr>
                <w:tbl>
                  <w:tblPr>
                    <w:tblStyle w:val="39"/>
                    <w:tblW w:w="10491" w:type="dxa"/>
                    <w:tblInd w:w="0" w:type="dxa"/>
                    <w:tblLayout w:type="fixed"/>
                    <w:tblCellMar>
                      <w:top w:w="0" w:type="dxa"/>
                      <w:left w:w="0" w:type="dxa"/>
                      <w:bottom w:w="0" w:type="dxa"/>
                      <w:right w:w="0" w:type="dxa"/>
                    </w:tblCellMar>
                  </w:tblPr>
                  <w:tblGrid>
                    <w:gridCol w:w="10"/>
                    <w:gridCol w:w="1175"/>
                    <w:gridCol w:w="2140"/>
                    <w:gridCol w:w="1835"/>
                    <w:gridCol w:w="1380"/>
                    <w:gridCol w:w="850"/>
                    <w:gridCol w:w="1095"/>
                    <w:gridCol w:w="2006"/>
                  </w:tblGrid>
                  <w:tr>
                    <w:tblPrEx>
                      <w:tblCellMar>
                        <w:top w:w="0" w:type="dxa"/>
                        <w:left w:w="0" w:type="dxa"/>
                        <w:bottom w:w="0" w:type="dxa"/>
                        <w:right w:w="0" w:type="dxa"/>
                      </w:tblCellMar>
                    </w:tblPrEx>
                    <w:trPr>
                      <w:gridBefore w:val="1"/>
                      <w:wBefore w:w="10" w:type="dxa"/>
                      <w:trHeight w:val="795" w:hRule="atLeast"/>
                    </w:trPr>
                    <w:tc>
                      <w:tcPr>
                        <w:tcW w:w="10481"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暂列金额明细表</w:t>
                        </w:r>
                      </w:p>
                    </w:tc>
                  </w:tr>
                  <w:tr>
                    <w:tblPrEx>
                      <w:tblCellMar>
                        <w:top w:w="0" w:type="dxa"/>
                        <w:left w:w="0" w:type="dxa"/>
                        <w:bottom w:w="0" w:type="dxa"/>
                        <w:right w:w="0" w:type="dxa"/>
                      </w:tblCellMar>
                    </w:tblPrEx>
                    <w:trPr>
                      <w:gridBefore w:val="1"/>
                      <w:wBefore w:w="10" w:type="dxa"/>
                      <w:trHeight w:val="570"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工程名称：给排水工程</w:t>
                        </w: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标段：宏觉寺街街景整治项目</w:t>
                        </w:r>
                      </w:p>
                    </w:tc>
                    <w:tc>
                      <w:tcPr>
                        <w:tcW w:w="3101"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第 1 页  共 1 页</w:t>
                        </w:r>
                      </w:p>
                    </w:tc>
                  </w:tr>
                  <w:tr>
                    <w:tblPrEx>
                      <w:tblCellMar>
                        <w:top w:w="0" w:type="dxa"/>
                        <w:left w:w="0" w:type="dxa"/>
                        <w:bottom w:w="0" w:type="dxa"/>
                        <w:right w:w="0" w:type="dxa"/>
                      </w:tblCellMar>
                    </w:tblPrEx>
                    <w:trPr>
                      <w:trHeight w:val="345" w:hRule="atLeast"/>
                    </w:trPr>
                    <w:tc>
                      <w:tcPr>
                        <w:tcW w:w="1185"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397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项目名称</w:t>
                        </w:r>
                      </w:p>
                    </w:tc>
                    <w:tc>
                      <w:tcPr>
                        <w:tcW w:w="1380"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计量单位</w:t>
                        </w:r>
                      </w:p>
                    </w:tc>
                    <w:tc>
                      <w:tcPr>
                        <w:tcW w:w="194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暂定金额(元)</w:t>
                        </w:r>
                      </w:p>
                    </w:tc>
                    <w:tc>
                      <w:tcPr>
                        <w:tcW w:w="2006"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0" w:type="dxa"/>
                        <w:bottom w:w="0" w:type="dxa"/>
                        <w:right w:w="0" w:type="dxa"/>
                      </w:tblCellMar>
                    </w:tblPrEx>
                    <w:trPr>
                      <w:trHeight w:val="18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工程优质费</w:t>
                        </w: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1、计算基数为不含工程优质费的税前工程造价</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2、费率参考鲁班奖3%,全国建筑工程装饰奖1.5%,江河源杯1%</w:t>
                        </w: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19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trHeight w:val="345" w:hRule="atLeast"/>
                    </w:trPr>
                    <w:tc>
                      <w:tcPr>
                        <w:tcW w:w="6540" w:type="dxa"/>
                        <w:gridSpan w:val="5"/>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    计</w:t>
                        </w:r>
                      </w:p>
                    </w:tc>
                    <w:tc>
                      <w:tcPr>
                        <w:tcW w:w="1945"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2006"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w:t>
                        </w:r>
                      </w:p>
                    </w:tc>
                  </w:tr>
                  <w:tr>
                    <w:tblPrEx>
                      <w:tblCellMar>
                        <w:top w:w="0" w:type="dxa"/>
                        <w:left w:w="0" w:type="dxa"/>
                        <w:bottom w:w="0" w:type="dxa"/>
                        <w:right w:w="0" w:type="dxa"/>
                      </w:tblCellMar>
                    </w:tblPrEx>
                    <w:trPr>
                      <w:gridBefore w:val="1"/>
                      <w:wBefore w:w="10" w:type="dxa"/>
                      <w:trHeight w:val="315" w:hRule="atLeast"/>
                    </w:trPr>
                    <w:tc>
                      <w:tcPr>
                        <w:tcW w:w="10481" w:type="dxa"/>
                        <w:gridSpan w:val="7"/>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注：此表由招标人填写，如不能详列，也可只列暂列金额总额，投标人应将上述暂列金额计入投标总价中。</w:t>
                        </w:r>
                      </w:p>
                    </w:tc>
                  </w:tr>
                  <w:tr>
                    <w:tblPrEx>
                      <w:tblCellMar>
                        <w:top w:w="0" w:type="dxa"/>
                        <w:left w:w="0" w:type="dxa"/>
                        <w:bottom w:w="0" w:type="dxa"/>
                        <w:right w:w="0" w:type="dxa"/>
                      </w:tblCellMar>
                    </w:tblPrEx>
                    <w:trPr>
                      <w:gridBefore w:val="1"/>
                      <w:wBefore w:w="10" w:type="dxa"/>
                      <w:trHeight w:val="315"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101" w:type="dxa"/>
                        <w:gridSpan w:val="2"/>
                        <w:tcBorders>
                          <w:top w:val="nil"/>
                          <w:left w:val="nil"/>
                          <w:bottom w:val="nil"/>
                          <w:right w:val="nil"/>
                        </w:tcBorders>
                        <w:shd w:val="clear" w:color="FFFFFF" w:fill="FFFFFF"/>
                        <w:tcMar>
                          <w:top w:w="15" w:type="dxa"/>
                          <w:left w:w="15" w:type="dxa"/>
                          <w:right w:w="15" w:type="dxa"/>
                        </w:tcMar>
                      </w:tcPr>
                      <w:p>
                        <w:pPr>
                          <w:widowControl/>
                          <w:jc w:val="right"/>
                          <w:textAlignment w:val="top"/>
                          <w:rPr>
                            <w:rFonts w:ascii="宋体" w:hAnsi="宋体" w:cs="宋体"/>
                            <w:color w:val="000000"/>
                            <w:sz w:val="18"/>
                            <w:szCs w:val="18"/>
                          </w:rPr>
                        </w:pPr>
                        <w:r>
                          <w:rPr>
                            <w:rFonts w:hint="eastAsia" w:ascii="宋体" w:hAnsi="宋体" w:cs="宋体"/>
                            <w:color w:val="000000"/>
                            <w:kern w:val="0"/>
                            <w:sz w:val="18"/>
                            <w:szCs w:val="18"/>
                          </w:rPr>
                          <w:t>表—12—1</w:t>
                        </w:r>
                      </w:p>
                    </w:tc>
                  </w:tr>
                </w:tbl>
                <w:p>
                  <w:pPr>
                    <w:widowControl/>
                    <w:jc w:val="right"/>
                    <w:textAlignment w:val="center"/>
                    <w:rPr>
                      <w:rFonts w:ascii="宋体" w:hAnsi="宋体" w:cs="宋体"/>
                      <w:color w:val="000000"/>
                      <w:kern w:val="0"/>
                      <w:sz w:val="18"/>
                      <w:szCs w:val="18"/>
                    </w:rPr>
                  </w:pPr>
                </w:p>
              </w:tc>
            </w:tr>
          </w:tbl>
          <w:p>
            <w:pPr>
              <w:widowControl/>
              <w:jc w:val="right"/>
              <w:textAlignment w:val="center"/>
              <w:rPr>
                <w:rFonts w:ascii="宋体" w:hAnsi="宋体" w:cs="宋体"/>
                <w:color w:val="000000"/>
                <w:kern w:val="0"/>
                <w:sz w:val="18"/>
                <w:szCs w:val="18"/>
              </w:rPr>
            </w:pP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（十六）规费、税金项目计价表</w:t>
            </w:r>
          </w:p>
        </w:tc>
      </w:tr>
      <w:tr>
        <w:tblPrEx>
          <w:tblCellMar>
            <w:top w:w="0" w:type="dxa"/>
            <w:left w:w="0" w:type="dxa"/>
            <w:bottom w:w="0" w:type="dxa"/>
            <w:right w:w="0" w:type="dxa"/>
          </w:tblCellMar>
        </w:tblPrEx>
        <w:trPr>
          <w:trHeight w:val="510"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工程名称：给排水工程</w:t>
            </w:r>
          </w:p>
        </w:tc>
        <w:tc>
          <w:tcPr>
            <w:tcW w:w="3494" w:type="dxa"/>
            <w:gridSpan w:val="1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30" w:hRule="atLeast"/>
        </w:trPr>
        <w:tc>
          <w:tcPr>
            <w:tcW w:w="727"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391"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834"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1320"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计算基数</w:t>
            </w:r>
          </w:p>
        </w:tc>
        <w:tc>
          <w:tcPr>
            <w:tcW w:w="959"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354" w:type="dxa"/>
            <w:gridSpan w:val="2"/>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规费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养老保险费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失业保险费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医疗保险费和生育保险费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工伤保险费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工程排污费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按实际发生额计算</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税金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分部分项工程量清单项目费+措施项目费+其他项目费+规费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90" w:hRule="atLeast"/>
        </w:trPr>
        <w:tc>
          <w:tcPr>
            <w:tcW w:w="9231" w:type="dxa"/>
            <w:gridSpan w:val="26"/>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54"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表-13</w:t>
            </w: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分部分项工程和单价措施项目清单与计价表</w:t>
            </w:r>
          </w:p>
        </w:tc>
      </w:tr>
      <w:tr>
        <w:tblPrEx>
          <w:tblCellMar>
            <w:top w:w="0" w:type="dxa"/>
            <w:left w:w="0" w:type="dxa"/>
            <w:bottom w:w="0" w:type="dxa"/>
            <w:right w:w="0" w:type="dxa"/>
          </w:tblCellMar>
        </w:tblPrEx>
        <w:trPr>
          <w:trHeight w:val="300" w:hRule="atLeast"/>
        </w:trPr>
        <w:tc>
          <w:tcPr>
            <w:tcW w:w="4525" w:type="dxa"/>
            <w:gridSpan w:val="10"/>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工程名称：园路及其他</w:t>
            </w:r>
          </w:p>
        </w:tc>
        <w:tc>
          <w:tcPr>
            <w:tcW w:w="3151" w:type="dxa"/>
            <w:gridSpan w:val="10"/>
            <w:tcBorders>
              <w:top w:val="nil"/>
              <w:left w:val="nil"/>
              <w:bottom w:val="nil"/>
              <w:right w:val="nil"/>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60" w:hRule="atLeast"/>
        </w:trPr>
        <w:tc>
          <w:tcPr>
            <w:tcW w:w="778" w:type="dxa"/>
            <w:gridSpan w:val="3"/>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93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258"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422" w:type="dxa"/>
            <w:gridSpan w:val="6"/>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项目特征描述</w:t>
            </w:r>
          </w:p>
        </w:tc>
        <w:tc>
          <w:tcPr>
            <w:tcW w:w="472"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计量单位</w:t>
            </w:r>
          </w:p>
        </w:tc>
        <w:tc>
          <w:tcPr>
            <w:tcW w:w="808" w:type="dxa"/>
            <w:gridSpan w:val="5"/>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工程量</w:t>
            </w:r>
          </w:p>
        </w:tc>
        <w:tc>
          <w:tcPr>
            <w:tcW w:w="2909"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360"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422" w:type="dxa"/>
            <w:gridSpan w:val="6"/>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72"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综合单价</w:t>
            </w:r>
          </w:p>
        </w:tc>
        <w:tc>
          <w:tcPr>
            <w:tcW w:w="929" w:type="dxa"/>
            <w:gridSpan w:val="3"/>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合价</w:t>
            </w: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w:t>
            </w:r>
          </w:p>
        </w:tc>
      </w:tr>
      <w:tr>
        <w:tblPrEx>
          <w:tblCellMar>
            <w:top w:w="0" w:type="dxa"/>
            <w:left w:w="0" w:type="dxa"/>
            <w:bottom w:w="0" w:type="dxa"/>
            <w:right w:w="0" w:type="dxa"/>
          </w:tblCellMar>
        </w:tblPrEx>
        <w:trPr>
          <w:trHeight w:val="360" w:hRule="atLeast"/>
        </w:trPr>
        <w:tc>
          <w:tcPr>
            <w:tcW w:w="778" w:type="dxa"/>
            <w:gridSpan w:val="3"/>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93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25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2422" w:type="dxa"/>
            <w:gridSpan w:val="6"/>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72"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08" w:type="dxa"/>
            <w:gridSpan w:val="5"/>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816" w:type="dxa"/>
            <w:gridSpan w:val="4"/>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929" w:type="dxa"/>
            <w:gridSpan w:val="3"/>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暂估价</w:t>
            </w: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整个项目</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9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050305010001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成品定制座椅</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1、名称：成品定制室外座椅</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2、尺寸：2.5m*0.6m*0.45m</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个</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040204007001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成品树池</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1.树池尺寸:1.6m*1.6m</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个</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050307009001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标志牌</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1.材料种类、规格:定制成品导视牌</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个</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085"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050201001001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园路</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1、800*300*150厚青石板仿古凿毛面</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2、30厚1:3干硬性水泥砂浆结合层（面撒素水泥一道）</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3、120厚C25素砼垫层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4、120厚级配碎石垫层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5、素土夯实，压实系数＞93%</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1087.25</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085"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011107001001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石材台阶面</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1、2000*300*150整石台阶仿古凿毛面</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2、30厚1:3干硬性水泥砂浆结合层（面撒素水泥一道）</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3、120厚C25素砼垫层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4、120厚级配碎石垫层</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5、素土夯实，压实系数＞93%</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13.62</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9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050101009001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种植土回（换）填</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1、详见设计说明</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2、花池、树池内填200厚碎石，30厚砂石，再回填种植土</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m3</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1.18</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041001001001</w:t>
            </w: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拆除路面</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1.材质:混凝土路面</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2.厚度:20cm</w:t>
            </w: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m2</w:t>
            </w: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1218.53</w:t>
            </w: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措施项目</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分部小计</w:t>
            </w: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kern w:val="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778" w:type="dxa"/>
            <w:gridSpan w:val="3"/>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938"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5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kern w:val="0"/>
                <w:sz w:val="18"/>
                <w:szCs w:val="18"/>
              </w:rPr>
            </w:pPr>
          </w:p>
        </w:tc>
        <w:tc>
          <w:tcPr>
            <w:tcW w:w="2422"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47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08" w:type="dxa"/>
            <w:gridSpan w:val="5"/>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816"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8492" w:type="dxa"/>
            <w:gridSpan w:val="24"/>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本页小计</w:t>
            </w:r>
          </w:p>
        </w:tc>
        <w:tc>
          <w:tcPr>
            <w:tcW w:w="92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60" w:hRule="atLeast"/>
        </w:trPr>
        <w:tc>
          <w:tcPr>
            <w:tcW w:w="8492" w:type="dxa"/>
            <w:gridSpan w:val="2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929"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164"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525"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注：为计取规费等的使用，可在表中增设其中：“定额人工费”。</w:t>
            </w:r>
          </w:p>
        </w:tc>
      </w:tr>
      <w:tr>
        <w:tblPrEx>
          <w:tblCellMar>
            <w:top w:w="0" w:type="dxa"/>
            <w:left w:w="0" w:type="dxa"/>
            <w:bottom w:w="0" w:type="dxa"/>
            <w:right w:w="0" w:type="dxa"/>
          </w:tblCellMar>
        </w:tblPrEx>
        <w:trPr>
          <w:trHeight w:val="375" w:hRule="atLeast"/>
        </w:trPr>
        <w:tc>
          <w:tcPr>
            <w:tcW w:w="4525"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51" w:type="dxa"/>
            <w:gridSpan w:val="10"/>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909" w:type="dxa"/>
            <w:gridSpan w:val="8"/>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表—08</w:t>
            </w: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总价措施项目清单与计价表</w:t>
            </w:r>
          </w:p>
        </w:tc>
      </w:tr>
      <w:tr>
        <w:tblPrEx>
          <w:tblCellMar>
            <w:top w:w="0" w:type="dxa"/>
            <w:left w:w="0" w:type="dxa"/>
            <w:bottom w:w="0" w:type="dxa"/>
            <w:right w:w="0" w:type="dxa"/>
          </w:tblCellMar>
        </w:tblPrEx>
        <w:trPr>
          <w:trHeight w:val="735"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工程名称：园路及其他</w:t>
            </w:r>
          </w:p>
        </w:tc>
        <w:tc>
          <w:tcPr>
            <w:tcW w:w="3594"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624"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91"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项目编码</w:t>
            </w:r>
          </w:p>
        </w:tc>
        <w:tc>
          <w:tcPr>
            <w:tcW w:w="1659"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255"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807"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988"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017"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调整费率(%)</w:t>
            </w:r>
          </w:p>
        </w:tc>
        <w:tc>
          <w:tcPr>
            <w:tcW w:w="1544" w:type="dxa"/>
            <w:gridSpan w:val="3"/>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调整后金额(元)</w:t>
            </w: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050405001001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安全施工费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4.11</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文明施工费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2.97</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环境保护费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1.32</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临时设施费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050405002001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夜间施工增加费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1.25</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050405005001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冬雨季施工增加费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1.91</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050405008001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已完工程及设备保护费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0.18</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050405009001</w:t>
            </w: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工程定位复测费</w:t>
            </w: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分部分项预算人工费+单价措施项目预算人工费</w:t>
            </w: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0.66</w:t>
            </w: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62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91"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659"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255"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rPr>
                <w:rFonts w:ascii="宋体" w:hAnsi="宋体" w:cs="宋体"/>
                <w:color w:val="000000"/>
                <w:sz w:val="18"/>
                <w:szCs w:val="18"/>
              </w:rPr>
            </w:pPr>
          </w:p>
        </w:tc>
        <w:tc>
          <w:tcPr>
            <w:tcW w:w="807"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88"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036" w:type="dxa"/>
            <w:gridSpan w:val="18"/>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988" w:type="dxa"/>
            <w:gridSpan w:val="3"/>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017" w:type="dxa"/>
            <w:gridSpan w:val="4"/>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544" w:type="dxa"/>
            <w:gridSpan w:val="3"/>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6044" w:type="dxa"/>
            <w:gridSpan w:val="1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960"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注：1.“计算基础”中安全文明施工费可为“定额基价”、“定额人工费”或“定额人工费+定额机械费”，其他项目可为“定额人工费”或“定额人工费+定额机械费”。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2.按施工方案计算的措施费，若无“计算基础”和“费率”的数值，也可只填“金额”数值，但应在备注栏说明施工方案出处或计算方法。</w:t>
            </w:r>
          </w:p>
        </w:tc>
      </w:tr>
      <w:tr>
        <w:tblPrEx>
          <w:tblCellMar>
            <w:top w:w="0" w:type="dxa"/>
            <w:left w:w="0" w:type="dxa"/>
            <w:bottom w:w="0" w:type="dxa"/>
            <w:right w:w="0" w:type="dxa"/>
          </w:tblCellMar>
        </w:tblPrEx>
        <w:trPr>
          <w:trHeight w:val="285" w:hRule="atLeast"/>
        </w:trPr>
        <w:tc>
          <w:tcPr>
            <w:tcW w:w="4541"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594" w:type="dxa"/>
            <w:gridSpan w:val="11"/>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450" w:type="dxa"/>
            <w:gridSpan w:val="6"/>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表-11</w:t>
            </w:r>
          </w:p>
        </w:tc>
      </w:tr>
      <w:tr>
        <w:tblPrEx>
          <w:tblCellMar>
            <w:top w:w="0" w:type="dxa"/>
            <w:left w:w="0" w:type="dxa"/>
            <w:bottom w:w="0" w:type="dxa"/>
            <w:right w:w="0" w:type="dxa"/>
          </w:tblCellMar>
        </w:tblPrEx>
        <w:trPr>
          <w:trHeight w:val="285" w:hRule="atLeast"/>
        </w:trPr>
        <w:tc>
          <w:tcPr>
            <w:tcW w:w="10585" w:type="dxa"/>
            <w:gridSpan w:val="28"/>
            <w:tcBorders>
              <w:top w:val="nil"/>
              <w:left w:val="nil"/>
              <w:bottom w:val="nil"/>
              <w:right w:val="nil"/>
            </w:tcBorders>
            <w:shd w:val="clear" w:color="FFFFFF" w:fill="FFFFFF"/>
            <w:tcMar>
              <w:top w:w="15" w:type="dxa"/>
              <w:left w:w="15" w:type="dxa"/>
              <w:right w:w="15" w:type="dxa"/>
            </w:tcMar>
            <w:vAlign w:val="bottom"/>
          </w:tcPr>
          <w:tbl>
            <w:tblPr>
              <w:tblStyle w:val="39"/>
              <w:tblW w:w="10445" w:type="dxa"/>
              <w:tblInd w:w="0" w:type="dxa"/>
              <w:tblLayout w:type="fixed"/>
              <w:tblCellMar>
                <w:top w:w="0" w:type="dxa"/>
                <w:left w:w="0" w:type="dxa"/>
                <w:bottom w:w="0" w:type="dxa"/>
                <w:right w:w="0" w:type="dxa"/>
              </w:tblCellMar>
            </w:tblPr>
            <w:tblGrid>
              <w:gridCol w:w="10"/>
              <w:gridCol w:w="1190"/>
              <w:gridCol w:w="2440"/>
              <w:gridCol w:w="1820"/>
              <w:gridCol w:w="1225"/>
              <w:gridCol w:w="1235"/>
              <w:gridCol w:w="10"/>
              <w:gridCol w:w="2515"/>
            </w:tblGrid>
            <w:tr>
              <w:tblPrEx>
                <w:tblCellMar>
                  <w:top w:w="0" w:type="dxa"/>
                  <w:left w:w="0" w:type="dxa"/>
                  <w:bottom w:w="0" w:type="dxa"/>
                  <w:right w:w="0" w:type="dxa"/>
                </w:tblCellMar>
              </w:tblPrEx>
              <w:trPr>
                <w:gridBefore w:val="1"/>
                <w:wBefore w:w="10" w:type="dxa"/>
                <w:trHeight w:val="585" w:hRule="atLeast"/>
              </w:trPr>
              <w:tc>
                <w:tcPr>
                  <w:tcW w:w="10435"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其他项目清单与计价汇总表</w:t>
                  </w:r>
                </w:p>
              </w:tc>
            </w:tr>
            <w:tr>
              <w:tblPrEx>
                <w:tblCellMar>
                  <w:top w:w="0" w:type="dxa"/>
                  <w:left w:w="0" w:type="dxa"/>
                  <w:bottom w:w="0" w:type="dxa"/>
                  <w:right w:w="0" w:type="dxa"/>
                </w:tblCellMar>
              </w:tblPrEx>
              <w:trPr>
                <w:gridBefore w:val="1"/>
                <w:wBefore w:w="10" w:type="dxa"/>
                <w:trHeight w:val="735" w:hRule="atLeast"/>
              </w:trPr>
              <w:tc>
                <w:tcPr>
                  <w:tcW w:w="3630"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工程名称：园路及其他</w:t>
                  </w:r>
                </w:p>
              </w:tc>
              <w:tc>
                <w:tcPr>
                  <w:tcW w:w="4290" w:type="dxa"/>
                  <w:gridSpan w:val="4"/>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2515" w:type="dxa"/>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45" w:hRule="atLeast"/>
              </w:trPr>
              <w:tc>
                <w:tcPr>
                  <w:tcW w:w="1200"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260"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1225"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c>
                <w:tcPr>
                  <w:tcW w:w="1235"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结算金额(元)</w:t>
                  </w:r>
                </w:p>
              </w:tc>
              <w:tc>
                <w:tcPr>
                  <w:tcW w:w="2525" w:type="dxa"/>
                  <w:gridSpan w:val="2"/>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暂列金额</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明细详见表-12-1</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暂估价</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材料暂估价</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w:t>
                  </w: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明细详见表-12-2</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专业工程暂估价</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明细详见表-12-3</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计日工</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明细详见表-12-4</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总承包服务费</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明细详见表-12-5</w:t>
                  </w: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索赔与签证</w:t>
                  </w: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1200"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426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r>
            <w:tr>
              <w:tblPrEx>
                <w:tblCellMar>
                  <w:top w:w="0" w:type="dxa"/>
                  <w:left w:w="0" w:type="dxa"/>
                  <w:bottom w:w="0" w:type="dxa"/>
                  <w:right w:w="0" w:type="dxa"/>
                </w:tblCellMar>
              </w:tblPrEx>
              <w:trPr>
                <w:trHeight w:val="315" w:hRule="atLeast"/>
              </w:trPr>
              <w:tc>
                <w:tcPr>
                  <w:tcW w:w="5460" w:type="dxa"/>
                  <w:gridSpan w:val="4"/>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    计</w:t>
                  </w:r>
                </w:p>
              </w:tc>
              <w:tc>
                <w:tcPr>
                  <w:tcW w:w="1225"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1235"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2525"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w:t>
                  </w:r>
                </w:p>
              </w:tc>
            </w:tr>
            <w:tr>
              <w:tblPrEx>
                <w:tblCellMar>
                  <w:top w:w="0" w:type="dxa"/>
                  <w:left w:w="0" w:type="dxa"/>
                  <w:bottom w:w="0" w:type="dxa"/>
                  <w:right w:w="0" w:type="dxa"/>
                </w:tblCellMar>
              </w:tblPrEx>
              <w:trPr>
                <w:gridBefore w:val="1"/>
                <w:wBefore w:w="10" w:type="dxa"/>
                <w:trHeight w:val="330" w:hRule="atLeast"/>
              </w:trPr>
              <w:tc>
                <w:tcPr>
                  <w:tcW w:w="10435" w:type="dxa"/>
                  <w:gridSpan w:val="7"/>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cs="宋体"/>
                      <w:color w:val="000000"/>
                      <w:sz w:val="18"/>
                      <w:szCs w:val="18"/>
                    </w:rPr>
                  </w:pPr>
                  <w:r>
                    <w:rPr>
                      <w:rFonts w:hint="eastAsia" w:ascii="宋体" w:hAnsi="宋体" w:cs="宋体"/>
                      <w:color w:val="000000"/>
                      <w:kern w:val="0"/>
                      <w:sz w:val="18"/>
                      <w:szCs w:val="18"/>
                    </w:rPr>
                    <w:t>注：材料（工程设备）暂估单价进入清单项目综合单价，此处不汇总。</w:t>
                  </w:r>
                </w:p>
              </w:tc>
            </w:tr>
            <w:tr>
              <w:tblPrEx>
                <w:tblCellMar>
                  <w:top w:w="0" w:type="dxa"/>
                  <w:left w:w="0" w:type="dxa"/>
                  <w:bottom w:w="0" w:type="dxa"/>
                  <w:right w:w="0" w:type="dxa"/>
                </w:tblCellMar>
              </w:tblPrEx>
              <w:trPr>
                <w:gridBefore w:val="1"/>
                <w:wBefore w:w="10" w:type="dxa"/>
                <w:trHeight w:val="375" w:hRule="atLeast"/>
              </w:trPr>
              <w:tc>
                <w:tcPr>
                  <w:tcW w:w="3630" w:type="dxa"/>
                  <w:gridSpan w:val="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4290" w:type="dxa"/>
                  <w:gridSpan w:val="4"/>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2515" w:type="dxa"/>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表-12</w:t>
                  </w:r>
                </w:p>
              </w:tc>
            </w:tr>
          </w:tbl>
          <w:p>
            <w:pPr>
              <w:widowControl/>
              <w:jc w:val="right"/>
              <w:textAlignment w:val="center"/>
              <w:rPr>
                <w:rFonts w:ascii="宋体" w:hAnsi="宋体" w:cs="宋体"/>
                <w:color w:val="000000"/>
                <w:kern w:val="0"/>
                <w:sz w:val="18"/>
                <w:szCs w:val="18"/>
              </w:rPr>
            </w:pP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tbl>
            <w:tblPr>
              <w:tblStyle w:val="39"/>
              <w:tblW w:w="10420" w:type="dxa"/>
              <w:tblInd w:w="0" w:type="dxa"/>
              <w:tblLayout w:type="fixed"/>
              <w:tblCellMar>
                <w:top w:w="0" w:type="dxa"/>
                <w:left w:w="0" w:type="dxa"/>
                <w:bottom w:w="0" w:type="dxa"/>
                <w:right w:w="0" w:type="dxa"/>
              </w:tblCellMar>
            </w:tblPr>
            <w:tblGrid>
              <w:gridCol w:w="10"/>
              <w:gridCol w:w="1175"/>
              <w:gridCol w:w="2140"/>
              <w:gridCol w:w="1835"/>
              <w:gridCol w:w="1380"/>
              <w:gridCol w:w="850"/>
              <w:gridCol w:w="1295"/>
              <w:gridCol w:w="1725"/>
              <w:gridCol w:w="10"/>
            </w:tblGrid>
            <w:tr>
              <w:tblPrEx>
                <w:tblCellMar>
                  <w:top w:w="0" w:type="dxa"/>
                  <w:left w:w="0" w:type="dxa"/>
                  <w:bottom w:w="0" w:type="dxa"/>
                  <w:right w:w="0" w:type="dxa"/>
                </w:tblCellMar>
              </w:tblPrEx>
              <w:trPr>
                <w:gridBefore w:val="1"/>
                <w:wBefore w:w="10" w:type="dxa"/>
                <w:trHeight w:val="795" w:hRule="atLeast"/>
              </w:trPr>
              <w:tc>
                <w:tcPr>
                  <w:tcW w:w="10410" w:type="dxa"/>
                  <w:gridSpan w:val="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暂列金额明细表</w:t>
                  </w:r>
                </w:p>
              </w:tc>
            </w:tr>
            <w:tr>
              <w:tblPrEx>
                <w:tblCellMar>
                  <w:top w:w="0" w:type="dxa"/>
                  <w:left w:w="0" w:type="dxa"/>
                  <w:bottom w:w="0" w:type="dxa"/>
                  <w:right w:w="0" w:type="dxa"/>
                </w:tblCellMar>
              </w:tblPrEx>
              <w:trPr>
                <w:gridBefore w:val="1"/>
                <w:wBefore w:w="10" w:type="dxa"/>
                <w:trHeight w:val="570"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工程名称：园路及其他</w:t>
                  </w: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标段：宏觉寺街街景整治项目</w:t>
                  </w:r>
                </w:p>
              </w:tc>
              <w:tc>
                <w:tcPr>
                  <w:tcW w:w="3030"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20"/>
                      <w:szCs w:val="20"/>
                    </w:rPr>
                  </w:pPr>
                  <w:r>
                    <w:rPr>
                      <w:rFonts w:hint="eastAsia" w:ascii="宋体" w:hAnsi="宋体" w:cs="宋体"/>
                      <w:color w:val="000000"/>
                      <w:kern w:val="0"/>
                      <w:sz w:val="20"/>
                      <w:szCs w:val="20"/>
                    </w:rPr>
                    <w:t>第 1 页  共 1 页</w:t>
                  </w: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序号</w:t>
                  </w:r>
                </w:p>
              </w:tc>
              <w:tc>
                <w:tcPr>
                  <w:tcW w:w="397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项目名称</w:t>
                  </w:r>
                </w:p>
              </w:tc>
              <w:tc>
                <w:tcPr>
                  <w:tcW w:w="1380"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计量单位</w:t>
                  </w:r>
                </w:p>
              </w:tc>
              <w:tc>
                <w:tcPr>
                  <w:tcW w:w="2145" w:type="dxa"/>
                  <w:gridSpan w:val="2"/>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暂定金额(元)</w:t>
                  </w:r>
                </w:p>
              </w:tc>
              <w:tc>
                <w:tcPr>
                  <w:tcW w:w="1725"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备注</w:t>
                  </w:r>
                </w:p>
              </w:tc>
            </w:tr>
            <w:tr>
              <w:tblPrEx>
                <w:tblCellMar>
                  <w:top w:w="0" w:type="dxa"/>
                  <w:left w:w="0" w:type="dxa"/>
                  <w:bottom w:w="0" w:type="dxa"/>
                  <w:right w:w="0" w:type="dxa"/>
                </w:tblCellMar>
              </w:tblPrEx>
              <w:trPr>
                <w:gridAfter w:val="1"/>
                <w:wAfter w:w="10" w:type="dxa"/>
                <w:trHeight w:val="18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工程优质费</w:t>
                  </w: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元</w:t>
                  </w: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1、计算基数为不含工程优质费的税前工程造价</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2、费率参考鲁班奖3%,全国建筑工程装饰奖1.5%,江河源杯1%</w:t>
                  </w: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1185"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397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20"/>
                      <w:szCs w:val="20"/>
                    </w:rPr>
                  </w:pPr>
                </w:p>
              </w:tc>
              <w:tc>
                <w:tcPr>
                  <w:tcW w:w="214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cs="宋体"/>
                      <w:color w:val="000000"/>
                      <w:sz w:val="20"/>
                      <w:szCs w:val="20"/>
                    </w:rPr>
                  </w:pPr>
                </w:p>
              </w:tc>
            </w:tr>
            <w:tr>
              <w:tblPrEx>
                <w:tblCellMar>
                  <w:top w:w="0" w:type="dxa"/>
                  <w:left w:w="0" w:type="dxa"/>
                  <w:bottom w:w="0" w:type="dxa"/>
                  <w:right w:w="0" w:type="dxa"/>
                </w:tblCellMar>
              </w:tblPrEx>
              <w:trPr>
                <w:gridAfter w:val="1"/>
                <w:wAfter w:w="10" w:type="dxa"/>
                <w:trHeight w:val="345" w:hRule="atLeast"/>
              </w:trPr>
              <w:tc>
                <w:tcPr>
                  <w:tcW w:w="6540" w:type="dxa"/>
                  <w:gridSpan w:val="5"/>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合    计</w:t>
                  </w:r>
                </w:p>
              </w:tc>
              <w:tc>
                <w:tcPr>
                  <w:tcW w:w="2145"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20"/>
                      <w:szCs w:val="20"/>
                    </w:rPr>
                  </w:pPr>
                </w:p>
              </w:tc>
              <w:tc>
                <w:tcPr>
                  <w:tcW w:w="1725"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w:t>
                  </w:r>
                </w:p>
              </w:tc>
            </w:tr>
            <w:tr>
              <w:tblPrEx>
                <w:tblCellMar>
                  <w:top w:w="0" w:type="dxa"/>
                  <w:left w:w="0" w:type="dxa"/>
                  <w:bottom w:w="0" w:type="dxa"/>
                  <w:right w:w="0" w:type="dxa"/>
                </w:tblCellMar>
              </w:tblPrEx>
              <w:trPr>
                <w:gridBefore w:val="1"/>
                <w:wBefore w:w="10" w:type="dxa"/>
                <w:trHeight w:val="315" w:hRule="atLeast"/>
              </w:trPr>
              <w:tc>
                <w:tcPr>
                  <w:tcW w:w="10410" w:type="dxa"/>
                  <w:gridSpan w:val="8"/>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注：此表由招标人填写，如不能详列，也可只列暂列金额总额，投标人应将上述暂列金额计入投标总价中。</w:t>
                  </w:r>
                </w:p>
              </w:tc>
            </w:tr>
            <w:tr>
              <w:tblPrEx>
                <w:tblCellMar>
                  <w:top w:w="0" w:type="dxa"/>
                  <w:left w:w="0" w:type="dxa"/>
                  <w:bottom w:w="0" w:type="dxa"/>
                  <w:right w:w="0" w:type="dxa"/>
                </w:tblCellMar>
              </w:tblPrEx>
              <w:trPr>
                <w:gridBefore w:val="1"/>
                <w:wBefore w:w="10" w:type="dxa"/>
                <w:trHeight w:val="315" w:hRule="atLeast"/>
              </w:trPr>
              <w:tc>
                <w:tcPr>
                  <w:tcW w:w="3315"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4065" w:type="dxa"/>
                  <w:gridSpan w:val="3"/>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030" w:type="dxa"/>
                  <w:gridSpan w:val="3"/>
                  <w:tcBorders>
                    <w:top w:val="nil"/>
                    <w:left w:val="nil"/>
                    <w:bottom w:val="nil"/>
                    <w:right w:val="nil"/>
                  </w:tcBorders>
                  <w:shd w:val="clear" w:color="FFFFFF" w:fill="FFFFFF"/>
                  <w:tcMar>
                    <w:top w:w="15" w:type="dxa"/>
                    <w:left w:w="15" w:type="dxa"/>
                    <w:right w:w="15" w:type="dxa"/>
                  </w:tcMar>
                </w:tcPr>
                <w:p>
                  <w:pPr>
                    <w:widowControl/>
                    <w:jc w:val="right"/>
                    <w:textAlignment w:val="top"/>
                    <w:rPr>
                      <w:rFonts w:ascii="宋体" w:hAnsi="宋体" w:cs="宋体"/>
                      <w:color w:val="000000"/>
                      <w:sz w:val="18"/>
                      <w:szCs w:val="18"/>
                    </w:rPr>
                  </w:pPr>
                  <w:r>
                    <w:rPr>
                      <w:rFonts w:hint="eastAsia" w:ascii="宋体" w:hAnsi="宋体" w:cs="宋体"/>
                      <w:color w:val="000000"/>
                      <w:kern w:val="0"/>
                      <w:sz w:val="18"/>
                      <w:szCs w:val="18"/>
                    </w:rPr>
                    <w:t>表—12—1</w:t>
                  </w:r>
                </w:p>
              </w:tc>
            </w:tr>
          </w:tbl>
          <w:p>
            <w:pPr>
              <w:widowControl/>
              <w:jc w:val="center"/>
              <w:textAlignment w:val="center"/>
              <w:rPr>
                <w:rFonts w:ascii="宋体" w:hAnsi="宋体" w:cs="宋体"/>
                <w:b/>
                <w:color w:val="000000"/>
                <w:kern w:val="0"/>
                <w:sz w:val="40"/>
                <w:szCs w:val="40"/>
              </w:rPr>
            </w:pPr>
          </w:p>
        </w:tc>
      </w:tr>
      <w:tr>
        <w:tblPrEx>
          <w:tblCellMar>
            <w:top w:w="0" w:type="dxa"/>
            <w:left w:w="0" w:type="dxa"/>
            <w:bottom w:w="0" w:type="dxa"/>
            <w:right w:w="0" w:type="dxa"/>
          </w:tblCellMar>
        </w:tblPrEx>
        <w:trPr>
          <w:trHeight w:val="585" w:hRule="atLeast"/>
        </w:trPr>
        <w:tc>
          <w:tcPr>
            <w:tcW w:w="10585" w:type="dxa"/>
            <w:gridSpan w:val="28"/>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cs="宋体"/>
                <w:b/>
                <w:color w:val="000000"/>
                <w:sz w:val="40"/>
                <w:szCs w:val="40"/>
              </w:rPr>
            </w:pPr>
            <w:r>
              <w:rPr>
                <w:rFonts w:hint="eastAsia" w:ascii="宋体" w:hAnsi="宋体" w:cs="宋体"/>
                <w:b/>
                <w:color w:val="000000"/>
                <w:kern w:val="0"/>
                <w:sz w:val="40"/>
                <w:szCs w:val="40"/>
              </w:rPr>
              <w:t>（十六）规费、税金项目计价表</w:t>
            </w:r>
          </w:p>
        </w:tc>
      </w:tr>
      <w:tr>
        <w:tblPrEx>
          <w:tblCellMar>
            <w:top w:w="0" w:type="dxa"/>
            <w:left w:w="0" w:type="dxa"/>
            <w:bottom w:w="0" w:type="dxa"/>
            <w:right w:w="0" w:type="dxa"/>
          </w:tblCellMar>
        </w:tblPrEx>
        <w:trPr>
          <w:trHeight w:val="510"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工程名称：园路及其他</w:t>
            </w:r>
          </w:p>
        </w:tc>
        <w:tc>
          <w:tcPr>
            <w:tcW w:w="3494" w:type="dxa"/>
            <w:gridSpan w:val="1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标段：宏觉寺街街景整治项目</w:t>
            </w: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第  1  页  共  1  页</w:t>
            </w:r>
          </w:p>
        </w:tc>
      </w:tr>
      <w:tr>
        <w:tblPrEx>
          <w:tblCellMar>
            <w:top w:w="0" w:type="dxa"/>
            <w:left w:w="0" w:type="dxa"/>
            <w:bottom w:w="0" w:type="dxa"/>
            <w:right w:w="0" w:type="dxa"/>
          </w:tblCellMar>
        </w:tblPrEx>
        <w:trPr>
          <w:trHeight w:val="330" w:hRule="atLeast"/>
        </w:trPr>
        <w:tc>
          <w:tcPr>
            <w:tcW w:w="727" w:type="dxa"/>
            <w:gridSpan w:val="2"/>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391" w:type="dxa"/>
            <w:gridSpan w:val="7"/>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项目名称</w:t>
            </w:r>
          </w:p>
        </w:tc>
        <w:tc>
          <w:tcPr>
            <w:tcW w:w="2834" w:type="dxa"/>
            <w:gridSpan w:val="8"/>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计算基础</w:t>
            </w:r>
          </w:p>
        </w:tc>
        <w:tc>
          <w:tcPr>
            <w:tcW w:w="1320" w:type="dxa"/>
            <w:gridSpan w:val="6"/>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计算基数</w:t>
            </w:r>
          </w:p>
        </w:tc>
        <w:tc>
          <w:tcPr>
            <w:tcW w:w="959" w:type="dxa"/>
            <w:gridSpan w:val="3"/>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费率(%)</w:t>
            </w:r>
          </w:p>
        </w:tc>
        <w:tc>
          <w:tcPr>
            <w:tcW w:w="1354" w:type="dxa"/>
            <w:gridSpan w:val="2"/>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金额（元）</w:t>
            </w: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规费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养老保险费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失业保险费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0.5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医疗保险费和生育保险费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工伤保险费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定额人工费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工程排污费</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按实际发生额计算</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510"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税金</w:t>
            </w: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分部分项工程量清单项目费+措施项目费+其他项目费+规费</w:t>
            </w: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727" w:type="dxa"/>
            <w:gridSpan w:val="2"/>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3391" w:type="dxa"/>
            <w:gridSpan w:val="7"/>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2834" w:type="dxa"/>
            <w:gridSpan w:val="8"/>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cs="宋体"/>
                <w:color w:val="000000"/>
                <w:sz w:val="18"/>
                <w:szCs w:val="18"/>
              </w:rPr>
            </w:pPr>
          </w:p>
        </w:tc>
        <w:tc>
          <w:tcPr>
            <w:tcW w:w="1320" w:type="dxa"/>
            <w:gridSpan w:val="6"/>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c>
          <w:tcPr>
            <w:tcW w:w="959" w:type="dxa"/>
            <w:gridSpan w:val="3"/>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cs="宋体"/>
                <w:color w:val="000000"/>
                <w:sz w:val="18"/>
                <w:szCs w:val="18"/>
              </w:rPr>
            </w:pPr>
          </w:p>
        </w:tc>
        <w:tc>
          <w:tcPr>
            <w:tcW w:w="1354" w:type="dxa"/>
            <w:gridSpan w:val="2"/>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390" w:hRule="atLeast"/>
        </w:trPr>
        <w:tc>
          <w:tcPr>
            <w:tcW w:w="9231" w:type="dxa"/>
            <w:gridSpan w:val="26"/>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54" w:type="dxa"/>
            <w:gridSpan w:val="2"/>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cs="宋体"/>
                <w:color w:val="000000"/>
                <w:sz w:val="18"/>
                <w:szCs w:val="18"/>
              </w:rPr>
            </w:pP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编制人（造价人员）：</w:t>
            </w: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复核人（造价工程师）：</w:t>
            </w:r>
          </w:p>
        </w:tc>
      </w:tr>
      <w:tr>
        <w:tblPrEx>
          <w:tblCellMar>
            <w:top w:w="0" w:type="dxa"/>
            <w:left w:w="0" w:type="dxa"/>
            <w:bottom w:w="0" w:type="dxa"/>
            <w:right w:w="0" w:type="dxa"/>
          </w:tblCellMar>
        </w:tblPrEx>
        <w:trPr>
          <w:trHeight w:val="285" w:hRule="atLeast"/>
        </w:trPr>
        <w:tc>
          <w:tcPr>
            <w:tcW w:w="3952" w:type="dxa"/>
            <w:gridSpan w:val="7"/>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494" w:type="dxa"/>
            <w:gridSpan w:val="12"/>
            <w:tcBorders>
              <w:top w:val="nil"/>
              <w:left w:val="nil"/>
              <w:bottom w:val="nil"/>
              <w:right w:val="nil"/>
            </w:tcBorders>
            <w:shd w:val="clear" w:color="FFFFFF" w:fill="FFFFFF"/>
            <w:tcMar>
              <w:top w:w="15" w:type="dxa"/>
              <w:left w:w="15" w:type="dxa"/>
              <w:right w:w="15" w:type="dxa"/>
            </w:tcMar>
            <w:vAlign w:val="bottom"/>
          </w:tcPr>
          <w:p>
            <w:pPr>
              <w:jc w:val="left"/>
              <w:rPr>
                <w:rFonts w:ascii="宋体" w:hAnsi="宋体" w:cs="宋体"/>
                <w:color w:val="000000"/>
                <w:sz w:val="18"/>
                <w:szCs w:val="18"/>
              </w:rPr>
            </w:pPr>
          </w:p>
        </w:tc>
        <w:tc>
          <w:tcPr>
            <w:tcW w:w="3139" w:type="dxa"/>
            <w:gridSpan w:val="9"/>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表-13</w:t>
            </w:r>
          </w:p>
        </w:tc>
      </w:tr>
    </w:tbl>
    <w:p>
      <w:pPr>
        <w:widowControl/>
        <w:spacing w:line="360" w:lineRule="auto"/>
        <w:jc w:val="left"/>
        <w:rPr>
          <w:rFonts w:ascii="宋体" w:hAnsi="宋体" w:cs="宋体"/>
          <w:sz w:val="24"/>
        </w:rPr>
      </w:pPr>
    </w:p>
    <w:sectPr>
      <w:pgSz w:w="11906" w:h="16838"/>
      <w:pgMar w:top="833"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TimesNewRomanPSMT">
    <w:altName w:val="宋体"/>
    <w:panose1 w:val="00000000000000000000"/>
    <w:charset w:val="00"/>
    <w:family w:val="roman"/>
    <w:pitch w:val="default"/>
    <w:sig w:usb0="00000000" w:usb1="00000000" w:usb2="0000001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sz w:val="20"/>
        <w:szCs w:val="10"/>
      </w:rPr>
    </w:pPr>
    <w:r>
      <w:rPr>
        <w:sz w:val="10"/>
        <w:szCs w:val="10"/>
      </w:rPr>
      <w:fldChar w:fldCharType="begin"/>
    </w:r>
    <w:r>
      <w:rPr>
        <w:rStyle w:val="43"/>
        <w:sz w:val="20"/>
        <w:szCs w:val="10"/>
      </w:rPr>
      <w:instrText xml:space="preserve">PAGE  </w:instrText>
    </w:r>
    <w:r>
      <w:rPr>
        <w:sz w:val="10"/>
        <w:szCs w:val="10"/>
      </w:rPr>
      <w:fldChar w:fldCharType="separate"/>
    </w:r>
    <w:r>
      <w:rPr>
        <w:rStyle w:val="43"/>
        <w:sz w:val="20"/>
        <w:szCs w:val="10"/>
      </w:rPr>
      <w:t>- 6 -</w:t>
    </w:r>
    <w:r>
      <w:rPr>
        <w:sz w:val="10"/>
        <w:szCs w:val="10"/>
      </w:rPr>
      <w:fldChar w:fldCharType="end"/>
    </w:r>
  </w:p>
  <w:p>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end"/>
    </w:r>
  </w:p>
  <w:p>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both"/>
      <w:rPr>
        <w:rFonts w:ascii="仿宋_GB2312" w:hAnsi="宋体" w:eastAsia="仿宋_GB2312"/>
        <w:color w:val="000000"/>
        <w:w w:val="90"/>
        <w:sz w:val="16"/>
        <w:szCs w:val="3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16E84"/>
    <w:multiLevelType w:val="singleLevel"/>
    <w:tmpl w:val="59F16E8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617E"/>
    <w:rsid w:val="00007F23"/>
    <w:rsid w:val="00012B0E"/>
    <w:rsid w:val="000141C7"/>
    <w:rsid w:val="00023F26"/>
    <w:rsid w:val="0003066E"/>
    <w:rsid w:val="0003070C"/>
    <w:rsid w:val="0003383F"/>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0607A"/>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11131"/>
    <w:rsid w:val="0032266D"/>
    <w:rsid w:val="00330D39"/>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C37"/>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A4F05"/>
    <w:rsid w:val="009B091E"/>
    <w:rsid w:val="009B17B3"/>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0FF7"/>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4AF629B"/>
    <w:rsid w:val="04F02467"/>
    <w:rsid w:val="05162131"/>
    <w:rsid w:val="058F3831"/>
    <w:rsid w:val="05987024"/>
    <w:rsid w:val="05A82ADB"/>
    <w:rsid w:val="05D503B4"/>
    <w:rsid w:val="060D23A6"/>
    <w:rsid w:val="06345930"/>
    <w:rsid w:val="06557B64"/>
    <w:rsid w:val="06CB7731"/>
    <w:rsid w:val="07092BFF"/>
    <w:rsid w:val="07877B7D"/>
    <w:rsid w:val="07D62D6A"/>
    <w:rsid w:val="08985B64"/>
    <w:rsid w:val="094C6F53"/>
    <w:rsid w:val="09D36626"/>
    <w:rsid w:val="09E71AD4"/>
    <w:rsid w:val="09E7288C"/>
    <w:rsid w:val="09E821B4"/>
    <w:rsid w:val="09F7727F"/>
    <w:rsid w:val="0AC245AE"/>
    <w:rsid w:val="0B1C701D"/>
    <w:rsid w:val="0B7B1FE3"/>
    <w:rsid w:val="0BB422D9"/>
    <w:rsid w:val="0BED34D8"/>
    <w:rsid w:val="0C3C0B52"/>
    <w:rsid w:val="0C766864"/>
    <w:rsid w:val="0C8C01F2"/>
    <w:rsid w:val="0C9662F5"/>
    <w:rsid w:val="0CE85DBD"/>
    <w:rsid w:val="0D612AD9"/>
    <w:rsid w:val="0D6C7B3A"/>
    <w:rsid w:val="0E452D3C"/>
    <w:rsid w:val="0E707E3E"/>
    <w:rsid w:val="0F052AE3"/>
    <w:rsid w:val="0F0C126F"/>
    <w:rsid w:val="0FB0301B"/>
    <w:rsid w:val="101C24AE"/>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682B70"/>
    <w:rsid w:val="18A42D5E"/>
    <w:rsid w:val="18C83DEA"/>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085291"/>
    <w:rsid w:val="24A729F0"/>
    <w:rsid w:val="250B6200"/>
    <w:rsid w:val="25585D87"/>
    <w:rsid w:val="25DC6CC3"/>
    <w:rsid w:val="265B5D89"/>
    <w:rsid w:val="265F424F"/>
    <w:rsid w:val="26676952"/>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622F3D"/>
    <w:rsid w:val="3AB62A61"/>
    <w:rsid w:val="3B0C1D91"/>
    <w:rsid w:val="3C2D4838"/>
    <w:rsid w:val="3CEC58DB"/>
    <w:rsid w:val="3D2F4453"/>
    <w:rsid w:val="3D9B4FD2"/>
    <w:rsid w:val="3DA33452"/>
    <w:rsid w:val="3DF104ED"/>
    <w:rsid w:val="3DF867C8"/>
    <w:rsid w:val="3E454152"/>
    <w:rsid w:val="3E8F03D5"/>
    <w:rsid w:val="3EC37ECD"/>
    <w:rsid w:val="3EE74BC3"/>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F27B3"/>
    <w:rsid w:val="4696022F"/>
    <w:rsid w:val="46A04666"/>
    <w:rsid w:val="46A66CE2"/>
    <w:rsid w:val="47422270"/>
    <w:rsid w:val="479C2A5F"/>
    <w:rsid w:val="47A05E97"/>
    <w:rsid w:val="47F6726A"/>
    <w:rsid w:val="47F901CF"/>
    <w:rsid w:val="48AE68D8"/>
    <w:rsid w:val="48EA240C"/>
    <w:rsid w:val="490941E6"/>
    <w:rsid w:val="490F3F81"/>
    <w:rsid w:val="498F5123"/>
    <w:rsid w:val="49CE6ACB"/>
    <w:rsid w:val="4B3931BD"/>
    <w:rsid w:val="4B752B49"/>
    <w:rsid w:val="4B80422D"/>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BB2A21"/>
    <w:rsid w:val="56E4776C"/>
    <w:rsid w:val="56F76A2D"/>
    <w:rsid w:val="5756251C"/>
    <w:rsid w:val="576B120E"/>
    <w:rsid w:val="58057B5E"/>
    <w:rsid w:val="590F73E9"/>
    <w:rsid w:val="598B61EA"/>
    <w:rsid w:val="59C847C9"/>
    <w:rsid w:val="5A6B02C7"/>
    <w:rsid w:val="5AA70E5F"/>
    <w:rsid w:val="5B507A5E"/>
    <w:rsid w:val="5B572992"/>
    <w:rsid w:val="5BD1165A"/>
    <w:rsid w:val="5BFE7DCC"/>
    <w:rsid w:val="5C051520"/>
    <w:rsid w:val="5C4435FC"/>
    <w:rsid w:val="5C916CD2"/>
    <w:rsid w:val="5D081C47"/>
    <w:rsid w:val="5D4267C2"/>
    <w:rsid w:val="5D500EFE"/>
    <w:rsid w:val="5E61583E"/>
    <w:rsid w:val="5EDD152E"/>
    <w:rsid w:val="5F071427"/>
    <w:rsid w:val="5F6A4F05"/>
    <w:rsid w:val="5FD91D83"/>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5AD01B1"/>
    <w:rsid w:val="6677532D"/>
    <w:rsid w:val="667B0C13"/>
    <w:rsid w:val="66BB1F57"/>
    <w:rsid w:val="66D81773"/>
    <w:rsid w:val="671748BB"/>
    <w:rsid w:val="67392E78"/>
    <w:rsid w:val="67613F2C"/>
    <w:rsid w:val="67C434AB"/>
    <w:rsid w:val="684B3EE9"/>
    <w:rsid w:val="68705336"/>
    <w:rsid w:val="691167C5"/>
    <w:rsid w:val="69540FE3"/>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884D74"/>
    <w:rsid w:val="6EBC09CC"/>
    <w:rsid w:val="6FCB1A1B"/>
    <w:rsid w:val="6FEF55B8"/>
    <w:rsid w:val="707F4A28"/>
    <w:rsid w:val="70950E7B"/>
    <w:rsid w:val="717B51BA"/>
    <w:rsid w:val="72066738"/>
    <w:rsid w:val="721D729A"/>
    <w:rsid w:val="726705EF"/>
    <w:rsid w:val="72885FC1"/>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C325A59"/>
    <w:rsid w:val="7C5B4A21"/>
    <w:rsid w:val="7CE92645"/>
    <w:rsid w:val="7D3E6830"/>
    <w:rsid w:val="7D4F5D84"/>
    <w:rsid w:val="7D7A03FC"/>
    <w:rsid w:val="7D920252"/>
    <w:rsid w:val="7DA03686"/>
    <w:rsid w:val="7DBF45D3"/>
    <w:rsid w:val="7DEF6701"/>
    <w:rsid w:val="7E176FA1"/>
    <w:rsid w:val="7E382812"/>
    <w:rsid w:val="7EA87112"/>
    <w:rsid w:val="7F851226"/>
    <w:rsid w:val="7F945B3C"/>
    <w:rsid w:val="7FA61F39"/>
    <w:rsid w:val="7FBB2FAA"/>
    <w:rsid w:val="7FF165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name="table of authorities"/>
    <w:lsdException w:uiPriority="0" w:name="macro"/>
    <w:lsdException w:unhideWhenUsed="0" w:uiPriority="0" w:semiHidden="0" w:name="toa heading"/>
    <w:lsdException w:qFormat="1" w:unhideWhenUsed="0" w:uiPriority="0" w:semiHidden="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89"/>
    <w:qFormat/>
    <w:uiPriority w:val="0"/>
    <w:pPr>
      <w:keepNext/>
      <w:keepLines/>
      <w:spacing w:before="260" w:after="260" w:line="416" w:lineRule="auto"/>
      <w:outlineLvl w:val="2"/>
    </w:pPr>
    <w:rPr>
      <w:b/>
      <w:bCs/>
      <w:sz w:val="32"/>
      <w:szCs w:val="32"/>
    </w:rPr>
  </w:style>
  <w:style w:type="paragraph" w:styleId="5">
    <w:name w:val="heading 4"/>
    <w:basedOn w:val="1"/>
    <w:next w:val="1"/>
    <w:link w:val="8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56"/>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5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semiHidden/>
    <w:qFormat/>
    <w:uiPriority w:val="0"/>
    <w:pPr>
      <w:ind w:left="420" w:leftChars="200"/>
    </w:pPr>
    <w:rPr>
      <w:sz w:val="28"/>
      <w:szCs w:val="20"/>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3"/>
    <w:qFormat/>
    <w:uiPriority w:val="0"/>
    <w:pPr>
      <w:shd w:val="clear" w:color="auto" w:fill="000080"/>
    </w:pPr>
    <w:rPr>
      <w:kern w:val="0"/>
      <w:sz w:val="20"/>
      <w:shd w:val="clear" w:color="auto" w:fill="000080"/>
    </w:rPr>
  </w:style>
  <w:style w:type="paragraph" w:styleId="15">
    <w:name w:val="annotation text"/>
    <w:basedOn w:val="1"/>
    <w:link w:val="84"/>
    <w:qFormat/>
    <w:uiPriority w:val="0"/>
    <w:pPr>
      <w:adjustRightInd w:val="0"/>
      <w:spacing w:line="360" w:lineRule="atLeast"/>
      <w:jc w:val="left"/>
      <w:textAlignment w:val="baseline"/>
    </w:pPr>
    <w:rPr>
      <w:kern w:val="0"/>
      <w:sz w:val="24"/>
      <w:szCs w:val="20"/>
    </w:rPr>
  </w:style>
  <w:style w:type="paragraph" w:styleId="16">
    <w:name w:val="Body Text 3"/>
    <w:basedOn w:val="1"/>
    <w:qFormat/>
    <w:uiPriority w:val="0"/>
    <w:pPr>
      <w:spacing w:after="120"/>
    </w:pPr>
    <w:rPr>
      <w:sz w:val="16"/>
      <w:szCs w:val="16"/>
    </w:rPr>
  </w:style>
  <w:style w:type="paragraph" w:styleId="17">
    <w:name w:val="Body Text"/>
    <w:basedOn w:val="1"/>
    <w:link w:val="53"/>
    <w:qFormat/>
    <w:uiPriority w:val="0"/>
    <w:rPr>
      <w:rFonts w:eastAsia="黑体"/>
      <w:sz w:val="36"/>
    </w:rPr>
  </w:style>
  <w:style w:type="paragraph" w:styleId="18">
    <w:name w:val="Body Text Indent"/>
    <w:basedOn w:val="1"/>
    <w:link w:val="64"/>
    <w:qFormat/>
    <w:uiPriority w:val="0"/>
    <w:pPr>
      <w:spacing w:line="360" w:lineRule="auto"/>
      <w:ind w:firstLine="570"/>
    </w:pPr>
    <w:rPr>
      <w:rFonts w:ascii="宋体" w:hAnsi="宋体"/>
      <w:i/>
      <w:iCs/>
      <w:sz w:val="28"/>
      <w:szCs w:val="20"/>
    </w:rPr>
  </w:style>
  <w:style w:type="paragraph" w:styleId="19">
    <w:name w:val="Block Text"/>
    <w:basedOn w:val="1"/>
    <w:qFormat/>
    <w:uiPriority w:val="0"/>
    <w:pPr>
      <w:spacing w:after="120"/>
      <w:ind w:left="1440" w:leftChars="700" w:right="1440" w:rightChars="700"/>
    </w:pPr>
  </w:style>
  <w:style w:type="paragraph" w:styleId="20">
    <w:name w:val="index 4"/>
    <w:basedOn w:val="1"/>
    <w:next w:val="1"/>
    <w:qFormat/>
    <w:uiPriority w:val="0"/>
    <w:pPr>
      <w:ind w:left="600" w:leftChars="600"/>
    </w:pPr>
  </w:style>
  <w:style w:type="paragraph" w:styleId="21">
    <w:name w:val="toc 3"/>
    <w:basedOn w:val="11"/>
    <w:next w:val="1"/>
    <w:semiHidden/>
    <w:qFormat/>
    <w:uiPriority w:val="0"/>
    <w:pPr>
      <w:tabs>
        <w:tab w:val="right" w:leader="dot" w:pos="9060"/>
      </w:tabs>
      <w:spacing w:line="240" w:lineRule="exact"/>
      <w:ind w:left="560"/>
    </w:pPr>
    <w:rPr>
      <w:sz w:val="24"/>
    </w:rPr>
  </w:style>
  <w:style w:type="paragraph" w:styleId="22">
    <w:name w:val="Plain Text"/>
    <w:basedOn w:val="1"/>
    <w:link w:val="74"/>
    <w:qFormat/>
    <w:uiPriority w:val="0"/>
    <w:rPr>
      <w:rFonts w:ascii="宋体" w:hAnsi="Courier New"/>
      <w:szCs w:val="20"/>
    </w:rPr>
  </w:style>
  <w:style w:type="paragraph" w:styleId="23">
    <w:name w:val="Date"/>
    <w:basedOn w:val="1"/>
    <w:next w:val="1"/>
    <w:qFormat/>
    <w:uiPriority w:val="0"/>
    <w:pPr>
      <w:ind w:left="100" w:leftChars="2500"/>
    </w:pPr>
    <w:rPr>
      <w:sz w:val="28"/>
      <w:szCs w:val="20"/>
    </w:rPr>
  </w:style>
  <w:style w:type="paragraph" w:styleId="24">
    <w:name w:val="Body Text Indent 2"/>
    <w:basedOn w:val="1"/>
    <w:qFormat/>
    <w:uiPriority w:val="0"/>
    <w:pPr>
      <w:spacing w:line="360" w:lineRule="auto"/>
      <w:ind w:firstLine="570"/>
    </w:pPr>
    <w:rPr>
      <w:rFonts w:ascii="宋体" w:hAnsi="宋体"/>
      <w:iCs/>
      <w:sz w:val="28"/>
      <w:szCs w:val="20"/>
    </w:rPr>
  </w:style>
  <w:style w:type="paragraph" w:styleId="25">
    <w:name w:val="Balloon Text"/>
    <w:basedOn w:val="1"/>
    <w:link w:val="134"/>
    <w:qFormat/>
    <w:uiPriority w:val="0"/>
    <w:rPr>
      <w:sz w:val="18"/>
      <w:szCs w:val="18"/>
    </w:rPr>
  </w:style>
  <w:style w:type="paragraph" w:styleId="26">
    <w:name w:val="footer"/>
    <w:basedOn w:val="1"/>
    <w:link w:val="92"/>
    <w:qFormat/>
    <w:uiPriority w:val="0"/>
    <w:pPr>
      <w:tabs>
        <w:tab w:val="center" w:pos="4153"/>
        <w:tab w:val="right" w:pos="8306"/>
      </w:tabs>
      <w:snapToGrid w:val="0"/>
      <w:jc w:val="left"/>
    </w:pPr>
    <w:rPr>
      <w:sz w:val="18"/>
      <w:szCs w:val="18"/>
    </w:rPr>
  </w:style>
  <w:style w:type="paragraph" w:styleId="27">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1"/>
    <w:next w:val="11"/>
    <w:qFormat/>
    <w:uiPriority w:val="39"/>
    <w:pPr>
      <w:ind w:left="0" w:leftChars="0"/>
      <w:jc w:val="left"/>
    </w:pPr>
    <w:rPr>
      <w:b/>
    </w:rPr>
  </w:style>
  <w:style w:type="paragraph" w:styleId="29">
    <w:name w:val="index heading"/>
    <w:basedOn w:val="1"/>
    <w:next w:val="30"/>
    <w:semiHidden/>
    <w:qFormat/>
    <w:uiPriority w:val="0"/>
    <w:rPr>
      <w:sz w:val="28"/>
      <w:szCs w:val="20"/>
    </w:rPr>
  </w:style>
  <w:style w:type="paragraph" w:styleId="30">
    <w:name w:val="index 1"/>
    <w:basedOn w:val="1"/>
    <w:next w:val="1"/>
    <w:semiHidden/>
    <w:qFormat/>
    <w:uiPriority w:val="0"/>
    <w:rPr>
      <w:sz w:val="28"/>
      <w:szCs w:val="20"/>
    </w:rPr>
  </w:style>
  <w:style w:type="paragraph" w:styleId="31">
    <w:name w:val="Subtitle"/>
    <w:basedOn w:val="1"/>
    <w:next w:val="1"/>
    <w:link w:val="91"/>
    <w:qFormat/>
    <w:uiPriority w:val="0"/>
    <w:pPr>
      <w:spacing w:before="240" w:after="60" w:line="312" w:lineRule="auto"/>
      <w:jc w:val="center"/>
      <w:outlineLvl w:val="1"/>
    </w:pPr>
    <w:rPr>
      <w:rFonts w:ascii="Cambria" w:hAnsi="Cambria"/>
      <w:b/>
      <w:bCs/>
      <w:kern w:val="28"/>
      <w:sz w:val="32"/>
      <w:szCs w:val="32"/>
    </w:rPr>
  </w:style>
  <w:style w:type="paragraph" w:styleId="32">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3">
    <w:name w:val="Body Text Indent 3"/>
    <w:basedOn w:val="1"/>
    <w:qFormat/>
    <w:uiPriority w:val="0"/>
    <w:pPr>
      <w:spacing w:after="120"/>
      <w:ind w:left="420" w:leftChars="200"/>
    </w:pPr>
    <w:rPr>
      <w:sz w:val="16"/>
      <w:szCs w:val="16"/>
    </w:rPr>
  </w:style>
  <w:style w:type="paragraph" w:styleId="34">
    <w:name w:val="toc 2"/>
    <w:basedOn w:val="1"/>
    <w:next w:val="1"/>
    <w:qFormat/>
    <w:uiPriority w:val="39"/>
    <w:pPr>
      <w:tabs>
        <w:tab w:val="right" w:leader="dot" w:pos="9060"/>
      </w:tabs>
      <w:spacing w:line="300" w:lineRule="exact"/>
    </w:pPr>
    <w:rPr>
      <w:sz w:val="24"/>
      <w:szCs w:val="20"/>
    </w:rPr>
  </w:style>
  <w:style w:type="paragraph" w:styleId="35">
    <w:name w:val="Body Text 2"/>
    <w:basedOn w:val="1"/>
    <w:qFormat/>
    <w:uiPriority w:val="0"/>
    <w:pPr>
      <w:jc w:val="center"/>
    </w:pPr>
    <w:rPr>
      <w:rFonts w:eastAsia="黑体"/>
      <w:bCs/>
      <w:sz w:val="72"/>
    </w:rPr>
  </w:style>
  <w:style w:type="paragraph" w:styleId="3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7">
    <w:name w:val="Title"/>
    <w:basedOn w:val="1"/>
    <w:next w:val="1"/>
    <w:link w:val="82"/>
    <w:qFormat/>
    <w:uiPriority w:val="0"/>
    <w:pPr>
      <w:adjustRightInd w:val="0"/>
      <w:spacing w:before="240" w:after="60" w:line="360" w:lineRule="atLeast"/>
      <w:jc w:val="center"/>
      <w:outlineLvl w:val="0"/>
    </w:pPr>
    <w:rPr>
      <w:rFonts w:ascii="Arial" w:hAnsi="Arial"/>
      <w:b/>
      <w:kern w:val="0"/>
      <w:sz w:val="32"/>
      <w:szCs w:val="20"/>
    </w:rPr>
  </w:style>
  <w:style w:type="paragraph" w:styleId="38">
    <w:name w:val="annotation subject"/>
    <w:basedOn w:val="15"/>
    <w:next w:val="15"/>
    <w:link w:val="68"/>
    <w:qFormat/>
    <w:uiPriority w:val="0"/>
    <w:pPr>
      <w:adjustRightInd/>
      <w:spacing w:line="240" w:lineRule="auto"/>
      <w:textAlignment w:val="auto"/>
    </w:pPr>
    <w:rPr>
      <w:rFonts w:ascii="宋体"/>
      <w:b/>
      <w:bCs/>
      <w:sz w:val="28"/>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basedOn w:val="41"/>
    <w:qFormat/>
    <w:uiPriority w:val="99"/>
    <w:rPr>
      <w:color w:val="800080"/>
      <w:u w:val="single"/>
    </w:rPr>
  </w:style>
  <w:style w:type="character" w:styleId="45">
    <w:name w:val="Emphasis"/>
    <w:qFormat/>
    <w:uiPriority w:val="0"/>
    <w:rPr>
      <w:i/>
      <w:iCs/>
    </w:rPr>
  </w:style>
  <w:style w:type="character" w:styleId="46">
    <w:name w:val="Hyperlink"/>
    <w:basedOn w:val="41"/>
    <w:qFormat/>
    <w:uiPriority w:val="99"/>
    <w:rPr>
      <w:color w:val="0000FF"/>
      <w:u w:val="single"/>
    </w:rPr>
  </w:style>
  <w:style w:type="character" w:styleId="47">
    <w:name w:val="annotation reference"/>
    <w:qFormat/>
    <w:uiPriority w:val="0"/>
    <w:rPr>
      <w:rFonts w:cs="Times New Roman"/>
      <w:sz w:val="21"/>
      <w:szCs w:val="21"/>
    </w:rPr>
  </w:style>
  <w:style w:type="paragraph" w:customStyle="1" w:styleId="48">
    <w:name w:val="Char"/>
    <w:basedOn w:val="1"/>
    <w:qFormat/>
    <w:uiPriority w:val="0"/>
    <w:pPr>
      <w:spacing w:line="360" w:lineRule="auto"/>
    </w:pPr>
    <w:rPr>
      <w:rFonts w:eastAsia="仿宋_GB2312"/>
      <w:sz w:val="30"/>
    </w:rPr>
  </w:style>
  <w:style w:type="character" w:customStyle="1" w:styleId="49">
    <w:name w:val="标题 1 Char"/>
    <w:link w:val="2"/>
    <w:qFormat/>
    <w:uiPriority w:val="0"/>
    <w:rPr>
      <w:rFonts w:eastAsia="宋体"/>
      <w:b/>
      <w:bCs/>
      <w:kern w:val="44"/>
      <w:sz w:val="44"/>
      <w:szCs w:val="44"/>
      <w:lang w:val="en-US" w:eastAsia="zh-CN" w:bidi="ar-SA"/>
    </w:rPr>
  </w:style>
  <w:style w:type="character" w:customStyle="1" w:styleId="50">
    <w:name w:val="标题 9 Char"/>
    <w:link w:val="10"/>
    <w:qFormat/>
    <w:uiPriority w:val="0"/>
    <w:rPr>
      <w:rFonts w:ascii="Arial" w:hAnsi="Arial" w:eastAsia="黑体"/>
      <w:sz w:val="21"/>
      <w:lang w:val="en-US" w:eastAsia="zh-CN" w:bidi="ar-SA"/>
    </w:rPr>
  </w:style>
  <w:style w:type="character" w:customStyle="1" w:styleId="51">
    <w:name w:val="标题 2 Char1"/>
    <w:link w:val="3"/>
    <w:qFormat/>
    <w:uiPriority w:val="0"/>
    <w:rPr>
      <w:rFonts w:ascii="Arial" w:hAnsi="Arial" w:eastAsia="黑体"/>
      <w:b/>
      <w:bCs/>
      <w:kern w:val="2"/>
      <w:sz w:val="32"/>
      <w:szCs w:val="32"/>
      <w:lang w:val="en-US" w:eastAsia="zh-CN" w:bidi="ar-SA"/>
    </w:rPr>
  </w:style>
  <w:style w:type="character" w:customStyle="1" w:styleId="52">
    <w:name w:val="批注框文本 Char1"/>
    <w:qFormat/>
    <w:uiPriority w:val="0"/>
    <w:rPr>
      <w:kern w:val="2"/>
      <w:sz w:val="18"/>
      <w:szCs w:val="18"/>
    </w:rPr>
  </w:style>
  <w:style w:type="character" w:customStyle="1" w:styleId="53">
    <w:name w:val="正文文本 Char"/>
    <w:link w:val="17"/>
    <w:qFormat/>
    <w:uiPriority w:val="0"/>
    <w:rPr>
      <w:rFonts w:eastAsia="黑体"/>
      <w:kern w:val="2"/>
      <w:sz w:val="36"/>
      <w:szCs w:val="24"/>
      <w:lang w:val="en-US" w:eastAsia="zh-CN" w:bidi="ar-SA"/>
    </w:rPr>
  </w:style>
  <w:style w:type="character" w:customStyle="1" w:styleId="54">
    <w:name w:val="明显强调1"/>
    <w:qFormat/>
    <w:uiPriority w:val="0"/>
    <w:rPr>
      <w:b/>
      <w:bCs/>
      <w:i/>
      <w:iCs/>
      <w:color w:val="4F81BD"/>
    </w:rPr>
  </w:style>
  <w:style w:type="character" w:customStyle="1" w:styleId="55">
    <w:name w:val="标题 5 Char"/>
    <w:link w:val="6"/>
    <w:qFormat/>
    <w:uiPriority w:val="0"/>
    <w:rPr>
      <w:rFonts w:eastAsia="宋体"/>
      <w:b/>
      <w:sz w:val="28"/>
      <w:lang w:val="en-US" w:eastAsia="zh-CN" w:bidi="ar-SA"/>
    </w:rPr>
  </w:style>
  <w:style w:type="character" w:customStyle="1" w:styleId="56">
    <w:name w:val="标题 7 Char"/>
    <w:link w:val="8"/>
    <w:qFormat/>
    <w:uiPriority w:val="0"/>
    <w:rPr>
      <w:rFonts w:eastAsia="宋体"/>
      <w:b/>
      <w:sz w:val="24"/>
      <w:lang w:val="en-US" w:eastAsia="zh-CN" w:bidi="ar-SA"/>
    </w:rPr>
  </w:style>
  <w:style w:type="character" w:customStyle="1" w:styleId="57">
    <w:name w:val="标题5 Char Char"/>
    <w:link w:val="58"/>
    <w:qFormat/>
    <w:uiPriority w:val="0"/>
    <w:rPr>
      <w:rFonts w:ascii="Arial" w:hAnsi="Arial"/>
      <w:b/>
      <w:bCs/>
      <w:sz w:val="24"/>
      <w:szCs w:val="32"/>
      <w:lang w:bidi="ar-SA"/>
    </w:rPr>
  </w:style>
  <w:style w:type="paragraph" w:customStyle="1" w:styleId="58">
    <w:name w:val="标题5"/>
    <w:basedOn w:val="4"/>
    <w:link w:val="57"/>
    <w:qFormat/>
    <w:uiPriority w:val="0"/>
    <w:pPr>
      <w:spacing w:line="413" w:lineRule="auto"/>
    </w:pPr>
    <w:rPr>
      <w:rFonts w:ascii="Arial" w:hAnsi="Arial"/>
      <w:kern w:val="0"/>
      <w:sz w:val="24"/>
    </w:rPr>
  </w:style>
  <w:style w:type="character" w:customStyle="1" w:styleId="59">
    <w:name w:val="页眉 Char"/>
    <w:link w:val="27"/>
    <w:qFormat/>
    <w:uiPriority w:val="0"/>
    <w:rPr>
      <w:rFonts w:eastAsia="宋体"/>
      <w:kern w:val="2"/>
      <w:sz w:val="18"/>
      <w:szCs w:val="18"/>
      <w:lang w:val="en-US" w:eastAsia="zh-CN" w:bidi="ar-SA"/>
    </w:rPr>
  </w:style>
  <w:style w:type="character" w:customStyle="1" w:styleId="60">
    <w:name w:val="批注主题 Char1"/>
    <w:qFormat/>
    <w:uiPriority w:val="0"/>
    <w:rPr>
      <w:b/>
      <w:bCs/>
      <w:kern w:val="2"/>
      <w:sz w:val="21"/>
      <w:szCs w:val="22"/>
    </w:rPr>
  </w:style>
  <w:style w:type="character" w:customStyle="1" w:styleId="61">
    <w:name w:val="apple-converted-space"/>
    <w:basedOn w:val="41"/>
    <w:qFormat/>
    <w:uiPriority w:val="0"/>
  </w:style>
  <w:style w:type="character" w:customStyle="1" w:styleId="62">
    <w:name w:val="font161"/>
    <w:basedOn w:val="41"/>
    <w:qFormat/>
    <w:uiPriority w:val="0"/>
    <w:rPr>
      <w:b/>
      <w:bCs/>
      <w:sz w:val="32"/>
      <w:szCs w:val="32"/>
    </w:rPr>
  </w:style>
  <w:style w:type="character" w:customStyle="1" w:styleId="63">
    <w:name w:val="XW正文 Char"/>
    <w:basedOn w:val="64"/>
    <w:link w:val="65"/>
    <w:qFormat/>
    <w:uiPriority w:val="0"/>
    <w:rPr>
      <w:rFonts w:ascii="宋体" w:hAnsi="宋体" w:eastAsia="宋体"/>
      <w:kern w:val="2"/>
      <w:sz w:val="21"/>
      <w:szCs w:val="24"/>
      <w:lang w:val="en-US" w:eastAsia="zh-CN" w:bidi="ar-SA"/>
    </w:rPr>
  </w:style>
  <w:style w:type="character" w:customStyle="1" w:styleId="64">
    <w:name w:val="正文文本缩进 Char"/>
    <w:basedOn w:val="41"/>
    <w:link w:val="18"/>
    <w:qFormat/>
    <w:uiPriority w:val="0"/>
    <w:rPr>
      <w:rFonts w:ascii="宋体" w:hAnsi="宋体" w:eastAsia="宋体"/>
      <w:i/>
      <w:iCs/>
      <w:kern w:val="2"/>
      <w:sz w:val="28"/>
      <w:lang w:val="en-US" w:eastAsia="zh-CN" w:bidi="ar-SA"/>
    </w:rPr>
  </w:style>
  <w:style w:type="paragraph" w:customStyle="1" w:styleId="65">
    <w:name w:val="XW正文"/>
    <w:basedOn w:val="18"/>
    <w:link w:val="63"/>
    <w:qFormat/>
    <w:uiPriority w:val="0"/>
    <w:pPr>
      <w:adjustRightInd w:val="0"/>
      <w:snapToGrid w:val="0"/>
      <w:spacing w:line="300" w:lineRule="auto"/>
      <w:ind w:firstLine="520" w:firstLineChars="200"/>
      <w:jc w:val="left"/>
    </w:pPr>
    <w:rPr>
      <w:rFonts w:ascii="Times New Roman" w:hAnsi="Times New Roman"/>
      <w:i w:val="0"/>
      <w:iCs w:val="0"/>
      <w:kern w:val="0"/>
      <w:sz w:val="21"/>
      <w:szCs w:val="24"/>
    </w:rPr>
  </w:style>
  <w:style w:type="character" w:customStyle="1" w:styleId="66">
    <w:name w:val="textcontents"/>
    <w:qFormat/>
    <w:uiPriority w:val="0"/>
    <w:rPr>
      <w:rFonts w:cs="Times New Roman"/>
    </w:rPr>
  </w:style>
  <w:style w:type="character" w:customStyle="1" w:styleId="67">
    <w:name w:val="正文文本 Char1"/>
    <w:qFormat/>
    <w:uiPriority w:val="0"/>
    <w:rPr>
      <w:kern w:val="2"/>
      <w:sz w:val="21"/>
      <w:szCs w:val="22"/>
    </w:rPr>
  </w:style>
  <w:style w:type="character" w:customStyle="1" w:styleId="68">
    <w:name w:val="批注主题 Char"/>
    <w:link w:val="38"/>
    <w:qFormat/>
    <w:uiPriority w:val="0"/>
    <w:rPr>
      <w:rFonts w:ascii="宋体"/>
      <w:b/>
      <w:bCs/>
      <w:sz w:val="28"/>
      <w:lang w:bidi="ar-SA"/>
    </w:rPr>
  </w:style>
  <w:style w:type="character" w:customStyle="1" w:styleId="69">
    <w:name w:val="标题 6 Char"/>
    <w:link w:val="7"/>
    <w:qFormat/>
    <w:uiPriority w:val="0"/>
    <w:rPr>
      <w:rFonts w:ascii="Arial" w:hAnsi="Arial" w:eastAsia="黑体"/>
      <w:b/>
      <w:sz w:val="24"/>
      <w:lang w:val="en-US" w:eastAsia="zh-CN" w:bidi="ar-SA"/>
    </w:rPr>
  </w:style>
  <w:style w:type="character" w:customStyle="1" w:styleId="70">
    <w:name w:val="引用 字符"/>
    <w:link w:val="71"/>
    <w:qFormat/>
    <w:uiPriority w:val="0"/>
    <w:rPr>
      <w:i/>
      <w:iCs/>
      <w:color w:val="000000"/>
      <w:kern w:val="2"/>
      <w:sz w:val="21"/>
      <w:szCs w:val="22"/>
      <w:lang w:bidi="ar-SA"/>
    </w:rPr>
  </w:style>
  <w:style w:type="paragraph" w:customStyle="1" w:styleId="71">
    <w:name w:val="引用1"/>
    <w:basedOn w:val="1"/>
    <w:next w:val="1"/>
    <w:link w:val="70"/>
    <w:qFormat/>
    <w:uiPriority w:val="0"/>
    <w:rPr>
      <w:i/>
      <w:iCs/>
      <w:color w:val="000000"/>
      <w:szCs w:val="22"/>
    </w:rPr>
  </w:style>
  <w:style w:type="character" w:customStyle="1" w:styleId="72">
    <w:name w:val="样式 粉红"/>
    <w:basedOn w:val="41"/>
    <w:qFormat/>
    <w:uiPriority w:val="0"/>
    <w:rPr>
      <w:color w:val="auto"/>
      <w:u w:val="none"/>
    </w:rPr>
  </w:style>
  <w:style w:type="character" w:customStyle="1" w:styleId="73">
    <w:name w:val="文档结构图 Char"/>
    <w:link w:val="14"/>
    <w:qFormat/>
    <w:uiPriority w:val="0"/>
    <w:rPr>
      <w:szCs w:val="24"/>
      <w:shd w:val="clear" w:color="auto" w:fill="000080"/>
      <w:lang w:bidi="ar-SA"/>
    </w:rPr>
  </w:style>
  <w:style w:type="character" w:customStyle="1" w:styleId="74">
    <w:name w:val="纯文本 Char"/>
    <w:basedOn w:val="41"/>
    <w:link w:val="22"/>
    <w:qFormat/>
    <w:uiPriority w:val="0"/>
    <w:rPr>
      <w:rFonts w:ascii="宋体" w:hAnsi="Courier New" w:eastAsia="宋体"/>
      <w:kern w:val="2"/>
      <w:sz w:val="21"/>
      <w:lang w:val="en-US" w:eastAsia="zh-CN" w:bidi="ar-SA"/>
    </w:rPr>
  </w:style>
  <w:style w:type="character" w:customStyle="1" w:styleId="75">
    <w:name w:val="标题4 Char Char"/>
    <w:link w:val="76"/>
    <w:qFormat/>
    <w:uiPriority w:val="0"/>
    <w:rPr>
      <w:rFonts w:ascii="Arial" w:hAnsi="Arial"/>
      <w:b/>
      <w:bCs/>
      <w:sz w:val="24"/>
      <w:szCs w:val="32"/>
      <w:lang w:bidi="ar-SA"/>
    </w:rPr>
  </w:style>
  <w:style w:type="paragraph" w:customStyle="1" w:styleId="76">
    <w:name w:val="标题4"/>
    <w:basedOn w:val="3"/>
    <w:next w:val="20"/>
    <w:link w:val="75"/>
    <w:qFormat/>
    <w:uiPriority w:val="0"/>
    <w:pPr>
      <w:spacing w:line="413" w:lineRule="auto"/>
    </w:pPr>
    <w:rPr>
      <w:rFonts w:eastAsia="宋体"/>
      <w:kern w:val="0"/>
      <w:sz w:val="24"/>
    </w:rPr>
  </w:style>
  <w:style w:type="character" w:customStyle="1" w:styleId="77">
    <w:name w:val="不明显强调1"/>
    <w:qFormat/>
    <w:uiPriority w:val="0"/>
    <w:rPr>
      <w:i/>
      <w:iCs/>
      <w:color w:val="808080"/>
    </w:rPr>
  </w:style>
  <w:style w:type="character" w:customStyle="1" w:styleId="78">
    <w:name w:val="文档结构图 Char1"/>
    <w:qFormat/>
    <w:uiPriority w:val="0"/>
    <w:rPr>
      <w:rFonts w:ascii="宋体"/>
      <w:kern w:val="2"/>
      <w:sz w:val="18"/>
      <w:szCs w:val="18"/>
    </w:rPr>
  </w:style>
  <w:style w:type="character" w:customStyle="1" w:styleId="79">
    <w:name w:val="Char Char"/>
    <w:basedOn w:val="41"/>
    <w:qFormat/>
    <w:uiPriority w:val="0"/>
    <w:rPr>
      <w:rFonts w:ascii="Arial" w:hAnsi="Arial" w:eastAsia="黑体"/>
      <w:b/>
      <w:bCs/>
      <w:kern w:val="2"/>
      <w:sz w:val="32"/>
      <w:szCs w:val="32"/>
      <w:lang w:val="en-US" w:eastAsia="zh-CN" w:bidi="ar-SA"/>
    </w:rPr>
  </w:style>
  <w:style w:type="character" w:customStyle="1" w:styleId="80">
    <w:name w:val="书籍标题1"/>
    <w:qFormat/>
    <w:uiPriority w:val="0"/>
    <w:rPr>
      <w:b/>
      <w:bCs/>
      <w:smallCaps/>
      <w:spacing w:val="5"/>
    </w:rPr>
  </w:style>
  <w:style w:type="character" w:customStyle="1" w:styleId="81">
    <w:name w:val="批注文字 Char Char"/>
    <w:qFormat/>
    <w:uiPriority w:val="0"/>
    <w:rPr>
      <w:rFonts w:ascii="宋体" w:hAnsi="Times New Roman" w:eastAsia="宋体" w:cs="Times New Roman"/>
      <w:sz w:val="28"/>
      <w:szCs w:val="20"/>
    </w:rPr>
  </w:style>
  <w:style w:type="character" w:customStyle="1" w:styleId="82">
    <w:name w:val="标题 Char"/>
    <w:link w:val="37"/>
    <w:qFormat/>
    <w:uiPriority w:val="0"/>
    <w:rPr>
      <w:rFonts w:ascii="Arial" w:hAnsi="Arial" w:eastAsia="宋体"/>
      <w:b/>
      <w:sz w:val="32"/>
      <w:lang w:val="en-US" w:eastAsia="zh-CN" w:bidi="ar-SA"/>
    </w:rPr>
  </w:style>
  <w:style w:type="character" w:customStyle="1" w:styleId="83">
    <w:name w:val="Char Char3"/>
    <w:qFormat/>
    <w:uiPriority w:val="0"/>
    <w:rPr>
      <w:rFonts w:eastAsia="宋体"/>
      <w:kern w:val="2"/>
      <w:sz w:val="18"/>
      <w:szCs w:val="18"/>
      <w:lang w:val="en-US" w:eastAsia="zh-CN" w:bidi="ar-SA"/>
    </w:rPr>
  </w:style>
  <w:style w:type="character" w:customStyle="1" w:styleId="84">
    <w:name w:val="批注文字 Char"/>
    <w:link w:val="15"/>
    <w:qFormat/>
    <w:uiPriority w:val="0"/>
    <w:rPr>
      <w:rFonts w:eastAsia="宋体"/>
      <w:sz w:val="24"/>
      <w:lang w:val="en-US" w:eastAsia="zh-CN" w:bidi="ar-SA"/>
    </w:rPr>
  </w:style>
  <w:style w:type="character" w:customStyle="1" w:styleId="85">
    <w:name w:val="Char Char1"/>
    <w:basedOn w:val="41"/>
    <w:qFormat/>
    <w:uiPriority w:val="0"/>
    <w:rPr>
      <w:rFonts w:eastAsia="宋体"/>
      <w:kern w:val="2"/>
      <w:sz w:val="24"/>
      <w:lang w:val="en-US" w:eastAsia="zh-CN" w:bidi="ar-SA"/>
    </w:rPr>
  </w:style>
  <w:style w:type="character" w:customStyle="1" w:styleId="86">
    <w:name w:val="明显参考1"/>
    <w:qFormat/>
    <w:uiPriority w:val="0"/>
    <w:rPr>
      <w:b/>
      <w:bCs/>
      <w:smallCaps/>
      <w:color w:val="C0504D"/>
      <w:spacing w:val="5"/>
      <w:u w:val="single"/>
    </w:rPr>
  </w:style>
  <w:style w:type="character" w:customStyle="1" w:styleId="87">
    <w:name w:val="标题 3 Char"/>
    <w:basedOn w:val="41"/>
    <w:qFormat/>
    <w:uiPriority w:val="0"/>
    <w:rPr>
      <w:rFonts w:eastAsia="宋体"/>
      <w:b/>
      <w:bCs/>
      <w:kern w:val="2"/>
      <w:sz w:val="32"/>
      <w:szCs w:val="32"/>
      <w:lang w:val="en-US" w:eastAsia="zh-CN" w:bidi="ar-SA"/>
    </w:rPr>
  </w:style>
  <w:style w:type="character" w:customStyle="1" w:styleId="88">
    <w:name w:val="标题 4 Char"/>
    <w:link w:val="5"/>
    <w:qFormat/>
    <w:uiPriority w:val="0"/>
    <w:rPr>
      <w:rFonts w:ascii="Arial" w:hAnsi="Arial" w:eastAsia="黑体"/>
      <w:b/>
      <w:sz w:val="28"/>
      <w:lang w:val="en-US" w:eastAsia="zh-CN" w:bidi="ar-SA"/>
    </w:rPr>
  </w:style>
  <w:style w:type="character" w:customStyle="1" w:styleId="89">
    <w:name w:val="标题 3 Char1"/>
    <w:link w:val="4"/>
    <w:qFormat/>
    <w:uiPriority w:val="0"/>
    <w:rPr>
      <w:rFonts w:eastAsia="宋体"/>
      <w:b/>
      <w:bCs/>
      <w:kern w:val="2"/>
      <w:sz w:val="32"/>
      <w:szCs w:val="32"/>
      <w:lang w:val="en-US" w:eastAsia="zh-CN" w:bidi="ar-SA"/>
    </w:rPr>
  </w:style>
  <w:style w:type="character" w:customStyle="1" w:styleId="90">
    <w:name w:val="日期 Char1"/>
    <w:qFormat/>
    <w:uiPriority w:val="0"/>
    <w:rPr>
      <w:kern w:val="2"/>
      <w:sz w:val="21"/>
      <w:szCs w:val="22"/>
    </w:rPr>
  </w:style>
  <w:style w:type="character" w:customStyle="1" w:styleId="91">
    <w:name w:val="副标题 Char"/>
    <w:link w:val="31"/>
    <w:qFormat/>
    <w:uiPriority w:val="0"/>
    <w:rPr>
      <w:rFonts w:ascii="Cambria" w:hAnsi="Cambria"/>
      <w:b/>
      <w:bCs/>
      <w:kern w:val="28"/>
      <w:sz w:val="32"/>
      <w:szCs w:val="32"/>
      <w:lang w:bidi="ar-SA"/>
    </w:rPr>
  </w:style>
  <w:style w:type="character" w:customStyle="1" w:styleId="92">
    <w:name w:val="页脚 Char"/>
    <w:link w:val="26"/>
    <w:qFormat/>
    <w:uiPriority w:val="0"/>
    <w:rPr>
      <w:rFonts w:eastAsia="宋体"/>
      <w:kern w:val="2"/>
      <w:sz w:val="18"/>
      <w:szCs w:val="18"/>
      <w:lang w:val="en-US" w:eastAsia="zh-CN" w:bidi="ar-SA"/>
    </w:rPr>
  </w:style>
  <w:style w:type="character" w:customStyle="1" w:styleId="93">
    <w:name w:val="标题 2 Char"/>
    <w:basedOn w:val="41"/>
    <w:qFormat/>
    <w:uiPriority w:val="0"/>
    <w:rPr>
      <w:rFonts w:ascii="Arial" w:hAnsi="Arial" w:eastAsia="黑体"/>
      <w:b/>
      <w:bCs/>
      <w:kern w:val="2"/>
      <w:sz w:val="32"/>
      <w:szCs w:val="32"/>
      <w:lang w:val="en-US" w:eastAsia="zh-CN" w:bidi="ar-SA"/>
    </w:rPr>
  </w:style>
  <w:style w:type="character" w:customStyle="1" w:styleId="94">
    <w:name w:val="明显引用 字符"/>
    <w:link w:val="95"/>
    <w:qFormat/>
    <w:uiPriority w:val="0"/>
    <w:rPr>
      <w:b/>
      <w:bCs/>
      <w:i/>
      <w:iCs/>
      <w:color w:val="4F81BD"/>
      <w:kern w:val="2"/>
      <w:sz w:val="21"/>
      <w:szCs w:val="22"/>
      <w:lang w:bidi="ar-SA"/>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不明显参考1"/>
    <w:qFormat/>
    <w:uiPriority w:val="0"/>
    <w:rPr>
      <w:smallCaps/>
      <w:color w:val="C0504D"/>
      <w:u w:val="single"/>
    </w:rPr>
  </w:style>
  <w:style w:type="paragraph" w:customStyle="1" w:styleId="9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98">
    <w:name w:val="默认段落字体 Para Char"/>
    <w:basedOn w:val="1"/>
    <w:qFormat/>
    <w:uiPriority w:val="0"/>
    <w:pPr>
      <w:spacing w:line="360" w:lineRule="auto"/>
      <w:ind w:firstLine="200" w:firstLineChars="200"/>
    </w:pPr>
    <w:rPr>
      <w:rFonts w:ascii="宋体" w:hAnsi="宋体" w:cs="宋体"/>
      <w:sz w:val="24"/>
    </w:rPr>
  </w:style>
  <w:style w:type="paragraph" w:customStyle="1" w:styleId="9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00">
    <w:name w:val="金安桥正文"/>
    <w:basedOn w:val="18"/>
    <w:qFormat/>
    <w:uiPriority w:val="0"/>
    <w:pPr>
      <w:adjustRightInd w:val="0"/>
      <w:spacing w:line="300" w:lineRule="auto"/>
      <w:ind w:firstLine="200" w:firstLineChars="200"/>
      <w:jc w:val="left"/>
    </w:pPr>
    <w:rPr>
      <w:rFonts w:ascii="Times New Roman" w:hAnsi="Times New Roman"/>
      <w:i w:val="0"/>
      <w:iCs w:val="0"/>
      <w:kern w:val="0"/>
      <w:sz w:val="24"/>
    </w:rPr>
  </w:style>
  <w:style w:type="paragraph" w:customStyle="1" w:styleId="10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02">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1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05">
    <w:name w:val="Char2"/>
    <w:basedOn w:val="1"/>
    <w:qFormat/>
    <w:uiPriority w:val="0"/>
    <w:pPr>
      <w:adjustRightInd w:val="0"/>
      <w:spacing w:line="360" w:lineRule="auto"/>
    </w:pPr>
    <w:rPr>
      <w:kern w:val="0"/>
      <w:sz w:val="24"/>
      <w:szCs w:val="20"/>
    </w:rPr>
  </w:style>
  <w:style w:type="paragraph" w:customStyle="1" w:styleId="106">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107">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8">
    <w:name w:val="TOC 标题1"/>
    <w:basedOn w:val="2"/>
    <w:next w:val="1"/>
    <w:qFormat/>
    <w:uiPriority w:val="0"/>
    <w:pPr>
      <w:spacing w:line="576" w:lineRule="auto"/>
      <w:outlineLvl w:val="9"/>
    </w:pPr>
    <w:rPr>
      <w:rFonts w:ascii="Calibri" w:hAnsi="Calibri"/>
    </w:rPr>
  </w:style>
  <w:style w:type="paragraph" w:customStyle="1" w:styleId="109">
    <w:name w:val="表格文字"/>
    <w:basedOn w:val="1"/>
    <w:qFormat/>
    <w:uiPriority w:val="0"/>
    <w:pPr>
      <w:adjustRightInd w:val="0"/>
      <w:spacing w:line="420" w:lineRule="atLeast"/>
      <w:jc w:val="left"/>
      <w:textAlignment w:val="baseline"/>
    </w:pPr>
    <w:rPr>
      <w:kern w:val="0"/>
      <w:szCs w:val="20"/>
    </w:rPr>
  </w:style>
  <w:style w:type="paragraph" w:customStyle="1" w:styleId="110">
    <w:name w:val="Char1"/>
    <w:basedOn w:val="1"/>
    <w:qFormat/>
    <w:uiPriority w:val="0"/>
    <w:rPr>
      <w:rFonts w:ascii="Tahoma" w:hAnsi="Tahoma"/>
      <w:sz w:val="24"/>
      <w:szCs w:val="20"/>
    </w:rPr>
  </w:style>
  <w:style w:type="paragraph" w:customStyle="1" w:styleId="111">
    <w:name w:val="表格"/>
    <w:basedOn w:val="1"/>
    <w:qFormat/>
    <w:uiPriority w:val="0"/>
    <w:pPr>
      <w:jc w:val="center"/>
      <w:textAlignment w:val="center"/>
    </w:pPr>
    <w:rPr>
      <w:rFonts w:ascii="华文细黑" w:hAnsi="华文细黑"/>
      <w:kern w:val="0"/>
      <w:szCs w:val="20"/>
    </w:rPr>
  </w:style>
  <w:style w:type="paragraph" w:customStyle="1" w:styleId="1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
    <w:name w:val="列出段落1"/>
    <w:basedOn w:val="1"/>
    <w:qFormat/>
    <w:uiPriority w:val="0"/>
    <w:pPr>
      <w:ind w:firstLine="420" w:firstLineChars="200"/>
    </w:pPr>
    <w:rPr>
      <w:rFonts w:ascii="Calibri" w:hAnsi="Calibri"/>
      <w:szCs w:val="22"/>
    </w:rPr>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118">
    <w:name w:val="1"/>
    <w:basedOn w:val="1"/>
    <w:next w:val="1"/>
    <w:qFormat/>
    <w:uiPriority w:val="0"/>
  </w:style>
  <w:style w:type="paragraph" w:customStyle="1" w:styleId="11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0">
    <w:name w:val="Char11"/>
    <w:basedOn w:val="1"/>
    <w:qFormat/>
    <w:uiPriority w:val="0"/>
    <w:rPr>
      <w:rFonts w:ascii="Tahoma" w:hAnsi="Tahoma"/>
      <w:sz w:val="24"/>
      <w:szCs w:val="20"/>
    </w:rPr>
  </w:style>
  <w:style w:type="paragraph" w:customStyle="1" w:styleId="121">
    <w:name w:val="Char3"/>
    <w:basedOn w:val="1"/>
    <w:qFormat/>
    <w:uiPriority w:val="0"/>
    <w:pPr>
      <w:adjustRightInd w:val="0"/>
      <w:spacing w:line="312" w:lineRule="auto"/>
      <w:textAlignment w:val="baseline"/>
    </w:pPr>
    <w:rPr>
      <w:szCs w:val="20"/>
    </w:rPr>
  </w:style>
  <w:style w:type="paragraph" w:customStyle="1" w:styleId="1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3">
    <w:name w:val="Char Char Char Char Char Char Char Char Char Char Char Char Char Char"/>
    <w:basedOn w:val="1"/>
    <w:qFormat/>
    <w:uiPriority w:val="0"/>
    <w:rPr>
      <w:rFonts w:ascii="Tahoma" w:hAnsi="Tahoma"/>
      <w:sz w:val="24"/>
      <w:szCs w:val="20"/>
    </w:rPr>
  </w:style>
  <w:style w:type="paragraph" w:customStyle="1" w:styleId="12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125">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26">
    <w:name w:val="Char21"/>
    <w:basedOn w:val="1"/>
    <w:qFormat/>
    <w:uiPriority w:val="0"/>
    <w:pPr>
      <w:adjustRightInd w:val="0"/>
      <w:spacing w:line="360" w:lineRule="auto"/>
    </w:pPr>
    <w:rPr>
      <w:kern w:val="0"/>
      <w:sz w:val="24"/>
      <w:szCs w:val="20"/>
    </w:rPr>
  </w:style>
  <w:style w:type="paragraph" w:customStyle="1" w:styleId="127">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2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129">
    <w:name w:val="Char Char Char Char Char Char Char Char Char Char Char Char Char Char1"/>
    <w:basedOn w:val="1"/>
    <w:qFormat/>
    <w:uiPriority w:val="0"/>
    <w:rPr>
      <w:rFonts w:ascii="Tahoma" w:hAnsi="Tahoma"/>
      <w:sz w:val="24"/>
      <w:szCs w:val="20"/>
    </w:rPr>
  </w:style>
  <w:style w:type="paragraph" w:customStyle="1" w:styleId="130">
    <w:name w:val="列出段落2"/>
    <w:basedOn w:val="1"/>
    <w:unhideWhenUsed/>
    <w:qFormat/>
    <w:uiPriority w:val="99"/>
    <w:pPr>
      <w:ind w:firstLine="420" w:firstLineChars="200"/>
    </w:pPr>
  </w:style>
  <w:style w:type="paragraph" w:customStyle="1" w:styleId="131">
    <w:name w:val="列出段落3"/>
    <w:basedOn w:val="1"/>
    <w:qFormat/>
    <w:uiPriority w:val="34"/>
    <w:pPr>
      <w:ind w:firstLine="420" w:firstLineChars="200"/>
    </w:pPr>
  </w:style>
  <w:style w:type="paragraph" w:customStyle="1" w:styleId="132">
    <w:name w:val="标题 31"/>
    <w:basedOn w:val="1"/>
    <w:next w:val="1"/>
    <w:qFormat/>
    <w:uiPriority w:val="0"/>
    <w:pPr>
      <w:keepNext/>
      <w:keepLines/>
      <w:spacing w:before="260" w:after="260" w:line="416" w:lineRule="auto"/>
      <w:outlineLvl w:val="2"/>
    </w:pPr>
    <w:rPr>
      <w:rFonts w:ascii="Arial" w:hAnsi="Arial" w:eastAsia="黑体"/>
      <w:b/>
      <w:bCs/>
      <w:kern w:val="0"/>
      <w:sz w:val="30"/>
      <w:szCs w:val="32"/>
    </w:rPr>
  </w:style>
  <w:style w:type="paragraph" w:customStyle="1" w:styleId="133">
    <w:name w:val="_Style 2"/>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34">
    <w:name w:val="批注框文本 Char"/>
    <w:basedOn w:val="41"/>
    <w:link w:val="25"/>
    <w:qFormat/>
    <w:uiPriority w:val="0"/>
    <w:rPr>
      <w:kern w:val="2"/>
      <w:sz w:val="18"/>
      <w:szCs w:val="18"/>
    </w:rPr>
  </w:style>
  <w:style w:type="paragraph" w:customStyle="1" w:styleId="135">
    <w:name w:val="xl64"/>
    <w:basedOn w:val="1"/>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6">
    <w:name w:val="xl65"/>
    <w:basedOn w:val="1"/>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1">
    <w:name w:val="xl7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2">
    <w:name w:val="xl71"/>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3">
    <w:name w:val="xl72"/>
    <w:basedOn w:val="1"/>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4">
    <w:name w:val="xl73"/>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5">
    <w:name w:val="xl74"/>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6">
    <w:name w:val="xl75"/>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7">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8">
    <w:name w:val="xl77"/>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9">
    <w:name w:val="xl78"/>
    <w:basedOn w:val="1"/>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50">
    <w:name w:val="xl79"/>
    <w:basedOn w:val="1"/>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1">
    <w:name w:val="xl80"/>
    <w:basedOn w:val="1"/>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2">
    <w:name w:val="xl81"/>
    <w:basedOn w:val="1"/>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3">
    <w:name w:val="xl82"/>
    <w:basedOn w:val="1"/>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4">
    <w:name w:val="xl83"/>
    <w:basedOn w:val="1"/>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16531</Words>
  <Characters>94229</Characters>
  <Lines>785</Lines>
  <Paragraphs>221</Paragraphs>
  <TotalTime>7</TotalTime>
  <ScaleCrop>false</ScaleCrop>
  <LinksUpToDate>false</LinksUpToDate>
  <CharactersWithSpaces>110539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2021-03-25T08:49:00Z</dcterms:created>
  <dc:creator>user</dc:creator>
  <cp:lastModifiedBy>@朕</cp:lastModifiedBy>
  <cp:lastPrinted>2020-08-21T06:40:00Z</cp:lastPrinted>
  <dcterms:modified xsi:type="dcterms:W3CDTF">2021-03-25T08:53:21Z</dcterms:modified>
  <dc:title>建筑工程招标文件（修改）</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FABE8883506442F1ADCF09C274CA4865</vt:lpwstr>
  </property>
</Properties>
</file>