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96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23"/>
        <w:gridCol w:w="2025"/>
        <w:gridCol w:w="228"/>
        <w:gridCol w:w="249"/>
        <w:gridCol w:w="2519"/>
        <w:gridCol w:w="533"/>
        <w:gridCol w:w="537"/>
        <w:gridCol w:w="64"/>
        <w:gridCol w:w="29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名称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规格型号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单位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数量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MFZ/ABC1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MFZ/ABC2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3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MFZ/ABC3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MFZ/ABC4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65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MFZ/ABC5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6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MFZ/ABC8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38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7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MFZ/ABC50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推车式</w:t>
            </w:r>
            <w:r>
              <w:rPr>
                <w:rStyle w:val="8"/>
                <w:rFonts w:hint="eastAsia" w:ascii="宋体" w:hAnsi="宋体" w:eastAsia="宋体" w:cs="宋体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8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推车式干粉灭火器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MFT/ABC50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22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  <w:lang w:bidi="ar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-20℃～＋55℃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9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手提式干粉灭火器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MF/ABC4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26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  <w:lang w:bidi="ar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-20℃～＋55℃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手提式干粉灭火器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MF/ABC8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262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  <w:lang w:bidi="ar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-20～＋55℃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11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  <w:lang w:bidi="ar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移动式干粉灭火装置</w:t>
            </w:r>
          </w:p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(含卷车、干粉枪等)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YGF500型，干粉量500㎏、工作压力1.7MPa、干粉炮有效喷射强度≥20㎏/s、干粉枪有效喷射强度≥2.5㎏/s、干粉炮射程30～32m、干粉枪射程12～15m、干粉剩余量≤8%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套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6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成套供货，配备防冻、防晒设施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12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二氧化碳灭火器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MT/3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13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二氧化碳灭火器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MT/5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14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二氧化碳灭火器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MT/7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15</w:t>
            </w:r>
          </w:p>
        </w:tc>
        <w:tc>
          <w:tcPr>
            <w:tcW w:w="2025" w:type="dxa"/>
            <w:vAlign w:val="center"/>
          </w:tcPr>
          <w:p>
            <w:pPr>
              <w:jc w:val="both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手提式二氧化碳灭火器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MT7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套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  <w:lang w:bidi="ar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-10℃～＋55℃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16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二氧化碳灭火器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MT/24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  <w:lang w:bidi="ar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17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推车式二氧化碳灭火器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MTT30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  <w:lang w:bidi="ar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-10℃～＋55℃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18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MFZ/ABC1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充装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19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MFZ/ABC2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充装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20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MFZ/ABC3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充装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21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MFZ/ABC4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80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充装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22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MFZ/ABC5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充装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23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MFZ/ABC8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60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充装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24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干粉灭火器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MFZ/ABC50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推车式</w:t>
            </w:r>
            <w:r>
              <w:rPr>
                <w:rStyle w:val="8"/>
                <w:rFonts w:hint="eastAsia" w:ascii="宋体" w:hAnsi="宋体" w:eastAsia="宋体" w:cs="宋体"/>
                <w:sz w:val="18"/>
                <w:szCs w:val="18"/>
                <w:lang w:bidi="ar"/>
              </w:rPr>
              <w:t>充装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25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二氧化碳灭火器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MT/3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38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充装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26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二氧化碳灭火器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MT/5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充装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27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二氧化碳灭火器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MT/7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充装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28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二氧化碳灭火器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MT/24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充装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29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干粉灭火器箱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XMDF3-2长×宽×高：520×220×800mm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30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二氧化碳灭火器箱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XMDK4-2长×宽×高：540×220×1000mm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31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落地式灭火器箱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XMDDD42/GA139-2009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套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66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32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落地式灭火器箱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XMDDD22/GA139-2009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套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13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33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落地式灭火器箱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XMDDD32/GA139-2009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套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67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34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自救式消防软管卷盘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（JPS0.8-19系列 25米）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米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35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正压式空气气瓶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30MPa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30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充装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36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消防砂箱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加厚铁皮、红色、长1×宽0.65×高0.55m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37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砂土箱(含铁铲、砂土)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0.25m³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套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14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38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消防栓阀门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SN65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39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消防栓用阀门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DN100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40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消防水带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16型  20米/卷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100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41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消防水带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8型  20米/卷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</w:rPr>
              <w:t>卷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100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42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消防软管喷嘴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WOG300铜 1/2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Merge w:val="restart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43</w:t>
            </w:r>
          </w:p>
        </w:tc>
        <w:tc>
          <w:tcPr>
            <w:tcW w:w="2025" w:type="dxa"/>
            <w:vMerge w:val="restart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消防桶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红色加厚半圆铁桶(消防桶)高度22cm</w:t>
            </w:r>
          </w:p>
        </w:tc>
        <w:tc>
          <w:tcPr>
            <w:tcW w:w="533" w:type="dxa"/>
            <w:vMerge w:val="restart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Merge w:val="restart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3040" w:type="dxa"/>
            <w:gridSpan w:val="2"/>
            <w:vMerge w:val="restart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vMerge w:val="continue"/>
            <w:vAlign w:val="center"/>
          </w:tcPr>
          <w:p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半圆直径18cm</w:t>
            </w:r>
          </w:p>
        </w:tc>
        <w:tc>
          <w:tcPr>
            <w:tcW w:w="533" w:type="dxa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537" w:type="dxa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3040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44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消防应急灯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额定电压：AC220V  50Hz，应急时间&gt;90分钟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45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室外消火栓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快速调压式地上消火栓（带自排净）SK YS150/65-1.6 公称通径（mm）：DN150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46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室内消火栓箱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长×宽×高：1000×700×240mm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47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地上式消火栓配箱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长×宽×厚：1200×650×240mm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48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防爆型安全出口指示灯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BYY-9/20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49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防爆型安全出口指示灯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BAT51-2X8DBWF2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50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非防爆型安全出口指示灯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M-BLZD-1LR0E I 5WACK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51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非防爆型安全出口指示灯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VS-BLZD-1 1LRE3W-3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52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非防爆型安全出口指示灯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SZ-BLZD-I2LRE2W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53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汽车阻火器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Φ45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54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汽车阻火器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Φ50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55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汽车阻火器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Φ55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56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汽车阻火器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Φ60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57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汽车阻火器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Φ65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58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汽车阻火器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Φ70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59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汽车阻火器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Φ75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60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汽车阻火器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Φ80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61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直流水枪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QZ 19/Φ19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62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直流喷雾水枪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Ф65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3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63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固定式手动消防炮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PS40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64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电动消防炮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PSKD40型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65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消防铁锹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长27cm 宽23cm  总长88cm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把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66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消防炮炮头（手动）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PS20-40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67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消防炮炮头（手动）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PS30-50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68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消防炮座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PS20-40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69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烟雾弹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（消防演练用）橙色  黄色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70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室内消火栓配箱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长×宽×高：650×240×800mm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71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灭火器喷管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通用(推车式干粉灭火器）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72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灭火器喷管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4Kg  (接头 管 喷头一体)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73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灭火器喷管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8Kg  (接头 管 喷头一体)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74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安全出口指示灯（左箭头）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型号：DYS-2/90  工作电压：AC220V±15% 功率：5W 频率50-60Hz 蓄电池：GN3.6V Ni-Cd 安装方式：壁挂式安装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75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安全出口指示灯（右箭头）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型号：DYS-2/90  工作电压：AC220V±15% 功率：5W 频率50-60Hz 蓄电池：GN3.6V Ni-Cd 安装方式：壁挂式安装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76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手动火灾报警按钮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LD2000E-A 配合防雨罩达到全天候型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77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手报底座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LD20-N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78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防爆手动报警按钮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LD2000E（EX）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79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室外手动报警按钮立柱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LD2100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80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火灾声光报警器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LD1000E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81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点型光电感烟火灾探测器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LD3000EN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82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编码通用底座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LD10EN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83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可恢复式缆式线型定温火灾探测器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JTW-LD-ZC30C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米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84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输出模块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LD6807E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85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输出模块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LD4400E-1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86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输出模块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LD4400EN-2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87</w:t>
            </w:r>
          </w:p>
        </w:tc>
        <w:tc>
          <w:tcPr>
            <w:tcW w:w="2025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输入/输出模块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LD6800E-1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88</w:t>
            </w:r>
          </w:p>
        </w:tc>
        <w:tc>
          <w:tcPr>
            <w:tcW w:w="2025" w:type="dxa"/>
            <w:vAlign w:val="center"/>
          </w:tcPr>
          <w:p>
            <w:pPr>
              <w:jc w:val="both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模块底座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LD60(N)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537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10</w:t>
            </w:r>
          </w:p>
        </w:tc>
        <w:tc>
          <w:tcPr>
            <w:tcW w:w="3040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新购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Merge w:val="restart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89</w:t>
            </w:r>
          </w:p>
        </w:tc>
        <w:tc>
          <w:tcPr>
            <w:tcW w:w="2025" w:type="dxa"/>
            <w:vMerge w:val="restart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室外消防栓箱</w:t>
            </w:r>
          </w:p>
        </w:tc>
        <w:tc>
          <w:tcPr>
            <w:tcW w:w="228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箱体</w:t>
            </w:r>
          </w:p>
        </w:tc>
        <w:tc>
          <w:tcPr>
            <w:tcW w:w="2768" w:type="dxa"/>
            <w:gridSpan w:val="2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箱体材料：钢板材质，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箱体尺寸：1000x700x210，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箱门形式：右开门，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箱体颜色：红色，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配专用扳手1把。</w:t>
            </w:r>
          </w:p>
        </w:tc>
        <w:tc>
          <w:tcPr>
            <w:tcW w:w="533" w:type="dxa"/>
            <w:vMerge w:val="restart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套</w:t>
            </w:r>
          </w:p>
        </w:tc>
        <w:tc>
          <w:tcPr>
            <w:tcW w:w="601" w:type="dxa"/>
            <w:gridSpan w:val="2"/>
            <w:vMerge w:val="restart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2976" w:type="dxa"/>
            <w:vMerge w:val="restart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1.栓箱应设置门锁或箱门关紧装置。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2.箱体内外表面应作防腐处理。进行涂漆防腐处理的箱体，其涂层应均匀一致、平整光亮。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箱体外表的涂层应色泽美观，不得有流痕、气泡、剥落等缺陷。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3.消防水带应是符合GB 6246规定的合格产品。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4.消防水枪应是符合 GB 8181规定的合格产品。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5.箱门的开启角度不得小于160，箱门开启应轻便灵活，无卡阻现象。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28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水嘴</w:t>
            </w:r>
          </w:p>
        </w:tc>
        <w:tc>
          <w:tcPr>
            <w:tcW w:w="2768" w:type="dxa"/>
            <w:gridSpan w:val="2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形式：直流/水雾，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规格：QZ19，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数量：2支。</w:t>
            </w:r>
          </w:p>
        </w:tc>
        <w:tc>
          <w:tcPr>
            <w:tcW w:w="533" w:type="dxa"/>
            <w:vMerge w:val="continue"/>
            <w:vAlign w:val="center"/>
          </w:tcPr>
          <w:p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vMerge w:val="continue"/>
            <w:vAlign w:val="center"/>
          </w:tcPr>
          <w:p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28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水带</w:t>
            </w:r>
          </w:p>
        </w:tc>
        <w:tc>
          <w:tcPr>
            <w:tcW w:w="2768" w:type="dxa"/>
            <w:gridSpan w:val="2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形式：衬里水带，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规格：DN65，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数量：2根。</w:t>
            </w:r>
          </w:p>
        </w:tc>
        <w:tc>
          <w:tcPr>
            <w:tcW w:w="533" w:type="dxa"/>
            <w:vMerge w:val="continue"/>
            <w:vAlign w:val="center"/>
          </w:tcPr>
          <w:p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vMerge w:val="continue"/>
            <w:vAlign w:val="center"/>
          </w:tcPr>
          <w:p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Merge w:val="restart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90</w:t>
            </w:r>
          </w:p>
        </w:tc>
        <w:tc>
          <w:tcPr>
            <w:tcW w:w="2025" w:type="dxa"/>
            <w:vMerge w:val="restart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室外消防炮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spacing w:after="210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消火栓形式:PS(水雾两用炮),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进水管直径(DN):100,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公称压力(PN):20,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温度范围:-20～100℃,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进水口连接方式:法兰式[HG/T 20592(B)],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流量(L/S):50,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操作方式:G(固定)/手柄,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射程:≥70m,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水平回转角:360°,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俯仰回转角:最小俯角≤-35°、最大俯角≥+75°,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喷雾角:≥+90°。</w:t>
            </w:r>
          </w:p>
        </w:tc>
        <w:tc>
          <w:tcPr>
            <w:tcW w:w="533" w:type="dxa"/>
            <w:vMerge w:val="restart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套</w:t>
            </w:r>
          </w:p>
        </w:tc>
        <w:tc>
          <w:tcPr>
            <w:tcW w:w="601" w:type="dxa"/>
            <w:gridSpan w:val="2"/>
            <w:vMerge w:val="restart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7</w:t>
            </w:r>
          </w:p>
        </w:tc>
        <w:tc>
          <w:tcPr>
            <w:tcW w:w="2976" w:type="dxa"/>
            <w:vMerge w:val="restart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1.消防炮在公称压力时,各连接部位及排放余水装置均不得有渗漏现象。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2.消防炮在1.5倍公称压力时,所有铸件不得有渗漏现象及影响正常使用的损伤。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 xml:space="preserve">3.消防炮应有自动排放余水装置,该装置应在冰冻线以下,在消防炮处于正常使用（全开启）状态,水压不小于0.1MPa时,该装置不得发生渗漏现象。 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4.消防水炮能任意调压。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5.消防水炮底部加10目不锈钢防护网。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6.消防炮带与管道连接的配对法兰、垫片及紧固件。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7.法兰垫片螺栓螺母标准见材控专业。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8. 消防炮其它技术要求应满足《消防炮通用技术条件》GB19156中相关规定。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477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材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质</w:t>
            </w:r>
          </w:p>
        </w:tc>
        <w:tc>
          <w:tcPr>
            <w:tcW w:w="2519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炮头:304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炮体:WBC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法兰接管:HT200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炮嘴:304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炮座:QT450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炮体操作杆:304</w:t>
            </w:r>
          </w:p>
        </w:tc>
        <w:tc>
          <w:tcPr>
            <w:tcW w:w="533" w:type="dxa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vMerge w:val="continue"/>
            <w:vAlign w:val="center"/>
          </w:tcPr>
          <w:p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477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附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图</w:t>
            </w:r>
          </w:p>
        </w:tc>
        <w:tc>
          <w:tcPr>
            <w:tcW w:w="6629" w:type="dxa"/>
            <w:gridSpan w:val="5"/>
            <w:vAlign w:val="center"/>
          </w:tcPr>
          <w:p>
            <w:pPr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drawing>
                <wp:inline distT="0" distB="0" distL="0" distR="0">
                  <wp:extent cx="1945005" cy="1542415"/>
                  <wp:effectExtent l="0" t="0" r="10795" b="6985"/>
                  <wp:docPr id="2" name="图片 2" descr="http://www.hqew.com/file/images/520000-529999/527220/Electronic/20110728231531168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http://www.hqew.com/file/images/520000-529999/527220/Electronic/20110728231531168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5005" cy="1542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Merge w:val="restart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91</w:t>
            </w:r>
          </w:p>
        </w:tc>
        <w:tc>
          <w:tcPr>
            <w:tcW w:w="2025" w:type="dxa"/>
            <w:vMerge w:val="restart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室外消火栓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spacing w:after="210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消火栓形式:SA(地下式),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进水管直径(DN):100,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公称压力(PN):20,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温度范围:-20～100℃,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进水口连接方式:法兰式[HG/T 20592],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用途:S(普通型水)、F(防撞型)、W(减压稳定型)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操作方式:手动,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进水口:1xDN100,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出水口:1xDN100、2xDN65。</w:t>
            </w:r>
          </w:p>
        </w:tc>
        <w:tc>
          <w:tcPr>
            <w:tcW w:w="533" w:type="dxa"/>
            <w:vMerge w:val="restart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套</w:t>
            </w:r>
          </w:p>
        </w:tc>
        <w:tc>
          <w:tcPr>
            <w:tcW w:w="601" w:type="dxa"/>
            <w:gridSpan w:val="2"/>
            <w:vMerge w:val="restart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</w:t>
            </w:r>
          </w:p>
        </w:tc>
        <w:tc>
          <w:tcPr>
            <w:tcW w:w="2976" w:type="dxa"/>
            <w:vMerge w:val="restart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1.消火栓在公称压力时,各连接部位及排放余水装置均不得有渗漏现象。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2.消火栓在1.5倍公称压力时,所有铸件不得有渗漏现象及影响正常使用的损伤。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3.消火栓应有自动排放余水装置,该装置应在冰冻线以下,在消火栓处于正常使用（全开启）状态,水压不小于0.1MPa时,该装置不得发生渗漏现象。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4.消火栓接口性能应符合GB12514.1规定。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5.减压稳压型消火栓,当消火栓进水口在工作压力下时,出水口压力应在0.3MPa～1.0MPa之间可调。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6.消火栓出水口配带接头闷盖及链条,材质为灰铸铁。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7.消火栓底部加10目不锈钢防护网。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8.消火栓带与管道连接的配对法兰、垫片及紧固件。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9.法兰垫片螺栓螺母标准见材控专业。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10.泄水口应设置在-1.7m以下。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11.消火栓其它技术要求应满足《室外消火栓》GB 4452中相关规定。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477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材质</w:t>
            </w:r>
          </w:p>
        </w:tc>
        <w:tc>
          <w:tcPr>
            <w:tcW w:w="2519" w:type="dxa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栓体:HT200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阀体:HT200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法兰接管:HT200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阀座:铜合金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阀杆螺母:铜合金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阀杆:镀铬低碳钢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水带接口:不锈钢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吸水管接口:不锈钢</w:t>
            </w:r>
          </w:p>
        </w:tc>
        <w:tc>
          <w:tcPr>
            <w:tcW w:w="533" w:type="dxa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vMerge w:val="continue"/>
            <w:vAlign w:val="center"/>
          </w:tcPr>
          <w:p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477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附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图</w:t>
            </w:r>
          </w:p>
        </w:tc>
        <w:tc>
          <w:tcPr>
            <w:tcW w:w="6629" w:type="dxa"/>
            <w:gridSpan w:val="5"/>
            <w:vAlign w:val="center"/>
          </w:tcPr>
          <w:p>
            <w:pPr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drawing>
                <wp:inline distT="0" distB="0" distL="0" distR="0">
                  <wp:extent cx="2797810" cy="2347595"/>
                  <wp:effectExtent l="0" t="0" r="8890" b="1905"/>
                  <wp:docPr id="1" name="图片 1" descr="RTX截图未命名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RTX截图未命名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7810" cy="2347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Merge w:val="restart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92</w:t>
            </w:r>
          </w:p>
        </w:tc>
        <w:tc>
          <w:tcPr>
            <w:tcW w:w="2025" w:type="dxa"/>
            <w:vMerge w:val="restart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消火栓箱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15S202/13-甲型单栓带消防软管卷盘室内消火栓,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 xml:space="preserve">尺寸:1000×700×240, 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材质:钢</w:t>
            </w:r>
          </w:p>
        </w:tc>
        <w:tc>
          <w:tcPr>
            <w:tcW w:w="533" w:type="dxa"/>
            <w:vMerge w:val="restart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套</w:t>
            </w:r>
          </w:p>
        </w:tc>
        <w:tc>
          <w:tcPr>
            <w:tcW w:w="601" w:type="dxa"/>
            <w:gridSpan w:val="2"/>
            <w:vMerge w:val="restart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16</w:t>
            </w:r>
          </w:p>
        </w:tc>
        <w:tc>
          <w:tcPr>
            <w:tcW w:w="2976" w:type="dxa"/>
            <w:vMerge w:val="restart"/>
            <w:vAlign w:val="center"/>
          </w:tcPr>
          <w:p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单套配：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 xml:space="preserve">1、稳压减压型消火栓：SNW65-Ⅲ型,1个,        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2、水枪,QZ19水雾两用型,1个,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3、水带,衬胶水龙带,DN65,L=25m,1根,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4、消防软管卷盘及软管,Φ19,L=30m,JPS1.6-19/30,1套,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5、直流喷雾水枪,Φ6,1个。</w:t>
            </w:r>
          </w:p>
        </w:tc>
        <w:tc>
          <w:tcPr>
            <w:tcW w:w="533" w:type="dxa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vMerge w:val="continue"/>
            <w:vAlign w:val="center"/>
          </w:tcPr>
          <w:p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Merge w:val="restart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93</w:t>
            </w:r>
          </w:p>
        </w:tc>
        <w:tc>
          <w:tcPr>
            <w:tcW w:w="2025" w:type="dxa"/>
            <w:vMerge w:val="restart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试验用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消火栓箱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15S202/54试验用消火栓箱,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 xml:space="preserve">尺寸:1000×700×240, 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材质:钢</w:t>
            </w:r>
          </w:p>
        </w:tc>
        <w:tc>
          <w:tcPr>
            <w:tcW w:w="533" w:type="dxa"/>
            <w:vMerge w:val="restart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套</w:t>
            </w:r>
          </w:p>
        </w:tc>
        <w:tc>
          <w:tcPr>
            <w:tcW w:w="601" w:type="dxa"/>
            <w:gridSpan w:val="2"/>
            <w:vMerge w:val="restart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11</w:t>
            </w:r>
          </w:p>
        </w:tc>
        <w:tc>
          <w:tcPr>
            <w:tcW w:w="2976" w:type="dxa"/>
            <w:vMerge w:val="restart"/>
            <w:vAlign w:val="center"/>
          </w:tcPr>
          <w:p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单套配：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 xml:space="preserve">1、稳压减压型消火栓：SNW65-Ⅲ型,1个,        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2、水枪,QZ19水雾两用型,1个,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3、水带,衬胶水龙带,DN65,L=25m,1根,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4、消防软管卷盘及软管,Φ19,L=30m,JPS1.6-19/30,1套,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5、直流喷雾水枪,Φ6,1个,</w:t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br w:type="textWrapping"/>
            </w: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6、压力表,Y-100,0～2.0MPa。</w:t>
            </w:r>
          </w:p>
        </w:tc>
        <w:tc>
          <w:tcPr>
            <w:tcW w:w="533" w:type="dxa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601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Times New Roman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vMerge w:val="continue"/>
            <w:vAlign w:val="center"/>
          </w:tcPr>
          <w:p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94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快速接口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KY65，PN20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601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15</w:t>
            </w:r>
          </w:p>
        </w:tc>
        <w:tc>
          <w:tcPr>
            <w:tcW w:w="2976" w:type="dxa"/>
            <w:vAlign w:val="center"/>
          </w:tcPr>
          <w:p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jc w:val="center"/>
        </w:trPr>
        <w:tc>
          <w:tcPr>
            <w:tcW w:w="52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95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出水闷盖</w:t>
            </w:r>
          </w:p>
        </w:tc>
        <w:tc>
          <w:tcPr>
            <w:tcW w:w="2996" w:type="dxa"/>
            <w:gridSpan w:val="3"/>
            <w:vAlign w:val="center"/>
          </w:tcPr>
          <w:p>
            <w:pPr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KM65，PN20</w:t>
            </w:r>
          </w:p>
        </w:tc>
        <w:tc>
          <w:tcPr>
            <w:tcW w:w="533" w:type="dxa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个</w:t>
            </w:r>
          </w:p>
        </w:tc>
        <w:tc>
          <w:tcPr>
            <w:tcW w:w="601" w:type="dxa"/>
            <w:gridSpan w:val="2"/>
            <w:vAlign w:val="center"/>
          </w:tcPr>
          <w:p>
            <w:pPr>
              <w:jc w:val="center"/>
              <w:textAlignment w:val="center"/>
              <w:rPr>
                <w:rFonts w:ascii="Times New Roman"/>
                <w:color w:val="000000"/>
                <w:sz w:val="18"/>
                <w:szCs w:val="18"/>
              </w:rPr>
            </w:pPr>
            <w:r>
              <w:rPr>
                <w:rFonts w:ascii="Times New Roman"/>
                <w:color w:val="000000"/>
                <w:sz w:val="18"/>
                <w:szCs w:val="18"/>
                <w:lang w:bidi="ar"/>
              </w:rPr>
              <w:t>15</w:t>
            </w:r>
          </w:p>
        </w:tc>
        <w:tc>
          <w:tcPr>
            <w:tcW w:w="2976" w:type="dxa"/>
            <w:vAlign w:val="center"/>
          </w:tcPr>
          <w:p>
            <w:pPr>
              <w:rPr>
                <w:rFonts w:ascii="Times New Roman"/>
                <w:color w:val="000000"/>
                <w:sz w:val="18"/>
                <w:szCs w:val="18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58A2FA3"/>
    <w:multiLevelType w:val="multilevel"/>
    <w:tmpl w:val="358A2FA3"/>
    <w:lvl w:ilvl="0" w:tentative="0">
      <w:start w:val="1"/>
      <w:numFmt w:val="bullet"/>
      <w:lvlText w:val=""/>
      <w:lvlJc w:val="left"/>
      <w:pPr>
        <w:tabs>
          <w:tab w:val="left" w:pos="1814"/>
        </w:tabs>
        <w:ind w:left="1814" w:hanging="396"/>
      </w:pPr>
      <w:rPr>
        <w:rFonts w:hint="default" w:ascii="Wingdings" w:hAnsi="Wingdings"/>
      </w:rPr>
    </w:lvl>
    <w:lvl w:ilvl="1" w:tentative="0">
      <w:start w:val="1"/>
      <w:numFmt w:val="bullet"/>
      <w:pStyle w:val="2"/>
      <w:lvlText w:val=""/>
      <w:lvlJc w:val="left"/>
      <w:pPr>
        <w:ind w:left="225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267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309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351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93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435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477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5198" w:hanging="420"/>
      </w:pPr>
      <w:rPr>
        <w:rFonts w:hint="default" w:ascii="Wingdings" w:hAnsi="Wingdings"/>
      </w:rPr>
    </w:lvl>
  </w:abstractNum>
  <w:abstractNum w:abstractNumId="1">
    <w:nsid w:val="46335E6F"/>
    <w:multiLevelType w:val="multilevel"/>
    <w:tmpl w:val="46335E6F"/>
    <w:lvl w:ilvl="0" w:tentative="0">
      <w:start w:val="1"/>
      <w:numFmt w:val="decimal"/>
      <w:pStyle w:val="3"/>
      <w:lvlText w:val="（%1）"/>
      <w:lvlJc w:val="left"/>
      <w:pPr>
        <w:ind w:left="987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591A72"/>
    <w:rsid w:val="34591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宋体" w:hAnsi="Times New Roman" w:eastAsia="宋体" w:cs="Times New Roman"/>
      <w:kern w:val="0"/>
      <w:position w:val="-6"/>
      <w:sz w:val="32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引言二级条标题"/>
    <w:basedOn w:val="3"/>
    <w:next w:val="4"/>
    <w:qFormat/>
    <w:uiPriority w:val="0"/>
    <w:pPr>
      <w:numPr>
        <w:ilvl w:val="1"/>
        <w:numId w:val="1"/>
      </w:numPr>
      <w:tabs>
        <w:tab w:val="left" w:pos="360"/>
      </w:tabs>
    </w:pPr>
  </w:style>
  <w:style w:type="paragraph" w:customStyle="1" w:styleId="3">
    <w:name w:val="引言一级条标题"/>
    <w:basedOn w:val="1"/>
    <w:next w:val="4"/>
    <w:qFormat/>
    <w:uiPriority w:val="0"/>
    <w:pPr>
      <w:numPr>
        <w:ilvl w:val="0"/>
        <w:numId w:val="2"/>
      </w:numPr>
    </w:pPr>
    <w:rPr>
      <w:rFonts w:ascii="Times New Roman" w:eastAsia="黑体"/>
      <w:b/>
    </w:rPr>
  </w:style>
  <w:style w:type="paragraph" w:customStyle="1" w:styleId="4">
    <w:name w:val="段"/>
    <w:basedOn w:val="5"/>
    <w:next w:val="1"/>
    <w:qFormat/>
    <w:uiPriority w:val="0"/>
    <w:pPr>
      <w:autoSpaceDE w:val="0"/>
      <w:autoSpaceDN w:val="0"/>
      <w:ind w:firstLine="420" w:firstLineChars="200"/>
    </w:pPr>
    <w:rPr>
      <w:rFonts w:hAnsi="Times New Roman"/>
    </w:rPr>
  </w:style>
  <w:style w:type="paragraph" w:styleId="5">
    <w:name w:val="Plain Text"/>
    <w:basedOn w:val="1"/>
    <w:next w:val="1"/>
    <w:uiPriority w:val="0"/>
    <w:pPr>
      <w:widowControl w:val="0"/>
      <w:jc w:val="both"/>
    </w:pPr>
    <w:rPr>
      <w:rFonts w:hAnsi="Courier New"/>
      <w:kern w:val="2"/>
      <w:sz w:val="21"/>
    </w:rPr>
  </w:style>
  <w:style w:type="character" w:customStyle="1" w:styleId="8">
    <w:name w:val="font01"/>
    <w:basedOn w:val="7"/>
    <w:qFormat/>
    <w:uiPriority w:val="0"/>
    <w:rPr>
      <w:rFonts w:hint="default" w:ascii="font-weight : 400" w:hAnsi="font-weight : 400" w:eastAsia="font-weight : 400" w:cs="font-weight : 400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2022-01-29T03:36:00Z</dcterms:created>
  <dc:creator>- A&amp;Rz.</dc:creator>
  <cp:lastModifiedBy>- A&amp;Rz.</cp:lastModifiedBy>
  <dcterms:modified xsi:type="dcterms:W3CDTF">2022-01-29T03:36:36Z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E582A19DAD11426EAB84F1F572E32821</vt:lpwstr>
  </property>
</Properties>
</file>