
<file path=[Content_Types].xml><?xml version="1.0" encoding="utf-8"?>
<Types xmlns="http://schemas.openxmlformats.org/package/2006/content-types">
  <Default Extension="xml" ContentType="application/xml"/>
  <Default Extension="bin" ContentType="application/vnd.openxmlformats-officedocument.oleObject"/>
  <Default Extension="emf" ContentType="image/x-emf"/>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Times New Roman" w:hAnsi="Times New Roman"/>
          <w:sz w:val="20"/>
          <w:szCs w:val="20"/>
          <w:lang w:eastAsia="zh-CN"/>
        </w:rPr>
      </w:pPr>
    </w:p>
    <w:p>
      <w:pPr>
        <w:rPr>
          <w:rFonts w:ascii="Times New Roman" w:hAnsi="Times New Roman"/>
          <w:sz w:val="20"/>
          <w:szCs w:val="20"/>
          <w:lang w:eastAsia="zh-CN"/>
        </w:rPr>
      </w:pPr>
    </w:p>
    <w:p>
      <w:pPr>
        <w:rPr>
          <w:rFonts w:ascii="Times New Roman" w:hAnsi="Times New Roman"/>
          <w:sz w:val="20"/>
          <w:szCs w:val="20"/>
          <w:lang w:eastAsia="zh-CN"/>
        </w:rPr>
      </w:pPr>
    </w:p>
    <w:p>
      <w:pPr>
        <w:jc w:val="center"/>
        <w:rPr>
          <w:rFonts w:ascii="宋体"/>
          <w:b/>
          <w:sz w:val="52"/>
          <w:szCs w:val="52"/>
        </w:rPr>
      </w:pPr>
    </w:p>
    <w:p>
      <w:pPr>
        <w:jc w:val="center"/>
        <w:rPr>
          <w:rFonts w:hint="eastAsia" w:ascii="方正小标宋_GBK" w:hAnsi="方正小标宋_GBK" w:eastAsia="方正小标宋_GBK" w:cs="方正小标宋_GBK"/>
          <w:b/>
          <w:sz w:val="44"/>
          <w:szCs w:val="44"/>
          <w:lang w:eastAsia="zh-CN"/>
        </w:rPr>
      </w:pPr>
      <w:r>
        <w:rPr>
          <w:rFonts w:hint="eastAsia" w:ascii="方正小标宋_GBK" w:hAnsi="方正小标宋_GBK" w:eastAsia="方正小标宋_GBK" w:cs="方正小标宋_GBK"/>
          <w:b/>
          <w:sz w:val="44"/>
          <w:szCs w:val="44"/>
          <w:lang w:eastAsia="zh-CN"/>
        </w:rPr>
        <w:t>国网青海省电力公司</w:t>
      </w:r>
    </w:p>
    <w:p>
      <w:pPr>
        <w:jc w:val="center"/>
        <w:rPr>
          <w:rFonts w:hint="eastAsia" w:ascii="方正小标宋_GBK" w:hAnsi="方正小标宋_GBK" w:eastAsia="方正小标宋_GBK" w:cs="方正小标宋_GBK"/>
          <w:b/>
          <w:sz w:val="44"/>
          <w:szCs w:val="44"/>
          <w:lang w:eastAsia="zh-CN"/>
        </w:rPr>
      </w:pPr>
    </w:p>
    <w:p>
      <w:pPr>
        <w:jc w:val="center"/>
        <w:rPr>
          <w:rFonts w:hint="eastAsia" w:ascii="方正小标宋_GBK" w:hAnsi="方正小标宋_GBK" w:eastAsia="方正小标宋_GBK" w:cs="方正小标宋_GBK"/>
          <w:b/>
          <w:sz w:val="44"/>
          <w:szCs w:val="44"/>
          <w:lang w:eastAsia="zh-CN"/>
        </w:rPr>
      </w:pPr>
      <w:r>
        <w:rPr>
          <w:rFonts w:hint="eastAsia" w:ascii="方正小标宋_GBK" w:hAnsi="方正小标宋_GBK" w:eastAsia="方正小标宋_GBK" w:cs="方正小标宋_GBK"/>
          <w:b/>
          <w:bCs/>
          <w:sz w:val="44"/>
          <w:szCs w:val="44"/>
          <w:lang w:eastAsia="zh-CN"/>
        </w:rPr>
        <w:t>协议库存物资招标</w:t>
      </w:r>
      <w:r>
        <w:rPr>
          <w:rFonts w:hint="eastAsia" w:ascii="方正小标宋_GBK" w:hAnsi="方正小标宋_GBK" w:eastAsia="方正小标宋_GBK" w:cs="方正小标宋_GBK"/>
          <w:b/>
          <w:bCs/>
          <w:sz w:val="44"/>
          <w:szCs w:val="44"/>
          <w:lang w:val="en-US" w:eastAsia="zh-CN"/>
        </w:rPr>
        <w:t>采购</w:t>
      </w:r>
      <w:r>
        <w:rPr>
          <w:rFonts w:hint="eastAsia" w:ascii="方正小标宋_GBK" w:hAnsi="方正小标宋_GBK" w:eastAsia="方正小标宋_GBK" w:cs="方正小标宋_GBK"/>
          <w:b/>
          <w:bCs/>
          <w:sz w:val="44"/>
          <w:szCs w:val="44"/>
          <w:lang w:eastAsia="zh-CN"/>
        </w:rPr>
        <w:t>招标文件</w:t>
      </w:r>
    </w:p>
    <w:p>
      <w:pPr>
        <w:jc w:val="center"/>
        <w:rPr>
          <w:rFonts w:ascii="楷体_GB2312" w:eastAsia="楷体_GB2312"/>
          <w:sz w:val="44"/>
          <w:lang w:eastAsia="zh-CN"/>
        </w:rPr>
      </w:pPr>
    </w:p>
    <w:p>
      <w:pPr>
        <w:jc w:val="center"/>
        <w:rPr>
          <w:rFonts w:ascii="楷体_GB2312" w:eastAsia="楷体_GB2312"/>
          <w:sz w:val="44"/>
          <w:lang w:eastAsia="zh-CN"/>
        </w:rPr>
      </w:pPr>
    </w:p>
    <w:p>
      <w:pPr>
        <w:spacing w:beforeLines="100" w:line="360" w:lineRule="auto"/>
        <w:jc w:val="center"/>
        <w:rPr>
          <w:rFonts w:hint="eastAsia" w:ascii="方正小标宋_GBK" w:hAnsi="方正小标宋_GBK" w:eastAsia="方正小标宋_GBK" w:cs="方正小标宋_GBK"/>
          <w:b/>
          <w:sz w:val="44"/>
          <w:szCs w:val="44"/>
          <w:lang w:eastAsia="zh-CN"/>
        </w:rPr>
      </w:pPr>
      <w:r>
        <w:rPr>
          <w:rFonts w:hint="eastAsia" w:ascii="方正小标宋_GBK" w:hAnsi="方正小标宋_GBK" w:eastAsia="方正小标宋_GBK" w:cs="方正小标宋_GBK"/>
          <w:b/>
          <w:bCs/>
          <w:sz w:val="44"/>
          <w:szCs w:val="44"/>
          <w:lang w:eastAsia="zh-CN"/>
        </w:rPr>
        <w:t>（20</w:t>
      </w:r>
      <w:r>
        <w:rPr>
          <w:rFonts w:hint="eastAsia" w:ascii="方正小标宋_GBK" w:hAnsi="方正小标宋_GBK" w:eastAsia="方正小标宋_GBK" w:cs="方正小标宋_GBK"/>
          <w:b/>
          <w:bCs/>
          <w:sz w:val="44"/>
          <w:szCs w:val="44"/>
          <w:lang w:val="en-US" w:eastAsia="zh-CN"/>
        </w:rPr>
        <w:t>22</w:t>
      </w:r>
      <w:r>
        <w:rPr>
          <w:rFonts w:hint="eastAsia" w:ascii="方正小标宋_GBK" w:hAnsi="方正小标宋_GBK" w:eastAsia="方正小标宋_GBK" w:cs="方正小标宋_GBK"/>
          <w:b/>
          <w:bCs/>
          <w:sz w:val="44"/>
          <w:szCs w:val="44"/>
          <w:lang w:eastAsia="zh-CN"/>
        </w:rPr>
        <w:t>年版）</w:t>
      </w:r>
    </w:p>
    <w:p>
      <w:pPr>
        <w:rPr>
          <w:rFonts w:ascii="宋体" w:cs="宋体"/>
          <w:sz w:val="44"/>
          <w:szCs w:val="44"/>
          <w:lang w:eastAsia="zh-CN"/>
        </w:rPr>
      </w:pPr>
    </w:p>
    <w:p>
      <w:pPr>
        <w:rPr>
          <w:rFonts w:ascii="宋体" w:cs="宋体"/>
          <w:sz w:val="44"/>
          <w:szCs w:val="44"/>
          <w:lang w:eastAsia="zh-CN"/>
        </w:rPr>
      </w:pPr>
    </w:p>
    <w:p>
      <w:pPr>
        <w:rPr>
          <w:rFonts w:ascii="宋体" w:cs="宋体"/>
          <w:sz w:val="44"/>
          <w:szCs w:val="44"/>
          <w:lang w:eastAsia="zh-CN"/>
        </w:rPr>
      </w:pPr>
    </w:p>
    <w:p>
      <w:pPr>
        <w:rPr>
          <w:rFonts w:ascii="宋体" w:cs="宋体"/>
          <w:sz w:val="44"/>
          <w:szCs w:val="44"/>
          <w:lang w:eastAsia="zh-CN"/>
        </w:rPr>
      </w:pPr>
    </w:p>
    <w:p>
      <w:pPr>
        <w:rPr>
          <w:rFonts w:ascii="宋体" w:cs="宋体"/>
          <w:sz w:val="44"/>
          <w:szCs w:val="44"/>
          <w:lang w:eastAsia="zh-CN"/>
        </w:rPr>
      </w:pPr>
    </w:p>
    <w:p>
      <w:pPr>
        <w:rPr>
          <w:rFonts w:ascii="宋体" w:cs="宋体"/>
          <w:sz w:val="44"/>
          <w:szCs w:val="44"/>
          <w:lang w:eastAsia="zh-CN"/>
        </w:rPr>
      </w:pPr>
    </w:p>
    <w:p>
      <w:pPr>
        <w:spacing w:before="8"/>
        <w:rPr>
          <w:rFonts w:ascii="宋体" w:cs="宋体"/>
          <w:sz w:val="33"/>
          <w:szCs w:val="33"/>
          <w:lang w:eastAsia="zh-CN"/>
        </w:rPr>
      </w:pPr>
    </w:p>
    <w:p>
      <w:pPr>
        <w:tabs>
          <w:tab w:val="left" w:pos="2593"/>
        </w:tabs>
        <w:ind w:left="3"/>
        <w:jc w:val="center"/>
        <w:rPr>
          <w:rFonts w:hint="eastAsia" w:ascii="方正楷体_GBK" w:hAnsi="方正楷体_GBK" w:eastAsia="方正楷体_GBK" w:cs="方正楷体_GBK"/>
          <w:sz w:val="32"/>
          <w:szCs w:val="32"/>
          <w:lang w:eastAsia="zh-CN"/>
        </w:rPr>
      </w:pPr>
      <w:bookmarkStart w:id="0" w:name="_bookmark1"/>
      <w:bookmarkEnd w:id="0"/>
      <w:r>
        <w:rPr>
          <w:rFonts w:hint="eastAsia" w:ascii="方正楷体_GBK" w:hAnsi="方正楷体_GBK" w:eastAsia="方正楷体_GBK" w:cs="方正楷体_GBK"/>
          <w:sz w:val="32"/>
          <w:szCs w:val="32"/>
          <w:lang w:eastAsia="zh-CN"/>
        </w:rPr>
        <w:t>招标人：</w:t>
      </w:r>
      <w:r>
        <w:rPr>
          <w:rFonts w:hint="eastAsia" w:ascii="方正楷体_GBK" w:hAnsi="方正楷体_GBK" w:eastAsia="方正楷体_GBK" w:cs="方正楷体_GBK"/>
          <w:sz w:val="32"/>
          <w:szCs w:val="32"/>
          <w:u w:val="single"/>
          <w:lang w:eastAsia="zh-CN"/>
        </w:rPr>
        <w:t>国网青海省电力公司</w:t>
      </w:r>
      <w:r>
        <w:rPr>
          <w:rFonts w:hint="eastAsia" w:ascii="方正楷体_GBK" w:hAnsi="方正楷体_GBK" w:eastAsia="方正楷体_GBK" w:cs="方正楷体_GBK"/>
          <w:sz w:val="32"/>
          <w:szCs w:val="32"/>
          <w:lang w:val="en-US" w:eastAsia="zh-CN"/>
        </w:rPr>
        <w:t xml:space="preserve"> </w:t>
      </w:r>
    </w:p>
    <w:p>
      <w:pPr>
        <w:spacing w:before="5"/>
        <w:rPr>
          <w:rFonts w:hint="eastAsia" w:ascii="方正楷体_GBK" w:hAnsi="方正楷体_GBK" w:eastAsia="方正楷体_GBK" w:cs="方正楷体_GBK"/>
          <w:sz w:val="32"/>
          <w:szCs w:val="32"/>
          <w:lang w:eastAsia="zh-CN"/>
        </w:rPr>
      </w:pPr>
    </w:p>
    <w:p>
      <w:pPr>
        <w:tabs>
          <w:tab w:val="left" w:pos="3611"/>
          <w:tab w:val="left" w:pos="4626"/>
          <w:tab w:val="left" w:pos="5642"/>
        </w:tabs>
        <w:spacing w:before="14"/>
        <w:ind w:left="2877"/>
        <w:rPr>
          <w:rFonts w:hint="eastAsia" w:ascii="方正楷体_GBK" w:hAnsi="方正楷体_GBK" w:eastAsia="方正楷体_GBK" w:cs="方正楷体_GBK"/>
          <w:sz w:val="32"/>
          <w:szCs w:val="32"/>
          <w:lang w:eastAsia="zh-CN"/>
        </w:rPr>
      </w:pPr>
      <w:r>
        <w:rPr>
          <w:rFonts w:hint="eastAsia" w:ascii="方正楷体_GBK" w:hAnsi="方正楷体_GBK" w:eastAsia="方正楷体_GBK" w:cs="方正楷体_GBK"/>
          <w:sz w:val="32"/>
          <w:szCs w:val="32"/>
          <w:u w:val="single" w:color="000000"/>
          <w:lang w:eastAsia="zh-CN"/>
        </w:rPr>
        <w:t>20</w:t>
      </w:r>
      <w:r>
        <w:rPr>
          <w:rFonts w:hint="eastAsia" w:ascii="方正楷体_GBK" w:hAnsi="方正楷体_GBK" w:eastAsia="方正楷体_GBK" w:cs="方正楷体_GBK"/>
          <w:sz w:val="32"/>
          <w:szCs w:val="32"/>
          <w:u w:val="single" w:color="000000"/>
          <w:lang w:val="en-US" w:eastAsia="zh-CN"/>
        </w:rPr>
        <w:t>22</w:t>
      </w:r>
      <w:r>
        <w:rPr>
          <w:rFonts w:hint="eastAsia" w:ascii="方正楷体_GBK" w:hAnsi="方正楷体_GBK" w:eastAsia="方正楷体_GBK" w:cs="方正楷体_GBK"/>
          <w:sz w:val="32"/>
          <w:szCs w:val="32"/>
          <w:lang w:eastAsia="zh-CN"/>
        </w:rPr>
        <w:t>年</w:t>
      </w:r>
      <w:r>
        <w:rPr>
          <w:rFonts w:hint="eastAsia" w:ascii="方正楷体_GBK" w:hAnsi="方正楷体_GBK" w:eastAsia="方正楷体_GBK" w:cs="方正楷体_GBK"/>
          <w:sz w:val="32"/>
          <w:szCs w:val="32"/>
          <w:u w:val="single"/>
          <w:lang w:val="en-US" w:eastAsia="zh-CN"/>
        </w:rPr>
        <w:t>10</w:t>
      </w:r>
      <w:r>
        <w:rPr>
          <w:rFonts w:hint="eastAsia" w:ascii="方正楷体_GBK" w:hAnsi="方正楷体_GBK" w:eastAsia="方正楷体_GBK" w:cs="方正楷体_GBK"/>
          <w:sz w:val="32"/>
          <w:szCs w:val="32"/>
          <w:lang w:eastAsia="zh-CN"/>
        </w:rPr>
        <w:t>月</w:t>
      </w:r>
      <w:r>
        <w:rPr>
          <w:rFonts w:hint="eastAsia" w:ascii="方正楷体_GBK" w:hAnsi="方正楷体_GBK" w:eastAsia="方正楷体_GBK" w:cs="方正楷体_GBK"/>
          <w:sz w:val="32"/>
          <w:szCs w:val="32"/>
          <w:u w:val="single"/>
          <w:lang w:val="en-US" w:eastAsia="zh-CN"/>
        </w:rPr>
        <w:t>25</w:t>
      </w:r>
      <w:r>
        <w:rPr>
          <w:rFonts w:hint="eastAsia" w:ascii="方正楷体_GBK" w:hAnsi="方正楷体_GBK" w:eastAsia="方正楷体_GBK" w:cs="方正楷体_GBK"/>
          <w:sz w:val="32"/>
          <w:szCs w:val="32"/>
          <w:lang w:eastAsia="zh-CN"/>
        </w:rPr>
        <w:t>日</w:t>
      </w:r>
    </w:p>
    <w:p>
      <w:pPr>
        <w:rPr>
          <w:rFonts w:ascii="宋体" w:cs="宋体"/>
          <w:sz w:val="28"/>
          <w:szCs w:val="28"/>
          <w:lang w:eastAsia="zh-CN"/>
        </w:rPr>
        <w:sectPr>
          <w:pgSz w:w="11906" w:h="16838"/>
          <w:pgMar w:top="1440" w:right="1797" w:bottom="1440" w:left="1797" w:header="720" w:footer="720" w:gutter="0"/>
          <w:pgBorders>
            <w:top w:val="none" w:sz="0" w:space="0"/>
            <w:left w:val="none" w:sz="0" w:space="0"/>
            <w:bottom w:val="none" w:sz="0" w:space="0"/>
            <w:right w:val="none" w:sz="0" w:space="0"/>
          </w:pgBorders>
          <w:cols w:space="720" w:num="1"/>
        </w:sectPr>
      </w:pPr>
    </w:p>
    <w:p>
      <w:pPr>
        <w:bidi w:val="0"/>
        <w:rPr>
          <w:rFonts w:hint="eastAsia" w:ascii="方正仿宋_GBK" w:hAnsi="方正仿宋_GBK" w:eastAsia="方正仿宋_GBK" w:cs="方正仿宋_GBK"/>
          <w:sz w:val="32"/>
          <w:szCs w:val="32"/>
          <w:lang w:eastAsia="zh-CN"/>
        </w:rPr>
      </w:pPr>
      <w:r>
        <w:rPr>
          <w:rFonts w:hint="eastAsia" w:ascii="方正仿宋_GBK" w:hAnsi="方正仿宋_GBK" w:eastAsia="方正仿宋_GBK" w:cs="方正仿宋_GBK"/>
          <w:sz w:val="32"/>
          <w:szCs w:val="32"/>
          <w:lang w:eastAsia="zh-CN"/>
        </w:rPr>
        <w:t>本章节内容包含招标公告及投标邀请函两部分。</w:t>
      </w:r>
    </w:p>
    <w:p>
      <w:pPr>
        <w:pStyle w:val="4"/>
        <w:spacing w:beforeLines="50" w:afterLines="50" w:line="564" w:lineRule="exact"/>
        <w:ind w:left="0" w:right="57"/>
        <w:jc w:val="center"/>
        <w:rPr>
          <w:rFonts w:hint="eastAsia" w:ascii="方正小标宋_GBK" w:hAnsi="方正小标宋_GBK" w:eastAsia="方正小标宋_GBK" w:cs="方正小标宋_GBK"/>
          <w:lang w:eastAsia="zh-CN"/>
        </w:rPr>
      </w:pPr>
      <w:r>
        <w:rPr>
          <w:rFonts w:hint="eastAsia" w:ascii="方正小标宋_GBK" w:hAnsi="方正小标宋_GBK" w:eastAsia="方正小标宋_GBK" w:cs="方正小标宋_GBK"/>
          <w:lang w:eastAsia="zh-CN"/>
        </w:rPr>
        <w:t>第一章招标公告</w:t>
      </w:r>
    </w:p>
    <w:p>
      <w:pPr>
        <w:adjustRightInd w:val="0"/>
        <w:snapToGrid w:val="0"/>
        <w:jc w:val="center"/>
        <w:rPr>
          <w:rFonts w:hint="eastAsia" w:ascii="方正小标宋_GBK" w:hAnsi="方正小标宋_GBK" w:eastAsia="方正小标宋_GBK" w:cs="方正小标宋_GBK"/>
          <w:sz w:val="32"/>
          <w:szCs w:val="32"/>
          <w:lang w:eastAsia="zh-CN"/>
        </w:rPr>
      </w:pPr>
      <w:r>
        <w:rPr>
          <w:rFonts w:hint="eastAsia" w:ascii="方正小标宋_GBK" w:hAnsi="方正小标宋_GBK" w:eastAsia="方正小标宋_GBK" w:cs="方正小标宋_GBK"/>
          <w:sz w:val="32"/>
          <w:szCs w:val="32"/>
          <w:lang w:eastAsia="zh-CN"/>
        </w:rPr>
        <w:t>国网青海省电力公司202</w:t>
      </w:r>
      <w:r>
        <w:rPr>
          <w:rFonts w:hint="eastAsia" w:ascii="方正小标宋_GBK" w:hAnsi="方正小标宋_GBK" w:eastAsia="方正小标宋_GBK" w:cs="方正小标宋_GBK"/>
          <w:sz w:val="32"/>
          <w:szCs w:val="32"/>
          <w:lang w:val="en-US" w:eastAsia="zh-CN"/>
        </w:rPr>
        <w:t>2</w:t>
      </w:r>
      <w:r>
        <w:rPr>
          <w:rFonts w:hint="eastAsia" w:ascii="方正小标宋_GBK" w:hAnsi="方正小标宋_GBK" w:eastAsia="方正小标宋_GBK" w:cs="方正小标宋_GBK"/>
          <w:sz w:val="32"/>
          <w:szCs w:val="32"/>
          <w:lang w:eastAsia="zh-CN"/>
        </w:rPr>
        <w:t>年第</w:t>
      </w:r>
      <w:r>
        <w:rPr>
          <w:rFonts w:hint="eastAsia" w:ascii="方正小标宋_GBK" w:hAnsi="方正小标宋_GBK" w:eastAsia="方正小标宋_GBK" w:cs="方正小标宋_GBK"/>
          <w:sz w:val="32"/>
          <w:szCs w:val="32"/>
          <w:lang w:val="en-US" w:eastAsia="zh-CN"/>
        </w:rPr>
        <w:t>二</w:t>
      </w:r>
      <w:r>
        <w:rPr>
          <w:rFonts w:hint="eastAsia" w:ascii="方正小标宋_GBK" w:hAnsi="方正小标宋_GBK" w:eastAsia="方正小标宋_GBK" w:cs="方正小标宋_GBK"/>
          <w:sz w:val="32"/>
          <w:szCs w:val="32"/>
          <w:lang w:eastAsia="zh-CN"/>
        </w:rPr>
        <w:t>次协议库存物资招标采购</w:t>
      </w:r>
    </w:p>
    <w:p>
      <w:pPr>
        <w:adjustRightInd w:val="0"/>
        <w:snapToGrid w:val="0"/>
        <w:jc w:val="center"/>
        <w:rPr>
          <w:rFonts w:hint="eastAsia" w:ascii="方正小标宋_GBK" w:hAnsi="方正小标宋_GBK" w:eastAsia="方正小标宋_GBK" w:cs="方正小标宋_GBK"/>
          <w:sz w:val="32"/>
          <w:szCs w:val="32"/>
          <w:lang w:eastAsia="zh-CN"/>
        </w:rPr>
      </w:pPr>
      <w:r>
        <w:rPr>
          <w:rFonts w:hint="eastAsia" w:ascii="方正小标宋_GBK" w:hAnsi="方正小标宋_GBK" w:eastAsia="方正小标宋_GBK" w:cs="方正小标宋_GBK"/>
          <w:sz w:val="32"/>
          <w:szCs w:val="32"/>
          <w:lang w:eastAsia="zh-CN"/>
        </w:rPr>
        <w:t>招标公告</w:t>
      </w:r>
    </w:p>
    <w:p>
      <w:pPr>
        <w:pStyle w:val="4"/>
        <w:spacing w:line="564" w:lineRule="exact"/>
        <w:ind w:left="0" w:right="57"/>
        <w:jc w:val="center"/>
        <w:rPr>
          <w:rFonts w:hint="default" w:ascii="方正小标宋_GBK" w:hAnsi="方正小标宋_GBK" w:eastAsia="方正小标宋_GBK" w:cs="方正小标宋_GBK"/>
          <w:sz w:val="32"/>
          <w:szCs w:val="32"/>
          <w:lang w:val="en-US" w:eastAsia="zh-CN"/>
        </w:rPr>
      </w:pPr>
      <w:r>
        <w:rPr>
          <w:rFonts w:hint="eastAsia" w:ascii="方正小标宋_GBK" w:hAnsi="方正小标宋_GBK" w:eastAsia="方正小标宋_GBK" w:cs="方正小标宋_GBK"/>
          <w:sz w:val="32"/>
          <w:szCs w:val="32"/>
          <w:lang w:eastAsia="zh-CN"/>
        </w:rPr>
        <w:t>招标编号：282</w:t>
      </w:r>
      <w:r>
        <w:rPr>
          <w:rFonts w:hint="eastAsia" w:ascii="方正小标宋_GBK" w:hAnsi="方正小标宋_GBK" w:eastAsia="方正小标宋_GBK" w:cs="方正小标宋_GBK"/>
          <w:sz w:val="32"/>
          <w:szCs w:val="32"/>
          <w:lang w:val="en-US" w:eastAsia="zh-CN"/>
        </w:rPr>
        <w:t>208</w:t>
      </w:r>
    </w:p>
    <w:p>
      <w:pPr>
        <w:tabs>
          <w:tab w:val="left" w:pos="1118"/>
        </w:tabs>
        <w:spacing w:before="372"/>
        <w:ind w:right="56"/>
        <w:jc w:val="center"/>
        <w:rPr>
          <w:rFonts w:ascii="宋体" w:cs="宋体"/>
          <w:b/>
          <w:sz w:val="32"/>
          <w:szCs w:val="28"/>
          <w:lang w:eastAsia="zh-CN"/>
        </w:rPr>
      </w:pPr>
      <w:r>
        <w:rPr>
          <w:rFonts w:hint="eastAsia" w:ascii="宋体" w:hAnsi="宋体"/>
          <w:b/>
          <w:sz w:val="32"/>
          <w:szCs w:val="28"/>
          <w:lang w:eastAsia="zh-CN"/>
        </w:rPr>
        <w:t>（适用于资格后审）</w:t>
      </w:r>
    </w:p>
    <w:p>
      <w:pPr>
        <w:rPr>
          <w:rFonts w:ascii="宋体" w:cs="宋体"/>
          <w:sz w:val="20"/>
          <w:szCs w:val="20"/>
          <w:lang w:eastAsia="zh-CN"/>
        </w:rPr>
      </w:pPr>
    </w:p>
    <w:p>
      <w:pPr>
        <w:pStyle w:val="5"/>
        <w:spacing w:before="70"/>
        <w:ind w:right="161" w:firstLine="320" w:firstLineChars="100"/>
        <w:rPr>
          <w:rFonts w:hint="eastAsia" w:ascii="方正仿宋_GBK" w:hAnsi="方正仿宋_GBK" w:eastAsia="方正仿宋_GBK" w:cs="方正仿宋_GBK"/>
          <w:b/>
          <w:bCs w:val="0"/>
          <w:lang w:eastAsia="zh-CN"/>
        </w:rPr>
      </w:pPr>
      <w:bookmarkStart w:id="1" w:name="_bookmark2"/>
      <w:bookmarkEnd w:id="1"/>
      <w:r>
        <w:rPr>
          <w:rFonts w:hint="eastAsia" w:ascii="方正仿宋_GBK" w:hAnsi="方正仿宋_GBK" w:eastAsia="方正仿宋_GBK" w:cs="方正仿宋_GBK"/>
          <w:b/>
          <w:bCs w:val="0"/>
          <w:lang w:eastAsia="zh-CN"/>
        </w:rPr>
        <w:t>1. 招标条件</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pacing w:val="-2"/>
          <w:sz w:val="30"/>
          <w:szCs w:val="30"/>
          <w:lang w:eastAsia="zh-CN"/>
        </w:rPr>
      </w:pPr>
      <w:r>
        <w:rPr>
          <w:rFonts w:hint="eastAsia" w:ascii="方正仿宋_GBK" w:hAnsi="方正仿宋_GBK" w:eastAsia="方正仿宋_GBK" w:cs="方正仿宋_GBK"/>
          <w:sz w:val="30"/>
          <w:szCs w:val="30"/>
          <w:lang w:eastAsia="zh-CN"/>
        </w:rPr>
        <w:t>本招标项目</w:t>
      </w:r>
      <w:r>
        <w:rPr>
          <w:rFonts w:hint="eastAsia" w:ascii="方正仿宋_GBK" w:hAnsi="方正仿宋_GBK" w:eastAsia="方正仿宋_GBK" w:cs="方正仿宋_GBK"/>
          <w:spacing w:val="-1"/>
          <w:sz w:val="30"/>
          <w:szCs w:val="30"/>
          <w:lang w:eastAsia="zh-CN"/>
        </w:rPr>
        <w:t>招标人</w:t>
      </w:r>
      <w:r>
        <w:rPr>
          <w:rFonts w:hint="eastAsia" w:ascii="方正仿宋_GBK" w:hAnsi="方正仿宋_GBK" w:eastAsia="方正仿宋_GBK" w:cs="方正仿宋_GBK"/>
          <w:spacing w:val="-1"/>
          <w:sz w:val="30"/>
          <w:szCs w:val="30"/>
          <w:u w:val="none" w:color="auto"/>
          <w:lang w:eastAsia="zh-CN"/>
        </w:rPr>
        <w:t>为</w:t>
      </w:r>
      <w:r>
        <w:rPr>
          <w:rFonts w:hint="eastAsia" w:ascii="方正仿宋_GBK" w:hAnsi="方正仿宋_GBK" w:eastAsia="方正仿宋_GBK" w:cs="方正仿宋_GBK"/>
          <w:sz w:val="30"/>
          <w:szCs w:val="30"/>
          <w:u w:val="none" w:color="auto"/>
          <w:lang w:eastAsia="zh-CN"/>
        </w:rPr>
        <w:t>国网青海省电力公司</w:t>
      </w:r>
      <w:r>
        <w:rPr>
          <w:rFonts w:hint="eastAsia" w:ascii="方正仿宋_GBK" w:hAnsi="方正仿宋_GBK" w:eastAsia="方正仿宋_GBK" w:cs="方正仿宋_GBK"/>
          <w:spacing w:val="-1"/>
          <w:sz w:val="30"/>
          <w:szCs w:val="30"/>
          <w:u w:val="none" w:color="auto"/>
          <w:lang w:eastAsia="zh-CN"/>
        </w:rPr>
        <w:t>，招标项目资金来自</w:t>
      </w:r>
      <w:r>
        <w:rPr>
          <w:rFonts w:hint="eastAsia" w:ascii="方正仿宋_GBK" w:hAnsi="方正仿宋_GBK" w:eastAsia="方正仿宋_GBK" w:cs="方正仿宋_GBK"/>
          <w:color w:val="auto"/>
          <w:sz w:val="30"/>
          <w:szCs w:val="30"/>
          <w:highlight w:val="none"/>
          <w:u w:val="none" w:color="auto"/>
        </w:rPr>
        <w:t>项目单位自筹、银行贷款</w:t>
      </w:r>
      <w:r>
        <w:rPr>
          <w:rFonts w:hint="eastAsia" w:ascii="方正仿宋_GBK" w:hAnsi="方正仿宋_GBK" w:eastAsia="方正仿宋_GBK" w:cs="方正仿宋_GBK"/>
          <w:spacing w:val="-13"/>
          <w:sz w:val="30"/>
          <w:szCs w:val="30"/>
          <w:u w:val="none" w:color="auto"/>
          <w:lang w:eastAsia="zh-CN"/>
        </w:rPr>
        <w:t>，出资比例为100%</w:t>
      </w:r>
      <w:r>
        <w:rPr>
          <w:rFonts w:hint="eastAsia" w:ascii="方正仿宋_GBK" w:hAnsi="方正仿宋_GBK" w:eastAsia="方正仿宋_GBK" w:cs="方正仿宋_GBK"/>
          <w:spacing w:val="-4"/>
          <w:sz w:val="30"/>
          <w:szCs w:val="30"/>
          <w:u w:val="none" w:color="auto"/>
          <w:lang w:eastAsia="zh-CN"/>
        </w:rPr>
        <w:t>。该项目已具备招标条</w:t>
      </w:r>
      <w:r>
        <w:rPr>
          <w:rFonts w:hint="eastAsia" w:ascii="方正仿宋_GBK" w:hAnsi="方正仿宋_GBK" w:eastAsia="方正仿宋_GBK" w:cs="方正仿宋_GBK"/>
          <w:spacing w:val="-1"/>
          <w:sz w:val="30"/>
          <w:szCs w:val="30"/>
          <w:u w:val="none" w:color="auto"/>
          <w:lang w:eastAsia="zh-CN"/>
        </w:rPr>
        <w:t>件，现对该项目</w:t>
      </w:r>
      <w:r>
        <w:rPr>
          <w:rFonts w:hint="eastAsia" w:ascii="方正仿宋_GBK" w:hAnsi="方正仿宋_GBK" w:eastAsia="方正仿宋_GBK" w:cs="方正仿宋_GBK"/>
          <w:spacing w:val="-2"/>
          <w:sz w:val="30"/>
          <w:szCs w:val="30"/>
          <w:u w:val="none" w:color="auto"/>
          <w:lang w:eastAsia="zh-CN"/>
        </w:rPr>
        <w:t>采购进行公开招标</w:t>
      </w:r>
      <w:r>
        <w:rPr>
          <w:rFonts w:hint="eastAsia" w:ascii="方正仿宋_GBK" w:hAnsi="方正仿宋_GBK" w:eastAsia="方正仿宋_GBK" w:cs="方正仿宋_GBK"/>
          <w:spacing w:val="-2"/>
          <w:sz w:val="30"/>
          <w:szCs w:val="30"/>
          <w:lang w:eastAsia="zh-CN"/>
        </w:rPr>
        <w:t>。</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招标人委托国网青海电力招标代理有限公司（以下简称“招标代理机构”），采用公开招标方式邀请有兴趣的合格投标人（以下简称“投标人”）就国网青海省电力公司2022年第</w:t>
      </w:r>
      <w:r>
        <w:rPr>
          <w:rFonts w:hint="eastAsia" w:cs="方正仿宋_GBK"/>
          <w:sz w:val="30"/>
          <w:szCs w:val="30"/>
          <w:lang w:val="en-US" w:eastAsia="zh-CN"/>
        </w:rPr>
        <w:t>二</w:t>
      </w:r>
      <w:r>
        <w:rPr>
          <w:rFonts w:hint="eastAsia" w:ascii="方正仿宋_GBK" w:hAnsi="方正仿宋_GBK" w:eastAsia="方正仿宋_GBK" w:cs="方正仿宋_GBK"/>
          <w:sz w:val="30"/>
          <w:szCs w:val="30"/>
          <w:lang w:eastAsia="zh-CN"/>
        </w:rPr>
        <w:t>次协议库存物资招标采购项目的供货和服务提交密封的有竞争性的投标文件。</w:t>
      </w:r>
      <w:bookmarkStart w:id="2" w:name="_bookmark3"/>
      <w:bookmarkEnd w:id="2"/>
    </w:p>
    <w:p>
      <w:pPr>
        <w:pStyle w:val="5"/>
        <w:spacing w:before="70"/>
        <w:ind w:right="161"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2. 项目概况与招标范围</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招标货物及其数量、合同包个数</w:t>
      </w:r>
    </w:p>
    <w:tbl>
      <w:tblPr>
        <w:tblStyle w:val="34"/>
        <w:tblW w:w="9309" w:type="dxa"/>
        <w:jc w:val="center"/>
        <w:tblBorders>
          <w:top w:val="single" w:color="auto" w:sz="4" w:space="0"/>
          <w:left w:val="none" w:color="auto" w:sz="0" w:space="0"/>
          <w:bottom w:val="sing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433"/>
        <w:gridCol w:w="2084"/>
        <w:gridCol w:w="671"/>
        <w:gridCol w:w="903"/>
        <w:gridCol w:w="993"/>
        <w:gridCol w:w="1148"/>
        <w:gridCol w:w="2077"/>
      </w:tblGrid>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2" w:hRule="atLeast"/>
          <w:jc w:val="center"/>
        </w:trPr>
        <w:tc>
          <w:tcPr>
            <w:tcW w:w="1433" w:type="dxa"/>
            <w:vMerge w:val="restart"/>
            <w:tcBorders>
              <w:tl2br w:val="nil"/>
              <w:tr2bl w:val="nil"/>
            </w:tcBorders>
            <w:vAlign w:val="center"/>
          </w:tcPr>
          <w:p>
            <w:pPr>
              <w:adjustRightInd w:val="0"/>
              <w:snapToGrid w:val="0"/>
              <w:ind w:left="0" w:leftChars="0" w:firstLine="0" w:firstLineChars="0"/>
              <w:jc w:val="center"/>
              <w:rPr>
                <w:rFonts w:hint="eastAsia" w:ascii="宋体" w:hAnsi="宋体" w:eastAsia="宋体" w:cs="宋体"/>
                <w:b/>
                <w:sz w:val="18"/>
                <w:szCs w:val="18"/>
              </w:rPr>
            </w:pPr>
            <w:r>
              <w:rPr>
                <w:rFonts w:hint="eastAsia" w:ascii="宋体" w:hAnsi="宋体" w:eastAsia="宋体" w:cs="宋体"/>
                <w:b/>
                <w:sz w:val="18"/>
                <w:szCs w:val="18"/>
              </w:rPr>
              <w:t>分标编号</w:t>
            </w:r>
          </w:p>
        </w:tc>
        <w:tc>
          <w:tcPr>
            <w:tcW w:w="2084" w:type="dxa"/>
            <w:vMerge w:val="restart"/>
            <w:tcBorders>
              <w:tl2br w:val="nil"/>
              <w:tr2bl w:val="nil"/>
            </w:tcBorders>
            <w:vAlign w:val="center"/>
          </w:tcPr>
          <w:p>
            <w:pPr>
              <w:adjustRightInd w:val="0"/>
              <w:snapToGrid w:val="0"/>
              <w:ind w:left="0" w:leftChars="0" w:firstLine="0" w:firstLineChars="0"/>
              <w:jc w:val="center"/>
              <w:rPr>
                <w:rFonts w:hint="eastAsia" w:ascii="宋体" w:hAnsi="宋体" w:eastAsia="宋体" w:cs="宋体"/>
                <w:b/>
                <w:sz w:val="18"/>
                <w:szCs w:val="18"/>
              </w:rPr>
            </w:pPr>
            <w:r>
              <w:rPr>
                <w:rFonts w:hint="eastAsia" w:ascii="宋体" w:hAnsi="宋体" w:eastAsia="宋体" w:cs="宋体"/>
                <w:b/>
                <w:sz w:val="18"/>
                <w:szCs w:val="18"/>
              </w:rPr>
              <w:t>货物名称</w:t>
            </w:r>
          </w:p>
        </w:tc>
        <w:tc>
          <w:tcPr>
            <w:tcW w:w="671" w:type="dxa"/>
            <w:vMerge w:val="restart"/>
            <w:tcBorders>
              <w:tl2br w:val="nil"/>
              <w:tr2bl w:val="nil"/>
            </w:tcBorders>
            <w:vAlign w:val="center"/>
          </w:tcPr>
          <w:p>
            <w:pPr>
              <w:adjustRightInd w:val="0"/>
              <w:snapToGrid w:val="0"/>
              <w:ind w:left="0" w:leftChars="0" w:firstLine="0" w:firstLineChars="0"/>
              <w:jc w:val="center"/>
              <w:rPr>
                <w:rFonts w:hint="eastAsia" w:ascii="宋体" w:hAnsi="宋体" w:eastAsia="宋体" w:cs="宋体"/>
                <w:b/>
                <w:sz w:val="18"/>
                <w:szCs w:val="18"/>
              </w:rPr>
            </w:pPr>
            <w:r>
              <w:rPr>
                <w:rFonts w:hint="eastAsia" w:ascii="宋体" w:hAnsi="宋体" w:eastAsia="宋体" w:cs="宋体"/>
                <w:b/>
                <w:sz w:val="18"/>
                <w:szCs w:val="18"/>
              </w:rPr>
              <w:t>单位</w:t>
            </w:r>
          </w:p>
        </w:tc>
        <w:tc>
          <w:tcPr>
            <w:tcW w:w="903" w:type="dxa"/>
            <w:vMerge w:val="restart"/>
            <w:tcBorders>
              <w:tl2br w:val="nil"/>
              <w:tr2bl w:val="nil"/>
            </w:tcBorders>
            <w:vAlign w:val="center"/>
          </w:tcPr>
          <w:p>
            <w:pPr>
              <w:adjustRightInd w:val="0"/>
              <w:snapToGrid w:val="0"/>
              <w:ind w:left="0" w:leftChars="0" w:firstLine="0" w:firstLineChars="0"/>
              <w:jc w:val="center"/>
              <w:rPr>
                <w:rFonts w:hint="eastAsia" w:ascii="宋体" w:hAnsi="宋体" w:eastAsia="宋体" w:cs="宋体"/>
                <w:b/>
                <w:sz w:val="18"/>
                <w:szCs w:val="18"/>
              </w:rPr>
            </w:pPr>
            <w:r>
              <w:rPr>
                <w:rFonts w:hint="eastAsia" w:ascii="宋体" w:hAnsi="宋体" w:eastAsia="宋体" w:cs="宋体"/>
                <w:b/>
                <w:sz w:val="18"/>
                <w:szCs w:val="18"/>
              </w:rPr>
              <w:t>数量</w:t>
            </w:r>
          </w:p>
        </w:tc>
        <w:tc>
          <w:tcPr>
            <w:tcW w:w="2141" w:type="dxa"/>
            <w:gridSpan w:val="2"/>
            <w:tcBorders>
              <w:tl2br w:val="nil"/>
              <w:tr2bl w:val="nil"/>
            </w:tcBorders>
            <w:vAlign w:val="center"/>
          </w:tcPr>
          <w:p>
            <w:pPr>
              <w:adjustRightInd w:val="0"/>
              <w:snapToGrid w:val="0"/>
              <w:ind w:left="0" w:leftChars="0" w:firstLine="0" w:firstLineChars="0"/>
              <w:jc w:val="center"/>
              <w:rPr>
                <w:rFonts w:hint="eastAsia" w:ascii="宋体" w:hAnsi="宋体" w:eastAsia="宋体" w:cs="宋体"/>
                <w:b/>
                <w:sz w:val="18"/>
                <w:szCs w:val="18"/>
              </w:rPr>
            </w:pPr>
            <w:r>
              <w:rPr>
                <w:rFonts w:hint="eastAsia" w:ascii="宋体" w:hAnsi="宋体" w:eastAsia="宋体" w:cs="宋体"/>
                <w:b/>
                <w:sz w:val="18"/>
                <w:szCs w:val="18"/>
              </w:rPr>
              <w:t>合同包</w:t>
            </w:r>
          </w:p>
        </w:tc>
        <w:tc>
          <w:tcPr>
            <w:tcW w:w="2077" w:type="dxa"/>
            <w:vMerge w:val="restart"/>
            <w:tcBorders>
              <w:tl2br w:val="nil"/>
              <w:tr2bl w:val="nil"/>
            </w:tcBorders>
            <w:vAlign w:val="center"/>
          </w:tcPr>
          <w:p>
            <w:pPr>
              <w:adjustRightInd w:val="0"/>
              <w:snapToGrid w:val="0"/>
              <w:ind w:left="0" w:leftChars="0" w:firstLine="0" w:firstLineChars="0"/>
              <w:jc w:val="center"/>
              <w:rPr>
                <w:rFonts w:hint="eastAsia" w:ascii="宋体" w:hAnsi="宋体" w:eastAsia="宋体" w:cs="宋体"/>
                <w:b/>
                <w:sz w:val="18"/>
                <w:szCs w:val="18"/>
                <w:lang w:eastAsia="zh-CN"/>
              </w:rPr>
            </w:pPr>
            <w:r>
              <w:rPr>
                <w:rFonts w:hint="eastAsia" w:ascii="宋体" w:hAnsi="宋体" w:eastAsia="宋体" w:cs="宋体"/>
                <w:b/>
                <w:sz w:val="18"/>
                <w:szCs w:val="18"/>
                <w:lang w:eastAsia="zh-CN"/>
              </w:rPr>
              <w:t>自买方发出《供货单》后要求的交货期</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1433" w:type="dxa"/>
            <w:vMerge w:val="continue"/>
            <w:tcBorders>
              <w:tl2br w:val="nil"/>
              <w:tr2bl w:val="nil"/>
            </w:tcBorders>
            <w:vAlign w:val="center"/>
          </w:tcPr>
          <w:p>
            <w:pPr>
              <w:adjustRightInd w:val="0"/>
              <w:snapToGrid w:val="0"/>
              <w:jc w:val="center"/>
              <w:rPr>
                <w:rFonts w:hint="eastAsia" w:ascii="宋体" w:hAnsi="宋体" w:eastAsia="宋体" w:cs="宋体"/>
                <w:b/>
                <w:sz w:val="18"/>
                <w:szCs w:val="18"/>
                <w:lang w:eastAsia="zh-CN"/>
              </w:rPr>
            </w:pPr>
          </w:p>
        </w:tc>
        <w:tc>
          <w:tcPr>
            <w:tcW w:w="2084" w:type="dxa"/>
            <w:vMerge w:val="continue"/>
            <w:tcBorders>
              <w:tl2br w:val="nil"/>
              <w:tr2bl w:val="nil"/>
            </w:tcBorders>
            <w:vAlign w:val="bottom"/>
          </w:tcPr>
          <w:p>
            <w:pPr>
              <w:adjustRightInd w:val="0"/>
              <w:snapToGrid w:val="0"/>
              <w:jc w:val="center"/>
              <w:rPr>
                <w:rFonts w:hint="eastAsia" w:ascii="宋体" w:hAnsi="宋体" w:eastAsia="宋体" w:cs="宋体"/>
                <w:b/>
                <w:sz w:val="18"/>
                <w:szCs w:val="18"/>
                <w:lang w:eastAsia="zh-CN"/>
              </w:rPr>
            </w:pPr>
          </w:p>
        </w:tc>
        <w:tc>
          <w:tcPr>
            <w:tcW w:w="671" w:type="dxa"/>
            <w:vMerge w:val="continue"/>
            <w:tcBorders>
              <w:tl2br w:val="nil"/>
              <w:tr2bl w:val="nil"/>
            </w:tcBorders>
            <w:vAlign w:val="bottom"/>
          </w:tcPr>
          <w:p>
            <w:pPr>
              <w:adjustRightInd w:val="0"/>
              <w:snapToGrid w:val="0"/>
              <w:jc w:val="center"/>
              <w:rPr>
                <w:rFonts w:hint="eastAsia" w:ascii="宋体" w:hAnsi="宋体" w:eastAsia="宋体" w:cs="宋体"/>
                <w:b/>
                <w:sz w:val="18"/>
                <w:szCs w:val="18"/>
                <w:lang w:eastAsia="zh-CN"/>
              </w:rPr>
            </w:pPr>
          </w:p>
        </w:tc>
        <w:tc>
          <w:tcPr>
            <w:tcW w:w="903" w:type="dxa"/>
            <w:vMerge w:val="continue"/>
            <w:tcBorders>
              <w:tl2br w:val="nil"/>
              <w:tr2bl w:val="nil"/>
            </w:tcBorders>
            <w:vAlign w:val="bottom"/>
          </w:tcPr>
          <w:p>
            <w:pPr>
              <w:adjustRightInd w:val="0"/>
              <w:snapToGrid w:val="0"/>
              <w:jc w:val="center"/>
              <w:rPr>
                <w:rFonts w:hint="eastAsia" w:ascii="宋体" w:hAnsi="宋体" w:eastAsia="宋体" w:cs="宋体"/>
                <w:b/>
                <w:sz w:val="18"/>
                <w:szCs w:val="18"/>
                <w:lang w:eastAsia="zh-CN"/>
              </w:rPr>
            </w:pPr>
          </w:p>
        </w:tc>
        <w:tc>
          <w:tcPr>
            <w:tcW w:w="993" w:type="dxa"/>
            <w:tcBorders>
              <w:tl2br w:val="nil"/>
              <w:tr2bl w:val="nil"/>
            </w:tcBorders>
            <w:vAlign w:val="bottom"/>
          </w:tcPr>
          <w:p>
            <w:pPr>
              <w:adjustRightInd w:val="0"/>
              <w:snapToGrid w:val="0"/>
              <w:ind w:left="0" w:leftChars="0" w:firstLine="0" w:firstLineChars="0"/>
              <w:jc w:val="center"/>
              <w:rPr>
                <w:rFonts w:hint="eastAsia" w:ascii="宋体" w:hAnsi="宋体" w:eastAsia="宋体" w:cs="宋体"/>
                <w:b/>
                <w:sz w:val="18"/>
                <w:szCs w:val="18"/>
              </w:rPr>
            </w:pPr>
            <w:r>
              <w:rPr>
                <w:rFonts w:hint="eastAsia" w:ascii="宋体" w:hAnsi="宋体" w:eastAsia="宋体" w:cs="宋体"/>
                <w:b/>
                <w:sz w:val="18"/>
                <w:szCs w:val="18"/>
              </w:rPr>
              <w:t>个数</w:t>
            </w:r>
          </w:p>
        </w:tc>
        <w:tc>
          <w:tcPr>
            <w:tcW w:w="114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sz w:val="18"/>
                <w:szCs w:val="18"/>
                <w:lang w:eastAsia="zh-CN"/>
              </w:rPr>
            </w:pPr>
            <w:r>
              <w:rPr>
                <w:rFonts w:hint="eastAsia" w:ascii="宋体" w:hAnsi="宋体" w:eastAsia="宋体" w:cs="宋体"/>
                <w:b/>
                <w:sz w:val="18"/>
                <w:szCs w:val="18"/>
                <w:lang w:eastAsia="zh-CN"/>
              </w:rPr>
              <w:t>包号</w:t>
            </w:r>
          </w:p>
        </w:tc>
        <w:tc>
          <w:tcPr>
            <w:tcW w:w="2077" w:type="dxa"/>
            <w:vMerge w:val="continue"/>
            <w:tcBorders>
              <w:tl2br w:val="nil"/>
              <w:tr2bl w:val="nil"/>
            </w:tcBorders>
          </w:tcPr>
          <w:p>
            <w:pPr>
              <w:adjustRightInd w:val="0"/>
              <w:snapToGrid w:val="0"/>
              <w:jc w:val="center"/>
              <w:rPr>
                <w:rFonts w:hint="eastAsia" w:ascii="宋体" w:hAnsi="宋体" w:eastAsia="宋体" w:cs="宋体"/>
                <w:b/>
                <w:sz w:val="18"/>
                <w:szCs w:val="18"/>
                <w:lang w:eastAsia="zh-CN"/>
              </w:rPr>
            </w:pP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282208-1016004-9998</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低压开关柜</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台</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11</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1</w:t>
            </w:r>
          </w:p>
        </w:tc>
        <w:tc>
          <w:tcPr>
            <w:tcW w:w="114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282208-1007001-9999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组合互感器</w:t>
            </w:r>
          </w:p>
        </w:tc>
        <w:tc>
          <w:tcPr>
            <w:tcW w:w="671"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台</w:t>
            </w:r>
          </w:p>
        </w:tc>
        <w:tc>
          <w:tcPr>
            <w:tcW w:w="90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398</w:t>
            </w:r>
          </w:p>
        </w:tc>
        <w:tc>
          <w:tcPr>
            <w:tcW w:w="99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w:t>
            </w:r>
          </w:p>
        </w:tc>
        <w:tc>
          <w:tcPr>
            <w:tcW w:w="1148"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包1~包2</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9"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282208-1107007-0001</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配电终端(TTU)</w:t>
            </w:r>
          </w:p>
        </w:tc>
        <w:tc>
          <w:tcPr>
            <w:tcW w:w="671"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套</w:t>
            </w:r>
          </w:p>
        </w:tc>
        <w:tc>
          <w:tcPr>
            <w:tcW w:w="90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91</w:t>
            </w:r>
          </w:p>
        </w:tc>
        <w:tc>
          <w:tcPr>
            <w:tcW w:w="99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1</w:t>
            </w:r>
          </w:p>
        </w:tc>
        <w:tc>
          <w:tcPr>
            <w:tcW w:w="114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282208-1101029-9998</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故障录波及时间同步装置</w:t>
            </w:r>
          </w:p>
        </w:tc>
        <w:tc>
          <w:tcPr>
            <w:tcW w:w="671"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套</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33</w:t>
            </w:r>
          </w:p>
        </w:tc>
        <w:tc>
          <w:tcPr>
            <w:tcW w:w="99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1</w:t>
            </w:r>
          </w:p>
        </w:tc>
        <w:tc>
          <w:tcPr>
            <w:tcW w:w="114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282208-1307013-0001</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通信单元（tcd0a1）</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只</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36400</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1</w:t>
            </w:r>
          </w:p>
        </w:tc>
        <w:tc>
          <w:tcPr>
            <w:tcW w:w="114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282208-1307013-0002</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通信单元（ssc6763）</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只</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147100</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w:t>
            </w:r>
          </w:p>
        </w:tc>
        <w:tc>
          <w:tcPr>
            <w:tcW w:w="114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包1~包2</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282208-1410007-9999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复合绝缘横担</w:t>
            </w:r>
          </w:p>
        </w:tc>
        <w:tc>
          <w:tcPr>
            <w:tcW w:w="671"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套</w:t>
            </w:r>
          </w:p>
        </w:tc>
        <w:tc>
          <w:tcPr>
            <w:tcW w:w="90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1668</w:t>
            </w:r>
          </w:p>
        </w:tc>
        <w:tc>
          <w:tcPr>
            <w:tcW w:w="99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1</w:t>
            </w:r>
          </w:p>
        </w:tc>
        <w:tc>
          <w:tcPr>
            <w:tcW w:w="114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282208-1600000-9999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接地模块</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块</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612</w:t>
            </w:r>
          </w:p>
        </w:tc>
        <w:tc>
          <w:tcPr>
            <w:tcW w:w="99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1</w:t>
            </w:r>
          </w:p>
        </w:tc>
        <w:tc>
          <w:tcPr>
            <w:tcW w:w="114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282208-1406030-9999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接地铁</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付</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2903</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4</w:t>
            </w:r>
          </w:p>
        </w:tc>
        <w:tc>
          <w:tcPr>
            <w:tcW w:w="1148"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包1~包4</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282208-1401014-9999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超高性能混凝土杆</w:t>
            </w:r>
          </w:p>
        </w:tc>
        <w:tc>
          <w:tcPr>
            <w:tcW w:w="671"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根</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720</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1</w:t>
            </w:r>
          </w:p>
        </w:tc>
        <w:tc>
          <w:tcPr>
            <w:tcW w:w="114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282208-1401004-9999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复合材料杆</w:t>
            </w:r>
          </w:p>
        </w:tc>
        <w:tc>
          <w:tcPr>
            <w:tcW w:w="671"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根</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62</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1</w:t>
            </w:r>
          </w:p>
        </w:tc>
        <w:tc>
          <w:tcPr>
            <w:tcW w:w="114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282208-1401007-9999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水泥制品</w:t>
            </w:r>
          </w:p>
        </w:tc>
        <w:tc>
          <w:tcPr>
            <w:tcW w:w="671"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块</w:t>
            </w:r>
          </w:p>
        </w:tc>
        <w:tc>
          <w:tcPr>
            <w:tcW w:w="90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32938</w:t>
            </w:r>
          </w:p>
        </w:tc>
        <w:tc>
          <w:tcPr>
            <w:tcW w:w="99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3</w:t>
            </w:r>
          </w:p>
        </w:tc>
        <w:tc>
          <w:tcPr>
            <w:tcW w:w="114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包1~包3</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282208-1405014-9999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拉紧绝缘子</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只</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9832</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1</w:t>
            </w:r>
          </w:p>
        </w:tc>
        <w:tc>
          <w:tcPr>
            <w:tcW w:w="114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282208-1405029-9999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交流盘形悬式瓷复合绝缘子</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片</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 xml:space="preserve">33304 </w:t>
            </w:r>
          </w:p>
        </w:tc>
        <w:tc>
          <w:tcPr>
            <w:tcW w:w="99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5</w:t>
            </w:r>
          </w:p>
        </w:tc>
        <w:tc>
          <w:tcPr>
            <w:tcW w:w="1148"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包1~包5</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r>
        <w:tblPrEx>
          <w:tblBorders>
            <w:top w:val="single" w:color="auto" w:sz="4" w:space="0"/>
            <w:left w:val="none" w:color="auto" w:sz="0" w:space="0"/>
            <w:bottom w:val="sing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97" w:hRule="atLeast"/>
          <w:jc w:val="center"/>
        </w:trPr>
        <w:tc>
          <w:tcPr>
            <w:tcW w:w="143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282208-1502009-9999</w:t>
            </w:r>
          </w:p>
        </w:tc>
        <w:tc>
          <w:tcPr>
            <w:tcW w:w="2084"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防鸟设备</w:t>
            </w:r>
          </w:p>
        </w:tc>
        <w:tc>
          <w:tcPr>
            <w:tcW w:w="671"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台</w:t>
            </w:r>
          </w:p>
        </w:tc>
        <w:tc>
          <w:tcPr>
            <w:tcW w:w="903"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240182</w:t>
            </w:r>
          </w:p>
        </w:tc>
        <w:tc>
          <w:tcPr>
            <w:tcW w:w="993"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10</w:t>
            </w:r>
          </w:p>
        </w:tc>
        <w:tc>
          <w:tcPr>
            <w:tcW w:w="1148" w:type="dxa"/>
            <w:tcBorders>
              <w:tl2br w:val="nil"/>
              <w:tr2bl w:val="nil"/>
            </w:tcBorders>
            <w:vAlign w:val="center"/>
          </w:tcPr>
          <w:p>
            <w:pPr>
              <w:adjustRightInd w:val="0"/>
              <w:snapToGrid w:val="0"/>
              <w:ind w:left="0" w:leftChars="0" w:firstLine="0" w:firstLineChars="0"/>
              <w:jc w:val="center"/>
              <w:rPr>
                <w:rFonts w:hint="default"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包1~包10</w:t>
            </w:r>
          </w:p>
        </w:tc>
        <w:tc>
          <w:tcPr>
            <w:tcW w:w="2077" w:type="dxa"/>
            <w:tcBorders>
              <w:tl2br w:val="nil"/>
              <w:tr2bl w:val="nil"/>
            </w:tcBorders>
            <w:vAlign w:val="center"/>
          </w:tcPr>
          <w:p>
            <w:pPr>
              <w:adjustRightInd w:val="0"/>
              <w:snapToGrid w:val="0"/>
              <w:ind w:left="0" w:leftChars="0" w:firstLine="0" w:firstLineChars="0"/>
              <w:jc w:val="center"/>
              <w:rPr>
                <w:rFonts w:hint="eastAsia" w:ascii="宋体" w:hAnsi="宋体" w:eastAsia="宋体" w:cs="宋体"/>
                <w:b w:val="0"/>
                <w:bCs/>
                <w:sz w:val="18"/>
                <w:szCs w:val="18"/>
                <w:lang w:val="en-US" w:eastAsia="zh-CN"/>
              </w:rPr>
            </w:pPr>
            <w:r>
              <w:rPr>
                <w:rFonts w:hint="eastAsia" w:ascii="宋体" w:hAnsi="宋体" w:eastAsia="宋体" w:cs="宋体"/>
                <w:b w:val="0"/>
                <w:bCs/>
                <w:sz w:val="18"/>
                <w:szCs w:val="18"/>
                <w:lang w:val="en-US" w:eastAsia="zh-CN"/>
              </w:rPr>
              <w:t>以采购供货单为准</w:t>
            </w:r>
          </w:p>
        </w:tc>
      </w:tr>
    </w:tbl>
    <w:p>
      <w:pPr>
        <w:adjustRightInd w:val="0"/>
        <w:snapToGrid w:val="0"/>
        <w:ind w:left="0" w:leftChars="0" w:firstLine="0" w:firstLineChars="0"/>
        <w:jc w:val="center"/>
        <w:rPr>
          <w:rFonts w:hint="eastAsia" w:ascii="宋体" w:hAnsi="宋体" w:eastAsia="宋体" w:cs="宋体"/>
          <w:b w:val="0"/>
          <w:bCs/>
          <w:sz w:val="20"/>
          <w:szCs w:val="20"/>
          <w:lang w:val="en-US" w:eastAsia="zh-CN"/>
        </w:rPr>
      </w:pPr>
    </w:p>
    <w:p>
      <w:pPr>
        <w:spacing w:before="15"/>
        <w:ind w:firstLine="103" w:firstLineChars="49"/>
        <w:rPr>
          <w:b/>
          <w:sz w:val="21"/>
          <w:szCs w:val="21"/>
          <w:lang w:eastAsia="zh-CN"/>
        </w:rPr>
      </w:pPr>
      <w:r>
        <w:rPr>
          <w:rFonts w:hint="eastAsia"/>
          <w:b/>
          <w:sz w:val="21"/>
          <w:szCs w:val="21"/>
          <w:lang w:eastAsia="zh-CN"/>
        </w:rPr>
        <w:t>货物清单单独成册，是本公告附件。</w:t>
      </w:r>
    </w:p>
    <w:p>
      <w:pPr>
        <w:pStyle w:val="5"/>
        <w:spacing w:before="70"/>
        <w:ind w:right="161" w:firstLine="320" w:firstLineChars="100"/>
        <w:rPr>
          <w:rFonts w:hint="eastAsia" w:ascii="方正仿宋_GBK" w:hAnsi="方正仿宋_GBK" w:eastAsia="方正仿宋_GBK" w:cs="方正仿宋_GBK"/>
          <w:b/>
          <w:bCs w:val="0"/>
          <w:lang w:eastAsia="zh-CN"/>
        </w:rPr>
      </w:pPr>
      <w:bookmarkStart w:id="3" w:name="_bookmark4"/>
      <w:bookmarkEnd w:id="3"/>
      <w:r>
        <w:rPr>
          <w:rFonts w:hint="eastAsia" w:ascii="方正仿宋_GBK" w:hAnsi="方正仿宋_GBK" w:eastAsia="方正仿宋_GBK" w:cs="方正仿宋_GBK"/>
          <w:b/>
          <w:bCs w:val="0"/>
          <w:lang w:eastAsia="zh-CN"/>
        </w:rPr>
        <w:t>3. 投标人资格要求</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bookmarkStart w:id="4" w:name="_bookmark5"/>
      <w:bookmarkEnd w:id="4"/>
      <w:r>
        <w:rPr>
          <w:rFonts w:hint="eastAsia" w:ascii="方正仿宋_GBK" w:hAnsi="方正仿宋_GBK" w:eastAsia="方正仿宋_GBK" w:cs="方正仿宋_GBK"/>
          <w:sz w:val="30"/>
          <w:szCs w:val="30"/>
          <w:lang w:eastAsia="zh-CN"/>
        </w:rPr>
        <w:t>本次招标要求投标人须为中华人民共和国境内依法注册的法人或其他组织，须具备相应货物的制造能力，并在人员、设备、资金等方面具有保障如期交货等承担招标项目的能力。除特别注明外，这些资格、资质、业绩均系投标人本企业所拥有的权利权益。</w:t>
      </w:r>
    </w:p>
    <w:p>
      <w:pPr>
        <w:pStyle w:val="5"/>
        <w:spacing w:before="70"/>
        <w:ind w:right="161"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3.1 通用资格要求：</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3.1.1</w:t>
      </w:r>
      <w:r>
        <w:rPr>
          <w:rFonts w:hint="eastAsia" w:ascii="方正仿宋_GBK" w:hAnsi="方正仿宋_GBK" w:eastAsia="方正仿宋_GBK" w:cs="方正仿宋_GBK"/>
          <w:sz w:val="30"/>
          <w:szCs w:val="30"/>
          <w:lang w:eastAsia="zh-CN"/>
        </w:rPr>
        <w:t>必须具有生产投标产品所需的生产场地、生产设备、生产人员、产品及元器件检测能力。这些制造、检测能力应当分别相等或者优于《2021年版配（农）网物资供应商资质能力核实标准》（国家电网公司电子商务平台公开发布）提出的制造、检测设备。</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3.1.2</w:t>
      </w:r>
      <w:r>
        <w:rPr>
          <w:rFonts w:hint="eastAsia" w:ascii="方正仿宋_GBK" w:hAnsi="方正仿宋_GBK" w:eastAsia="方正仿宋_GBK" w:cs="方正仿宋_GBK"/>
          <w:sz w:val="30"/>
          <w:szCs w:val="30"/>
          <w:lang w:eastAsia="zh-CN"/>
        </w:rPr>
        <w:t>设计制造过</w:t>
      </w:r>
      <w:r>
        <w:rPr>
          <w:rFonts w:hint="eastAsia" w:ascii="方正仿宋_GBK" w:hAnsi="方正仿宋_GBK" w:eastAsia="方正仿宋_GBK" w:cs="方正仿宋_GBK"/>
          <w:sz w:val="30"/>
          <w:szCs w:val="30"/>
          <w:lang w:val="en-US" w:eastAsia="zh-CN"/>
        </w:rPr>
        <w:t>程</w:t>
      </w:r>
      <w:r>
        <w:rPr>
          <w:rFonts w:hint="eastAsia" w:ascii="方正仿宋_GBK" w:hAnsi="方正仿宋_GBK" w:eastAsia="方正仿宋_GBK" w:cs="方正仿宋_GBK"/>
          <w:sz w:val="30"/>
          <w:szCs w:val="30"/>
          <w:lang w:eastAsia="zh-CN"/>
        </w:rPr>
        <w:t>与投标产品相同结构、相同型式、同等或以上技术规格的产品。在与规范相同或较规范更严格的条件下，该产品的投运数量及其成功运行时间或者合同数量满足要求。如同一包内存在不同类别的设备，则投标人须分别满足包内各类别设备的资格要求。</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3.1.3</w:t>
      </w:r>
      <w:r>
        <w:rPr>
          <w:rFonts w:hint="eastAsia" w:ascii="方正仿宋_GBK" w:hAnsi="方正仿宋_GBK" w:eastAsia="方正仿宋_GBK" w:cs="方正仿宋_GBK"/>
          <w:sz w:val="30"/>
          <w:szCs w:val="30"/>
          <w:lang w:eastAsia="zh-CN"/>
        </w:rPr>
        <w:t>投标产品以及专门资格条件接受外购外协的产品、组件，取得国际专业权威机构或者国家级专业检验检测机构出具的产品有效试验报告，且试验报告检测项目、结果数据、检测有效期符合相应产品最新国家、行业标准以及本次招标技术规范的规定：</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国家、行业已经发布相应产品标准的，投标人须取得国家级权威检验检测机构出具的型式试验报告；</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国家、行业尚未发布相应产品标准的，投标人须取得国家级权威检验检测机构出具的专业检测报告。专业检测是指国家电网公司新技术产品或者根据现场运行需要，委托国家级检验检测机构公开邀请进行的专门检测活动。</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各类试验报告均系针对具体型式规格产品的试验报告。</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3.1.4</w:t>
      </w:r>
      <w:r>
        <w:rPr>
          <w:rFonts w:hint="eastAsia" w:ascii="方正仿宋_GBK" w:hAnsi="方正仿宋_GBK" w:eastAsia="方正仿宋_GBK" w:cs="方正仿宋_GBK"/>
          <w:sz w:val="30"/>
          <w:szCs w:val="30"/>
          <w:lang w:eastAsia="zh-CN"/>
        </w:rPr>
        <w:t>取得国家法律、法规、部门规章规定的有效许可证件。</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3.1.5</w:t>
      </w:r>
      <w:r>
        <w:rPr>
          <w:rFonts w:hint="eastAsia" w:ascii="方正仿宋_GBK" w:hAnsi="方正仿宋_GBK" w:eastAsia="方正仿宋_GBK" w:cs="方正仿宋_GBK"/>
          <w:sz w:val="30"/>
          <w:szCs w:val="30"/>
          <w:lang w:eastAsia="zh-CN"/>
        </w:rPr>
        <w:t>投标人取得有效的ISO9000系列质量保证体系认证书。</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3.1.6</w:t>
      </w:r>
      <w:r>
        <w:rPr>
          <w:rFonts w:hint="eastAsia" w:ascii="方正仿宋_GBK" w:hAnsi="方正仿宋_GBK" w:eastAsia="方正仿宋_GBK" w:cs="方正仿宋_GBK"/>
          <w:sz w:val="30"/>
          <w:szCs w:val="30"/>
          <w:lang w:eastAsia="zh-CN"/>
        </w:rPr>
        <w:t>取得招标文件要求的有效认证证书。</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3.1.7</w:t>
      </w:r>
      <w:r>
        <w:rPr>
          <w:rFonts w:hint="eastAsia" w:ascii="方正仿宋_GBK" w:hAnsi="方正仿宋_GBK" w:eastAsia="方正仿宋_GBK" w:cs="方正仿宋_GBK"/>
          <w:sz w:val="30"/>
          <w:szCs w:val="30"/>
          <w:lang w:eastAsia="zh-CN"/>
        </w:rPr>
        <w:t>法定代表人或单位负责人为同一人或者存在控股、管理关系的不同单位，不得参加同一标包投标或者未划分标包的同一招标项目投标。</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3.1.8</w:t>
      </w:r>
      <w:r>
        <w:rPr>
          <w:rFonts w:hint="eastAsia" w:ascii="方正仿宋_GBK" w:hAnsi="方正仿宋_GBK" w:eastAsia="方正仿宋_GBK" w:cs="方正仿宋_GBK"/>
          <w:sz w:val="30"/>
          <w:szCs w:val="30"/>
          <w:lang w:eastAsia="zh-CN"/>
        </w:rPr>
        <w:t>应有良好的财务状况，具体要求详见招标文件第2章投标人须知第3.5.2规定。</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3.1.9</w:t>
      </w:r>
      <w:r>
        <w:rPr>
          <w:rFonts w:hint="eastAsia" w:ascii="方正仿宋_GBK" w:hAnsi="方正仿宋_GBK" w:eastAsia="方正仿宋_GBK" w:cs="方正仿宋_GBK"/>
          <w:sz w:val="30"/>
          <w:szCs w:val="30"/>
          <w:lang w:eastAsia="zh-CN"/>
        </w:rPr>
        <w:t>本招标活动不接受贴牌代工的投标以及其他任何分包行为的投标。</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3.1.10</w:t>
      </w:r>
      <w:r>
        <w:rPr>
          <w:rFonts w:hint="eastAsia" w:ascii="方正仿宋_GBK" w:hAnsi="方正仿宋_GBK" w:eastAsia="方正仿宋_GBK" w:cs="方正仿宋_GBK"/>
          <w:sz w:val="30"/>
          <w:szCs w:val="30"/>
          <w:lang w:eastAsia="zh-CN"/>
        </w:rPr>
        <w:t>提供的同类材料未因该材料原因出现过质量问题（或出现过质量问题，但已采取了有效的整改措施及善后处理，并通过国家电网公司或所在省公司的验收。</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3.1.11</w:t>
      </w:r>
      <w:r>
        <w:rPr>
          <w:rFonts w:hint="eastAsia" w:ascii="方正仿宋_GBK" w:hAnsi="方正仿宋_GBK" w:eastAsia="方正仿宋_GBK" w:cs="方正仿宋_GBK"/>
          <w:sz w:val="30"/>
          <w:szCs w:val="30"/>
          <w:lang w:eastAsia="zh-CN"/>
        </w:rPr>
        <w:t>在国内材料销售合同执行过程中，未因严重质量问题而造成批量退货（退货量占合同金额10%及以上）或严重影响施工，或出现过其它重大问题，但已采取了有效的整改措施及善后处理，并通过国家电网公司或所在省公司的验收。</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3.1.12</w:t>
      </w:r>
      <w:r>
        <w:rPr>
          <w:rFonts w:hint="eastAsia" w:ascii="方正仿宋_GBK" w:hAnsi="方正仿宋_GBK" w:eastAsia="方正仿宋_GBK" w:cs="方正仿宋_GBK"/>
          <w:sz w:val="30"/>
          <w:szCs w:val="30"/>
          <w:lang w:eastAsia="zh-CN"/>
        </w:rPr>
        <w:t>在国内材料销售合同执行过程中，未因货物和/或投标人图纸的交付拖延问题而严重影响施工和工程进度，或出现过其它重大问题，但已采取了有效的整改措施及善后处理，并通过国家电网公司或所在国网省级电力公司的验收。</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3.1.13</w:t>
      </w:r>
      <w:r>
        <w:rPr>
          <w:rFonts w:hint="eastAsia" w:ascii="方正仿宋_GBK" w:hAnsi="方正仿宋_GBK" w:eastAsia="方正仿宋_GBK" w:cs="方正仿宋_GBK"/>
          <w:sz w:val="30"/>
          <w:szCs w:val="30"/>
          <w:lang w:eastAsia="zh-CN"/>
        </w:rPr>
        <w:t>按照《国家电网公司供应商不良行为处理管理细则》规定，未存在因不良行为导致本批次暂停、取消或永久取消中标资格的。</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3.1.14</w:t>
      </w:r>
      <w:r>
        <w:rPr>
          <w:rFonts w:hint="eastAsia" w:ascii="方正仿宋_GBK" w:hAnsi="方正仿宋_GBK" w:eastAsia="方正仿宋_GBK" w:cs="方正仿宋_GBK"/>
          <w:sz w:val="30"/>
          <w:szCs w:val="30"/>
          <w:lang w:eastAsia="zh-CN"/>
        </w:rPr>
        <w:t>投标人不得选配国家电网公司《关于供应商不良行为处理情况的通报》和青海省电力公司《关于供应商不良行为处理的通报/公告》（此名称应与各单位在ECP平台中发布的不良行为处理公告名称保持一致）中正在接受暂停中标资格、取消中标资格的制造商或外购外协供应商或代理（集成服务）原厂商的相应处理范围内的产品。</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3.1.15根据《企业信息公示暂行条例》，投标人不得被工商行政管理机关在国家企业信用信息公示系统中列入“经营异常名录”或者“严重违法失信企业名单”。（查询日期应在投标截止日前20天内，查询结果应为网站自动生成的PDF文件），未提供有效国家企业信用信息公示系统（www.gsxt.gov.cn）查询结果的，其投标文件作否决投标处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3.1.16根据最高人民法院、国家发展改革委、国家铁路局等九部门联合印发的《关于在招标投标活动中对失信被执行人实施联合惩戒的通知》（法〔2016〕285号），投标人不得存在违法失信行为，不得被“信用中国”网站（www.creditchina.gov.cn）列入“黑名单”（查询日期应在投标截止日前20天内，查询结果应为网站自动生成的信用信息报告PDF文件），未提供有效“信用中国”网站（www.creditchina.gov.cn）查询结果的，其投标文件作否决投标处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3.1.17在实际招标采购过程中，一旦发现投标文件有下列情形，可认定为串通投标：</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3.1.17.1不同投标人的投标文件由同一单位或者个人编制，不同电子投标文件通过同一台电脑制作、上传。</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3.1.17.2不同投标人委托同一单位或者个人办理应答事宜，如同一个单位派人或者同一个人代表不同投标人购买招标文件、递交投标文件、踏勘现场、提出异议、澄清答复、领取中标通知书等；通过邮件、快递形式寄出投标文件或收取中标通知书的，如不同投标人寄出、收件地址或人员相同的。</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3.1.17.3不同投标人的投标文件载明的项目管理成员为同一人，其存在串通应答的可能性极大，应当先行给予认定，除非投标人能够证明其不存在串通投标的行为。</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3.1.17.4不同投标人的投标文件异常一致或者应答报价呈规律性差异，主要表现为投标文件错误表述、错误计算或者笔误雷同，投标文件内容整段内容一致，投标文件排版格式一致，投标报价呈等差数列或有规律性的百分比等。</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3.1.17.5不同投标人的投标文件上所加盖印章、签字相同的，不同投标人的投标文件相互混装，“你中有我，我中有你”。</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3.1.17.6不同投标人的投标保证金从同一单位或者个人的账户转出，包括虽然经由投标人自己的基本账户转出但所需资金均是来自同一投标人或者个人的账户的。</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3.1.17.7招投标实现电子化的情形下，不同投标人从同一个投标单位或者同一个自然人的IP地址下载招标文件或者上传投标文件；不同投标人的电子投标文件编制时的计算机硬件信息中存在一条及以上的计算机网卡MAC地址（如有）、CPU序列号和硬盘序列号均相同的；不同投标人的电子投标文件上传计算机的网卡MAC地址、CPU序列号和硬盘序列号等硬件信息均相同的（开标现场上传电子投标文件的除外）。</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3.1.17.8举报人提供的投标人串通应答证据，经相关部门核实属实的。</w:t>
      </w:r>
    </w:p>
    <w:p>
      <w:pPr>
        <w:pStyle w:val="5"/>
        <w:spacing w:before="70"/>
        <w:ind w:right="-340" w:rightChars="0"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3.2各类货物专门具体资质业绩要求事项及其数据、状态分别如下：</w:t>
      </w:r>
    </w:p>
    <w:tbl>
      <w:tblPr>
        <w:tblStyle w:val="34"/>
        <w:tblW w:w="1038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515"/>
        <w:gridCol w:w="1740"/>
        <w:gridCol w:w="3030"/>
        <w:gridCol w:w="1440"/>
        <w:gridCol w:w="265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分标名称</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供货业绩</w:t>
            </w:r>
          </w:p>
        </w:tc>
        <w:tc>
          <w:tcPr>
            <w:tcW w:w="30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kern w:val="0"/>
                <w:sz w:val="18"/>
                <w:szCs w:val="18"/>
                <w:u w:val="none"/>
                <w:lang w:val="en-US" w:eastAsia="zh-CN" w:bidi="ar"/>
              </w:rPr>
            </w:pPr>
            <w:r>
              <w:rPr>
                <w:rFonts w:hint="eastAsia" w:ascii="宋体" w:hAnsi="宋体" w:eastAsia="宋体" w:cs="宋体"/>
                <w:b/>
                <w:i w:val="0"/>
                <w:color w:val="000000"/>
                <w:kern w:val="0"/>
                <w:sz w:val="18"/>
                <w:szCs w:val="18"/>
                <w:u w:val="none"/>
                <w:lang w:val="en-US" w:eastAsia="zh-CN" w:bidi="ar"/>
              </w:rPr>
              <w:t>生产试验设备</w:t>
            </w:r>
          </w:p>
        </w:tc>
        <w:tc>
          <w:tcPr>
            <w:tcW w:w="14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kern w:val="0"/>
                <w:sz w:val="18"/>
                <w:szCs w:val="18"/>
                <w:u w:val="none"/>
                <w:lang w:val="en-US" w:eastAsia="zh-CN" w:bidi="ar"/>
              </w:rPr>
            </w:pPr>
            <w:r>
              <w:rPr>
                <w:rFonts w:hint="eastAsia" w:ascii="宋体" w:hAnsi="宋体" w:eastAsia="宋体" w:cs="宋体"/>
                <w:b/>
                <w:i w:val="0"/>
                <w:color w:val="000000"/>
                <w:kern w:val="0"/>
                <w:sz w:val="18"/>
                <w:szCs w:val="18"/>
                <w:u w:val="none"/>
                <w:lang w:val="en-US" w:eastAsia="zh-CN" w:bidi="ar"/>
              </w:rPr>
              <w:t>认证证书</w:t>
            </w: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kern w:val="0"/>
                <w:sz w:val="18"/>
                <w:szCs w:val="18"/>
                <w:u w:val="none"/>
                <w:lang w:val="en-US" w:eastAsia="zh-CN" w:bidi="ar"/>
              </w:rPr>
            </w:pPr>
            <w:r>
              <w:rPr>
                <w:rFonts w:hint="eastAsia" w:ascii="宋体" w:hAnsi="宋体" w:eastAsia="宋体" w:cs="宋体"/>
                <w:b/>
                <w:i w:val="0"/>
                <w:color w:val="000000"/>
                <w:kern w:val="0"/>
                <w:sz w:val="18"/>
                <w:szCs w:val="18"/>
                <w:u w:val="none"/>
                <w:lang w:val="en-US" w:eastAsia="zh-CN" w:bidi="ar"/>
              </w:rPr>
              <w:t>产品型式试验报告或检测报告或鉴定报告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近三年累计销售业绩不少于500台</w:t>
            </w:r>
          </w:p>
        </w:tc>
        <w:tc>
          <w:tcPr>
            <w:tcW w:w="30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具有完整的制造、工艺装备和试验设备；具有同等电压等级及以上开关柜研发、设计、制造和出厂试验的能力</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组合互感器</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近三年累计销售业绩不少于1000台</w:t>
            </w:r>
          </w:p>
        </w:tc>
        <w:tc>
          <w:tcPr>
            <w:tcW w:w="3030" w:type="dxa"/>
            <w:tcBorders>
              <w:top w:val="single" w:color="000000" w:sz="4" w:space="0"/>
              <w:left w:val="single" w:color="000000" w:sz="4" w:space="0"/>
              <w:bottom w:val="single" w:color="000000" w:sz="4" w:space="0"/>
              <w:right w:val="nil"/>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具有同类型完整的制造、工艺装备和试验设备（需提供制造、工艺装备和试验设备清单）；具有同类型产品的研发、设计、制造和出厂检测能力</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配电终端(TTU)</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近三年累计销售业绩不少于1000套</w:t>
            </w:r>
          </w:p>
        </w:tc>
        <w:tc>
          <w:tcPr>
            <w:tcW w:w="3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附件3：配电自动化设备招标技术参数的差异及要求</w:t>
            </w:r>
            <w:r>
              <w:rPr>
                <w:rFonts w:hint="eastAsia" w:ascii="宋体" w:hAnsi="宋体" w:eastAsia="宋体" w:cs="宋体"/>
                <w:i w:val="0"/>
                <w:color w:val="000000"/>
                <w:kern w:val="0"/>
                <w:sz w:val="18"/>
                <w:szCs w:val="18"/>
                <w:u w:val="none"/>
                <w:lang w:val="en-US" w:eastAsia="zh-CN" w:bidi="ar"/>
              </w:rPr>
              <w:object>
                <v:shape id="_x0000_i1025" o:spt="75" type="#_x0000_t75" style="height:66pt;width:72.75pt;" o:ole="t" filled="f" o:preferrelative="t" stroked="f" coordsize="21600,21600">
                  <v:path/>
                  <v:fill on="f" focussize="0,0"/>
                  <v:stroke on="f"/>
                  <v:imagedata r:id="rId10" o:title=""/>
                  <o:lock v:ext="edit" aspectratio="t"/>
                  <w10:wrap type="none"/>
                  <w10:anchorlock/>
                </v:shape>
                <o:OLEObject Type="Embed" ProgID="Word.Document.8" ShapeID="_x0000_i1025" DrawAspect="Icon" ObjectID="_1468075725" r:id="rId9">
                  <o:LockedField>false</o:LockedField>
                </o:OLEObject>
              </w:obje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故障录波装置及时间同步装置</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近三年累计销售业绩各不少于50套</w:t>
            </w:r>
          </w:p>
        </w:tc>
        <w:tc>
          <w:tcPr>
            <w:tcW w:w="3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具有同类型完整的制造、工艺装备和试验设备（需提供制造、工艺装备和试验设备清单）；具有同类型产品的研发、设计、制造和出厂检测能力</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通信单元（tcd0a1）</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近三年累计销售业绩不少于20000只</w:t>
            </w:r>
          </w:p>
        </w:tc>
        <w:tc>
          <w:tcPr>
            <w:tcW w:w="3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具有同类型完整的制造、工艺装备和试验设备（需提供制造、工艺装备和试验设备清单）；具有同类型产品的研发、设计、制造和出厂检测能力</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通信单元（ssc6763）</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近三年累计销售业绩不少于20000只</w:t>
            </w:r>
          </w:p>
        </w:tc>
        <w:tc>
          <w:tcPr>
            <w:tcW w:w="30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具有同类型完整的制造、工艺装备和试验设备（需提供制造、工艺装备和试验设备清单）；具有同类型产品的研发、设计、制造和出厂检测能力</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复合绝缘横担</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30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具有同类型完整的制造、工艺装备和试验设备（需提供制造、工艺装备和试验设备清单）；具有同类型产品的研发、设计、制造和出厂检测能力</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接地模块</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30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近三年累计销售业绩不少于100付</w:t>
            </w:r>
          </w:p>
        </w:tc>
        <w:tc>
          <w:tcPr>
            <w:tcW w:w="30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w:t>
            </w:r>
          </w:p>
        </w:tc>
        <w:tc>
          <w:tcPr>
            <w:tcW w:w="30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具有同类型完整的制造、工艺装备和试验设备（需提供制造、工艺装备和试验设备清单）；具有同类型产品的研发、设计、制造和出厂检测能力</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Theme="minorEastAsia" w:hAnsiTheme="minorEastAsia" w:eastAsiaTheme="minorEastAsia" w:cstheme="minorEastAsia"/>
                <w:i w:val="0"/>
                <w:color w:val="000000"/>
                <w:kern w:val="0"/>
                <w:sz w:val="18"/>
                <w:szCs w:val="18"/>
                <w:highlight w:val="none"/>
                <w:u w:val="none"/>
                <w:lang w:val="en-US" w:eastAsia="zh-CN" w:bidi="ar"/>
              </w:rPr>
              <w:t>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复合材料杆</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30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水泥制品</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30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具有同类型完整的制造、工艺装备和试验设备（需提供制造、工艺装备和试验设备清单）；具有同类型产品的研发、设计、制造和出厂检测能力</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近三年累计销售业绩不少于200000只</w:t>
            </w:r>
          </w:p>
        </w:tc>
        <w:tc>
          <w:tcPr>
            <w:tcW w:w="30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具有同类型完整的制造、工艺装备和试验设备（需提供制造、工艺装备和试验设备清单）；具有同类型产品的研发、设计、制造和出厂检测能力</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0"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交流盘形悬式瓷复合绝缘子</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c>
          <w:tcPr>
            <w:tcW w:w="30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具有同类型完整的制造、工艺装备和试验设备（需提供制造、工艺装备和试验设备清单）；具有同类型产品的研发、设计、制造和出厂检测能力</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提供国家认可第三方权威检测机构的有效的型式试验报告（检测报告或鉴定报告）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900" w:hRule="atLeast"/>
        </w:trPr>
        <w:tc>
          <w:tcPr>
            <w:tcW w:w="151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174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近三年累计销售业绩不少于10000台</w:t>
            </w:r>
          </w:p>
        </w:tc>
        <w:tc>
          <w:tcPr>
            <w:tcW w:w="30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具有完整的制造、工艺装备和试验设备（需提供制造、工艺装备和试验设备清单）；具有同类型产品研发、设计、制造和出厂检测的能力</w:t>
            </w:r>
          </w:p>
        </w:tc>
        <w:tc>
          <w:tcPr>
            <w:tcW w:w="144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ISO9000系列质量管理体系认证</w:t>
            </w: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提供国家认可第三方权威检测机构的有效的型式试验报告（检测报告或鉴定报告）</w:t>
            </w:r>
          </w:p>
        </w:tc>
      </w:tr>
    </w:tbl>
    <w:p>
      <w:pPr>
        <w:pStyle w:val="5"/>
        <w:spacing w:before="70"/>
        <w:ind w:right="-340" w:rightChars="0"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3.3本次招标不接受联合体投标。</w:t>
      </w:r>
    </w:p>
    <w:p>
      <w:pPr>
        <w:pStyle w:val="5"/>
        <w:spacing w:before="70"/>
        <w:ind w:right="-340" w:rightChars="0"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3.4本次招标不接受代理商投标。</w:t>
      </w:r>
    </w:p>
    <w:p>
      <w:pPr>
        <w:pStyle w:val="5"/>
        <w:spacing w:before="70"/>
        <w:ind w:right="-340" w:rightChars="0"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4.招标文件获取</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4.1本次实行网上发售电子版招标文件，不再出售纸质招标文件。凡有意参加投标者，请于202</w:t>
      </w:r>
      <w:r>
        <w:rPr>
          <w:rFonts w:hint="eastAsia" w:ascii="方正仿宋_GBK" w:hAnsi="方正仿宋_GBK" w:eastAsia="方正仿宋_GBK" w:cs="方正仿宋_GBK"/>
          <w:sz w:val="30"/>
          <w:szCs w:val="30"/>
          <w:lang w:val="en-US" w:eastAsia="zh-CN"/>
        </w:rPr>
        <w:t>2</w:t>
      </w:r>
      <w:r>
        <w:rPr>
          <w:rFonts w:hint="eastAsia" w:ascii="方正仿宋_GBK" w:hAnsi="方正仿宋_GBK" w:eastAsia="方正仿宋_GBK" w:cs="方正仿宋_GBK"/>
          <w:sz w:val="30"/>
          <w:szCs w:val="30"/>
          <w:lang w:eastAsia="zh-CN"/>
        </w:rPr>
        <w:t>年</w:t>
      </w:r>
      <w:r>
        <w:rPr>
          <w:rFonts w:hint="eastAsia" w:cs="方正仿宋_GBK"/>
          <w:sz w:val="30"/>
          <w:szCs w:val="30"/>
          <w:lang w:val="en-US" w:eastAsia="zh-CN"/>
        </w:rPr>
        <w:t>10</w:t>
      </w:r>
      <w:r>
        <w:rPr>
          <w:rFonts w:hint="eastAsia" w:ascii="方正仿宋_GBK" w:hAnsi="方正仿宋_GBK" w:eastAsia="方正仿宋_GBK" w:cs="方正仿宋_GBK"/>
          <w:sz w:val="30"/>
          <w:szCs w:val="30"/>
          <w:lang w:eastAsia="zh-CN"/>
        </w:rPr>
        <w:t>月</w:t>
      </w:r>
      <w:r>
        <w:rPr>
          <w:rFonts w:hint="eastAsia" w:ascii="方正仿宋_GBK" w:hAnsi="方正仿宋_GBK" w:eastAsia="方正仿宋_GBK" w:cs="方正仿宋_GBK"/>
          <w:sz w:val="30"/>
          <w:szCs w:val="30"/>
          <w:lang w:val="en-US" w:eastAsia="zh-CN"/>
        </w:rPr>
        <w:t>2</w:t>
      </w:r>
      <w:r>
        <w:rPr>
          <w:rFonts w:hint="eastAsia" w:cs="方正仿宋_GBK"/>
          <w:sz w:val="30"/>
          <w:szCs w:val="30"/>
          <w:lang w:val="en-US" w:eastAsia="zh-CN"/>
        </w:rPr>
        <w:t>5</w:t>
      </w:r>
      <w:r>
        <w:rPr>
          <w:rFonts w:hint="eastAsia" w:ascii="方正仿宋_GBK" w:hAnsi="方正仿宋_GBK" w:eastAsia="方正仿宋_GBK" w:cs="方正仿宋_GBK"/>
          <w:sz w:val="30"/>
          <w:szCs w:val="30"/>
          <w:lang w:eastAsia="zh-CN"/>
        </w:rPr>
        <w:t>日至202</w:t>
      </w:r>
      <w:r>
        <w:rPr>
          <w:rFonts w:hint="eastAsia" w:ascii="方正仿宋_GBK" w:hAnsi="方正仿宋_GBK" w:eastAsia="方正仿宋_GBK" w:cs="方正仿宋_GBK"/>
          <w:sz w:val="30"/>
          <w:szCs w:val="30"/>
          <w:lang w:val="en-US" w:eastAsia="zh-CN"/>
        </w:rPr>
        <w:t>2</w:t>
      </w:r>
      <w:r>
        <w:rPr>
          <w:rFonts w:hint="eastAsia" w:ascii="方正仿宋_GBK" w:hAnsi="方正仿宋_GBK" w:eastAsia="方正仿宋_GBK" w:cs="方正仿宋_GBK"/>
          <w:sz w:val="30"/>
          <w:szCs w:val="30"/>
          <w:lang w:eastAsia="zh-CN"/>
        </w:rPr>
        <w:t>年</w:t>
      </w:r>
      <w:r>
        <w:rPr>
          <w:rFonts w:hint="eastAsia" w:cs="方正仿宋_GBK"/>
          <w:sz w:val="30"/>
          <w:szCs w:val="30"/>
          <w:lang w:val="en-US" w:eastAsia="zh-CN"/>
        </w:rPr>
        <w:t>10</w:t>
      </w:r>
      <w:r>
        <w:rPr>
          <w:rFonts w:hint="eastAsia" w:ascii="方正仿宋_GBK" w:hAnsi="方正仿宋_GBK" w:eastAsia="方正仿宋_GBK" w:cs="方正仿宋_GBK"/>
          <w:sz w:val="30"/>
          <w:szCs w:val="30"/>
          <w:lang w:eastAsia="zh-CN"/>
        </w:rPr>
        <w:t>月</w:t>
      </w:r>
      <w:r>
        <w:rPr>
          <w:rFonts w:hint="eastAsia" w:cs="方正仿宋_GBK"/>
          <w:sz w:val="30"/>
          <w:szCs w:val="30"/>
          <w:lang w:val="en-US" w:eastAsia="zh-CN"/>
        </w:rPr>
        <w:t>30</w:t>
      </w:r>
      <w:r>
        <w:rPr>
          <w:rFonts w:hint="eastAsia" w:ascii="方正仿宋_GBK" w:hAnsi="方正仿宋_GBK" w:eastAsia="方正仿宋_GBK" w:cs="方正仿宋_GBK"/>
          <w:sz w:val="30"/>
          <w:szCs w:val="30"/>
          <w:lang w:eastAsia="zh-CN"/>
        </w:rPr>
        <w:t>日下午17:30时前（北京时间），登陆招标人招投标信息系统（国家电网公司新一代电子商务平台：</w:t>
      </w:r>
      <w:r>
        <w:rPr>
          <w:rFonts w:hint="eastAsia" w:ascii="方正仿宋_GBK" w:hAnsi="方正仿宋_GBK" w:eastAsia="方正仿宋_GBK" w:cs="方正仿宋_GBK"/>
          <w:sz w:val="30"/>
          <w:szCs w:val="30"/>
          <w:lang w:eastAsia="zh-CN"/>
        </w:rPr>
        <w:fldChar w:fldCharType="begin"/>
      </w:r>
      <w:r>
        <w:rPr>
          <w:rFonts w:hint="eastAsia" w:ascii="方正仿宋_GBK" w:hAnsi="方正仿宋_GBK" w:eastAsia="方正仿宋_GBK" w:cs="方正仿宋_GBK"/>
          <w:sz w:val="30"/>
          <w:szCs w:val="30"/>
          <w:lang w:eastAsia="zh-CN"/>
        </w:rPr>
        <w:instrText xml:space="preserve"> HYPERLINK "https://ecp.sgcc.com.cn/ecp2.0/portal/）凭企业CA证书电子钥匙报名并下载招标文件。投标人应妥善保管电子商务平台账号和密码，以及CFCA数字证书和密码，因上述账号、数字证书或密码保管不当造成的损失，由投标人自行承担。请使用谷歌浏览器（推荐71版本）打开上述网址，电脑配置推荐使用WIN7、WIN8、WIN10系统。" </w:instrText>
      </w:r>
      <w:r>
        <w:rPr>
          <w:rFonts w:hint="eastAsia" w:ascii="方正仿宋_GBK" w:hAnsi="方正仿宋_GBK" w:eastAsia="方正仿宋_GBK" w:cs="方正仿宋_GBK"/>
          <w:sz w:val="30"/>
          <w:szCs w:val="30"/>
          <w:lang w:eastAsia="zh-CN"/>
        </w:rPr>
        <w:fldChar w:fldCharType="separate"/>
      </w:r>
      <w:r>
        <w:rPr>
          <w:rFonts w:hint="eastAsia" w:ascii="方正仿宋_GBK" w:hAnsi="方正仿宋_GBK" w:eastAsia="方正仿宋_GBK" w:cs="方正仿宋_GBK"/>
          <w:sz w:val="30"/>
          <w:szCs w:val="30"/>
          <w:lang w:eastAsia="zh-CN"/>
        </w:rPr>
        <w:t>https://ecp.sgcc.com.cn/ecp2.0/portal/）凭企业CA证书电子钥匙</w:t>
      </w:r>
      <w:r>
        <w:rPr>
          <w:rFonts w:hint="eastAsia" w:ascii="方正仿宋_GBK" w:hAnsi="方正仿宋_GBK" w:eastAsia="方正仿宋_GBK" w:cs="方正仿宋_GBK"/>
          <w:sz w:val="30"/>
          <w:szCs w:val="30"/>
          <w:lang w:val="en-US" w:eastAsia="zh-CN"/>
        </w:rPr>
        <w:t>报名</w:t>
      </w:r>
      <w:r>
        <w:rPr>
          <w:rFonts w:hint="eastAsia" w:ascii="方正仿宋_GBK" w:hAnsi="方正仿宋_GBK" w:eastAsia="方正仿宋_GBK" w:cs="方正仿宋_GBK"/>
          <w:sz w:val="30"/>
          <w:szCs w:val="30"/>
          <w:lang w:eastAsia="zh-CN"/>
        </w:rPr>
        <w:t>并下载招标文件。投标人应妥善保管电子商务平台账号和密码，以及CFCA数字证书和密码，因上述账号、数字证书或密码保管不当造成的损失，由投标人自行承担。请使用谷歌浏览器（推荐71版本）打开上述网址，电脑配置推荐使用WIN7、WIN8、WIN10系统。</w:t>
      </w:r>
      <w:r>
        <w:rPr>
          <w:rFonts w:hint="eastAsia" w:ascii="方正仿宋_GBK" w:hAnsi="方正仿宋_GBK" w:eastAsia="方正仿宋_GBK" w:cs="方正仿宋_GBK"/>
          <w:sz w:val="30"/>
          <w:szCs w:val="30"/>
          <w:lang w:eastAsia="zh-CN"/>
        </w:rPr>
        <w:fldChar w:fldCharType="end"/>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4</w:t>
      </w:r>
      <w:r>
        <w:rPr>
          <w:rFonts w:hint="eastAsia" w:ascii="方正仿宋_GBK" w:hAnsi="方正仿宋_GBK" w:eastAsia="方正仿宋_GBK" w:cs="方正仿宋_GBK"/>
          <w:sz w:val="30"/>
          <w:szCs w:val="30"/>
          <w:lang w:eastAsia="zh-CN"/>
        </w:rPr>
        <w:t>.2招标文件（电子文件）免费获取，各潜在投标人无需支付获取招标文件款项。</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4</w:t>
      </w:r>
      <w:r>
        <w:rPr>
          <w:rFonts w:hint="eastAsia" w:ascii="方正仿宋_GBK" w:hAnsi="方正仿宋_GBK" w:eastAsia="方正仿宋_GBK" w:cs="方正仿宋_GBK"/>
          <w:sz w:val="30"/>
          <w:szCs w:val="30"/>
          <w:lang w:eastAsia="zh-CN"/>
        </w:rPr>
        <w:t>.3</w:t>
      </w:r>
      <w:r>
        <w:rPr>
          <w:rFonts w:hint="eastAsia" w:ascii="方正仿宋_GBK" w:hAnsi="方正仿宋_GBK" w:eastAsia="方正仿宋_GBK" w:cs="方正仿宋_GBK"/>
          <w:sz w:val="30"/>
          <w:szCs w:val="30"/>
          <w:lang w:val="en-US" w:eastAsia="zh-CN"/>
        </w:rPr>
        <w:t>关于国家电网新一代电子商务平台的具体操作详见国家电网新一代电子商务平台首页（https://ecp.sgcc.com.cn/ecp2.0/portal/）的新手指南</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技术</w:t>
      </w:r>
      <w:r>
        <w:rPr>
          <w:rFonts w:hint="eastAsia" w:ascii="方正仿宋_GBK" w:hAnsi="方正仿宋_GBK" w:eastAsia="方正仿宋_GBK" w:cs="方正仿宋_GBK"/>
          <w:sz w:val="30"/>
          <w:szCs w:val="30"/>
          <w:lang w:eastAsia="zh-CN"/>
        </w:rPr>
        <w:t>支持</w:t>
      </w:r>
      <w:r>
        <w:rPr>
          <w:rFonts w:hint="eastAsia" w:ascii="方正仿宋_GBK" w:hAnsi="方正仿宋_GBK" w:eastAsia="方正仿宋_GBK" w:cs="方正仿宋_GBK"/>
          <w:sz w:val="30"/>
          <w:szCs w:val="30"/>
          <w:lang w:val="en-US" w:eastAsia="zh-CN"/>
        </w:rPr>
        <w:t>服务热线</w:t>
      </w:r>
      <w:r>
        <w:rPr>
          <w:rFonts w:hint="eastAsia" w:ascii="方正仿宋_GBK" w:hAnsi="方正仿宋_GBK" w:eastAsia="方正仿宋_GBK" w:cs="方正仿宋_GBK"/>
          <w:sz w:val="30"/>
          <w:szCs w:val="30"/>
          <w:lang w:eastAsia="zh-CN"/>
        </w:rPr>
        <w:t>：010-63411000。</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cs="方正仿宋_GBK"/>
          <w:sz w:val="30"/>
          <w:szCs w:val="30"/>
          <w:lang w:val="en-US" w:eastAsia="zh-CN"/>
        </w:rPr>
        <w:t>4</w:t>
      </w:r>
      <w:r>
        <w:rPr>
          <w:rFonts w:hint="eastAsia" w:ascii="方正仿宋_GBK" w:hAnsi="方正仿宋_GBK" w:eastAsia="方正仿宋_GBK" w:cs="方正仿宋_GBK"/>
          <w:sz w:val="30"/>
          <w:szCs w:val="30"/>
          <w:lang w:eastAsia="zh-CN"/>
        </w:rPr>
        <w:t>.4投标保证金</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cs="方正仿宋_GBK"/>
          <w:sz w:val="30"/>
          <w:szCs w:val="30"/>
          <w:lang w:val="en-US" w:eastAsia="zh-CN"/>
        </w:rPr>
        <w:t>4.4.</w:t>
      </w:r>
      <w:r>
        <w:rPr>
          <w:rFonts w:hint="eastAsia" w:ascii="方正仿宋_GBK" w:hAnsi="方正仿宋_GBK" w:eastAsia="方正仿宋_GBK" w:cs="方正仿宋_GBK"/>
          <w:sz w:val="30"/>
          <w:szCs w:val="30"/>
          <w:lang w:val="en-US" w:eastAsia="zh-CN"/>
        </w:rPr>
        <w:t>1以现金或者支票形式提交的投标保证金应当从潜在投标人基本账户转出。</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cs="方正仿宋_GBK"/>
          <w:sz w:val="30"/>
          <w:szCs w:val="30"/>
          <w:lang w:val="en-US" w:eastAsia="zh-CN"/>
        </w:rPr>
        <w:t>4.4.</w:t>
      </w:r>
      <w:r>
        <w:rPr>
          <w:rFonts w:hint="eastAsia" w:ascii="方正仿宋_GBK" w:hAnsi="方正仿宋_GBK" w:eastAsia="方正仿宋_GBK" w:cs="方正仿宋_GBK"/>
          <w:sz w:val="30"/>
          <w:szCs w:val="30"/>
          <w:lang w:val="en-US" w:eastAsia="zh-CN"/>
        </w:rPr>
        <w:t>2以银行保函形式提交的投标保证金，由信誉良好的具备开具保函资格的地市级及以上银行分行开出，有效期应与投标有效期一致。</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cs="方正仿宋_GBK"/>
          <w:sz w:val="30"/>
          <w:szCs w:val="30"/>
          <w:lang w:val="en-US" w:eastAsia="zh-CN"/>
        </w:rPr>
        <w:t>4.4.</w:t>
      </w:r>
      <w:r>
        <w:rPr>
          <w:rFonts w:hint="eastAsia" w:ascii="方正仿宋_GBK" w:hAnsi="方正仿宋_GBK" w:eastAsia="方正仿宋_GBK" w:cs="方正仿宋_GBK"/>
          <w:sz w:val="30"/>
          <w:szCs w:val="30"/>
          <w:lang w:val="en-US" w:eastAsia="zh-CN"/>
        </w:rPr>
        <w:t>3以保险形式提交的保证金，应提供保证金保险支付账号信息。保险责任需满足招标人的要求，投标保证保险单作为有效的投标文件依据，由有经营该业务资格的保险公司开出。保险公司承担投标人投标违约行为的一切赔偿。</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cs="方正仿宋_GBK"/>
          <w:sz w:val="30"/>
          <w:szCs w:val="30"/>
          <w:lang w:val="en-US" w:eastAsia="zh-CN"/>
        </w:rPr>
        <w:t>4.4.</w:t>
      </w:r>
      <w:r>
        <w:rPr>
          <w:rFonts w:hint="eastAsia" w:ascii="方正仿宋_GBK" w:hAnsi="方正仿宋_GBK" w:eastAsia="方正仿宋_GBK" w:cs="方正仿宋_GBK"/>
          <w:sz w:val="30"/>
          <w:szCs w:val="30"/>
          <w:lang w:val="en-US" w:eastAsia="zh-CN"/>
        </w:rPr>
        <w:t>4推荐使用保险或银行保函的方式提交。若采用银行电汇等其他方式提交保证金，请提前联系招标代理机构报备，联系电话0971-6076764。</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投标保证金以保险、银行电汇或银行保函方式提交的，在付款用途栏（或摘要、备注、附言）写明（如：28220</w:t>
      </w:r>
      <w:r>
        <w:rPr>
          <w:rFonts w:hint="eastAsia" w:cs="方正仿宋_GBK"/>
          <w:sz w:val="30"/>
          <w:szCs w:val="30"/>
          <w:lang w:val="en-US" w:eastAsia="zh-CN"/>
        </w:rPr>
        <w:t>8</w:t>
      </w:r>
      <w:r>
        <w:rPr>
          <w:rFonts w:hint="eastAsia" w:ascii="方正仿宋_GBK" w:hAnsi="方正仿宋_GBK" w:eastAsia="方正仿宋_GBK" w:cs="方正仿宋_GBK"/>
          <w:sz w:val="30"/>
          <w:szCs w:val="30"/>
          <w:lang w:eastAsia="zh-CN"/>
        </w:rPr>
        <w:t>-XXXXXXX</w:t>
      </w:r>
      <w:r>
        <w:rPr>
          <w:rFonts w:hint="eastAsia" w:cs="方正仿宋_GBK"/>
          <w:sz w:val="30"/>
          <w:szCs w:val="30"/>
          <w:lang w:val="en-US" w:eastAsia="zh-CN"/>
        </w:rPr>
        <w:t>-0001</w:t>
      </w:r>
      <w:r>
        <w:rPr>
          <w:rFonts w:hint="eastAsia" w:ascii="方正仿宋_GBK" w:hAnsi="方正仿宋_GBK" w:eastAsia="方正仿宋_GBK" w:cs="方正仿宋_GBK"/>
          <w:sz w:val="30"/>
          <w:szCs w:val="30"/>
          <w:lang w:eastAsia="zh-CN"/>
        </w:rPr>
        <w:t>保证金），并确保投标保证金在投标截止时间之前到账，投标人在递交投标文件的同时提供加盖公章的“基本账户银行开户许可证”（如已提交给过我公司财务并无变更的，可不提供）。</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收款单位：国网青海电力招标代理有限公司</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开户行：中国工商银行股份有限公司西宁宁新支行</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银行帐号：2806026809100002525</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投标保证金联系人：石女士          联系电话：0971-6076855</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default" w:eastAsia="方正仿宋_GBK"/>
          <w:lang w:val="en-US" w:eastAsia="zh-CN"/>
        </w:rPr>
      </w:pPr>
      <w:r>
        <w:rPr>
          <w:rFonts w:hint="eastAsia" w:ascii="方正仿宋_GBK" w:hAnsi="方正仿宋_GBK" w:eastAsia="方正仿宋_GBK" w:cs="方正仿宋_GBK"/>
          <w:sz w:val="30"/>
          <w:szCs w:val="30"/>
          <w:lang w:eastAsia="zh-CN"/>
        </w:rPr>
        <w:t>退还投标保证金请联系：</w:t>
      </w:r>
      <w:r>
        <w:rPr>
          <w:rFonts w:hint="eastAsia" w:ascii="方正仿宋_GBK" w:hAnsi="方正仿宋_GBK" w:eastAsia="方正仿宋_GBK" w:cs="方正仿宋_GBK"/>
          <w:sz w:val="30"/>
          <w:szCs w:val="30"/>
          <w:lang w:val="en-US" w:eastAsia="zh-CN"/>
        </w:rPr>
        <w:t>魏</w:t>
      </w:r>
      <w:r>
        <w:rPr>
          <w:rFonts w:hint="eastAsia" w:ascii="方正仿宋_GBK" w:hAnsi="方正仿宋_GBK" w:eastAsia="方正仿宋_GBK" w:cs="方正仿宋_GBK"/>
          <w:sz w:val="30"/>
          <w:szCs w:val="30"/>
          <w:lang w:eastAsia="zh-CN"/>
        </w:rPr>
        <w:t>经理      联系电话：0971-60767</w:t>
      </w:r>
      <w:r>
        <w:rPr>
          <w:rFonts w:hint="eastAsia" w:ascii="方正仿宋_GBK" w:hAnsi="方正仿宋_GBK" w:eastAsia="方正仿宋_GBK" w:cs="方正仿宋_GBK"/>
          <w:sz w:val="30"/>
          <w:szCs w:val="30"/>
          <w:lang w:val="en-US" w:eastAsia="zh-CN"/>
        </w:rPr>
        <w:t>64</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cs="方正仿宋_GBK"/>
          <w:sz w:val="30"/>
          <w:szCs w:val="30"/>
          <w:lang w:val="en-US" w:eastAsia="zh-CN"/>
        </w:rPr>
        <w:t>4.4.</w:t>
      </w:r>
      <w:r>
        <w:rPr>
          <w:rFonts w:hint="eastAsia" w:ascii="方正仿宋_GBK" w:hAnsi="方正仿宋_GBK" w:eastAsia="方正仿宋_GBK" w:cs="方正仿宋_GBK"/>
          <w:sz w:val="30"/>
          <w:szCs w:val="30"/>
          <w:lang w:val="en-US" w:eastAsia="zh-CN"/>
        </w:rPr>
        <w:t>5</w:t>
      </w:r>
      <w:r>
        <w:rPr>
          <w:rFonts w:hint="eastAsia" w:ascii="方正仿宋_GBK" w:hAnsi="方正仿宋_GBK" w:eastAsia="方正仿宋_GBK" w:cs="方正仿宋_GBK"/>
          <w:sz w:val="30"/>
          <w:szCs w:val="30"/>
          <w:lang w:eastAsia="zh-CN"/>
        </w:rPr>
        <w:t>投标人应提供证明其基本账户的开户许可证复印件。投标人基本账户发生变化应及时通知招标人，因未及时通知而造成的一切责任自负。</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cs="方正仿宋_GBK"/>
          <w:sz w:val="30"/>
          <w:szCs w:val="30"/>
          <w:lang w:val="en-US" w:eastAsia="zh-CN"/>
        </w:rPr>
        <w:t>4.4.</w:t>
      </w:r>
      <w:r>
        <w:rPr>
          <w:rFonts w:hint="eastAsia" w:ascii="方正仿宋_GBK" w:hAnsi="方正仿宋_GBK" w:eastAsia="方正仿宋_GBK" w:cs="方正仿宋_GBK"/>
          <w:sz w:val="30"/>
          <w:szCs w:val="30"/>
          <w:lang w:val="en-US" w:eastAsia="zh-CN"/>
        </w:rPr>
        <w:t>6</w:t>
      </w:r>
      <w:r>
        <w:rPr>
          <w:rFonts w:hint="eastAsia" w:ascii="方正仿宋_GBK" w:hAnsi="方正仿宋_GBK" w:eastAsia="方正仿宋_GBK" w:cs="方正仿宋_GBK"/>
          <w:sz w:val="30"/>
          <w:szCs w:val="30"/>
          <w:lang w:eastAsia="zh-CN"/>
        </w:rPr>
        <w:t>投标人应以所报价的标为单位提交投标保证金，作为投标文件的组成部分之一。投标保证金有效期与投标文件有效期一致。</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cs="方正仿宋_GBK"/>
          <w:sz w:val="30"/>
          <w:szCs w:val="30"/>
          <w:lang w:val="en-US" w:eastAsia="zh-CN"/>
        </w:rPr>
        <w:t>4.4.</w:t>
      </w:r>
      <w:r>
        <w:rPr>
          <w:rFonts w:hint="eastAsia" w:ascii="方正仿宋_GBK" w:hAnsi="方正仿宋_GBK" w:eastAsia="方正仿宋_GBK" w:cs="方正仿宋_GBK"/>
          <w:sz w:val="30"/>
          <w:szCs w:val="30"/>
          <w:lang w:val="en-US" w:eastAsia="zh-CN"/>
        </w:rPr>
        <w:t>7</w:t>
      </w:r>
      <w:r>
        <w:rPr>
          <w:rFonts w:hint="eastAsia" w:ascii="方正仿宋_GBK" w:hAnsi="方正仿宋_GBK" w:eastAsia="方正仿宋_GBK" w:cs="方正仿宋_GBK"/>
          <w:sz w:val="30"/>
          <w:szCs w:val="30"/>
          <w:lang w:eastAsia="zh-CN"/>
        </w:rPr>
        <w:t>投标保证金的递交：投标保证金以分标为单位提交，且仅需提交所投分标中投标报价最高包的投标保证金。如投标人提交的投标保证金不足，则该分标中投标保证金不足包的投标将被否决。请投标人在递交投标保证金时务必注明所担保的分标名称，如未注明，则按照其所投分标的序号顺序从小到大依次核定。</w:t>
      </w:r>
    </w:p>
    <w:tbl>
      <w:tblPr>
        <w:tblStyle w:val="34"/>
        <w:tblW w:w="8430" w:type="dxa"/>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358"/>
        <w:gridCol w:w="4072"/>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包的投标价格</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包的投标保证金（元）</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20万以下（不含20万）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可免于提交投标保证金</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20万－50万（含20万）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50万－100万（含50万）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5,000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100万－200万（含100万）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200万－300万（含200万）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300万－500万（含300万）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500万－700万（含500万）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50,000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700万－1000万（含700万）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1000万－2000万（含1000万）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2000万－3000万（含2000万）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3000万－4000万（含3000万）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4000万-6000万（含4000万）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400,000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6000万及以上（含6000万）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800,000</w:t>
            </w:r>
          </w:p>
        </w:tc>
      </w:tr>
    </w:tbl>
    <w:p>
      <w:pPr>
        <w:pStyle w:val="2"/>
        <w:rPr>
          <w:rFonts w:hint="eastAsia"/>
          <w:lang w:val="en-US" w:eastAsia="zh-CN"/>
        </w:rPr>
      </w:pPr>
      <w:r>
        <w:rPr>
          <w:rFonts w:hint="eastAsia"/>
          <w:lang w:val="en-US" w:eastAsia="zh-CN"/>
        </w:rPr>
        <w:t>4</w:t>
      </w:r>
      <w:r>
        <w:rPr>
          <w:rFonts w:hint="eastAsia"/>
        </w:rPr>
        <w:t>.5</w:t>
      </w:r>
      <w:r>
        <w:rPr>
          <w:rFonts w:hint="eastAsia"/>
          <w:b/>
          <w:bCs/>
          <w:color w:val="FF0000"/>
        </w:rPr>
        <w:t>投标保证金</w:t>
      </w:r>
      <w:r>
        <w:rPr>
          <w:rFonts w:hint="eastAsia"/>
          <w:b/>
          <w:bCs/>
          <w:color w:val="FF0000"/>
          <w:lang w:val="en-US" w:eastAsia="zh-CN"/>
        </w:rPr>
        <w:t>缴纳凭证</w:t>
      </w:r>
      <w:r>
        <w:rPr>
          <w:rFonts w:hint="eastAsia"/>
          <w:b/>
          <w:bCs/>
          <w:color w:val="FF0000"/>
        </w:rPr>
        <w:t>的扫描件请附在商务标书中，以备查！</w:t>
      </w:r>
    </w:p>
    <w:p>
      <w:pPr>
        <w:pStyle w:val="5"/>
        <w:spacing w:before="70"/>
        <w:ind w:right="-340" w:rightChars="0" w:firstLine="320" w:firstLineChars="100"/>
        <w:rPr>
          <w:rFonts w:hint="eastAsia" w:ascii="方正仿宋_GBK" w:hAnsi="方正仿宋_GBK" w:eastAsia="方正仿宋_GBK" w:cs="方正仿宋_GBK"/>
          <w:b/>
          <w:bCs w:val="0"/>
          <w:color w:val="FF0000"/>
          <w:lang w:eastAsia="zh-CN"/>
        </w:rPr>
      </w:pPr>
      <w:r>
        <w:rPr>
          <w:rFonts w:hint="eastAsia" w:ascii="方正仿宋_GBK" w:hAnsi="方正仿宋_GBK" w:eastAsia="方正仿宋_GBK" w:cs="方正仿宋_GBK"/>
          <w:b/>
          <w:bCs w:val="0"/>
          <w:color w:val="FF0000"/>
          <w:lang w:eastAsia="zh-CN"/>
        </w:rPr>
        <w:t>5.投标文件的递交</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5.1</w:t>
      </w:r>
      <w:r>
        <w:rPr>
          <w:rFonts w:hint="eastAsia"/>
        </w:rPr>
        <w:t>投标文件递交的截止时间（投标截止时间）为：202</w:t>
      </w:r>
      <w:r>
        <w:rPr>
          <w:rFonts w:hint="eastAsia"/>
          <w:lang w:val="en-US" w:eastAsia="zh-CN"/>
        </w:rPr>
        <w:t>2</w:t>
      </w:r>
      <w:r>
        <w:rPr>
          <w:rFonts w:hint="eastAsia"/>
        </w:rPr>
        <w:t>年</w:t>
      </w:r>
      <w:r>
        <w:rPr>
          <w:rFonts w:hint="eastAsia"/>
          <w:lang w:val="en-US" w:eastAsia="zh-CN"/>
        </w:rPr>
        <w:t>11</w:t>
      </w:r>
      <w:r>
        <w:rPr>
          <w:rFonts w:hint="eastAsia"/>
        </w:rPr>
        <w:t>月</w:t>
      </w:r>
      <w:r>
        <w:rPr>
          <w:rFonts w:hint="eastAsia"/>
          <w:lang w:val="en-US" w:eastAsia="zh-CN"/>
        </w:rPr>
        <w:t>15</w:t>
      </w:r>
      <w:r>
        <w:rPr>
          <w:rFonts w:hint="eastAsia"/>
        </w:rPr>
        <w:t>日</w:t>
      </w:r>
      <w:r>
        <w:rPr>
          <w:rFonts w:hint="eastAsia"/>
          <w:lang w:val="en-US" w:eastAsia="zh-CN"/>
        </w:rPr>
        <w:t>09</w:t>
      </w:r>
      <w:r>
        <w:rPr>
          <w:rFonts w:hint="eastAsia"/>
          <w:lang w:eastAsia="zh-CN"/>
        </w:rPr>
        <w:t>:</w:t>
      </w:r>
      <w:r>
        <w:rPr>
          <w:rFonts w:hint="eastAsia"/>
          <w:lang w:val="en-US" w:eastAsia="zh-CN"/>
        </w:rPr>
        <w:t>0</w:t>
      </w:r>
      <w:r>
        <w:rPr>
          <w:rFonts w:hint="eastAsia"/>
          <w:lang w:eastAsia="zh-CN"/>
        </w:rPr>
        <w:t>0</w:t>
      </w:r>
      <w:r>
        <w:rPr>
          <w:rFonts w:hint="eastAsia"/>
        </w:rPr>
        <w:t>（北京时间），电子投标文件提交招标人招投标信息系统（电子商务平台）的截止时间同上。</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default"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5.2</w:t>
      </w:r>
      <w:r>
        <w:rPr>
          <w:rFonts w:hint="eastAsia"/>
          <w:highlight w:val="none"/>
        </w:rPr>
        <w:t>投标文件的</w:t>
      </w:r>
      <w:r>
        <w:rPr>
          <w:rFonts w:hint="eastAsia"/>
          <w:highlight w:val="none"/>
          <w:lang w:val="en-US" w:eastAsia="zh-CN"/>
        </w:rPr>
        <w:t>递交方式：</w:t>
      </w:r>
      <w:r>
        <w:rPr>
          <w:rFonts w:hint="eastAsia" w:ascii="Times New Roman" w:hAnsi="Times New Roman" w:cs="Times New Roman"/>
          <w:szCs w:val="21"/>
          <w:highlight w:val="none"/>
          <w:lang w:val="en-US" w:eastAsia="zh-CN"/>
        </w:rPr>
        <w:t>受疫情影响，为进一步加强新型冠状病毒肺炎防控工作，本次采购</w:t>
      </w:r>
      <w:r>
        <w:rPr>
          <w:rFonts w:hint="eastAsia"/>
          <w:szCs w:val="21"/>
          <w:highlight w:val="none"/>
          <w:lang w:val="en-US" w:eastAsia="zh-CN"/>
        </w:rPr>
        <w:t>不进行现场接收纸质、U（光）</w:t>
      </w:r>
      <w:r>
        <w:rPr>
          <w:rFonts w:hint="eastAsia" w:ascii="Times New Roman" w:hAnsi="Times New Roman" w:cs="Times New Roman"/>
          <w:szCs w:val="21"/>
          <w:highlight w:val="none"/>
          <w:lang w:val="en-US" w:eastAsia="zh-CN"/>
        </w:rPr>
        <w:t>盘应答文件，采用大文件上传网盘及发送邮件的形式进行递交。</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5.3ECP2.0离线投标工具大文件上传网盘</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40" w:firstLineChars="200"/>
        <w:textAlignment w:val="auto"/>
        <w:rPr>
          <w:rFonts w:hint="eastAsia" w:ascii="Times New Roman" w:hAnsi="Times New Roman" w:cs="Times New Roman"/>
          <w:lang w:val="en-US" w:eastAsia="zh-CN"/>
        </w:rPr>
      </w:pPr>
      <w:r>
        <w:rPr>
          <w:rFonts w:hint="eastAsia"/>
          <w:szCs w:val="21"/>
          <w:lang w:val="en-US" w:eastAsia="zh-CN"/>
        </w:rPr>
        <w:t>投标人以分包为单位将完整商务、技术投标文件</w:t>
      </w:r>
      <w:r>
        <w:rPr>
          <w:rFonts w:hint="eastAsia" w:ascii="Times New Roman" w:hAnsi="Times New Roman" w:cs="Times New Roman"/>
          <w:lang w:val="en-US" w:eastAsia="zh-CN"/>
        </w:rPr>
        <w:t>使用新版“离线投标工具U+V1.0.0.8版本”提交至网盘系统，投标文件制作参考第二章投标人须知3.7.3投标文件及封装要求，“离线投标工具U+V1.0.0.8”下载请登录新一代电子商务平台网站“下载专区”，下载“离线投标工具U+V1.0.0.8（32位或64位）”所有文件并按指示操作。大文件上传网盘操作方式详见附件2大文件上传操作手册。</w:t>
      </w:r>
    </w:p>
    <w:p>
      <w:pPr>
        <w:pStyle w:val="3"/>
        <w:jc w:val="center"/>
        <w:rPr>
          <w:rFonts w:hint="eastAsia"/>
          <w:lang w:val="en-US" w:eastAsia="zh-CN"/>
        </w:rPr>
      </w:pPr>
      <w:r>
        <w:rPr>
          <w:rFonts w:hint="eastAsia" w:ascii="Times New Roman" w:hAnsi="Times New Roman" w:cs="Times New Roman"/>
          <w:lang w:val="en-US" w:eastAsia="zh-CN"/>
        </w:rPr>
        <w:object>
          <v:shape id="_x0000_i1026" o:spt="75" type="#_x0000_t75" style="height:66pt;width:72.75pt;" o:ole="t" filled="f" o:preferrelative="t" stroked="f" coordsize="21600,21600">
            <v:path/>
            <v:fill on="f" focussize="0,0"/>
            <v:stroke on="f"/>
            <v:imagedata r:id="rId12" o:title=""/>
            <o:lock v:ext="edit" aspectratio="t"/>
            <w10:wrap type="none"/>
            <w10:anchorlock/>
          </v:shape>
          <o:OLEObject Type="Embed" ProgID="Word.Document.12" ShapeID="_x0000_i1026" DrawAspect="Icon" ObjectID="_1468075726" r:id="rId11">
            <o:LockedField>false</o:LockedField>
          </o:OLEObject>
        </w:object>
      </w:r>
    </w:p>
    <w:p>
      <w:pPr>
        <w:keepNext w:val="0"/>
        <w:keepLines w:val="0"/>
        <w:pageBreakBefore w:val="0"/>
        <w:widowControl w:val="0"/>
        <w:kinsoku/>
        <w:wordWrap/>
        <w:overflowPunct/>
        <w:topLinePunct w:val="0"/>
        <w:autoSpaceDE/>
        <w:autoSpaceDN/>
        <w:bidi w:val="0"/>
        <w:spacing w:line="380" w:lineRule="atLeast"/>
        <w:ind w:firstLine="435"/>
        <w:textAlignment w:val="auto"/>
        <w:rPr>
          <w:rFonts w:hint="eastAsia"/>
          <w:szCs w:val="21"/>
          <w:highlight w:val="none"/>
          <w:lang w:val="en-US" w:eastAsia="zh-CN"/>
        </w:rPr>
      </w:pPr>
      <w:r>
        <w:rPr>
          <w:rFonts w:hint="eastAsia" w:ascii="方正仿宋_GBK" w:hAnsi="方正仿宋_GBK" w:eastAsia="方正仿宋_GBK" w:cs="方正仿宋_GBK"/>
          <w:sz w:val="30"/>
          <w:szCs w:val="30"/>
          <w:lang w:val="en-US" w:eastAsia="zh-CN"/>
        </w:rPr>
        <w:t>5.4</w:t>
      </w:r>
      <w:r>
        <w:rPr>
          <w:rFonts w:hint="eastAsia"/>
          <w:szCs w:val="21"/>
          <w:highlight w:val="none"/>
          <w:lang w:val="en-US" w:eastAsia="zh-CN"/>
        </w:rPr>
        <w:t>加密电子邮件发送</w:t>
      </w:r>
    </w:p>
    <w:p>
      <w:pPr>
        <w:ind w:firstLine="640"/>
        <w:rPr>
          <w:rFonts w:hint="eastAsia" w:asciiTheme="minorEastAsia" w:hAnsiTheme="minorEastAsia" w:eastAsiaTheme="minorEastAsia"/>
          <w:sz w:val="28"/>
          <w:szCs w:val="28"/>
          <w:lang w:val="en-US" w:eastAsia="zh-CN"/>
        </w:rPr>
      </w:pPr>
      <w:r>
        <w:rPr>
          <w:rFonts w:hint="eastAsia" w:ascii="方正仿宋_GBK" w:hAnsi="方正仿宋_GBK" w:eastAsia="方正仿宋_GBK" w:cs="方正仿宋_GBK"/>
          <w:sz w:val="30"/>
          <w:szCs w:val="30"/>
          <w:lang w:val="en-US" w:eastAsia="zh-CN"/>
        </w:rPr>
        <w:t>截标前将</w:t>
      </w:r>
      <w:r>
        <w:rPr>
          <w:rFonts w:hint="eastAsia" w:cs="方正仿宋_GBK"/>
          <w:sz w:val="30"/>
          <w:szCs w:val="30"/>
          <w:lang w:val="en-US" w:eastAsia="zh-CN"/>
        </w:rPr>
        <w:t>投标</w:t>
      </w:r>
      <w:r>
        <w:rPr>
          <w:rFonts w:hint="eastAsia" w:ascii="方正仿宋_GBK" w:hAnsi="方正仿宋_GBK" w:eastAsia="方正仿宋_GBK" w:cs="方正仿宋_GBK"/>
          <w:sz w:val="30"/>
          <w:szCs w:val="30"/>
          <w:lang w:val="en-US" w:eastAsia="zh-CN"/>
        </w:rPr>
        <w:t>文件发送至指定邮箱：</w:t>
      </w:r>
    </w:p>
    <w:tbl>
      <w:tblPr>
        <w:tblStyle w:val="34"/>
        <w:tblW w:w="72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079"/>
        <w:gridCol w:w="3365"/>
        <w:gridCol w:w="28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序号</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分标名称</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邮箱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低压开关柜</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组合互感器</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配电终端(TTU)</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故障录波及时间同步装置</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通信单元（tcd0a1）</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通信单元（ssc6763）</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接地模块</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FF0000"/>
                <w:kern w:val="0"/>
                <w:sz w:val="18"/>
                <w:szCs w:val="18"/>
                <w:u w:val="none"/>
                <w:lang w:val="en-US" w:eastAsia="zh-CN" w:bidi="ar"/>
              </w:rPr>
              <w:t>32236367@qq.com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接地铁</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FF0000"/>
                <w:kern w:val="0"/>
                <w:sz w:val="18"/>
                <w:szCs w:val="18"/>
                <w:u w:val="none"/>
                <w:lang w:val="en-US" w:eastAsia="zh-CN" w:bidi="ar"/>
              </w:rPr>
            </w:pPr>
            <w:r>
              <w:rPr>
                <w:rFonts w:hint="eastAsia" w:ascii="宋体" w:hAnsi="宋体" w:eastAsia="宋体" w:cs="宋体"/>
                <w:b/>
                <w:bCs/>
                <w:i w:val="0"/>
                <w:color w:val="FF0000"/>
                <w:kern w:val="0"/>
                <w:sz w:val="18"/>
                <w:szCs w:val="18"/>
                <w:u w:val="none"/>
                <w:lang w:val="en-US" w:eastAsia="zh-CN" w:bidi="ar"/>
              </w:rPr>
              <w:t>32236367@qq.com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防鸟设备</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FF0000"/>
                <w:kern w:val="0"/>
                <w:sz w:val="18"/>
                <w:szCs w:val="18"/>
                <w:u w:val="none"/>
                <w:lang w:val="en-US" w:eastAsia="zh-CN" w:bidi="ar"/>
              </w:rPr>
            </w:pPr>
            <w:r>
              <w:rPr>
                <w:rFonts w:hint="eastAsia" w:ascii="宋体" w:hAnsi="宋体" w:eastAsia="宋体" w:cs="宋体"/>
                <w:b/>
                <w:bCs/>
                <w:i w:val="0"/>
                <w:color w:val="FF0000"/>
                <w:kern w:val="0"/>
                <w:sz w:val="18"/>
                <w:szCs w:val="18"/>
                <w:u w:val="none"/>
                <w:lang w:val="en-US" w:eastAsia="zh-CN" w:bidi="ar"/>
              </w:rPr>
              <w:t>32236367@qq.com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复合绝缘横担</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b/>
                <w:bCs/>
                <w:i w:val="0"/>
                <w:color w:val="000000"/>
                <w:kern w:val="0"/>
                <w:sz w:val="18"/>
                <w:szCs w:val="18"/>
                <w:u w:val="none"/>
                <w:lang w:val="en-US" w:eastAsia="zh-CN" w:bidi="ar"/>
              </w:rPr>
            </w:pPr>
            <w:r>
              <w:rPr>
                <w:rFonts w:hint="eastAsia" w:ascii="宋体" w:hAnsi="宋体" w:eastAsia="宋体" w:cs="宋体"/>
                <w:b/>
                <w:bCs/>
                <w:i w:val="0"/>
                <w:color w:val="000000"/>
                <w:kern w:val="0"/>
                <w:sz w:val="18"/>
                <w:szCs w:val="18"/>
                <w:u w:val="none"/>
                <w:lang w:val="en-US" w:eastAsia="zh-CN" w:bidi="ar"/>
              </w:rPr>
              <w:fldChar w:fldCharType="begin"/>
            </w:r>
            <w:r>
              <w:rPr>
                <w:rFonts w:hint="eastAsia" w:ascii="宋体" w:hAnsi="宋体" w:eastAsia="宋体" w:cs="宋体"/>
                <w:b/>
                <w:bCs/>
                <w:i w:val="0"/>
                <w:color w:val="000000"/>
                <w:kern w:val="0"/>
                <w:sz w:val="18"/>
                <w:szCs w:val="18"/>
                <w:u w:val="none"/>
                <w:lang w:val="en-US" w:eastAsia="zh-CN" w:bidi="ar"/>
              </w:rPr>
              <w:instrText xml:space="preserve"> HYPERLINK "mailto:1370137542@qq.com" </w:instrText>
            </w:r>
            <w:r>
              <w:rPr>
                <w:rFonts w:hint="eastAsia" w:ascii="宋体" w:hAnsi="宋体" w:eastAsia="宋体" w:cs="宋体"/>
                <w:b/>
                <w:bCs/>
                <w:i w:val="0"/>
                <w:color w:val="000000"/>
                <w:kern w:val="0"/>
                <w:sz w:val="18"/>
                <w:szCs w:val="18"/>
                <w:u w:val="none"/>
                <w:lang w:val="en-US" w:eastAsia="zh-CN" w:bidi="ar"/>
              </w:rPr>
              <w:fldChar w:fldCharType="separate"/>
            </w:r>
            <w:r>
              <w:rPr>
                <w:rFonts w:hint="eastAsia" w:ascii="宋体" w:hAnsi="宋体" w:eastAsia="宋体" w:cs="宋体"/>
                <w:b/>
                <w:bCs/>
                <w:i w:val="0"/>
                <w:color w:val="000000"/>
                <w:kern w:val="0"/>
                <w:sz w:val="18"/>
                <w:szCs w:val="18"/>
                <w:u w:val="none"/>
                <w:lang w:val="en-US" w:eastAsia="zh-CN" w:bidi="ar"/>
              </w:rPr>
              <w:t>1370137542@qq.com</w:t>
            </w:r>
            <w:r>
              <w:rPr>
                <w:rFonts w:hint="eastAsia" w:ascii="宋体" w:hAnsi="宋体" w:eastAsia="宋体" w:cs="宋体"/>
                <w:b/>
                <w:bCs/>
                <w:i w:val="0"/>
                <w:color w:val="00000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超高性能混凝土杆</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b/>
                <w:bCs/>
                <w:i w:val="0"/>
                <w:color w:val="000000"/>
                <w:kern w:val="0"/>
                <w:sz w:val="18"/>
                <w:szCs w:val="18"/>
                <w:u w:val="none"/>
                <w:lang w:val="en-US" w:eastAsia="zh-CN" w:bidi="ar"/>
              </w:rPr>
              <w:fldChar w:fldCharType="begin"/>
            </w:r>
            <w:r>
              <w:rPr>
                <w:rFonts w:hint="eastAsia" w:ascii="宋体" w:hAnsi="宋体" w:eastAsia="宋体" w:cs="宋体"/>
                <w:b/>
                <w:bCs/>
                <w:i w:val="0"/>
                <w:color w:val="000000"/>
                <w:kern w:val="0"/>
                <w:sz w:val="18"/>
                <w:szCs w:val="18"/>
                <w:u w:val="none"/>
                <w:lang w:val="en-US" w:eastAsia="zh-CN" w:bidi="ar"/>
              </w:rPr>
              <w:instrText xml:space="preserve"> HYPERLINK "mailto:1370137542@qq.com" </w:instrText>
            </w:r>
            <w:r>
              <w:rPr>
                <w:rFonts w:hint="eastAsia" w:ascii="宋体" w:hAnsi="宋体" w:eastAsia="宋体" w:cs="宋体"/>
                <w:b/>
                <w:bCs/>
                <w:i w:val="0"/>
                <w:color w:val="000000"/>
                <w:kern w:val="0"/>
                <w:sz w:val="18"/>
                <w:szCs w:val="18"/>
                <w:u w:val="none"/>
                <w:lang w:val="en-US" w:eastAsia="zh-CN" w:bidi="ar"/>
              </w:rPr>
              <w:fldChar w:fldCharType="separate"/>
            </w:r>
            <w:r>
              <w:rPr>
                <w:rFonts w:hint="eastAsia" w:ascii="宋体" w:hAnsi="宋体" w:eastAsia="宋体" w:cs="宋体"/>
                <w:b/>
                <w:bCs/>
                <w:i w:val="0"/>
                <w:color w:val="000000"/>
                <w:kern w:val="0"/>
                <w:sz w:val="18"/>
                <w:szCs w:val="18"/>
                <w:u w:val="none"/>
                <w:lang w:val="en-US" w:eastAsia="zh-CN" w:bidi="ar"/>
              </w:rPr>
              <w:t>1370137542@qq.com</w:t>
            </w:r>
            <w:r>
              <w:rPr>
                <w:rFonts w:hint="eastAsia" w:ascii="宋体" w:hAnsi="宋体" w:eastAsia="宋体" w:cs="宋体"/>
                <w:b/>
                <w:bCs/>
                <w:i w:val="0"/>
                <w:color w:val="00000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复合材料杆</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b/>
                <w:bCs/>
                <w:i w:val="0"/>
                <w:color w:val="000000"/>
                <w:kern w:val="0"/>
                <w:sz w:val="18"/>
                <w:szCs w:val="18"/>
                <w:u w:val="none"/>
                <w:lang w:val="en-US" w:eastAsia="zh-CN" w:bidi="ar"/>
              </w:rPr>
              <w:fldChar w:fldCharType="begin"/>
            </w:r>
            <w:r>
              <w:rPr>
                <w:rFonts w:hint="eastAsia" w:ascii="宋体" w:hAnsi="宋体" w:eastAsia="宋体" w:cs="宋体"/>
                <w:b/>
                <w:bCs/>
                <w:i w:val="0"/>
                <w:color w:val="000000"/>
                <w:kern w:val="0"/>
                <w:sz w:val="18"/>
                <w:szCs w:val="18"/>
                <w:u w:val="none"/>
                <w:lang w:val="en-US" w:eastAsia="zh-CN" w:bidi="ar"/>
              </w:rPr>
              <w:instrText xml:space="preserve"> HYPERLINK "mailto:1370137542@qq.com" </w:instrText>
            </w:r>
            <w:r>
              <w:rPr>
                <w:rFonts w:hint="eastAsia" w:ascii="宋体" w:hAnsi="宋体" w:eastAsia="宋体" w:cs="宋体"/>
                <w:b/>
                <w:bCs/>
                <w:i w:val="0"/>
                <w:color w:val="000000"/>
                <w:kern w:val="0"/>
                <w:sz w:val="18"/>
                <w:szCs w:val="18"/>
                <w:u w:val="none"/>
                <w:lang w:val="en-US" w:eastAsia="zh-CN" w:bidi="ar"/>
              </w:rPr>
              <w:fldChar w:fldCharType="separate"/>
            </w:r>
            <w:r>
              <w:rPr>
                <w:rFonts w:hint="eastAsia" w:ascii="宋体" w:hAnsi="宋体" w:eastAsia="宋体" w:cs="宋体"/>
                <w:b/>
                <w:bCs/>
                <w:i w:val="0"/>
                <w:color w:val="000000"/>
                <w:kern w:val="0"/>
                <w:sz w:val="18"/>
                <w:szCs w:val="18"/>
                <w:u w:val="none"/>
                <w:lang w:val="en-US" w:eastAsia="zh-CN" w:bidi="ar"/>
              </w:rPr>
              <w:t>1370137542@qq.com</w:t>
            </w:r>
            <w:r>
              <w:rPr>
                <w:rFonts w:hint="eastAsia" w:ascii="宋体" w:hAnsi="宋体" w:eastAsia="宋体" w:cs="宋体"/>
                <w:b/>
                <w:bCs/>
                <w:i w:val="0"/>
                <w:color w:val="00000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水泥制品</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b/>
                <w:bCs/>
                <w:i w:val="0"/>
                <w:color w:val="000000"/>
                <w:kern w:val="0"/>
                <w:sz w:val="18"/>
                <w:szCs w:val="18"/>
                <w:u w:val="none"/>
                <w:lang w:val="en-US" w:eastAsia="zh-CN" w:bidi="ar"/>
              </w:rPr>
              <w:fldChar w:fldCharType="begin"/>
            </w:r>
            <w:r>
              <w:rPr>
                <w:rFonts w:hint="eastAsia" w:ascii="宋体" w:hAnsi="宋体" w:eastAsia="宋体" w:cs="宋体"/>
                <w:b/>
                <w:bCs/>
                <w:i w:val="0"/>
                <w:color w:val="000000"/>
                <w:kern w:val="0"/>
                <w:sz w:val="18"/>
                <w:szCs w:val="18"/>
                <w:u w:val="none"/>
                <w:lang w:val="en-US" w:eastAsia="zh-CN" w:bidi="ar"/>
              </w:rPr>
              <w:instrText xml:space="preserve"> HYPERLINK "mailto:1370137542@qq.com" </w:instrText>
            </w:r>
            <w:r>
              <w:rPr>
                <w:rFonts w:hint="eastAsia" w:ascii="宋体" w:hAnsi="宋体" w:eastAsia="宋体" w:cs="宋体"/>
                <w:b/>
                <w:bCs/>
                <w:i w:val="0"/>
                <w:color w:val="000000"/>
                <w:kern w:val="0"/>
                <w:sz w:val="18"/>
                <w:szCs w:val="18"/>
                <w:u w:val="none"/>
                <w:lang w:val="en-US" w:eastAsia="zh-CN" w:bidi="ar"/>
              </w:rPr>
              <w:fldChar w:fldCharType="separate"/>
            </w:r>
            <w:r>
              <w:rPr>
                <w:rFonts w:hint="eastAsia" w:ascii="宋体" w:hAnsi="宋体" w:eastAsia="宋体" w:cs="宋体"/>
                <w:b/>
                <w:bCs/>
                <w:i w:val="0"/>
                <w:color w:val="000000"/>
                <w:kern w:val="0"/>
                <w:sz w:val="18"/>
                <w:szCs w:val="18"/>
                <w:u w:val="none"/>
                <w:lang w:val="en-US" w:eastAsia="zh-CN" w:bidi="ar"/>
              </w:rPr>
              <w:t>1370137542@qq.com</w:t>
            </w:r>
            <w:r>
              <w:rPr>
                <w:rFonts w:hint="eastAsia" w:ascii="宋体" w:hAnsi="宋体" w:eastAsia="宋体" w:cs="宋体"/>
                <w:b/>
                <w:bCs/>
                <w:i w:val="0"/>
                <w:color w:val="00000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拉紧绝缘子</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b/>
                <w:bCs/>
                <w:i w:val="0"/>
                <w:color w:val="000000"/>
                <w:kern w:val="0"/>
                <w:sz w:val="18"/>
                <w:szCs w:val="18"/>
                <w:u w:val="none"/>
                <w:lang w:val="en-US" w:eastAsia="zh-CN" w:bidi="ar"/>
              </w:rPr>
              <w:fldChar w:fldCharType="begin"/>
            </w:r>
            <w:r>
              <w:rPr>
                <w:rFonts w:hint="eastAsia" w:ascii="宋体" w:hAnsi="宋体" w:eastAsia="宋体" w:cs="宋体"/>
                <w:b/>
                <w:bCs/>
                <w:i w:val="0"/>
                <w:color w:val="000000"/>
                <w:kern w:val="0"/>
                <w:sz w:val="18"/>
                <w:szCs w:val="18"/>
                <w:u w:val="none"/>
                <w:lang w:val="en-US" w:eastAsia="zh-CN" w:bidi="ar"/>
              </w:rPr>
              <w:instrText xml:space="preserve"> HYPERLINK "mailto:1370137542@qq.com" </w:instrText>
            </w:r>
            <w:r>
              <w:rPr>
                <w:rFonts w:hint="eastAsia" w:ascii="宋体" w:hAnsi="宋体" w:eastAsia="宋体" w:cs="宋体"/>
                <w:b/>
                <w:bCs/>
                <w:i w:val="0"/>
                <w:color w:val="000000"/>
                <w:kern w:val="0"/>
                <w:sz w:val="18"/>
                <w:szCs w:val="18"/>
                <w:u w:val="none"/>
                <w:lang w:val="en-US" w:eastAsia="zh-CN" w:bidi="ar"/>
              </w:rPr>
              <w:fldChar w:fldCharType="separate"/>
            </w:r>
            <w:r>
              <w:rPr>
                <w:rFonts w:hint="eastAsia" w:ascii="宋体" w:hAnsi="宋体" w:eastAsia="宋体" w:cs="宋体"/>
                <w:b/>
                <w:bCs/>
                <w:i w:val="0"/>
                <w:color w:val="000000"/>
                <w:kern w:val="0"/>
                <w:sz w:val="18"/>
                <w:szCs w:val="18"/>
                <w:u w:val="none"/>
                <w:lang w:val="en-US" w:eastAsia="zh-CN" w:bidi="ar"/>
              </w:rPr>
              <w:t>1370137542@qq.com</w:t>
            </w:r>
            <w:r>
              <w:rPr>
                <w:rFonts w:hint="eastAsia" w:ascii="宋体" w:hAnsi="宋体" w:eastAsia="宋体" w:cs="宋体"/>
                <w:b/>
                <w:bCs/>
                <w:i w:val="0"/>
                <w:color w:val="00000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交流盘形悬式瓷复合绝缘子</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b/>
                <w:bCs/>
                <w:i w:val="0"/>
                <w:color w:val="000000"/>
                <w:kern w:val="0"/>
                <w:sz w:val="18"/>
                <w:szCs w:val="18"/>
                <w:u w:val="none"/>
                <w:lang w:val="en-US" w:eastAsia="zh-CN" w:bidi="ar"/>
              </w:rPr>
              <w:fldChar w:fldCharType="begin"/>
            </w:r>
            <w:r>
              <w:rPr>
                <w:rFonts w:hint="eastAsia" w:ascii="宋体" w:hAnsi="宋体" w:eastAsia="宋体" w:cs="宋体"/>
                <w:b/>
                <w:bCs/>
                <w:i w:val="0"/>
                <w:color w:val="000000"/>
                <w:kern w:val="0"/>
                <w:sz w:val="18"/>
                <w:szCs w:val="18"/>
                <w:u w:val="none"/>
                <w:lang w:val="en-US" w:eastAsia="zh-CN" w:bidi="ar"/>
              </w:rPr>
              <w:instrText xml:space="preserve"> HYPERLINK "mailto:1370137542@qq.com" </w:instrText>
            </w:r>
            <w:r>
              <w:rPr>
                <w:rFonts w:hint="eastAsia" w:ascii="宋体" w:hAnsi="宋体" w:eastAsia="宋体" w:cs="宋体"/>
                <w:b/>
                <w:bCs/>
                <w:i w:val="0"/>
                <w:color w:val="000000"/>
                <w:kern w:val="0"/>
                <w:sz w:val="18"/>
                <w:szCs w:val="18"/>
                <w:u w:val="none"/>
                <w:lang w:val="en-US" w:eastAsia="zh-CN" w:bidi="ar"/>
              </w:rPr>
              <w:fldChar w:fldCharType="separate"/>
            </w:r>
            <w:r>
              <w:rPr>
                <w:rFonts w:hint="eastAsia" w:ascii="宋体" w:hAnsi="宋体" w:eastAsia="宋体" w:cs="宋体"/>
                <w:b/>
                <w:bCs/>
                <w:i w:val="0"/>
                <w:color w:val="000000"/>
                <w:kern w:val="0"/>
                <w:sz w:val="18"/>
                <w:szCs w:val="18"/>
                <w:u w:val="none"/>
                <w:lang w:val="en-US" w:eastAsia="zh-CN" w:bidi="ar"/>
              </w:rPr>
              <w:t>1370137542@qq.com</w:t>
            </w:r>
            <w:r>
              <w:rPr>
                <w:rFonts w:hint="eastAsia" w:ascii="宋体" w:hAnsi="宋体" w:eastAsia="宋体" w:cs="宋体"/>
                <w:b/>
                <w:bCs/>
                <w:i w:val="0"/>
                <w:color w:val="000000"/>
                <w:kern w:val="0"/>
                <w:sz w:val="18"/>
                <w:szCs w:val="18"/>
                <w:u w:val="none"/>
                <w:lang w:val="en-US" w:eastAsia="zh-CN" w:bidi="ar"/>
              </w:rPr>
              <w:fldChar w:fldCharType="end"/>
            </w:r>
          </w:p>
        </w:tc>
      </w:tr>
    </w:tbl>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投标人以分标为单位将商务、技术投标文件进行加密压缩（自行设定四位数字的密码）发送至指定邮箱，（即一个投标人一个分标制作一个压缩包发送一封邮件），邮件名称及压缩包名称命名按下列格式：分标名称+包号-投标人名称。（例：组合互感器包1</w:t>
      </w:r>
      <w:r>
        <w:rPr>
          <w:rFonts w:hint="eastAsia" w:cs="方正仿宋_GBK"/>
          <w:sz w:val="30"/>
          <w:szCs w:val="30"/>
          <w:lang w:val="en-US" w:eastAsia="zh-CN"/>
        </w:rPr>
        <w:t>~包2</w:t>
      </w:r>
      <w:r>
        <w:rPr>
          <w:rFonts w:hint="eastAsia" w:ascii="方正仿宋_GBK" w:hAnsi="方正仿宋_GBK" w:eastAsia="方正仿宋_GBK" w:cs="方正仿宋_GBK"/>
          <w:sz w:val="30"/>
          <w:szCs w:val="30"/>
          <w:lang w:val="en-US" w:eastAsia="zh-CN"/>
        </w:rPr>
        <w:t>-投标人名称）。将解压密码使用离线投标工具上传至商务附加文件(非大文件)，截标后解压密码将与其他文件系统同时解密，防止应答文件泄漏。未按规定时间在离线投标工具上传解压密码，视为放弃投标。为避免网络问题造成邮件发送超时或失败，请投标人不要刻意卡时间发送，尽量提前发送邮件比较稳妥。</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 xml:space="preserve">   上传2.0系统的解压密码格式按下表制作：</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cs="Times New Roman"/>
          <w:b/>
          <w:bCs/>
          <w:color w:val="FF0000"/>
          <w:kern w:val="2"/>
          <w:sz w:val="32"/>
          <w:szCs w:val="32"/>
          <w:lang w:val="en-US" w:eastAsia="zh-CN" w:bidi="ar-SA"/>
        </w:rPr>
      </w:pPr>
      <w:r>
        <w:rPr>
          <w:rFonts w:hint="eastAsia" w:ascii="方正仿宋_GBK" w:hAnsi="方正仿宋_GBK" w:eastAsia="方正仿宋_GBK" w:cs="方正仿宋_GBK"/>
          <w:sz w:val="30"/>
          <w:szCs w:val="30"/>
          <w:lang w:val="en-US" w:eastAsia="zh-CN"/>
        </w:rPr>
        <w:t>（页面必须纵向设置。横向页面上传系统后的，显示不出密码）</w:t>
      </w:r>
    </w:p>
    <w:tbl>
      <w:tblPr>
        <w:tblStyle w:val="34"/>
        <w:tblW w:w="70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352"/>
        <w:gridCol w:w="1352"/>
        <w:gridCol w:w="1352"/>
        <w:gridCol w:w="29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352"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投标人名称</w:t>
            </w:r>
          </w:p>
        </w:tc>
        <w:tc>
          <w:tcPr>
            <w:tcW w:w="1352" w:type="dxa"/>
            <w:tcBorders>
              <w:top w:val="single" w:color="auto" w:sz="4" w:space="0"/>
              <w:left w:val="nil"/>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分标名称</w:t>
            </w:r>
          </w:p>
        </w:tc>
        <w:tc>
          <w:tcPr>
            <w:tcW w:w="1352" w:type="dxa"/>
            <w:tcBorders>
              <w:top w:val="single" w:color="auto" w:sz="4" w:space="0"/>
              <w:left w:val="nil"/>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包号</w:t>
            </w:r>
          </w:p>
        </w:tc>
        <w:tc>
          <w:tcPr>
            <w:tcW w:w="2960" w:type="dxa"/>
            <w:tcBorders>
              <w:top w:val="single" w:color="auto" w:sz="4" w:space="0"/>
              <w:left w:val="nil"/>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解压密码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352" w:type="dxa"/>
            <w:tcBorders>
              <w:top w:val="nil"/>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　</w:t>
            </w:r>
          </w:p>
        </w:tc>
        <w:tc>
          <w:tcPr>
            <w:tcW w:w="1352" w:type="dxa"/>
            <w:tcBorders>
              <w:top w:val="nil"/>
              <w:left w:val="nil"/>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　</w:t>
            </w:r>
          </w:p>
        </w:tc>
        <w:tc>
          <w:tcPr>
            <w:tcW w:w="1352" w:type="dxa"/>
            <w:tcBorders>
              <w:top w:val="nil"/>
              <w:left w:val="nil"/>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　</w:t>
            </w:r>
          </w:p>
        </w:tc>
        <w:tc>
          <w:tcPr>
            <w:tcW w:w="2960" w:type="dxa"/>
            <w:tcBorders>
              <w:top w:val="nil"/>
              <w:left w:val="nil"/>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22"/>
                <w:szCs w:val="22"/>
                <w:u w:val="none"/>
              </w:rPr>
            </w:pPr>
            <w:r>
              <w:rPr>
                <w:rFonts w:hint="eastAsia" w:ascii="宋体" w:hAnsi="宋体" w:cs="宋体"/>
                <w:b/>
                <w:i w:val="0"/>
                <w:color w:val="000000"/>
                <w:kern w:val="0"/>
                <w:sz w:val="22"/>
                <w:szCs w:val="22"/>
                <w:u w:val="none"/>
                <w:lang w:val="en-US" w:eastAsia="zh-CN" w:bidi="ar"/>
              </w:rPr>
              <w:t>自行设定（4位数字）</w:t>
            </w:r>
          </w:p>
        </w:tc>
      </w:tr>
    </w:tbl>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5.5</w:t>
      </w:r>
      <w:r>
        <w:rPr>
          <w:rFonts w:hint="eastAsia"/>
          <w:highlight w:val="none"/>
        </w:rPr>
        <w:t>特别提示：</w:t>
      </w:r>
      <w:r>
        <w:rPr>
          <w:rFonts w:hint="eastAsia"/>
          <w:highlight w:val="none"/>
          <w:lang w:val="en-US" w:eastAsia="zh-CN"/>
        </w:rPr>
        <w:t>本次投标必须</w:t>
      </w:r>
      <w:r>
        <w:rPr>
          <w:rFonts w:hint="eastAsia" w:ascii="Times New Roman" w:hAnsi="Times New Roman" w:cs="Times New Roman"/>
          <w:szCs w:val="21"/>
          <w:highlight w:val="none"/>
          <w:lang w:val="en-US" w:eastAsia="zh-CN"/>
        </w:rPr>
        <w:t>采用大文件上传网盘及发送邮件的形式进行递交，两者缺一按逾期未达处理，</w:t>
      </w:r>
      <w:r>
        <w:rPr>
          <w:rFonts w:hint="eastAsia"/>
          <w:highlight w:val="none"/>
        </w:rPr>
        <w:t>投标截止时间之前，逾期</w:t>
      </w:r>
      <w:r>
        <w:rPr>
          <w:rFonts w:hint="eastAsia"/>
          <w:highlight w:val="none"/>
          <w:lang w:val="en-US" w:eastAsia="zh-CN"/>
        </w:rPr>
        <w:t>未达</w:t>
      </w:r>
      <w:r>
        <w:rPr>
          <w:rFonts w:hint="eastAsia"/>
          <w:highlight w:val="none"/>
        </w:rPr>
        <w:t>的投标文件，招标人不予受理。不接受邮寄方式提交投标文件及投标文件的修改文件；不接受未按规定封装的投标文件及投标文件的修改文件。</w:t>
      </w:r>
    </w:p>
    <w:p>
      <w:pPr>
        <w:pStyle w:val="5"/>
        <w:spacing w:before="70"/>
        <w:ind w:right="-340" w:rightChars="0"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6.开标时间及地点</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bookmarkStart w:id="5" w:name="_Toc420509662"/>
      <w:r>
        <w:rPr>
          <w:rFonts w:hint="eastAsia" w:ascii="方正仿宋_GBK" w:hAnsi="方正仿宋_GBK" w:eastAsia="方正仿宋_GBK" w:cs="方正仿宋_GBK"/>
          <w:sz w:val="30"/>
          <w:szCs w:val="30"/>
          <w:lang w:val="en-US" w:eastAsia="zh-CN"/>
        </w:rPr>
        <w:t>6</w:t>
      </w:r>
      <w:r>
        <w:rPr>
          <w:rFonts w:hint="eastAsia" w:ascii="方正仿宋_GBK" w:hAnsi="方正仿宋_GBK" w:eastAsia="方正仿宋_GBK" w:cs="方正仿宋_GBK"/>
          <w:sz w:val="30"/>
          <w:szCs w:val="30"/>
          <w:lang w:eastAsia="zh-CN"/>
        </w:rPr>
        <w:t>.1开标时间：202</w:t>
      </w:r>
      <w:r>
        <w:rPr>
          <w:rFonts w:hint="eastAsia" w:ascii="方正仿宋_GBK" w:hAnsi="方正仿宋_GBK" w:eastAsia="方正仿宋_GBK" w:cs="方正仿宋_GBK"/>
          <w:sz w:val="30"/>
          <w:szCs w:val="30"/>
          <w:lang w:val="en-US" w:eastAsia="zh-CN"/>
        </w:rPr>
        <w:t>2</w:t>
      </w:r>
      <w:r>
        <w:rPr>
          <w:rFonts w:hint="eastAsia" w:ascii="方正仿宋_GBK" w:hAnsi="方正仿宋_GBK" w:eastAsia="方正仿宋_GBK" w:cs="方正仿宋_GBK"/>
          <w:sz w:val="30"/>
          <w:szCs w:val="30"/>
          <w:lang w:eastAsia="zh-CN"/>
        </w:rPr>
        <w:t>年</w:t>
      </w:r>
      <w:r>
        <w:rPr>
          <w:rFonts w:hint="eastAsia" w:cs="方正仿宋_GBK"/>
          <w:sz w:val="30"/>
          <w:szCs w:val="30"/>
          <w:lang w:val="en-US" w:eastAsia="zh-CN"/>
        </w:rPr>
        <w:t>11</w:t>
      </w:r>
      <w:r>
        <w:rPr>
          <w:rFonts w:hint="eastAsia" w:ascii="方正仿宋_GBK" w:hAnsi="方正仿宋_GBK" w:eastAsia="方正仿宋_GBK" w:cs="方正仿宋_GBK"/>
          <w:sz w:val="30"/>
          <w:szCs w:val="30"/>
          <w:lang w:eastAsia="zh-CN"/>
        </w:rPr>
        <w:t>月1</w:t>
      </w:r>
      <w:r>
        <w:rPr>
          <w:rFonts w:hint="eastAsia" w:cs="方正仿宋_GBK"/>
          <w:sz w:val="30"/>
          <w:szCs w:val="30"/>
          <w:lang w:val="en-US" w:eastAsia="zh-CN"/>
        </w:rPr>
        <w:t>5</w:t>
      </w:r>
      <w:r>
        <w:rPr>
          <w:rFonts w:hint="eastAsia" w:ascii="方正仿宋_GBK" w:hAnsi="方正仿宋_GBK" w:eastAsia="方正仿宋_GBK" w:cs="方正仿宋_GBK"/>
          <w:sz w:val="30"/>
          <w:szCs w:val="30"/>
          <w:lang w:eastAsia="zh-CN"/>
        </w:rPr>
        <w:t>日</w:t>
      </w:r>
      <w:r>
        <w:rPr>
          <w:rFonts w:hint="eastAsia" w:cs="方正仿宋_GBK"/>
          <w:sz w:val="30"/>
          <w:szCs w:val="30"/>
          <w:lang w:val="en-US" w:eastAsia="zh-CN"/>
        </w:rPr>
        <w:t>9</w:t>
      </w:r>
      <w:r>
        <w:rPr>
          <w:rFonts w:hint="eastAsia" w:ascii="方正仿宋_GBK" w:hAnsi="方正仿宋_GBK" w:eastAsia="方正仿宋_GBK" w:cs="方正仿宋_GBK"/>
          <w:sz w:val="30"/>
          <w:szCs w:val="30"/>
          <w:lang w:eastAsia="zh-CN"/>
        </w:rPr>
        <w:t>:00时整（北京时间）。</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6</w:t>
      </w:r>
      <w:r>
        <w:rPr>
          <w:rFonts w:hint="eastAsia" w:ascii="方正仿宋_GBK" w:hAnsi="方正仿宋_GBK" w:eastAsia="方正仿宋_GBK" w:cs="方正仿宋_GBK"/>
          <w:sz w:val="30"/>
          <w:szCs w:val="30"/>
          <w:lang w:eastAsia="zh-CN"/>
        </w:rPr>
        <w:t>.2开标地点：青海省西宁市生物科技产业园经四路12号国网青海电力招标代理有限公司五楼会议室。</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6</w:t>
      </w:r>
      <w:r>
        <w:rPr>
          <w:rFonts w:hint="eastAsia" w:ascii="方正仿宋_GBK" w:hAnsi="方正仿宋_GBK" w:eastAsia="方正仿宋_GBK" w:cs="方正仿宋_GBK"/>
          <w:sz w:val="30"/>
          <w:szCs w:val="30"/>
          <w:lang w:eastAsia="zh-CN"/>
        </w:rPr>
        <w:t>.3开标方式：采用网络直播方式进行开标（投标人代表无须现场参加开标会议，使用钉钉APP观看网络直播开标，开标会议二维码如下：）。</w:t>
      </w:r>
    </w:p>
    <w:p>
      <w:pPr>
        <w:pStyle w:val="3"/>
        <w:jc w:val="center"/>
        <w:rPr>
          <w:rFonts w:ascii="宋体" w:hAnsi="宋体"/>
          <w:color w:val="000000"/>
          <w:kern w:val="0"/>
          <w:sz w:val="20"/>
          <w:szCs w:val="20"/>
        </w:rPr>
      </w:pPr>
      <w:r>
        <w:rPr>
          <w:rFonts w:hint="default" w:ascii="方正仿宋_GBK" w:hAnsi="方正仿宋_GBK" w:eastAsia="方正仿宋_GBK" w:cs="方正仿宋_GBK"/>
          <w:sz w:val="30"/>
          <w:szCs w:val="30"/>
          <w:lang w:val="en-US" w:eastAsia="zh-CN"/>
        </w:rPr>
        <w:drawing>
          <wp:inline distT="0" distB="0" distL="114300" distR="114300">
            <wp:extent cx="2520315" cy="2613660"/>
            <wp:effectExtent l="0" t="0" r="13335" b="15240"/>
            <wp:docPr id="1" name="图片 1" descr="开标直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开标直播"/>
                    <pic:cNvPicPr>
                      <a:picLocks noChangeAspect="1"/>
                    </pic:cNvPicPr>
                  </pic:nvPicPr>
                  <pic:blipFill>
                    <a:blip r:embed="rId13"/>
                    <a:srcRect l="9413" t="14940" r="8940" b="30780"/>
                    <a:stretch>
                      <a:fillRect/>
                    </a:stretch>
                  </pic:blipFill>
                  <pic:spPr>
                    <a:xfrm>
                      <a:off x="0" y="0"/>
                      <a:ext cx="2520315" cy="2613660"/>
                    </a:xfrm>
                    <a:prstGeom prst="rect">
                      <a:avLst/>
                    </a:prstGeom>
                  </pic:spPr>
                </pic:pic>
              </a:graphicData>
            </a:graphic>
          </wp:inline>
        </w:drawing>
      </w:r>
    </w:p>
    <w:p>
      <w:pPr>
        <w:pStyle w:val="5"/>
        <w:spacing w:before="70"/>
        <w:ind w:right="-340" w:rightChars="0"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7.发布公告的媒介</w:t>
      </w:r>
      <w:bookmarkEnd w:id="5"/>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bookmarkStart w:id="6" w:name="_Toc420509663"/>
      <w:r>
        <w:rPr>
          <w:rFonts w:hint="eastAsia" w:ascii="方正仿宋_GBK" w:hAnsi="方正仿宋_GBK" w:eastAsia="方正仿宋_GBK" w:cs="方正仿宋_GBK"/>
          <w:sz w:val="30"/>
          <w:szCs w:val="30"/>
          <w:lang w:val="en-US" w:eastAsia="zh-CN"/>
        </w:rPr>
        <w:t>“中国招标投标公共服务平台”(http://www.cebpubservice.com/)、“国家电网公司新一代电子商务平台”(https://ecp.sgcc.com.cn/ecp2.0/portal/)、“青海项目信息网（</w:t>
      </w:r>
      <w:r>
        <w:rPr>
          <w:rFonts w:hint="eastAsia" w:ascii="方正仿宋_GBK" w:hAnsi="方正仿宋_GBK" w:eastAsia="方正仿宋_GBK" w:cs="方正仿宋_GBK"/>
          <w:sz w:val="30"/>
          <w:szCs w:val="30"/>
          <w:lang w:val="en-US" w:eastAsia="zh-CN"/>
        </w:rPr>
        <w:fldChar w:fldCharType="begin"/>
      </w:r>
      <w:r>
        <w:rPr>
          <w:rFonts w:hint="eastAsia" w:ascii="方正仿宋_GBK" w:hAnsi="方正仿宋_GBK" w:eastAsia="方正仿宋_GBK" w:cs="方正仿宋_GBK"/>
          <w:sz w:val="30"/>
          <w:szCs w:val="30"/>
          <w:lang w:val="en-US" w:eastAsia="zh-CN"/>
        </w:rPr>
        <w:instrText xml:space="preserve"> HYPERLINK "http://www.qhei.gov/" </w:instrText>
      </w:r>
      <w:r>
        <w:rPr>
          <w:rFonts w:hint="eastAsia" w:ascii="方正仿宋_GBK" w:hAnsi="方正仿宋_GBK" w:eastAsia="方正仿宋_GBK" w:cs="方正仿宋_GBK"/>
          <w:sz w:val="30"/>
          <w:szCs w:val="30"/>
          <w:lang w:val="en-US" w:eastAsia="zh-CN"/>
        </w:rPr>
        <w:fldChar w:fldCharType="separate"/>
      </w:r>
      <w:r>
        <w:rPr>
          <w:rFonts w:hint="eastAsia" w:ascii="方正仿宋_GBK" w:hAnsi="方正仿宋_GBK" w:eastAsia="方正仿宋_GBK" w:cs="方正仿宋_GBK"/>
          <w:sz w:val="30"/>
          <w:szCs w:val="30"/>
          <w:lang w:val="en-US" w:eastAsia="zh-CN"/>
        </w:rPr>
        <w:t>www.qhei.net.c</w:t>
      </w:r>
      <w:r>
        <w:rPr>
          <w:rFonts w:hint="eastAsia" w:ascii="方正仿宋_GBK" w:hAnsi="方正仿宋_GBK" w:eastAsia="方正仿宋_GBK" w:cs="方正仿宋_GBK"/>
          <w:sz w:val="30"/>
          <w:szCs w:val="30"/>
          <w:lang w:val="en-US" w:eastAsia="zh-CN"/>
        </w:rPr>
        <w:fldChar w:fldCharType="end"/>
      </w:r>
      <w:r>
        <w:rPr>
          <w:rFonts w:hint="eastAsia" w:ascii="方正仿宋_GBK" w:hAnsi="方正仿宋_GBK" w:eastAsia="方正仿宋_GBK" w:cs="方正仿宋_GBK"/>
          <w:sz w:val="30"/>
          <w:szCs w:val="30"/>
          <w:lang w:val="en-US" w:eastAsia="zh-CN"/>
        </w:rPr>
        <w:t>n）”。</w:t>
      </w:r>
      <w:bookmarkEnd w:id="6"/>
    </w:p>
    <w:p>
      <w:pPr>
        <w:pStyle w:val="5"/>
        <w:spacing w:before="70"/>
        <w:ind w:right="-340" w:rightChars="0" w:firstLine="320" w:firstLineChars="100"/>
        <w:rPr>
          <w:rFonts w:hint="eastAsia" w:ascii="方正仿宋_GBK" w:hAnsi="方正仿宋_GBK" w:eastAsia="方正仿宋_GBK" w:cs="方正仿宋_GBK"/>
          <w:b/>
          <w:bCs w:val="0"/>
          <w:lang w:val="en-US" w:eastAsia="zh-CN"/>
        </w:rPr>
      </w:pPr>
      <w:r>
        <w:rPr>
          <w:rFonts w:hint="eastAsia" w:ascii="方正仿宋_GBK" w:hAnsi="方正仿宋_GBK" w:eastAsia="方正仿宋_GBK" w:cs="方正仿宋_GBK"/>
          <w:b/>
          <w:bCs w:val="0"/>
          <w:lang w:val="en-US" w:eastAsia="zh-CN"/>
        </w:rPr>
        <w:t>8.招标人、招标代理机构及投标人关于招标代理服务费的三方约定</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投标人如果投标即视为同意此约定。投标人要严格按照附件3提供的“三方约定”内容进行签订并提供在商务投标文件中。</w:t>
      </w:r>
    </w:p>
    <w:p>
      <w:pPr>
        <w:pStyle w:val="5"/>
        <w:spacing w:before="70"/>
        <w:ind w:right="-340" w:rightChars="0" w:firstLine="320" w:firstLineChars="100"/>
        <w:rPr>
          <w:rFonts w:hint="eastAsia" w:ascii="方正仿宋_GBK" w:hAnsi="方正仿宋_GBK" w:eastAsia="方正仿宋_GBK" w:cs="方正仿宋_GBK"/>
          <w:b/>
          <w:bCs w:val="0"/>
          <w:lang w:val="en-US" w:eastAsia="zh-CN"/>
        </w:rPr>
      </w:pPr>
      <w:r>
        <w:rPr>
          <w:rFonts w:hint="eastAsia" w:ascii="方正仿宋_GBK" w:hAnsi="方正仿宋_GBK" w:eastAsia="方正仿宋_GBK" w:cs="方正仿宋_GBK"/>
          <w:b/>
          <w:bCs w:val="0"/>
          <w:lang w:val="en-US" w:eastAsia="zh-CN"/>
        </w:rPr>
        <w:t>9.合规声明</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招标文件如果发生可能与法律条规、国家标准不相一致、不相符合的条款表述，其不一致、不符合之处一律无效，并以国家相应规定为准。</w:t>
      </w:r>
    </w:p>
    <w:p>
      <w:pPr>
        <w:pStyle w:val="5"/>
        <w:spacing w:before="70"/>
        <w:ind w:right="-340" w:rightChars="0" w:firstLine="320" w:firstLineChars="100"/>
        <w:rPr>
          <w:rFonts w:hint="eastAsia" w:ascii="方正仿宋_GBK" w:hAnsi="方正仿宋_GBK" w:eastAsia="方正仿宋_GBK" w:cs="方正仿宋_GBK"/>
          <w:b/>
          <w:bCs w:val="0"/>
          <w:lang w:val="en-US" w:eastAsia="zh-CN"/>
        </w:rPr>
      </w:pPr>
      <w:r>
        <w:rPr>
          <w:rFonts w:hint="eastAsia" w:ascii="方正仿宋_GBK" w:hAnsi="方正仿宋_GBK" w:eastAsia="方正仿宋_GBK" w:cs="方正仿宋_GBK"/>
          <w:b/>
          <w:bCs w:val="0"/>
          <w:lang w:val="en-US" w:eastAsia="zh-CN"/>
        </w:rPr>
        <w:t>10.其他事项</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10.1</w:t>
      </w:r>
      <w:r>
        <w:rPr>
          <w:rFonts w:hint="eastAsia" w:ascii="方正仿宋_GBK" w:hAnsi="方正仿宋_GBK" w:eastAsia="方正仿宋_GBK" w:cs="方正仿宋_GBK"/>
          <w:sz w:val="30"/>
          <w:szCs w:val="30"/>
          <w:lang w:eastAsia="zh-CN"/>
        </w:rPr>
        <w:t>如</w:t>
      </w:r>
      <w:r>
        <w:rPr>
          <w:rFonts w:hint="eastAsia" w:ascii="方正仿宋_GBK" w:hAnsi="方正仿宋_GBK" w:eastAsia="方正仿宋_GBK" w:cs="方正仿宋_GBK"/>
          <w:sz w:val="30"/>
          <w:szCs w:val="30"/>
          <w:lang w:val="en-US" w:eastAsia="zh-CN"/>
        </w:rPr>
        <w:t>招标文件中其他章节内容与本章内容有不一致的，以本章内容为准。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10.2由于青海地区对海拔有特殊要求，海拔及其他特殊要求，详见附件1:28220</w:t>
      </w:r>
      <w:r>
        <w:rPr>
          <w:rFonts w:hint="eastAsia" w:cs="方正仿宋_GBK"/>
          <w:sz w:val="30"/>
          <w:szCs w:val="30"/>
          <w:lang w:val="en-US" w:eastAsia="zh-CN"/>
        </w:rPr>
        <w:t>8</w:t>
      </w:r>
      <w:r>
        <w:rPr>
          <w:rFonts w:hint="eastAsia" w:ascii="方正仿宋_GBK" w:hAnsi="方正仿宋_GBK" w:eastAsia="方正仿宋_GBK" w:cs="方正仿宋_GBK"/>
          <w:sz w:val="30"/>
          <w:szCs w:val="30"/>
          <w:lang w:val="en-US" w:eastAsia="zh-CN"/>
        </w:rPr>
        <w:t>海拔修正及其他特殊要求。</w:t>
      </w:r>
    </w:p>
    <w:p>
      <w:pPr>
        <w:pStyle w:val="2"/>
        <w:jc w:val="center"/>
        <w:rPr>
          <w:rFonts w:hint="eastAsia"/>
          <w:lang w:val="en-US" w:eastAsia="zh-CN"/>
        </w:rPr>
      </w:pPr>
      <w:r>
        <w:rPr>
          <w:rFonts w:hint="eastAsia" w:ascii="方正仿宋_GBK" w:hAnsi="方正仿宋_GBK" w:eastAsia="方正仿宋_GBK" w:cs="方正仿宋_GBK"/>
          <w:sz w:val="30"/>
          <w:szCs w:val="30"/>
          <w:lang w:val="en-US" w:eastAsia="zh-CN"/>
        </w:rPr>
        <w:object>
          <v:shape id="_x0000_i1027" o:spt="75" type="#_x0000_t75" style="height:71.6pt;width:95.65pt;" o:ole="t" filled="f" o:preferrelative="t" stroked="f" coordsize="21600,21600">
            <v:path/>
            <v:fill on="f" focussize="0,0"/>
            <v:stroke on="f"/>
            <v:imagedata r:id="rId15" o:title=""/>
            <o:lock v:ext="edit" aspectratio="t"/>
            <w10:wrap type="none"/>
            <w10:anchorlock/>
          </v:shape>
          <o:OLEObject Type="Embed" ProgID="Excel.Sheet.12" ShapeID="_x0000_i1027" DrawAspect="Icon" ObjectID="_1468075727" r:id="rId14">
            <o:LockedField>false</o:LockedField>
          </o:OLEObject>
        </w:objec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10</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3</w:t>
      </w:r>
      <w:r>
        <w:rPr>
          <w:rFonts w:hint="eastAsia" w:ascii="方正仿宋_GBK" w:hAnsi="方正仿宋_GBK" w:eastAsia="方正仿宋_GBK" w:cs="方正仿宋_GBK"/>
          <w:sz w:val="30"/>
          <w:szCs w:val="30"/>
          <w:lang w:eastAsia="zh-CN"/>
        </w:rPr>
        <w:t xml:space="preserve"> 同一包内同型号货物的投标单价应一致，否则其投标将被否决。</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10</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4</w:t>
      </w:r>
      <w:r>
        <w:rPr>
          <w:rFonts w:hint="eastAsia" w:ascii="方正仿宋_GBK" w:hAnsi="方正仿宋_GBK" w:eastAsia="方正仿宋_GBK" w:cs="方正仿宋_GBK"/>
          <w:sz w:val="30"/>
          <w:szCs w:val="30"/>
          <w:lang w:eastAsia="zh-CN"/>
        </w:rPr>
        <w:t>本批协议库存均按数量（金额）划分标包，本次招标的协议库存需求为全省范围内预估需求计划，标包的项目地区不代表最终协议库存订单执行的地区，最终以订单执行实际下达的项目地区为准。报价中的运距由供应商根据青海实际地域情况自行测算。</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10.5关于实物ID的相关要求遵照《国网公司2021年电网资产统一身份编码物联网标签制作安装指导手册（增量分册)》执行。供应商在设备出厂前完成实物“ID”标签和“IFID”电子标签的制作与安装，并在ECP系统中录入物资技术参数等数据，</w:t>
      </w:r>
      <w:r>
        <w:rPr>
          <w:rFonts w:hint="eastAsia" w:ascii="方正仿宋_GBK" w:hAnsi="方正仿宋_GBK" w:eastAsia="方正仿宋_GBK" w:cs="方正仿宋_GBK"/>
          <w:sz w:val="30"/>
          <w:szCs w:val="30"/>
          <w:lang w:val="en-US" w:eastAsia="zh-CN"/>
        </w:rPr>
        <w:fldChar w:fldCharType="begin"/>
      </w:r>
      <w:r>
        <w:rPr>
          <w:rFonts w:hint="eastAsia" w:ascii="方正仿宋_GBK" w:hAnsi="方正仿宋_GBK" w:eastAsia="方正仿宋_GBK" w:cs="方正仿宋_GBK"/>
          <w:sz w:val="30"/>
          <w:szCs w:val="30"/>
          <w:lang w:val="en-US" w:eastAsia="zh-CN"/>
        </w:rPr>
        <w:instrText xml:space="preserve"> HYPERLINK "http://10.215.27.48:8080/QHPPWEB/info/images/gwqhsdlgswzgs_gwqhzbyxgs_/hytzggb/ggb/2022/03/04/041719027E0CE19B04A295D1249E22E9B1728D3C.xlsx" \t "http://10.215.27.48:8080/QHPPWEB/info/gwqhsdlgswzgs_gwqhzbyxgs_/hytzggb/ggb/2022/3/_blank" </w:instrText>
      </w:r>
      <w:r>
        <w:rPr>
          <w:rFonts w:hint="eastAsia" w:ascii="方正仿宋_GBK" w:hAnsi="方正仿宋_GBK" w:eastAsia="方正仿宋_GBK" w:cs="方正仿宋_GBK"/>
          <w:sz w:val="30"/>
          <w:szCs w:val="30"/>
          <w:lang w:val="en-US" w:eastAsia="zh-CN"/>
        </w:rPr>
        <w:fldChar w:fldCharType="separate"/>
      </w:r>
      <w:r>
        <w:rPr>
          <w:rFonts w:hint="eastAsia" w:ascii="方正仿宋_GBK" w:hAnsi="方正仿宋_GBK" w:eastAsia="方正仿宋_GBK" w:cs="方正仿宋_GBK"/>
          <w:sz w:val="30"/>
          <w:szCs w:val="30"/>
          <w:lang w:val="en-US" w:eastAsia="zh-CN"/>
        </w:rPr>
        <w:t>安装物资范围《实物ID安装的物资范围》清单执行</w:t>
      </w:r>
      <w:r>
        <w:rPr>
          <w:rFonts w:hint="eastAsia" w:ascii="方正仿宋_GBK" w:hAnsi="方正仿宋_GBK" w:eastAsia="方正仿宋_GBK" w:cs="方正仿宋_GBK"/>
          <w:sz w:val="30"/>
          <w:szCs w:val="30"/>
          <w:lang w:val="en-US" w:eastAsia="zh-CN"/>
        </w:rPr>
        <w:fldChar w:fldCharType="end"/>
      </w:r>
      <w:r>
        <w:rPr>
          <w:rFonts w:hint="eastAsia" w:ascii="方正仿宋_GBK" w:hAnsi="方正仿宋_GBK" w:eastAsia="方正仿宋_GBK" w:cs="方正仿宋_GBK"/>
          <w:sz w:val="30"/>
          <w:szCs w:val="30"/>
          <w:lang w:val="en-US" w:eastAsia="zh-CN"/>
        </w:rPr>
        <w:t>。（同一类设备在RFID标签选型时，选大不选小，如10kV及以上充气柜RFID标签可选用C型或D型，基于RFID选大不选小原则，要求供应商按照C型标签制作。）</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国网公司2021年电网资产统一身份编码物联网标签制作安装指导手册（增量分册)》和《实物ID安装的物资范围》清单在国家电网新一代电子商务平台，网址（https://ecp.sgcc.com.cn/ecp2.0/portal/）公共信息中请以2022年3月10日发布的为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10.6档案移交的要求</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10.6.1中标人应根据国网公司档案管理办法、国网青海省电力公司档案管理有关规定，按照甲方要求，提供项目档案归档所需的厂家资料，并负责或配合项目实施方有关单位完成相关档案资料的整理及归档工作。</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10.6.2中标人应以档案级光盘或硬磁盘形式提供符合档案要求的电子版，所有文字材料为“双层PDF”格式，各类设备图纸为“DWF矢量图”格式，同时确保电子、纸质文件内容一致。</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10.6.3根据省公司要求凡涉及330kV、750kV工程项目中标人需补充完整纸质投标文件，所有档案资料要求内容准确、格式规范、齐全完整、字迹清晰、印章齐全有效，符合档案原始记录性、有机联系性和长久保存要求。</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10.7若合同中包含配电变压器、隔离开关、交流避雷器、高压开关柜、箱式变电站、环网柜、柱上开关、电容器、电流互感器、电压互感器、低压综合配电箱（JP柜）、电缆分支箱、绝缘子产品，招标人在每个供货自然年度内，需对前述抽检到的产品进行一次破坏性试验，对其产品造成损坏的，中标人需无偿更换与损坏数量相等的同类产品，并自行取回损坏产品。</w:t>
      </w:r>
    </w:p>
    <w:p>
      <w:pPr>
        <w:pStyle w:val="5"/>
        <w:spacing w:before="70"/>
        <w:ind w:right="-340" w:rightChars="0" w:firstLine="320" w:firstLineChars="100"/>
        <w:rPr>
          <w:rFonts w:hint="eastAsia" w:ascii="方正仿宋_GBK" w:hAnsi="方正仿宋_GBK" w:eastAsia="方正仿宋_GBK" w:cs="方正仿宋_GBK"/>
          <w:b/>
          <w:bCs w:val="0"/>
          <w:lang w:val="en-US" w:eastAsia="zh-CN"/>
        </w:rPr>
      </w:pPr>
      <w:bookmarkStart w:id="7" w:name="_Toc420509651"/>
      <w:r>
        <w:rPr>
          <w:rFonts w:hint="eastAsia" w:ascii="方正仿宋_GBK" w:hAnsi="方正仿宋_GBK" w:eastAsia="方正仿宋_GBK" w:cs="方正仿宋_GBK"/>
          <w:b/>
          <w:bCs w:val="0"/>
          <w:lang w:val="en-US" w:eastAsia="zh-CN"/>
        </w:rPr>
        <w:t>11评标办法</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11.1评标办法</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.1.1采用综合评估法，分技术、商务、价格三个部分分别进行量化评审，每个部分满分均为100分，并按以下权重合计计算最终量化评审得分。</w:t>
      </w:r>
      <w:bookmarkEnd w:id="7"/>
    </w:p>
    <w:tbl>
      <w:tblPr>
        <w:tblStyle w:val="34"/>
        <w:tblpPr w:leftFromText="180" w:rightFromText="180" w:vertAnchor="text" w:horzAnchor="page" w:tblpX="1810" w:tblpY="257"/>
        <w:tblOverlap w:val="never"/>
        <w:tblW w:w="8336" w:type="dxa"/>
        <w:tblInd w:w="0" w:type="dxa"/>
        <w:tblLayout w:type="fixed"/>
        <w:tblCellMar>
          <w:top w:w="15" w:type="dxa"/>
          <w:left w:w="15" w:type="dxa"/>
          <w:bottom w:w="15" w:type="dxa"/>
          <w:right w:w="15" w:type="dxa"/>
        </w:tblCellMar>
      </w:tblPr>
      <w:tblGrid>
        <w:gridCol w:w="777"/>
        <w:gridCol w:w="2020"/>
        <w:gridCol w:w="3157"/>
        <w:gridCol w:w="794"/>
        <w:gridCol w:w="794"/>
        <w:gridCol w:w="794"/>
      </w:tblGrid>
      <w:tr>
        <w:tblPrEx>
          <w:tblCellMar>
            <w:top w:w="15" w:type="dxa"/>
            <w:left w:w="15" w:type="dxa"/>
            <w:bottom w:w="15" w:type="dxa"/>
            <w:right w:w="15" w:type="dxa"/>
          </w:tblCellMar>
        </w:tblPrEx>
        <w:trPr>
          <w:trHeight w:val="278" w:hRule="atLeast"/>
        </w:trPr>
        <w:tc>
          <w:tcPr>
            <w:tcW w:w="777" w:type="dxa"/>
            <w:vMerge w:val="restart"/>
            <w:tcBorders>
              <w:top w:val="single" w:color="000000" w:sz="4" w:space="0"/>
              <w:left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lang w:eastAsia="zh-CN"/>
              </w:rPr>
              <w:t>序号</w:t>
            </w:r>
          </w:p>
        </w:tc>
        <w:tc>
          <w:tcPr>
            <w:tcW w:w="2020" w:type="dxa"/>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lang w:eastAsia="zh-CN"/>
              </w:rPr>
              <w:t>分标编号</w:t>
            </w:r>
          </w:p>
        </w:tc>
        <w:tc>
          <w:tcPr>
            <w:tcW w:w="3157" w:type="dxa"/>
            <w:vMerge w:val="restart"/>
            <w:tcBorders>
              <w:top w:val="single" w:color="000000" w:sz="4" w:space="0"/>
              <w:left w:val="single" w:color="000000" w:sz="4" w:space="0"/>
              <w:right w:val="single" w:color="000000" w:sz="4" w:space="0"/>
            </w:tcBorders>
            <w:vAlign w:val="center"/>
          </w:tcPr>
          <w:p>
            <w:pPr>
              <w:widowControl/>
              <w:jc w:val="center"/>
              <w:textAlignment w:val="center"/>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lang w:eastAsia="zh-CN"/>
              </w:rPr>
              <w:t>分标名称</w:t>
            </w:r>
          </w:p>
        </w:tc>
        <w:tc>
          <w:tcPr>
            <w:tcW w:w="2382" w:type="dxa"/>
            <w:gridSpan w:val="3"/>
            <w:tcBorders>
              <w:top w:val="single" w:color="000000" w:sz="4" w:space="0"/>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lang w:eastAsia="zh-CN"/>
              </w:rPr>
              <w:t>权重设置（%）</w:t>
            </w:r>
          </w:p>
        </w:tc>
      </w:tr>
      <w:tr>
        <w:tblPrEx>
          <w:tblCellMar>
            <w:top w:w="15" w:type="dxa"/>
            <w:left w:w="15" w:type="dxa"/>
            <w:bottom w:w="15" w:type="dxa"/>
            <w:right w:w="15" w:type="dxa"/>
          </w:tblCellMar>
        </w:tblPrEx>
        <w:trPr>
          <w:trHeight w:val="254" w:hRule="atLeast"/>
        </w:trPr>
        <w:tc>
          <w:tcPr>
            <w:tcW w:w="777" w:type="dxa"/>
            <w:vMerge w:val="continue"/>
            <w:tcBorders>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 w:val="18"/>
                <w:szCs w:val="18"/>
                <w:highlight w:val="none"/>
                <w:lang w:eastAsia="zh-CN"/>
              </w:rPr>
            </w:pPr>
          </w:p>
        </w:tc>
        <w:tc>
          <w:tcPr>
            <w:tcW w:w="2020" w:type="dxa"/>
            <w:vMerge w:val="continue"/>
            <w:tcBorders>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 w:val="18"/>
                <w:szCs w:val="18"/>
                <w:highlight w:val="none"/>
                <w:lang w:eastAsia="zh-CN"/>
              </w:rPr>
            </w:pPr>
          </w:p>
        </w:tc>
        <w:tc>
          <w:tcPr>
            <w:tcW w:w="3157" w:type="dxa"/>
            <w:vMerge w:val="continue"/>
            <w:tcBorders>
              <w:left w:val="single" w:color="000000" w:sz="4" w:space="0"/>
              <w:bottom w:val="single" w:color="000000" w:sz="4" w:space="0"/>
              <w:right w:val="single" w:color="000000" w:sz="4" w:space="0"/>
            </w:tcBorders>
            <w:vAlign w:val="center"/>
          </w:tcPr>
          <w:p>
            <w:pPr>
              <w:widowControl/>
              <w:jc w:val="center"/>
              <w:textAlignment w:val="center"/>
              <w:rPr>
                <w:rFonts w:hint="eastAsia" w:ascii="宋体" w:hAnsi="宋体" w:eastAsia="宋体" w:cs="宋体"/>
                <w:b/>
                <w:bCs/>
                <w:sz w:val="18"/>
                <w:szCs w:val="18"/>
                <w:highlight w:val="none"/>
                <w:lang w:eastAsia="zh-CN"/>
              </w:rPr>
            </w:pP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lang w:eastAsia="zh-CN"/>
              </w:rPr>
              <w:t>技术</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lang w:eastAsia="zh-CN"/>
              </w:rPr>
              <w:t>商务</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bCs/>
                <w:sz w:val="18"/>
                <w:szCs w:val="18"/>
                <w:highlight w:val="none"/>
                <w:lang w:eastAsia="zh-CN"/>
              </w:rPr>
            </w:pPr>
            <w:r>
              <w:rPr>
                <w:rFonts w:hint="eastAsia" w:ascii="宋体" w:hAnsi="宋体" w:eastAsia="宋体" w:cs="宋体"/>
                <w:b/>
                <w:bCs/>
                <w:sz w:val="18"/>
                <w:szCs w:val="18"/>
                <w:highlight w:val="none"/>
                <w:lang w:eastAsia="zh-CN"/>
              </w:rPr>
              <w:t>价格</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282208-1016004-9998</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低压开关柜</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40</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default"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282208-1007001-9999</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组合互感器</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40</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default"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3</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282208-1107007-0001</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配电终端(TTU)</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40</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default"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282208-1101029-9998</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故障录波及时间同步装置</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40</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5</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282208-1307013-0001</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通信单元（tcd0a1）</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40</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6</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282208-1307013-0002</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通信单元（ssc6763）</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50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40</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default"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7</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282208-1410007-9999</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复合绝缘横担</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8</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282208-1600000-9999</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接地模块</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default"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9</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282208-1406030-9999</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接地铁</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282208-1401014-9999</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超高性能混凝土杆</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default"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11</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282208-1401004-9999</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复合材料杆</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default"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12</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282208-1401007-9999</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水泥制品</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default"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13</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282208-1405014-9999</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拉紧绝缘子</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14</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282208-1405029-9999</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交流盘形悬式瓷复合绝缘子</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r>
      <w:tr>
        <w:tblPrEx>
          <w:tblCellMar>
            <w:top w:w="15" w:type="dxa"/>
            <w:left w:w="15" w:type="dxa"/>
            <w:bottom w:w="15" w:type="dxa"/>
            <w:right w:w="15" w:type="dxa"/>
          </w:tblCellMar>
        </w:tblPrEx>
        <w:trPr>
          <w:trHeight w:val="415" w:hRule="atLeast"/>
        </w:trPr>
        <w:tc>
          <w:tcPr>
            <w:tcW w:w="77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default"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15</w:t>
            </w:r>
          </w:p>
        </w:tc>
        <w:tc>
          <w:tcPr>
            <w:tcW w:w="2020"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282208-1502009-9999</w:t>
            </w:r>
          </w:p>
        </w:tc>
        <w:tc>
          <w:tcPr>
            <w:tcW w:w="3157"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防鸟设备</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10</w:t>
            </w:r>
          </w:p>
        </w:tc>
        <w:tc>
          <w:tcPr>
            <w:tcW w:w="794" w:type="dxa"/>
            <w:tcBorders>
              <w:top w:val="single" w:color="000000" w:sz="4" w:space="0"/>
              <w:left w:val="single" w:color="000000" w:sz="4" w:space="0"/>
              <w:bottom w:val="single" w:color="000000" w:sz="4" w:space="0"/>
              <w:right w:val="single" w:color="000000" w:sz="4" w:space="0"/>
            </w:tcBorders>
            <w:vAlign w:val="center"/>
          </w:tcPr>
          <w:p>
            <w:pPr>
              <w:widowControl/>
              <w:ind w:left="0" w:leftChars="0" w:firstLine="0" w:firstLineChars="0"/>
              <w:jc w:val="center"/>
              <w:textAlignment w:val="center"/>
              <w:rPr>
                <w:rFonts w:hint="eastAsia" w:ascii="宋体" w:hAnsi="宋体" w:eastAsia="宋体" w:cs="宋体"/>
                <w:b w:val="0"/>
                <w:bCs w:val="0"/>
                <w:sz w:val="18"/>
                <w:szCs w:val="18"/>
                <w:highlight w:val="none"/>
                <w:lang w:val="en-US" w:eastAsia="zh-CN"/>
              </w:rPr>
            </w:pPr>
            <w:r>
              <w:rPr>
                <w:rFonts w:hint="eastAsia" w:ascii="宋体" w:hAnsi="宋体" w:eastAsia="宋体" w:cs="宋体"/>
                <w:b w:val="0"/>
                <w:bCs w:val="0"/>
                <w:sz w:val="18"/>
                <w:szCs w:val="18"/>
                <w:highlight w:val="none"/>
                <w:lang w:val="en-US" w:eastAsia="zh-CN"/>
              </w:rPr>
              <w:t>45</w:t>
            </w:r>
          </w:p>
        </w:tc>
      </w:tr>
    </w:tbl>
    <w:p>
      <w:pPr>
        <w:ind w:firstLine="640" w:firstLineChars="200"/>
        <w:rPr>
          <w:highlight w:val="yellow"/>
          <w:lang w:eastAsia="zh-CN"/>
        </w:rPr>
      </w:pPr>
    </w:p>
    <w:p>
      <w:pPr>
        <w:spacing w:line="360" w:lineRule="auto"/>
        <w:ind w:firstLine="435"/>
        <w:rPr>
          <w:rFonts w:hint="eastAsia" w:asciiTheme="minorEastAsia" w:hAnsiTheme="minorEastAsia" w:eastAsiaTheme="minorEastAsia" w:cstheme="minorEastAsia"/>
          <w:sz w:val="22"/>
          <w:szCs w:val="22"/>
          <w:lang w:eastAsia="zh-CN"/>
        </w:rPr>
      </w:pP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.1.2 价格评审办法采用区间平均价浮动法，计算方法详见第三章评标办法</w:t>
      </w:r>
      <w:r>
        <w:rPr>
          <w:rFonts w:hint="eastAsia" w:ascii="方正仿宋_GBK" w:hAnsi="方正仿宋_GBK" w:eastAsia="方正仿宋_GBK" w:cs="方正仿宋_GBK"/>
          <w:sz w:val="30"/>
          <w:szCs w:val="30"/>
          <w:lang w:val="en-US" w:eastAsia="zh-CN"/>
        </w:rPr>
        <w:t>2.2.2条。</w:t>
      </w:r>
    </w:p>
    <w:tbl>
      <w:tblPr>
        <w:tblStyle w:val="34"/>
        <w:tblpPr w:leftFromText="180" w:rightFromText="180" w:vertAnchor="text" w:horzAnchor="page" w:tblpX="1794" w:tblpY="1016"/>
        <w:tblOverlap w:val="never"/>
        <w:tblW w:w="8496" w:type="dxa"/>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2937"/>
        <w:gridCol w:w="1850"/>
        <w:gridCol w:w="2373"/>
        <w:gridCol w:w="681"/>
        <w:gridCol w:w="65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Merge w:val="restart"/>
            <w:tcBorders>
              <w:top w:val="double" w:color="auto" w:sz="4" w:space="0"/>
            </w:tcBorders>
            <w:vAlign w:val="center"/>
          </w:tcPr>
          <w:p>
            <w:pPr>
              <w:widowControl/>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lang w:eastAsia="zh-CN"/>
              </w:rPr>
              <w:t>分标</w:t>
            </w:r>
            <w:r>
              <w:rPr>
                <w:rFonts w:hint="eastAsia" w:ascii="宋体" w:hAnsi="宋体" w:eastAsia="宋体" w:cs="宋体"/>
                <w:b/>
                <w:sz w:val="18"/>
                <w:szCs w:val="18"/>
                <w:highlight w:val="none"/>
              </w:rPr>
              <w:t>名称</w:t>
            </w:r>
          </w:p>
        </w:tc>
        <w:tc>
          <w:tcPr>
            <w:tcW w:w="1850" w:type="dxa"/>
            <w:vMerge w:val="restart"/>
            <w:tcBorders>
              <w:top w:val="double" w:color="auto" w:sz="4" w:space="0"/>
            </w:tcBorders>
            <w:vAlign w:val="center"/>
          </w:tcPr>
          <w:p>
            <w:pPr>
              <w:widowControl/>
              <w:ind w:left="0" w:leftChars="0" w:firstLine="0" w:firstLineChars="0"/>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价格公式</w:t>
            </w:r>
          </w:p>
        </w:tc>
        <w:tc>
          <w:tcPr>
            <w:tcW w:w="3709" w:type="dxa"/>
            <w:gridSpan w:val="3"/>
            <w:tcBorders>
              <w:top w:val="double" w:color="auto" w:sz="4" w:space="0"/>
            </w:tcBorders>
            <w:vAlign w:val="center"/>
          </w:tcPr>
          <w:p>
            <w:pPr>
              <w:widowControl/>
              <w:jc w:val="center"/>
              <w:rPr>
                <w:rFonts w:hint="eastAsia" w:ascii="宋体" w:hAnsi="宋体" w:eastAsia="宋体" w:cs="宋体"/>
                <w:b/>
                <w:sz w:val="18"/>
                <w:szCs w:val="18"/>
                <w:highlight w:val="none"/>
              </w:rPr>
            </w:pPr>
            <w:r>
              <w:rPr>
                <w:rFonts w:hint="eastAsia" w:ascii="宋体" w:hAnsi="宋体" w:eastAsia="宋体" w:cs="宋体"/>
                <w:b/>
                <w:sz w:val="18"/>
                <w:szCs w:val="18"/>
                <w:highlight w:val="none"/>
              </w:rPr>
              <w:t>参数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Merge w:val="continue"/>
            <w:vAlign w:val="center"/>
          </w:tcPr>
          <w:p>
            <w:pPr>
              <w:widowControl/>
              <w:jc w:val="both"/>
              <w:rPr>
                <w:rFonts w:hint="eastAsia" w:ascii="宋体" w:hAnsi="宋体" w:eastAsia="宋体" w:cs="宋体"/>
                <w:b/>
                <w:sz w:val="18"/>
                <w:szCs w:val="18"/>
                <w:highlight w:val="none"/>
              </w:rPr>
            </w:pPr>
          </w:p>
        </w:tc>
        <w:tc>
          <w:tcPr>
            <w:tcW w:w="1850" w:type="dxa"/>
            <w:vMerge w:val="continue"/>
            <w:vAlign w:val="center"/>
          </w:tcPr>
          <w:p>
            <w:pPr>
              <w:widowControl/>
              <w:jc w:val="both"/>
              <w:rPr>
                <w:rFonts w:hint="eastAsia" w:ascii="宋体" w:hAnsi="宋体" w:eastAsia="宋体" w:cs="宋体"/>
                <w:b/>
                <w:sz w:val="18"/>
                <w:szCs w:val="18"/>
                <w:highlight w:val="none"/>
              </w:rPr>
            </w:pPr>
          </w:p>
        </w:tc>
        <w:tc>
          <w:tcPr>
            <w:tcW w:w="2373" w:type="dxa"/>
            <w:vAlign w:val="center"/>
          </w:tcPr>
          <w:p>
            <w:pPr>
              <w:adjustRightInd w:val="0"/>
              <w:snapToGrid w:val="0"/>
              <w:jc w:val="both"/>
              <w:rPr>
                <w:rFonts w:hint="eastAsia" w:ascii="宋体" w:hAnsi="宋体" w:eastAsia="宋体" w:cs="宋体"/>
                <w:b/>
                <w:sz w:val="18"/>
                <w:szCs w:val="18"/>
                <w:highlight w:val="none"/>
                <w:lang w:eastAsia="zh-CN"/>
              </w:rPr>
            </w:pPr>
            <w:r>
              <w:rPr>
                <w:rFonts w:hint="eastAsia" w:ascii="宋体" w:hAnsi="宋体" w:eastAsia="宋体" w:cs="宋体"/>
                <w:b/>
                <w:sz w:val="18"/>
                <w:szCs w:val="18"/>
                <w:highlight w:val="none"/>
                <w:lang w:eastAsia="zh-CN"/>
              </w:rPr>
              <w:t>C值抽取范围</w:t>
            </w:r>
          </w:p>
          <w:p>
            <w:pPr>
              <w:widowControl/>
              <w:jc w:val="both"/>
              <w:rPr>
                <w:rFonts w:hint="eastAsia" w:ascii="宋体" w:hAnsi="宋体" w:eastAsia="宋体" w:cs="宋体"/>
                <w:b/>
                <w:sz w:val="18"/>
                <w:szCs w:val="18"/>
                <w:highlight w:val="none"/>
                <w:lang w:eastAsia="zh-CN"/>
              </w:rPr>
            </w:pPr>
            <w:r>
              <w:rPr>
                <w:rFonts w:hint="eastAsia" w:ascii="宋体" w:hAnsi="宋体" w:eastAsia="宋体" w:cs="宋体"/>
                <w:b/>
                <w:sz w:val="18"/>
                <w:szCs w:val="18"/>
                <w:highlight w:val="none"/>
                <w:lang w:eastAsia="zh-CN"/>
              </w:rPr>
              <w:t>（级差为</w:t>
            </w:r>
            <w:r>
              <w:rPr>
                <w:rFonts w:hint="eastAsia" w:ascii="宋体" w:hAnsi="宋体" w:eastAsia="宋体" w:cs="宋体"/>
                <w:b/>
                <w:i/>
                <w:sz w:val="18"/>
                <w:szCs w:val="18"/>
                <w:highlight w:val="none"/>
                <w:u w:val="single"/>
                <w:lang w:eastAsia="zh-CN"/>
              </w:rPr>
              <w:t>0.25</w:t>
            </w:r>
            <w:r>
              <w:rPr>
                <w:rFonts w:hint="eastAsia" w:ascii="宋体" w:hAnsi="宋体" w:eastAsia="宋体" w:cs="宋体"/>
                <w:b/>
                <w:i/>
                <w:sz w:val="18"/>
                <w:szCs w:val="18"/>
                <w:highlight w:val="none"/>
                <w:u w:val="single"/>
                <w:lang w:val="en-US" w:eastAsia="zh-CN"/>
              </w:rPr>
              <w:t xml:space="preserve"> </w:t>
            </w:r>
            <w:r>
              <w:rPr>
                <w:rFonts w:hint="eastAsia" w:ascii="宋体" w:hAnsi="宋体" w:eastAsia="宋体" w:cs="宋体"/>
                <w:b/>
                <w:sz w:val="18"/>
                <w:szCs w:val="18"/>
                <w:highlight w:val="none"/>
                <w:lang w:eastAsia="zh-CN"/>
              </w:rPr>
              <w:t>%）</w:t>
            </w:r>
          </w:p>
        </w:tc>
        <w:tc>
          <w:tcPr>
            <w:tcW w:w="681" w:type="dxa"/>
            <w:vAlign w:val="center"/>
          </w:tcPr>
          <w:p>
            <w:pPr>
              <w:widowControl/>
              <w:ind w:left="0" w:leftChars="0" w:firstLine="0" w:firstLineChars="0"/>
              <w:jc w:val="center"/>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n1</w:t>
            </w:r>
          </w:p>
        </w:tc>
        <w:tc>
          <w:tcPr>
            <w:tcW w:w="655" w:type="dxa"/>
            <w:vAlign w:val="center"/>
          </w:tcPr>
          <w:p>
            <w:pPr>
              <w:widowControl/>
              <w:ind w:left="0" w:leftChars="0" w:firstLine="0" w:firstLineChars="0"/>
              <w:jc w:val="center"/>
              <w:rPr>
                <w:rFonts w:hint="eastAsia" w:ascii="宋体" w:hAnsi="宋体" w:eastAsia="宋体" w:cs="宋体"/>
                <w:b/>
                <w:bCs/>
                <w:sz w:val="18"/>
                <w:szCs w:val="18"/>
                <w:highlight w:val="none"/>
                <w:lang w:val="en-US" w:eastAsia="zh-CN"/>
              </w:rPr>
            </w:pPr>
            <w:r>
              <w:rPr>
                <w:rFonts w:hint="eastAsia" w:ascii="宋体" w:hAnsi="宋体" w:eastAsia="宋体" w:cs="宋体"/>
                <w:b/>
                <w:bCs/>
                <w:sz w:val="18"/>
                <w:szCs w:val="18"/>
                <w:highlight w:val="none"/>
                <w:lang w:val="en-US" w:eastAsia="zh-CN"/>
              </w:rPr>
              <w:t>n2</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eastAsia="zh-CN"/>
              </w:rPr>
            </w:pPr>
            <w:r>
              <w:rPr>
                <w:rFonts w:hint="eastAsia" w:ascii="宋体" w:hAnsi="宋体" w:eastAsia="宋体" w:cs="宋体"/>
                <w:sz w:val="18"/>
                <w:szCs w:val="18"/>
                <w:highlight w:val="none"/>
                <w:lang w:val="en-US" w:eastAsia="zh-CN"/>
              </w:rPr>
              <w:t>低压开关柜</w:t>
            </w:r>
          </w:p>
        </w:tc>
        <w:tc>
          <w:tcPr>
            <w:tcW w:w="1850" w:type="dxa"/>
            <w:vAlign w:val="center"/>
          </w:tcPr>
          <w:p>
            <w:pPr>
              <w:widowControl/>
              <w:ind w:left="0" w:leftChars="0" w:firstLine="0" w:firstLineChars="0"/>
              <w:jc w:val="center"/>
              <w:rPr>
                <w:rFonts w:hint="eastAsia" w:ascii="宋体" w:hAnsi="宋体" w:eastAsia="宋体" w:cs="宋体"/>
                <w:b/>
                <w:sz w:val="18"/>
                <w:szCs w:val="18"/>
                <w:highlight w:val="yellow"/>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组合互感器</w:t>
            </w:r>
          </w:p>
        </w:tc>
        <w:tc>
          <w:tcPr>
            <w:tcW w:w="1850"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配电终端(TTU)</w:t>
            </w:r>
          </w:p>
        </w:tc>
        <w:tc>
          <w:tcPr>
            <w:tcW w:w="1850"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故障录波及时间同步装置</w:t>
            </w:r>
          </w:p>
        </w:tc>
        <w:tc>
          <w:tcPr>
            <w:tcW w:w="1850"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通信单元（tcd0a1）</w:t>
            </w:r>
          </w:p>
        </w:tc>
        <w:tc>
          <w:tcPr>
            <w:tcW w:w="1850"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通信单元（ssc6763）</w:t>
            </w:r>
          </w:p>
        </w:tc>
        <w:tc>
          <w:tcPr>
            <w:tcW w:w="1850"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复合绝缘横担</w:t>
            </w:r>
          </w:p>
        </w:tc>
        <w:tc>
          <w:tcPr>
            <w:tcW w:w="1850"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接地模块</w:t>
            </w:r>
          </w:p>
        </w:tc>
        <w:tc>
          <w:tcPr>
            <w:tcW w:w="1850" w:type="dxa"/>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接地铁</w:t>
            </w:r>
          </w:p>
        </w:tc>
        <w:tc>
          <w:tcPr>
            <w:tcW w:w="1850"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超高性能混凝土杆</w:t>
            </w:r>
          </w:p>
        </w:tc>
        <w:tc>
          <w:tcPr>
            <w:tcW w:w="1850"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复合材料杆</w:t>
            </w:r>
          </w:p>
        </w:tc>
        <w:tc>
          <w:tcPr>
            <w:tcW w:w="1850"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水泥制品</w:t>
            </w:r>
          </w:p>
        </w:tc>
        <w:tc>
          <w:tcPr>
            <w:tcW w:w="1850"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yellow"/>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18"/>
                <w:szCs w:val="18"/>
                <w:highlight w:val="yellow"/>
                <w:u w:val="single"/>
                <w:lang w:eastAsia="zh-CN"/>
              </w:rPr>
            </w:pPr>
            <w:r>
              <w:rPr>
                <w:rFonts w:hint="eastAsia" w:ascii="宋体" w:hAnsi="宋体" w:eastAsia="宋体" w:cs="宋体"/>
                <w:sz w:val="18"/>
                <w:szCs w:val="18"/>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拉紧绝缘子</w:t>
            </w:r>
          </w:p>
        </w:tc>
        <w:tc>
          <w:tcPr>
            <w:tcW w:w="1850" w:type="dxa"/>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交流盘形悬式瓷复合绝缘子</w:t>
            </w:r>
          </w:p>
        </w:tc>
        <w:tc>
          <w:tcPr>
            <w:tcW w:w="1850" w:type="dxa"/>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2937" w:type="dxa"/>
            <w:vAlign w:val="center"/>
          </w:tcPr>
          <w:p>
            <w:pPr>
              <w:widowControl/>
              <w:ind w:left="0" w:leftChars="0" w:firstLine="0" w:firstLineChars="0"/>
              <w:jc w:val="center"/>
              <w:rPr>
                <w:rFonts w:hint="eastAsia" w:ascii="宋体" w:hAnsi="宋体" w:eastAsia="宋体" w:cs="宋体"/>
                <w:sz w:val="18"/>
                <w:szCs w:val="18"/>
                <w:highlight w:val="none"/>
                <w:lang w:val="en-US" w:eastAsia="zh-CN"/>
              </w:rPr>
            </w:pPr>
            <w:r>
              <w:rPr>
                <w:rFonts w:hint="eastAsia" w:ascii="宋体" w:hAnsi="宋体" w:eastAsia="宋体" w:cs="宋体"/>
                <w:sz w:val="18"/>
                <w:szCs w:val="18"/>
                <w:highlight w:val="none"/>
                <w:lang w:val="en-US" w:eastAsia="zh-CN"/>
              </w:rPr>
              <w:t>防鸟设备</w:t>
            </w:r>
          </w:p>
        </w:tc>
        <w:tc>
          <w:tcPr>
            <w:tcW w:w="1850" w:type="dxa"/>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373" w:type="dxa"/>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lang w:val="en-US" w:eastAsia="zh-CN"/>
              </w:rPr>
              <w:t>[1%，-1%]（含本数）</w:t>
            </w:r>
          </w:p>
        </w:tc>
        <w:tc>
          <w:tcPr>
            <w:tcW w:w="681" w:type="dxa"/>
            <w:vAlign w:val="center"/>
          </w:tcPr>
          <w:p>
            <w:pPr>
              <w:widowControl/>
              <w:ind w:left="0" w:leftChars="0" w:firstLine="0" w:firstLineChars="0"/>
              <w:jc w:val="center"/>
              <w:rPr>
                <w:rFonts w:hint="eastAsia" w:ascii="宋体" w:hAnsi="宋体" w:eastAsia="宋体" w:cs="宋体"/>
                <w:i/>
                <w:sz w:val="18"/>
                <w:szCs w:val="18"/>
                <w:highlight w:val="none"/>
                <w:u w:val="single"/>
                <w:lang w:eastAsia="zh-CN"/>
              </w:rPr>
            </w:pPr>
            <w:r>
              <w:rPr>
                <w:rFonts w:hint="eastAsia" w:ascii="宋体" w:hAnsi="宋体" w:eastAsia="宋体" w:cs="宋体"/>
                <w:sz w:val="18"/>
                <w:szCs w:val="18"/>
                <w:highlight w:val="none"/>
                <w:lang w:val="en-US" w:eastAsia="zh-CN"/>
              </w:rPr>
              <w:t>1</w:t>
            </w:r>
          </w:p>
        </w:tc>
        <w:tc>
          <w:tcPr>
            <w:tcW w:w="655" w:type="dxa"/>
            <w:vAlign w:val="center"/>
          </w:tcPr>
          <w:p>
            <w:pPr>
              <w:widowControl/>
              <w:ind w:left="0" w:leftChars="0" w:firstLine="0" w:firstLineChars="0"/>
              <w:jc w:val="center"/>
              <w:rPr>
                <w:rFonts w:hint="eastAsia" w:ascii="宋体" w:hAnsi="宋体" w:eastAsia="宋体" w:cs="宋体"/>
                <w:i/>
                <w:sz w:val="18"/>
                <w:szCs w:val="18"/>
                <w:highlight w:val="none"/>
                <w:u w:val="single"/>
                <w:lang w:eastAsia="zh-CN"/>
              </w:rPr>
            </w:pPr>
            <w:r>
              <w:rPr>
                <w:rFonts w:hint="eastAsia" w:ascii="宋体" w:hAnsi="宋体" w:eastAsia="宋体" w:cs="宋体"/>
                <w:sz w:val="18"/>
                <w:szCs w:val="18"/>
                <w:highlight w:val="none"/>
                <w:lang w:val="en-US" w:eastAsia="zh-CN"/>
              </w:rPr>
              <w:t>1</w:t>
            </w:r>
          </w:p>
        </w:tc>
      </w:tr>
    </w:tbl>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.1.3区间平均价浮动法参数设置，若公告中评标办法与第三章评标办法前附表之一有差别，以公告为准。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1.4本次招标项目不设定最高限价。</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.1.5授标原则：</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评标委员会推荐中标次序按同一分标下，综合评价得分排序从高到低的投标人顺序进行；综合评分相等时，以技术得分高的优先；技术得分也相等的，以投标报价低的优先；如果投标报价也相等，由招标人自行确定。</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11.1.5.1</w:t>
      </w:r>
      <w:r>
        <w:rPr>
          <w:rFonts w:hint="eastAsia" w:ascii="方正仿宋_GBK" w:hAnsi="方正仿宋_GBK" w:eastAsia="方正仿宋_GBK" w:cs="方正仿宋_GBK"/>
          <w:sz w:val="30"/>
          <w:szCs w:val="30"/>
          <w:lang w:eastAsia="zh-CN"/>
        </w:rPr>
        <w:t>本次各分标中每个投标人在同一分标中被授予的标包数量总计不超过</w:t>
      </w:r>
      <w:r>
        <w:rPr>
          <w:rFonts w:hint="eastAsia" w:ascii="方正仿宋_GBK" w:hAnsi="方正仿宋_GBK" w:eastAsia="方正仿宋_GBK" w:cs="方正仿宋_GBK"/>
          <w:sz w:val="30"/>
          <w:szCs w:val="30"/>
          <w:lang w:val="en-US" w:eastAsia="zh-CN"/>
        </w:rPr>
        <w:t>1</w:t>
      </w:r>
      <w:r>
        <w:rPr>
          <w:rFonts w:hint="eastAsia" w:ascii="方正仿宋_GBK" w:hAnsi="方正仿宋_GBK" w:eastAsia="方正仿宋_GBK" w:cs="方正仿宋_GBK"/>
          <w:sz w:val="30"/>
          <w:szCs w:val="30"/>
          <w:lang w:eastAsia="zh-CN"/>
        </w:rPr>
        <w:t>个包。</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default"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11.1.5.2当某一分标全部进入详评的投标人的中标标包数量超过条款11.1.5.1规定的限额时，该包授予综合得分最高的投标人。</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2</w:t>
      </w:r>
      <w:r>
        <w:rPr>
          <w:rFonts w:hint="eastAsia" w:ascii="方正仿宋_GBK" w:hAnsi="方正仿宋_GBK" w:eastAsia="方正仿宋_GBK" w:cs="方正仿宋_GBK"/>
          <w:sz w:val="30"/>
          <w:szCs w:val="30"/>
          <w:lang w:eastAsia="zh-CN"/>
        </w:rPr>
        <w:t>试验报告审核标准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2</w:t>
      </w:r>
      <w:r>
        <w:rPr>
          <w:rFonts w:hint="eastAsia" w:ascii="方正仿宋_GBK" w:hAnsi="方正仿宋_GBK" w:eastAsia="方正仿宋_GBK" w:cs="方正仿宋_GBK"/>
          <w:sz w:val="30"/>
          <w:szCs w:val="30"/>
          <w:lang w:eastAsia="zh-CN"/>
        </w:rPr>
        <w:t>.1 投标人应按照资格业绩条件要求提供有效的检测（检验）报告，关于报告出具机构、试验类型、试验项目等具体要求详见各标段相关规定。</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2</w:t>
      </w:r>
      <w:r>
        <w:rPr>
          <w:rFonts w:hint="eastAsia" w:ascii="方正仿宋_GBK" w:hAnsi="方正仿宋_GBK" w:eastAsia="方正仿宋_GBK" w:cs="方正仿宋_GBK"/>
          <w:sz w:val="30"/>
          <w:szCs w:val="30"/>
          <w:lang w:eastAsia="zh-CN"/>
        </w:rPr>
        <w:t>.2 投标文件中《供应商资质能力核实结果证明函件》有试验报告记录且记载数据满足招标文件要求，不需提供材料复印件。</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3</w:t>
      </w:r>
      <w:r>
        <w:rPr>
          <w:rFonts w:hint="eastAsia" w:ascii="方正仿宋_GBK" w:hAnsi="方正仿宋_GBK" w:eastAsia="方正仿宋_GBK" w:cs="方正仿宋_GBK"/>
          <w:sz w:val="30"/>
          <w:szCs w:val="30"/>
          <w:lang w:eastAsia="zh-CN"/>
        </w:rPr>
        <w:t>业绩审核标准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3</w:t>
      </w:r>
      <w:r>
        <w:rPr>
          <w:rFonts w:hint="eastAsia" w:ascii="方正仿宋_GBK" w:hAnsi="方正仿宋_GBK" w:eastAsia="方正仿宋_GBK" w:cs="方正仿宋_GBK"/>
          <w:sz w:val="30"/>
          <w:szCs w:val="30"/>
          <w:lang w:eastAsia="zh-CN"/>
        </w:rPr>
        <w:t>.1 投标人提供的有效期间内合同业绩数量应满足专用资质条件要求。业绩计算以合同签订时间为准。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3</w:t>
      </w:r>
      <w:r>
        <w:rPr>
          <w:rFonts w:hint="eastAsia" w:ascii="方正仿宋_GBK" w:hAnsi="方正仿宋_GBK" w:eastAsia="方正仿宋_GBK" w:cs="方正仿宋_GBK"/>
          <w:sz w:val="30"/>
          <w:szCs w:val="30"/>
          <w:lang w:eastAsia="zh-CN"/>
        </w:rPr>
        <w:t>.2 在投标文件中提供有效的《供应商资质能力核实结果证明函件》的投标人，其业绩以《供应商资质能力核实结果证明函件》所载明的数据为准，不需提供支持文件，《供应商资质能力核实结果证明函件》所载明的有效的核实数据作为评审依据。核实时间段内的业绩支撑文件无需编入投标文件，编入的不作评审。</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color w:val="FF0000"/>
          <w:sz w:val="30"/>
          <w:szCs w:val="30"/>
          <w:lang w:val="en-US" w:eastAsia="zh-CN"/>
        </w:rPr>
        <w:t>11</w:t>
      </w:r>
      <w:r>
        <w:rPr>
          <w:rFonts w:hint="eastAsia" w:ascii="方正仿宋_GBK" w:hAnsi="方正仿宋_GBK" w:eastAsia="方正仿宋_GBK" w:cs="方正仿宋_GBK"/>
          <w:color w:val="FF0000"/>
          <w:sz w:val="30"/>
          <w:szCs w:val="30"/>
          <w:lang w:eastAsia="zh-CN"/>
        </w:rPr>
        <w:t>.</w:t>
      </w:r>
      <w:r>
        <w:rPr>
          <w:rFonts w:hint="eastAsia" w:ascii="方正仿宋_GBK" w:hAnsi="方正仿宋_GBK" w:eastAsia="方正仿宋_GBK" w:cs="方正仿宋_GBK"/>
          <w:color w:val="FF0000"/>
          <w:sz w:val="30"/>
          <w:szCs w:val="30"/>
          <w:lang w:val="en-US" w:eastAsia="zh-CN"/>
        </w:rPr>
        <w:t>3</w:t>
      </w:r>
      <w:r>
        <w:rPr>
          <w:rFonts w:hint="eastAsia" w:ascii="方正仿宋_GBK" w:hAnsi="方正仿宋_GBK" w:eastAsia="方正仿宋_GBK" w:cs="方正仿宋_GBK"/>
          <w:color w:val="FF0000"/>
          <w:sz w:val="30"/>
          <w:szCs w:val="30"/>
          <w:lang w:eastAsia="zh-CN"/>
        </w:rPr>
        <w:t>.3 对于未在投标文件中提供相应产品《供应商资质能力核实结果证明函件》的投标人，为保证其投标文件中供货业绩真实可靠，所投标包相关业绩必须为投标人自身业绩，销售业绩必须提供对应的合同和发票复印件，发票复印件后须附通过国家税务总局全国增值税发票查验平台（网址：https://inv-veri.chinatax.gov.cn/）查验的发票结果截图，“一发票一截图”。所有业绩支撑证明材料内容须保证清晰、可辨认且不得遮盖、涂抹。未提供对应发票查验结果截图或结果截图与平台查验结果不一致的发票金额（数量）不予认可。对于存在造假行为的投标人，将严格按照《国家电网公司供应商不良行为处理管理细则》进行处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3</w:t>
      </w:r>
      <w:r>
        <w:rPr>
          <w:rFonts w:hint="eastAsia" w:ascii="方正仿宋_GBK" w:hAnsi="方正仿宋_GBK" w:eastAsia="方正仿宋_GBK" w:cs="方正仿宋_GBK"/>
          <w:sz w:val="30"/>
          <w:szCs w:val="30"/>
          <w:lang w:eastAsia="zh-CN"/>
        </w:rPr>
        <w:t>.4业绩数量按照物资类别计算，具体要求详见各标段相关规定。</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3</w:t>
      </w:r>
      <w:r>
        <w:rPr>
          <w:rFonts w:hint="eastAsia" w:ascii="方正仿宋_GBK" w:hAnsi="方正仿宋_GBK" w:eastAsia="方正仿宋_GBK" w:cs="方正仿宋_GBK"/>
          <w:sz w:val="30"/>
          <w:szCs w:val="30"/>
          <w:lang w:eastAsia="zh-CN"/>
        </w:rPr>
        <w:t>.5 既有业绩合同供货方和实际产品生产方必须均为投标人。</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3</w:t>
      </w:r>
      <w:r>
        <w:rPr>
          <w:rFonts w:hint="eastAsia" w:ascii="方正仿宋_GBK" w:hAnsi="方正仿宋_GBK" w:eastAsia="方正仿宋_GBK" w:cs="方正仿宋_GBK"/>
          <w:sz w:val="30"/>
          <w:szCs w:val="30"/>
          <w:lang w:eastAsia="zh-CN"/>
        </w:rPr>
        <w:t>.6业绩不认可的有（包括但不限于）：</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①与同类产品制造厂之间的业绩；</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②在试验室或试验站的业绩；</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③与代理商之间的业绩；</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④与非最终用户（即业主单位或负责所供货物运行、使用的单位以外的主体）签订的供货合同；</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⑤出口业绩的外贸合同、发票、报关单及对应产品型号等信息资料难以核实或不全的。</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3</w:t>
      </w:r>
      <w:r>
        <w:rPr>
          <w:rFonts w:hint="eastAsia" w:ascii="方正仿宋_GBK" w:hAnsi="方正仿宋_GBK" w:eastAsia="方正仿宋_GBK" w:cs="方正仿宋_GBK"/>
          <w:sz w:val="30"/>
          <w:szCs w:val="30"/>
          <w:lang w:eastAsia="zh-CN"/>
        </w:rPr>
        <w:t>.7 母子公司、兄弟公司、控股公司的业绩不能相互替代。</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3</w:t>
      </w:r>
      <w:r>
        <w:rPr>
          <w:rFonts w:hint="eastAsia" w:ascii="方正仿宋_GBK" w:hAnsi="方正仿宋_GBK" w:eastAsia="方正仿宋_GBK" w:cs="方正仿宋_GBK"/>
          <w:sz w:val="30"/>
          <w:szCs w:val="30"/>
          <w:lang w:eastAsia="zh-CN"/>
        </w:rPr>
        <w:t>.8收购其他企业，被收购企业注销的，收购方可继承被收购方的业绩。</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3</w:t>
      </w:r>
      <w:r>
        <w:rPr>
          <w:rFonts w:hint="eastAsia" w:ascii="方正仿宋_GBK" w:hAnsi="方正仿宋_GBK" w:eastAsia="方正仿宋_GBK" w:cs="方正仿宋_GBK"/>
          <w:sz w:val="30"/>
          <w:szCs w:val="30"/>
          <w:lang w:eastAsia="zh-CN"/>
        </w:rPr>
        <w:t>.9重组改制中涉及企业合并、分立、名称变更的，须提供充足的证明材料，方可继承原企业的业绩。</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4</w:t>
      </w:r>
      <w:r>
        <w:rPr>
          <w:rFonts w:hint="eastAsia" w:ascii="方正仿宋_GBK" w:hAnsi="方正仿宋_GBK" w:eastAsia="方正仿宋_GBK" w:cs="方正仿宋_GBK"/>
          <w:sz w:val="30"/>
          <w:szCs w:val="30"/>
          <w:lang w:eastAsia="zh-CN"/>
        </w:rPr>
        <w:t>生产许可证及其他许可事项审核标准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4</w:t>
      </w:r>
      <w:r>
        <w:rPr>
          <w:rFonts w:hint="eastAsia" w:ascii="方正仿宋_GBK" w:hAnsi="方正仿宋_GBK" w:eastAsia="方正仿宋_GBK" w:cs="方正仿宋_GBK"/>
          <w:sz w:val="30"/>
          <w:szCs w:val="30"/>
          <w:lang w:eastAsia="zh-CN"/>
        </w:rPr>
        <w:t>.1投标文件中《供应商资质能力核实结果证明函件》函件有生产许可证记录，不需提供材料复印件。在更新材料或没有《供应商资质能力核实结果证明函件》函件的须提供生产许可证复印件。</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4</w:t>
      </w:r>
      <w:r>
        <w:rPr>
          <w:rFonts w:hint="eastAsia" w:ascii="方正仿宋_GBK" w:hAnsi="方正仿宋_GBK" w:eastAsia="方正仿宋_GBK" w:cs="方正仿宋_GBK"/>
          <w:sz w:val="30"/>
          <w:szCs w:val="30"/>
          <w:lang w:eastAsia="zh-CN"/>
        </w:rPr>
        <w:t>.2投标人提供的生产许可证应在有效期内，应与投标产品种类对应。部分标段未要求提供的可不进行审查。</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4</w:t>
      </w:r>
      <w:r>
        <w:rPr>
          <w:rFonts w:hint="eastAsia" w:ascii="方正仿宋_GBK" w:hAnsi="方正仿宋_GBK" w:eastAsia="方正仿宋_GBK" w:cs="方正仿宋_GBK"/>
          <w:sz w:val="30"/>
          <w:szCs w:val="30"/>
          <w:lang w:eastAsia="zh-CN"/>
        </w:rPr>
        <w:t>.3需提供3C认证、入网许可证等其他许可、认定证明文件的，相关文件应覆盖招标物资类别产品，且在有效期内。</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4</w:t>
      </w:r>
      <w:r>
        <w:rPr>
          <w:rFonts w:hint="eastAsia" w:ascii="方正仿宋_GBK" w:hAnsi="方正仿宋_GBK" w:eastAsia="方正仿宋_GBK" w:cs="方正仿宋_GBK"/>
          <w:sz w:val="30"/>
          <w:szCs w:val="30"/>
          <w:lang w:eastAsia="zh-CN"/>
        </w:rPr>
        <w:t>.4关于生产许可证具体要求详见各标段相关规定。</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5</w:t>
      </w:r>
      <w:r>
        <w:rPr>
          <w:rFonts w:hint="eastAsia" w:ascii="方正仿宋_GBK" w:hAnsi="方正仿宋_GBK" w:eastAsia="方正仿宋_GBK" w:cs="方正仿宋_GBK"/>
          <w:sz w:val="30"/>
          <w:szCs w:val="30"/>
          <w:lang w:eastAsia="zh-CN"/>
        </w:rPr>
        <w:t xml:space="preserve">  ISO9000系列认证证书审核标准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5</w:t>
      </w:r>
      <w:r>
        <w:rPr>
          <w:rFonts w:hint="eastAsia" w:ascii="方正仿宋_GBK" w:hAnsi="方正仿宋_GBK" w:eastAsia="方正仿宋_GBK" w:cs="方正仿宋_GBK"/>
          <w:sz w:val="30"/>
          <w:szCs w:val="30"/>
          <w:lang w:eastAsia="zh-CN"/>
        </w:rPr>
        <w:t>.1投标文件中《供应商资质能力核实结果证明函件》有ISO9000系列认证证书记录，不需提供证书复印件。在更新材料或没有《供应商资质能力核实结果证明函件》的须提供ISO9000系列认证证书复印件。</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5</w:t>
      </w:r>
      <w:r>
        <w:rPr>
          <w:rFonts w:hint="eastAsia" w:ascii="方正仿宋_GBK" w:hAnsi="方正仿宋_GBK" w:eastAsia="方正仿宋_GBK" w:cs="方正仿宋_GBK"/>
          <w:sz w:val="30"/>
          <w:szCs w:val="30"/>
          <w:lang w:eastAsia="zh-CN"/>
        </w:rPr>
        <w:t>.2  投标人提供的ISO9000系列认证证书应在有效期内。</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11.6</w:t>
      </w:r>
      <w:r>
        <w:rPr>
          <w:rFonts w:hint="eastAsia" w:ascii="方正仿宋_GBK" w:hAnsi="方正仿宋_GBK" w:eastAsia="方正仿宋_GBK" w:cs="方正仿宋_GBK"/>
          <w:sz w:val="30"/>
          <w:szCs w:val="30"/>
          <w:lang w:eastAsia="zh-CN"/>
        </w:rPr>
        <w:t>生产试验设备审核标准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投标文件中《供应商资质能力核实结果证明函件》有生产试验设备记录，不需提供生产试验设备合同和发票等凭证复印件。在更新材料或没有《供应商资质能力核实结果证明函件》的须提供生产试验设备合同和发票等凭证复印件。</w:t>
      </w:r>
    </w:p>
    <w:p>
      <w:pPr>
        <w:pStyle w:val="5"/>
        <w:spacing w:before="70"/>
        <w:ind w:right="-340" w:rightChars="0" w:firstLine="320" w:firstLineChars="100"/>
        <w:rPr>
          <w:rFonts w:hint="eastAsia" w:ascii="方正仿宋_GBK" w:hAnsi="方正仿宋_GBK" w:eastAsia="方正仿宋_GBK" w:cs="方正仿宋_GBK"/>
          <w:b/>
          <w:bCs w:val="0"/>
          <w:lang w:val="en-US" w:eastAsia="zh-CN"/>
        </w:rPr>
      </w:pPr>
      <w:bookmarkStart w:id="8" w:name="_Toc286333067"/>
      <w:r>
        <w:rPr>
          <w:rFonts w:hint="eastAsia" w:ascii="方正仿宋_GBK" w:hAnsi="方正仿宋_GBK" w:eastAsia="方正仿宋_GBK" w:cs="方正仿宋_GBK"/>
          <w:b/>
          <w:bCs w:val="0"/>
          <w:lang w:val="en-US" w:eastAsia="zh-CN"/>
        </w:rPr>
        <w:t>12.联系方式</w:t>
      </w:r>
      <w:bookmarkEnd w:id="8"/>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招标代理机构：国网青海电力招标代理有限公司</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地址：青海省西宁市城北区生物科技产业园经四路12号</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default"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联系人：</w:t>
      </w:r>
      <w:r>
        <w:rPr>
          <w:rFonts w:hint="eastAsia" w:cs="方正仿宋_GBK"/>
          <w:sz w:val="30"/>
          <w:szCs w:val="30"/>
          <w:lang w:val="en-US" w:eastAsia="zh-CN"/>
        </w:rPr>
        <w:t>裴</w:t>
      </w:r>
      <w:r>
        <w:rPr>
          <w:rFonts w:hint="eastAsia" w:ascii="方正仿宋_GBK" w:hAnsi="方正仿宋_GBK" w:eastAsia="方正仿宋_GBK" w:cs="方正仿宋_GBK"/>
          <w:sz w:val="30"/>
          <w:szCs w:val="30"/>
          <w:lang w:val="en-US" w:eastAsia="zh-CN"/>
        </w:rPr>
        <w:t>经理： 0971-6076</w:t>
      </w:r>
      <w:r>
        <w:rPr>
          <w:rFonts w:hint="eastAsia" w:cs="方正仿宋_GBK"/>
          <w:sz w:val="30"/>
          <w:szCs w:val="30"/>
          <w:lang w:val="en-US" w:eastAsia="zh-CN"/>
        </w:rPr>
        <w:t>825</w:t>
      </w:r>
      <w:r>
        <w:rPr>
          <w:rFonts w:hint="eastAsia" w:ascii="方正仿宋_GBK" w:hAnsi="方正仿宋_GBK" w:eastAsia="方正仿宋_GBK" w:cs="方正仿宋_GBK"/>
          <w:sz w:val="30"/>
          <w:szCs w:val="30"/>
          <w:lang w:val="en-US" w:eastAsia="zh-CN"/>
        </w:rPr>
        <w:t xml:space="preserve">   康经理：0971-60767</w:t>
      </w:r>
      <w:r>
        <w:rPr>
          <w:rFonts w:hint="eastAsia" w:cs="方正仿宋_GBK"/>
          <w:sz w:val="30"/>
          <w:szCs w:val="30"/>
          <w:lang w:val="en-US" w:eastAsia="zh-CN"/>
        </w:rPr>
        <w:t>90</w:t>
      </w:r>
    </w:p>
    <w:p>
      <w:pPr>
        <w:bidi w:val="0"/>
        <w:rPr>
          <w:rFonts w:hint="eastAsia"/>
        </w:rPr>
      </w:pPr>
    </w:p>
    <w:p>
      <w:pPr>
        <w:bidi w:val="0"/>
        <w:jc w:val="right"/>
        <w:rPr>
          <w:rFonts w:hint="eastAsia"/>
          <w:lang w:val="en-US" w:eastAsia="zh-CN"/>
        </w:rPr>
      </w:pPr>
      <w:r>
        <w:rPr>
          <w:rFonts w:hint="eastAsia"/>
        </w:rPr>
        <w:t>国网青海电力招标代理有限公司</w:t>
      </w:r>
    </w:p>
    <w:p>
      <w:pPr>
        <w:bidi w:val="0"/>
        <w:jc w:val="right"/>
        <w:rPr>
          <w:rFonts w:hint="eastAsia" w:ascii="Times New Roman" w:hAnsi="Times New Roman" w:cs="Times New Roman"/>
          <w:color w:val="auto"/>
          <w:highlight w:val="none"/>
          <w:lang w:eastAsia="zh-CN"/>
        </w:rPr>
      </w:pPr>
      <w:r>
        <w:rPr>
          <w:rFonts w:hint="eastAsia"/>
          <w:highlight w:val="yellow"/>
          <w:lang w:eastAsia="zh-CN"/>
        </w:rPr>
        <w:t>二〇二</w:t>
      </w:r>
      <w:r>
        <w:rPr>
          <w:rFonts w:hint="eastAsia"/>
          <w:highlight w:val="yellow"/>
          <w:lang w:val="en-US" w:eastAsia="zh-CN"/>
        </w:rPr>
        <w:t>二</w:t>
      </w:r>
      <w:r>
        <w:rPr>
          <w:rFonts w:hint="eastAsia"/>
          <w:highlight w:val="yellow"/>
          <w:lang w:eastAsia="zh-CN"/>
        </w:rPr>
        <w:t>年</w:t>
      </w:r>
      <w:r>
        <w:rPr>
          <w:rFonts w:hint="eastAsia"/>
          <w:highlight w:val="yellow"/>
          <w:lang w:val="en-US" w:eastAsia="zh-CN"/>
        </w:rPr>
        <w:t>十</w:t>
      </w:r>
      <w:r>
        <w:rPr>
          <w:rFonts w:hint="eastAsia"/>
          <w:highlight w:val="yellow"/>
          <w:lang w:eastAsia="zh-CN"/>
        </w:rPr>
        <w:t>月二十</w:t>
      </w:r>
      <w:r>
        <w:rPr>
          <w:rFonts w:hint="eastAsia"/>
          <w:highlight w:val="yellow"/>
          <w:lang w:val="en-US" w:eastAsia="zh-CN"/>
        </w:rPr>
        <w:t>五</w:t>
      </w:r>
      <w:r>
        <w:rPr>
          <w:rFonts w:hint="eastAsia"/>
          <w:highlight w:val="yellow"/>
          <w:lang w:eastAsia="zh-CN"/>
        </w:rPr>
        <w:t>日</w:t>
      </w:r>
    </w:p>
    <w:p>
      <w:pPr>
        <w:jc w:val="center"/>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br w:type="page"/>
      </w:r>
    </w:p>
    <w:p>
      <w:pPr>
        <w:bidi w:val="0"/>
        <w:jc w:val="both"/>
        <w:rPr>
          <w:lang w:eastAsia="zh-CN"/>
        </w:rPr>
      </w:pPr>
      <w:r>
        <w:rPr>
          <w:lang w:eastAsia="zh-CN"/>
        </w:rPr>
        <w:t>本章节内容包含招标公告及投标邀请函两部分。</w:t>
      </w:r>
    </w:p>
    <w:p>
      <w:pPr>
        <w:pStyle w:val="4"/>
        <w:spacing w:beforeLines="50" w:afterLines="50" w:line="564" w:lineRule="exact"/>
        <w:ind w:left="0" w:right="57"/>
        <w:jc w:val="center"/>
        <w:rPr>
          <w:rFonts w:hint="eastAsia" w:ascii="方正小标宋_GBK" w:hAnsi="方正小标宋_GBK" w:eastAsia="方正小标宋_GBK" w:cs="方正小标宋_GBK"/>
          <w:sz w:val="44"/>
          <w:szCs w:val="44"/>
          <w:lang w:eastAsia="zh-CN"/>
        </w:rPr>
      </w:pPr>
      <w:r>
        <w:rPr>
          <w:rFonts w:hint="eastAsia" w:ascii="方正小标宋_GBK" w:hAnsi="方正小标宋_GBK" w:eastAsia="方正小标宋_GBK" w:cs="方正小标宋_GBK"/>
          <w:sz w:val="44"/>
          <w:szCs w:val="44"/>
          <w:lang w:eastAsia="zh-CN"/>
        </w:rPr>
        <w:t>第一章招标邀请书</w:t>
      </w:r>
    </w:p>
    <w:p>
      <w:pPr>
        <w:adjustRightInd w:val="0"/>
        <w:snapToGrid w:val="0"/>
        <w:jc w:val="center"/>
        <w:rPr>
          <w:rFonts w:hint="eastAsia" w:ascii="方正小标宋_GBK" w:hAnsi="方正小标宋_GBK" w:eastAsia="方正小标宋_GBK" w:cs="方正小标宋_GBK"/>
          <w:sz w:val="32"/>
          <w:szCs w:val="32"/>
          <w:lang w:eastAsia="zh-CN"/>
        </w:rPr>
      </w:pPr>
      <w:bookmarkStart w:id="13" w:name="_GoBack"/>
      <w:r>
        <w:rPr>
          <w:rFonts w:hint="eastAsia" w:ascii="方正小标宋_GBK" w:hAnsi="方正小标宋_GBK" w:eastAsia="方正小标宋_GBK" w:cs="方正小标宋_GBK"/>
          <w:sz w:val="32"/>
          <w:szCs w:val="32"/>
          <w:lang w:eastAsia="zh-CN"/>
        </w:rPr>
        <w:t>国网青海省电力公司202</w:t>
      </w:r>
      <w:r>
        <w:rPr>
          <w:rFonts w:hint="eastAsia" w:ascii="方正小标宋_GBK" w:hAnsi="方正小标宋_GBK" w:eastAsia="方正小标宋_GBK" w:cs="方正小标宋_GBK"/>
          <w:sz w:val="32"/>
          <w:szCs w:val="32"/>
          <w:lang w:val="en-US" w:eastAsia="zh-CN"/>
        </w:rPr>
        <w:t>2</w:t>
      </w:r>
      <w:r>
        <w:rPr>
          <w:rFonts w:hint="eastAsia" w:ascii="方正小标宋_GBK" w:hAnsi="方正小标宋_GBK" w:eastAsia="方正小标宋_GBK" w:cs="方正小标宋_GBK"/>
          <w:sz w:val="32"/>
          <w:szCs w:val="32"/>
          <w:lang w:eastAsia="zh-CN"/>
        </w:rPr>
        <w:t>年第</w:t>
      </w:r>
      <w:r>
        <w:rPr>
          <w:rFonts w:hint="eastAsia" w:ascii="方正小标宋_GBK" w:hAnsi="方正小标宋_GBK" w:eastAsia="方正小标宋_GBK" w:cs="方正小标宋_GBK"/>
          <w:sz w:val="32"/>
          <w:szCs w:val="32"/>
          <w:lang w:val="en-US" w:eastAsia="zh-CN"/>
        </w:rPr>
        <w:t>二</w:t>
      </w:r>
      <w:r>
        <w:rPr>
          <w:rFonts w:hint="eastAsia" w:ascii="方正小标宋_GBK" w:hAnsi="方正小标宋_GBK" w:eastAsia="方正小标宋_GBK" w:cs="方正小标宋_GBK"/>
          <w:sz w:val="32"/>
          <w:szCs w:val="32"/>
          <w:lang w:eastAsia="zh-CN"/>
        </w:rPr>
        <w:t>次协议库存物资招标采购</w:t>
      </w:r>
    </w:p>
    <w:p>
      <w:pPr>
        <w:adjustRightInd w:val="0"/>
        <w:snapToGrid w:val="0"/>
        <w:jc w:val="center"/>
        <w:rPr>
          <w:rFonts w:hint="eastAsia" w:ascii="方正小标宋_GBK" w:hAnsi="方正小标宋_GBK" w:eastAsia="方正小标宋_GBK" w:cs="方正小标宋_GBK"/>
          <w:sz w:val="32"/>
          <w:szCs w:val="32"/>
          <w:lang w:eastAsia="zh-CN"/>
        </w:rPr>
      </w:pPr>
      <w:r>
        <w:rPr>
          <w:rFonts w:hint="eastAsia" w:ascii="方正小标宋_GBK" w:hAnsi="方正小标宋_GBK" w:eastAsia="方正小标宋_GBK" w:cs="方正小标宋_GBK"/>
          <w:sz w:val="32"/>
          <w:szCs w:val="32"/>
          <w:lang w:eastAsia="zh-CN"/>
        </w:rPr>
        <w:t>招标公告</w:t>
      </w:r>
    </w:p>
    <w:p>
      <w:pPr>
        <w:pStyle w:val="4"/>
        <w:spacing w:line="572" w:lineRule="exact"/>
        <w:ind w:left="0" w:right="57"/>
        <w:jc w:val="center"/>
        <w:rPr>
          <w:rFonts w:hint="default" w:ascii="方正小标宋_GBK" w:hAnsi="方正小标宋_GBK" w:eastAsia="方正小标宋_GBK" w:cs="方正小标宋_GBK"/>
          <w:b w:val="0"/>
          <w:bCs w:val="0"/>
          <w:sz w:val="32"/>
          <w:szCs w:val="32"/>
          <w:lang w:val="en-US" w:eastAsia="zh-CN"/>
        </w:rPr>
      </w:pPr>
      <w:r>
        <w:rPr>
          <w:rFonts w:hint="eastAsia" w:ascii="方正小标宋_GBK" w:hAnsi="方正小标宋_GBK" w:eastAsia="方正小标宋_GBK" w:cs="方正小标宋_GBK"/>
          <w:sz w:val="32"/>
          <w:szCs w:val="32"/>
          <w:lang w:eastAsia="zh-CN"/>
        </w:rPr>
        <w:t>招标编号：282</w:t>
      </w:r>
      <w:r>
        <w:rPr>
          <w:rFonts w:hint="eastAsia" w:ascii="方正小标宋_GBK" w:hAnsi="方正小标宋_GBK" w:eastAsia="方正小标宋_GBK" w:cs="方正小标宋_GBK"/>
          <w:sz w:val="32"/>
          <w:szCs w:val="32"/>
          <w:lang w:val="en-US" w:eastAsia="zh-CN"/>
        </w:rPr>
        <w:t>208</w:t>
      </w:r>
    </w:p>
    <w:p>
      <w:pPr>
        <w:tabs>
          <w:tab w:val="left" w:pos="1118"/>
        </w:tabs>
        <w:spacing w:before="372"/>
        <w:ind w:right="56"/>
        <w:jc w:val="center"/>
        <w:rPr>
          <w:rFonts w:ascii="宋体" w:cs="宋体"/>
          <w:b/>
          <w:sz w:val="32"/>
          <w:szCs w:val="28"/>
          <w:lang w:eastAsia="zh-CN"/>
        </w:rPr>
      </w:pPr>
      <w:r>
        <w:rPr>
          <w:rFonts w:hint="eastAsia" w:ascii="宋体" w:hAnsi="宋体"/>
          <w:b/>
          <w:sz w:val="32"/>
          <w:szCs w:val="28"/>
          <w:lang w:eastAsia="zh-CN"/>
        </w:rPr>
        <w:t>（适用于资格预审）</w:t>
      </w:r>
    </w:p>
    <w:p>
      <w:pPr>
        <w:pStyle w:val="5"/>
        <w:spacing w:before="70"/>
        <w:ind w:right="-340" w:rightChars="0" w:firstLine="320" w:firstLineChars="100"/>
        <w:rPr>
          <w:rFonts w:hint="eastAsia" w:ascii="方正仿宋_GBK" w:hAnsi="方正仿宋_GBK" w:eastAsia="方正仿宋_GBK" w:cs="方正仿宋_GBK"/>
          <w:b/>
          <w:bCs w:val="0"/>
          <w:lang w:val="en-US" w:eastAsia="zh-CN"/>
        </w:rPr>
      </w:pPr>
      <w:bookmarkStart w:id="9" w:name="_bookmark10"/>
      <w:bookmarkEnd w:id="9"/>
      <w:r>
        <w:rPr>
          <w:rFonts w:hint="eastAsia" w:ascii="方正仿宋_GBK" w:hAnsi="方正仿宋_GBK" w:eastAsia="方正仿宋_GBK" w:cs="方正仿宋_GBK"/>
          <w:b/>
          <w:bCs w:val="0"/>
          <w:lang w:val="en-US" w:eastAsia="zh-CN"/>
        </w:rPr>
        <w:t>1. 招标条件</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本招标项目招标人为国网青海省电力公司，招标项目资金来自项目单位自筹、银行贷款，出资比例为100%。该项目已具备招标条件，现对该项目采购进行公开招标。</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招标人委托国网青海电力招标代理有限公司（以下简称“招标代理机构”），采用公开招标方式邀请有兴趣的合格投标人（以下简称“投标人”）就国网青海省电力公司2022年第</w:t>
      </w:r>
      <w:r>
        <w:rPr>
          <w:rFonts w:hint="eastAsia" w:cs="方正仿宋_GBK"/>
          <w:sz w:val="30"/>
          <w:szCs w:val="30"/>
          <w:lang w:val="en-US" w:eastAsia="zh-CN"/>
        </w:rPr>
        <w:t>二</w:t>
      </w:r>
      <w:r>
        <w:rPr>
          <w:rFonts w:hint="eastAsia" w:ascii="方正仿宋_GBK" w:hAnsi="方正仿宋_GBK" w:eastAsia="方正仿宋_GBK" w:cs="方正仿宋_GBK"/>
          <w:sz w:val="30"/>
          <w:szCs w:val="30"/>
          <w:lang w:eastAsia="zh-CN"/>
        </w:rPr>
        <w:t>次协议库存物资招标采购项目的供货和服务提交密封的有竞争性的投标文件。</w:t>
      </w:r>
    </w:p>
    <w:p>
      <w:pPr>
        <w:pStyle w:val="5"/>
        <w:numPr>
          <w:ilvl w:val="0"/>
          <w:numId w:val="1"/>
        </w:numPr>
        <w:spacing w:before="70"/>
        <w:ind w:right="-340" w:rightChars="0" w:firstLine="320" w:firstLineChars="100"/>
        <w:rPr>
          <w:rFonts w:hint="eastAsia" w:ascii="方正仿宋_GBK" w:hAnsi="方正仿宋_GBK" w:eastAsia="方正仿宋_GBK" w:cs="方正仿宋_GBK"/>
          <w:b/>
          <w:bCs w:val="0"/>
          <w:lang w:val="en-US" w:eastAsia="zh-CN"/>
        </w:rPr>
      </w:pPr>
      <w:bookmarkStart w:id="10" w:name="_bookmark11"/>
      <w:bookmarkEnd w:id="10"/>
      <w:r>
        <w:rPr>
          <w:rFonts w:hint="eastAsia" w:ascii="方正仿宋_GBK" w:hAnsi="方正仿宋_GBK" w:eastAsia="方正仿宋_GBK" w:cs="方正仿宋_GBK"/>
          <w:b/>
          <w:bCs w:val="0"/>
          <w:lang w:val="en-US" w:eastAsia="zh-CN"/>
        </w:rPr>
        <w:t>项目概况与招标范围</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eastAsia="zh-CN"/>
        </w:rPr>
        <w:t>招标货物及其数量、合同包个数</w:t>
      </w:r>
    </w:p>
    <w:tbl>
      <w:tblPr>
        <w:tblStyle w:val="34"/>
        <w:tblpPr w:leftFromText="180" w:rightFromText="180" w:vertAnchor="text" w:horzAnchor="page" w:tblpX="1167" w:tblpY="460"/>
        <w:tblOverlap w:val="never"/>
        <w:tblW w:w="9846" w:type="dxa"/>
        <w:tblInd w:w="0" w:type="dxa"/>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1627"/>
        <w:gridCol w:w="2264"/>
        <w:gridCol w:w="621"/>
        <w:gridCol w:w="1092"/>
        <w:gridCol w:w="624"/>
        <w:gridCol w:w="1209"/>
        <w:gridCol w:w="2409"/>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blHeader/>
        </w:trPr>
        <w:tc>
          <w:tcPr>
            <w:tcW w:w="1627" w:type="dxa"/>
            <w:vMerge w:val="restart"/>
            <w:tcBorders>
              <w:top w:val="double" w:color="auto" w:sz="4" w:space="0"/>
              <w:right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18"/>
                <w:szCs w:val="18"/>
              </w:rPr>
            </w:pPr>
            <w:bookmarkStart w:id="11" w:name="_bookmark12"/>
            <w:bookmarkEnd w:id="11"/>
            <w:r>
              <w:rPr>
                <w:rFonts w:hint="eastAsia" w:asciiTheme="minorEastAsia" w:hAnsiTheme="minorEastAsia" w:eastAsiaTheme="minorEastAsia" w:cstheme="minorEastAsia"/>
                <w:b/>
                <w:sz w:val="18"/>
                <w:szCs w:val="18"/>
              </w:rPr>
              <w:t>分标编号</w:t>
            </w:r>
          </w:p>
        </w:tc>
        <w:tc>
          <w:tcPr>
            <w:tcW w:w="2264" w:type="dxa"/>
            <w:vMerge w:val="restart"/>
            <w:tcBorders>
              <w:top w:val="double" w:color="auto" w:sz="4" w:space="0"/>
              <w:left w:val="single" w:color="auto" w:sz="2" w:space="0"/>
              <w:right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货物名称</w:t>
            </w:r>
          </w:p>
        </w:tc>
        <w:tc>
          <w:tcPr>
            <w:tcW w:w="621" w:type="dxa"/>
            <w:vMerge w:val="restart"/>
            <w:tcBorders>
              <w:top w:val="double" w:color="auto" w:sz="4" w:space="0"/>
              <w:left w:val="single" w:color="auto" w:sz="2" w:space="0"/>
              <w:right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单位</w:t>
            </w:r>
          </w:p>
        </w:tc>
        <w:tc>
          <w:tcPr>
            <w:tcW w:w="1092" w:type="dxa"/>
            <w:vMerge w:val="restart"/>
            <w:tcBorders>
              <w:top w:val="double" w:color="auto" w:sz="4" w:space="0"/>
              <w:left w:val="single" w:color="auto" w:sz="2" w:space="0"/>
              <w:right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数量</w:t>
            </w:r>
          </w:p>
        </w:tc>
        <w:tc>
          <w:tcPr>
            <w:tcW w:w="1833" w:type="dxa"/>
            <w:gridSpan w:val="2"/>
            <w:tcBorders>
              <w:top w:val="double" w:color="auto" w:sz="4" w:space="0"/>
              <w:left w:val="single" w:color="auto" w:sz="2" w:space="0"/>
              <w:bottom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合同包</w:t>
            </w:r>
          </w:p>
        </w:tc>
        <w:tc>
          <w:tcPr>
            <w:tcW w:w="2409" w:type="dxa"/>
            <w:vMerge w:val="restart"/>
            <w:tcBorders>
              <w:top w:val="double" w:color="auto" w:sz="4" w:space="0"/>
              <w:left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18"/>
                <w:szCs w:val="18"/>
                <w:lang w:eastAsia="zh-CN"/>
              </w:rPr>
            </w:pPr>
            <w:r>
              <w:rPr>
                <w:rFonts w:hint="eastAsia" w:asciiTheme="minorEastAsia" w:hAnsiTheme="minorEastAsia" w:eastAsiaTheme="minorEastAsia" w:cstheme="minorEastAsia"/>
                <w:b/>
                <w:sz w:val="18"/>
                <w:szCs w:val="18"/>
                <w:lang w:eastAsia="zh-CN"/>
              </w:rPr>
              <w:t>自买方发出《供货单》后要求的交货期</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369" w:hRule="atLeast"/>
          <w:tblHeader/>
        </w:trPr>
        <w:tc>
          <w:tcPr>
            <w:tcW w:w="1627" w:type="dxa"/>
            <w:vMerge w:val="continue"/>
            <w:tcBorders>
              <w:bottom w:val="single" w:color="auto" w:sz="2" w:space="0"/>
              <w:right w:val="single" w:color="auto" w:sz="2" w:space="0"/>
            </w:tcBorders>
            <w:vAlign w:val="center"/>
          </w:tcPr>
          <w:p>
            <w:pPr>
              <w:adjustRightInd w:val="0"/>
              <w:snapToGrid w:val="0"/>
              <w:jc w:val="center"/>
              <w:rPr>
                <w:rFonts w:hint="eastAsia" w:asciiTheme="minorEastAsia" w:hAnsiTheme="minorEastAsia" w:eastAsiaTheme="minorEastAsia" w:cstheme="minorEastAsia"/>
                <w:b/>
                <w:sz w:val="18"/>
                <w:szCs w:val="18"/>
                <w:lang w:eastAsia="zh-CN"/>
              </w:rPr>
            </w:pPr>
          </w:p>
        </w:tc>
        <w:tc>
          <w:tcPr>
            <w:tcW w:w="2264" w:type="dxa"/>
            <w:vMerge w:val="continue"/>
            <w:tcBorders>
              <w:left w:val="single" w:color="auto" w:sz="2" w:space="0"/>
              <w:bottom w:val="single" w:color="auto" w:sz="2" w:space="0"/>
              <w:right w:val="single" w:color="auto" w:sz="2" w:space="0"/>
            </w:tcBorders>
            <w:vAlign w:val="bottom"/>
          </w:tcPr>
          <w:p>
            <w:pPr>
              <w:adjustRightInd w:val="0"/>
              <w:snapToGrid w:val="0"/>
              <w:ind w:left="0" w:leftChars="0" w:firstLine="0" w:firstLineChars="0"/>
              <w:jc w:val="center"/>
              <w:rPr>
                <w:rFonts w:hint="eastAsia" w:asciiTheme="minorEastAsia" w:hAnsiTheme="minorEastAsia" w:eastAsiaTheme="minorEastAsia" w:cstheme="minorEastAsia"/>
                <w:b/>
                <w:sz w:val="18"/>
                <w:szCs w:val="18"/>
                <w:lang w:eastAsia="zh-CN"/>
              </w:rPr>
            </w:pPr>
          </w:p>
        </w:tc>
        <w:tc>
          <w:tcPr>
            <w:tcW w:w="621" w:type="dxa"/>
            <w:vMerge w:val="continue"/>
            <w:tcBorders>
              <w:left w:val="single" w:color="auto" w:sz="2" w:space="0"/>
              <w:bottom w:val="single" w:color="auto" w:sz="2" w:space="0"/>
              <w:right w:val="single" w:color="auto" w:sz="2" w:space="0"/>
            </w:tcBorders>
            <w:vAlign w:val="bottom"/>
          </w:tcPr>
          <w:p>
            <w:pPr>
              <w:adjustRightInd w:val="0"/>
              <w:snapToGrid w:val="0"/>
              <w:ind w:left="0" w:leftChars="0" w:firstLine="0" w:firstLineChars="0"/>
              <w:jc w:val="center"/>
              <w:rPr>
                <w:rFonts w:hint="eastAsia" w:asciiTheme="minorEastAsia" w:hAnsiTheme="minorEastAsia" w:eastAsiaTheme="minorEastAsia" w:cstheme="minorEastAsia"/>
                <w:b/>
                <w:sz w:val="18"/>
                <w:szCs w:val="18"/>
                <w:lang w:eastAsia="zh-CN"/>
              </w:rPr>
            </w:pPr>
          </w:p>
        </w:tc>
        <w:tc>
          <w:tcPr>
            <w:tcW w:w="1092" w:type="dxa"/>
            <w:vMerge w:val="continue"/>
            <w:tcBorders>
              <w:left w:val="single" w:color="auto" w:sz="2" w:space="0"/>
              <w:bottom w:val="single" w:color="auto" w:sz="2" w:space="0"/>
              <w:right w:val="single" w:color="auto" w:sz="2" w:space="0"/>
            </w:tcBorders>
            <w:vAlign w:val="bottom"/>
          </w:tcPr>
          <w:p>
            <w:pPr>
              <w:adjustRightInd w:val="0"/>
              <w:snapToGrid w:val="0"/>
              <w:ind w:left="0" w:leftChars="0" w:firstLine="0" w:firstLineChars="0"/>
              <w:jc w:val="center"/>
              <w:rPr>
                <w:rFonts w:hint="eastAsia" w:asciiTheme="minorEastAsia" w:hAnsiTheme="minorEastAsia" w:eastAsiaTheme="minorEastAsia" w:cstheme="minorEastAsia"/>
                <w:b/>
                <w:sz w:val="18"/>
                <w:szCs w:val="18"/>
                <w:lang w:eastAsia="zh-CN"/>
              </w:rPr>
            </w:pPr>
          </w:p>
        </w:tc>
        <w:tc>
          <w:tcPr>
            <w:tcW w:w="624" w:type="dxa"/>
            <w:tcBorders>
              <w:left w:val="single" w:color="auto" w:sz="2" w:space="0"/>
              <w:bottom w:val="single" w:color="auto" w:sz="2" w:space="0"/>
              <w:right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18"/>
                <w:szCs w:val="18"/>
              </w:rPr>
            </w:pPr>
            <w:r>
              <w:rPr>
                <w:rFonts w:hint="eastAsia" w:asciiTheme="minorEastAsia" w:hAnsiTheme="minorEastAsia" w:eastAsiaTheme="minorEastAsia" w:cstheme="minorEastAsia"/>
                <w:b/>
                <w:sz w:val="18"/>
                <w:szCs w:val="18"/>
              </w:rPr>
              <w:t>个数</w:t>
            </w:r>
          </w:p>
        </w:tc>
        <w:tc>
          <w:tcPr>
            <w:tcW w:w="1209" w:type="dxa"/>
            <w:tcBorders>
              <w:left w:val="single" w:color="auto" w:sz="2" w:space="0"/>
              <w:bottom w:val="single" w:color="auto" w:sz="2"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sz w:val="18"/>
                <w:szCs w:val="18"/>
                <w:lang w:eastAsia="zh-CN"/>
              </w:rPr>
            </w:pPr>
            <w:r>
              <w:rPr>
                <w:rFonts w:hint="eastAsia" w:asciiTheme="minorEastAsia" w:hAnsiTheme="minorEastAsia" w:eastAsiaTheme="minorEastAsia" w:cstheme="minorEastAsia"/>
                <w:b/>
                <w:sz w:val="18"/>
                <w:szCs w:val="18"/>
                <w:lang w:eastAsia="zh-CN"/>
              </w:rPr>
              <w:t>包号</w:t>
            </w:r>
          </w:p>
        </w:tc>
        <w:tc>
          <w:tcPr>
            <w:tcW w:w="2409" w:type="dxa"/>
            <w:vMerge w:val="continue"/>
            <w:tcBorders>
              <w:left w:val="single" w:color="auto" w:sz="2" w:space="0"/>
              <w:bottom w:val="single" w:color="auto" w:sz="2" w:space="0"/>
            </w:tcBorders>
          </w:tcPr>
          <w:p>
            <w:pPr>
              <w:adjustRightInd w:val="0"/>
              <w:snapToGrid w:val="0"/>
              <w:jc w:val="center"/>
              <w:rPr>
                <w:rFonts w:hint="eastAsia" w:asciiTheme="minorEastAsia" w:hAnsiTheme="minorEastAsia" w:eastAsiaTheme="minorEastAsia" w:cstheme="minorEastAsia"/>
                <w:b/>
                <w:sz w:val="18"/>
                <w:szCs w:val="18"/>
                <w:lang w:eastAsia="zh-CN"/>
              </w:rPr>
            </w:pP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282208-1001002-9999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10kV变压器</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台</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15</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282208-1001012-0001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箱式变电站</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套</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48</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3</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包1~包3</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282208-1020001-9999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交流避雷器</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台</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6445</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282208-1022001-0001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高压熔断器</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只</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2113</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282208-1035001-9999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10kV柱上变压器台成套设备</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套</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256</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3</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包1~包3</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282208-1035004-0001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一二次融合成套环网箱</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套</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82</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包1~包4</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282208-1035006-0001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一二次融合成套柱上断路器</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套</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546</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包1~包4</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282208-1010001-0002</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交流三相隔离开关</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组</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2169</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包1~包2</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282208-1016008-9999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配电箱</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个</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21947</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包1~包4</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282208-1106018-9999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电能计量箱</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只</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12548</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包1~包5</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282208-1107007-0002</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配电终端(DTU)</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套</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14</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282208-1304049-0001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接地短路故障指示器</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台</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928</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包1~包2</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282208-1402004-9999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钢绞线及钢芯铝绞线</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吨</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234.58</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282208-1402005-0001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10kV架空绝缘导线</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千米</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1815.16</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3</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包1~包3</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282208-1402005-0002</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1kV架空绝缘导线</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千米</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2522.49</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包1~包2</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282208-1404001-9999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电力电缆</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千米</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81.83</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包1~包4</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282208-1404002-9999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低压电力电缆</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千米</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2008.14</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9</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包1~包9</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282208-1408000-9999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电缆附件</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套</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6635</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282208-1408007-9999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电缆分支箱</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只</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897</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3</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包1~包3</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282208-1408006-9999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电缆保护管</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米</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48586</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282208-1406032-9999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铁构件</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吨</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2677.86</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包1~包5</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282208-1407000-9999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金具</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付</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560296</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3</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包1~包3</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282208-1401001-9999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钢管杆（桩）</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吨</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1471.85</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3</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包1~包3</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282208-1401002-0001</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锥形水泥杆（非预应力）</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根</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22225</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7</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包1~包7</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282208-1401002-0002</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锥形水泥杆（部分预应力）</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根</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1238</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包1~包2</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282208-1405015-9999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蝶式绝缘子</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只</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45211</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282208-1405022-9999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针式瓷绝缘子</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只</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44918</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282208-1405025-9999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交流盘形悬式瓷绝缘子</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片</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35800</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282208-1405033-9999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交流棒形悬式复合绝缘子</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支</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23162</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rHeight w:val="403" w:hRule="atLeast"/>
        </w:trPr>
        <w:tc>
          <w:tcPr>
            <w:tcW w:w="1627" w:type="dxa"/>
            <w:tcBorders>
              <w:top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282208-1405037-9999</w:t>
            </w:r>
          </w:p>
        </w:tc>
        <w:tc>
          <w:tcPr>
            <w:tcW w:w="226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线路柱式瓷绝缘子</w:t>
            </w:r>
          </w:p>
        </w:tc>
        <w:tc>
          <w:tcPr>
            <w:tcW w:w="621"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只</w:t>
            </w:r>
          </w:p>
        </w:tc>
        <w:tc>
          <w:tcPr>
            <w:tcW w:w="1092"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26906</w:t>
            </w:r>
          </w:p>
        </w:tc>
        <w:tc>
          <w:tcPr>
            <w:tcW w:w="624" w:type="dxa"/>
            <w:tcBorders>
              <w:top w:val="single" w:color="auto" w:sz="2" w:space="0"/>
              <w:left w:val="single" w:color="auto" w:sz="2" w:space="0"/>
              <w:bottom w:val="single" w:color="auto" w:sz="2" w:space="0"/>
              <w:right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w:t>
            </w:r>
          </w:p>
        </w:tc>
        <w:tc>
          <w:tcPr>
            <w:tcW w:w="12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包1~包2</w:t>
            </w:r>
          </w:p>
        </w:tc>
        <w:tc>
          <w:tcPr>
            <w:tcW w:w="2409" w:type="dxa"/>
            <w:tcBorders>
              <w:top w:val="single" w:color="auto" w:sz="2" w:space="0"/>
              <w:left w:val="single" w:color="auto" w:sz="2" w:space="0"/>
              <w:bottom w:val="single" w:color="auto" w:sz="2" w:space="0"/>
            </w:tcBorders>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以采购供货单为准</w:t>
            </w:r>
          </w:p>
        </w:tc>
      </w:tr>
    </w:tbl>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货物清单单独成册，是本邀请书附件。</w:t>
      </w:r>
    </w:p>
    <w:p>
      <w:pPr>
        <w:pStyle w:val="5"/>
        <w:spacing w:before="70"/>
        <w:ind w:right="-340" w:rightChars="0" w:firstLine="320" w:firstLineChars="100"/>
        <w:rPr>
          <w:rFonts w:hint="eastAsia" w:ascii="方正仿宋_GBK" w:hAnsi="方正仿宋_GBK" w:eastAsia="方正仿宋_GBK" w:cs="方正仿宋_GBK"/>
          <w:b/>
          <w:bCs w:val="0"/>
          <w:lang w:val="en-US" w:eastAsia="zh-CN"/>
        </w:rPr>
      </w:pPr>
      <w:r>
        <w:rPr>
          <w:rFonts w:hint="eastAsia" w:ascii="方正仿宋_GBK" w:hAnsi="方正仿宋_GBK" w:eastAsia="方正仿宋_GBK" w:cs="方正仿宋_GBK"/>
          <w:b/>
          <w:bCs w:val="0"/>
          <w:lang w:val="en-US" w:eastAsia="zh-CN"/>
        </w:rPr>
        <w:t>3. 投标人资格要求</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本次招标要求投标人须为中华人民共和国境内依法注册的法人或其他组织，须具备相应货物的制造能力，并在人员、设备、资金等方面具有保障如期交货等承担招标项目的能力。除特别注明外，这些资格、资质、业绩均系投标人本企业所拥有的权利权益。</w:t>
      </w:r>
    </w:p>
    <w:p>
      <w:pPr>
        <w:pStyle w:val="5"/>
        <w:spacing w:before="70"/>
        <w:ind w:right="-340" w:rightChars="0"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3.1通用资格要求：</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bookmarkStart w:id="12" w:name="_bookmark13"/>
      <w:bookmarkEnd w:id="12"/>
      <w:r>
        <w:rPr>
          <w:rFonts w:hint="eastAsia" w:ascii="方正仿宋_GBK" w:hAnsi="方正仿宋_GBK" w:eastAsia="方正仿宋_GBK" w:cs="方正仿宋_GBK"/>
          <w:sz w:val="30"/>
          <w:szCs w:val="30"/>
          <w:lang w:val="en-US" w:eastAsia="zh-CN"/>
        </w:rPr>
        <w:t>3.1.1</w:t>
      </w:r>
      <w:r>
        <w:rPr>
          <w:rFonts w:hint="eastAsia" w:ascii="方正仿宋_GBK" w:hAnsi="方正仿宋_GBK" w:eastAsia="方正仿宋_GBK" w:cs="方正仿宋_GBK"/>
          <w:sz w:val="30"/>
          <w:szCs w:val="30"/>
          <w:lang w:eastAsia="zh-CN"/>
        </w:rPr>
        <w:t>必须具有生产投标产品所需的生产场地、生产设备、生产人员、产品及元器件检测能力。这些制造、检测能力应当分别相等或者优于《2021年版配（农）网物资供应商资质能力核实标准》（国家电网公司电子商务平台公开发布）提出的制造、检测设备。</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3.1.2</w:t>
      </w:r>
      <w:r>
        <w:rPr>
          <w:rFonts w:hint="eastAsia" w:ascii="方正仿宋_GBK" w:hAnsi="方正仿宋_GBK" w:eastAsia="方正仿宋_GBK" w:cs="方正仿宋_GBK"/>
          <w:sz w:val="30"/>
          <w:szCs w:val="30"/>
          <w:lang w:eastAsia="zh-CN"/>
        </w:rPr>
        <w:t>设计制造过与投标产品相同结构、相同型式、同等或以上技术规格的产品。在与规范相同或较规范更严格的条件下，该产品的投运数量及其成功运行时间或者合同数量满足要求。如同一包内存在不同类别的设备，则投标人须分别满足包内各类别设备的资格要求。</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3.1.3</w:t>
      </w:r>
      <w:r>
        <w:rPr>
          <w:rFonts w:hint="eastAsia" w:ascii="方正仿宋_GBK" w:hAnsi="方正仿宋_GBK" w:eastAsia="方正仿宋_GBK" w:cs="方正仿宋_GBK"/>
          <w:sz w:val="30"/>
          <w:szCs w:val="30"/>
          <w:lang w:eastAsia="zh-CN"/>
        </w:rPr>
        <w:t>投标产品以及专门资格条件接受外购外协的产品、组件，取得国际专业权威机构或者国家级专业检验检测机构出具的产品有效试验报告，且试验报告检测项目、结果数据、检测有效期符合相应产品最新国家、行业标准以及本次招标技术规范的规定：</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国家、行业已经发布相应产品标准的，投标人须取得国家级权威检验检测机构出具的型式试验报告；</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国家、行业尚未发布相应产品标准的，投标人须取得国家级权威检验检测机构出具的专业检测报告。专业检测是指国家电网公司新技术产品或者根据现场运行需要，委托国家级检验检测机构公开邀请进行的专门检测活动。</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各类试验报告均系针对具体型式规格产品的试验报告。</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3.1.4</w:t>
      </w:r>
      <w:r>
        <w:rPr>
          <w:rFonts w:hint="eastAsia" w:ascii="方正仿宋_GBK" w:hAnsi="方正仿宋_GBK" w:eastAsia="方正仿宋_GBK" w:cs="方正仿宋_GBK"/>
          <w:sz w:val="30"/>
          <w:szCs w:val="30"/>
          <w:lang w:eastAsia="zh-CN"/>
        </w:rPr>
        <w:t>取得国家法律、法规、部门规章规定的有效许可证件。</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3.1.5</w:t>
      </w:r>
      <w:r>
        <w:rPr>
          <w:rFonts w:hint="eastAsia" w:ascii="方正仿宋_GBK" w:hAnsi="方正仿宋_GBK" w:eastAsia="方正仿宋_GBK" w:cs="方正仿宋_GBK"/>
          <w:sz w:val="30"/>
          <w:szCs w:val="30"/>
          <w:lang w:eastAsia="zh-CN"/>
        </w:rPr>
        <w:t>投标人取得有效的ISO9000系列质量保证体系认证书。</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3.1.6</w:t>
      </w:r>
      <w:r>
        <w:rPr>
          <w:rFonts w:hint="eastAsia" w:ascii="方正仿宋_GBK" w:hAnsi="方正仿宋_GBK" w:eastAsia="方正仿宋_GBK" w:cs="方正仿宋_GBK"/>
          <w:sz w:val="30"/>
          <w:szCs w:val="30"/>
          <w:lang w:eastAsia="zh-CN"/>
        </w:rPr>
        <w:t>取得招标文件要求的有效认证证书。</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3.1.7</w:t>
      </w:r>
      <w:r>
        <w:rPr>
          <w:rFonts w:hint="eastAsia" w:ascii="方正仿宋_GBK" w:hAnsi="方正仿宋_GBK" w:eastAsia="方正仿宋_GBK" w:cs="方正仿宋_GBK"/>
          <w:sz w:val="30"/>
          <w:szCs w:val="30"/>
          <w:lang w:eastAsia="zh-CN"/>
        </w:rPr>
        <w:t>法定代表人或单位负责人为同一人或者存在控股、管理关系的不同单位，不得参加同一标包投标或者未划分标包的同一招标项目投标。</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3.1.8</w:t>
      </w:r>
      <w:r>
        <w:rPr>
          <w:rFonts w:hint="eastAsia" w:ascii="方正仿宋_GBK" w:hAnsi="方正仿宋_GBK" w:eastAsia="方正仿宋_GBK" w:cs="方正仿宋_GBK"/>
          <w:sz w:val="30"/>
          <w:szCs w:val="30"/>
          <w:lang w:eastAsia="zh-CN"/>
        </w:rPr>
        <w:t>应有良好的财务状况，具体要求详见招标文件第2章投标人须知第3.5.2规定。</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3.1.9</w:t>
      </w:r>
      <w:r>
        <w:rPr>
          <w:rFonts w:hint="eastAsia" w:ascii="方正仿宋_GBK" w:hAnsi="方正仿宋_GBK" w:eastAsia="方正仿宋_GBK" w:cs="方正仿宋_GBK"/>
          <w:sz w:val="30"/>
          <w:szCs w:val="30"/>
          <w:lang w:eastAsia="zh-CN"/>
        </w:rPr>
        <w:t>本招标活动不接受贴牌代工的投标以及其他任何分包行为的投标。</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3.1.10</w:t>
      </w:r>
      <w:r>
        <w:rPr>
          <w:rFonts w:hint="eastAsia" w:ascii="方正仿宋_GBK" w:hAnsi="方正仿宋_GBK" w:eastAsia="方正仿宋_GBK" w:cs="方正仿宋_GBK"/>
          <w:sz w:val="30"/>
          <w:szCs w:val="30"/>
          <w:lang w:eastAsia="zh-CN"/>
        </w:rPr>
        <w:t>投标产品不得选配缺陷责任期（自设备投运之日起两年内）发生产品质量问题（接续、接触机械电气性能，支撑、封闭绝缘性能，以及电力电子性能下降、老化、毁损、丧失）导致设备停运检修的组件材料制造商的产品。</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3.1.11</w:t>
      </w:r>
      <w:r>
        <w:rPr>
          <w:rFonts w:hint="eastAsia" w:ascii="方正仿宋_GBK" w:hAnsi="方正仿宋_GBK" w:eastAsia="方正仿宋_GBK" w:cs="方正仿宋_GBK"/>
          <w:sz w:val="30"/>
          <w:szCs w:val="30"/>
          <w:lang w:eastAsia="zh-CN"/>
        </w:rPr>
        <w:t>提供的同类材料未因该材料原因出现过质量问题（或出现过质量问题，但已采取了有效的整改措施及善后处理，并通过国家电网公司或所在省公司的验收。</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3.1.12</w:t>
      </w:r>
      <w:r>
        <w:rPr>
          <w:rFonts w:hint="eastAsia" w:ascii="方正仿宋_GBK" w:hAnsi="方正仿宋_GBK" w:eastAsia="方正仿宋_GBK" w:cs="方正仿宋_GBK"/>
          <w:sz w:val="30"/>
          <w:szCs w:val="30"/>
          <w:lang w:eastAsia="zh-CN"/>
        </w:rPr>
        <w:t>在国内材料销售合同执行过程中，未因严重质量问题而造成批量退货（退货量占合同金额10%及以上）或严重影响施工，或出现过其它重大问题，但已采取了有效的整改措施及善后处理，并通过国家电网公司或所在省公司的验收。</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3.1.13</w:t>
      </w:r>
      <w:r>
        <w:rPr>
          <w:rFonts w:hint="eastAsia" w:ascii="方正仿宋_GBK" w:hAnsi="方正仿宋_GBK" w:eastAsia="方正仿宋_GBK" w:cs="方正仿宋_GBK"/>
          <w:sz w:val="30"/>
          <w:szCs w:val="30"/>
          <w:lang w:eastAsia="zh-CN"/>
        </w:rPr>
        <w:t>在国内材料销售合同执行过程中，未因货物和/或投标人图纸的交付拖延问题而严重影响施工和工程进度，或出现过其它重大问题，但已采取了有效的整改措施及善后处理，并通过国家电网公司或所在国网省级电力公司的验收。</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3.1.14</w:t>
      </w:r>
      <w:r>
        <w:rPr>
          <w:rFonts w:hint="eastAsia" w:ascii="方正仿宋_GBK" w:hAnsi="方正仿宋_GBK" w:eastAsia="方正仿宋_GBK" w:cs="方正仿宋_GBK"/>
          <w:sz w:val="30"/>
          <w:szCs w:val="30"/>
          <w:lang w:eastAsia="zh-CN"/>
        </w:rPr>
        <w:t>按照《国家电网公司供应商不良行为处理管理细则》规定，未存在因不良行为导致本批次暂停、取消或永久取消中标资格的。</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3.1.15</w:t>
      </w:r>
      <w:r>
        <w:rPr>
          <w:rFonts w:hint="eastAsia" w:ascii="方正仿宋_GBK" w:hAnsi="方正仿宋_GBK" w:eastAsia="方正仿宋_GBK" w:cs="方正仿宋_GBK"/>
          <w:sz w:val="30"/>
          <w:szCs w:val="30"/>
          <w:lang w:eastAsia="zh-CN"/>
        </w:rPr>
        <w:t>投标人不得选配国家电网公司《关于供应商不良行为处理情况的通报》和××省电力公司《关于供应商不良行为处理的通报/公告》（此名称应与各单位在ECP平台中发布的不良行为处理公告名称保持一致）中正在接受暂停中标资格、取消中标资格的制造商或外购外协供应商或代理（集成服务）原厂商的相应处理范围内的产品。</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3.1.16根据《企业信息公示暂行条例》，投标人不得被工商行政管理机关在国家企业信用信息公示系统中列入“经营异常名录”或者“严重违法失信企业名单”。（查询日期应在投标截止日前20天内，查询结果应为网站自动生成的PDF文件），未提供有效国家企业信用信息公示系统（www.gsxt.gov.cn）查询结果的，其投标文件作否决投标处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3.1.17根据最高人民法院、国家发展改革委、国家铁路局等九部门联合印发的《关于在招标投标活动中对失信被执行人实施联合惩戒的通知》（法〔2016〕285号），投标人不得存在违法失信行为，不得被“信用中国”网站（www.creditchina.gov.cn）列入“黑名单”（查询日期应在投标截止日前20天内，查询结果应为网站自动生成的信用信息报告PDF文件），未提供有效“信用中国”网站（www.creditchina.gov.cn）查询结果的，其投标文件作否决投标处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3.1.18在实际招标采购过程中，一旦发现投标文件有下列情形，可认定为串通投标：</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3.1.18.1不同投标人的投标文件由同一单位或者个人编制，不同电子投标文件通过同一台电脑制作、上传。</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3.1.18.2不同投标人委托同一单位或者个人办理应答事宜，如同一个单位派人或者同一个人代表不同投标人购买招标文件、递交投标文件、踏勘现场、提出异议、澄清答复、领取中标通知书等；通过邮件、快递形式寄出投标文件或收取中标通知书的，如不同投标人寄出、收件地址或人员相同的。</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3.1.18.3不同投标人的投标文件载明的项目管理成员为同一人，其存在串通应答的可能性极大，应当先行给予认定，除非投标人能够证明其不存在串通投标的行为。</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3.1.18.4不同投标人的投标文件异常一致或者应答报价呈规律性差异，主要表现为投标文件错误表述、错误计算或者笔误雷同，投标文件内容整段内容一致，投标文件排版格式一致，投标报价呈等差数列或有规律性的百分比等。</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3.1.18.5不同投标人的投标文件上所加盖印章、签字相同的，不同投标人的投标文件相互混装，“你中有我，我中有你”。</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3.1.18.6不同投标人的投标保证金从同一单位或者个人的账户转出，包括虽然经由投标人自己的基本账户转出但所需资金均是来自同一投标人或者个人的账户的。</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3.1.18.7招投标实现电子化的情形下，不同投标人从同一个投标单位或者同一个自然人的IP地址下载招标文件或者上传投标文件；不同投标人的电子投标文件编制时的计算机硬件信息中存在一条及以上的计算机网卡MAC地址（如有）、CPU序列号和硬盘序列号均相同的；不同投标人的电子投标文件上传计算机的网卡MAC地址、CPU序列号和硬盘序列号等硬件信息均相同的（开标现场上传电子投标文件的除外）。</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3.1.18.8举报人提供的投标人串通应答证据，经相关部门核实属实的。</w:t>
      </w:r>
    </w:p>
    <w:p>
      <w:pPr>
        <w:pStyle w:val="5"/>
        <w:spacing w:before="70"/>
        <w:ind w:right="-340" w:rightChars="0"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3.2各类货物专门具体资质业绩要求事项及其数据、状态分别如下：</w:t>
      </w:r>
    </w:p>
    <w:tbl>
      <w:tblPr>
        <w:tblStyle w:val="34"/>
        <w:tblW w:w="105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730"/>
        <w:gridCol w:w="5319"/>
        <w:gridCol w:w="3499"/>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分标名称</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资格预审要求</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其他资格要求</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816"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10kV变压器</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国家电网有限公司2021年配网变压器协议库存招标联合资格预审（预审编号：GWXY-ZGYS-2101-BYQ）项目中“10kV变压器（硅钢片干式），30-500kVA、10kV变压器（硅钢片干式）， 630-1000kVA”、“10kV变压器（硅钢片干式）,1250-2500kVA”“10kV变压器（硅钢片油浸）”标段预审</w:t>
            </w:r>
            <w:r>
              <w:rPr>
                <w:rFonts w:hint="eastAsia" w:ascii="宋体" w:hAnsi="宋体" w:eastAsia="宋体" w:cs="宋体"/>
                <w:i w:val="0"/>
                <w:color w:val="FF0000"/>
                <w:kern w:val="0"/>
                <w:sz w:val="18"/>
                <w:szCs w:val="18"/>
                <w:u w:val="none"/>
                <w:lang w:val="en-US" w:eastAsia="zh-CN" w:bidi="ar"/>
              </w:rPr>
              <w:t>同时</w:t>
            </w:r>
            <w:r>
              <w:rPr>
                <w:rFonts w:hint="eastAsia" w:ascii="宋体" w:hAnsi="宋体" w:eastAsia="宋体" w:cs="宋体"/>
                <w:i w:val="0"/>
                <w:color w:val="000000"/>
                <w:kern w:val="0"/>
                <w:sz w:val="18"/>
                <w:szCs w:val="18"/>
                <w:u w:val="none"/>
                <w:lang w:val="en-US" w:eastAsia="zh-CN" w:bidi="ar"/>
              </w:rPr>
              <w:t>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提供满足国标2级及以上能效要求的有效型式试验报告或配套配电变压器提供满足国标2级及以上能效要求的有效型式试验报告。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0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箱式变电站</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国家电网有限公司2021年配网箱式变电站协议库存招标联合资格预审（预审编号：GWXY-ZGYS-2101-XB）项目中“10kV箱式变电站（欧式，硅钢片）”标段预审合格。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提供满足国标2级及以上能效要求的有效型式试验报告或配套配电变压器提供满足国标2级及以上能效要求的有效型式试验报告。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国家电网有限公司2021年配网避雷器、电缆保护管协议库存招标联合资格预审（GWXY-ZGYS-2101-BD）项目中“10kV交流避雷器”标段预审合格。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国家电网有限公司2021年配网高压熔断器协议库存招标联合资格预审（预审编号：GWXY-ZGYS-2101-RDQ）项目中“10kV高压熔断器（跌落式，100A）”“10kV高压熔断器（跌落式，200A）”标段预审</w:t>
            </w:r>
            <w:r>
              <w:rPr>
                <w:rFonts w:hint="eastAsia" w:ascii="宋体" w:hAnsi="宋体" w:eastAsia="宋体" w:cs="宋体"/>
                <w:i w:val="0"/>
                <w:color w:val="FF0000"/>
                <w:kern w:val="0"/>
                <w:sz w:val="18"/>
                <w:szCs w:val="18"/>
                <w:u w:val="none"/>
                <w:lang w:val="en-US" w:eastAsia="zh-CN" w:bidi="ar"/>
              </w:rPr>
              <w:t>同时</w:t>
            </w:r>
            <w:r>
              <w:rPr>
                <w:rFonts w:hint="eastAsia" w:ascii="宋体" w:hAnsi="宋体" w:eastAsia="宋体" w:cs="宋体"/>
                <w:i w:val="0"/>
                <w:color w:val="000000"/>
                <w:kern w:val="0"/>
                <w:sz w:val="18"/>
                <w:szCs w:val="18"/>
                <w:u w:val="none"/>
                <w:lang w:val="en-US" w:eastAsia="zh-CN" w:bidi="ar"/>
              </w:rPr>
              <w:t>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5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国家电网有限公司2021年配网10kV柱上变压器台成套设备协议库存招标第一次联合资格预审(预审编号：GWXY-ZGYS-2101-ZSBYQTCT)项目中“10kV柱上变压器台成套设备（油浸，硅钢片，立体卷铁芯）”标段预审合格。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提供满足国标2级及以上能效要求的有效型式试验报告或配套配电变压器提供满足国标2级及以上能效要求的有效型式试验报告。</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w:t>
            </w:r>
          </w:p>
        </w:tc>
        <w:tc>
          <w:tcPr>
            <w:tcW w:w="5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国家电网有限公司2021年配网一二次融合成套环网箱协议库存招标联合资格预审(预审编号：GWXY-ZGYS-2101-CTHWX)项目中“一二次融合成套环网箱（SF6绝缘）”标段预审合格。</w:t>
            </w:r>
          </w:p>
        </w:tc>
        <w:tc>
          <w:tcPr>
            <w:tcW w:w="3499" w:type="dxa"/>
            <w:vMerge w:val="restart"/>
            <w:tcBorders>
              <w:top w:val="single" w:color="000000" w:sz="4" w:space="0"/>
              <w:left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附件3：配电自动化设备招标技术参数的差异及要求</w:t>
            </w:r>
          </w:p>
          <w:p>
            <w:pPr>
              <w:pStyle w:val="2"/>
              <w:rPr>
                <w:rFonts w:hint="eastAsia"/>
                <w:lang w:val="en-US" w:eastAsia="zh-CN"/>
              </w:rPr>
            </w:pPr>
            <w:r>
              <w:rPr>
                <w:rFonts w:hint="eastAsia"/>
                <w:lang w:val="en-US" w:eastAsia="zh-CN"/>
              </w:rPr>
              <w:object>
                <v:shape id="_x0000_i1028" o:spt="75" type="#_x0000_t75" style="height:66pt;width:72.75pt;" o:ole="t" filled="f" o:preferrelative="t" stroked="f" coordsize="21600,21600">
                  <v:path/>
                  <v:fill on="f" focussize="0,0"/>
                  <v:stroke on="f"/>
                  <v:imagedata r:id="rId17" o:title=""/>
                  <o:lock v:ext="edit" aspectratio="t"/>
                  <w10:wrap type="none"/>
                  <w10:anchorlock/>
                </v:shape>
                <o:OLEObject Type="Embed" ProgID="Word.Document.8" ShapeID="_x0000_i1028" DrawAspect="Icon" ObjectID="_1468075728" r:id="rId16">
                  <o:LockedField>false</o:LockedField>
                </o:OLEObject>
              </w:objec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配电终端(DTU)</w:t>
            </w:r>
          </w:p>
        </w:tc>
        <w:tc>
          <w:tcPr>
            <w:tcW w:w="5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国家电网有限公司2021年配网配电终端、接地短路故障</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指示器协议库存招标联合资格预审(预审编号：GWXY-ZGYS-2101-JLX)项目中“DTU三遥站所终端”标段预审合格。</w:t>
            </w:r>
          </w:p>
        </w:tc>
        <w:tc>
          <w:tcPr>
            <w:tcW w:w="3499" w:type="dxa"/>
            <w:vMerge w:val="continue"/>
            <w:tcBorders>
              <w:left w:val="single" w:color="000000" w:sz="4" w:space="0"/>
              <w:right w:val="single" w:color="000000" w:sz="4" w:space="0"/>
            </w:tcBorders>
            <w:shd w:val="clear" w:color="auto" w:fill="FFFFFF"/>
            <w:tcMar>
              <w:top w:w="15" w:type="dxa"/>
              <w:left w:w="15" w:type="dxa"/>
              <w:right w:w="15" w:type="dxa"/>
            </w:tcMar>
            <w:vAlign w:val="center"/>
          </w:tcPr>
          <w:p>
            <w:pPr>
              <w:pStyle w:val="2"/>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5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国家电网有限公司2021年配网配电终端、接地短路故障</w:t>
            </w:r>
            <w:r>
              <w:rPr>
                <w:rFonts w:hint="eastAsia" w:ascii="宋体" w:hAnsi="宋体" w:eastAsia="宋体" w:cs="宋体"/>
                <w:i w:val="0"/>
                <w:color w:val="000000"/>
                <w:kern w:val="0"/>
                <w:sz w:val="18"/>
                <w:szCs w:val="18"/>
                <w:u w:val="none"/>
                <w:lang w:val="en-US" w:eastAsia="zh-CN" w:bidi="ar"/>
              </w:rPr>
              <w:br w:type="textWrapping"/>
            </w:r>
            <w:r>
              <w:rPr>
                <w:rFonts w:hint="eastAsia" w:ascii="宋体" w:hAnsi="宋体" w:eastAsia="宋体" w:cs="宋体"/>
                <w:i w:val="0"/>
                <w:color w:val="000000"/>
                <w:kern w:val="0"/>
                <w:sz w:val="18"/>
                <w:szCs w:val="18"/>
                <w:u w:val="none"/>
                <w:lang w:val="en-US" w:eastAsia="zh-CN" w:bidi="ar"/>
              </w:rPr>
              <w:t>指示器协议库存招标联合资格预审(预审编号：GWXY-ZGYS-2101-JLX)项目中“架空外施信号远传故障指示器”标段预审合格</w:t>
            </w:r>
          </w:p>
        </w:tc>
        <w:tc>
          <w:tcPr>
            <w:tcW w:w="3499" w:type="dxa"/>
            <w:vMerge w:val="continue"/>
            <w:tcBorders>
              <w:left w:val="single" w:color="000000" w:sz="4" w:space="0"/>
              <w:right w:val="single" w:color="000000" w:sz="4" w:space="0"/>
            </w:tcBorders>
            <w:shd w:val="clear" w:color="auto" w:fill="FFFFFF"/>
            <w:tcMar>
              <w:top w:w="15" w:type="dxa"/>
              <w:left w:w="15" w:type="dxa"/>
              <w:right w:w="15" w:type="dxa"/>
            </w:tcMar>
            <w:vAlign w:val="center"/>
          </w:tcPr>
          <w:p>
            <w:pPr>
              <w:pStyle w:val="2"/>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w:t>
            </w:r>
          </w:p>
        </w:tc>
        <w:tc>
          <w:tcPr>
            <w:tcW w:w="5319"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国家电网有限公司2021年配网一二次融合成套柱上断路器协议库存招标联合资格预审(预审编号：GWXY-ZGYS-2101-CTHDLQ)项目中“一二次融合成套柱上断路器”标段预审合格。</w:t>
            </w:r>
          </w:p>
        </w:tc>
        <w:tc>
          <w:tcPr>
            <w:tcW w:w="3499" w:type="dxa"/>
            <w:vMerge w:val="continue"/>
            <w:tcBorders>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pStyle w:val="2"/>
              <w:rPr>
                <w:rFonts w:hint="eastAsia"/>
                <w:lang w:val="en-US" w:eastAsia="zh-CN"/>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auto"/>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交流三相隔离开关</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国家电网有限公司2021年配网环网箱、环网柜、交流隔离开关、负荷开关协议库存招标联合资格预审(预审编号：GWXY-ZGYS-2101-HE)“10kV交流隔离开关”标段预审合格。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国家电网有限公司2021年配网配电箱（JP柜）协议库存招标联合资格预审(预审编号：GWXY-ZGYS-2101-PDX)项目中“配电箱（JP柜）”标段预审合格。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国家电网有限公司2021年配网电能计量箱协议库存招标联合资格预审(预审编号：GWXY-ZGYS-2101-JLX)项目中“电能计量箱（金属）”“电能计量箱（SMC）”标段预审</w:t>
            </w:r>
            <w:r>
              <w:rPr>
                <w:rFonts w:hint="eastAsia" w:ascii="宋体" w:hAnsi="宋体" w:eastAsia="宋体" w:cs="宋体"/>
                <w:i w:val="0"/>
                <w:color w:val="FF0000"/>
                <w:kern w:val="0"/>
                <w:sz w:val="18"/>
                <w:szCs w:val="18"/>
                <w:u w:val="none"/>
                <w:lang w:val="en-US" w:eastAsia="zh-CN" w:bidi="ar"/>
              </w:rPr>
              <w:t>同时</w:t>
            </w:r>
            <w:r>
              <w:rPr>
                <w:rFonts w:hint="eastAsia" w:ascii="宋体" w:hAnsi="宋体" w:eastAsia="宋体" w:cs="宋体"/>
                <w:i w:val="0"/>
                <w:color w:val="000000"/>
                <w:kern w:val="0"/>
                <w:sz w:val="18"/>
                <w:szCs w:val="18"/>
                <w:u w:val="none"/>
                <w:lang w:val="en-US" w:eastAsia="zh-CN" w:bidi="ar"/>
              </w:rPr>
              <w:t>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450"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钢绞线及钢芯铝绞线</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国家电网有限公司2021年配网导、地线协议库存招标联合资格预审(预审编号：GWXY-ZGYS-2101-DDX）项目中“钢芯铝绞线”和“钢绞线”标段预审</w:t>
            </w:r>
            <w:r>
              <w:rPr>
                <w:rFonts w:hint="eastAsia" w:ascii="宋体" w:hAnsi="宋体" w:eastAsia="宋体" w:cs="宋体"/>
                <w:i w:val="0"/>
                <w:color w:val="FF0000"/>
                <w:kern w:val="0"/>
                <w:sz w:val="18"/>
                <w:szCs w:val="18"/>
                <w:u w:val="none"/>
                <w:lang w:val="en-US" w:eastAsia="zh-CN" w:bidi="ar"/>
              </w:rPr>
              <w:t>同时</w:t>
            </w:r>
            <w:r>
              <w:rPr>
                <w:rFonts w:hint="eastAsia" w:ascii="宋体" w:hAnsi="宋体" w:eastAsia="宋体" w:cs="宋体"/>
                <w:i w:val="0"/>
                <w:color w:val="000000"/>
                <w:kern w:val="0"/>
                <w:sz w:val="18"/>
                <w:szCs w:val="18"/>
                <w:u w:val="none"/>
                <w:lang w:val="en-US" w:eastAsia="zh-CN" w:bidi="ar"/>
              </w:rPr>
              <w:t>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国家电网有限公司2021年配网电缆及电缆附件、架空绝缘线、集束绝缘导线、控制电缆协议库存招标联合资格预审（预审编号：GWXY-ZGYS-2101-XL）项目中“10kV架空绝缘导线”标段预审合格。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国家电网有限公司2021年配网电缆及电缆附件、架空绝缘线、集束绝缘导线、控制电缆协议库存招标联合资格预审（预审编号：GWXY-ZGYS-2101-XL）项目中“1kV架空绝缘导线”标段预审合格。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国家电网有限公司2021年配网电缆及电缆附件、架空绝缘线、集束绝缘导线、控制电缆协议库存招标联合资格预审（预审编号：GWXY-ZGYS-2101-XL）项目中“10kV电力电缆”标段预审合格。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国家电网有限公司2021年配网电缆及电缆附件、架空绝缘线、集束绝缘导线、控制电缆协议库存招标联合资格预审（预审编号：GWXY-ZGYS-2101-XL）项目中“低压电力电缆”标段预审合格。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900"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电缆及电缆附件、架空绝缘线、集束绝缘导线、控制电缆协议库存招标联合资格预审（预审编号：GWXY-ZGYS-2101-XL）项目中“10kV及以下电缆附件冷缩式”“10kV及以下电缆附件预制式”标段预审</w:t>
            </w:r>
            <w:r>
              <w:rPr>
                <w:rFonts w:hint="eastAsia" w:ascii="宋体" w:hAnsi="宋体" w:eastAsia="宋体" w:cs="宋体"/>
                <w:i w:val="0"/>
                <w:color w:val="FF0000"/>
                <w:kern w:val="0"/>
                <w:sz w:val="18"/>
                <w:szCs w:val="18"/>
                <w:u w:val="none"/>
                <w:lang w:val="en-US" w:eastAsia="zh-CN" w:bidi="ar"/>
              </w:rPr>
              <w:t>同时</w:t>
            </w:r>
            <w:r>
              <w:rPr>
                <w:rFonts w:hint="eastAsia" w:ascii="宋体" w:hAnsi="宋体" w:eastAsia="宋体" w:cs="宋体"/>
                <w:i w:val="0"/>
                <w:color w:val="000000"/>
                <w:kern w:val="0"/>
                <w:sz w:val="18"/>
                <w:szCs w:val="18"/>
                <w:u w:val="none"/>
                <w:lang w:val="en-US" w:eastAsia="zh-CN" w:bidi="ar"/>
              </w:rPr>
              <w:t>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国家电网有限公司2021年配网电缆分支箱协议库存招标联合资格预审（预审编号：GWXY-ZGYS-2101-DLFZX）项目中“低压电缆分支箱（塑壳断路器）”标段预审合格。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电缆保护管</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国家电网有限公司2021年配网避雷器、电缆保护管协议库存招标联合资格预审（预审编号：GWXY-ZGYS-2101-BD）项目中“电缆保护管MPP”标段预审合格。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国家电网有限公司2021年配网10kV及以下金具、铁附件类协议库存招标联合资格预审（预审编号：GWXY-ZGYS-2101-JJTFJ）项目中“铁附件”标段预审合格。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国家电网有限公司2021年配网10kV及以下金具、铁附件类协议库存招标联合资格预审（预审编号：GWXY-ZGYS-2101-JJTFJ）项目中“金具”标段预审合格。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国家电网有限公司2021年配网杆塔类协议库存招标联合资格预审（预审编号：GWXY-ZGYS-2101-GT）项目中“钢管杆（桩）”标段预审合格。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国家电网有限公司2021年配网杆塔类协议库存招标联合资格预审（预审编号：GWXY-ZGYS-2101-GT）项目中“非预应力锥形水泥杆”标段预审合格。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锥形水泥杆（部分预应力）</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国家电网有限公司2021年配网杆塔类协议库存招标联合资格预审（预审编号：GWXY-ZGYS-2101-GT）项目中“部分预应力锥形水泥杆”标段预审合格。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国家电网有限公司2021年配网瓷绝缘子、复合绝缘子协议库存招标联合资格预审（预审编号：GWXY-ZGYS-2101-CF ）项目中“蝶式绝缘子”标段预审合格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国家电网有限公司2021年配网瓷绝缘子、复合绝缘子协议库存招标联合资格预审（预审编号：GWXY-ZGYS-2101-CF ） 项目中“针式瓷绝缘子”标段预审合格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国家电网有限公司2021年配网瓷绝缘子、复合绝缘子协议库存招标联合资格预审（预审编号：GWXY-ZGYS-2101-CF ） 项目中“交流盘形悬式瓷绝缘子”标段预审合格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国家电网有限公司2021年配网瓷绝缘子、复合绝缘子协议库存招标联合资格预审（预审编号：GWXY-ZGYS-2101-CF ） 项目中“交流棒形悬式复合绝缘子”标段预审合格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675" w:hRule="atLeast"/>
          <w:jc w:val="center"/>
        </w:trPr>
        <w:tc>
          <w:tcPr>
            <w:tcW w:w="1730"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531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国家电网有限公司2021年配网瓷绝缘子、复合绝缘子协议库存招标联合资格预审（预审编号：GWXY-ZGYS-2101-CF ） 项目中“线路柱式瓷绝缘子”标段预审合格</w:t>
            </w:r>
          </w:p>
        </w:tc>
        <w:tc>
          <w:tcPr>
            <w:tcW w:w="3499" w:type="dxa"/>
            <w:tcBorders>
              <w:top w:val="single" w:color="000000" w:sz="4" w:space="0"/>
              <w:left w:val="single" w:color="000000" w:sz="4" w:space="0"/>
              <w:bottom w:val="single" w:color="000000" w:sz="4" w:space="0"/>
              <w:right w:val="single" w:color="000000" w:sz="4" w:space="0"/>
            </w:tcBorders>
            <w:shd w:val="clear" w:color="auto" w:fill="FFFFFF"/>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w:t>
            </w:r>
          </w:p>
        </w:tc>
      </w:tr>
    </w:tbl>
    <w:p>
      <w:pPr>
        <w:pStyle w:val="5"/>
        <w:spacing w:before="70"/>
        <w:ind w:right="-340" w:rightChars="0"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3.3本次招标不接受联合体投标。</w:t>
      </w:r>
    </w:p>
    <w:p>
      <w:pPr>
        <w:pStyle w:val="5"/>
        <w:spacing w:before="70"/>
        <w:ind w:right="-340" w:rightChars="0"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3.4本次招标不接受代理商投标。</w:t>
      </w:r>
    </w:p>
    <w:p>
      <w:pPr>
        <w:pStyle w:val="5"/>
        <w:spacing w:before="70"/>
        <w:ind w:right="-340" w:rightChars="0"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3.5本次招标仅接受资格预审合格投标人购买招标文件、参与投标，不接受资格预审未合格或者未参加资格预审的投标人投标。</w:t>
      </w:r>
    </w:p>
    <w:p>
      <w:pPr>
        <w:pStyle w:val="5"/>
        <w:spacing w:before="70"/>
        <w:ind w:right="-340" w:rightChars="0" w:firstLine="320" w:firstLineChars="100"/>
        <w:rPr>
          <w:rFonts w:hint="eastAsia" w:ascii="方正仿宋_GBK" w:hAnsi="方正仿宋_GBK" w:eastAsia="方正仿宋_GBK" w:cs="方正仿宋_GBK"/>
          <w:b/>
          <w:bCs w:val="0"/>
          <w:lang w:val="en-US" w:eastAsia="zh-CN"/>
        </w:rPr>
      </w:pPr>
      <w:r>
        <w:rPr>
          <w:rFonts w:hint="eastAsia" w:ascii="方正仿宋_GBK" w:hAnsi="方正仿宋_GBK" w:eastAsia="方正仿宋_GBK" w:cs="方正仿宋_GBK"/>
          <w:b/>
          <w:bCs w:val="0"/>
          <w:lang w:val="en-US" w:eastAsia="zh-CN"/>
        </w:rPr>
        <w:t>4. 招标文件的获取</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4.1本次实行网上发售电子版招标文件，不再出售纸质招标文件。凡有意参加投标者，请于202</w:t>
      </w:r>
      <w:r>
        <w:rPr>
          <w:rFonts w:hint="eastAsia" w:ascii="方正仿宋_GBK" w:hAnsi="方正仿宋_GBK" w:eastAsia="方正仿宋_GBK" w:cs="方正仿宋_GBK"/>
          <w:sz w:val="30"/>
          <w:szCs w:val="30"/>
          <w:lang w:val="en-US" w:eastAsia="zh-CN"/>
        </w:rPr>
        <w:t>2</w:t>
      </w:r>
      <w:r>
        <w:rPr>
          <w:rFonts w:hint="eastAsia" w:ascii="方正仿宋_GBK" w:hAnsi="方正仿宋_GBK" w:eastAsia="方正仿宋_GBK" w:cs="方正仿宋_GBK"/>
          <w:sz w:val="30"/>
          <w:szCs w:val="30"/>
          <w:lang w:eastAsia="zh-CN"/>
        </w:rPr>
        <w:t>年</w:t>
      </w:r>
      <w:r>
        <w:rPr>
          <w:rFonts w:hint="eastAsia" w:cs="方正仿宋_GBK"/>
          <w:sz w:val="30"/>
          <w:szCs w:val="30"/>
          <w:lang w:val="en-US" w:eastAsia="zh-CN"/>
        </w:rPr>
        <w:t>10</w:t>
      </w:r>
      <w:r>
        <w:rPr>
          <w:rFonts w:hint="eastAsia" w:ascii="方正仿宋_GBK" w:hAnsi="方正仿宋_GBK" w:eastAsia="方正仿宋_GBK" w:cs="方正仿宋_GBK"/>
          <w:sz w:val="30"/>
          <w:szCs w:val="30"/>
          <w:lang w:eastAsia="zh-CN"/>
        </w:rPr>
        <w:t>月</w:t>
      </w:r>
      <w:r>
        <w:rPr>
          <w:rFonts w:hint="eastAsia" w:ascii="方正仿宋_GBK" w:hAnsi="方正仿宋_GBK" w:eastAsia="方正仿宋_GBK" w:cs="方正仿宋_GBK"/>
          <w:sz w:val="30"/>
          <w:szCs w:val="30"/>
          <w:lang w:val="en-US" w:eastAsia="zh-CN"/>
        </w:rPr>
        <w:t>2</w:t>
      </w:r>
      <w:r>
        <w:rPr>
          <w:rFonts w:hint="eastAsia" w:cs="方正仿宋_GBK"/>
          <w:sz w:val="30"/>
          <w:szCs w:val="30"/>
          <w:lang w:val="en-US" w:eastAsia="zh-CN"/>
        </w:rPr>
        <w:t>5</w:t>
      </w:r>
      <w:r>
        <w:rPr>
          <w:rFonts w:hint="eastAsia" w:ascii="方正仿宋_GBK" w:hAnsi="方正仿宋_GBK" w:eastAsia="方正仿宋_GBK" w:cs="方正仿宋_GBK"/>
          <w:sz w:val="30"/>
          <w:szCs w:val="30"/>
          <w:lang w:eastAsia="zh-CN"/>
        </w:rPr>
        <w:t>日至202</w:t>
      </w:r>
      <w:r>
        <w:rPr>
          <w:rFonts w:hint="eastAsia" w:ascii="方正仿宋_GBK" w:hAnsi="方正仿宋_GBK" w:eastAsia="方正仿宋_GBK" w:cs="方正仿宋_GBK"/>
          <w:sz w:val="30"/>
          <w:szCs w:val="30"/>
          <w:lang w:val="en-US" w:eastAsia="zh-CN"/>
        </w:rPr>
        <w:t>2</w:t>
      </w:r>
      <w:r>
        <w:rPr>
          <w:rFonts w:hint="eastAsia" w:ascii="方正仿宋_GBK" w:hAnsi="方正仿宋_GBK" w:eastAsia="方正仿宋_GBK" w:cs="方正仿宋_GBK"/>
          <w:sz w:val="30"/>
          <w:szCs w:val="30"/>
          <w:lang w:eastAsia="zh-CN"/>
        </w:rPr>
        <w:t>年</w:t>
      </w:r>
      <w:r>
        <w:rPr>
          <w:rFonts w:hint="eastAsia" w:cs="方正仿宋_GBK"/>
          <w:sz w:val="30"/>
          <w:szCs w:val="30"/>
          <w:lang w:val="en-US" w:eastAsia="zh-CN"/>
        </w:rPr>
        <w:t>10</w:t>
      </w:r>
      <w:r>
        <w:rPr>
          <w:rFonts w:hint="eastAsia" w:ascii="方正仿宋_GBK" w:hAnsi="方正仿宋_GBK" w:eastAsia="方正仿宋_GBK" w:cs="方正仿宋_GBK"/>
          <w:sz w:val="30"/>
          <w:szCs w:val="30"/>
          <w:lang w:eastAsia="zh-CN"/>
        </w:rPr>
        <w:t>月</w:t>
      </w:r>
      <w:r>
        <w:rPr>
          <w:rFonts w:hint="eastAsia" w:cs="方正仿宋_GBK"/>
          <w:sz w:val="30"/>
          <w:szCs w:val="30"/>
          <w:lang w:val="en-US" w:eastAsia="zh-CN"/>
        </w:rPr>
        <w:t>30</w:t>
      </w:r>
      <w:r>
        <w:rPr>
          <w:rFonts w:hint="eastAsia" w:ascii="方正仿宋_GBK" w:hAnsi="方正仿宋_GBK" w:eastAsia="方正仿宋_GBK" w:cs="方正仿宋_GBK"/>
          <w:sz w:val="30"/>
          <w:szCs w:val="30"/>
          <w:lang w:eastAsia="zh-CN"/>
        </w:rPr>
        <w:t>日下午17:30时前（北京时间），登陆招标人招投标信息系统（国家电网公司新一代电子商务平台：</w:t>
      </w:r>
      <w:r>
        <w:rPr>
          <w:rFonts w:hint="eastAsia" w:ascii="方正仿宋_GBK" w:hAnsi="方正仿宋_GBK" w:eastAsia="方正仿宋_GBK" w:cs="方正仿宋_GBK"/>
          <w:sz w:val="30"/>
          <w:szCs w:val="30"/>
          <w:lang w:eastAsia="zh-CN"/>
        </w:rPr>
        <w:fldChar w:fldCharType="begin"/>
      </w:r>
      <w:r>
        <w:rPr>
          <w:rFonts w:hint="eastAsia" w:ascii="方正仿宋_GBK" w:hAnsi="方正仿宋_GBK" w:eastAsia="方正仿宋_GBK" w:cs="方正仿宋_GBK"/>
          <w:sz w:val="30"/>
          <w:szCs w:val="30"/>
          <w:lang w:eastAsia="zh-CN"/>
        </w:rPr>
        <w:instrText xml:space="preserve"> HYPERLINK "https://ecp.sgcc.com.cn/ecp2.0/portal/）凭企业CA证书电子钥匙报名并下载招标文件。投标人应妥善保管电子商务平台账号和密码，以及CFCA数字证书和密码，因上述账号、数字证书或密码保管不当造成的损失，由投标人自行承担。请使用谷歌浏览器（推荐71版本）打开上述网址，电脑配置推荐使用WIN7、WIN8、WIN10系统。" </w:instrText>
      </w:r>
      <w:r>
        <w:rPr>
          <w:rFonts w:hint="eastAsia" w:ascii="方正仿宋_GBK" w:hAnsi="方正仿宋_GBK" w:eastAsia="方正仿宋_GBK" w:cs="方正仿宋_GBK"/>
          <w:sz w:val="30"/>
          <w:szCs w:val="30"/>
          <w:lang w:eastAsia="zh-CN"/>
        </w:rPr>
        <w:fldChar w:fldCharType="separate"/>
      </w:r>
      <w:r>
        <w:rPr>
          <w:rFonts w:hint="eastAsia" w:ascii="方正仿宋_GBK" w:hAnsi="方正仿宋_GBK" w:eastAsia="方正仿宋_GBK" w:cs="方正仿宋_GBK"/>
          <w:sz w:val="30"/>
          <w:szCs w:val="30"/>
          <w:lang w:eastAsia="zh-CN"/>
        </w:rPr>
        <w:t>https://ecp.sgcc.com.cn/ecp2.0/portal/）凭企业CA证书电子钥匙</w:t>
      </w:r>
      <w:r>
        <w:rPr>
          <w:rFonts w:hint="eastAsia" w:ascii="方正仿宋_GBK" w:hAnsi="方正仿宋_GBK" w:eastAsia="方正仿宋_GBK" w:cs="方正仿宋_GBK"/>
          <w:sz w:val="30"/>
          <w:szCs w:val="30"/>
          <w:lang w:val="en-US" w:eastAsia="zh-CN"/>
        </w:rPr>
        <w:t>报名</w:t>
      </w:r>
      <w:r>
        <w:rPr>
          <w:rFonts w:hint="eastAsia" w:ascii="方正仿宋_GBK" w:hAnsi="方正仿宋_GBK" w:eastAsia="方正仿宋_GBK" w:cs="方正仿宋_GBK"/>
          <w:sz w:val="30"/>
          <w:szCs w:val="30"/>
          <w:lang w:eastAsia="zh-CN"/>
        </w:rPr>
        <w:t>并下载招标文件。投标人应妥善保管电子商务平台账号和密码，以及CFCA数字证书和密码，因上述账号、数字证书或密码保管不当造成的损失，由投标人自行承担。请使用谷歌浏览器（推荐71版本）打开上述网址，电脑配置推荐使用WIN7、WIN8、WIN10系统。</w:t>
      </w:r>
      <w:r>
        <w:rPr>
          <w:rFonts w:hint="eastAsia" w:ascii="方正仿宋_GBK" w:hAnsi="方正仿宋_GBK" w:eastAsia="方正仿宋_GBK" w:cs="方正仿宋_GBK"/>
          <w:sz w:val="30"/>
          <w:szCs w:val="30"/>
          <w:lang w:eastAsia="zh-CN"/>
        </w:rPr>
        <w:fldChar w:fldCharType="end"/>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4</w:t>
      </w:r>
      <w:r>
        <w:rPr>
          <w:rFonts w:hint="eastAsia" w:ascii="方正仿宋_GBK" w:hAnsi="方正仿宋_GBK" w:eastAsia="方正仿宋_GBK" w:cs="方正仿宋_GBK"/>
          <w:sz w:val="30"/>
          <w:szCs w:val="30"/>
          <w:lang w:eastAsia="zh-CN"/>
        </w:rPr>
        <w:t>.2招标文件（电子文件）免费获取，各潜在投标人无需支付获取招标文件款项。</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4</w:t>
      </w:r>
      <w:r>
        <w:rPr>
          <w:rFonts w:hint="eastAsia" w:ascii="方正仿宋_GBK" w:hAnsi="方正仿宋_GBK" w:eastAsia="方正仿宋_GBK" w:cs="方正仿宋_GBK"/>
          <w:sz w:val="30"/>
          <w:szCs w:val="30"/>
          <w:lang w:eastAsia="zh-CN"/>
        </w:rPr>
        <w:t>.3</w:t>
      </w:r>
      <w:r>
        <w:rPr>
          <w:rFonts w:hint="eastAsia" w:ascii="方正仿宋_GBK" w:hAnsi="方正仿宋_GBK" w:eastAsia="方正仿宋_GBK" w:cs="方正仿宋_GBK"/>
          <w:sz w:val="30"/>
          <w:szCs w:val="30"/>
          <w:lang w:val="en-US" w:eastAsia="zh-CN"/>
        </w:rPr>
        <w:t>关于国家电网新一代电子商务平台的具体操作详见国家电网新一代电子商务平台首页（https://ecp.sgcc.com.cn/ecp2.0/portal/）的新手指南</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技术</w:t>
      </w:r>
      <w:r>
        <w:rPr>
          <w:rFonts w:hint="eastAsia" w:ascii="方正仿宋_GBK" w:hAnsi="方正仿宋_GBK" w:eastAsia="方正仿宋_GBK" w:cs="方正仿宋_GBK"/>
          <w:sz w:val="30"/>
          <w:szCs w:val="30"/>
          <w:lang w:eastAsia="zh-CN"/>
        </w:rPr>
        <w:t>支持</w:t>
      </w:r>
      <w:r>
        <w:rPr>
          <w:rFonts w:hint="eastAsia" w:ascii="方正仿宋_GBK" w:hAnsi="方正仿宋_GBK" w:eastAsia="方正仿宋_GBK" w:cs="方正仿宋_GBK"/>
          <w:sz w:val="30"/>
          <w:szCs w:val="30"/>
          <w:lang w:val="en-US" w:eastAsia="zh-CN"/>
        </w:rPr>
        <w:t>服务热线</w:t>
      </w:r>
      <w:r>
        <w:rPr>
          <w:rFonts w:hint="eastAsia" w:ascii="方正仿宋_GBK" w:hAnsi="方正仿宋_GBK" w:eastAsia="方正仿宋_GBK" w:cs="方正仿宋_GBK"/>
          <w:sz w:val="30"/>
          <w:szCs w:val="30"/>
          <w:lang w:eastAsia="zh-CN"/>
        </w:rPr>
        <w:t>：010-63411000。</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cs="方正仿宋_GBK"/>
          <w:sz w:val="30"/>
          <w:szCs w:val="30"/>
          <w:lang w:val="en-US" w:eastAsia="zh-CN"/>
        </w:rPr>
        <w:t>4</w:t>
      </w:r>
      <w:r>
        <w:rPr>
          <w:rFonts w:hint="eastAsia" w:ascii="方正仿宋_GBK" w:hAnsi="方正仿宋_GBK" w:eastAsia="方正仿宋_GBK" w:cs="方正仿宋_GBK"/>
          <w:sz w:val="30"/>
          <w:szCs w:val="30"/>
          <w:lang w:eastAsia="zh-CN"/>
        </w:rPr>
        <w:t>.4投标保证金</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cs="方正仿宋_GBK"/>
          <w:sz w:val="30"/>
          <w:szCs w:val="30"/>
          <w:lang w:val="en-US" w:eastAsia="zh-CN"/>
        </w:rPr>
        <w:t>4.4.</w:t>
      </w:r>
      <w:r>
        <w:rPr>
          <w:rFonts w:hint="eastAsia" w:ascii="方正仿宋_GBK" w:hAnsi="方正仿宋_GBK" w:eastAsia="方正仿宋_GBK" w:cs="方正仿宋_GBK"/>
          <w:sz w:val="30"/>
          <w:szCs w:val="30"/>
          <w:lang w:val="en-US" w:eastAsia="zh-CN"/>
        </w:rPr>
        <w:t>1以现金或者支票形式提交的投标保证金应当从潜在投标人基本账户转出。</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cs="方正仿宋_GBK"/>
          <w:sz w:val="30"/>
          <w:szCs w:val="30"/>
          <w:lang w:val="en-US" w:eastAsia="zh-CN"/>
        </w:rPr>
        <w:t>4.4.</w:t>
      </w:r>
      <w:r>
        <w:rPr>
          <w:rFonts w:hint="eastAsia" w:ascii="方正仿宋_GBK" w:hAnsi="方正仿宋_GBK" w:eastAsia="方正仿宋_GBK" w:cs="方正仿宋_GBK"/>
          <w:sz w:val="30"/>
          <w:szCs w:val="30"/>
          <w:lang w:val="en-US" w:eastAsia="zh-CN"/>
        </w:rPr>
        <w:t>2以银行保函形式提交的投标保证金，由信誉良好的具备开具保函资格的地市级及以上银行分行开出，有效期应与投标有效期一致。</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cs="方正仿宋_GBK"/>
          <w:sz w:val="30"/>
          <w:szCs w:val="30"/>
          <w:lang w:val="en-US" w:eastAsia="zh-CN"/>
        </w:rPr>
        <w:t>4.4.</w:t>
      </w:r>
      <w:r>
        <w:rPr>
          <w:rFonts w:hint="eastAsia" w:ascii="方正仿宋_GBK" w:hAnsi="方正仿宋_GBK" w:eastAsia="方正仿宋_GBK" w:cs="方正仿宋_GBK"/>
          <w:sz w:val="30"/>
          <w:szCs w:val="30"/>
          <w:lang w:val="en-US" w:eastAsia="zh-CN"/>
        </w:rPr>
        <w:t>3以保险形式提交的保证金，应提供保证金保险支付账号信息。保险责任需满足招标人的要求，投标保证保险单作为有效的投标文件依据，由有经营该业务资格的保险公司开出。保险公司承担投标人投标违约行为的一切赔偿。</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cs="方正仿宋_GBK"/>
          <w:sz w:val="30"/>
          <w:szCs w:val="30"/>
          <w:lang w:val="en-US" w:eastAsia="zh-CN"/>
        </w:rPr>
        <w:t>4.4.</w:t>
      </w:r>
      <w:r>
        <w:rPr>
          <w:rFonts w:hint="eastAsia" w:ascii="方正仿宋_GBK" w:hAnsi="方正仿宋_GBK" w:eastAsia="方正仿宋_GBK" w:cs="方正仿宋_GBK"/>
          <w:sz w:val="30"/>
          <w:szCs w:val="30"/>
          <w:lang w:val="en-US" w:eastAsia="zh-CN"/>
        </w:rPr>
        <w:t>4推荐使用保险或银行保函的方式提交。若采用银行电汇等其他方式提交保证金，请提前联系招标代理机构报备，联系电话0971-6076764。</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投标保证金以保险、银行电汇或银行保函方式提交的，在付款用途栏（或摘要、备注、附言）写明（如：28220</w:t>
      </w:r>
      <w:r>
        <w:rPr>
          <w:rFonts w:hint="eastAsia" w:cs="方正仿宋_GBK"/>
          <w:sz w:val="30"/>
          <w:szCs w:val="30"/>
          <w:lang w:val="en-US" w:eastAsia="zh-CN"/>
        </w:rPr>
        <w:t>8</w:t>
      </w:r>
      <w:r>
        <w:rPr>
          <w:rFonts w:hint="eastAsia" w:ascii="方正仿宋_GBK" w:hAnsi="方正仿宋_GBK" w:eastAsia="方正仿宋_GBK" w:cs="方正仿宋_GBK"/>
          <w:sz w:val="30"/>
          <w:szCs w:val="30"/>
          <w:lang w:eastAsia="zh-CN"/>
        </w:rPr>
        <w:t>-XXXXXXX</w:t>
      </w:r>
      <w:r>
        <w:rPr>
          <w:rFonts w:hint="eastAsia" w:cs="方正仿宋_GBK"/>
          <w:sz w:val="30"/>
          <w:szCs w:val="30"/>
          <w:lang w:val="en-US" w:eastAsia="zh-CN"/>
        </w:rPr>
        <w:t>-0001</w:t>
      </w:r>
      <w:r>
        <w:rPr>
          <w:rFonts w:hint="eastAsia" w:ascii="方正仿宋_GBK" w:hAnsi="方正仿宋_GBK" w:eastAsia="方正仿宋_GBK" w:cs="方正仿宋_GBK"/>
          <w:sz w:val="30"/>
          <w:szCs w:val="30"/>
          <w:lang w:eastAsia="zh-CN"/>
        </w:rPr>
        <w:t>保证金），并确保投标保证金在投标截止时间之前到账，投标人在递交投标文件的同时提供加盖公章的“基本账户银行开户许可证”（如已提交给过我公司财务并无变更的，可不提供）。</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收款单位：国网青海电力招标代理有限公司</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开户行：中国工商银行股份有限公司西宁宁新支行</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eastAsia="zh-CN"/>
        </w:rPr>
        <w:t>银行帐号：2806026809100002525</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投标保证金联系人：石女士          联系电话：0971-6076855</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default" w:eastAsia="方正仿宋_GBK"/>
          <w:lang w:val="en-US" w:eastAsia="zh-CN"/>
        </w:rPr>
      </w:pPr>
      <w:r>
        <w:rPr>
          <w:rFonts w:hint="eastAsia" w:ascii="方正仿宋_GBK" w:hAnsi="方正仿宋_GBK" w:eastAsia="方正仿宋_GBK" w:cs="方正仿宋_GBK"/>
          <w:sz w:val="30"/>
          <w:szCs w:val="30"/>
          <w:lang w:eastAsia="zh-CN"/>
        </w:rPr>
        <w:t>退还投标保证金请联系：</w:t>
      </w:r>
      <w:r>
        <w:rPr>
          <w:rFonts w:hint="eastAsia" w:ascii="方正仿宋_GBK" w:hAnsi="方正仿宋_GBK" w:eastAsia="方正仿宋_GBK" w:cs="方正仿宋_GBK"/>
          <w:sz w:val="30"/>
          <w:szCs w:val="30"/>
          <w:lang w:val="en-US" w:eastAsia="zh-CN"/>
        </w:rPr>
        <w:t>魏</w:t>
      </w:r>
      <w:r>
        <w:rPr>
          <w:rFonts w:hint="eastAsia" w:ascii="方正仿宋_GBK" w:hAnsi="方正仿宋_GBK" w:eastAsia="方正仿宋_GBK" w:cs="方正仿宋_GBK"/>
          <w:sz w:val="30"/>
          <w:szCs w:val="30"/>
          <w:lang w:eastAsia="zh-CN"/>
        </w:rPr>
        <w:t>经理      联系电话：0971-60767</w:t>
      </w:r>
      <w:r>
        <w:rPr>
          <w:rFonts w:hint="eastAsia" w:ascii="方正仿宋_GBK" w:hAnsi="方正仿宋_GBK" w:eastAsia="方正仿宋_GBK" w:cs="方正仿宋_GBK"/>
          <w:sz w:val="30"/>
          <w:szCs w:val="30"/>
          <w:lang w:val="en-US" w:eastAsia="zh-CN"/>
        </w:rPr>
        <w:t>64</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cs="方正仿宋_GBK"/>
          <w:sz w:val="30"/>
          <w:szCs w:val="30"/>
          <w:lang w:val="en-US" w:eastAsia="zh-CN"/>
        </w:rPr>
        <w:t>4.4.</w:t>
      </w:r>
      <w:r>
        <w:rPr>
          <w:rFonts w:hint="eastAsia" w:ascii="方正仿宋_GBK" w:hAnsi="方正仿宋_GBK" w:eastAsia="方正仿宋_GBK" w:cs="方正仿宋_GBK"/>
          <w:sz w:val="30"/>
          <w:szCs w:val="30"/>
          <w:lang w:val="en-US" w:eastAsia="zh-CN"/>
        </w:rPr>
        <w:t>5</w:t>
      </w:r>
      <w:r>
        <w:rPr>
          <w:rFonts w:hint="eastAsia" w:ascii="方正仿宋_GBK" w:hAnsi="方正仿宋_GBK" w:eastAsia="方正仿宋_GBK" w:cs="方正仿宋_GBK"/>
          <w:sz w:val="30"/>
          <w:szCs w:val="30"/>
          <w:lang w:eastAsia="zh-CN"/>
        </w:rPr>
        <w:t>投标人应提供证明其基本账户的开户许可证复印件。投标人基本账户发生变化应及时通知招标人，因未及时通知而造成的一切责任自负。</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cs="方正仿宋_GBK"/>
          <w:sz w:val="30"/>
          <w:szCs w:val="30"/>
          <w:lang w:val="en-US" w:eastAsia="zh-CN"/>
        </w:rPr>
        <w:t>4.4.</w:t>
      </w:r>
      <w:r>
        <w:rPr>
          <w:rFonts w:hint="eastAsia" w:ascii="方正仿宋_GBK" w:hAnsi="方正仿宋_GBK" w:eastAsia="方正仿宋_GBK" w:cs="方正仿宋_GBK"/>
          <w:sz w:val="30"/>
          <w:szCs w:val="30"/>
          <w:lang w:val="en-US" w:eastAsia="zh-CN"/>
        </w:rPr>
        <w:t>6</w:t>
      </w:r>
      <w:r>
        <w:rPr>
          <w:rFonts w:hint="eastAsia" w:ascii="方正仿宋_GBK" w:hAnsi="方正仿宋_GBK" w:eastAsia="方正仿宋_GBK" w:cs="方正仿宋_GBK"/>
          <w:sz w:val="30"/>
          <w:szCs w:val="30"/>
          <w:lang w:eastAsia="zh-CN"/>
        </w:rPr>
        <w:t>投标人应以所报价的标为单位提交投标保证金，作为投标文件的组成部分之一。投标保证金有效期与投标文件有效期一致。</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cs="方正仿宋_GBK"/>
          <w:sz w:val="30"/>
          <w:szCs w:val="30"/>
          <w:lang w:val="en-US" w:eastAsia="zh-CN"/>
        </w:rPr>
        <w:t>4.4.</w:t>
      </w:r>
      <w:r>
        <w:rPr>
          <w:rFonts w:hint="eastAsia" w:ascii="方正仿宋_GBK" w:hAnsi="方正仿宋_GBK" w:eastAsia="方正仿宋_GBK" w:cs="方正仿宋_GBK"/>
          <w:sz w:val="30"/>
          <w:szCs w:val="30"/>
          <w:lang w:val="en-US" w:eastAsia="zh-CN"/>
        </w:rPr>
        <w:t>7</w:t>
      </w:r>
      <w:r>
        <w:rPr>
          <w:rFonts w:hint="eastAsia" w:ascii="方正仿宋_GBK" w:hAnsi="方正仿宋_GBK" w:eastAsia="方正仿宋_GBK" w:cs="方正仿宋_GBK"/>
          <w:sz w:val="30"/>
          <w:szCs w:val="30"/>
          <w:lang w:eastAsia="zh-CN"/>
        </w:rPr>
        <w:t>投标保证金的递交：投标保证金以分标为单位提交，且仅需提交所投分标中投标报价最高包的投标保证金。如投标人提交的投标保证金不足，则该分标中投标保证金不足包的投标将被否决。请投标人在递交投标保证金时务必注明所担保的分标名称，如未注明，则按照其所投分标的序号顺序从小到大依次核定。</w:t>
      </w:r>
    </w:p>
    <w:tbl>
      <w:tblPr>
        <w:tblStyle w:val="34"/>
        <w:tblW w:w="8430" w:type="dxa"/>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4358"/>
        <w:gridCol w:w="4072"/>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tblHeade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包的投标价格</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包的投标保证金（元）</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20万以下（不含20万）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可免于提交投标保证金</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20万－50万（含20万）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50万－100万（含50万）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5,000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100万－200万（含100万）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200万－300万（含200万）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300万－500万（含300万）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500万－700万（含500万）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50,000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700万－1000万（含700万）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70,000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1000万－2000万（含1000万）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100,000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2000万－3000万（含2000万）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200,000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3000万－4000万（含3000万）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300,000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4000万-6000万（含4000万）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400,000</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jc w:val="center"/>
        </w:trPr>
        <w:tc>
          <w:tcPr>
            <w:tcW w:w="4358"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6000万及以上（含6000万）</w:t>
            </w:r>
          </w:p>
        </w:tc>
        <w:tc>
          <w:tcPr>
            <w:tcW w:w="4072" w:type="dxa"/>
            <w:vAlign w:val="center"/>
          </w:tcPr>
          <w:p>
            <w:pPr>
              <w:tabs>
                <w:tab w:val="left" w:pos="620"/>
              </w:tabs>
              <w:spacing w:line="391" w:lineRule="exact"/>
              <w:ind w:firstLine="400" w:firstLineChars="200"/>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z w:val="20"/>
                <w:szCs w:val="20"/>
              </w:rPr>
              <w:t>800,000</w:t>
            </w:r>
          </w:p>
        </w:tc>
      </w:tr>
    </w:tbl>
    <w:p>
      <w:pPr>
        <w:pStyle w:val="2"/>
        <w:rPr>
          <w:rFonts w:hint="eastAsia"/>
          <w:lang w:val="en-US" w:eastAsia="zh-CN"/>
        </w:rPr>
      </w:pPr>
      <w:r>
        <w:rPr>
          <w:rFonts w:hint="eastAsia"/>
          <w:lang w:val="en-US" w:eastAsia="zh-CN"/>
        </w:rPr>
        <w:t>4</w:t>
      </w:r>
      <w:r>
        <w:rPr>
          <w:rFonts w:hint="eastAsia"/>
        </w:rPr>
        <w:t>.5</w:t>
      </w:r>
      <w:r>
        <w:rPr>
          <w:rFonts w:hint="eastAsia"/>
          <w:b/>
          <w:bCs/>
          <w:color w:val="FF0000"/>
        </w:rPr>
        <w:t>投标保证金</w:t>
      </w:r>
      <w:r>
        <w:rPr>
          <w:rFonts w:hint="eastAsia"/>
          <w:b/>
          <w:bCs/>
          <w:color w:val="FF0000"/>
          <w:lang w:val="en-US" w:eastAsia="zh-CN"/>
        </w:rPr>
        <w:t>缴纳凭证</w:t>
      </w:r>
      <w:r>
        <w:rPr>
          <w:rFonts w:hint="eastAsia"/>
          <w:b/>
          <w:bCs/>
          <w:color w:val="FF0000"/>
        </w:rPr>
        <w:t>的扫描件请附在商务标书中，以备查！</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p>
    <w:p>
      <w:pPr>
        <w:pStyle w:val="5"/>
        <w:spacing w:before="70"/>
        <w:ind w:right="-340" w:rightChars="0" w:firstLine="320" w:firstLineChars="100"/>
        <w:rPr>
          <w:rFonts w:hint="eastAsia" w:ascii="方正仿宋_GBK" w:hAnsi="方正仿宋_GBK" w:eastAsia="方正仿宋_GBK" w:cs="方正仿宋_GBK"/>
          <w:b/>
          <w:bCs w:val="0"/>
          <w:color w:val="FF0000"/>
          <w:lang w:eastAsia="zh-CN"/>
        </w:rPr>
      </w:pPr>
      <w:r>
        <w:rPr>
          <w:rFonts w:hint="eastAsia" w:ascii="方正仿宋_GBK" w:hAnsi="方正仿宋_GBK" w:eastAsia="方正仿宋_GBK" w:cs="方正仿宋_GBK"/>
          <w:b/>
          <w:bCs w:val="0"/>
          <w:color w:val="FF0000"/>
          <w:lang w:eastAsia="zh-CN"/>
        </w:rPr>
        <w:t>5.投标文件的递交</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5.1</w:t>
      </w:r>
      <w:r>
        <w:rPr>
          <w:rFonts w:hint="eastAsia"/>
        </w:rPr>
        <w:t>投标文件递交的截止时间（投标截止时间）为：202</w:t>
      </w:r>
      <w:r>
        <w:rPr>
          <w:rFonts w:hint="eastAsia"/>
          <w:lang w:val="en-US" w:eastAsia="zh-CN"/>
        </w:rPr>
        <w:t>2</w:t>
      </w:r>
      <w:r>
        <w:rPr>
          <w:rFonts w:hint="eastAsia"/>
        </w:rPr>
        <w:t>年</w:t>
      </w:r>
      <w:r>
        <w:rPr>
          <w:rFonts w:hint="eastAsia"/>
          <w:lang w:val="en-US" w:eastAsia="zh-CN"/>
        </w:rPr>
        <w:t>11</w:t>
      </w:r>
      <w:r>
        <w:rPr>
          <w:rFonts w:hint="eastAsia"/>
        </w:rPr>
        <w:t>月</w:t>
      </w:r>
      <w:r>
        <w:rPr>
          <w:rFonts w:hint="eastAsia"/>
          <w:lang w:val="en-US" w:eastAsia="zh-CN"/>
        </w:rPr>
        <w:t>15</w:t>
      </w:r>
      <w:r>
        <w:rPr>
          <w:rFonts w:hint="eastAsia"/>
        </w:rPr>
        <w:t>日</w:t>
      </w:r>
      <w:r>
        <w:rPr>
          <w:rFonts w:hint="eastAsia"/>
          <w:lang w:val="en-US" w:eastAsia="zh-CN"/>
        </w:rPr>
        <w:t>09</w:t>
      </w:r>
      <w:r>
        <w:rPr>
          <w:rFonts w:hint="eastAsia"/>
          <w:lang w:eastAsia="zh-CN"/>
        </w:rPr>
        <w:t>:</w:t>
      </w:r>
      <w:r>
        <w:rPr>
          <w:rFonts w:hint="eastAsia"/>
          <w:lang w:val="en-US" w:eastAsia="zh-CN"/>
        </w:rPr>
        <w:t>0</w:t>
      </w:r>
      <w:r>
        <w:rPr>
          <w:rFonts w:hint="eastAsia"/>
          <w:lang w:eastAsia="zh-CN"/>
        </w:rPr>
        <w:t>0</w:t>
      </w:r>
      <w:r>
        <w:rPr>
          <w:rFonts w:hint="eastAsia"/>
        </w:rPr>
        <w:t>（北京时间），电子投标文件提交招标人招投标信息系统（电子商务平台）的截止时间同上。</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default"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5.2</w:t>
      </w:r>
      <w:r>
        <w:rPr>
          <w:rFonts w:hint="eastAsia"/>
          <w:highlight w:val="none"/>
        </w:rPr>
        <w:t>投标文件的</w:t>
      </w:r>
      <w:r>
        <w:rPr>
          <w:rFonts w:hint="eastAsia"/>
          <w:highlight w:val="none"/>
          <w:lang w:val="en-US" w:eastAsia="zh-CN"/>
        </w:rPr>
        <w:t>递交方式：</w:t>
      </w:r>
      <w:r>
        <w:rPr>
          <w:rFonts w:hint="eastAsia" w:ascii="Times New Roman" w:hAnsi="Times New Roman" w:cs="Times New Roman"/>
          <w:szCs w:val="21"/>
          <w:highlight w:val="none"/>
          <w:lang w:val="en-US" w:eastAsia="zh-CN"/>
        </w:rPr>
        <w:t>受疫情影响，为进一步加强新型冠状病毒肺炎防控工作，本次采购</w:t>
      </w:r>
      <w:r>
        <w:rPr>
          <w:rFonts w:hint="eastAsia"/>
          <w:szCs w:val="21"/>
          <w:highlight w:val="none"/>
          <w:lang w:val="en-US" w:eastAsia="zh-CN"/>
        </w:rPr>
        <w:t>不进行现场接收纸质、U（光）</w:t>
      </w:r>
      <w:r>
        <w:rPr>
          <w:rFonts w:hint="eastAsia" w:ascii="Times New Roman" w:hAnsi="Times New Roman" w:cs="Times New Roman"/>
          <w:szCs w:val="21"/>
          <w:highlight w:val="none"/>
          <w:lang w:val="en-US" w:eastAsia="zh-CN"/>
        </w:rPr>
        <w:t>盘应答文件，采用大文件上传网盘及发送邮件的形式进行递交。</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5.3ECP2.0离线投标工具大文件上传网盘</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40" w:firstLineChars="200"/>
        <w:textAlignment w:val="auto"/>
        <w:rPr>
          <w:rFonts w:hint="eastAsia" w:ascii="Times New Roman" w:hAnsi="Times New Roman" w:cs="Times New Roman"/>
          <w:lang w:val="en-US" w:eastAsia="zh-CN"/>
        </w:rPr>
      </w:pPr>
      <w:r>
        <w:rPr>
          <w:rFonts w:hint="eastAsia"/>
          <w:szCs w:val="21"/>
          <w:lang w:val="en-US" w:eastAsia="zh-CN"/>
        </w:rPr>
        <w:t>投标人以分包为单位将完整商务、技术投标文件</w:t>
      </w:r>
      <w:r>
        <w:rPr>
          <w:rFonts w:hint="eastAsia" w:ascii="Times New Roman" w:hAnsi="Times New Roman" w:cs="Times New Roman"/>
          <w:lang w:val="en-US" w:eastAsia="zh-CN"/>
        </w:rPr>
        <w:t>使用新版“离线投标工具U+V1.0.0.8版本”提交至网盘系统，投标文件制作参考第二章投标人须知3.7.3投标文件及封装要求，“离线投标工具U+V1.0.0.8”下载请登录新一代电子商务平台网站“下载专区”，下载“离线投标工具U+V1.0.0.8（32位或64位）”所有文件并按指示操作。大文件上传网盘操作方式详见附件2大文件上传操作手册。</w:t>
      </w:r>
    </w:p>
    <w:p>
      <w:pPr>
        <w:pStyle w:val="3"/>
        <w:jc w:val="center"/>
        <w:rPr>
          <w:rFonts w:hint="eastAsia"/>
          <w:lang w:val="en-US" w:eastAsia="zh-CN"/>
        </w:rPr>
      </w:pPr>
      <w:r>
        <w:rPr>
          <w:rFonts w:hint="eastAsia" w:ascii="Times New Roman" w:hAnsi="Times New Roman" w:cs="Times New Roman"/>
          <w:lang w:val="en-US" w:eastAsia="zh-CN"/>
        </w:rPr>
        <w:object>
          <v:shape id="_x0000_i1029" o:spt="75" type="#_x0000_t75" style="height:66pt;width:72.75pt;" o:ole="t" filled="f" o:preferrelative="t" stroked="f" coordsize="21600,21600">
            <v:path/>
            <v:fill on="f" focussize="0,0"/>
            <v:stroke on="f"/>
            <v:imagedata r:id="rId12" o:title=""/>
            <o:lock v:ext="edit" aspectratio="t"/>
            <w10:wrap type="none"/>
            <w10:anchorlock/>
          </v:shape>
          <o:OLEObject Type="Embed" ProgID="Word.Document.12" ShapeID="_x0000_i1029" DrawAspect="Icon" ObjectID="_1468075729" r:id="rId18">
            <o:LockedField>false</o:LockedField>
          </o:OLEObject>
        </w:object>
      </w:r>
    </w:p>
    <w:p>
      <w:pPr>
        <w:keepNext w:val="0"/>
        <w:keepLines w:val="0"/>
        <w:pageBreakBefore w:val="0"/>
        <w:widowControl w:val="0"/>
        <w:kinsoku/>
        <w:wordWrap/>
        <w:overflowPunct/>
        <w:topLinePunct w:val="0"/>
        <w:autoSpaceDE/>
        <w:autoSpaceDN/>
        <w:bidi w:val="0"/>
        <w:spacing w:line="380" w:lineRule="atLeast"/>
        <w:ind w:firstLine="435"/>
        <w:textAlignment w:val="auto"/>
        <w:rPr>
          <w:rFonts w:hint="eastAsia"/>
          <w:szCs w:val="21"/>
          <w:highlight w:val="none"/>
          <w:lang w:val="en-US" w:eastAsia="zh-CN"/>
        </w:rPr>
      </w:pPr>
      <w:r>
        <w:rPr>
          <w:rFonts w:hint="eastAsia" w:ascii="方正仿宋_GBK" w:hAnsi="方正仿宋_GBK" w:eastAsia="方正仿宋_GBK" w:cs="方正仿宋_GBK"/>
          <w:sz w:val="30"/>
          <w:szCs w:val="30"/>
          <w:lang w:val="en-US" w:eastAsia="zh-CN"/>
        </w:rPr>
        <w:t>5.4</w:t>
      </w:r>
      <w:r>
        <w:rPr>
          <w:rFonts w:hint="eastAsia"/>
          <w:szCs w:val="21"/>
          <w:highlight w:val="none"/>
          <w:lang w:val="en-US" w:eastAsia="zh-CN"/>
        </w:rPr>
        <w:t>加密电子邮件发送</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截标前将应答文件发送至指定邮箱：</w:t>
      </w:r>
    </w:p>
    <w:tbl>
      <w:tblPr>
        <w:tblStyle w:val="34"/>
        <w:tblW w:w="7248"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079"/>
        <w:gridCol w:w="3365"/>
        <w:gridCol w:w="280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序号</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分标名称</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邮箱</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10kV变压器</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箱式变电站</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交流避雷器</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4</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高压熔断器</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5</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10kV柱上变压器台成套设备</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6</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一二次融合成套环网箱</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7</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一二次融合成套柱上断路器</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8</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交流三相隔离开关</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9</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配电箱</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电能计量箱</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11</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配电终端(DTU)</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12</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接地短路故障指示器</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70C0"/>
                <w:kern w:val="0"/>
                <w:sz w:val="18"/>
                <w:szCs w:val="18"/>
                <w:u w:val="none"/>
                <w:lang w:val="en-US" w:eastAsia="zh-CN" w:bidi="ar"/>
              </w:rPr>
            </w:pPr>
            <w:r>
              <w:rPr>
                <w:rFonts w:hint="eastAsia" w:ascii="宋体" w:hAnsi="宋体" w:eastAsia="宋体" w:cs="宋体"/>
                <w:b/>
                <w:bCs/>
                <w:i w:val="0"/>
                <w:color w:val="0070C0"/>
                <w:kern w:val="0"/>
                <w:sz w:val="18"/>
                <w:szCs w:val="18"/>
                <w:u w:val="none"/>
                <w:lang w:val="en-US" w:eastAsia="zh-CN" w:bidi="ar"/>
              </w:rPr>
              <w:fldChar w:fldCharType="begin"/>
            </w:r>
            <w:r>
              <w:rPr>
                <w:rFonts w:hint="eastAsia" w:ascii="宋体" w:hAnsi="宋体" w:eastAsia="宋体" w:cs="宋体"/>
                <w:b/>
                <w:bCs/>
                <w:i w:val="0"/>
                <w:color w:val="0070C0"/>
                <w:kern w:val="0"/>
                <w:sz w:val="18"/>
                <w:szCs w:val="18"/>
                <w:u w:val="none"/>
                <w:lang w:val="en-US" w:eastAsia="zh-CN" w:bidi="ar"/>
              </w:rPr>
              <w:instrText xml:space="preserve"> HYPERLINK "mailto:417324018@qq.com" </w:instrText>
            </w:r>
            <w:r>
              <w:rPr>
                <w:rFonts w:hint="eastAsia" w:ascii="宋体" w:hAnsi="宋体" w:eastAsia="宋体" w:cs="宋体"/>
                <w:b/>
                <w:bCs/>
                <w:i w:val="0"/>
                <w:color w:val="0070C0"/>
                <w:kern w:val="0"/>
                <w:sz w:val="18"/>
                <w:szCs w:val="18"/>
                <w:u w:val="none"/>
                <w:lang w:val="en-US" w:eastAsia="zh-CN" w:bidi="ar"/>
              </w:rPr>
              <w:fldChar w:fldCharType="separate"/>
            </w:r>
            <w:r>
              <w:rPr>
                <w:rFonts w:hint="eastAsia" w:ascii="宋体" w:hAnsi="宋体" w:eastAsia="宋体" w:cs="宋体"/>
                <w:b/>
                <w:bCs/>
                <w:i w:val="0"/>
                <w:color w:val="0070C0"/>
                <w:kern w:val="0"/>
                <w:sz w:val="18"/>
                <w:szCs w:val="18"/>
                <w:u w:val="none"/>
                <w:lang w:val="en-US" w:eastAsia="zh-CN" w:bidi="ar"/>
              </w:rPr>
              <w:t>417324018@qq.com</w:t>
            </w:r>
            <w:r>
              <w:rPr>
                <w:rFonts w:hint="eastAsia" w:ascii="宋体" w:hAnsi="宋体" w:eastAsia="宋体" w:cs="宋体"/>
                <w:b/>
                <w:bCs/>
                <w:i w:val="0"/>
                <w:color w:val="0070C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13</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钢绞线及钢芯铝绞线</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FF0000"/>
                <w:kern w:val="0"/>
                <w:sz w:val="18"/>
                <w:szCs w:val="18"/>
                <w:u w:val="none"/>
                <w:lang w:val="en-US" w:eastAsia="zh-CN" w:bidi="ar"/>
              </w:rPr>
            </w:pPr>
            <w:r>
              <w:rPr>
                <w:rFonts w:hint="eastAsia" w:ascii="宋体" w:hAnsi="宋体" w:eastAsia="宋体" w:cs="宋体"/>
                <w:b/>
                <w:bCs/>
                <w:i w:val="0"/>
                <w:color w:val="FF0000"/>
                <w:kern w:val="0"/>
                <w:sz w:val="18"/>
                <w:szCs w:val="18"/>
                <w:u w:val="none"/>
                <w:lang w:val="en-US" w:eastAsia="zh-CN" w:bidi="ar"/>
              </w:rPr>
              <w:t>32236367@qq.com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14</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10kV架空绝缘导线</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FF0000"/>
                <w:kern w:val="0"/>
                <w:sz w:val="18"/>
                <w:szCs w:val="18"/>
                <w:u w:val="none"/>
                <w:lang w:val="en-US" w:eastAsia="zh-CN" w:bidi="ar"/>
              </w:rPr>
            </w:pPr>
            <w:r>
              <w:rPr>
                <w:rFonts w:hint="eastAsia" w:ascii="宋体" w:hAnsi="宋体" w:eastAsia="宋体" w:cs="宋体"/>
                <w:b/>
                <w:bCs/>
                <w:i w:val="0"/>
                <w:color w:val="FF0000"/>
                <w:kern w:val="0"/>
                <w:sz w:val="18"/>
                <w:szCs w:val="18"/>
                <w:u w:val="none"/>
                <w:lang w:val="en-US" w:eastAsia="zh-CN" w:bidi="ar"/>
              </w:rPr>
              <w:t>32236367@qq.com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15</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1kV架空绝缘导线</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FF0000"/>
                <w:kern w:val="0"/>
                <w:sz w:val="18"/>
                <w:szCs w:val="18"/>
                <w:u w:val="none"/>
                <w:lang w:val="en-US" w:eastAsia="zh-CN" w:bidi="ar"/>
              </w:rPr>
            </w:pPr>
            <w:r>
              <w:rPr>
                <w:rFonts w:hint="eastAsia" w:ascii="宋体" w:hAnsi="宋体" w:eastAsia="宋体" w:cs="宋体"/>
                <w:b/>
                <w:bCs/>
                <w:i w:val="0"/>
                <w:color w:val="FF0000"/>
                <w:kern w:val="0"/>
                <w:sz w:val="18"/>
                <w:szCs w:val="18"/>
                <w:u w:val="none"/>
                <w:lang w:val="en-US" w:eastAsia="zh-CN" w:bidi="ar"/>
              </w:rPr>
              <w:t>32236367@qq.com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16</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电力电缆</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FF0000"/>
                <w:kern w:val="0"/>
                <w:sz w:val="18"/>
                <w:szCs w:val="18"/>
                <w:u w:val="none"/>
                <w:lang w:val="en-US" w:eastAsia="zh-CN" w:bidi="ar"/>
              </w:rPr>
            </w:pPr>
            <w:r>
              <w:rPr>
                <w:rFonts w:hint="eastAsia" w:ascii="宋体" w:hAnsi="宋体" w:eastAsia="宋体" w:cs="宋体"/>
                <w:b/>
                <w:bCs/>
                <w:i w:val="0"/>
                <w:color w:val="FF0000"/>
                <w:kern w:val="0"/>
                <w:sz w:val="18"/>
                <w:szCs w:val="18"/>
                <w:u w:val="none"/>
                <w:lang w:val="en-US" w:eastAsia="zh-CN" w:bidi="ar"/>
              </w:rPr>
              <w:t>32236367@qq.com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17</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低压电力电缆</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FF0000"/>
                <w:kern w:val="0"/>
                <w:sz w:val="18"/>
                <w:szCs w:val="18"/>
                <w:u w:val="none"/>
                <w:lang w:val="en-US" w:eastAsia="zh-CN" w:bidi="ar"/>
              </w:rPr>
            </w:pPr>
            <w:r>
              <w:rPr>
                <w:rFonts w:hint="eastAsia" w:ascii="宋体" w:hAnsi="宋体" w:eastAsia="宋体" w:cs="宋体"/>
                <w:b/>
                <w:bCs/>
                <w:i w:val="0"/>
                <w:color w:val="FF0000"/>
                <w:kern w:val="0"/>
                <w:sz w:val="18"/>
                <w:szCs w:val="18"/>
                <w:u w:val="none"/>
                <w:lang w:val="en-US" w:eastAsia="zh-CN" w:bidi="ar"/>
              </w:rPr>
              <w:t>32236367@qq.com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18</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电缆附件</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FF0000"/>
                <w:kern w:val="0"/>
                <w:sz w:val="18"/>
                <w:szCs w:val="18"/>
                <w:u w:val="none"/>
                <w:lang w:val="en-US" w:eastAsia="zh-CN" w:bidi="ar"/>
              </w:rPr>
            </w:pPr>
            <w:r>
              <w:rPr>
                <w:rFonts w:hint="eastAsia" w:ascii="宋体" w:hAnsi="宋体" w:eastAsia="宋体" w:cs="宋体"/>
                <w:b/>
                <w:bCs/>
                <w:i w:val="0"/>
                <w:color w:val="FF0000"/>
                <w:kern w:val="0"/>
                <w:sz w:val="18"/>
                <w:szCs w:val="18"/>
                <w:u w:val="none"/>
                <w:lang w:val="en-US" w:eastAsia="zh-CN" w:bidi="ar"/>
              </w:rPr>
              <w:t>32236367@qq.com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19</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电缆分支箱</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FF0000"/>
                <w:kern w:val="0"/>
                <w:sz w:val="18"/>
                <w:szCs w:val="18"/>
                <w:u w:val="none"/>
                <w:lang w:val="en-US" w:eastAsia="zh-CN" w:bidi="ar"/>
              </w:rPr>
            </w:pPr>
            <w:r>
              <w:rPr>
                <w:rFonts w:hint="eastAsia" w:ascii="宋体" w:hAnsi="宋体" w:eastAsia="宋体" w:cs="宋体"/>
                <w:b/>
                <w:bCs/>
                <w:i w:val="0"/>
                <w:color w:val="FF0000"/>
                <w:kern w:val="0"/>
                <w:sz w:val="18"/>
                <w:szCs w:val="18"/>
                <w:u w:val="none"/>
                <w:lang w:val="en-US" w:eastAsia="zh-CN" w:bidi="ar"/>
              </w:rPr>
              <w:t>32236367@qq.com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20</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电缆保护管</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FF0000"/>
                <w:kern w:val="0"/>
                <w:sz w:val="18"/>
                <w:szCs w:val="18"/>
                <w:u w:val="none"/>
                <w:lang w:val="en-US" w:eastAsia="zh-CN" w:bidi="ar"/>
              </w:rPr>
            </w:pPr>
            <w:r>
              <w:rPr>
                <w:rFonts w:hint="eastAsia" w:ascii="宋体" w:hAnsi="宋体" w:eastAsia="宋体" w:cs="宋体"/>
                <w:b/>
                <w:bCs/>
                <w:i w:val="0"/>
                <w:color w:val="FF0000"/>
                <w:kern w:val="0"/>
                <w:sz w:val="18"/>
                <w:szCs w:val="18"/>
                <w:u w:val="none"/>
                <w:lang w:val="en-US" w:eastAsia="zh-CN" w:bidi="ar"/>
              </w:rPr>
              <w:t>32236367@qq.com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21</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铁构件</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FF0000"/>
                <w:kern w:val="0"/>
                <w:sz w:val="18"/>
                <w:szCs w:val="18"/>
                <w:u w:val="none"/>
                <w:lang w:val="en-US" w:eastAsia="zh-CN" w:bidi="ar"/>
              </w:rPr>
            </w:pPr>
            <w:r>
              <w:rPr>
                <w:rFonts w:hint="eastAsia" w:ascii="宋体" w:hAnsi="宋体" w:eastAsia="宋体" w:cs="宋体"/>
                <w:b/>
                <w:bCs/>
                <w:i w:val="0"/>
                <w:color w:val="FF0000"/>
                <w:kern w:val="0"/>
                <w:sz w:val="18"/>
                <w:szCs w:val="18"/>
                <w:u w:val="none"/>
                <w:lang w:val="en-US" w:eastAsia="zh-CN" w:bidi="ar"/>
              </w:rPr>
              <w:t>32236367@qq.com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22</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金具</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FF0000"/>
                <w:kern w:val="0"/>
                <w:sz w:val="18"/>
                <w:szCs w:val="18"/>
                <w:u w:val="none"/>
                <w:lang w:val="en-US" w:eastAsia="zh-CN" w:bidi="ar"/>
              </w:rPr>
            </w:pPr>
            <w:r>
              <w:rPr>
                <w:rFonts w:hint="eastAsia" w:ascii="宋体" w:hAnsi="宋体" w:eastAsia="宋体" w:cs="宋体"/>
                <w:b/>
                <w:bCs/>
                <w:i w:val="0"/>
                <w:color w:val="FF0000"/>
                <w:kern w:val="0"/>
                <w:sz w:val="18"/>
                <w:szCs w:val="18"/>
                <w:u w:val="none"/>
                <w:lang w:val="en-US" w:eastAsia="zh-CN" w:bidi="ar"/>
              </w:rPr>
              <w:t>32236367@qq.com</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23</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钢管杆（桩）</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b/>
                <w:bCs/>
                <w:i w:val="0"/>
                <w:color w:val="000000"/>
                <w:kern w:val="0"/>
                <w:sz w:val="18"/>
                <w:szCs w:val="18"/>
                <w:u w:val="none"/>
                <w:lang w:val="en-US" w:eastAsia="zh-CN" w:bidi="ar"/>
              </w:rPr>
              <w:fldChar w:fldCharType="begin"/>
            </w:r>
            <w:r>
              <w:rPr>
                <w:rFonts w:hint="eastAsia" w:ascii="宋体" w:hAnsi="宋体" w:eastAsia="宋体" w:cs="宋体"/>
                <w:b/>
                <w:bCs/>
                <w:i w:val="0"/>
                <w:color w:val="000000"/>
                <w:kern w:val="0"/>
                <w:sz w:val="18"/>
                <w:szCs w:val="18"/>
                <w:u w:val="none"/>
                <w:lang w:val="en-US" w:eastAsia="zh-CN" w:bidi="ar"/>
              </w:rPr>
              <w:instrText xml:space="preserve"> HYPERLINK "mailto:1370137542@qq.com" </w:instrText>
            </w:r>
            <w:r>
              <w:rPr>
                <w:rFonts w:hint="eastAsia" w:ascii="宋体" w:hAnsi="宋体" w:eastAsia="宋体" w:cs="宋体"/>
                <w:b/>
                <w:bCs/>
                <w:i w:val="0"/>
                <w:color w:val="000000"/>
                <w:kern w:val="0"/>
                <w:sz w:val="18"/>
                <w:szCs w:val="18"/>
                <w:u w:val="none"/>
                <w:lang w:val="en-US" w:eastAsia="zh-CN" w:bidi="ar"/>
              </w:rPr>
              <w:fldChar w:fldCharType="separate"/>
            </w:r>
            <w:r>
              <w:rPr>
                <w:rFonts w:hint="eastAsia" w:ascii="宋体" w:hAnsi="宋体" w:eastAsia="宋体" w:cs="宋体"/>
                <w:b/>
                <w:bCs/>
                <w:i w:val="0"/>
                <w:color w:val="000000"/>
                <w:kern w:val="0"/>
                <w:sz w:val="18"/>
                <w:szCs w:val="18"/>
                <w:u w:val="none"/>
                <w:lang w:val="en-US" w:eastAsia="zh-CN" w:bidi="ar"/>
              </w:rPr>
              <w:t>1370137542@qq.com</w:t>
            </w:r>
            <w:r>
              <w:rPr>
                <w:rFonts w:hint="eastAsia" w:ascii="宋体" w:hAnsi="宋体" w:eastAsia="宋体" w:cs="宋体"/>
                <w:b/>
                <w:bCs/>
                <w:i w:val="0"/>
                <w:color w:val="00000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24</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锥形水泥杆（非预应力）</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b/>
                <w:bCs/>
                <w:i w:val="0"/>
                <w:color w:val="000000"/>
                <w:kern w:val="0"/>
                <w:sz w:val="18"/>
                <w:szCs w:val="18"/>
                <w:u w:val="none"/>
                <w:lang w:val="en-US" w:eastAsia="zh-CN" w:bidi="ar"/>
              </w:rPr>
              <w:fldChar w:fldCharType="begin"/>
            </w:r>
            <w:r>
              <w:rPr>
                <w:rFonts w:hint="eastAsia" w:ascii="宋体" w:hAnsi="宋体" w:eastAsia="宋体" w:cs="宋体"/>
                <w:b/>
                <w:bCs/>
                <w:i w:val="0"/>
                <w:color w:val="000000"/>
                <w:kern w:val="0"/>
                <w:sz w:val="18"/>
                <w:szCs w:val="18"/>
                <w:u w:val="none"/>
                <w:lang w:val="en-US" w:eastAsia="zh-CN" w:bidi="ar"/>
              </w:rPr>
              <w:instrText xml:space="preserve"> HYPERLINK "mailto:1370137542@qq.com" </w:instrText>
            </w:r>
            <w:r>
              <w:rPr>
                <w:rFonts w:hint="eastAsia" w:ascii="宋体" w:hAnsi="宋体" w:eastAsia="宋体" w:cs="宋体"/>
                <w:b/>
                <w:bCs/>
                <w:i w:val="0"/>
                <w:color w:val="000000"/>
                <w:kern w:val="0"/>
                <w:sz w:val="18"/>
                <w:szCs w:val="18"/>
                <w:u w:val="none"/>
                <w:lang w:val="en-US" w:eastAsia="zh-CN" w:bidi="ar"/>
              </w:rPr>
              <w:fldChar w:fldCharType="separate"/>
            </w:r>
            <w:r>
              <w:rPr>
                <w:rFonts w:hint="eastAsia" w:ascii="宋体" w:hAnsi="宋体" w:eastAsia="宋体" w:cs="宋体"/>
                <w:b/>
                <w:bCs/>
                <w:i w:val="0"/>
                <w:color w:val="000000"/>
                <w:kern w:val="0"/>
                <w:sz w:val="18"/>
                <w:szCs w:val="18"/>
                <w:u w:val="none"/>
                <w:lang w:val="en-US" w:eastAsia="zh-CN" w:bidi="ar"/>
              </w:rPr>
              <w:t>1370137542@qq.com</w:t>
            </w:r>
            <w:r>
              <w:rPr>
                <w:rFonts w:hint="eastAsia" w:ascii="宋体" w:hAnsi="宋体" w:eastAsia="宋体" w:cs="宋体"/>
                <w:b/>
                <w:bCs/>
                <w:i w:val="0"/>
                <w:color w:val="00000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25</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锥形水泥杆（部分预应力）</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b/>
                <w:bCs/>
                <w:i w:val="0"/>
                <w:color w:val="000000"/>
                <w:kern w:val="0"/>
                <w:sz w:val="18"/>
                <w:szCs w:val="18"/>
                <w:u w:val="none"/>
                <w:lang w:val="en-US" w:eastAsia="zh-CN" w:bidi="ar"/>
              </w:rPr>
              <w:fldChar w:fldCharType="begin"/>
            </w:r>
            <w:r>
              <w:rPr>
                <w:rFonts w:hint="eastAsia" w:ascii="宋体" w:hAnsi="宋体" w:eastAsia="宋体" w:cs="宋体"/>
                <w:b/>
                <w:bCs/>
                <w:i w:val="0"/>
                <w:color w:val="000000"/>
                <w:kern w:val="0"/>
                <w:sz w:val="18"/>
                <w:szCs w:val="18"/>
                <w:u w:val="none"/>
                <w:lang w:val="en-US" w:eastAsia="zh-CN" w:bidi="ar"/>
              </w:rPr>
              <w:instrText xml:space="preserve"> HYPERLINK "mailto:1370137542@qq.com" </w:instrText>
            </w:r>
            <w:r>
              <w:rPr>
                <w:rFonts w:hint="eastAsia" w:ascii="宋体" w:hAnsi="宋体" w:eastAsia="宋体" w:cs="宋体"/>
                <w:b/>
                <w:bCs/>
                <w:i w:val="0"/>
                <w:color w:val="000000"/>
                <w:kern w:val="0"/>
                <w:sz w:val="18"/>
                <w:szCs w:val="18"/>
                <w:u w:val="none"/>
                <w:lang w:val="en-US" w:eastAsia="zh-CN" w:bidi="ar"/>
              </w:rPr>
              <w:fldChar w:fldCharType="separate"/>
            </w:r>
            <w:r>
              <w:rPr>
                <w:rFonts w:hint="eastAsia" w:ascii="宋体" w:hAnsi="宋体" w:eastAsia="宋体" w:cs="宋体"/>
                <w:b/>
                <w:bCs/>
                <w:i w:val="0"/>
                <w:color w:val="000000"/>
                <w:kern w:val="0"/>
                <w:sz w:val="18"/>
                <w:szCs w:val="18"/>
                <w:u w:val="none"/>
                <w:lang w:val="en-US" w:eastAsia="zh-CN" w:bidi="ar"/>
              </w:rPr>
              <w:t>1370137542@qq.com</w:t>
            </w:r>
            <w:r>
              <w:rPr>
                <w:rFonts w:hint="eastAsia" w:ascii="宋体" w:hAnsi="宋体" w:eastAsia="宋体" w:cs="宋体"/>
                <w:b/>
                <w:bCs/>
                <w:i w:val="0"/>
                <w:color w:val="00000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26</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蝶式绝缘子</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b/>
                <w:bCs/>
                <w:i w:val="0"/>
                <w:color w:val="000000"/>
                <w:kern w:val="0"/>
                <w:sz w:val="18"/>
                <w:szCs w:val="18"/>
                <w:u w:val="none"/>
                <w:lang w:val="en-US" w:eastAsia="zh-CN" w:bidi="ar"/>
              </w:rPr>
              <w:fldChar w:fldCharType="begin"/>
            </w:r>
            <w:r>
              <w:rPr>
                <w:rFonts w:hint="eastAsia" w:ascii="宋体" w:hAnsi="宋体" w:eastAsia="宋体" w:cs="宋体"/>
                <w:b/>
                <w:bCs/>
                <w:i w:val="0"/>
                <w:color w:val="000000"/>
                <w:kern w:val="0"/>
                <w:sz w:val="18"/>
                <w:szCs w:val="18"/>
                <w:u w:val="none"/>
                <w:lang w:val="en-US" w:eastAsia="zh-CN" w:bidi="ar"/>
              </w:rPr>
              <w:instrText xml:space="preserve"> HYPERLINK "mailto:1370137542@qq.com" </w:instrText>
            </w:r>
            <w:r>
              <w:rPr>
                <w:rFonts w:hint="eastAsia" w:ascii="宋体" w:hAnsi="宋体" w:eastAsia="宋体" w:cs="宋体"/>
                <w:b/>
                <w:bCs/>
                <w:i w:val="0"/>
                <w:color w:val="000000"/>
                <w:kern w:val="0"/>
                <w:sz w:val="18"/>
                <w:szCs w:val="18"/>
                <w:u w:val="none"/>
                <w:lang w:val="en-US" w:eastAsia="zh-CN" w:bidi="ar"/>
              </w:rPr>
              <w:fldChar w:fldCharType="separate"/>
            </w:r>
            <w:r>
              <w:rPr>
                <w:rFonts w:hint="eastAsia" w:ascii="宋体" w:hAnsi="宋体" w:eastAsia="宋体" w:cs="宋体"/>
                <w:b/>
                <w:bCs/>
                <w:i w:val="0"/>
                <w:color w:val="000000"/>
                <w:kern w:val="0"/>
                <w:sz w:val="18"/>
                <w:szCs w:val="18"/>
                <w:u w:val="none"/>
                <w:lang w:val="en-US" w:eastAsia="zh-CN" w:bidi="ar"/>
              </w:rPr>
              <w:t>1370137542@qq.com</w:t>
            </w:r>
            <w:r>
              <w:rPr>
                <w:rFonts w:hint="eastAsia" w:ascii="宋体" w:hAnsi="宋体" w:eastAsia="宋体" w:cs="宋体"/>
                <w:b/>
                <w:bCs/>
                <w:i w:val="0"/>
                <w:color w:val="00000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27</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针式瓷绝缘子</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b/>
                <w:bCs/>
                <w:i w:val="0"/>
                <w:color w:val="000000"/>
                <w:kern w:val="0"/>
                <w:sz w:val="18"/>
                <w:szCs w:val="18"/>
                <w:u w:val="none"/>
                <w:lang w:val="en-US" w:eastAsia="zh-CN" w:bidi="ar"/>
              </w:rPr>
              <w:fldChar w:fldCharType="begin"/>
            </w:r>
            <w:r>
              <w:rPr>
                <w:rFonts w:hint="eastAsia" w:ascii="宋体" w:hAnsi="宋体" w:eastAsia="宋体" w:cs="宋体"/>
                <w:b/>
                <w:bCs/>
                <w:i w:val="0"/>
                <w:color w:val="000000"/>
                <w:kern w:val="0"/>
                <w:sz w:val="18"/>
                <w:szCs w:val="18"/>
                <w:u w:val="none"/>
                <w:lang w:val="en-US" w:eastAsia="zh-CN" w:bidi="ar"/>
              </w:rPr>
              <w:instrText xml:space="preserve"> HYPERLINK "mailto:1370137542@qq.com" </w:instrText>
            </w:r>
            <w:r>
              <w:rPr>
                <w:rFonts w:hint="eastAsia" w:ascii="宋体" w:hAnsi="宋体" w:eastAsia="宋体" w:cs="宋体"/>
                <w:b/>
                <w:bCs/>
                <w:i w:val="0"/>
                <w:color w:val="000000"/>
                <w:kern w:val="0"/>
                <w:sz w:val="18"/>
                <w:szCs w:val="18"/>
                <w:u w:val="none"/>
                <w:lang w:val="en-US" w:eastAsia="zh-CN" w:bidi="ar"/>
              </w:rPr>
              <w:fldChar w:fldCharType="separate"/>
            </w:r>
            <w:r>
              <w:rPr>
                <w:rFonts w:hint="eastAsia" w:ascii="宋体" w:hAnsi="宋体" w:eastAsia="宋体" w:cs="宋体"/>
                <w:b/>
                <w:bCs/>
                <w:i w:val="0"/>
                <w:color w:val="000000"/>
                <w:kern w:val="0"/>
                <w:sz w:val="18"/>
                <w:szCs w:val="18"/>
                <w:u w:val="none"/>
                <w:lang w:val="en-US" w:eastAsia="zh-CN" w:bidi="ar"/>
              </w:rPr>
              <w:t>1370137542@qq.com</w:t>
            </w:r>
            <w:r>
              <w:rPr>
                <w:rFonts w:hint="eastAsia" w:ascii="宋体" w:hAnsi="宋体" w:eastAsia="宋体" w:cs="宋体"/>
                <w:b/>
                <w:bCs/>
                <w:i w:val="0"/>
                <w:color w:val="00000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28</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交流盘形悬式瓷绝缘子</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b/>
                <w:bCs/>
                <w:i w:val="0"/>
                <w:color w:val="000000"/>
                <w:kern w:val="0"/>
                <w:sz w:val="18"/>
                <w:szCs w:val="18"/>
                <w:u w:val="none"/>
                <w:lang w:val="en-US" w:eastAsia="zh-CN" w:bidi="ar"/>
              </w:rPr>
              <w:fldChar w:fldCharType="begin"/>
            </w:r>
            <w:r>
              <w:rPr>
                <w:rFonts w:hint="eastAsia" w:ascii="宋体" w:hAnsi="宋体" w:eastAsia="宋体" w:cs="宋体"/>
                <w:b/>
                <w:bCs/>
                <w:i w:val="0"/>
                <w:color w:val="000000"/>
                <w:kern w:val="0"/>
                <w:sz w:val="18"/>
                <w:szCs w:val="18"/>
                <w:u w:val="none"/>
                <w:lang w:val="en-US" w:eastAsia="zh-CN" w:bidi="ar"/>
              </w:rPr>
              <w:instrText xml:space="preserve"> HYPERLINK "mailto:1370137542@qq.com" </w:instrText>
            </w:r>
            <w:r>
              <w:rPr>
                <w:rFonts w:hint="eastAsia" w:ascii="宋体" w:hAnsi="宋体" w:eastAsia="宋体" w:cs="宋体"/>
                <w:b/>
                <w:bCs/>
                <w:i w:val="0"/>
                <w:color w:val="000000"/>
                <w:kern w:val="0"/>
                <w:sz w:val="18"/>
                <w:szCs w:val="18"/>
                <w:u w:val="none"/>
                <w:lang w:val="en-US" w:eastAsia="zh-CN" w:bidi="ar"/>
              </w:rPr>
              <w:fldChar w:fldCharType="separate"/>
            </w:r>
            <w:r>
              <w:rPr>
                <w:rFonts w:hint="eastAsia" w:ascii="宋体" w:hAnsi="宋体" w:eastAsia="宋体" w:cs="宋体"/>
                <w:b/>
                <w:bCs/>
                <w:i w:val="0"/>
                <w:color w:val="000000"/>
                <w:kern w:val="0"/>
                <w:sz w:val="18"/>
                <w:szCs w:val="18"/>
                <w:u w:val="none"/>
                <w:lang w:val="en-US" w:eastAsia="zh-CN" w:bidi="ar"/>
              </w:rPr>
              <w:t>1370137542@qq.com</w:t>
            </w:r>
            <w:r>
              <w:rPr>
                <w:rFonts w:hint="eastAsia" w:ascii="宋体" w:hAnsi="宋体" w:eastAsia="宋体" w:cs="宋体"/>
                <w:b/>
                <w:bCs/>
                <w:i w:val="0"/>
                <w:color w:val="00000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29</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交流棒形悬式复合绝缘子</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b/>
                <w:bCs/>
                <w:i w:val="0"/>
                <w:color w:val="000000"/>
                <w:kern w:val="0"/>
                <w:sz w:val="18"/>
                <w:szCs w:val="18"/>
                <w:u w:val="none"/>
                <w:lang w:val="en-US" w:eastAsia="zh-CN" w:bidi="ar"/>
              </w:rPr>
              <w:fldChar w:fldCharType="begin"/>
            </w:r>
            <w:r>
              <w:rPr>
                <w:rFonts w:hint="eastAsia" w:ascii="宋体" w:hAnsi="宋体" w:eastAsia="宋体" w:cs="宋体"/>
                <w:b/>
                <w:bCs/>
                <w:i w:val="0"/>
                <w:color w:val="000000"/>
                <w:kern w:val="0"/>
                <w:sz w:val="18"/>
                <w:szCs w:val="18"/>
                <w:u w:val="none"/>
                <w:lang w:val="en-US" w:eastAsia="zh-CN" w:bidi="ar"/>
              </w:rPr>
              <w:instrText xml:space="preserve"> HYPERLINK "mailto:1370137542@qq.com" </w:instrText>
            </w:r>
            <w:r>
              <w:rPr>
                <w:rFonts w:hint="eastAsia" w:ascii="宋体" w:hAnsi="宋体" w:eastAsia="宋体" w:cs="宋体"/>
                <w:b/>
                <w:bCs/>
                <w:i w:val="0"/>
                <w:color w:val="000000"/>
                <w:kern w:val="0"/>
                <w:sz w:val="18"/>
                <w:szCs w:val="18"/>
                <w:u w:val="none"/>
                <w:lang w:val="en-US" w:eastAsia="zh-CN" w:bidi="ar"/>
              </w:rPr>
              <w:fldChar w:fldCharType="separate"/>
            </w:r>
            <w:r>
              <w:rPr>
                <w:rFonts w:hint="eastAsia" w:ascii="宋体" w:hAnsi="宋体" w:eastAsia="宋体" w:cs="宋体"/>
                <w:b/>
                <w:bCs/>
                <w:i w:val="0"/>
                <w:color w:val="000000"/>
                <w:kern w:val="0"/>
                <w:sz w:val="18"/>
                <w:szCs w:val="18"/>
                <w:u w:val="none"/>
                <w:lang w:val="en-US" w:eastAsia="zh-CN" w:bidi="ar"/>
              </w:rPr>
              <w:t>1370137542@qq.com</w:t>
            </w:r>
            <w:r>
              <w:rPr>
                <w:rFonts w:hint="eastAsia" w:ascii="宋体" w:hAnsi="宋体" w:eastAsia="宋体" w:cs="宋体"/>
                <w:b/>
                <w:bCs/>
                <w:i w:val="0"/>
                <w:color w:val="000000"/>
                <w:kern w:val="0"/>
                <w:sz w:val="18"/>
                <w:szCs w:val="18"/>
                <w:u w:val="none"/>
                <w:lang w:val="en-US" w:eastAsia="zh-CN" w:bidi="ar"/>
              </w:rPr>
              <w:fldChar w:fldCharType="end"/>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23" w:hRule="atLeast"/>
          <w:jc w:val="center"/>
        </w:trPr>
        <w:tc>
          <w:tcPr>
            <w:tcW w:w="1079"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default"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30</w:t>
            </w:r>
          </w:p>
        </w:tc>
        <w:tc>
          <w:tcPr>
            <w:tcW w:w="3365"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线路柱式瓷绝缘子</w:t>
            </w:r>
          </w:p>
        </w:tc>
        <w:tc>
          <w:tcPr>
            <w:tcW w:w="2804"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bCs/>
                <w:i w:val="0"/>
                <w:color w:val="000000"/>
                <w:kern w:val="0"/>
                <w:sz w:val="18"/>
                <w:szCs w:val="18"/>
                <w:u w:val="none"/>
                <w:lang w:val="en-US" w:eastAsia="zh-CN" w:bidi="ar"/>
              </w:rPr>
            </w:pPr>
            <w:r>
              <w:rPr>
                <w:rFonts w:hint="eastAsia" w:ascii="宋体" w:hAnsi="宋体" w:eastAsia="宋体" w:cs="宋体"/>
                <w:b/>
                <w:bCs/>
                <w:i w:val="0"/>
                <w:color w:val="000000"/>
                <w:kern w:val="0"/>
                <w:sz w:val="18"/>
                <w:szCs w:val="18"/>
                <w:u w:val="none"/>
                <w:lang w:val="en-US" w:eastAsia="zh-CN" w:bidi="ar"/>
              </w:rPr>
              <w:fldChar w:fldCharType="begin"/>
            </w:r>
            <w:r>
              <w:rPr>
                <w:rFonts w:hint="eastAsia" w:ascii="宋体" w:hAnsi="宋体" w:eastAsia="宋体" w:cs="宋体"/>
                <w:b/>
                <w:bCs/>
                <w:i w:val="0"/>
                <w:color w:val="000000"/>
                <w:kern w:val="0"/>
                <w:sz w:val="18"/>
                <w:szCs w:val="18"/>
                <w:u w:val="none"/>
                <w:lang w:val="en-US" w:eastAsia="zh-CN" w:bidi="ar"/>
              </w:rPr>
              <w:instrText xml:space="preserve"> HYPERLINK "mailto:1370137542@qq.com" </w:instrText>
            </w:r>
            <w:r>
              <w:rPr>
                <w:rFonts w:hint="eastAsia" w:ascii="宋体" w:hAnsi="宋体" w:eastAsia="宋体" w:cs="宋体"/>
                <w:b/>
                <w:bCs/>
                <w:i w:val="0"/>
                <w:color w:val="000000"/>
                <w:kern w:val="0"/>
                <w:sz w:val="18"/>
                <w:szCs w:val="18"/>
                <w:u w:val="none"/>
                <w:lang w:val="en-US" w:eastAsia="zh-CN" w:bidi="ar"/>
              </w:rPr>
              <w:fldChar w:fldCharType="separate"/>
            </w:r>
            <w:r>
              <w:rPr>
                <w:rFonts w:hint="eastAsia" w:ascii="宋体" w:hAnsi="宋体" w:eastAsia="宋体" w:cs="宋体"/>
                <w:b/>
                <w:bCs/>
                <w:i w:val="0"/>
                <w:color w:val="000000"/>
                <w:kern w:val="0"/>
                <w:sz w:val="18"/>
                <w:szCs w:val="18"/>
                <w:u w:val="none"/>
                <w:lang w:val="en-US" w:eastAsia="zh-CN" w:bidi="ar"/>
              </w:rPr>
              <w:t>1370137542@qq.com</w:t>
            </w:r>
            <w:r>
              <w:rPr>
                <w:rFonts w:hint="eastAsia" w:ascii="宋体" w:hAnsi="宋体" w:eastAsia="宋体" w:cs="宋体"/>
                <w:b/>
                <w:bCs/>
                <w:i w:val="0"/>
                <w:color w:val="000000"/>
                <w:kern w:val="0"/>
                <w:sz w:val="18"/>
                <w:szCs w:val="18"/>
                <w:u w:val="none"/>
                <w:lang w:val="en-US" w:eastAsia="zh-CN" w:bidi="ar"/>
              </w:rPr>
              <w:fldChar w:fldCharType="end"/>
            </w:r>
          </w:p>
        </w:tc>
      </w:tr>
    </w:tbl>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投标人以分标为单位将商务、技术投标文件进行加密压缩（自行设定四位数字的密码）发送至指定邮箱，（即一个投标人一个分标制作一个压缩包发送一封邮件），邮件名称及压缩包名称命名按下列格式：分标名称+包号-投标人名称。（例：箱式变电站包1</w:t>
      </w:r>
      <w:r>
        <w:rPr>
          <w:rFonts w:hint="eastAsia" w:cs="方正仿宋_GBK"/>
          <w:sz w:val="30"/>
          <w:szCs w:val="30"/>
          <w:lang w:val="en-US" w:eastAsia="zh-CN"/>
        </w:rPr>
        <w:t>~包3</w:t>
      </w:r>
      <w:r>
        <w:rPr>
          <w:rFonts w:hint="eastAsia" w:ascii="方正仿宋_GBK" w:hAnsi="方正仿宋_GBK" w:eastAsia="方正仿宋_GBK" w:cs="方正仿宋_GBK"/>
          <w:sz w:val="30"/>
          <w:szCs w:val="30"/>
          <w:lang w:val="en-US" w:eastAsia="zh-CN"/>
        </w:rPr>
        <w:t>-投标人名称）。将解压密码使用离线投标工具上传至商务附加文件(非大文件)，截标后解压密码将与其他文件系统同时解密，防止应答文件泄漏。未按规定时间在离线投标工具上传解压密码，视为放弃投标。为避免网络问题造成邮件发送超时或失败，请投标人不要刻意卡时间发送，尽量提前发送邮件比较稳妥。</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 xml:space="preserve">   上传2.0系统的解压密码格式按下表制作：</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cs="Times New Roman"/>
          <w:b/>
          <w:bCs/>
          <w:color w:val="FF0000"/>
          <w:kern w:val="2"/>
          <w:sz w:val="32"/>
          <w:szCs w:val="32"/>
          <w:lang w:val="en-US" w:eastAsia="zh-CN" w:bidi="ar-SA"/>
        </w:rPr>
      </w:pPr>
      <w:r>
        <w:rPr>
          <w:rFonts w:hint="eastAsia" w:ascii="方正仿宋_GBK" w:hAnsi="方正仿宋_GBK" w:eastAsia="方正仿宋_GBK" w:cs="方正仿宋_GBK"/>
          <w:sz w:val="30"/>
          <w:szCs w:val="30"/>
          <w:lang w:val="en-US" w:eastAsia="zh-CN"/>
        </w:rPr>
        <w:t>（页面必须纵向设置。横向页面上传系统后的，显示不出密码）</w:t>
      </w:r>
    </w:p>
    <w:tbl>
      <w:tblPr>
        <w:tblStyle w:val="34"/>
        <w:tblW w:w="70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0" w:type="dxa"/>
          <w:bottom w:w="0" w:type="dxa"/>
          <w:right w:w="0" w:type="dxa"/>
        </w:tblCellMar>
      </w:tblPr>
      <w:tblGrid>
        <w:gridCol w:w="1352"/>
        <w:gridCol w:w="1352"/>
        <w:gridCol w:w="1352"/>
        <w:gridCol w:w="296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0" w:type="dxa"/>
            <w:bottom w:w="0" w:type="dxa"/>
            <w:right w:w="0" w:type="dxa"/>
          </w:tblCellMar>
        </w:tblPrEx>
        <w:trPr>
          <w:trHeight w:val="270" w:hRule="atLeast"/>
          <w:jc w:val="center"/>
        </w:trPr>
        <w:tc>
          <w:tcPr>
            <w:tcW w:w="1352" w:type="dxa"/>
            <w:tcBorders>
              <w:top w:val="single" w:color="auto" w:sz="4" w:space="0"/>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投标人名称</w:t>
            </w:r>
          </w:p>
        </w:tc>
        <w:tc>
          <w:tcPr>
            <w:tcW w:w="1352" w:type="dxa"/>
            <w:tcBorders>
              <w:top w:val="single" w:color="auto" w:sz="4" w:space="0"/>
              <w:left w:val="nil"/>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分标名称</w:t>
            </w:r>
          </w:p>
        </w:tc>
        <w:tc>
          <w:tcPr>
            <w:tcW w:w="1352" w:type="dxa"/>
            <w:tcBorders>
              <w:top w:val="single" w:color="auto" w:sz="4" w:space="0"/>
              <w:left w:val="nil"/>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包号</w:t>
            </w:r>
          </w:p>
        </w:tc>
        <w:tc>
          <w:tcPr>
            <w:tcW w:w="2960" w:type="dxa"/>
            <w:tcBorders>
              <w:top w:val="single" w:color="auto" w:sz="4" w:space="0"/>
              <w:left w:val="nil"/>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解压密码</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70" w:hRule="atLeast"/>
          <w:jc w:val="center"/>
        </w:trPr>
        <w:tc>
          <w:tcPr>
            <w:tcW w:w="1352" w:type="dxa"/>
            <w:tcBorders>
              <w:top w:val="nil"/>
              <w:left w:val="single" w:color="auto" w:sz="4" w:space="0"/>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　</w:t>
            </w:r>
          </w:p>
        </w:tc>
        <w:tc>
          <w:tcPr>
            <w:tcW w:w="1352" w:type="dxa"/>
            <w:tcBorders>
              <w:top w:val="nil"/>
              <w:left w:val="nil"/>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　</w:t>
            </w:r>
          </w:p>
        </w:tc>
        <w:tc>
          <w:tcPr>
            <w:tcW w:w="1352" w:type="dxa"/>
            <w:tcBorders>
              <w:top w:val="nil"/>
              <w:left w:val="nil"/>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22"/>
                <w:szCs w:val="22"/>
                <w:u w:val="none"/>
              </w:rPr>
            </w:pPr>
            <w:r>
              <w:rPr>
                <w:rFonts w:hint="eastAsia" w:ascii="宋体" w:hAnsi="宋体" w:eastAsia="宋体" w:cs="宋体"/>
                <w:b/>
                <w:i w:val="0"/>
                <w:color w:val="000000"/>
                <w:kern w:val="0"/>
                <w:sz w:val="22"/>
                <w:szCs w:val="22"/>
                <w:u w:val="none"/>
                <w:lang w:val="en-US" w:eastAsia="zh-CN" w:bidi="ar"/>
              </w:rPr>
              <w:t>　</w:t>
            </w:r>
          </w:p>
        </w:tc>
        <w:tc>
          <w:tcPr>
            <w:tcW w:w="2960" w:type="dxa"/>
            <w:tcBorders>
              <w:top w:val="nil"/>
              <w:left w:val="nil"/>
              <w:bottom w:val="single" w:color="auto" w:sz="4" w:space="0"/>
              <w:right w:val="single" w:color="auto" w:sz="4" w:space="0"/>
            </w:tcBorders>
            <w:shd w:val="clear" w:color="auto" w:fill="auto"/>
            <w:noWrap/>
            <w:tcMar>
              <w:top w:w="15" w:type="dxa"/>
              <w:left w:w="15" w:type="dxa"/>
              <w:right w:w="15" w:type="dxa"/>
            </w:tcMar>
            <w:vAlign w:val="center"/>
          </w:tcPr>
          <w:p>
            <w:pPr>
              <w:keepNext w:val="0"/>
              <w:keepLines w:val="0"/>
              <w:widowControl/>
              <w:suppressLineNumbers w:val="0"/>
              <w:ind w:left="0" w:leftChars="0" w:firstLine="0" w:firstLineChars="0"/>
              <w:jc w:val="center"/>
              <w:textAlignment w:val="center"/>
              <w:rPr>
                <w:rFonts w:hint="eastAsia" w:ascii="宋体" w:hAnsi="宋体" w:eastAsia="宋体" w:cs="宋体"/>
                <w:b/>
                <w:i w:val="0"/>
                <w:color w:val="000000"/>
                <w:sz w:val="22"/>
                <w:szCs w:val="22"/>
                <w:u w:val="none"/>
              </w:rPr>
            </w:pPr>
            <w:r>
              <w:rPr>
                <w:rFonts w:hint="eastAsia" w:ascii="宋体" w:hAnsi="宋体" w:cs="宋体"/>
                <w:b/>
                <w:i w:val="0"/>
                <w:color w:val="000000"/>
                <w:kern w:val="0"/>
                <w:sz w:val="22"/>
                <w:szCs w:val="22"/>
                <w:u w:val="none"/>
                <w:lang w:val="en-US" w:eastAsia="zh-CN" w:bidi="ar"/>
              </w:rPr>
              <w:t>自行设定（4位数字）</w:t>
            </w:r>
          </w:p>
        </w:tc>
      </w:tr>
    </w:tbl>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5.5</w:t>
      </w:r>
      <w:r>
        <w:rPr>
          <w:rFonts w:hint="eastAsia"/>
          <w:highlight w:val="none"/>
        </w:rPr>
        <w:t>特别提示：</w:t>
      </w:r>
      <w:r>
        <w:rPr>
          <w:rFonts w:hint="eastAsia"/>
          <w:highlight w:val="none"/>
          <w:lang w:val="en-US" w:eastAsia="zh-CN"/>
        </w:rPr>
        <w:t>本次投标必须</w:t>
      </w:r>
      <w:r>
        <w:rPr>
          <w:rFonts w:hint="eastAsia" w:ascii="Times New Roman" w:hAnsi="Times New Roman" w:cs="Times New Roman"/>
          <w:szCs w:val="21"/>
          <w:highlight w:val="none"/>
          <w:lang w:val="en-US" w:eastAsia="zh-CN"/>
        </w:rPr>
        <w:t>采用大文件上传网盘及发送邮件的形式进行递交，两者缺一按逾期未达处理，</w:t>
      </w:r>
      <w:r>
        <w:rPr>
          <w:rFonts w:hint="eastAsia"/>
          <w:highlight w:val="none"/>
        </w:rPr>
        <w:t>投标截止时间之前，逾期</w:t>
      </w:r>
      <w:r>
        <w:rPr>
          <w:rFonts w:hint="eastAsia"/>
          <w:highlight w:val="none"/>
          <w:lang w:val="en-US" w:eastAsia="zh-CN"/>
        </w:rPr>
        <w:t>未达</w:t>
      </w:r>
      <w:r>
        <w:rPr>
          <w:rFonts w:hint="eastAsia"/>
          <w:highlight w:val="none"/>
        </w:rPr>
        <w:t>的投标文件，招标人不予受理。不接受邮寄方式提交投标文件及投标文件的修改文件；不接受未按规定封装的投标文件及投标文件的修改文件。</w:t>
      </w:r>
    </w:p>
    <w:p>
      <w:pPr>
        <w:pStyle w:val="5"/>
        <w:spacing w:before="70"/>
        <w:ind w:right="-340" w:rightChars="0"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6.开标时间及地点</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6</w:t>
      </w:r>
      <w:r>
        <w:rPr>
          <w:rFonts w:hint="eastAsia" w:ascii="方正仿宋_GBK" w:hAnsi="方正仿宋_GBK" w:eastAsia="方正仿宋_GBK" w:cs="方正仿宋_GBK"/>
          <w:sz w:val="30"/>
          <w:szCs w:val="30"/>
          <w:lang w:eastAsia="zh-CN"/>
        </w:rPr>
        <w:t>.1开标时间：202</w:t>
      </w:r>
      <w:r>
        <w:rPr>
          <w:rFonts w:hint="eastAsia" w:ascii="方正仿宋_GBK" w:hAnsi="方正仿宋_GBK" w:eastAsia="方正仿宋_GBK" w:cs="方正仿宋_GBK"/>
          <w:sz w:val="30"/>
          <w:szCs w:val="30"/>
          <w:lang w:val="en-US" w:eastAsia="zh-CN"/>
        </w:rPr>
        <w:t>2</w:t>
      </w:r>
      <w:r>
        <w:rPr>
          <w:rFonts w:hint="eastAsia" w:ascii="方正仿宋_GBK" w:hAnsi="方正仿宋_GBK" w:eastAsia="方正仿宋_GBK" w:cs="方正仿宋_GBK"/>
          <w:sz w:val="30"/>
          <w:szCs w:val="30"/>
          <w:lang w:eastAsia="zh-CN"/>
        </w:rPr>
        <w:t>年</w:t>
      </w:r>
      <w:r>
        <w:rPr>
          <w:rFonts w:hint="eastAsia" w:cs="方正仿宋_GBK"/>
          <w:sz w:val="30"/>
          <w:szCs w:val="30"/>
          <w:lang w:val="en-US" w:eastAsia="zh-CN"/>
        </w:rPr>
        <w:t>11</w:t>
      </w:r>
      <w:r>
        <w:rPr>
          <w:rFonts w:hint="eastAsia" w:ascii="方正仿宋_GBK" w:hAnsi="方正仿宋_GBK" w:eastAsia="方正仿宋_GBK" w:cs="方正仿宋_GBK"/>
          <w:sz w:val="30"/>
          <w:szCs w:val="30"/>
          <w:lang w:eastAsia="zh-CN"/>
        </w:rPr>
        <w:t>月1</w:t>
      </w:r>
      <w:r>
        <w:rPr>
          <w:rFonts w:hint="eastAsia" w:cs="方正仿宋_GBK"/>
          <w:sz w:val="30"/>
          <w:szCs w:val="30"/>
          <w:lang w:val="en-US" w:eastAsia="zh-CN"/>
        </w:rPr>
        <w:t>5</w:t>
      </w:r>
      <w:r>
        <w:rPr>
          <w:rFonts w:hint="eastAsia" w:ascii="方正仿宋_GBK" w:hAnsi="方正仿宋_GBK" w:eastAsia="方正仿宋_GBK" w:cs="方正仿宋_GBK"/>
          <w:sz w:val="30"/>
          <w:szCs w:val="30"/>
          <w:lang w:eastAsia="zh-CN"/>
        </w:rPr>
        <w:t>日</w:t>
      </w:r>
      <w:r>
        <w:rPr>
          <w:rFonts w:hint="eastAsia" w:cs="方正仿宋_GBK"/>
          <w:sz w:val="30"/>
          <w:szCs w:val="30"/>
          <w:lang w:val="en-US" w:eastAsia="zh-CN"/>
        </w:rPr>
        <w:t>9</w:t>
      </w:r>
      <w:r>
        <w:rPr>
          <w:rFonts w:hint="eastAsia" w:ascii="方正仿宋_GBK" w:hAnsi="方正仿宋_GBK" w:eastAsia="方正仿宋_GBK" w:cs="方正仿宋_GBK"/>
          <w:sz w:val="30"/>
          <w:szCs w:val="30"/>
          <w:lang w:eastAsia="zh-CN"/>
        </w:rPr>
        <w:t>:00时整（北京时间）。</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6</w:t>
      </w:r>
      <w:r>
        <w:rPr>
          <w:rFonts w:hint="eastAsia" w:ascii="方正仿宋_GBK" w:hAnsi="方正仿宋_GBK" w:eastAsia="方正仿宋_GBK" w:cs="方正仿宋_GBK"/>
          <w:sz w:val="30"/>
          <w:szCs w:val="30"/>
          <w:lang w:eastAsia="zh-CN"/>
        </w:rPr>
        <w:t>.2开标地点：青海省西宁市生物科技产业园经四路12号国网青海电力招标代理有限公司五楼会议室。</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6</w:t>
      </w:r>
      <w:r>
        <w:rPr>
          <w:rFonts w:hint="eastAsia" w:ascii="方正仿宋_GBK" w:hAnsi="方正仿宋_GBK" w:eastAsia="方正仿宋_GBK" w:cs="方正仿宋_GBK"/>
          <w:sz w:val="30"/>
          <w:szCs w:val="30"/>
          <w:lang w:eastAsia="zh-CN"/>
        </w:rPr>
        <w:t>.3开标方式：采用网络直播方式进行开标（投标人代表无须现场参加开标会议，使用钉钉APP观看网络直播开标，开标会议二维码如下：）。</w:t>
      </w:r>
    </w:p>
    <w:p>
      <w:pPr>
        <w:pStyle w:val="3"/>
        <w:jc w:val="center"/>
        <w:rPr>
          <w:rFonts w:ascii="宋体" w:hAnsi="宋体"/>
          <w:color w:val="000000"/>
          <w:kern w:val="0"/>
          <w:sz w:val="20"/>
          <w:szCs w:val="20"/>
        </w:rPr>
      </w:pPr>
      <w:r>
        <w:rPr>
          <w:rFonts w:hint="default" w:ascii="方正仿宋_GBK" w:hAnsi="方正仿宋_GBK" w:eastAsia="方正仿宋_GBK" w:cs="方正仿宋_GBK"/>
          <w:sz w:val="30"/>
          <w:szCs w:val="30"/>
          <w:lang w:val="en-US" w:eastAsia="zh-CN"/>
        </w:rPr>
        <w:drawing>
          <wp:inline distT="0" distB="0" distL="114300" distR="114300">
            <wp:extent cx="2520315" cy="2613660"/>
            <wp:effectExtent l="0" t="0" r="13335" b="15240"/>
            <wp:docPr id="2" name="图片 2" descr="开标直播"/>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开标直播"/>
                    <pic:cNvPicPr>
                      <a:picLocks noChangeAspect="1"/>
                    </pic:cNvPicPr>
                  </pic:nvPicPr>
                  <pic:blipFill>
                    <a:blip r:embed="rId13"/>
                    <a:srcRect l="9413" t="14940" r="8940" b="30780"/>
                    <a:stretch>
                      <a:fillRect/>
                    </a:stretch>
                  </pic:blipFill>
                  <pic:spPr>
                    <a:xfrm>
                      <a:off x="0" y="0"/>
                      <a:ext cx="2520315" cy="2613660"/>
                    </a:xfrm>
                    <a:prstGeom prst="rect">
                      <a:avLst/>
                    </a:prstGeom>
                  </pic:spPr>
                </pic:pic>
              </a:graphicData>
            </a:graphic>
          </wp:inline>
        </w:drawing>
      </w:r>
    </w:p>
    <w:p>
      <w:pPr>
        <w:pStyle w:val="5"/>
        <w:spacing w:before="70"/>
        <w:ind w:right="-340" w:rightChars="0"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7.发布公告的媒介</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“中国招标投标公共服务平台”(http://www.cebpubservice.com/)、“国家电网公司新一代电子商务平台”(https://ecp.sgcc.com.cn/ecp2.0/portal/)、“青海项目信息网（</w:t>
      </w:r>
      <w:r>
        <w:rPr>
          <w:rFonts w:hint="eastAsia" w:ascii="方正仿宋_GBK" w:hAnsi="方正仿宋_GBK" w:eastAsia="方正仿宋_GBK" w:cs="方正仿宋_GBK"/>
          <w:sz w:val="30"/>
          <w:szCs w:val="30"/>
          <w:lang w:val="en-US" w:eastAsia="zh-CN"/>
        </w:rPr>
        <w:fldChar w:fldCharType="begin"/>
      </w:r>
      <w:r>
        <w:rPr>
          <w:rFonts w:hint="eastAsia" w:ascii="方正仿宋_GBK" w:hAnsi="方正仿宋_GBK" w:eastAsia="方正仿宋_GBK" w:cs="方正仿宋_GBK"/>
          <w:sz w:val="30"/>
          <w:szCs w:val="30"/>
          <w:lang w:val="en-US" w:eastAsia="zh-CN"/>
        </w:rPr>
        <w:instrText xml:space="preserve"> HYPERLINK "http://www.qhei.gov/" </w:instrText>
      </w:r>
      <w:r>
        <w:rPr>
          <w:rFonts w:hint="eastAsia" w:ascii="方正仿宋_GBK" w:hAnsi="方正仿宋_GBK" w:eastAsia="方正仿宋_GBK" w:cs="方正仿宋_GBK"/>
          <w:sz w:val="30"/>
          <w:szCs w:val="30"/>
          <w:lang w:val="en-US" w:eastAsia="zh-CN"/>
        </w:rPr>
        <w:fldChar w:fldCharType="separate"/>
      </w:r>
      <w:r>
        <w:rPr>
          <w:rFonts w:hint="eastAsia" w:ascii="方正仿宋_GBK" w:hAnsi="方正仿宋_GBK" w:eastAsia="方正仿宋_GBK" w:cs="方正仿宋_GBK"/>
          <w:sz w:val="30"/>
          <w:szCs w:val="30"/>
          <w:lang w:val="en-US" w:eastAsia="zh-CN"/>
        </w:rPr>
        <w:t>www.qhei.net.c</w:t>
      </w:r>
      <w:r>
        <w:rPr>
          <w:rFonts w:hint="eastAsia" w:ascii="方正仿宋_GBK" w:hAnsi="方正仿宋_GBK" w:eastAsia="方正仿宋_GBK" w:cs="方正仿宋_GBK"/>
          <w:sz w:val="30"/>
          <w:szCs w:val="30"/>
          <w:lang w:val="en-US" w:eastAsia="zh-CN"/>
        </w:rPr>
        <w:fldChar w:fldCharType="end"/>
      </w:r>
      <w:r>
        <w:rPr>
          <w:rFonts w:hint="eastAsia" w:ascii="方正仿宋_GBK" w:hAnsi="方正仿宋_GBK" w:eastAsia="方正仿宋_GBK" w:cs="方正仿宋_GBK"/>
          <w:sz w:val="30"/>
          <w:szCs w:val="30"/>
          <w:lang w:val="en-US" w:eastAsia="zh-CN"/>
        </w:rPr>
        <w:t>n）”。</w:t>
      </w:r>
    </w:p>
    <w:p>
      <w:pPr>
        <w:pStyle w:val="5"/>
        <w:spacing w:before="70"/>
        <w:ind w:right="-340" w:rightChars="0" w:firstLine="320" w:firstLineChars="100"/>
        <w:rPr>
          <w:rFonts w:hint="eastAsia" w:ascii="方正仿宋_GBK" w:hAnsi="方正仿宋_GBK" w:eastAsia="方正仿宋_GBK" w:cs="方正仿宋_GBK"/>
          <w:b/>
          <w:bCs w:val="0"/>
          <w:lang w:val="en-US" w:eastAsia="zh-CN"/>
        </w:rPr>
      </w:pPr>
      <w:r>
        <w:rPr>
          <w:rFonts w:hint="eastAsia" w:ascii="方正仿宋_GBK" w:hAnsi="方正仿宋_GBK" w:eastAsia="方正仿宋_GBK" w:cs="方正仿宋_GBK"/>
          <w:b/>
          <w:bCs w:val="0"/>
          <w:lang w:val="en-US" w:eastAsia="zh-CN"/>
        </w:rPr>
        <w:t>8.招标人、招标代理机构及投标人关于招标代理服务费的三方约定</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投标人如果投标即视为同意此约定。投标人要严格按照附件3提供的“三方约定”内容进行签订并提供在商务投标文件中。</w:t>
      </w:r>
    </w:p>
    <w:p>
      <w:pPr>
        <w:pStyle w:val="5"/>
        <w:spacing w:before="70"/>
        <w:ind w:right="-340" w:rightChars="0" w:firstLine="320" w:firstLineChars="100"/>
        <w:rPr>
          <w:rFonts w:hint="eastAsia" w:ascii="方正仿宋_GBK" w:hAnsi="方正仿宋_GBK" w:eastAsia="方正仿宋_GBK" w:cs="方正仿宋_GBK"/>
          <w:b/>
          <w:bCs w:val="0"/>
          <w:lang w:val="en-US" w:eastAsia="zh-CN"/>
        </w:rPr>
      </w:pPr>
      <w:r>
        <w:rPr>
          <w:rFonts w:hint="eastAsia" w:ascii="方正仿宋_GBK" w:hAnsi="方正仿宋_GBK" w:eastAsia="方正仿宋_GBK" w:cs="方正仿宋_GBK"/>
          <w:b/>
          <w:bCs w:val="0"/>
          <w:lang w:val="en-US" w:eastAsia="zh-CN"/>
        </w:rPr>
        <w:t>9.合规声明</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招标文件如果发生可能与法律条规、国家标准不相一致、不相符合的条款表述，其不一致、不符合之处一律无效，并以国家相应规定为准。</w:t>
      </w:r>
    </w:p>
    <w:p>
      <w:pPr>
        <w:pStyle w:val="5"/>
        <w:spacing w:before="70"/>
        <w:ind w:right="-340" w:rightChars="0" w:firstLine="320" w:firstLineChars="100"/>
        <w:rPr>
          <w:rFonts w:hint="eastAsia" w:ascii="方正仿宋_GBK" w:hAnsi="方正仿宋_GBK" w:eastAsia="方正仿宋_GBK" w:cs="方正仿宋_GBK"/>
          <w:b/>
          <w:bCs w:val="0"/>
          <w:lang w:val="en-US" w:eastAsia="zh-CN"/>
        </w:rPr>
      </w:pPr>
      <w:r>
        <w:rPr>
          <w:rFonts w:hint="eastAsia" w:ascii="方正仿宋_GBK" w:hAnsi="方正仿宋_GBK" w:eastAsia="方正仿宋_GBK" w:cs="方正仿宋_GBK"/>
          <w:b/>
          <w:bCs w:val="0"/>
          <w:lang w:val="en-US" w:eastAsia="zh-CN"/>
        </w:rPr>
        <w:t>10.其他事项</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10.1</w:t>
      </w:r>
      <w:r>
        <w:rPr>
          <w:rFonts w:hint="eastAsia" w:ascii="方正仿宋_GBK" w:hAnsi="方正仿宋_GBK" w:eastAsia="方正仿宋_GBK" w:cs="方正仿宋_GBK"/>
          <w:sz w:val="30"/>
          <w:szCs w:val="30"/>
          <w:lang w:eastAsia="zh-CN"/>
        </w:rPr>
        <w:t>如</w:t>
      </w:r>
      <w:r>
        <w:rPr>
          <w:rFonts w:hint="eastAsia" w:ascii="方正仿宋_GBK" w:hAnsi="方正仿宋_GBK" w:eastAsia="方正仿宋_GBK" w:cs="方正仿宋_GBK"/>
          <w:sz w:val="30"/>
          <w:szCs w:val="30"/>
          <w:lang w:val="en-US" w:eastAsia="zh-CN"/>
        </w:rPr>
        <w:t>招标文件中其他章节内容与本章内容有不一致的，以本章内容为准。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10.2由于青海地区对海拔有特殊要求，海拔及其他特殊要求，详见附件1:28220</w:t>
      </w:r>
      <w:r>
        <w:rPr>
          <w:rFonts w:hint="eastAsia" w:cs="方正仿宋_GBK"/>
          <w:sz w:val="30"/>
          <w:szCs w:val="30"/>
          <w:lang w:val="en-US" w:eastAsia="zh-CN"/>
        </w:rPr>
        <w:t>8</w:t>
      </w:r>
      <w:r>
        <w:rPr>
          <w:rFonts w:hint="eastAsia" w:ascii="方正仿宋_GBK" w:hAnsi="方正仿宋_GBK" w:eastAsia="方正仿宋_GBK" w:cs="方正仿宋_GBK"/>
          <w:sz w:val="30"/>
          <w:szCs w:val="30"/>
          <w:lang w:val="en-US" w:eastAsia="zh-CN"/>
        </w:rPr>
        <w:t>海拔修正及其他特殊要求。</w:t>
      </w:r>
    </w:p>
    <w:p>
      <w:pPr>
        <w:pStyle w:val="3"/>
        <w:jc w:val="center"/>
        <w:rPr>
          <w:rFonts w:hint="eastAsia"/>
          <w:lang w:val="en-US" w:eastAsia="zh-CN"/>
        </w:rPr>
      </w:pPr>
      <w:r>
        <w:rPr>
          <w:rFonts w:hint="eastAsia"/>
          <w:lang w:val="en-US" w:eastAsia="zh-CN"/>
        </w:rPr>
        <w:object>
          <v:shape id="_x0000_i1030" o:spt="75" type="#_x0000_t75" style="height:66pt;width:72.75pt;" o:ole="t" filled="f" o:preferrelative="t" stroked="f" coordsize="21600,21600">
            <v:path/>
            <v:fill on="f" focussize="0,0"/>
            <v:stroke on="f"/>
            <v:imagedata r:id="rId20" o:title=""/>
            <o:lock v:ext="edit" aspectratio="t"/>
            <w10:wrap type="none"/>
            <w10:anchorlock/>
          </v:shape>
          <o:OLEObject Type="Embed" ProgID="Excel.Sheet.12" ShapeID="_x0000_i1030" DrawAspect="Icon" ObjectID="_1468075730" r:id="rId19">
            <o:LockedField>false</o:LockedField>
          </o:OLEObject>
        </w:objec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10</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3</w:t>
      </w:r>
      <w:r>
        <w:rPr>
          <w:rFonts w:hint="eastAsia" w:ascii="方正仿宋_GBK" w:hAnsi="方正仿宋_GBK" w:eastAsia="方正仿宋_GBK" w:cs="方正仿宋_GBK"/>
          <w:sz w:val="30"/>
          <w:szCs w:val="30"/>
          <w:lang w:eastAsia="zh-CN"/>
        </w:rPr>
        <w:t xml:space="preserve"> 同一包内同型号货物的投标单价应一致，否则其投标将被否决。</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10</w:t>
      </w:r>
      <w:r>
        <w:rPr>
          <w:rFonts w:hint="eastAsia" w:ascii="方正仿宋_GBK" w:hAnsi="方正仿宋_GBK" w:eastAsia="方正仿宋_GBK" w:cs="方正仿宋_GBK"/>
          <w:sz w:val="30"/>
          <w:szCs w:val="30"/>
          <w:lang w:eastAsia="zh-CN"/>
        </w:rPr>
        <w:t>.</w:t>
      </w:r>
      <w:r>
        <w:rPr>
          <w:rFonts w:hint="eastAsia" w:ascii="方正仿宋_GBK" w:hAnsi="方正仿宋_GBK" w:eastAsia="方正仿宋_GBK" w:cs="方正仿宋_GBK"/>
          <w:sz w:val="30"/>
          <w:szCs w:val="30"/>
          <w:lang w:val="en-US" w:eastAsia="zh-CN"/>
        </w:rPr>
        <w:t>4</w:t>
      </w:r>
      <w:r>
        <w:rPr>
          <w:rFonts w:hint="eastAsia" w:ascii="方正仿宋_GBK" w:hAnsi="方正仿宋_GBK" w:eastAsia="方正仿宋_GBK" w:cs="方正仿宋_GBK"/>
          <w:sz w:val="30"/>
          <w:szCs w:val="30"/>
          <w:lang w:eastAsia="zh-CN"/>
        </w:rPr>
        <w:t>本批协议库存均按数量（金额）划分标包，本次招标的协议库存需求为全省范围内预估需求计划，标包的项目地区不代表最终协议库存订单执行的地区，最终以订单执行实际下达的项目地区为准。报价中的运距由供应商根据青海实际地域情况自行测算。</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10.5关于实物ID的相关要求遵照《国网公司2021年电网资产统一身份编码物联网标签制作安装指导手册（增量分册)》执行。供应商在设备出厂前完成实物“ID”标签和“IFID”电子标签的制作与安装，并在ECP系统中录入物资技术参数等数据，</w:t>
      </w:r>
      <w:r>
        <w:rPr>
          <w:rFonts w:hint="eastAsia" w:ascii="方正仿宋_GBK" w:hAnsi="方正仿宋_GBK" w:eastAsia="方正仿宋_GBK" w:cs="方正仿宋_GBK"/>
          <w:sz w:val="30"/>
          <w:szCs w:val="30"/>
          <w:lang w:val="en-US" w:eastAsia="zh-CN"/>
        </w:rPr>
        <w:fldChar w:fldCharType="begin"/>
      </w:r>
      <w:r>
        <w:rPr>
          <w:rFonts w:hint="eastAsia" w:ascii="方正仿宋_GBK" w:hAnsi="方正仿宋_GBK" w:eastAsia="方正仿宋_GBK" w:cs="方正仿宋_GBK"/>
          <w:sz w:val="30"/>
          <w:szCs w:val="30"/>
          <w:lang w:val="en-US" w:eastAsia="zh-CN"/>
        </w:rPr>
        <w:instrText xml:space="preserve"> HYPERLINK "http://10.215.27.48:8080/QHPPWEB/info/images/gwqhsdlgswzgs_gwqhzbyxgs_/hytzggb/ggb/2022/03/04/041719027E0CE19B04A295D1249E22E9B1728D3C.xlsx" \t "http://10.215.27.48:8080/QHPPWEB/info/gwqhsdlgswzgs_gwqhzbyxgs_/hytzggb/ggb/2022/3/_blank" </w:instrText>
      </w:r>
      <w:r>
        <w:rPr>
          <w:rFonts w:hint="eastAsia" w:ascii="方正仿宋_GBK" w:hAnsi="方正仿宋_GBK" w:eastAsia="方正仿宋_GBK" w:cs="方正仿宋_GBK"/>
          <w:sz w:val="30"/>
          <w:szCs w:val="30"/>
          <w:lang w:val="en-US" w:eastAsia="zh-CN"/>
        </w:rPr>
        <w:fldChar w:fldCharType="separate"/>
      </w:r>
      <w:r>
        <w:rPr>
          <w:rFonts w:hint="eastAsia" w:ascii="方正仿宋_GBK" w:hAnsi="方正仿宋_GBK" w:eastAsia="方正仿宋_GBK" w:cs="方正仿宋_GBK"/>
          <w:sz w:val="30"/>
          <w:szCs w:val="30"/>
          <w:lang w:val="en-US" w:eastAsia="zh-CN"/>
        </w:rPr>
        <w:t>安装物资范围《实物ID安装的物资范围》清单执行</w:t>
      </w:r>
      <w:r>
        <w:rPr>
          <w:rFonts w:hint="eastAsia" w:ascii="方正仿宋_GBK" w:hAnsi="方正仿宋_GBK" w:eastAsia="方正仿宋_GBK" w:cs="方正仿宋_GBK"/>
          <w:sz w:val="30"/>
          <w:szCs w:val="30"/>
          <w:lang w:val="en-US" w:eastAsia="zh-CN"/>
        </w:rPr>
        <w:fldChar w:fldCharType="end"/>
      </w:r>
      <w:r>
        <w:rPr>
          <w:rFonts w:hint="eastAsia" w:ascii="方正仿宋_GBK" w:hAnsi="方正仿宋_GBK" w:eastAsia="方正仿宋_GBK" w:cs="方正仿宋_GBK"/>
          <w:sz w:val="30"/>
          <w:szCs w:val="30"/>
          <w:lang w:val="en-US" w:eastAsia="zh-CN"/>
        </w:rPr>
        <w:t>。（同一类设备在RFID标签选型时，选大不选小，如10kV及以上充气柜RFID标签可选用C型或D型，基于RFID选大不选小原则，要求供应商按照C型标签制作。）</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国网公司2021年电网资产统一身份编码物联网标签制作安装指导手册（增量分册)》和《实物ID安装的物资范围》清单在国家电网新一代电子商务平台，网址（https://ecp.sgcc.com.cn/ecp2.0/portal/）公共信息中请以2022年3月10日发布的为准。</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10.6档案移交的要求</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10.6.1中标人应根据国网公司档案管理办法、国网青海省电力公司档案管理有关规定，按照甲方要求，提供项目档案归档所需的厂家资料，并负责或配合项目实施方有关单位完成相关档案资料的整理及归档工作。</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10.6.2中标人应以档案级光盘或硬磁盘形式提供符合档案要求的电子版，所有文字材料为“双层PDF”格式，各类设备图纸为“DWF矢量图”格式，同时确保电子、纸质文件内容一致。</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10.6.3根据省公司要求凡涉及330kV、750kV工程项目中标人需补充完整纸质投标文件，所有档案资料要求内容准确、格式规范、齐全完整、字迹清晰、印章齐全有效，符合档案原始记录性、有机联系性和长久保存要求。</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10.7若合同中包含配电变压器、隔离开关、交流避雷器、高压开关柜、箱式变电站、环网柜、柱上开关、电容器、电流互感器、电压互感器、低压综合配电箱（JP柜）、电缆分支箱、绝缘子产品，招标人在每个供货自然年度内，需对前述抽检到的产品进行一次破坏性试验，对其产品造成损坏的，中标人需无偿更换与损坏数量相等的同类产品，并自行取回损坏产品。</w:t>
      </w:r>
    </w:p>
    <w:p>
      <w:pPr>
        <w:pStyle w:val="5"/>
        <w:spacing w:before="70"/>
        <w:ind w:right="-340" w:rightChars="0" w:firstLine="320" w:firstLineChars="100"/>
        <w:rPr>
          <w:rFonts w:hint="default" w:ascii="方正仿宋_GBK" w:hAnsi="方正仿宋_GBK" w:eastAsia="方正仿宋_GBK" w:cs="方正仿宋_GBK"/>
          <w:b/>
          <w:bCs w:val="0"/>
          <w:lang w:val="en-US" w:eastAsia="zh-CN"/>
        </w:rPr>
      </w:pPr>
      <w:r>
        <w:rPr>
          <w:rFonts w:hint="eastAsia" w:ascii="方正仿宋_GBK" w:hAnsi="方正仿宋_GBK" w:eastAsia="方正仿宋_GBK" w:cs="方正仿宋_GBK"/>
          <w:b/>
          <w:bCs w:val="0"/>
          <w:lang w:val="en-US" w:eastAsia="zh-CN"/>
        </w:rPr>
        <w:t>11评标办法</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.1评标办法</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.1.1采用综合评估法，分技术、商务、价格三个部分分别进行量化评审，每个部分满分均为100分，并按以下权重合计计算最终量化评审得分。</w:t>
      </w:r>
    </w:p>
    <w:tbl>
      <w:tblPr>
        <w:tblStyle w:val="34"/>
        <w:tblW w:w="8932" w:type="dxa"/>
        <w:jc w:val="center"/>
        <w:tblLayout w:type="fixed"/>
        <w:tblCellMar>
          <w:top w:w="15" w:type="dxa"/>
          <w:left w:w="15" w:type="dxa"/>
          <w:bottom w:w="15" w:type="dxa"/>
          <w:right w:w="15" w:type="dxa"/>
        </w:tblCellMar>
      </w:tblPr>
      <w:tblGrid>
        <w:gridCol w:w="572"/>
        <w:gridCol w:w="2227"/>
        <w:gridCol w:w="4007"/>
        <w:gridCol w:w="708"/>
        <w:gridCol w:w="709"/>
        <w:gridCol w:w="709"/>
      </w:tblGrid>
      <w:tr>
        <w:tblPrEx>
          <w:tblCellMar>
            <w:top w:w="15" w:type="dxa"/>
            <w:left w:w="15" w:type="dxa"/>
            <w:bottom w:w="15" w:type="dxa"/>
            <w:right w:w="15" w:type="dxa"/>
          </w:tblCellMar>
        </w:tblPrEx>
        <w:trPr>
          <w:trHeight w:val="286" w:hRule="atLeast"/>
          <w:jc w:val="center"/>
        </w:trPr>
        <w:tc>
          <w:tcPr>
            <w:tcW w:w="572" w:type="dxa"/>
            <w:vMerge w:val="restart"/>
            <w:tcBorders>
              <w:top w:val="single" w:color="000000" w:sz="4" w:space="0"/>
              <w:left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序号</w:t>
            </w:r>
          </w:p>
        </w:tc>
        <w:tc>
          <w:tcPr>
            <w:tcW w:w="2227" w:type="dxa"/>
            <w:vMerge w:val="restart"/>
            <w:tcBorders>
              <w:top w:val="single" w:color="000000" w:sz="4" w:space="0"/>
              <w:left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分标编号</w:t>
            </w:r>
          </w:p>
        </w:tc>
        <w:tc>
          <w:tcPr>
            <w:tcW w:w="4007" w:type="dxa"/>
            <w:vMerge w:val="restart"/>
            <w:tcBorders>
              <w:top w:val="single" w:color="000000" w:sz="4" w:space="0"/>
              <w:left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分标名称</w:t>
            </w:r>
          </w:p>
        </w:tc>
        <w:tc>
          <w:tcPr>
            <w:tcW w:w="2126" w:type="dxa"/>
            <w:gridSpan w:val="3"/>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权重设置（%）</w:t>
            </w:r>
          </w:p>
        </w:tc>
      </w:tr>
      <w:tr>
        <w:tblPrEx>
          <w:tblCellMar>
            <w:top w:w="15" w:type="dxa"/>
            <w:left w:w="15" w:type="dxa"/>
            <w:bottom w:w="15" w:type="dxa"/>
            <w:right w:w="15" w:type="dxa"/>
          </w:tblCellMar>
        </w:tblPrEx>
        <w:trPr>
          <w:trHeight w:val="286" w:hRule="atLeast"/>
          <w:jc w:val="center"/>
        </w:trPr>
        <w:tc>
          <w:tcPr>
            <w:tcW w:w="572" w:type="dxa"/>
            <w:vMerge w:val="continue"/>
            <w:tcBorders>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p>
        </w:tc>
        <w:tc>
          <w:tcPr>
            <w:tcW w:w="2227" w:type="dxa"/>
            <w:vMerge w:val="continue"/>
            <w:tcBorders>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p>
        </w:tc>
        <w:tc>
          <w:tcPr>
            <w:tcW w:w="4007" w:type="dxa"/>
            <w:vMerge w:val="continue"/>
            <w:tcBorders>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技术</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商务</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价格</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282207-1001002-9999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10kV变压器</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40</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282207-1001012-0001</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箱式变电站</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40</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3</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282207-1020001-9999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交流避雷器</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40</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282207-1022001-0001</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高压熔断器</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40</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282207-1035001-9999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10kV柱上变压器台成套设备</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40</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6</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282207-1035004-0001</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一二次融合成套环网箱</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40</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7</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282207-1035006-0001</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一二次融合成套柱上断路器</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40</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8</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282207-1010001-0002</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交流三相隔离开关</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40</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9</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282207-1016008-9999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配电箱</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40</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282207-1106018-9999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电能计量箱</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40</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282207-1107007-0002</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配电终端(DTU)</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40</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12</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282207-1304049-0001</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接地短路故障指示器</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50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40</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13</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282207-1402004-9999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钢绞线及钢芯铝绞线</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14</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282207-1402005-0001</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10kV架空绝缘导线</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15</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282207-1402005-0002</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1kV架空绝缘导线</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16</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282207-1404001-9999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电力电缆</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17</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282207-1404002-9999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低压电力电缆</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18</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282207-1408000-9999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电缆附件</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19</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282207-1408007-9999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电缆分支箱</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20</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282207-1408006-9999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电缆保护管</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21</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282207-1406032-9999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铁构件</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22</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282207-1407000-9999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金具</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23</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282207-1401001-9999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钢管杆（桩）</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24</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282207-1401002-0001</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锥形水泥杆（非预应力）</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25</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282207-1401002-0002</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锥形水泥杆（部分预应力）</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26</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282207-1405015-9999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蝶式绝缘子</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27</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282207-1405022-9999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针式瓷绝缘子</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282207-1405025-9999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交流盘形悬式瓷绝缘子</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29</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282207-1405033-9999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交流棒形悬式复合绝缘子</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r>
        <w:tblPrEx>
          <w:tblCellMar>
            <w:top w:w="15" w:type="dxa"/>
            <w:left w:w="15" w:type="dxa"/>
            <w:bottom w:w="15" w:type="dxa"/>
            <w:right w:w="15" w:type="dxa"/>
          </w:tblCellMar>
        </w:tblPrEx>
        <w:trPr>
          <w:trHeight w:val="286" w:hRule="atLeast"/>
          <w:jc w:val="center"/>
        </w:trPr>
        <w:tc>
          <w:tcPr>
            <w:tcW w:w="572"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30</w:t>
            </w:r>
          </w:p>
        </w:tc>
        <w:tc>
          <w:tcPr>
            <w:tcW w:w="222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default"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282207-1405037-9999</w:t>
            </w:r>
          </w:p>
        </w:tc>
        <w:tc>
          <w:tcPr>
            <w:tcW w:w="4007"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线路柱式瓷绝缘子</w:t>
            </w:r>
          </w:p>
        </w:tc>
        <w:tc>
          <w:tcPr>
            <w:tcW w:w="708"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10</w:t>
            </w:r>
          </w:p>
        </w:tc>
        <w:tc>
          <w:tcPr>
            <w:tcW w:w="709" w:type="dxa"/>
            <w:tcBorders>
              <w:top w:val="single" w:color="000000" w:sz="4" w:space="0"/>
              <w:left w:val="single" w:color="000000" w:sz="4" w:space="0"/>
              <w:bottom w:val="single" w:color="000000" w:sz="4" w:space="0"/>
              <w:right w:val="single" w:color="000000" w:sz="4" w:space="0"/>
            </w:tcBorders>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45</w:t>
            </w:r>
          </w:p>
        </w:tc>
      </w:tr>
    </w:tbl>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.1.2 价格评审办法采用区间平均价浮动法，计算方法详见第三章评标办法</w:t>
      </w:r>
      <w:r>
        <w:rPr>
          <w:rFonts w:hint="eastAsia" w:ascii="方正仿宋_GBK" w:hAnsi="方正仿宋_GBK" w:eastAsia="方正仿宋_GBK" w:cs="方正仿宋_GBK"/>
          <w:sz w:val="30"/>
          <w:szCs w:val="30"/>
          <w:lang w:val="en-US" w:eastAsia="zh-CN"/>
        </w:rPr>
        <w:t>2.2.2条。</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.1.3区间平均价浮动法参数设置，若公告中评标办法与第三章评标办法前附表之一有差别，以投标邀请书为准。</w:t>
      </w:r>
    </w:p>
    <w:p>
      <w:pPr>
        <w:pStyle w:val="2"/>
        <w:rPr>
          <w:rFonts w:hint="eastAsia"/>
          <w:lang w:eastAsia="zh-CN"/>
        </w:rPr>
      </w:pPr>
    </w:p>
    <w:tbl>
      <w:tblPr>
        <w:tblStyle w:val="34"/>
        <w:tblW w:w="9448" w:type="dxa"/>
        <w:jc w:val="center"/>
        <w:tblBorders>
          <w:top w:val="double" w:color="auto" w:sz="4" w:space="0"/>
          <w:left w:val="none" w:color="auto" w:sz="0" w:space="0"/>
          <w:bottom w:val="double" w:color="auto" w:sz="4" w:space="0"/>
          <w:right w:val="none" w:color="auto" w:sz="0" w:space="0"/>
          <w:insideH w:val="single" w:color="auto" w:sz="4" w:space="0"/>
          <w:insideV w:val="single" w:color="auto" w:sz="4" w:space="0"/>
        </w:tblBorders>
        <w:tblLayout w:type="fixed"/>
        <w:tblCellMar>
          <w:top w:w="0" w:type="dxa"/>
          <w:left w:w="108" w:type="dxa"/>
          <w:bottom w:w="0" w:type="dxa"/>
          <w:right w:w="108" w:type="dxa"/>
        </w:tblCellMar>
      </w:tblPr>
      <w:tblGrid>
        <w:gridCol w:w="793"/>
        <w:gridCol w:w="3058"/>
        <w:gridCol w:w="1841"/>
        <w:gridCol w:w="2470"/>
        <w:gridCol w:w="611"/>
        <w:gridCol w:w="675"/>
      </w:tblGrid>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793" w:type="dxa"/>
            <w:vMerge w:val="restart"/>
            <w:tcBorders>
              <w:top w:val="double" w:color="auto" w:sz="4" w:space="0"/>
            </w:tcBorders>
            <w:vAlign w:val="center"/>
          </w:tcPr>
          <w:p>
            <w:pPr>
              <w:widowControl/>
              <w:ind w:left="0" w:leftChars="0" w:firstLine="0" w:firstLineChars="0"/>
              <w:jc w:val="center"/>
              <w:rPr>
                <w:rFonts w:hint="eastAsia" w:ascii="宋体" w:hAnsi="宋体" w:eastAsia="宋体" w:cs="宋体"/>
                <w:b/>
                <w:sz w:val="18"/>
                <w:szCs w:val="18"/>
              </w:rPr>
            </w:pPr>
            <w:r>
              <w:rPr>
                <w:rFonts w:hint="eastAsia" w:ascii="宋体" w:hAnsi="宋体" w:eastAsia="宋体" w:cs="宋体"/>
                <w:b/>
                <w:sz w:val="18"/>
                <w:szCs w:val="18"/>
              </w:rPr>
              <w:t>序号</w:t>
            </w:r>
          </w:p>
        </w:tc>
        <w:tc>
          <w:tcPr>
            <w:tcW w:w="3058" w:type="dxa"/>
            <w:vMerge w:val="restart"/>
            <w:tcBorders>
              <w:top w:val="double" w:color="auto" w:sz="4" w:space="0"/>
            </w:tcBorders>
            <w:vAlign w:val="center"/>
          </w:tcPr>
          <w:p>
            <w:pPr>
              <w:widowControl/>
              <w:jc w:val="center"/>
              <w:rPr>
                <w:rFonts w:hint="eastAsia" w:ascii="宋体" w:hAnsi="宋体" w:eastAsia="宋体" w:cs="宋体"/>
                <w:b/>
                <w:sz w:val="18"/>
                <w:szCs w:val="18"/>
                <w:lang w:eastAsia="zh-CN"/>
              </w:rPr>
            </w:pPr>
            <w:r>
              <w:rPr>
                <w:rFonts w:hint="eastAsia" w:ascii="宋体" w:hAnsi="宋体" w:eastAsia="宋体" w:cs="宋体"/>
                <w:b/>
                <w:sz w:val="18"/>
                <w:szCs w:val="18"/>
                <w:lang w:eastAsia="zh-CN"/>
              </w:rPr>
              <w:t>分标名称</w:t>
            </w:r>
          </w:p>
        </w:tc>
        <w:tc>
          <w:tcPr>
            <w:tcW w:w="1841" w:type="dxa"/>
            <w:vMerge w:val="restart"/>
            <w:tcBorders>
              <w:top w:val="double" w:color="auto" w:sz="4" w:space="0"/>
            </w:tcBorders>
            <w:vAlign w:val="center"/>
          </w:tcPr>
          <w:p>
            <w:pPr>
              <w:widowControl/>
              <w:jc w:val="both"/>
              <w:rPr>
                <w:rFonts w:hint="eastAsia" w:ascii="宋体" w:hAnsi="宋体" w:eastAsia="宋体" w:cs="宋体"/>
                <w:b/>
                <w:sz w:val="18"/>
                <w:szCs w:val="18"/>
              </w:rPr>
            </w:pPr>
            <w:r>
              <w:rPr>
                <w:rFonts w:hint="eastAsia" w:ascii="宋体" w:hAnsi="宋体" w:eastAsia="宋体" w:cs="宋体"/>
                <w:b/>
                <w:sz w:val="18"/>
                <w:szCs w:val="18"/>
              </w:rPr>
              <w:t>价格公式</w:t>
            </w:r>
          </w:p>
        </w:tc>
        <w:tc>
          <w:tcPr>
            <w:tcW w:w="3756" w:type="dxa"/>
            <w:gridSpan w:val="3"/>
            <w:tcBorders>
              <w:top w:val="double" w:color="auto" w:sz="4" w:space="0"/>
            </w:tcBorders>
            <w:vAlign w:val="center"/>
          </w:tcPr>
          <w:p>
            <w:pPr>
              <w:widowControl/>
              <w:jc w:val="center"/>
              <w:rPr>
                <w:rFonts w:hint="eastAsia" w:ascii="宋体" w:hAnsi="宋体" w:eastAsia="宋体" w:cs="宋体"/>
                <w:b/>
                <w:sz w:val="18"/>
                <w:szCs w:val="18"/>
              </w:rPr>
            </w:pPr>
            <w:r>
              <w:rPr>
                <w:rFonts w:hint="eastAsia" w:ascii="宋体" w:hAnsi="宋体" w:eastAsia="宋体" w:cs="宋体"/>
                <w:b/>
                <w:sz w:val="18"/>
                <w:szCs w:val="18"/>
              </w:rPr>
              <w:t>参数</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315" w:hRule="atLeast"/>
          <w:tblHeader/>
          <w:jc w:val="center"/>
        </w:trPr>
        <w:tc>
          <w:tcPr>
            <w:tcW w:w="793" w:type="dxa"/>
            <w:vMerge w:val="continue"/>
            <w:vAlign w:val="center"/>
          </w:tcPr>
          <w:p>
            <w:pPr>
              <w:widowControl/>
              <w:jc w:val="center"/>
              <w:rPr>
                <w:rFonts w:hint="eastAsia" w:ascii="宋体" w:hAnsi="宋体" w:eastAsia="宋体" w:cs="宋体"/>
                <w:b/>
                <w:sz w:val="18"/>
                <w:szCs w:val="18"/>
              </w:rPr>
            </w:pPr>
          </w:p>
        </w:tc>
        <w:tc>
          <w:tcPr>
            <w:tcW w:w="3058" w:type="dxa"/>
            <w:vMerge w:val="continue"/>
            <w:vAlign w:val="center"/>
          </w:tcPr>
          <w:p>
            <w:pPr>
              <w:widowControl/>
              <w:jc w:val="center"/>
              <w:rPr>
                <w:rFonts w:hint="eastAsia" w:ascii="宋体" w:hAnsi="宋体" w:eastAsia="宋体" w:cs="宋体"/>
                <w:b/>
                <w:sz w:val="18"/>
                <w:szCs w:val="18"/>
              </w:rPr>
            </w:pPr>
          </w:p>
        </w:tc>
        <w:tc>
          <w:tcPr>
            <w:tcW w:w="1841" w:type="dxa"/>
            <w:vMerge w:val="continue"/>
            <w:vAlign w:val="center"/>
          </w:tcPr>
          <w:p>
            <w:pPr>
              <w:widowControl/>
              <w:jc w:val="center"/>
              <w:rPr>
                <w:rFonts w:hint="eastAsia" w:ascii="宋体" w:hAnsi="宋体" w:eastAsia="宋体" w:cs="宋体"/>
                <w:b/>
                <w:sz w:val="18"/>
                <w:szCs w:val="18"/>
              </w:rPr>
            </w:pPr>
          </w:p>
        </w:tc>
        <w:tc>
          <w:tcPr>
            <w:tcW w:w="2470" w:type="dxa"/>
            <w:vAlign w:val="center"/>
          </w:tcPr>
          <w:p>
            <w:pPr>
              <w:adjustRightInd w:val="0"/>
              <w:snapToGrid w:val="0"/>
              <w:jc w:val="center"/>
              <w:rPr>
                <w:rFonts w:hint="eastAsia" w:ascii="宋体" w:hAnsi="宋体" w:eastAsia="宋体" w:cs="宋体"/>
                <w:b/>
                <w:sz w:val="18"/>
                <w:szCs w:val="18"/>
                <w:lang w:eastAsia="zh-CN"/>
              </w:rPr>
            </w:pPr>
            <w:r>
              <w:rPr>
                <w:rFonts w:hint="eastAsia" w:ascii="宋体" w:hAnsi="宋体" w:eastAsia="宋体" w:cs="宋体"/>
                <w:b/>
                <w:sz w:val="18"/>
                <w:szCs w:val="18"/>
                <w:lang w:eastAsia="zh-CN"/>
              </w:rPr>
              <w:t>C值抽取范围</w:t>
            </w:r>
          </w:p>
          <w:p>
            <w:pPr>
              <w:widowControl/>
              <w:jc w:val="center"/>
              <w:rPr>
                <w:rFonts w:hint="eastAsia" w:ascii="宋体" w:hAnsi="宋体" w:eastAsia="宋体" w:cs="宋体"/>
                <w:b/>
                <w:sz w:val="18"/>
                <w:szCs w:val="18"/>
                <w:lang w:eastAsia="zh-CN"/>
              </w:rPr>
            </w:pPr>
            <w:r>
              <w:rPr>
                <w:rFonts w:hint="eastAsia" w:ascii="宋体" w:hAnsi="宋体" w:eastAsia="宋体" w:cs="宋体"/>
                <w:b/>
                <w:sz w:val="18"/>
                <w:szCs w:val="18"/>
                <w:lang w:eastAsia="zh-CN"/>
              </w:rPr>
              <w:t>（级差为</w:t>
            </w:r>
            <w:r>
              <w:rPr>
                <w:rFonts w:hint="eastAsia" w:ascii="宋体" w:hAnsi="宋体" w:eastAsia="宋体" w:cs="宋体"/>
                <w:b/>
                <w:i/>
                <w:sz w:val="18"/>
                <w:szCs w:val="18"/>
                <w:u w:val="single"/>
                <w:lang w:eastAsia="zh-CN"/>
              </w:rPr>
              <w:t>0.25</w:t>
            </w:r>
            <w:r>
              <w:rPr>
                <w:rFonts w:hint="eastAsia" w:ascii="宋体" w:hAnsi="宋体" w:eastAsia="宋体" w:cs="宋体"/>
                <w:b/>
                <w:i/>
                <w:sz w:val="18"/>
                <w:szCs w:val="18"/>
                <w:u w:val="single"/>
                <w:lang w:val="en-US" w:eastAsia="zh-CN"/>
              </w:rPr>
              <w:t xml:space="preserve"> </w:t>
            </w:r>
            <w:r>
              <w:rPr>
                <w:rFonts w:hint="eastAsia" w:ascii="宋体" w:hAnsi="宋体" w:eastAsia="宋体" w:cs="宋体"/>
                <w:b/>
                <w:sz w:val="18"/>
                <w:szCs w:val="18"/>
                <w:lang w:eastAsia="zh-CN"/>
              </w:rPr>
              <w:t>%）</w:t>
            </w:r>
          </w:p>
        </w:tc>
        <w:tc>
          <w:tcPr>
            <w:tcW w:w="611" w:type="dxa"/>
            <w:vAlign w:val="center"/>
          </w:tcPr>
          <w:p>
            <w:pPr>
              <w:widowControl/>
              <w:ind w:left="0" w:leftChars="0" w:firstLine="0" w:firstLineChars="0"/>
              <w:jc w:val="center"/>
              <w:rPr>
                <w:rFonts w:hint="eastAsia" w:ascii="宋体" w:hAnsi="宋体" w:eastAsia="宋体" w:cs="宋体"/>
                <w:b/>
                <w:sz w:val="18"/>
                <w:szCs w:val="18"/>
              </w:rPr>
            </w:pPr>
            <w:r>
              <w:rPr>
                <w:rFonts w:hint="eastAsia" w:ascii="宋体" w:hAnsi="宋体" w:eastAsia="宋体" w:cs="宋体"/>
                <w:b/>
                <w:sz w:val="18"/>
                <w:szCs w:val="18"/>
              </w:rPr>
              <w:t>n1</w:t>
            </w:r>
          </w:p>
        </w:tc>
        <w:tc>
          <w:tcPr>
            <w:tcW w:w="675" w:type="dxa"/>
            <w:vAlign w:val="center"/>
          </w:tcPr>
          <w:p>
            <w:pPr>
              <w:widowControl/>
              <w:ind w:left="0" w:leftChars="0" w:firstLine="0" w:firstLineChars="0"/>
              <w:jc w:val="center"/>
              <w:rPr>
                <w:rFonts w:hint="eastAsia" w:ascii="宋体" w:hAnsi="宋体" w:eastAsia="宋体" w:cs="宋体"/>
                <w:b/>
                <w:sz w:val="18"/>
                <w:szCs w:val="18"/>
              </w:rPr>
            </w:pPr>
            <w:r>
              <w:rPr>
                <w:rFonts w:hint="eastAsia" w:ascii="宋体" w:hAnsi="宋体" w:eastAsia="宋体" w:cs="宋体"/>
                <w:b/>
                <w:sz w:val="18"/>
                <w:szCs w:val="18"/>
              </w:rPr>
              <w:t>n2</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1</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rPr>
            </w:pPr>
            <w:r>
              <w:rPr>
                <w:rFonts w:hint="eastAsia" w:asciiTheme="minorEastAsia" w:hAnsiTheme="minorEastAsia" w:eastAsiaTheme="minorEastAsia" w:cstheme="minorEastAsia"/>
                <w:b w:val="0"/>
                <w:bCs/>
                <w:sz w:val="18"/>
                <w:szCs w:val="18"/>
                <w:lang w:val="en-US" w:eastAsia="zh-CN"/>
              </w:rPr>
              <w:t>10kV变压器</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2</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箱式变电站</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3</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交流避雷器</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4</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高压熔断器</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5</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10kV柱上变压器台成套设备</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6</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一二次融合成套环网箱</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7</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一二次融合成套柱上断路器</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8</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交流三相隔离开关</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9</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配电箱</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10</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电能计量箱</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11</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配电终端(DTU)</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12</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接地短路故障指示器</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13</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钢绞线及钢芯铝绞线</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14</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10kV架空绝缘导线</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15</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1kV架空绝缘导线</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16</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电力电缆</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17</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低压电力电缆</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18</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电缆附件</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19</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电缆分支箱</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20</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电缆保护管</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21</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铁构件</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22</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金具</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23</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钢管杆（桩）</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24</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锥形水泥杆（非预应力）</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25</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锥形水泥杆（部分预应力）</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26</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蝶式绝缘子</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27</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针式瓷绝缘子</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28</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交流盘形悬式瓷绝缘子</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29</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交流棒形悬式复合绝缘子</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r>
        <w:tblPrEx>
          <w:tblBorders>
            <w:top w:val="double" w:color="auto" w:sz="4" w:space="0"/>
            <w:left w:val="none" w:color="auto" w:sz="0" w:space="0"/>
            <w:bottom w:val="double" w:color="auto" w:sz="4" w:space="0"/>
            <w:right w:val="none" w:color="auto" w:sz="0" w:space="0"/>
            <w:insideH w:val="single" w:color="auto" w:sz="4" w:space="0"/>
            <w:insideV w:val="single" w:color="auto" w:sz="4" w:space="0"/>
          </w:tblBorders>
          <w:tblCellMar>
            <w:top w:w="0" w:type="dxa"/>
            <w:left w:w="108" w:type="dxa"/>
            <w:bottom w:w="0" w:type="dxa"/>
            <w:right w:w="108" w:type="dxa"/>
          </w:tblCellMar>
        </w:tblPrEx>
        <w:trPr>
          <w:cantSplit/>
          <w:trHeight w:val="290" w:hRule="atLeast"/>
          <w:jc w:val="center"/>
        </w:trPr>
        <w:tc>
          <w:tcPr>
            <w:tcW w:w="793" w:type="dxa"/>
            <w:shd w:val="clear" w:color="auto" w:fill="auto"/>
            <w:vAlign w:val="center"/>
          </w:tcPr>
          <w:p>
            <w:pPr>
              <w:adjustRightInd w:val="0"/>
              <w:snapToGrid w:val="0"/>
              <w:ind w:left="0" w:leftChars="0" w:firstLine="0" w:firstLineChars="0"/>
              <w:jc w:val="center"/>
              <w:rPr>
                <w:rFonts w:hint="eastAsia" w:ascii="宋体" w:hAnsi="宋体" w:eastAsia="宋体" w:cs="宋体"/>
                <w:sz w:val="18"/>
                <w:szCs w:val="18"/>
                <w:highlight w:val="none"/>
                <w:lang w:eastAsia="zh-CN"/>
              </w:rPr>
            </w:pPr>
            <w:r>
              <w:rPr>
                <w:rFonts w:hint="eastAsia" w:asciiTheme="minorEastAsia" w:hAnsiTheme="minorEastAsia" w:eastAsiaTheme="minorEastAsia" w:cstheme="minorEastAsia"/>
                <w:b w:val="0"/>
                <w:bCs/>
                <w:sz w:val="18"/>
                <w:szCs w:val="18"/>
                <w:lang w:val="en-US" w:eastAsia="zh-CN"/>
              </w:rPr>
              <w:t>30</w:t>
            </w:r>
          </w:p>
        </w:tc>
        <w:tc>
          <w:tcPr>
            <w:tcW w:w="3058" w:type="dxa"/>
            <w:shd w:val="clear" w:color="auto" w:fill="auto"/>
            <w:vAlign w:val="center"/>
          </w:tcPr>
          <w:p>
            <w:pPr>
              <w:adjustRightInd w:val="0"/>
              <w:snapToGrid w:val="0"/>
              <w:ind w:left="0" w:leftChars="0" w:firstLine="0" w:firstLineChars="0"/>
              <w:jc w:val="center"/>
              <w:rPr>
                <w:rFonts w:hint="eastAsia" w:ascii="宋体" w:hAnsi="宋体" w:eastAsia="宋体" w:cs="宋体"/>
                <w:bCs/>
                <w:sz w:val="18"/>
                <w:szCs w:val="18"/>
                <w:highlight w:val="none"/>
                <w:lang w:val="en-US" w:eastAsia="zh-CN"/>
              </w:rPr>
            </w:pPr>
            <w:r>
              <w:rPr>
                <w:rFonts w:hint="eastAsia" w:asciiTheme="minorEastAsia" w:hAnsiTheme="minorEastAsia" w:eastAsiaTheme="minorEastAsia" w:cstheme="minorEastAsia"/>
                <w:b w:val="0"/>
                <w:bCs/>
                <w:sz w:val="18"/>
                <w:szCs w:val="18"/>
                <w:lang w:val="en-US" w:eastAsia="zh-CN"/>
              </w:rPr>
              <w:t>线路柱式瓷绝缘子</w:t>
            </w:r>
          </w:p>
        </w:tc>
        <w:tc>
          <w:tcPr>
            <w:tcW w:w="1841" w:type="dxa"/>
            <w:shd w:val="clear" w:color="auto" w:fill="auto"/>
            <w:vAlign w:val="center"/>
          </w:tcPr>
          <w:p>
            <w:pPr>
              <w:widowControl/>
              <w:ind w:left="0" w:leftChars="0" w:firstLine="0" w:firstLineChars="0"/>
              <w:jc w:val="center"/>
              <w:rPr>
                <w:rFonts w:hint="eastAsia" w:ascii="宋体" w:hAnsi="宋体" w:eastAsia="宋体" w:cs="宋体"/>
                <w:sz w:val="18"/>
                <w:szCs w:val="18"/>
                <w:highlight w:val="none"/>
              </w:rPr>
            </w:pPr>
            <w:r>
              <w:rPr>
                <w:rFonts w:hint="eastAsia" w:ascii="宋体" w:hAnsi="宋体" w:eastAsia="宋体" w:cs="宋体"/>
                <w:sz w:val="18"/>
                <w:szCs w:val="18"/>
                <w:highlight w:val="none"/>
              </w:rPr>
              <w:t>区间平均价浮动法</w:t>
            </w:r>
          </w:p>
        </w:tc>
        <w:tc>
          <w:tcPr>
            <w:tcW w:w="2470"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[1%，-1%]（含本数）</w:t>
            </w:r>
          </w:p>
        </w:tc>
        <w:tc>
          <w:tcPr>
            <w:tcW w:w="611"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c>
          <w:tcPr>
            <w:tcW w:w="675" w:type="dxa"/>
            <w:shd w:val="clear" w:color="auto" w:fill="auto"/>
            <w:vAlign w:val="center"/>
          </w:tcPr>
          <w:p>
            <w:pPr>
              <w:adjustRightInd w:val="0"/>
              <w:snapToGrid w:val="0"/>
              <w:ind w:left="0" w:leftChars="0" w:firstLine="0" w:firstLineChars="0"/>
              <w:jc w:val="center"/>
              <w:rPr>
                <w:rFonts w:hint="eastAsia" w:asciiTheme="minorEastAsia" w:hAnsiTheme="minorEastAsia" w:eastAsiaTheme="minorEastAsia" w:cstheme="minorEastAsia"/>
                <w:b w:val="0"/>
                <w:bCs/>
                <w:sz w:val="18"/>
                <w:szCs w:val="18"/>
                <w:lang w:val="en-US" w:eastAsia="zh-CN"/>
              </w:rPr>
            </w:pPr>
            <w:r>
              <w:rPr>
                <w:rFonts w:hint="eastAsia" w:asciiTheme="minorEastAsia" w:hAnsiTheme="minorEastAsia" w:eastAsiaTheme="minorEastAsia" w:cstheme="minorEastAsia"/>
                <w:b w:val="0"/>
                <w:bCs/>
                <w:sz w:val="18"/>
                <w:szCs w:val="18"/>
                <w:lang w:val="en-US" w:eastAsia="zh-CN"/>
              </w:rPr>
              <w:t>1</w:t>
            </w:r>
          </w:p>
        </w:tc>
      </w:tr>
    </w:tbl>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.1.4本次招标项目不设定最高限价。</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w:t>
      </w:r>
      <w:r>
        <w:rPr>
          <w:rFonts w:hint="eastAsia" w:ascii="方正仿宋_GBK" w:hAnsi="方正仿宋_GBK" w:eastAsia="方正仿宋_GBK" w:cs="方正仿宋_GBK"/>
          <w:sz w:val="30"/>
          <w:szCs w:val="30"/>
          <w:lang w:eastAsia="zh-CN"/>
        </w:rPr>
        <w:t>.1.5授标原则：</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评标委员会推荐中标次序按同一分标下，综合评价得分排序从高到低的投标人顺序进行；综合评分相等时，以技术得分高的优先；技术得分也相等的，以投标报价低的优先；如果投标报价也相等，由招标人自行确定。</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eastAsia="zh-CN"/>
        </w:rPr>
      </w:pPr>
      <w:r>
        <w:rPr>
          <w:rFonts w:hint="eastAsia" w:ascii="方正仿宋_GBK" w:hAnsi="方正仿宋_GBK" w:eastAsia="方正仿宋_GBK" w:cs="方正仿宋_GBK"/>
          <w:sz w:val="30"/>
          <w:szCs w:val="30"/>
          <w:lang w:val="en-US" w:eastAsia="zh-CN"/>
        </w:rPr>
        <w:t>11.1.5.1</w:t>
      </w:r>
      <w:r>
        <w:rPr>
          <w:rFonts w:hint="eastAsia" w:ascii="方正仿宋_GBK" w:hAnsi="方正仿宋_GBK" w:eastAsia="方正仿宋_GBK" w:cs="方正仿宋_GBK"/>
          <w:sz w:val="30"/>
          <w:szCs w:val="30"/>
          <w:lang w:eastAsia="zh-CN"/>
        </w:rPr>
        <w:t>本次各分标中每个投标人在同一分标中被授予的标包数量总计不超过</w:t>
      </w:r>
      <w:r>
        <w:rPr>
          <w:rFonts w:hint="eastAsia" w:ascii="方正仿宋_GBK" w:hAnsi="方正仿宋_GBK" w:eastAsia="方正仿宋_GBK" w:cs="方正仿宋_GBK"/>
          <w:sz w:val="30"/>
          <w:szCs w:val="30"/>
          <w:lang w:val="en-US" w:eastAsia="zh-CN"/>
        </w:rPr>
        <w:t>1</w:t>
      </w:r>
      <w:r>
        <w:rPr>
          <w:rFonts w:hint="eastAsia" w:ascii="方正仿宋_GBK" w:hAnsi="方正仿宋_GBK" w:eastAsia="方正仿宋_GBK" w:cs="方正仿宋_GBK"/>
          <w:sz w:val="30"/>
          <w:szCs w:val="30"/>
          <w:lang w:eastAsia="zh-CN"/>
        </w:rPr>
        <w:t>个包。</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11.1.5.2当某一分标全部进入详评的投标人的中标标包数量超过条款11.1.5.1规定的限额时，该包授予综合得分最高的投标人。</w:t>
      </w:r>
    </w:p>
    <w:p>
      <w:pPr>
        <w:pStyle w:val="5"/>
        <w:spacing w:before="70"/>
        <w:ind w:right="-340" w:rightChars="0" w:firstLine="320" w:firstLineChars="100"/>
        <w:rPr>
          <w:rFonts w:hint="eastAsia" w:ascii="方正仿宋_GBK" w:hAnsi="方正仿宋_GBK" w:eastAsia="方正仿宋_GBK" w:cs="方正仿宋_GBK"/>
          <w:b/>
          <w:bCs w:val="0"/>
          <w:lang w:val="en-US" w:eastAsia="zh-CN"/>
        </w:rPr>
      </w:pPr>
      <w:r>
        <w:rPr>
          <w:rFonts w:hint="eastAsia" w:ascii="方正仿宋_GBK" w:hAnsi="方正仿宋_GBK" w:eastAsia="方正仿宋_GBK" w:cs="方正仿宋_GBK"/>
          <w:b/>
          <w:bCs w:val="0"/>
          <w:lang w:val="en-US" w:eastAsia="zh-CN"/>
        </w:rPr>
        <w:t>12.联系方式</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招标代理机构：国网青海电力招标代理有限公司</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eastAsia"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地址：青海省西宁市城北区生物科技产业园经四路12号</w:t>
      </w:r>
    </w:p>
    <w:p>
      <w:pPr>
        <w:keepNext w:val="0"/>
        <w:keepLines w:val="0"/>
        <w:pageBreakBefore w:val="0"/>
        <w:widowControl w:val="0"/>
        <w:tabs>
          <w:tab w:val="left" w:pos="620"/>
        </w:tabs>
        <w:kinsoku/>
        <w:wordWrap/>
        <w:overflowPunct/>
        <w:topLinePunct w:val="0"/>
        <w:autoSpaceDE/>
        <w:autoSpaceDN/>
        <w:bidi w:val="0"/>
        <w:adjustRightInd/>
        <w:snapToGrid/>
        <w:spacing w:line="240" w:lineRule="auto"/>
        <w:ind w:left="640" w:leftChars="200" w:firstLine="600" w:firstLineChars="200"/>
        <w:textAlignment w:val="auto"/>
        <w:rPr>
          <w:rFonts w:hint="default" w:ascii="方正仿宋_GBK" w:hAnsi="方正仿宋_GBK" w:eastAsia="方正仿宋_GBK" w:cs="方正仿宋_GBK"/>
          <w:sz w:val="30"/>
          <w:szCs w:val="30"/>
          <w:lang w:val="en-US" w:eastAsia="zh-CN"/>
        </w:rPr>
      </w:pPr>
      <w:r>
        <w:rPr>
          <w:rFonts w:hint="eastAsia" w:ascii="方正仿宋_GBK" w:hAnsi="方正仿宋_GBK" w:eastAsia="方正仿宋_GBK" w:cs="方正仿宋_GBK"/>
          <w:sz w:val="30"/>
          <w:szCs w:val="30"/>
          <w:lang w:val="en-US" w:eastAsia="zh-CN"/>
        </w:rPr>
        <w:t>联系人：</w:t>
      </w:r>
      <w:r>
        <w:rPr>
          <w:rFonts w:hint="eastAsia" w:cs="方正仿宋_GBK"/>
          <w:sz w:val="30"/>
          <w:szCs w:val="30"/>
          <w:lang w:val="en-US" w:eastAsia="zh-CN"/>
        </w:rPr>
        <w:t>裴</w:t>
      </w:r>
      <w:r>
        <w:rPr>
          <w:rFonts w:hint="eastAsia" w:ascii="方正仿宋_GBK" w:hAnsi="方正仿宋_GBK" w:eastAsia="方正仿宋_GBK" w:cs="方正仿宋_GBK"/>
          <w:sz w:val="30"/>
          <w:szCs w:val="30"/>
          <w:lang w:val="en-US" w:eastAsia="zh-CN"/>
        </w:rPr>
        <w:t>经理： 0971-6076</w:t>
      </w:r>
      <w:r>
        <w:rPr>
          <w:rFonts w:hint="eastAsia" w:cs="方正仿宋_GBK"/>
          <w:sz w:val="30"/>
          <w:szCs w:val="30"/>
          <w:lang w:val="en-US" w:eastAsia="zh-CN"/>
        </w:rPr>
        <w:t>825</w:t>
      </w:r>
      <w:r>
        <w:rPr>
          <w:rFonts w:hint="eastAsia" w:ascii="方正仿宋_GBK" w:hAnsi="方正仿宋_GBK" w:eastAsia="方正仿宋_GBK" w:cs="方正仿宋_GBK"/>
          <w:sz w:val="30"/>
          <w:szCs w:val="30"/>
          <w:lang w:val="en-US" w:eastAsia="zh-CN"/>
        </w:rPr>
        <w:t xml:space="preserve">   康经理：0971-60767</w:t>
      </w:r>
      <w:r>
        <w:rPr>
          <w:rFonts w:hint="eastAsia" w:cs="方正仿宋_GBK"/>
          <w:sz w:val="30"/>
          <w:szCs w:val="30"/>
          <w:lang w:val="en-US" w:eastAsia="zh-CN"/>
        </w:rPr>
        <w:t>90</w:t>
      </w:r>
    </w:p>
    <w:p>
      <w:pPr>
        <w:bidi w:val="0"/>
        <w:rPr>
          <w:rFonts w:hint="eastAsia"/>
        </w:rPr>
      </w:pPr>
    </w:p>
    <w:p>
      <w:pPr>
        <w:bidi w:val="0"/>
        <w:jc w:val="right"/>
        <w:rPr>
          <w:rFonts w:hint="eastAsia"/>
        </w:rPr>
      </w:pPr>
      <w:r>
        <w:rPr>
          <w:rFonts w:hint="eastAsia"/>
        </w:rPr>
        <w:t>国网青海电力招标代理有限公司</w:t>
      </w:r>
    </w:p>
    <w:p>
      <w:pPr>
        <w:bidi w:val="0"/>
        <w:jc w:val="right"/>
        <w:rPr>
          <w:rFonts w:hint="eastAsia" w:ascii="方正仿宋_GBK" w:hAnsi="方正仿宋_GBK" w:eastAsia="方正仿宋_GBK" w:cs="方正仿宋_GBK"/>
          <w:color w:val="auto"/>
          <w:szCs w:val="32"/>
          <w:highlight w:val="yellow"/>
          <w:lang w:eastAsia="zh-CN"/>
        </w:rPr>
      </w:pPr>
      <w:r>
        <w:rPr>
          <w:rFonts w:hint="eastAsia"/>
          <w:lang w:val="en-US" w:eastAsia="zh-CN"/>
        </w:rPr>
        <w:t xml:space="preserve">   </w:t>
      </w:r>
      <w:r>
        <w:rPr>
          <w:rFonts w:hint="eastAsia"/>
          <w:highlight w:val="yellow"/>
          <w:lang w:eastAsia="zh-CN"/>
        </w:rPr>
        <w:t>二〇二</w:t>
      </w:r>
      <w:r>
        <w:rPr>
          <w:rFonts w:hint="eastAsia"/>
          <w:highlight w:val="yellow"/>
          <w:lang w:val="en-US" w:eastAsia="zh-CN"/>
        </w:rPr>
        <w:t>二</w:t>
      </w:r>
      <w:r>
        <w:rPr>
          <w:rFonts w:hint="eastAsia"/>
          <w:highlight w:val="yellow"/>
          <w:lang w:eastAsia="zh-CN"/>
        </w:rPr>
        <w:t>年</w:t>
      </w:r>
      <w:r>
        <w:rPr>
          <w:rFonts w:hint="eastAsia"/>
          <w:highlight w:val="yellow"/>
          <w:lang w:val="en-US" w:eastAsia="zh-CN"/>
        </w:rPr>
        <w:t>十</w:t>
      </w:r>
      <w:r>
        <w:rPr>
          <w:rFonts w:hint="eastAsia"/>
          <w:highlight w:val="yellow"/>
          <w:lang w:eastAsia="zh-CN"/>
        </w:rPr>
        <w:t>月二十</w:t>
      </w:r>
      <w:r>
        <w:rPr>
          <w:rFonts w:hint="eastAsia"/>
          <w:highlight w:val="yellow"/>
          <w:lang w:val="en-US" w:eastAsia="zh-CN"/>
        </w:rPr>
        <w:t>五</w:t>
      </w:r>
      <w:r>
        <w:rPr>
          <w:rFonts w:hint="eastAsia"/>
          <w:highlight w:val="yellow"/>
          <w:lang w:eastAsia="zh-CN"/>
        </w:rPr>
        <w:t>日</w:t>
      </w:r>
    </w:p>
    <w:bookmarkEnd w:id="13"/>
    <w:p>
      <w:pPr>
        <w:jc w:val="center"/>
        <w:rPr>
          <w:rFonts w:hint="eastAsia" w:ascii="Times New Roman" w:hAnsi="Times New Roman" w:cs="Times New Roman"/>
          <w:color w:val="auto"/>
          <w:highlight w:val="yellow"/>
          <w:lang w:eastAsia="zh-CN"/>
        </w:rPr>
      </w:pPr>
    </w:p>
    <w:p>
      <w:pPr>
        <w:bidi w:val="0"/>
        <w:jc w:val="right"/>
        <w:rPr>
          <w:rFonts w:hint="eastAsia"/>
          <w:lang w:eastAsia="zh-CN"/>
        </w:rPr>
      </w:pPr>
    </w:p>
    <w:p>
      <w:pPr>
        <w:rPr>
          <w:rFonts w:hint="eastAsia" w:ascii="Times New Roman" w:hAnsi="Times New Roman" w:cs="Times New Roman"/>
          <w:color w:val="auto"/>
          <w:highlight w:val="none"/>
          <w:lang w:eastAsia="zh-CN"/>
        </w:rPr>
      </w:pPr>
      <w:r>
        <w:rPr>
          <w:rFonts w:hint="eastAsia" w:ascii="Times New Roman" w:hAnsi="Times New Roman" w:cs="Times New Roman"/>
          <w:color w:val="auto"/>
          <w:highlight w:val="none"/>
          <w:lang w:eastAsia="zh-CN"/>
        </w:rPr>
        <w:br w:type="page"/>
      </w:r>
    </w:p>
    <w:p>
      <w:pPr>
        <w:pStyle w:val="5"/>
        <w:spacing w:before="70"/>
        <w:ind w:right="-340" w:rightChars="0" w:firstLine="320" w:firstLineChars="100"/>
        <w:rPr>
          <w:rFonts w:hint="eastAsia" w:ascii="方正仿宋_GBK" w:hAnsi="方正仿宋_GBK" w:eastAsia="方正仿宋_GBK" w:cs="方正仿宋_GBK"/>
          <w:b/>
          <w:bCs w:val="0"/>
          <w:lang w:eastAsia="zh-CN"/>
        </w:rPr>
      </w:pPr>
      <w:r>
        <w:rPr>
          <w:rFonts w:hint="eastAsia" w:ascii="方正仿宋_GBK" w:hAnsi="方正仿宋_GBK" w:eastAsia="方正仿宋_GBK" w:cs="方正仿宋_GBK"/>
          <w:b/>
          <w:bCs w:val="0"/>
          <w:lang w:eastAsia="zh-CN"/>
        </w:rPr>
        <w:t>附件</w:t>
      </w:r>
      <w:r>
        <w:rPr>
          <w:rFonts w:hint="eastAsia" w:ascii="方正仿宋_GBK" w:hAnsi="方正仿宋_GBK" w:eastAsia="方正仿宋_GBK" w:cs="方正仿宋_GBK"/>
          <w:b/>
          <w:bCs w:val="0"/>
          <w:lang w:val="en-US" w:eastAsia="zh-CN"/>
        </w:rPr>
        <w:t>3</w:t>
      </w:r>
      <w:r>
        <w:rPr>
          <w:rFonts w:hint="eastAsia" w:ascii="方正仿宋_GBK" w:hAnsi="方正仿宋_GBK" w:eastAsia="方正仿宋_GBK" w:cs="方正仿宋_GBK"/>
          <w:b/>
          <w:bCs w:val="0"/>
          <w:lang w:eastAsia="zh-CN"/>
        </w:rPr>
        <w:t>：招标人、招标代理机构及投标人关于招标代理服务费的三方约定</w:t>
      </w:r>
    </w:p>
    <w:p>
      <w:pPr>
        <w:autoSpaceDE w:val="0"/>
        <w:autoSpaceDN w:val="0"/>
        <w:adjustRightInd w:val="0"/>
        <w:snapToGrid w:val="0"/>
        <w:rPr>
          <w:rFonts w:hint="eastAsia" w:ascii="方正仿宋_GBK" w:hAnsi="方正仿宋_GBK" w:eastAsia="方正仿宋_GBK" w:cs="方正仿宋_GBK"/>
          <w:b/>
          <w:color w:val="FF0000"/>
          <w:sz w:val="32"/>
          <w:szCs w:val="32"/>
        </w:rPr>
      </w:pPr>
      <w:r>
        <w:rPr>
          <w:rFonts w:hint="eastAsia" w:ascii="方正仿宋_GBK" w:hAnsi="方正仿宋_GBK" w:eastAsia="方正仿宋_GBK" w:cs="方正仿宋_GBK"/>
          <w:b/>
          <w:color w:val="FF0000"/>
          <w:sz w:val="32"/>
          <w:szCs w:val="32"/>
        </w:rPr>
        <w:t>招标人、招标代理机构与投标人三方约定</w:t>
      </w:r>
    </w:p>
    <w:p>
      <w:pPr>
        <w:pStyle w:val="134"/>
        <w:spacing w:line="400" w:lineRule="exact"/>
        <w:ind w:firstLine="640" w:firstLineChars="200"/>
        <w:rPr>
          <w:rFonts w:hint="eastAsia" w:ascii="方正仿宋_GBK" w:hAnsi="方正仿宋_GBK" w:eastAsia="方正仿宋_GBK" w:cs="方正仿宋_GBK"/>
          <w:b/>
          <w:bCs/>
          <w:color w:val="FF0000"/>
          <w:sz w:val="32"/>
          <w:szCs w:val="32"/>
          <w:lang w:eastAsia="zh-CN"/>
        </w:rPr>
      </w:pPr>
      <w:r>
        <w:rPr>
          <w:rFonts w:hint="eastAsia" w:ascii="方正仿宋_GBK" w:hAnsi="方正仿宋_GBK" w:eastAsia="方正仿宋_GBK" w:cs="方正仿宋_GBK"/>
          <w:color w:val="FF0000"/>
          <w:sz w:val="32"/>
          <w:szCs w:val="32"/>
        </w:rPr>
        <w:t>▲要求为原件由</w:t>
      </w:r>
      <w:r>
        <w:rPr>
          <w:rFonts w:hint="eastAsia" w:ascii="方正仿宋_GBK" w:hAnsi="方正仿宋_GBK" w:eastAsia="方正仿宋_GBK" w:cs="方正仿宋_GBK"/>
          <w:color w:val="FF0000"/>
          <w:sz w:val="32"/>
          <w:szCs w:val="32"/>
          <w:lang w:eastAsia="zh-CN"/>
        </w:rPr>
        <w:t>法定代表人或其委托代理人</w:t>
      </w:r>
      <w:r>
        <w:rPr>
          <w:rFonts w:hint="eastAsia" w:ascii="方正仿宋_GBK" w:hAnsi="方正仿宋_GBK" w:eastAsia="方正仿宋_GBK" w:cs="方正仿宋_GBK"/>
          <w:color w:val="FF0000"/>
          <w:sz w:val="32"/>
          <w:szCs w:val="32"/>
        </w:rPr>
        <w:t>签字</w:t>
      </w:r>
      <w:r>
        <w:rPr>
          <w:rFonts w:hint="eastAsia" w:ascii="方正仿宋_GBK" w:hAnsi="方正仿宋_GBK" w:eastAsia="方正仿宋_GBK" w:cs="方正仿宋_GBK"/>
          <w:color w:val="FF0000"/>
          <w:sz w:val="32"/>
          <w:szCs w:val="32"/>
          <w:lang w:eastAsia="zh-CN"/>
        </w:rPr>
        <w:t>、</w:t>
      </w:r>
      <w:r>
        <w:rPr>
          <w:rFonts w:hint="eastAsia" w:ascii="方正仿宋_GBK" w:hAnsi="方正仿宋_GBK" w:eastAsia="方正仿宋_GBK" w:cs="方正仿宋_GBK"/>
          <w:color w:val="FF0000"/>
          <w:sz w:val="32"/>
          <w:szCs w:val="32"/>
        </w:rPr>
        <w:t>加盖单位公章后，附在商务投标文件中。</w:t>
      </w:r>
    </w:p>
    <w:tbl>
      <w:tblPr>
        <w:tblStyle w:val="34"/>
        <w:tblW w:w="826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6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269" w:type="dxa"/>
          </w:tcPr>
          <w:p>
            <w:pPr>
              <w:pStyle w:val="135"/>
              <w:spacing w:line="360" w:lineRule="auto"/>
              <w:rPr>
                <w:rFonts w:hint="eastAsia" w:ascii="宋体" w:hAnsi="宋体" w:eastAsia="宋体" w:cs="宋体"/>
                <w:b/>
                <w:bCs/>
                <w:sz w:val="20"/>
                <w:szCs w:val="20"/>
              </w:rPr>
            </w:pPr>
          </w:p>
          <w:p>
            <w:pPr>
              <w:pStyle w:val="135"/>
              <w:spacing w:line="360" w:lineRule="auto"/>
              <w:jc w:val="center"/>
              <w:rPr>
                <w:rFonts w:hint="eastAsia" w:ascii="宋体" w:hAnsi="宋体" w:eastAsia="宋体" w:cs="宋体"/>
                <w:b/>
                <w:sz w:val="20"/>
                <w:szCs w:val="20"/>
              </w:rPr>
            </w:pPr>
            <w:r>
              <w:rPr>
                <w:rFonts w:hint="eastAsia" w:ascii="宋体" w:hAnsi="宋体" w:eastAsia="宋体" w:cs="宋体"/>
                <w:b/>
                <w:bCs/>
                <w:sz w:val="20"/>
                <w:szCs w:val="20"/>
              </w:rPr>
              <w:t>招标人、招标代理机构与投标人三方约定</w:t>
            </w:r>
          </w:p>
          <w:p>
            <w:pPr>
              <w:pStyle w:val="135"/>
              <w:rPr>
                <w:rFonts w:hint="eastAsia" w:ascii="宋体" w:hAnsi="宋体" w:eastAsia="宋体" w:cs="宋体"/>
                <w:sz w:val="20"/>
                <w:szCs w:val="20"/>
              </w:rPr>
            </w:pPr>
          </w:p>
          <w:p>
            <w:pPr>
              <w:pStyle w:val="135"/>
              <w:rPr>
                <w:rFonts w:hint="eastAsia" w:ascii="宋体" w:hAnsi="宋体" w:eastAsia="宋体" w:cs="宋体"/>
                <w:sz w:val="20"/>
                <w:szCs w:val="20"/>
              </w:rPr>
            </w:pPr>
          </w:p>
          <w:p>
            <w:pPr>
              <w:pStyle w:val="135"/>
              <w:rPr>
                <w:rFonts w:hint="eastAsia" w:ascii="宋体" w:hAnsi="宋体" w:eastAsia="宋体" w:cs="宋体"/>
                <w:sz w:val="20"/>
                <w:szCs w:val="20"/>
              </w:rPr>
            </w:pPr>
          </w:p>
          <w:p>
            <w:pPr>
              <w:pStyle w:val="136"/>
              <w:spacing w:line="360" w:lineRule="auto"/>
              <w:ind w:firstLine="400" w:firstLineChars="200"/>
              <w:rPr>
                <w:rFonts w:hint="eastAsia" w:ascii="宋体" w:hAnsi="宋体" w:eastAsia="宋体" w:cs="宋体"/>
                <w:sz w:val="20"/>
                <w:szCs w:val="20"/>
              </w:rPr>
            </w:pPr>
            <w:r>
              <w:rPr>
                <w:rFonts w:hint="eastAsia" w:ascii="宋体" w:hAnsi="宋体" w:eastAsia="宋体" w:cs="宋体"/>
                <w:sz w:val="20"/>
                <w:szCs w:val="20"/>
              </w:rPr>
              <w:t>根据中国招标投标协会《关于贯彻&lt;国家发展改革委关于进一步放开建设项目专业服务价格的通知（发改价格【2015】299号）的指导意见&gt;》（中招协【2015】026号），本次招标，招标人、招标代理机构与投标人约定如下：招标代理服务费用包含在投标人的投标总报价中，由招标人随合同款支付给中标人。投标人中标后向招标代理机构支付招标代理服务费用。</w:t>
            </w:r>
          </w:p>
          <w:p>
            <w:pPr>
              <w:pStyle w:val="136"/>
              <w:spacing w:line="360" w:lineRule="auto"/>
              <w:rPr>
                <w:rFonts w:hint="eastAsia" w:ascii="宋体" w:hAnsi="宋体" w:eastAsia="宋体" w:cs="宋体"/>
                <w:kern w:val="2"/>
                <w:sz w:val="20"/>
                <w:szCs w:val="20"/>
              </w:rPr>
            </w:pPr>
            <w:r>
              <w:rPr>
                <w:rFonts w:hint="eastAsia" w:ascii="宋体" w:hAnsi="宋体" w:eastAsia="宋体" w:cs="宋体"/>
                <w:kern w:val="2"/>
                <w:sz w:val="20"/>
                <w:szCs w:val="20"/>
              </w:rPr>
              <w:t xml:space="preserve">                            </w:t>
            </w:r>
            <w:r>
              <w:rPr>
                <w:rFonts w:hint="eastAsia" w:ascii="宋体" w:hAnsi="宋体" w:eastAsia="宋体" w:cs="宋体"/>
                <w:sz w:val="20"/>
                <w:szCs w:val="20"/>
              </w:rPr>
              <w:t>法定代表人或其委托代理人签字</w:t>
            </w:r>
            <w:r>
              <w:rPr>
                <w:rFonts w:hint="eastAsia" w:ascii="宋体" w:hAnsi="宋体" w:eastAsia="宋体" w:cs="宋体"/>
                <w:kern w:val="2"/>
                <w:sz w:val="20"/>
                <w:szCs w:val="20"/>
              </w:rPr>
              <w:t>：</w:t>
            </w:r>
          </w:p>
          <w:p>
            <w:pPr>
              <w:pStyle w:val="136"/>
              <w:spacing w:line="360" w:lineRule="auto"/>
              <w:rPr>
                <w:rFonts w:hint="eastAsia" w:ascii="宋体" w:hAnsi="宋体" w:eastAsia="宋体" w:cs="宋体"/>
                <w:kern w:val="2"/>
                <w:sz w:val="20"/>
                <w:szCs w:val="20"/>
              </w:rPr>
            </w:pPr>
          </w:p>
          <w:p>
            <w:pPr>
              <w:pStyle w:val="136"/>
              <w:spacing w:line="360" w:lineRule="auto"/>
              <w:rPr>
                <w:rFonts w:hint="eastAsia" w:ascii="宋体" w:hAnsi="宋体" w:eastAsia="宋体" w:cs="宋体"/>
                <w:kern w:val="2"/>
                <w:sz w:val="20"/>
                <w:szCs w:val="20"/>
              </w:rPr>
            </w:pPr>
          </w:p>
          <w:p>
            <w:pPr>
              <w:pStyle w:val="136"/>
              <w:spacing w:line="360" w:lineRule="auto"/>
              <w:rPr>
                <w:rFonts w:hint="eastAsia" w:ascii="宋体" w:hAnsi="宋体" w:eastAsia="宋体" w:cs="宋体"/>
                <w:kern w:val="2"/>
                <w:sz w:val="20"/>
                <w:szCs w:val="20"/>
              </w:rPr>
            </w:pPr>
            <w:r>
              <w:rPr>
                <w:rFonts w:hint="eastAsia" w:ascii="宋体" w:hAnsi="宋体" w:eastAsia="宋体" w:cs="宋体"/>
                <w:kern w:val="2"/>
                <w:sz w:val="20"/>
                <w:szCs w:val="20"/>
              </w:rPr>
              <w:t xml:space="preserve">                            投标人（公章）：</w:t>
            </w:r>
          </w:p>
          <w:p>
            <w:pPr>
              <w:pStyle w:val="135"/>
              <w:ind w:firstLine="4600" w:firstLineChars="2300"/>
              <w:rPr>
                <w:rFonts w:asciiTheme="minorEastAsia" w:hAnsiTheme="minorEastAsia" w:eastAsiaTheme="minorEastAsia"/>
                <w:b/>
                <w:szCs w:val="28"/>
              </w:rPr>
            </w:pPr>
            <w:r>
              <w:rPr>
                <w:rFonts w:hint="eastAsia" w:ascii="宋体" w:hAnsi="宋体" w:eastAsia="宋体" w:cs="宋体"/>
                <w:sz w:val="20"/>
                <w:szCs w:val="20"/>
              </w:rPr>
              <w:t>年   月   日</w:t>
            </w:r>
          </w:p>
        </w:tc>
      </w:tr>
    </w:tbl>
    <w:p>
      <w:pPr>
        <w:pStyle w:val="31"/>
        <w:tabs>
          <w:tab w:val="left" w:pos="12960"/>
        </w:tabs>
        <w:ind w:left="5594" w:leftChars="1748"/>
        <w:rPr>
          <w:rFonts w:ascii="ABCDEE+黑体" w:eastAsia="ABCDEE+黑体"/>
          <w:color w:val="000000"/>
          <w:sz w:val="32"/>
          <w:szCs w:val="32"/>
        </w:rPr>
      </w:pPr>
    </w:p>
    <w:p>
      <w:pPr>
        <w:pStyle w:val="31"/>
        <w:tabs>
          <w:tab w:val="left" w:pos="12960"/>
        </w:tabs>
        <w:ind w:left="5594" w:leftChars="1748"/>
        <w:rPr>
          <w:rFonts w:ascii="ABCDEE+黑体" w:eastAsia="ABCDEE+黑体"/>
          <w:color w:val="000000"/>
          <w:sz w:val="32"/>
          <w:szCs w:val="32"/>
        </w:rPr>
      </w:pPr>
    </w:p>
    <w:p/>
    <w:p>
      <w:pPr>
        <w:pStyle w:val="3"/>
        <w:tabs>
          <w:tab w:val="left" w:pos="5880"/>
          <w:tab w:val="left" w:pos="6826"/>
          <w:tab w:val="left" w:pos="7769"/>
        </w:tabs>
        <w:ind w:left="0" w:right="102"/>
        <w:rPr>
          <w:rFonts w:cs="宋体"/>
          <w:sz w:val="11"/>
          <w:szCs w:val="11"/>
          <w:lang w:eastAsia="zh-CN"/>
        </w:rPr>
      </w:pPr>
    </w:p>
    <w:sectPr>
      <w:headerReference r:id="rId5" w:type="first"/>
      <w:footerReference r:id="rId7" w:type="first"/>
      <w:footerReference r:id="rId6" w:type="default"/>
      <w:pgSz w:w="11906" w:h="16838"/>
      <w:pgMar w:top="1440" w:right="1089" w:bottom="1440" w:left="917" w:header="851" w:footer="992" w:gutter="0"/>
      <w:pgBorders>
        <w:top w:val="none" w:sz="0" w:space="0"/>
        <w:left w:val="none" w:sz="0" w:space="0"/>
        <w:bottom w:val="none" w:sz="0" w:space="0"/>
        <w:right w:val="none" w:sz="0" w:space="0"/>
      </w:pgBorders>
      <w:cols w:space="425" w:num="1"/>
      <w:docGrid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ind w:firstLine="640"/>
      </w:pPr>
      <w:r>
        <w:separator/>
      </w:r>
    </w:p>
  </w:endnote>
  <w:endnote w:type="continuationSeparator" w:id="1">
    <w:p>
      <w:pPr>
        <w:ind w:firstLine="6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28"/>
    <w:family w:val="auto"/>
    <w:pitch w:val="default"/>
    <w:sig w:usb0="E0002AFF" w:usb1="C0007841" w:usb2="00000009" w:usb3="00000000" w:csb0="400001FF" w:csb1="FFFF0000"/>
  </w:font>
  <w:font w:name="宋体">
    <w:panose1 w:val="02010600030101010101"/>
    <w:charset w:val="88"/>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altName w:val="微软雅黑"/>
    <w:panose1 w:val="03000509000000000000"/>
    <w:charset w:val="86"/>
    <w:family w:val="script"/>
    <w:pitch w:val="default"/>
    <w:sig w:usb0="00000000" w:usb1="0000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Microsoft JhengHei">
    <w:panose1 w:val="020B0604030504040204"/>
    <w:charset w:val="88"/>
    <w:family w:val="swiss"/>
    <w:pitch w:val="default"/>
    <w:sig w:usb0="00000087" w:usb1="28AF4000" w:usb2="00000016" w:usb3="00000000" w:csb0="00100009" w:csb1="00000000"/>
  </w:font>
  <w:font w:name="方正黑体_GBK">
    <w:altName w:val="微软雅黑"/>
    <w:panose1 w:val="03000509000000000000"/>
    <w:charset w:val="86"/>
    <w:family w:val="auto"/>
    <w:pitch w:val="default"/>
    <w:sig w:usb0="00000000" w:usb1="00000000" w:usb2="00000000" w:usb3="00000000" w:csb0="00040000" w:csb1="00000000"/>
  </w:font>
  <w:font w:name="方正楷体_GBK">
    <w:altName w:val="微软雅黑"/>
    <w:panose1 w:val="03000509000000000000"/>
    <w:charset w:val="86"/>
    <w:family w:val="auto"/>
    <w:pitch w:val="default"/>
    <w:sig w:usb0="00000000" w:usb1="00000000" w:usb2="00000000" w:usb3="00000000" w:csb0="00040000" w:csb1="00000000"/>
  </w:font>
  <w:font w:name="Cambria">
    <w:panose1 w:val="02040503050406030204"/>
    <w:charset w:val="00"/>
    <w:family w:val="roman"/>
    <w:pitch w:val="default"/>
    <w:sig w:usb0="E00002FF" w:usb1="400004FF" w:usb2="00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小标宋_GBK">
    <w:altName w:val="微软雅黑"/>
    <w:panose1 w:val="03000509000000000000"/>
    <w:charset w:val="86"/>
    <w:family w:val="auto"/>
    <w:pitch w:val="default"/>
    <w:sig w:usb0="00000000" w:usb1="0000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ABCDEE+黑体">
    <w:altName w:val="宋体"/>
    <w:panose1 w:val="00000000000000000000"/>
    <w:charset w:val="86"/>
    <w:family w:val="auto"/>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fldChar w:fldCharType="begin"/>
    </w:r>
    <w:r>
      <w:instrText xml:space="preserve"> PAGE   \* MERGEFORMAT </w:instrText>
    </w:r>
    <w:r>
      <w:fldChar w:fldCharType="separate"/>
    </w:r>
    <w:r>
      <w:rPr>
        <w:lang w:val="zh-CN"/>
      </w:rPr>
      <w:t>45</w:t>
    </w:r>
    <w:r>
      <w:rPr>
        <w:lang w:val="zh-CN"/>
      </w:rPr>
      <w:fldChar w:fldCharType="end"/>
    </w:r>
  </w:p>
  <w:p>
    <w:pPr>
      <w:pStyle w:val="2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2"/>
      <w:jc w:val="center"/>
    </w:pPr>
    <w:r>
      <w:fldChar w:fldCharType="begin"/>
    </w:r>
    <w:r>
      <w:instrText xml:space="preserve"> PAGE   \* MERGEFORMAT </w:instrText>
    </w:r>
    <w:r>
      <w:fldChar w:fldCharType="separate"/>
    </w:r>
    <w:r>
      <w:rPr>
        <w:lang w:val="zh-CN"/>
      </w:rPr>
      <w:t>1</w:t>
    </w:r>
    <w:r>
      <w:rPr>
        <w:lang w:val="zh-CN"/>
      </w:rPr>
      <w:fldChar w:fldCharType="end"/>
    </w:r>
  </w:p>
  <w:p>
    <w:pPr>
      <w:pStyle w:val="2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ind w:firstLine="640"/>
      </w:pPr>
      <w:r>
        <w:separator/>
      </w:r>
    </w:p>
  </w:footnote>
  <w:footnote w:type="continuationSeparator" w:id="1">
    <w:p>
      <w:pPr>
        <w:ind w:firstLine="64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3"/>
      <w:rPr>
        <w:rFonts w:ascii="宋体"/>
        <w:sz w:val="21"/>
        <w:szCs w:val="21"/>
        <w:lang w:eastAsia="zh-CN"/>
      </w:rPr>
    </w:pPr>
    <w:r>
      <w:rPr>
        <w:rFonts w:ascii="宋体" w:hAnsi="宋体"/>
        <w:sz w:val="21"/>
        <w:szCs w:val="21"/>
        <w:lang w:eastAsia="zh-CN"/>
      </w:rPr>
      <w:t xml:space="preserve">                                    SGTYHT/1</w:t>
    </w:r>
    <w:r>
      <w:rPr>
        <w:rFonts w:hint="eastAsia" w:ascii="宋体" w:hAnsi="宋体"/>
        <w:sz w:val="21"/>
        <w:szCs w:val="21"/>
        <w:lang w:eastAsia="zh-CN"/>
      </w:rPr>
      <w:t>6</w:t>
    </w:r>
    <w:r>
      <w:rPr>
        <w:rFonts w:ascii="宋体" w:hAnsi="宋体"/>
        <w:sz w:val="21"/>
        <w:szCs w:val="21"/>
        <w:lang w:eastAsia="zh-CN"/>
      </w:rPr>
      <w:t>-MM-1</w:t>
    </w:r>
    <w:r>
      <w:rPr>
        <w:rFonts w:hint="eastAsia" w:ascii="宋体" w:hAnsi="宋体"/>
        <w:sz w:val="21"/>
        <w:szCs w:val="21"/>
        <w:lang w:eastAsia="zh-CN"/>
      </w:rPr>
      <w:t>72协议库存物资寄存结算协议</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1941E2B"/>
    <w:multiLevelType w:val="singleLevel"/>
    <w:tmpl w:val="21941E2B"/>
    <w:lvl w:ilvl="0" w:tentative="0">
      <w:start w:val="2"/>
      <w:numFmt w:val="decimal"/>
      <w:suff w:val="space"/>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hideSpellingErrors/>
  <w:documentProtection w:enforcement="0"/>
  <w:defaultTabStop w:val="720"/>
  <w:drawingGridHorizontalSpacing w:val="110"/>
  <w:displayHorizontalDrawingGridEvery w:val="1"/>
  <w:displayVerticalDrawingGridEvery w:val="1"/>
  <w:noPunctuationKerning w:val="1"/>
  <w:characterSpacingControl w:val="doNotCompress"/>
  <w:noLineBreaksAfter w:lang="zh-CN" w:val="$([{£¥·‘“〈《「『【〔〖〝﹙﹛﹝＄（．［｛￡￥"/>
  <w:noLineBreaksBefore w:lang="zh-CN" w:val="!%),.:;&gt;?]}¢¨°·ˇˉ―‖’”…‰′″›℃∶、。〃〉》」』】〕〗〞︶︺︾﹀﹄﹚﹜﹞！＂％＇），．：；？］｀｜｝～￠"/>
  <w:footnotePr>
    <w:footnote w:id="0"/>
    <w:footnote w:id="1"/>
  </w:footnotePr>
  <w:endnotePr>
    <w:endnote w:id="0"/>
    <w:endnote w:id="1"/>
  </w:endnotePr>
  <w:compat>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103AB"/>
    <w:rsid w:val="00006E0F"/>
    <w:rsid w:val="00015BCF"/>
    <w:rsid w:val="00017B51"/>
    <w:rsid w:val="00021D45"/>
    <w:rsid w:val="000226D5"/>
    <w:rsid w:val="000324B5"/>
    <w:rsid w:val="00035C33"/>
    <w:rsid w:val="0004273C"/>
    <w:rsid w:val="00044B60"/>
    <w:rsid w:val="00063D2B"/>
    <w:rsid w:val="00070D0E"/>
    <w:rsid w:val="0007355F"/>
    <w:rsid w:val="00077645"/>
    <w:rsid w:val="000803B6"/>
    <w:rsid w:val="00086951"/>
    <w:rsid w:val="00094FA3"/>
    <w:rsid w:val="00097C68"/>
    <w:rsid w:val="000A7FD7"/>
    <w:rsid w:val="000B1298"/>
    <w:rsid w:val="000B229F"/>
    <w:rsid w:val="000C0385"/>
    <w:rsid w:val="000C0D31"/>
    <w:rsid w:val="000C2F97"/>
    <w:rsid w:val="000D10CA"/>
    <w:rsid w:val="000D3533"/>
    <w:rsid w:val="000D6105"/>
    <w:rsid w:val="000E244C"/>
    <w:rsid w:val="000E6617"/>
    <w:rsid w:val="000F1A48"/>
    <w:rsid w:val="000F33EC"/>
    <w:rsid w:val="000F5C99"/>
    <w:rsid w:val="000F6AF0"/>
    <w:rsid w:val="000F6F8B"/>
    <w:rsid w:val="00113D63"/>
    <w:rsid w:val="001237C3"/>
    <w:rsid w:val="00137088"/>
    <w:rsid w:val="00145D83"/>
    <w:rsid w:val="001512AA"/>
    <w:rsid w:val="00161A14"/>
    <w:rsid w:val="00161BD4"/>
    <w:rsid w:val="00164E1A"/>
    <w:rsid w:val="00166169"/>
    <w:rsid w:val="00177E52"/>
    <w:rsid w:val="00180C1C"/>
    <w:rsid w:val="00184FC2"/>
    <w:rsid w:val="00185118"/>
    <w:rsid w:val="00190AA5"/>
    <w:rsid w:val="001B5B39"/>
    <w:rsid w:val="001C5F35"/>
    <w:rsid w:val="001F0EA8"/>
    <w:rsid w:val="001F14DA"/>
    <w:rsid w:val="001F27D4"/>
    <w:rsid w:val="0020171B"/>
    <w:rsid w:val="002063FA"/>
    <w:rsid w:val="00206A44"/>
    <w:rsid w:val="00207088"/>
    <w:rsid w:val="00207D4F"/>
    <w:rsid w:val="00210107"/>
    <w:rsid w:val="002136FB"/>
    <w:rsid w:val="002144AB"/>
    <w:rsid w:val="00217475"/>
    <w:rsid w:val="00217806"/>
    <w:rsid w:val="002215FB"/>
    <w:rsid w:val="00223132"/>
    <w:rsid w:val="00225833"/>
    <w:rsid w:val="00225E93"/>
    <w:rsid w:val="00236850"/>
    <w:rsid w:val="00245ECB"/>
    <w:rsid w:val="00246869"/>
    <w:rsid w:val="002505E7"/>
    <w:rsid w:val="00256A60"/>
    <w:rsid w:val="00262AED"/>
    <w:rsid w:val="00262B28"/>
    <w:rsid w:val="00262CA0"/>
    <w:rsid w:val="0027003A"/>
    <w:rsid w:val="002702AD"/>
    <w:rsid w:val="00286912"/>
    <w:rsid w:val="00290ABA"/>
    <w:rsid w:val="0029258B"/>
    <w:rsid w:val="00293C35"/>
    <w:rsid w:val="00296C31"/>
    <w:rsid w:val="002A1721"/>
    <w:rsid w:val="002A19F1"/>
    <w:rsid w:val="002A1F79"/>
    <w:rsid w:val="002A5ADC"/>
    <w:rsid w:val="002B0083"/>
    <w:rsid w:val="002B02A6"/>
    <w:rsid w:val="002B1959"/>
    <w:rsid w:val="002B1A46"/>
    <w:rsid w:val="002B4387"/>
    <w:rsid w:val="002C1B86"/>
    <w:rsid w:val="002C5ED1"/>
    <w:rsid w:val="002C6107"/>
    <w:rsid w:val="002D1343"/>
    <w:rsid w:val="002D47EF"/>
    <w:rsid w:val="002E4886"/>
    <w:rsid w:val="002F14AC"/>
    <w:rsid w:val="003007D5"/>
    <w:rsid w:val="0030323F"/>
    <w:rsid w:val="003142C2"/>
    <w:rsid w:val="003142E8"/>
    <w:rsid w:val="003170B4"/>
    <w:rsid w:val="003178AA"/>
    <w:rsid w:val="003249FC"/>
    <w:rsid w:val="00335769"/>
    <w:rsid w:val="00337C16"/>
    <w:rsid w:val="00351C9F"/>
    <w:rsid w:val="00367201"/>
    <w:rsid w:val="003805F7"/>
    <w:rsid w:val="00387051"/>
    <w:rsid w:val="003906B4"/>
    <w:rsid w:val="003943B9"/>
    <w:rsid w:val="00397A44"/>
    <w:rsid w:val="00397AE9"/>
    <w:rsid w:val="003A38A1"/>
    <w:rsid w:val="003B1F35"/>
    <w:rsid w:val="003B64A1"/>
    <w:rsid w:val="003C6597"/>
    <w:rsid w:val="003D329A"/>
    <w:rsid w:val="003D723F"/>
    <w:rsid w:val="003E178D"/>
    <w:rsid w:val="003E62D4"/>
    <w:rsid w:val="003F3814"/>
    <w:rsid w:val="003F7650"/>
    <w:rsid w:val="00403688"/>
    <w:rsid w:val="00404DE9"/>
    <w:rsid w:val="00411F29"/>
    <w:rsid w:val="00415547"/>
    <w:rsid w:val="00423C62"/>
    <w:rsid w:val="00423D3A"/>
    <w:rsid w:val="00432918"/>
    <w:rsid w:val="00437909"/>
    <w:rsid w:val="00442144"/>
    <w:rsid w:val="0045480E"/>
    <w:rsid w:val="004602D8"/>
    <w:rsid w:val="004626B7"/>
    <w:rsid w:val="00462C25"/>
    <w:rsid w:val="004654F7"/>
    <w:rsid w:val="00466EB3"/>
    <w:rsid w:val="004748ED"/>
    <w:rsid w:val="004751F2"/>
    <w:rsid w:val="004755A8"/>
    <w:rsid w:val="00477BB4"/>
    <w:rsid w:val="00492983"/>
    <w:rsid w:val="00493010"/>
    <w:rsid w:val="00493CFA"/>
    <w:rsid w:val="00496E0B"/>
    <w:rsid w:val="004B08F9"/>
    <w:rsid w:val="004C5116"/>
    <w:rsid w:val="004C51C8"/>
    <w:rsid w:val="004D2DB5"/>
    <w:rsid w:val="004D7B56"/>
    <w:rsid w:val="004D7ED3"/>
    <w:rsid w:val="004E4659"/>
    <w:rsid w:val="004E76AB"/>
    <w:rsid w:val="005006B0"/>
    <w:rsid w:val="00506337"/>
    <w:rsid w:val="00512CB1"/>
    <w:rsid w:val="00521083"/>
    <w:rsid w:val="00521198"/>
    <w:rsid w:val="00524FF9"/>
    <w:rsid w:val="005260D7"/>
    <w:rsid w:val="00526908"/>
    <w:rsid w:val="00527DBA"/>
    <w:rsid w:val="00541391"/>
    <w:rsid w:val="005432F6"/>
    <w:rsid w:val="00543D90"/>
    <w:rsid w:val="00543FA7"/>
    <w:rsid w:val="00552BFB"/>
    <w:rsid w:val="00554E2C"/>
    <w:rsid w:val="00561408"/>
    <w:rsid w:val="00564B33"/>
    <w:rsid w:val="0056787F"/>
    <w:rsid w:val="00576B59"/>
    <w:rsid w:val="005805E5"/>
    <w:rsid w:val="00590060"/>
    <w:rsid w:val="0059481F"/>
    <w:rsid w:val="005949C1"/>
    <w:rsid w:val="005963C7"/>
    <w:rsid w:val="005A1208"/>
    <w:rsid w:val="005A3497"/>
    <w:rsid w:val="005A4FD6"/>
    <w:rsid w:val="005B4669"/>
    <w:rsid w:val="005B5F64"/>
    <w:rsid w:val="005C0057"/>
    <w:rsid w:val="005C2D07"/>
    <w:rsid w:val="005C57F5"/>
    <w:rsid w:val="005C695A"/>
    <w:rsid w:val="005C7209"/>
    <w:rsid w:val="005C7EEF"/>
    <w:rsid w:val="005D18F9"/>
    <w:rsid w:val="005D6013"/>
    <w:rsid w:val="005D6518"/>
    <w:rsid w:val="005E160A"/>
    <w:rsid w:val="005E445A"/>
    <w:rsid w:val="005F3484"/>
    <w:rsid w:val="005F5A3A"/>
    <w:rsid w:val="00602119"/>
    <w:rsid w:val="00610828"/>
    <w:rsid w:val="00612CC9"/>
    <w:rsid w:val="006143DB"/>
    <w:rsid w:val="00615368"/>
    <w:rsid w:val="00622274"/>
    <w:rsid w:val="00631B9C"/>
    <w:rsid w:val="00637070"/>
    <w:rsid w:val="006427F1"/>
    <w:rsid w:val="00642A24"/>
    <w:rsid w:val="00644801"/>
    <w:rsid w:val="0065386C"/>
    <w:rsid w:val="0066158C"/>
    <w:rsid w:val="00667C64"/>
    <w:rsid w:val="00670BD3"/>
    <w:rsid w:val="006721B4"/>
    <w:rsid w:val="00676789"/>
    <w:rsid w:val="00680A73"/>
    <w:rsid w:val="006813D0"/>
    <w:rsid w:val="006814D9"/>
    <w:rsid w:val="006825D4"/>
    <w:rsid w:val="00691F51"/>
    <w:rsid w:val="00692849"/>
    <w:rsid w:val="0069671F"/>
    <w:rsid w:val="006A70D4"/>
    <w:rsid w:val="006B1BD8"/>
    <w:rsid w:val="006B2CF2"/>
    <w:rsid w:val="006B39EF"/>
    <w:rsid w:val="006C5CFC"/>
    <w:rsid w:val="006C74E6"/>
    <w:rsid w:val="006E1CFE"/>
    <w:rsid w:val="006E4EBE"/>
    <w:rsid w:val="006F04EF"/>
    <w:rsid w:val="006F5946"/>
    <w:rsid w:val="00707776"/>
    <w:rsid w:val="007109E5"/>
    <w:rsid w:val="007117D1"/>
    <w:rsid w:val="0071540B"/>
    <w:rsid w:val="00715D74"/>
    <w:rsid w:val="00716D22"/>
    <w:rsid w:val="007239E6"/>
    <w:rsid w:val="00725FB2"/>
    <w:rsid w:val="00735CB8"/>
    <w:rsid w:val="0074522E"/>
    <w:rsid w:val="00750CCA"/>
    <w:rsid w:val="007523C0"/>
    <w:rsid w:val="00752930"/>
    <w:rsid w:val="00780453"/>
    <w:rsid w:val="00781D99"/>
    <w:rsid w:val="00790C9A"/>
    <w:rsid w:val="00795361"/>
    <w:rsid w:val="007B0183"/>
    <w:rsid w:val="007B5547"/>
    <w:rsid w:val="007B5AAB"/>
    <w:rsid w:val="007B5F3E"/>
    <w:rsid w:val="007B7798"/>
    <w:rsid w:val="007B7D56"/>
    <w:rsid w:val="007C1A58"/>
    <w:rsid w:val="007C1CFA"/>
    <w:rsid w:val="007C2808"/>
    <w:rsid w:val="007C2813"/>
    <w:rsid w:val="007C2C47"/>
    <w:rsid w:val="007C518B"/>
    <w:rsid w:val="007D49D4"/>
    <w:rsid w:val="007D58E9"/>
    <w:rsid w:val="007E74A9"/>
    <w:rsid w:val="007F0997"/>
    <w:rsid w:val="007F41E3"/>
    <w:rsid w:val="007F64C7"/>
    <w:rsid w:val="008068EB"/>
    <w:rsid w:val="00806F4B"/>
    <w:rsid w:val="00814747"/>
    <w:rsid w:val="00816558"/>
    <w:rsid w:val="00820398"/>
    <w:rsid w:val="008211BD"/>
    <w:rsid w:val="00821B1E"/>
    <w:rsid w:val="0082769B"/>
    <w:rsid w:val="0083267B"/>
    <w:rsid w:val="008329AC"/>
    <w:rsid w:val="008429F2"/>
    <w:rsid w:val="00850E30"/>
    <w:rsid w:val="00852CF8"/>
    <w:rsid w:val="008548B2"/>
    <w:rsid w:val="00855F13"/>
    <w:rsid w:val="00856BAA"/>
    <w:rsid w:val="008606B0"/>
    <w:rsid w:val="008621F3"/>
    <w:rsid w:val="00872D1A"/>
    <w:rsid w:val="008819BE"/>
    <w:rsid w:val="00881E64"/>
    <w:rsid w:val="00882646"/>
    <w:rsid w:val="00892173"/>
    <w:rsid w:val="00892953"/>
    <w:rsid w:val="008A05EB"/>
    <w:rsid w:val="008B3C08"/>
    <w:rsid w:val="008B45A9"/>
    <w:rsid w:val="008C0A21"/>
    <w:rsid w:val="008C27C0"/>
    <w:rsid w:val="008C501C"/>
    <w:rsid w:val="008D2DE0"/>
    <w:rsid w:val="008D4FA0"/>
    <w:rsid w:val="008E654F"/>
    <w:rsid w:val="0090295E"/>
    <w:rsid w:val="009046AA"/>
    <w:rsid w:val="00911A48"/>
    <w:rsid w:val="009161DD"/>
    <w:rsid w:val="00917B4A"/>
    <w:rsid w:val="0092024C"/>
    <w:rsid w:val="009216E3"/>
    <w:rsid w:val="009224D7"/>
    <w:rsid w:val="00922999"/>
    <w:rsid w:val="00923902"/>
    <w:rsid w:val="00927389"/>
    <w:rsid w:val="00927630"/>
    <w:rsid w:val="0093732F"/>
    <w:rsid w:val="00941F9D"/>
    <w:rsid w:val="00955DA5"/>
    <w:rsid w:val="00957981"/>
    <w:rsid w:val="00963662"/>
    <w:rsid w:val="009738A7"/>
    <w:rsid w:val="00974892"/>
    <w:rsid w:val="00977076"/>
    <w:rsid w:val="00980B8B"/>
    <w:rsid w:val="0098229D"/>
    <w:rsid w:val="00984390"/>
    <w:rsid w:val="0098481B"/>
    <w:rsid w:val="00987D8C"/>
    <w:rsid w:val="009959CB"/>
    <w:rsid w:val="009967C3"/>
    <w:rsid w:val="009A25F3"/>
    <w:rsid w:val="009A3C09"/>
    <w:rsid w:val="009B34D8"/>
    <w:rsid w:val="009B70C9"/>
    <w:rsid w:val="009B7C5C"/>
    <w:rsid w:val="009C14BA"/>
    <w:rsid w:val="009D1E03"/>
    <w:rsid w:val="009E1090"/>
    <w:rsid w:val="009F3E3B"/>
    <w:rsid w:val="009F615A"/>
    <w:rsid w:val="00A024FA"/>
    <w:rsid w:val="00A20A6B"/>
    <w:rsid w:val="00A240F9"/>
    <w:rsid w:val="00A250AE"/>
    <w:rsid w:val="00A307DD"/>
    <w:rsid w:val="00A30E05"/>
    <w:rsid w:val="00A42747"/>
    <w:rsid w:val="00A45791"/>
    <w:rsid w:val="00A46A13"/>
    <w:rsid w:val="00A54D9A"/>
    <w:rsid w:val="00A56AB0"/>
    <w:rsid w:val="00A6508B"/>
    <w:rsid w:val="00A71DD5"/>
    <w:rsid w:val="00A862B1"/>
    <w:rsid w:val="00A86AAB"/>
    <w:rsid w:val="00A87A09"/>
    <w:rsid w:val="00A93C45"/>
    <w:rsid w:val="00A96420"/>
    <w:rsid w:val="00A97A00"/>
    <w:rsid w:val="00AA1BDB"/>
    <w:rsid w:val="00AA24F1"/>
    <w:rsid w:val="00AA4A43"/>
    <w:rsid w:val="00AB3CD5"/>
    <w:rsid w:val="00AB42FD"/>
    <w:rsid w:val="00AB5EA1"/>
    <w:rsid w:val="00AC06E4"/>
    <w:rsid w:val="00AC15C8"/>
    <w:rsid w:val="00AC1E07"/>
    <w:rsid w:val="00AC5C87"/>
    <w:rsid w:val="00AC71B1"/>
    <w:rsid w:val="00AD04D3"/>
    <w:rsid w:val="00AD2901"/>
    <w:rsid w:val="00AD3D40"/>
    <w:rsid w:val="00AD48E5"/>
    <w:rsid w:val="00AE020F"/>
    <w:rsid w:val="00AE3F91"/>
    <w:rsid w:val="00AE6504"/>
    <w:rsid w:val="00AF0529"/>
    <w:rsid w:val="00AF4542"/>
    <w:rsid w:val="00B10173"/>
    <w:rsid w:val="00B11A5D"/>
    <w:rsid w:val="00B12A96"/>
    <w:rsid w:val="00B15EBA"/>
    <w:rsid w:val="00B16CA8"/>
    <w:rsid w:val="00B30D38"/>
    <w:rsid w:val="00B34AD5"/>
    <w:rsid w:val="00B35533"/>
    <w:rsid w:val="00B47DEA"/>
    <w:rsid w:val="00B52EF0"/>
    <w:rsid w:val="00B53F6D"/>
    <w:rsid w:val="00B6467D"/>
    <w:rsid w:val="00B671B9"/>
    <w:rsid w:val="00B6793C"/>
    <w:rsid w:val="00B71280"/>
    <w:rsid w:val="00B718B0"/>
    <w:rsid w:val="00B719E2"/>
    <w:rsid w:val="00B756AD"/>
    <w:rsid w:val="00B8077B"/>
    <w:rsid w:val="00B94137"/>
    <w:rsid w:val="00B94857"/>
    <w:rsid w:val="00BA59ED"/>
    <w:rsid w:val="00BA7CA5"/>
    <w:rsid w:val="00BB1905"/>
    <w:rsid w:val="00BB36C3"/>
    <w:rsid w:val="00BB75FC"/>
    <w:rsid w:val="00BC5135"/>
    <w:rsid w:val="00BC7342"/>
    <w:rsid w:val="00BC737C"/>
    <w:rsid w:val="00BD0562"/>
    <w:rsid w:val="00BD57EA"/>
    <w:rsid w:val="00BD71DB"/>
    <w:rsid w:val="00BE5DE1"/>
    <w:rsid w:val="00BF4199"/>
    <w:rsid w:val="00C0443F"/>
    <w:rsid w:val="00C05CE6"/>
    <w:rsid w:val="00C1159A"/>
    <w:rsid w:val="00C21DF6"/>
    <w:rsid w:val="00C22204"/>
    <w:rsid w:val="00C34D64"/>
    <w:rsid w:val="00C35DCB"/>
    <w:rsid w:val="00C362FF"/>
    <w:rsid w:val="00C40958"/>
    <w:rsid w:val="00C42713"/>
    <w:rsid w:val="00C43C14"/>
    <w:rsid w:val="00C51637"/>
    <w:rsid w:val="00C51685"/>
    <w:rsid w:val="00C5384C"/>
    <w:rsid w:val="00C541AF"/>
    <w:rsid w:val="00C6028F"/>
    <w:rsid w:val="00C60DDE"/>
    <w:rsid w:val="00C60F5B"/>
    <w:rsid w:val="00C630F7"/>
    <w:rsid w:val="00C63373"/>
    <w:rsid w:val="00C64344"/>
    <w:rsid w:val="00C65851"/>
    <w:rsid w:val="00C67087"/>
    <w:rsid w:val="00C779C8"/>
    <w:rsid w:val="00C77E24"/>
    <w:rsid w:val="00C85BD1"/>
    <w:rsid w:val="00C870C5"/>
    <w:rsid w:val="00CA11B2"/>
    <w:rsid w:val="00CA27AB"/>
    <w:rsid w:val="00CB0170"/>
    <w:rsid w:val="00CB1582"/>
    <w:rsid w:val="00CC529A"/>
    <w:rsid w:val="00CD10B5"/>
    <w:rsid w:val="00CD4491"/>
    <w:rsid w:val="00CE694D"/>
    <w:rsid w:val="00D040E3"/>
    <w:rsid w:val="00D05D64"/>
    <w:rsid w:val="00D10499"/>
    <w:rsid w:val="00D13AA2"/>
    <w:rsid w:val="00D220FE"/>
    <w:rsid w:val="00D32D4C"/>
    <w:rsid w:val="00D3490C"/>
    <w:rsid w:val="00D34BA6"/>
    <w:rsid w:val="00D36204"/>
    <w:rsid w:val="00D449CB"/>
    <w:rsid w:val="00D56AFA"/>
    <w:rsid w:val="00D57365"/>
    <w:rsid w:val="00D61989"/>
    <w:rsid w:val="00D65683"/>
    <w:rsid w:val="00D70CE3"/>
    <w:rsid w:val="00D94148"/>
    <w:rsid w:val="00DA4AC9"/>
    <w:rsid w:val="00DA71A3"/>
    <w:rsid w:val="00DC39CE"/>
    <w:rsid w:val="00DC4018"/>
    <w:rsid w:val="00DD5988"/>
    <w:rsid w:val="00E02054"/>
    <w:rsid w:val="00E04997"/>
    <w:rsid w:val="00E103AB"/>
    <w:rsid w:val="00E172BA"/>
    <w:rsid w:val="00E252D0"/>
    <w:rsid w:val="00E36B30"/>
    <w:rsid w:val="00E370D9"/>
    <w:rsid w:val="00E4035A"/>
    <w:rsid w:val="00E43DEC"/>
    <w:rsid w:val="00E529A4"/>
    <w:rsid w:val="00E54CFF"/>
    <w:rsid w:val="00E5516B"/>
    <w:rsid w:val="00E55AF1"/>
    <w:rsid w:val="00E61A18"/>
    <w:rsid w:val="00E655A6"/>
    <w:rsid w:val="00E80E09"/>
    <w:rsid w:val="00E8389A"/>
    <w:rsid w:val="00E854E4"/>
    <w:rsid w:val="00EA6E9E"/>
    <w:rsid w:val="00EB13BA"/>
    <w:rsid w:val="00EB5714"/>
    <w:rsid w:val="00EB7603"/>
    <w:rsid w:val="00EC3E67"/>
    <w:rsid w:val="00EC41AE"/>
    <w:rsid w:val="00EC6E1E"/>
    <w:rsid w:val="00EE2759"/>
    <w:rsid w:val="00EF6231"/>
    <w:rsid w:val="00F02D2E"/>
    <w:rsid w:val="00F13B13"/>
    <w:rsid w:val="00F15B7D"/>
    <w:rsid w:val="00F165FC"/>
    <w:rsid w:val="00F2289F"/>
    <w:rsid w:val="00F237ED"/>
    <w:rsid w:val="00F3039C"/>
    <w:rsid w:val="00F349E7"/>
    <w:rsid w:val="00F4243F"/>
    <w:rsid w:val="00F47F4D"/>
    <w:rsid w:val="00F50091"/>
    <w:rsid w:val="00F50277"/>
    <w:rsid w:val="00F50781"/>
    <w:rsid w:val="00F50CBF"/>
    <w:rsid w:val="00F55EE5"/>
    <w:rsid w:val="00F57598"/>
    <w:rsid w:val="00F6014A"/>
    <w:rsid w:val="00F6231E"/>
    <w:rsid w:val="00F7003A"/>
    <w:rsid w:val="00F763A0"/>
    <w:rsid w:val="00F84999"/>
    <w:rsid w:val="00F9352E"/>
    <w:rsid w:val="00F95006"/>
    <w:rsid w:val="00FA1616"/>
    <w:rsid w:val="00FB35CE"/>
    <w:rsid w:val="00FC0A6F"/>
    <w:rsid w:val="00FC1BCC"/>
    <w:rsid w:val="00FC214F"/>
    <w:rsid w:val="00FD2C8D"/>
    <w:rsid w:val="00FD66F4"/>
    <w:rsid w:val="00FE2891"/>
    <w:rsid w:val="00FE3D5D"/>
    <w:rsid w:val="00FE4E80"/>
    <w:rsid w:val="00FE68D8"/>
    <w:rsid w:val="01162F49"/>
    <w:rsid w:val="012A5C27"/>
    <w:rsid w:val="01313CBA"/>
    <w:rsid w:val="013F334A"/>
    <w:rsid w:val="015834B1"/>
    <w:rsid w:val="017C0C4D"/>
    <w:rsid w:val="018B3722"/>
    <w:rsid w:val="01926BF1"/>
    <w:rsid w:val="01945CA8"/>
    <w:rsid w:val="01B248D8"/>
    <w:rsid w:val="01CF0F7E"/>
    <w:rsid w:val="01DF5457"/>
    <w:rsid w:val="020465F9"/>
    <w:rsid w:val="02364020"/>
    <w:rsid w:val="025873BF"/>
    <w:rsid w:val="025F2275"/>
    <w:rsid w:val="02AD0B32"/>
    <w:rsid w:val="02AE7A5C"/>
    <w:rsid w:val="02B051D4"/>
    <w:rsid w:val="02B64D1A"/>
    <w:rsid w:val="02BF447E"/>
    <w:rsid w:val="02D16D08"/>
    <w:rsid w:val="02E3727B"/>
    <w:rsid w:val="030D3273"/>
    <w:rsid w:val="030E25E6"/>
    <w:rsid w:val="03334B3C"/>
    <w:rsid w:val="034715F5"/>
    <w:rsid w:val="034D4C5E"/>
    <w:rsid w:val="03825B97"/>
    <w:rsid w:val="03973A81"/>
    <w:rsid w:val="03A6722F"/>
    <w:rsid w:val="03B01EAF"/>
    <w:rsid w:val="0412402E"/>
    <w:rsid w:val="043B747E"/>
    <w:rsid w:val="045456E1"/>
    <w:rsid w:val="04B72225"/>
    <w:rsid w:val="04DE601C"/>
    <w:rsid w:val="04E52730"/>
    <w:rsid w:val="05170427"/>
    <w:rsid w:val="05174320"/>
    <w:rsid w:val="05715256"/>
    <w:rsid w:val="057E31CD"/>
    <w:rsid w:val="058A412D"/>
    <w:rsid w:val="05901C0E"/>
    <w:rsid w:val="05981281"/>
    <w:rsid w:val="05FB5EB0"/>
    <w:rsid w:val="06145348"/>
    <w:rsid w:val="063A2ECE"/>
    <w:rsid w:val="06580362"/>
    <w:rsid w:val="067828A6"/>
    <w:rsid w:val="06C16FC6"/>
    <w:rsid w:val="06EE5C29"/>
    <w:rsid w:val="06F858B2"/>
    <w:rsid w:val="06FB611C"/>
    <w:rsid w:val="070B53EB"/>
    <w:rsid w:val="0727149B"/>
    <w:rsid w:val="072B7A5D"/>
    <w:rsid w:val="0749790A"/>
    <w:rsid w:val="07607742"/>
    <w:rsid w:val="07760EE2"/>
    <w:rsid w:val="07A840B8"/>
    <w:rsid w:val="07AC7DDC"/>
    <w:rsid w:val="07F845C1"/>
    <w:rsid w:val="08660C24"/>
    <w:rsid w:val="089D13DD"/>
    <w:rsid w:val="08E348CA"/>
    <w:rsid w:val="08ED0D5F"/>
    <w:rsid w:val="08FB0113"/>
    <w:rsid w:val="09473D4B"/>
    <w:rsid w:val="09A51E85"/>
    <w:rsid w:val="09B12E62"/>
    <w:rsid w:val="09E205AA"/>
    <w:rsid w:val="0A0B172F"/>
    <w:rsid w:val="0A500726"/>
    <w:rsid w:val="0A6A5C0C"/>
    <w:rsid w:val="0A6F5C2B"/>
    <w:rsid w:val="0A7C24CE"/>
    <w:rsid w:val="0A835DAA"/>
    <w:rsid w:val="0A9B6661"/>
    <w:rsid w:val="0AAD6926"/>
    <w:rsid w:val="0AB27A78"/>
    <w:rsid w:val="0ADD428F"/>
    <w:rsid w:val="0ADE2616"/>
    <w:rsid w:val="0AE904BB"/>
    <w:rsid w:val="0B025E42"/>
    <w:rsid w:val="0B215090"/>
    <w:rsid w:val="0B4121C8"/>
    <w:rsid w:val="0B4D5610"/>
    <w:rsid w:val="0B6C2C9C"/>
    <w:rsid w:val="0B875AA3"/>
    <w:rsid w:val="0B8E5724"/>
    <w:rsid w:val="0BA52D14"/>
    <w:rsid w:val="0BE238E0"/>
    <w:rsid w:val="0C307CC5"/>
    <w:rsid w:val="0C404FB4"/>
    <w:rsid w:val="0C4E4490"/>
    <w:rsid w:val="0CCF44E9"/>
    <w:rsid w:val="0CD9603B"/>
    <w:rsid w:val="0CF95E5E"/>
    <w:rsid w:val="0CFF365E"/>
    <w:rsid w:val="0D0332D3"/>
    <w:rsid w:val="0D6F52E0"/>
    <w:rsid w:val="0D8F0EE8"/>
    <w:rsid w:val="0DA67DB3"/>
    <w:rsid w:val="0E196839"/>
    <w:rsid w:val="0E253B03"/>
    <w:rsid w:val="0E494E8C"/>
    <w:rsid w:val="0E50369C"/>
    <w:rsid w:val="0E534BAE"/>
    <w:rsid w:val="0E780D7A"/>
    <w:rsid w:val="0E796B17"/>
    <w:rsid w:val="0E7B3DB4"/>
    <w:rsid w:val="0E7E1F7D"/>
    <w:rsid w:val="0EA95B80"/>
    <w:rsid w:val="0EDF7CE0"/>
    <w:rsid w:val="0F076C55"/>
    <w:rsid w:val="0F2B53A0"/>
    <w:rsid w:val="0F30119C"/>
    <w:rsid w:val="0F41451E"/>
    <w:rsid w:val="0F5616E9"/>
    <w:rsid w:val="0F6F034F"/>
    <w:rsid w:val="0F734146"/>
    <w:rsid w:val="0F807EB9"/>
    <w:rsid w:val="0F976005"/>
    <w:rsid w:val="0FCF62B5"/>
    <w:rsid w:val="0FDA646E"/>
    <w:rsid w:val="0FE62AA9"/>
    <w:rsid w:val="0FEB27C3"/>
    <w:rsid w:val="0FEC41E3"/>
    <w:rsid w:val="1031650C"/>
    <w:rsid w:val="104A3F11"/>
    <w:rsid w:val="106756E2"/>
    <w:rsid w:val="106D0979"/>
    <w:rsid w:val="106E6BAD"/>
    <w:rsid w:val="10783D5A"/>
    <w:rsid w:val="10A77F6A"/>
    <w:rsid w:val="10AA458C"/>
    <w:rsid w:val="10B412B3"/>
    <w:rsid w:val="110F2946"/>
    <w:rsid w:val="11141353"/>
    <w:rsid w:val="11311714"/>
    <w:rsid w:val="117C2D6B"/>
    <w:rsid w:val="118406F3"/>
    <w:rsid w:val="11A030CA"/>
    <w:rsid w:val="11CA7221"/>
    <w:rsid w:val="11FE1932"/>
    <w:rsid w:val="124E5401"/>
    <w:rsid w:val="12806021"/>
    <w:rsid w:val="1298768F"/>
    <w:rsid w:val="12A307A0"/>
    <w:rsid w:val="12A37458"/>
    <w:rsid w:val="12C169A7"/>
    <w:rsid w:val="12CE3BC6"/>
    <w:rsid w:val="132B5FDC"/>
    <w:rsid w:val="13457CBF"/>
    <w:rsid w:val="134834D3"/>
    <w:rsid w:val="1349089F"/>
    <w:rsid w:val="13542253"/>
    <w:rsid w:val="135C7ADB"/>
    <w:rsid w:val="13613DBD"/>
    <w:rsid w:val="13622C1F"/>
    <w:rsid w:val="13656CDA"/>
    <w:rsid w:val="136C4669"/>
    <w:rsid w:val="138B6F3E"/>
    <w:rsid w:val="13AB0A8E"/>
    <w:rsid w:val="13CB1ADF"/>
    <w:rsid w:val="13CE5AA2"/>
    <w:rsid w:val="13D13578"/>
    <w:rsid w:val="14022D01"/>
    <w:rsid w:val="1402639F"/>
    <w:rsid w:val="140E7695"/>
    <w:rsid w:val="1416012E"/>
    <w:rsid w:val="141E5482"/>
    <w:rsid w:val="142D6687"/>
    <w:rsid w:val="14514702"/>
    <w:rsid w:val="14666DF0"/>
    <w:rsid w:val="146A69B7"/>
    <w:rsid w:val="14A460A1"/>
    <w:rsid w:val="14E04BEA"/>
    <w:rsid w:val="14E271F1"/>
    <w:rsid w:val="14E539A8"/>
    <w:rsid w:val="150B03BA"/>
    <w:rsid w:val="156E1478"/>
    <w:rsid w:val="157F1121"/>
    <w:rsid w:val="15915AA5"/>
    <w:rsid w:val="15B90A1C"/>
    <w:rsid w:val="15C64265"/>
    <w:rsid w:val="15D6742B"/>
    <w:rsid w:val="15D87E48"/>
    <w:rsid w:val="15FC369D"/>
    <w:rsid w:val="16023095"/>
    <w:rsid w:val="16055C92"/>
    <w:rsid w:val="160D115D"/>
    <w:rsid w:val="164D619A"/>
    <w:rsid w:val="16517689"/>
    <w:rsid w:val="166A33A7"/>
    <w:rsid w:val="167064C5"/>
    <w:rsid w:val="167F0981"/>
    <w:rsid w:val="168D07EB"/>
    <w:rsid w:val="16B0003D"/>
    <w:rsid w:val="16C976D3"/>
    <w:rsid w:val="16D04656"/>
    <w:rsid w:val="16D35CED"/>
    <w:rsid w:val="16E3402B"/>
    <w:rsid w:val="16E76CE1"/>
    <w:rsid w:val="16FB13EE"/>
    <w:rsid w:val="1734495A"/>
    <w:rsid w:val="176F5C1D"/>
    <w:rsid w:val="17A0043E"/>
    <w:rsid w:val="17D81880"/>
    <w:rsid w:val="17EA115A"/>
    <w:rsid w:val="1802265E"/>
    <w:rsid w:val="18063DE6"/>
    <w:rsid w:val="18136E38"/>
    <w:rsid w:val="1819376F"/>
    <w:rsid w:val="181A7ED5"/>
    <w:rsid w:val="18240BCE"/>
    <w:rsid w:val="18251AC8"/>
    <w:rsid w:val="18411FF7"/>
    <w:rsid w:val="18767D28"/>
    <w:rsid w:val="189D362E"/>
    <w:rsid w:val="189D5B40"/>
    <w:rsid w:val="18E6305E"/>
    <w:rsid w:val="190F03A9"/>
    <w:rsid w:val="192715A0"/>
    <w:rsid w:val="192D0B75"/>
    <w:rsid w:val="19554D9E"/>
    <w:rsid w:val="197944A0"/>
    <w:rsid w:val="198B5EF0"/>
    <w:rsid w:val="19B8099F"/>
    <w:rsid w:val="19C426BB"/>
    <w:rsid w:val="19D3305A"/>
    <w:rsid w:val="19E57EDB"/>
    <w:rsid w:val="19FD3E15"/>
    <w:rsid w:val="1A1E0199"/>
    <w:rsid w:val="1A42197B"/>
    <w:rsid w:val="1A462DBD"/>
    <w:rsid w:val="1A50265F"/>
    <w:rsid w:val="1A593A39"/>
    <w:rsid w:val="1A696794"/>
    <w:rsid w:val="1A741F08"/>
    <w:rsid w:val="1A7A36AE"/>
    <w:rsid w:val="1A7F210E"/>
    <w:rsid w:val="1A9116A3"/>
    <w:rsid w:val="1A92564F"/>
    <w:rsid w:val="1AAC7EAF"/>
    <w:rsid w:val="1AB32CEF"/>
    <w:rsid w:val="1AD84122"/>
    <w:rsid w:val="1AEF71BD"/>
    <w:rsid w:val="1B265981"/>
    <w:rsid w:val="1BC46853"/>
    <w:rsid w:val="1BC5760A"/>
    <w:rsid w:val="1BDC2A33"/>
    <w:rsid w:val="1BFC7C3C"/>
    <w:rsid w:val="1BFF49E1"/>
    <w:rsid w:val="1C1A29AE"/>
    <w:rsid w:val="1C6100B5"/>
    <w:rsid w:val="1C7A584F"/>
    <w:rsid w:val="1C80791B"/>
    <w:rsid w:val="1C8B62EB"/>
    <w:rsid w:val="1C9A7E43"/>
    <w:rsid w:val="1C9E3516"/>
    <w:rsid w:val="1C9F6132"/>
    <w:rsid w:val="1CAA582B"/>
    <w:rsid w:val="1CB158F2"/>
    <w:rsid w:val="1CB51F66"/>
    <w:rsid w:val="1CD27079"/>
    <w:rsid w:val="1CD4036C"/>
    <w:rsid w:val="1CDD6F9B"/>
    <w:rsid w:val="1CFE6C55"/>
    <w:rsid w:val="1DB04B92"/>
    <w:rsid w:val="1DB158C3"/>
    <w:rsid w:val="1DB661A1"/>
    <w:rsid w:val="1DC92CEF"/>
    <w:rsid w:val="1DD0602E"/>
    <w:rsid w:val="1DE27140"/>
    <w:rsid w:val="1DFD180E"/>
    <w:rsid w:val="1E380DBC"/>
    <w:rsid w:val="1E457C7C"/>
    <w:rsid w:val="1E5A35ED"/>
    <w:rsid w:val="1EBC7893"/>
    <w:rsid w:val="1EC035FE"/>
    <w:rsid w:val="1ED13509"/>
    <w:rsid w:val="1EE71339"/>
    <w:rsid w:val="1F013D76"/>
    <w:rsid w:val="1F057238"/>
    <w:rsid w:val="1F306B3A"/>
    <w:rsid w:val="1F560C33"/>
    <w:rsid w:val="1F7776CD"/>
    <w:rsid w:val="1F8A06B6"/>
    <w:rsid w:val="1F936C94"/>
    <w:rsid w:val="1FA73B84"/>
    <w:rsid w:val="1FBC7C7C"/>
    <w:rsid w:val="1FCD2BFC"/>
    <w:rsid w:val="1FDE3179"/>
    <w:rsid w:val="1FF44FE2"/>
    <w:rsid w:val="1FF57425"/>
    <w:rsid w:val="200179CB"/>
    <w:rsid w:val="20235810"/>
    <w:rsid w:val="205324AF"/>
    <w:rsid w:val="20603D3F"/>
    <w:rsid w:val="20637653"/>
    <w:rsid w:val="207C2D76"/>
    <w:rsid w:val="20852181"/>
    <w:rsid w:val="20872F26"/>
    <w:rsid w:val="20AC7275"/>
    <w:rsid w:val="20AE6A6F"/>
    <w:rsid w:val="20CB2EF1"/>
    <w:rsid w:val="20D32588"/>
    <w:rsid w:val="20D816EB"/>
    <w:rsid w:val="20DD7AB0"/>
    <w:rsid w:val="21175CFD"/>
    <w:rsid w:val="21212E53"/>
    <w:rsid w:val="21306D8F"/>
    <w:rsid w:val="21472008"/>
    <w:rsid w:val="2171488E"/>
    <w:rsid w:val="2183285F"/>
    <w:rsid w:val="21950FEE"/>
    <w:rsid w:val="219E4D89"/>
    <w:rsid w:val="21B84CB8"/>
    <w:rsid w:val="21C10178"/>
    <w:rsid w:val="21C74637"/>
    <w:rsid w:val="21CA753A"/>
    <w:rsid w:val="21DA51E3"/>
    <w:rsid w:val="21DC1579"/>
    <w:rsid w:val="21F2193F"/>
    <w:rsid w:val="21F90D78"/>
    <w:rsid w:val="22002C03"/>
    <w:rsid w:val="221C3621"/>
    <w:rsid w:val="22214C6D"/>
    <w:rsid w:val="2231397E"/>
    <w:rsid w:val="22394F2A"/>
    <w:rsid w:val="22450499"/>
    <w:rsid w:val="2271399B"/>
    <w:rsid w:val="227A78AB"/>
    <w:rsid w:val="22D03366"/>
    <w:rsid w:val="22E10A74"/>
    <w:rsid w:val="23007F3E"/>
    <w:rsid w:val="231C6893"/>
    <w:rsid w:val="231C7A1C"/>
    <w:rsid w:val="23531ACA"/>
    <w:rsid w:val="238F3320"/>
    <w:rsid w:val="23D365A5"/>
    <w:rsid w:val="23E40831"/>
    <w:rsid w:val="23EF1132"/>
    <w:rsid w:val="23FA24D9"/>
    <w:rsid w:val="241C38D5"/>
    <w:rsid w:val="246A3531"/>
    <w:rsid w:val="24760437"/>
    <w:rsid w:val="24D93270"/>
    <w:rsid w:val="24E764F7"/>
    <w:rsid w:val="24F15DF1"/>
    <w:rsid w:val="25097A7F"/>
    <w:rsid w:val="250E75EB"/>
    <w:rsid w:val="25105655"/>
    <w:rsid w:val="251F36C6"/>
    <w:rsid w:val="2527606D"/>
    <w:rsid w:val="25333834"/>
    <w:rsid w:val="256267D0"/>
    <w:rsid w:val="2567193A"/>
    <w:rsid w:val="258976D3"/>
    <w:rsid w:val="25AD4B40"/>
    <w:rsid w:val="26184C95"/>
    <w:rsid w:val="26434F41"/>
    <w:rsid w:val="265E4A4E"/>
    <w:rsid w:val="266661F2"/>
    <w:rsid w:val="266A7C5E"/>
    <w:rsid w:val="267A6320"/>
    <w:rsid w:val="268A51A9"/>
    <w:rsid w:val="26AA6326"/>
    <w:rsid w:val="26ED16E1"/>
    <w:rsid w:val="26F46E9D"/>
    <w:rsid w:val="270D7600"/>
    <w:rsid w:val="27197C93"/>
    <w:rsid w:val="2723318F"/>
    <w:rsid w:val="27574D37"/>
    <w:rsid w:val="2789180E"/>
    <w:rsid w:val="27A37B08"/>
    <w:rsid w:val="27B57CAE"/>
    <w:rsid w:val="27B9313B"/>
    <w:rsid w:val="27DE6A6D"/>
    <w:rsid w:val="28531B10"/>
    <w:rsid w:val="286D57D4"/>
    <w:rsid w:val="28894F43"/>
    <w:rsid w:val="288F0A89"/>
    <w:rsid w:val="28921435"/>
    <w:rsid w:val="289D7B27"/>
    <w:rsid w:val="28CE66D6"/>
    <w:rsid w:val="28D766D2"/>
    <w:rsid w:val="28DB69A7"/>
    <w:rsid w:val="28F505C5"/>
    <w:rsid w:val="28FC6843"/>
    <w:rsid w:val="29155FD5"/>
    <w:rsid w:val="29310BE7"/>
    <w:rsid w:val="2954329B"/>
    <w:rsid w:val="2961454B"/>
    <w:rsid w:val="29634132"/>
    <w:rsid w:val="29656E83"/>
    <w:rsid w:val="29797390"/>
    <w:rsid w:val="29A4262D"/>
    <w:rsid w:val="29B051F4"/>
    <w:rsid w:val="29B656AC"/>
    <w:rsid w:val="29DA5568"/>
    <w:rsid w:val="29DE0BC6"/>
    <w:rsid w:val="29FF21E5"/>
    <w:rsid w:val="2A027CF7"/>
    <w:rsid w:val="2A0B5CF2"/>
    <w:rsid w:val="2A377EAE"/>
    <w:rsid w:val="2A3969CE"/>
    <w:rsid w:val="2A7A05E2"/>
    <w:rsid w:val="2A8311DD"/>
    <w:rsid w:val="2AAF5D63"/>
    <w:rsid w:val="2ACB0E21"/>
    <w:rsid w:val="2B1F5C31"/>
    <w:rsid w:val="2B282267"/>
    <w:rsid w:val="2B350327"/>
    <w:rsid w:val="2B35383A"/>
    <w:rsid w:val="2B3A20A3"/>
    <w:rsid w:val="2B613602"/>
    <w:rsid w:val="2B7C5858"/>
    <w:rsid w:val="2B9A494D"/>
    <w:rsid w:val="2BBB1262"/>
    <w:rsid w:val="2BBD2EA2"/>
    <w:rsid w:val="2BFD784A"/>
    <w:rsid w:val="2C18746D"/>
    <w:rsid w:val="2C1F7B5E"/>
    <w:rsid w:val="2C406702"/>
    <w:rsid w:val="2C5D409E"/>
    <w:rsid w:val="2C6A7E1F"/>
    <w:rsid w:val="2C7C5E4A"/>
    <w:rsid w:val="2C81694C"/>
    <w:rsid w:val="2C945F2C"/>
    <w:rsid w:val="2CBC04BA"/>
    <w:rsid w:val="2D1478F9"/>
    <w:rsid w:val="2D15260B"/>
    <w:rsid w:val="2D2D6C29"/>
    <w:rsid w:val="2D300FB7"/>
    <w:rsid w:val="2D37058F"/>
    <w:rsid w:val="2D3C704D"/>
    <w:rsid w:val="2D55693B"/>
    <w:rsid w:val="2D772BF2"/>
    <w:rsid w:val="2D847533"/>
    <w:rsid w:val="2DA405BE"/>
    <w:rsid w:val="2DD90D1F"/>
    <w:rsid w:val="2DEC24F4"/>
    <w:rsid w:val="2E254167"/>
    <w:rsid w:val="2E2C6363"/>
    <w:rsid w:val="2E5A699E"/>
    <w:rsid w:val="2E86371C"/>
    <w:rsid w:val="2E870201"/>
    <w:rsid w:val="2EAF7FC9"/>
    <w:rsid w:val="2EB43A9F"/>
    <w:rsid w:val="2EF15B93"/>
    <w:rsid w:val="2EF4286A"/>
    <w:rsid w:val="2EF72463"/>
    <w:rsid w:val="2EFA2FA2"/>
    <w:rsid w:val="2F0D059B"/>
    <w:rsid w:val="2F530613"/>
    <w:rsid w:val="2FD35994"/>
    <w:rsid w:val="2FEC5BD9"/>
    <w:rsid w:val="30267A4B"/>
    <w:rsid w:val="30352A99"/>
    <w:rsid w:val="30676825"/>
    <w:rsid w:val="30802FF5"/>
    <w:rsid w:val="30A545FC"/>
    <w:rsid w:val="30B66AA8"/>
    <w:rsid w:val="30EC3CFA"/>
    <w:rsid w:val="30F71641"/>
    <w:rsid w:val="30F92DED"/>
    <w:rsid w:val="31457AAF"/>
    <w:rsid w:val="31615A40"/>
    <w:rsid w:val="316468FE"/>
    <w:rsid w:val="31785B51"/>
    <w:rsid w:val="31CC262D"/>
    <w:rsid w:val="31DF7107"/>
    <w:rsid w:val="32223DCA"/>
    <w:rsid w:val="3232569C"/>
    <w:rsid w:val="32370731"/>
    <w:rsid w:val="326F2ADD"/>
    <w:rsid w:val="32801D1B"/>
    <w:rsid w:val="328E1BC4"/>
    <w:rsid w:val="32B45041"/>
    <w:rsid w:val="32D92CAF"/>
    <w:rsid w:val="32F279D0"/>
    <w:rsid w:val="330520EE"/>
    <w:rsid w:val="331C09AD"/>
    <w:rsid w:val="333B058A"/>
    <w:rsid w:val="33BB2E75"/>
    <w:rsid w:val="33E276FA"/>
    <w:rsid w:val="33E715E4"/>
    <w:rsid w:val="33E835C2"/>
    <w:rsid w:val="340D7E84"/>
    <w:rsid w:val="34194E8E"/>
    <w:rsid w:val="341A6BA7"/>
    <w:rsid w:val="344B203A"/>
    <w:rsid w:val="347C01F0"/>
    <w:rsid w:val="34B2005E"/>
    <w:rsid w:val="34D11BB8"/>
    <w:rsid w:val="34D53173"/>
    <w:rsid w:val="350077B2"/>
    <w:rsid w:val="351F6EF6"/>
    <w:rsid w:val="3537118A"/>
    <w:rsid w:val="353E082A"/>
    <w:rsid w:val="354C51BE"/>
    <w:rsid w:val="35625D95"/>
    <w:rsid w:val="357C4A73"/>
    <w:rsid w:val="35887AB4"/>
    <w:rsid w:val="35BB693C"/>
    <w:rsid w:val="35C91960"/>
    <w:rsid w:val="35CD4130"/>
    <w:rsid w:val="35DB1C31"/>
    <w:rsid w:val="35E435C7"/>
    <w:rsid w:val="35EF0DAE"/>
    <w:rsid w:val="3608256A"/>
    <w:rsid w:val="362903B0"/>
    <w:rsid w:val="364276C7"/>
    <w:rsid w:val="364A0EEE"/>
    <w:rsid w:val="364F1D5C"/>
    <w:rsid w:val="36567945"/>
    <w:rsid w:val="366A3E11"/>
    <w:rsid w:val="367B6C58"/>
    <w:rsid w:val="369304EE"/>
    <w:rsid w:val="36A570F8"/>
    <w:rsid w:val="36B67DD1"/>
    <w:rsid w:val="37117C11"/>
    <w:rsid w:val="37300473"/>
    <w:rsid w:val="3758463B"/>
    <w:rsid w:val="37610BA7"/>
    <w:rsid w:val="37643469"/>
    <w:rsid w:val="37934318"/>
    <w:rsid w:val="37A4102C"/>
    <w:rsid w:val="37EA4FD1"/>
    <w:rsid w:val="37EE0924"/>
    <w:rsid w:val="37EE5C65"/>
    <w:rsid w:val="37F466BD"/>
    <w:rsid w:val="37FE57BD"/>
    <w:rsid w:val="3815605E"/>
    <w:rsid w:val="384C7B20"/>
    <w:rsid w:val="387F2D1F"/>
    <w:rsid w:val="38A327B4"/>
    <w:rsid w:val="38B66E55"/>
    <w:rsid w:val="38C95C28"/>
    <w:rsid w:val="38E06ECB"/>
    <w:rsid w:val="390639D5"/>
    <w:rsid w:val="390723F0"/>
    <w:rsid w:val="390C52E8"/>
    <w:rsid w:val="393F6DF3"/>
    <w:rsid w:val="396D246D"/>
    <w:rsid w:val="39C0164E"/>
    <w:rsid w:val="39EF42B6"/>
    <w:rsid w:val="39F263EF"/>
    <w:rsid w:val="3A161C5F"/>
    <w:rsid w:val="3A1B0BE8"/>
    <w:rsid w:val="3A226ED8"/>
    <w:rsid w:val="3A265C3B"/>
    <w:rsid w:val="3A54463B"/>
    <w:rsid w:val="3A54480C"/>
    <w:rsid w:val="3A586313"/>
    <w:rsid w:val="3A9218A5"/>
    <w:rsid w:val="3A9A2420"/>
    <w:rsid w:val="3AA05D7C"/>
    <w:rsid w:val="3ABA353E"/>
    <w:rsid w:val="3AFB7AA3"/>
    <w:rsid w:val="3B0D3E44"/>
    <w:rsid w:val="3B24447E"/>
    <w:rsid w:val="3B451270"/>
    <w:rsid w:val="3B4D1BC1"/>
    <w:rsid w:val="3B5638AB"/>
    <w:rsid w:val="3B6437C6"/>
    <w:rsid w:val="3BAD0518"/>
    <w:rsid w:val="3BCB2B19"/>
    <w:rsid w:val="3C692666"/>
    <w:rsid w:val="3C6E34A6"/>
    <w:rsid w:val="3CA00F50"/>
    <w:rsid w:val="3CB10548"/>
    <w:rsid w:val="3CEA79E4"/>
    <w:rsid w:val="3CFE2BDF"/>
    <w:rsid w:val="3D187478"/>
    <w:rsid w:val="3D322604"/>
    <w:rsid w:val="3D360489"/>
    <w:rsid w:val="3D362822"/>
    <w:rsid w:val="3D571D79"/>
    <w:rsid w:val="3D7C2A78"/>
    <w:rsid w:val="3D8758DA"/>
    <w:rsid w:val="3D951F26"/>
    <w:rsid w:val="3DE156EF"/>
    <w:rsid w:val="3DE5024D"/>
    <w:rsid w:val="3DF569D8"/>
    <w:rsid w:val="3DF61179"/>
    <w:rsid w:val="3DF767CE"/>
    <w:rsid w:val="3E210CAD"/>
    <w:rsid w:val="3E4114AE"/>
    <w:rsid w:val="3E4A7C5A"/>
    <w:rsid w:val="3E50631E"/>
    <w:rsid w:val="3E645049"/>
    <w:rsid w:val="3E686D5E"/>
    <w:rsid w:val="3E8C69F3"/>
    <w:rsid w:val="3EA3630D"/>
    <w:rsid w:val="3EA9741D"/>
    <w:rsid w:val="3EDF329F"/>
    <w:rsid w:val="3EE73BDF"/>
    <w:rsid w:val="3F0852CE"/>
    <w:rsid w:val="3F212E4E"/>
    <w:rsid w:val="3F2322A9"/>
    <w:rsid w:val="3F5C1729"/>
    <w:rsid w:val="3F7B0E34"/>
    <w:rsid w:val="3F8F1DDE"/>
    <w:rsid w:val="3FA42F05"/>
    <w:rsid w:val="3FBC2D58"/>
    <w:rsid w:val="3FC1639F"/>
    <w:rsid w:val="3FD47718"/>
    <w:rsid w:val="3FF03431"/>
    <w:rsid w:val="40146F66"/>
    <w:rsid w:val="40183AB0"/>
    <w:rsid w:val="405B5F25"/>
    <w:rsid w:val="40707E93"/>
    <w:rsid w:val="40A62C13"/>
    <w:rsid w:val="40D548B0"/>
    <w:rsid w:val="40F0618B"/>
    <w:rsid w:val="413450E5"/>
    <w:rsid w:val="414F6C22"/>
    <w:rsid w:val="41E93680"/>
    <w:rsid w:val="4202267A"/>
    <w:rsid w:val="42201C95"/>
    <w:rsid w:val="423D040E"/>
    <w:rsid w:val="42587A75"/>
    <w:rsid w:val="426D369C"/>
    <w:rsid w:val="4270320E"/>
    <w:rsid w:val="427F3AD2"/>
    <w:rsid w:val="429A574A"/>
    <w:rsid w:val="42A86E57"/>
    <w:rsid w:val="42CF3BB0"/>
    <w:rsid w:val="43054DBC"/>
    <w:rsid w:val="431445EA"/>
    <w:rsid w:val="431E71E9"/>
    <w:rsid w:val="431F1244"/>
    <w:rsid w:val="435D2293"/>
    <w:rsid w:val="43A24728"/>
    <w:rsid w:val="43D4769D"/>
    <w:rsid w:val="43FF2D9C"/>
    <w:rsid w:val="440202A6"/>
    <w:rsid w:val="442F5917"/>
    <w:rsid w:val="44345D52"/>
    <w:rsid w:val="446A436B"/>
    <w:rsid w:val="449D6DD3"/>
    <w:rsid w:val="44A2460E"/>
    <w:rsid w:val="44BC4307"/>
    <w:rsid w:val="44DE2968"/>
    <w:rsid w:val="44E1279C"/>
    <w:rsid w:val="44EC2FFC"/>
    <w:rsid w:val="45375FFE"/>
    <w:rsid w:val="454540D8"/>
    <w:rsid w:val="45494E04"/>
    <w:rsid w:val="45793E44"/>
    <w:rsid w:val="458349B3"/>
    <w:rsid w:val="45945773"/>
    <w:rsid w:val="45D166F7"/>
    <w:rsid w:val="45F24FA7"/>
    <w:rsid w:val="460C2FAF"/>
    <w:rsid w:val="461B57A5"/>
    <w:rsid w:val="46342FB7"/>
    <w:rsid w:val="464A7DD4"/>
    <w:rsid w:val="467C0DC1"/>
    <w:rsid w:val="468C2A4A"/>
    <w:rsid w:val="46AE21AB"/>
    <w:rsid w:val="46C120FD"/>
    <w:rsid w:val="46DE0061"/>
    <w:rsid w:val="47047166"/>
    <w:rsid w:val="470C0146"/>
    <w:rsid w:val="471E5124"/>
    <w:rsid w:val="47355567"/>
    <w:rsid w:val="473B13BC"/>
    <w:rsid w:val="474E4446"/>
    <w:rsid w:val="47540E09"/>
    <w:rsid w:val="47A46DE2"/>
    <w:rsid w:val="47BE11E2"/>
    <w:rsid w:val="47EE4555"/>
    <w:rsid w:val="47FC31FC"/>
    <w:rsid w:val="4809284C"/>
    <w:rsid w:val="480F4B02"/>
    <w:rsid w:val="48155DFB"/>
    <w:rsid w:val="48237B86"/>
    <w:rsid w:val="484853C9"/>
    <w:rsid w:val="484F0DF0"/>
    <w:rsid w:val="484F170D"/>
    <w:rsid w:val="48652A1E"/>
    <w:rsid w:val="486832D2"/>
    <w:rsid w:val="488C1F5C"/>
    <w:rsid w:val="48AB0044"/>
    <w:rsid w:val="48C409D4"/>
    <w:rsid w:val="48D8374F"/>
    <w:rsid w:val="48F33889"/>
    <w:rsid w:val="48FE1A08"/>
    <w:rsid w:val="49103DBE"/>
    <w:rsid w:val="49261001"/>
    <w:rsid w:val="49331AA2"/>
    <w:rsid w:val="49673AB8"/>
    <w:rsid w:val="496F1353"/>
    <w:rsid w:val="49A821CF"/>
    <w:rsid w:val="49D76B42"/>
    <w:rsid w:val="49F3586C"/>
    <w:rsid w:val="4A165C09"/>
    <w:rsid w:val="4A226965"/>
    <w:rsid w:val="4A424B8A"/>
    <w:rsid w:val="4A7F527D"/>
    <w:rsid w:val="4B1B0586"/>
    <w:rsid w:val="4B370160"/>
    <w:rsid w:val="4B370174"/>
    <w:rsid w:val="4B50433C"/>
    <w:rsid w:val="4B52772E"/>
    <w:rsid w:val="4B6069B4"/>
    <w:rsid w:val="4B827C8F"/>
    <w:rsid w:val="4BA37096"/>
    <w:rsid w:val="4BC15F8A"/>
    <w:rsid w:val="4C1101CD"/>
    <w:rsid w:val="4C324334"/>
    <w:rsid w:val="4C3E27F5"/>
    <w:rsid w:val="4C3F6A5B"/>
    <w:rsid w:val="4C4C5AFF"/>
    <w:rsid w:val="4C5365E6"/>
    <w:rsid w:val="4C566168"/>
    <w:rsid w:val="4C612ABD"/>
    <w:rsid w:val="4C705DCA"/>
    <w:rsid w:val="4C735E77"/>
    <w:rsid w:val="4C742C44"/>
    <w:rsid w:val="4C860A9B"/>
    <w:rsid w:val="4C8F4EB1"/>
    <w:rsid w:val="4CB96E4C"/>
    <w:rsid w:val="4CC5045F"/>
    <w:rsid w:val="4CE419D2"/>
    <w:rsid w:val="4CF238DB"/>
    <w:rsid w:val="4D0F546E"/>
    <w:rsid w:val="4D18370C"/>
    <w:rsid w:val="4D263BFF"/>
    <w:rsid w:val="4D371A2F"/>
    <w:rsid w:val="4D5473EC"/>
    <w:rsid w:val="4D746E0E"/>
    <w:rsid w:val="4D8A30B7"/>
    <w:rsid w:val="4D9C053F"/>
    <w:rsid w:val="4DB02CB4"/>
    <w:rsid w:val="4DB85AC9"/>
    <w:rsid w:val="4DC02CD1"/>
    <w:rsid w:val="4DD44A26"/>
    <w:rsid w:val="4DFC3FD8"/>
    <w:rsid w:val="4E0500EF"/>
    <w:rsid w:val="4E447114"/>
    <w:rsid w:val="4E7A1523"/>
    <w:rsid w:val="4E9A5BB7"/>
    <w:rsid w:val="4EA7551C"/>
    <w:rsid w:val="4EAB37DE"/>
    <w:rsid w:val="4EAE08B2"/>
    <w:rsid w:val="4EB01091"/>
    <w:rsid w:val="4EB2495A"/>
    <w:rsid w:val="4ED973D5"/>
    <w:rsid w:val="4EDB1BFA"/>
    <w:rsid w:val="4F0B1D5B"/>
    <w:rsid w:val="4F3A2317"/>
    <w:rsid w:val="4F4311E3"/>
    <w:rsid w:val="4F4B4F2F"/>
    <w:rsid w:val="4F730CC0"/>
    <w:rsid w:val="4F7A324B"/>
    <w:rsid w:val="4F8A05F3"/>
    <w:rsid w:val="4F9A336B"/>
    <w:rsid w:val="4F9B78DE"/>
    <w:rsid w:val="4FAE0669"/>
    <w:rsid w:val="4FB83E8B"/>
    <w:rsid w:val="4FC566F4"/>
    <w:rsid w:val="5000170C"/>
    <w:rsid w:val="50B248CE"/>
    <w:rsid w:val="50D75054"/>
    <w:rsid w:val="50D84347"/>
    <w:rsid w:val="50E301F2"/>
    <w:rsid w:val="50F006AE"/>
    <w:rsid w:val="510732EF"/>
    <w:rsid w:val="511A21CC"/>
    <w:rsid w:val="51300538"/>
    <w:rsid w:val="51594DFB"/>
    <w:rsid w:val="5192791B"/>
    <w:rsid w:val="51B50689"/>
    <w:rsid w:val="51D654F3"/>
    <w:rsid w:val="5223024C"/>
    <w:rsid w:val="522F5B83"/>
    <w:rsid w:val="527E45A5"/>
    <w:rsid w:val="52A57FB9"/>
    <w:rsid w:val="52DB2AA0"/>
    <w:rsid w:val="530D6725"/>
    <w:rsid w:val="536D49D7"/>
    <w:rsid w:val="53750224"/>
    <w:rsid w:val="53764F88"/>
    <w:rsid w:val="53BC6365"/>
    <w:rsid w:val="53D45B72"/>
    <w:rsid w:val="53E95EC0"/>
    <w:rsid w:val="540467AD"/>
    <w:rsid w:val="543220FA"/>
    <w:rsid w:val="54571326"/>
    <w:rsid w:val="547D32BE"/>
    <w:rsid w:val="54E3181C"/>
    <w:rsid w:val="55034D51"/>
    <w:rsid w:val="550A093B"/>
    <w:rsid w:val="554C0815"/>
    <w:rsid w:val="554E432F"/>
    <w:rsid w:val="55605140"/>
    <w:rsid w:val="55627743"/>
    <w:rsid w:val="556B097D"/>
    <w:rsid w:val="558B0ACB"/>
    <w:rsid w:val="55B27271"/>
    <w:rsid w:val="561119B3"/>
    <w:rsid w:val="561918A4"/>
    <w:rsid w:val="561A3382"/>
    <w:rsid w:val="565A5723"/>
    <w:rsid w:val="56725E94"/>
    <w:rsid w:val="567740EB"/>
    <w:rsid w:val="56CD2E9B"/>
    <w:rsid w:val="56FC4315"/>
    <w:rsid w:val="570E10D1"/>
    <w:rsid w:val="571866F2"/>
    <w:rsid w:val="57236943"/>
    <w:rsid w:val="57344761"/>
    <w:rsid w:val="574B4506"/>
    <w:rsid w:val="575743F3"/>
    <w:rsid w:val="578A6582"/>
    <w:rsid w:val="579C09EC"/>
    <w:rsid w:val="57AF62A7"/>
    <w:rsid w:val="57FB4F9F"/>
    <w:rsid w:val="580636CF"/>
    <w:rsid w:val="5809555A"/>
    <w:rsid w:val="58230325"/>
    <w:rsid w:val="582C2B42"/>
    <w:rsid w:val="58415B2E"/>
    <w:rsid w:val="5842466D"/>
    <w:rsid w:val="584C7854"/>
    <w:rsid w:val="58577DF7"/>
    <w:rsid w:val="58A11B0A"/>
    <w:rsid w:val="58AD5AFA"/>
    <w:rsid w:val="58F5641C"/>
    <w:rsid w:val="58F922FD"/>
    <w:rsid w:val="58FD0FDD"/>
    <w:rsid w:val="58FE74B9"/>
    <w:rsid w:val="59134F83"/>
    <w:rsid w:val="59211D1A"/>
    <w:rsid w:val="5928563E"/>
    <w:rsid w:val="59291553"/>
    <w:rsid w:val="592F7A8D"/>
    <w:rsid w:val="593F585C"/>
    <w:rsid w:val="59A82BE1"/>
    <w:rsid w:val="59BB43B3"/>
    <w:rsid w:val="59C217AE"/>
    <w:rsid w:val="59EF3ED1"/>
    <w:rsid w:val="5A015859"/>
    <w:rsid w:val="5A0B5AA1"/>
    <w:rsid w:val="5A4D1DE1"/>
    <w:rsid w:val="5A5D3AF6"/>
    <w:rsid w:val="5A7B40BE"/>
    <w:rsid w:val="5A8C5093"/>
    <w:rsid w:val="5A9A066E"/>
    <w:rsid w:val="5AB4343D"/>
    <w:rsid w:val="5AB4389C"/>
    <w:rsid w:val="5ACB4565"/>
    <w:rsid w:val="5AE736C2"/>
    <w:rsid w:val="5AF07728"/>
    <w:rsid w:val="5AF52F79"/>
    <w:rsid w:val="5AFE222E"/>
    <w:rsid w:val="5B173082"/>
    <w:rsid w:val="5B280BD4"/>
    <w:rsid w:val="5B2C3171"/>
    <w:rsid w:val="5B2F68BC"/>
    <w:rsid w:val="5B5D691F"/>
    <w:rsid w:val="5B716016"/>
    <w:rsid w:val="5B9D3E04"/>
    <w:rsid w:val="5BB461F1"/>
    <w:rsid w:val="5BC9647C"/>
    <w:rsid w:val="5BE32AA0"/>
    <w:rsid w:val="5BEA6E84"/>
    <w:rsid w:val="5BF213D2"/>
    <w:rsid w:val="5C1B74D9"/>
    <w:rsid w:val="5C3E6254"/>
    <w:rsid w:val="5C467F13"/>
    <w:rsid w:val="5C5C3ED8"/>
    <w:rsid w:val="5C79206A"/>
    <w:rsid w:val="5C7B4C4E"/>
    <w:rsid w:val="5CF3728E"/>
    <w:rsid w:val="5CFB3923"/>
    <w:rsid w:val="5D16539A"/>
    <w:rsid w:val="5D2759F8"/>
    <w:rsid w:val="5D475FF5"/>
    <w:rsid w:val="5D4B2637"/>
    <w:rsid w:val="5D631F16"/>
    <w:rsid w:val="5D8C725E"/>
    <w:rsid w:val="5DAE625B"/>
    <w:rsid w:val="5DBA6EC1"/>
    <w:rsid w:val="5DC3764E"/>
    <w:rsid w:val="5DD22198"/>
    <w:rsid w:val="5DD943AF"/>
    <w:rsid w:val="5DE623F0"/>
    <w:rsid w:val="5E652158"/>
    <w:rsid w:val="5E7C453B"/>
    <w:rsid w:val="5E8E333F"/>
    <w:rsid w:val="5EB7062E"/>
    <w:rsid w:val="5ED04AF2"/>
    <w:rsid w:val="5ED32B8B"/>
    <w:rsid w:val="5F063D2F"/>
    <w:rsid w:val="5F8E4B52"/>
    <w:rsid w:val="5FA57EA3"/>
    <w:rsid w:val="5FA97C9A"/>
    <w:rsid w:val="5FC71E3C"/>
    <w:rsid w:val="5FD86AC3"/>
    <w:rsid w:val="5FDC3038"/>
    <w:rsid w:val="60045ECF"/>
    <w:rsid w:val="60240127"/>
    <w:rsid w:val="603E107B"/>
    <w:rsid w:val="603F7EB7"/>
    <w:rsid w:val="605644FC"/>
    <w:rsid w:val="606A7E70"/>
    <w:rsid w:val="60735DD4"/>
    <w:rsid w:val="6087271F"/>
    <w:rsid w:val="60A21DE6"/>
    <w:rsid w:val="60AA2EAE"/>
    <w:rsid w:val="60B85A75"/>
    <w:rsid w:val="60DC69A0"/>
    <w:rsid w:val="60EF6D4D"/>
    <w:rsid w:val="60F12759"/>
    <w:rsid w:val="60FF074B"/>
    <w:rsid w:val="61042150"/>
    <w:rsid w:val="610B2C98"/>
    <w:rsid w:val="612646E8"/>
    <w:rsid w:val="613862D3"/>
    <w:rsid w:val="615535C8"/>
    <w:rsid w:val="61712A6F"/>
    <w:rsid w:val="61A23CD3"/>
    <w:rsid w:val="62123831"/>
    <w:rsid w:val="6236507F"/>
    <w:rsid w:val="62473C10"/>
    <w:rsid w:val="624D3946"/>
    <w:rsid w:val="629516DA"/>
    <w:rsid w:val="62B65004"/>
    <w:rsid w:val="62CE099C"/>
    <w:rsid w:val="62DD0B36"/>
    <w:rsid w:val="62ED1168"/>
    <w:rsid w:val="62F81E6E"/>
    <w:rsid w:val="631832E3"/>
    <w:rsid w:val="63800775"/>
    <w:rsid w:val="63D82F9B"/>
    <w:rsid w:val="63EB14E2"/>
    <w:rsid w:val="642141E8"/>
    <w:rsid w:val="645A22BC"/>
    <w:rsid w:val="6474541D"/>
    <w:rsid w:val="64C73932"/>
    <w:rsid w:val="64C768C5"/>
    <w:rsid w:val="64D25F87"/>
    <w:rsid w:val="64EC113A"/>
    <w:rsid w:val="64F61BC4"/>
    <w:rsid w:val="650A0F6F"/>
    <w:rsid w:val="65423433"/>
    <w:rsid w:val="65666F85"/>
    <w:rsid w:val="65746F26"/>
    <w:rsid w:val="65873B7A"/>
    <w:rsid w:val="659D1225"/>
    <w:rsid w:val="65B807E8"/>
    <w:rsid w:val="65BC3BE9"/>
    <w:rsid w:val="65D85759"/>
    <w:rsid w:val="65E43743"/>
    <w:rsid w:val="65E82E9E"/>
    <w:rsid w:val="65F23AD1"/>
    <w:rsid w:val="660B1193"/>
    <w:rsid w:val="661E145F"/>
    <w:rsid w:val="665801D2"/>
    <w:rsid w:val="666925A1"/>
    <w:rsid w:val="667251D5"/>
    <w:rsid w:val="66926B9D"/>
    <w:rsid w:val="66B16A1B"/>
    <w:rsid w:val="66E64A3F"/>
    <w:rsid w:val="66E80207"/>
    <w:rsid w:val="66EE0864"/>
    <w:rsid w:val="66F46295"/>
    <w:rsid w:val="66FA0C33"/>
    <w:rsid w:val="670A3C72"/>
    <w:rsid w:val="670B10BC"/>
    <w:rsid w:val="67374962"/>
    <w:rsid w:val="674F5619"/>
    <w:rsid w:val="677F42C7"/>
    <w:rsid w:val="67945E67"/>
    <w:rsid w:val="67C01E8D"/>
    <w:rsid w:val="67E051D2"/>
    <w:rsid w:val="67FB57B8"/>
    <w:rsid w:val="68363714"/>
    <w:rsid w:val="68394E5F"/>
    <w:rsid w:val="6859758B"/>
    <w:rsid w:val="685A5791"/>
    <w:rsid w:val="688639D1"/>
    <w:rsid w:val="688815B1"/>
    <w:rsid w:val="68915DBC"/>
    <w:rsid w:val="68CC2717"/>
    <w:rsid w:val="692E31CF"/>
    <w:rsid w:val="69307F01"/>
    <w:rsid w:val="693C40C5"/>
    <w:rsid w:val="693F47DA"/>
    <w:rsid w:val="6958691B"/>
    <w:rsid w:val="696D1828"/>
    <w:rsid w:val="69962FCC"/>
    <w:rsid w:val="69BE2C90"/>
    <w:rsid w:val="69CE40F3"/>
    <w:rsid w:val="69DE611F"/>
    <w:rsid w:val="69E801BB"/>
    <w:rsid w:val="69EF375F"/>
    <w:rsid w:val="6A1673D8"/>
    <w:rsid w:val="6A424675"/>
    <w:rsid w:val="6A5416C7"/>
    <w:rsid w:val="6A606E2C"/>
    <w:rsid w:val="6A6B3159"/>
    <w:rsid w:val="6A6B67FF"/>
    <w:rsid w:val="6A6F2EB6"/>
    <w:rsid w:val="6A9367E3"/>
    <w:rsid w:val="6A981CA3"/>
    <w:rsid w:val="6AE35A08"/>
    <w:rsid w:val="6AF602B6"/>
    <w:rsid w:val="6B563E32"/>
    <w:rsid w:val="6B740726"/>
    <w:rsid w:val="6B7A5A19"/>
    <w:rsid w:val="6BD017B2"/>
    <w:rsid w:val="6BD90C26"/>
    <w:rsid w:val="6BF3632D"/>
    <w:rsid w:val="6BF62F7B"/>
    <w:rsid w:val="6BF92874"/>
    <w:rsid w:val="6C106FBA"/>
    <w:rsid w:val="6C1B3E4B"/>
    <w:rsid w:val="6C2D6B7C"/>
    <w:rsid w:val="6C715026"/>
    <w:rsid w:val="6CA0204E"/>
    <w:rsid w:val="6D4A5554"/>
    <w:rsid w:val="6D5376AE"/>
    <w:rsid w:val="6D607702"/>
    <w:rsid w:val="6D675D6F"/>
    <w:rsid w:val="6D6A4A6C"/>
    <w:rsid w:val="6DAA0B4D"/>
    <w:rsid w:val="6DB230B3"/>
    <w:rsid w:val="6DBD162E"/>
    <w:rsid w:val="6DF17723"/>
    <w:rsid w:val="6E00753B"/>
    <w:rsid w:val="6E121662"/>
    <w:rsid w:val="6E2764F5"/>
    <w:rsid w:val="6E3B4E8F"/>
    <w:rsid w:val="6E42472E"/>
    <w:rsid w:val="6E464028"/>
    <w:rsid w:val="6E5B57A5"/>
    <w:rsid w:val="6E8725BE"/>
    <w:rsid w:val="6E961CB7"/>
    <w:rsid w:val="6E9E5239"/>
    <w:rsid w:val="6EA725E3"/>
    <w:rsid w:val="6EAC00A1"/>
    <w:rsid w:val="6F213709"/>
    <w:rsid w:val="6F402CDC"/>
    <w:rsid w:val="6F615651"/>
    <w:rsid w:val="6F816755"/>
    <w:rsid w:val="6FA4003C"/>
    <w:rsid w:val="6FCF5564"/>
    <w:rsid w:val="700B0484"/>
    <w:rsid w:val="70350161"/>
    <w:rsid w:val="70362B0D"/>
    <w:rsid w:val="704C4D52"/>
    <w:rsid w:val="704D1282"/>
    <w:rsid w:val="705802B9"/>
    <w:rsid w:val="70617FFE"/>
    <w:rsid w:val="7069292C"/>
    <w:rsid w:val="706D2265"/>
    <w:rsid w:val="707C196A"/>
    <w:rsid w:val="709C77DE"/>
    <w:rsid w:val="70B25B1C"/>
    <w:rsid w:val="70F106B5"/>
    <w:rsid w:val="71361E71"/>
    <w:rsid w:val="714A120D"/>
    <w:rsid w:val="71592908"/>
    <w:rsid w:val="71827A84"/>
    <w:rsid w:val="71981E2C"/>
    <w:rsid w:val="71B51D03"/>
    <w:rsid w:val="71BB74F2"/>
    <w:rsid w:val="71DC1BD2"/>
    <w:rsid w:val="72185C27"/>
    <w:rsid w:val="722A3BDE"/>
    <w:rsid w:val="724F5642"/>
    <w:rsid w:val="725C6E11"/>
    <w:rsid w:val="729B30FF"/>
    <w:rsid w:val="72A32D04"/>
    <w:rsid w:val="72B75D1C"/>
    <w:rsid w:val="72BB092C"/>
    <w:rsid w:val="72CF74FD"/>
    <w:rsid w:val="72E5273D"/>
    <w:rsid w:val="72E66AD9"/>
    <w:rsid w:val="73196FD1"/>
    <w:rsid w:val="732C5572"/>
    <w:rsid w:val="733B2C46"/>
    <w:rsid w:val="735C112E"/>
    <w:rsid w:val="736D7637"/>
    <w:rsid w:val="737D20FD"/>
    <w:rsid w:val="738D3AA3"/>
    <w:rsid w:val="739A6387"/>
    <w:rsid w:val="73AD2D51"/>
    <w:rsid w:val="73B2280D"/>
    <w:rsid w:val="73BB715F"/>
    <w:rsid w:val="73C20425"/>
    <w:rsid w:val="73C75BD2"/>
    <w:rsid w:val="73D55909"/>
    <w:rsid w:val="73EC203F"/>
    <w:rsid w:val="73ED4154"/>
    <w:rsid w:val="73F83CDC"/>
    <w:rsid w:val="73FB748D"/>
    <w:rsid w:val="73FB77A4"/>
    <w:rsid w:val="74037360"/>
    <w:rsid w:val="741B596F"/>
    <w:rsid w:val="74235525"/>
    <w:rsid w:val="743145B2"/>
    <w:rsid w:val="74353E73"/>
    <w:rsid w:val="745614A1"/>
    <w:rsid w:val="74B01923"/>
    <w:rsid w:val="74D22CA7"/>
    <w:rsid w:val="75176742"/>
    <w:rsid w:val="7544120A"/>
    <w:rsid w:val="754569ED"/>
    <w:rsid w:val="75511B49"/>
    <w:rsid w:val="757451FD"/>
    <w:rsid w:val="75B811D1"/>
    <w:rsid w:val="75BB54C7"/>
    <w:rsid w:val="75DC6924"/>
    <w:rsid w:val="76055F74"/>
    <w:rsid w:val="76600FF6"/>
    <w:rsid w:val="76661A3F"/>
    <w:rsid w:val="768957A5"/>
    <w:rsid w:val="768A490E"/>
    <w:rsid w:val="76EF6ACE"/>
    <w:rsid w:val="76F456C0"/>
    <w:rsid w:val="77571EC1"/>
    <w:rsid w:val="777549D1"/>
    <w:rsid w:val="778C43DB"/>
    <w:rsid w:val="779A7A6A"/>
    <w:rsid w:val="77AE2E11"/>
    <w:rsid w:val="77B56E19"/>
    <w:rsid w:val="77B6435A"/>
    <w:rsid w:val="77BC067B"/>
    <w:rsid w:val="77CE2C24"/>
    <w:rsid w:val="77E12BF9"/>
    <w:rsid w:val="784B7B8A"/>
    <w:rsid w:val="78573418"/>
    <w:rsid w:val="785B17CD"/>
    <w:rsid w:val="787D2429"/>
    <w:rsid w:val="79152D6F"/>
    <w:rsid w:val="792F008A"/>
    <w:rsid w:val="79901B38"/>
    <w:rsid w:val="79A34DCD"/>
    <w:rsid w:val="79AD397F"/>
    <w:rsid w:val="79BA1C06"/>
    <w:rsid w:val="79BE45C2"/>
    <w:rsid w:val="79CA67B5"/>
    <w:rsid w:val="79CD1400"/>
    <w:rsid w:val="79D641EF"/>
    <w:rsid w:val="79FF2B40"/>
    <w:rsid w:val="7A147B24"/>
    <w:rsid w:val="7A1D6722"/>
    <w:rsid w:val="7A4E2CB9"/>
    <w:rsid w:val="7A6D79B4"/>
    <w:rsid w:val="7A83732B"/>
    <w:rsid w:val="7A9971FA"/>
    <w:rsid w:val="7A9B7F95"/>
    <w:rsid w:val="7A9E244C"/>
    <w:rsid w:val="7AB35F6A"/>
    <w:rsid w:val="7AB61FB4"/>
    <w:rsid w:val="7AB62211"/>
    <w:rsid w:val="7ABA4E4C"/>
    <w:rsid w:val="7ACE2C4E"/>
    <w:rsid w:val="7ADC7A92"/>
    <w:rsid w:val="7ADE26A5"/>
    <w:rsid w:val="7AE64783"/>
    <w:rsid w:val="7B210965"/>
    <w:rsid w:val="7B3C4FA1"/>
    <w:rsid w:val="7B3F2D33"/>
    <w:rsid w:val="7BC345AC"/>
    <w:rsid w:val="7BD34ADA"/>
    <w:rsid w:val="7BDF71BE"/>
    <w:rsid w:val="7C615F71"/>
    <w:rsid w:val="7C707C7F"/>
    <w:rsid w:val="7C7B4522"/>
    <w:rsid w:val="7C9665BA"/>
    <w:rsid w:val="7C995D97"/>
    <w:rsid w:val="7C9967B5"/>
    <w:rsid w:val="7CAC094A"/>
    <w:rsid w:val="7D3226E8"/>
    <w:rsid w:val="7D7F7615"/>
    <w:rsid w:val="7D805CFD"/>
    <w:rsid w:val="7D8C4643"/>
    <w:rsid w:val="7D9377EF"/>
    <w:rsid w:val="7DA02F58"/>
    <w:rsid w:val="7DE016AD"/>
    <w:rsid w:val="7DE73C53"/>
    <w:rsid w:val="7DF27EC5"/>
    <w:rsid w:val="7DF7790F"/>
    <w:rsid w:val="7E1A4BC8"/>
    <w:rsid w:val="7E2039D0"/>
    <w:rsid w:val="7E32170B"/>
    <w:rsid w:val="7E421A24"/>
    <w:rsid w:val="7E510C2C"/>
    <w:rsid w:val="7E78122C"/>
    <w:rsid w:val="7E84376D"/>
    <w:rsid w:val="7E94154B"/>
    <w:rsid w:val="7E9A2903"/>
    <w:rsid w:val="7EC73F50"/>
    <w:rsid w:val="7EEE6671"/>
    <w:rsid w:val="7F2E3E47"/>
    <w:rsid w:val="7F44037E"/>
    <w:rsid w:val="7F7E3C51"/>
    <w:rsid w:val="7F964083"/>
    <w:rsid w:val="7FA84A86"/>
    <w:rsid w:val="7FDD0EB9"/>
    <w:rsid w:val="7FFA61F7"/>
  </w:rsids>
  <m:mathPr>
    <m:mathFont m:val="Cambria Math"/>
    <m:brkBin m:val="before"/>
    <m:brkBinSub m:val="--"/>
    <m:smallFrac m:val="1"/>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name="heading 5" w:locked="1"/>
    <w:lsdException w:qFormat="1" w:unhideWhenUsed="0" w:uiPriority="0" w:semiHidden="0" w:name="heading 6" w:locked="1"/>
    <w:lsdException w:qFormat="1" w:unhideWhenUsed="0" w:uiPriority="0" w:semiHidden="0" w:name="heading 7" w:locked="1"/>
    <w:lsdException w:qFormat="1" w:unhideWhenUsed="0" w:uiPriority="0" w:semiHidden="0" w:name="heading 8" w:locked="1"/>
    <w:lsdException w:qFormat="1" w:unhideWhenUsed="0" w:uiPriority="0" w:semiHidden="0" w:name="heading 9" w:locked="1"/>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39" w:semiHidden="0" w:name="toc 4"/>
    <w:lsdException w:qFormat="1" w:unhideWhenUsed="0" w:uiPriority="39" w:semiHidden="0" w:name="toc 5"/>
    <w:lsdException w:qFormat="1" w:unhideWhenUsed="0" w:uiPriority="39" w:semiHidden="0" w:name="toc 6"/>
    <w:lsdException w:qFormat="1" w:unhideWhenUsed="0" w:uiPriority="39" w:semiHidden="0" w:name="toc 7"/>
    <w:lsdException w:qFormat="1" w:unhideWhenUsed="0" w:uiPriority="39" w:semiHidden="0" w:name="toc 8"/>
    <w:lsdException w:qFormat="1" w:unhideWhenUsed="0" w:uiPriority="39" w:semiHidden="0" w:name="toc 9"/>
    <w:lsdException w:qFormat="1" w:uiPriority="99" w:semiHidden="0" w:name="Normal Indent" w:locked="1"/>
    <w:lsdException w:qFormat="1" w:unhideWhenUsed="0" w:uiPriority="99" w:semiHidden="0" w:name="footnote text"/>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iPriority="35" w:name="caption" w:locked="1"/>
    <w:lsdException w:uiPriority="99" w:name="table of figures" w:locked="1"/>
    <w:lsdException w:uiPriority="99" w:name="envelope address" w:locked="1"/>
    <w:lsdException w:uiPriority="99" w:name="envelope return" w:locked="1"/>
    <w:lsdException w:qFormat="1" w:uiPriority="99" w:semiHidden="0" w:name="footnote reference" w:locked="1"/>
    <w:lsdException w:uiPriority="99" w:name="annotation reference" w:locked="1"/>
    <w:lsdException w:uiPriority="99" w:name="line number" w:locked="1"/>
    <w:lsdException w:qFormat="1" w:uiPriority="99" w:semiHidden="0" w:name="page number" w:locked="1"/>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uiPriority="99" w:name="List Number" w:locked="1"/>
    <w:lsdException w:uiPriority="99" w:name="List 2" w:locked="1"/>
    <w:lsdException w:uiPriority="99" w:name="List 3" w:locked="1"/>
    <w:lsdException w:uiPriority="99" w:name="List 4" w:locked="1"/>
    <w:lsdException w:uiPriority="99" w:name="List 5" w:locked="1"/>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uiPriority="99" w:name="List Number 3" w:locked="1"/>
    <w:lsdException w:uiPriority="99" w:name="List Number 4" w:locked="1"/>
    <w:lsdException w:uiPriority="99" w:name="List Number 5" w:locked="1"/>
    <w:lsdException w:qFormat="1" w:unhideWhenUsed="0" w:uiPriority="0" w:semiHidden="0" w:name="Title" w:locked="1"/>
    <w:lsdException w:uiPriority="99" w:name="Closing" w:locked="1"/>
    <w:lsdException w:uiPriority="99" w:name="Signature" w:locked="1"/>
    <w:lsdException w:qFormat="1" w:uiPriority="1" w:semiHidden="0" w:name="Default Paragraph Font"/>
    <w:lsdException w:qFormat="1" w:unhideWhenUsed="0" w:uiPriority="0" w:semiHidden="0" w:name="Body Text"/>
    <w:lsdException w:qFormat="1" w:unhideWhenUsed="0" w:uiPriority="0" w:semiHidden="0" w:name="Body Text Indent" w:locked="1"/>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11" w:semiHidden="0" w:name="Subtitle" w:locked="1"/>
    <w:lsdException w:uiPriority="99" w:name="Salutation" w:locked="1"/>
    <w:lsdException w:qFormat="1" w:unhideWhenUsed="0" w:uiPriority="0" w:semiHidden="0" w:name="Date"/>
    <w:lsdException w:uiPriority="99" w:name="Body Text First Indent" w:locked="1"/>
    <w:lsdException w:uiPriority="99" w:name="Body Text First Indent 2" w:locked="1"/>
    <w:lsdException w:uiPriority="99" w:name="Note Heading" w:locked="1"/>
    <w:lsdException w:uiPriority="99" w:name="Body Text 2" w:locked="1"/>
    <w:lsdException w:qFormat="1" w:unhideWhenUsed="0" w:uiPriority="0" w:semiHidden="0" w:name="Body Text 3" w:locked="1"/>
    <w:lsdException w:uiPriority="99" w:name="Body Text Indent 2" w:locked="1"/>
    <w:lsdException w:qFormat="1" w:unhideWhenUsed="0" w:uiPriority="0" w:semiHidden="0" w:name="Body Text Indent 3" w:locked="1"/>
    <w:lsdException w:uiPriority="99" w:name="Block Text" w:locked="1"/>
    <w:lsdException w:qFormat="1" w:unhideWhenUsed="0" w:uiPriority="99" w:semiHidden="0" w:name="Hyperlink"/>
    <w:lsdException w:qFormat="1" w:unhideWhenUsed="0" w:uiPriority="99" w:semiHidden="0" w:name="FollowedHyperlink"/>
    <w:lsdException w:qFormat="1" w:unhideWhenUsed="0" w:uiPriority="22" w:semiHidden="0" w:name="Strong" w:locked="1"/>
    <w:lsdException w:qFormat="1" w:unhideWhenUsed="0" w:uiPriority="20" w:semiHidden="0" w:name="Emphasis" w:locked="1"/>
    <w:lsdException w:qFormat="1" w:uiPriority="0" w:semiHidden="0" w:name="Document Map" w:locked="1"/>
    <w:lsdException w:uiPriority="99" w:name="Plain Text" w:locked="1"/>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semiHidden="0" w:name="Normal Table"/>
    <w:lsdException w:qFormat="1" w:unhideWhenUsed="0" w:uiPriority="0" w:semiHidden="0" w:name="annotation subject" w:locked="1"/>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0" w:semiHidden="0" w:name="Balloon Text"/>
    <w:lsdException w:qFormat="1" w:unhideWhenUsed="0" w:uiPriority="59" w:semiHidden="0" w:name="Table Grid" w:locked="1"/>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ind w:firstLine="400" w:firstLineChars="200"/>
    </w:pPr>
    <w:rPr>
      <w:rFonts w:ascii="方正仿宋_GBK" w:hAnsi="方正仿宋_GBK" w:eastAsia="方正仿宋_GBK" w:cs="Times New Roman"/>
      <w:sz w:val="32"/>
      <w:szCs w:val="22"/>
      <w:lang w:val="en-US" w:eastAsia="en-US" w:bidi="ar-SA"/>
    </w:rPr>
  </w:style>
  <w:style w:type="paragraph" w:styleId="4">
    <w:name w:val="heading 1"/>
    <w:basedOn w:val="1"/>
    <w:next w:val="1"/>
    <w:link w:val="41"/>
    <w:qFormat/>
    <w:uiPriority w:val="0"/>
    <w:pPr>
      <w:ind w:left="0"/>
      <w:outlineLvl w:val="0"/>
    </w:pPr>
    <w:rPr>
      <w:rFonts w:ascii="Microsoft JhengHei" w:hAnsi="Microsoft JhengHei" w:eastAsia="方正黑体_GBK"/>
      <w:b/>
      <w:bCs/>
      <w:sz w:val="32"/>
      <w:szCs w:val="44"/>
    </w:rPr>
  </w:style>
  <w:style w:type="paragraph" w:styleId="5">
    <w:name w:val="heading 2"/>
    <w:basedOn w:val="1"/>
    <w:next w:val="1"/>
    <w:link w:val="43"/>
    <w:qFormat/>
    <w:uiPriority w:val="0"/>
    <w:pPr>
      <w:ind w:left="100"/>
      <w:outlineLvl w:val="1"/>
    </w:pPr>
    <w:rPr>
      <w:rFonts w:ascii="方正楷体_GBK" w:hAnsi="方正楷体_GBK" w:eastAsia="方正楷体_GBK"/>
      <w:bCs/>
      <w:szCs w:val="32"/>
    </w:rPr>
  </w:style>
  <w:style w:type="paragraph" w:styleId="6">
    <w:name w:val="heading 3"/>
    <w:basedOn w:val="1"/>
    <w:next w:val="1"/>
    <w:link w:val="44"/>
    <w:qFormat/>
    <w:uiPriority w:val="0"/>
    <w:pPr>
      <w:ind w:left="237"/>
      <w:outlineLvl w:val="2"/>
    </w:pPr>
    <w:rPr>
      <w:rFonts w:ascii="宋体" w:hAnsi="宋体"/>
      <w:sz w:val="28"/>
      <w:szCs w:val="28"/>
    </w:rPr>
  </w:style>
  <w:style w:type="paragraph" w:styleId="7">
    <w:name w:val="heading 4"/>
    <w:basedOn w:val="1"/>
    <w:next w:val="1"/>
    <w:link w:val="45"/>
    <w:qFormat/>
    <w:uiPriority w:val="0"/>
    <w:pPr>
      <w:ind w:left="522"/>
      <w:outlineLvl w:val="3"/>
    </w:pPr>
    <w:rPr>
      <w:rFonts w:ascii="Times New Roman" w:hAnsi="Times New Roman"/>
      <w:b/>
      <w:bCs/>
      <w:sz w:val="21"/>
      <w:szCs w:val="21"/>
    </w:rPr>
  </w:style>
  <w:style w:type="paragraph" w:styleId="8">
    <w:name w:val="heading 6"/>
    <w:basedOn w:val="1"/>
    <w:next w:val="1"/>
    <w:link w:val="46"/>
    <w:qFormat/>
    <w:locked/>
    <w:uiPriority w:val="0"/>
    <w:pPr>
      <w:keepNext/>
      <w:keepLines/>
      <w:widowControl/>
      <w:tabs>
        <w:tab w:val="left" w:pos="1440"/>
      </w:tabs>
      <w:spacing w:before="240" w:after="64" w:line="320" w:lineRule="auto"/>
      <w:ind w:left="1152" w:hanging="1152"/>
      <w:outlineLvl w:val="5"/>
    </w:pPr>
    <w:rPr>
      <w:rFonts w:ascii="Arial" w:hAnsi="Arial" w:eastAsia="黑体"/>
      <w:b/>
      <w:bCs/>
      <w:sz w:val="24"/>
      <w:szCs w:val="24"/>
      <w:lang w:eastAsia="zh-CN"/>
    </w:rPr>
  </w:style>
  <w:style w:type="paragraph" w:styleId="9">
    <w:name w:val="heading 7"/>
    <w:basedOn w:val="1"/>
    <w:next w:val="1"/>
    <w:link w:val="47"/>
    <w:qFormat/>
    <w:locked/>
    <w:uiPriority w:val="0"/>
    <w:pPr>
      <w:keepNext/>
      <w:keepLines/>
      <w:widowControl/>
      <w:tabs>
        <w:tab w:val="left" w:pos="2520"/>
      </w:tabs>
      <w:spacing w:before="240" w:after="64" w:line="320" w:lineRule="auto"/>
      <w:ind w:left="1296" w:hanging="1296"/>
      <w:outlineLvl w:val="6"/>
    </w:pPr>
    <w:rPr>
      <w:rFonts w:ascii="Times New Roman" w:hAnsi="Times New Roman"/>
      <w:b/>
      <w:bCs/>
      <w:sz w:val="24"/>
      <w:szCs w:val="24"/>
      <w:lang w:eastAsia="zh-CN"/>
    </w:rPr>
  </w:style>
  <w:style w:type="paragraph" w:styleId="10">
    <w:name w:val="heading 8"/>
    <w:basedOn w:val="1"/>
    <w:next w:val="1"/>
    <w:link w:val="48"/>
    <w:qFormat/>
    <w:locked/>
    <w:uiPriority w:val="0"/>
    <w:pPr>
      <w:keepNext/>
      <w:keepLines/>
      <w:widowControl/>
      <w:tabs>
        <w:tab w:val="left" w:pos="1440"/>
      </w:tabs>
      <w:spacing w:before="240" w:after="64" w:line="320" w:lineRule="auto"/>
      <w:ind w:left="1440" w:hanging="1440"/>
      <w:outlineLvl w:val="7"/>
    </w:pPr>
    <w:rPr>
      <w:rFonts w:ascii="Arial" w:hAnsi="Arial" w:eastAsia="黑体"/>
      <w:sz w:val="24"/>
      <w:szCs w:val="24"/>
      <w:lang w:eastAsia="zh-CN"/>
    </w:rPr>
  </w:style>
  <w:style w:type="paragraph" w:styleId="11">
    <w:name w:val="heading 9"/>
    <w:basedOn w:val="1"/>
    <w:next w:val="1"/>
    <w:link w:val="49"/>
    <w:qFormat/>
    <w:locked/>
    <w:uiPriority w:val="0"/>
    <w:pPr>
      <w:keepNext/>
      <w:keepLines/>
      <w:widowControl/>
      <w:tabs>
        <w:tab w:val="left" w:pos="1584"/>
      </w:tabs>
      <w:spacing w:before="240" w:after="64" w:line="320" w:lineRule="auto"/>
      <w:ind w:left="1584" w:hanging="1584"/>
      <w:outlineLvl w:val="8"/>
    </w:pPr>
    <w:rPr>
      <w:rFonts w:ascii="Arial" w:hAnsi="Arial" w:eastAsia="黑体"/>
      <w:sz w:val="20"/>
      <w:szCs w:val="21"/>
      <w:lang w:eastAsia="zh-CN"/>
    </w:rPr>
  </w:style>
  <w:style w:type="character" w:default="1" w:styleId="36">
    <w:name w:val="Default Paragraph Font"/>
    <w:unhideWhenUsed/>
    <w:qFormat/>
    <w:uiPriority w:val="1"/>
  </w:style>
  <w:style w:type="table" w:default="1" w:styleId="34">
    <w:name w:val="Normal Table"/>
    <w:unhideWhenUsed/>
    <w:qFormat/>
    <w:uiPriority w:val="99"/>
    <w:tblPr>
      <w:tblCellMar>
        <w:top w:w="0" w:type="dxa"/>
        <w:left w:w="108" w:type="dxa"/>
        <w:bottom w:w="0" w:type="dxa"/>
        <w:right w:w="108" w:type="dxa"/>
      </w:tblCellMar>
    </w:tblPr>
  </w:style>
  <w:style w:type="paragraph" w:styleId="2">
    <w:name w:val="Normal Indent"/>
    <w:basedOn w:val="1"/>
    <w:next w:val="3"/>
    <w:unhideWhenUsed/>
    <w:qFormat/>
    <w:locked/>
    <w:uiPriority w:val="99"/>
    <w:pPr>
      <w:ind w:firstLine="420"/>
    </w:pPr>
  </w:style>
  <w:style w:type="paragraph" w:styleId="3">
    <w:name w:val="Body Text"/>
    <w:basedOn w:val="1"/>
    <w:link w:val="51"/>
    <w:qFormat/>
    <w:uiPriority w:val="0"/>
    <w:pPr>
      <w:ind w:left="100"/>
    </w:pPr>
    <w:rPr>
      <w:rFonts w:ascii="宋体" w:hAnsi="宋体"/>
      <w:sz w:val="21"/>
      <w:szCs w:val="21"/>
    </w:rPr>
  </w:style>
  <w:style w:type="paragraph" w:styleId="12">
    <w:name w:val="toc 7"/>
    <w:basedOn w:val="1"/>
    <w:next w:val="1"/>
    <w:qFormat/>
    <w:uiPriority w:val="39"/>
    <w:pPr>
      <w:ind w:left="2520" w:leftChars="1200"/>
      <w:jc w:val="both"/>
    </w:pPr>
    <w:rPr>
      <w:kern w:val="2"/>
      <w:sz w:val="21"/>
      <w:lang w:eastAsia="zh-CN"/>
    </w:rPr>
  </w:style>
  <w:style w:type="paragraph" w:styleId="13">
    <w:name w:val="Document Map"/>
    <w:basedOn w:val="1"/>
    <w:link w:val="101"/>
    <w:unhideWhenUsed/>
    <w:qFormat/>
    <w:locked/>
    <w:uiPriority w:val="0"/>
    <w:pPr>
      <w:jc w:val="both"/>
    </w:pPr>
    <w:rPr>
      <w:rFonts w:ascii="宋体"/>
      <w:kern w:val="2"/>
      <w:sz w:val="18"/>
      <w:szCs w:val="18"/>
      <w:lang w:eastAsia="zh-CN"/>
    </w:rPr>
  </w:style>
  <w:style w:type="paragraph" w:styleId="14">
    <w:name w:val="annotation text"/>
    <w:basedOn w:val="1"/>
    <w:link w:val="60"/>
    <w:qFormat/>
    <w:uiPriority w:val="99"/>
    <w:rPr>
      <w:rFonts w:ascii="Times New Roman" w:hAnsi="Times New Roman"/>
      <w:kern w:val="2"/>
      <w:sz w:val="21"/>
      <w:lang w:eastAsia="zh-CN"/>
    </w:rPr>
  </w:style>
  <w:style w:type="paragraph" w:styleId="15">
    <w:name w:val="Body Text 3"/>
    <w:basedOn w:val="1"/>
    <w:link w:val="126"/>
    <w:qFormat/>
    <w:locked/>
    <w:uiPriority w:val="0"/>
    <w:pPr>
      <w:jc w:val="both"/>
    </w:pPr>
    <w:rPr>
      <w:rFonts w:ascii="宋体"/>
      <w:sz w:val="24"/>
      <w:szCs w:val="20"/>
      <w:lang w:eastAsia="zh-CN"/>
    </w:rPr>
  </w:style>
  <w:style w:type="paragraph" w:styleId="16">
    <w:name w:val="Body Text Indent"/>
    <w:basedOn w:val="1"/>
    <w:link w:val="132"/>
    <w:qFormat/>
    <w:locked/>
    <w:uiPriority w:val="0"/>
    <w:pPr>
      <w:spacing w:after="120"/>
      <w:ind w:left="420" w:leftChars="200"/>
      <w:jc w:val="both"/>
    </w:pPr>
    <w:rPr>
      <w:sz w:val="20"/>
      <w:szCs w:val="24"/>
      <w:lang w:eastAsia="zh-CN"/>
    </w:rPr>
  </w:style>
  <w:style w:type="paragraph" w:styleId="17">
    <w:name w:val="toc 5"/>
    <w:basedOn w:val="1"/>
    <w:next w:val="1"/>
    <w:qFormat/>
    <w:uiPriority w:val="39"/>
    <w:pPr>
      <w:ind w:left="1680" w:leftChars="800"/>
      <w:jc w:val="both"/>
    </w:pPr>
    <w:rPr>
      <w:kern w:val="2"/>
      <w:sz w:val="21"/>
      <w:lang w:eastAsia="zh-CN"/>
    </w:rPr>
  </w:style>
  <w:style w:type="paragraph" w:styleId="18">
    <w:name w:val="toc 3"/>
    <w:basedOn w:val="1"/>
    <w:next w:val="1"/>
    <w:qFormat/>
    <w:uiPriority w:val="39"/>
    <w:pPr>
      <w:ind w:left="940"/>
    </w:pPr>
    <w:rPr>
      <w:rFonts w:ascii="宋体" w:hAnsi="宋体"/>
      <w:sz w:val="21"/>
      <w:szCs w:val="21"/>
    </w:rPr>
  </w:style>
  <w:style w:type="paragraph" w:styleId="19">
    <w:name w:val="toc 8"/>
    <w:basedOn w:val="1"/>
    <w:next w:val="1"/>
    <w:qFormat/>
    <w:uiPriority w:val="39"/>
    <w:pPr>
      <w:ind w:left="2940" w:leftChars="1400"/>
      <w:jc w:val="both"/>
    </w:pPr>
    <w:rPr>
      <w:kern w:val="2"/>
      <w:sz w:val="21"/>
      <w:lang w:eastAsia="zh-CN"/>
    </w:rPr>
  </w:style>
  <w:style w:type="paragraph" w:styleId="20">
    <w:name w:val="Date"/>
    <w:basedOn w:val="1"/>
    <w:next w:val="1"/>
    <w:link w:val="61"/>
    <w:qFormat/>
    <w:uiPriority w:val="0"/>
    <w:pPr>
      <w:ind w:left="100" w:leftChars="2500"/>
      <w:jc w:val="both"/>
    </w:pPr>
    <w:rPr>
      <w:kern w:val="2"/>
      <w:sz w:val="21"/>
      <w:lang w:eastAsia="zh-CN"/>
    </w:rPr>
  </w:style>
  <w:style w:type="paragraph" w:styleId="21">
    <w:name w:val="Balloon Text"/>
    <w:basedOn w:val="1"/>
    <w:link w:val="55"/>
    <w:qFormat/>
    <w:uiPriority w:val="0"/>
    <w:rPr>
      <w:sz w:val="18"/>
      <w:szCs w:val="18"/>
    </w:rPr>
  </w:style>
  <w:style w:type="paragraph" w:styleId="22">
    <w:name w:val="footer"/>
    <w:basedOn w:val="1"/>
    <w:link w:val="57"/>
    <w:qFormat/>
    <w:uiPriority w:val="99"/>
    <w:pPr>
      <w:tabs>
        <w:tab w:val="center" w:pos="4153"/>
        <w:tab w:val="right" w:pos="8306"/>
      </w:tabs>
      <w:snapToGrid w:val="0"/>
    </w:pPr>
    <w:rPr>
      <w:sz w:val="18"/>
      <w:szCs w:val="18"/>
    </w:rPr>
  </w:style>
  <w:style w:type="paragraph" w:styleId="23">
    <w:name w:val="header"/>
    <w:basedOn w:val="1"/>
    <w:link w:val="56"/>
    <w:qFormat/>
    <w:uiPriority w:val="99"/>
    <w:pPr>
      <w:pBdr>
        <w:bottom w:val="single" w:color="auto" w:sz="6" w:space="1"/>
      </w:pBdr>
      <w:tabs>
        <w:tab w:val="center" w:pos="4153"/>
        <w:tab w:val="right" w:pos="8306"/>
      </w:tabs>
      <w:snapToGrid w:val="0"/>
      <w:jc w:val="center"/>
    </w:pPr>
    <w:rPr>
      <w:sz w:val="18"/>
      <w:szCs w:val="18"/>
    </w:rPr>
  </w:style>
  <w:style w:type="paragraph" w:styleId="24">
    <w:name w:val="toc 1"/>
    <w:basedOn w:val="1"/>
    <w:next w:val="1"/>
    <w:qFormat/>
    <w:uiPriority w:val="39"/>
    <w:pPr>
      <w:ind w:left="100"/>
    </w:pPr>
    <w:rPr>
      <w:rFonts w:ascii="宋体" w:hAnsi="宋体"/>
      <w:sz w:val="21"/>
      <w:szCs w:val="21"/>
    </w:rPr>
  </w:style>
  <w:style w:type="paragraph" w:styleId="25">
    <w:name w:val="toc 4"/>
    <w:basedOn w:val="1"/>
    <w:next w:val="1"/>
    <w:qFormat/>
    <w:uiPriority w:val="39"/>
    <w:pPr>
      <w:ind w:left="1260" w:leftChars="600"/>
      <w:jc w:val="both"/>
    </w:pPr>
    <w:rPr>
      <w:kern w:val="2"/>
      <w:sz w:val="21"/>
      <w:lang w:eastAsia="zh-CN"/>
    </w:rPr>
  </w:style>
  <w:style w:type="paragraph" w:styleId="26">
    <w:name w:val="footnote text"/>
    <w:basedOn w:val="1"/>
    <w:link w:val="97"/>
    <w:qFormat/>
    <w:uiPriority w:val="99"/>
    <w:pPr>
      <w:snapToGrid w:val="0"/>
    </w:pPr>
    <w:rPr>
      <w:kern w:val="2"/>
      <w:sz w:val="18"/>
      <w:szCs w:val="18"/>
      <w:lang w:eastAsia="zh-CN"/>
    </w:rPr>
  </w:style>
  <w:style w:type="paragraph" w:styleId="27">
    <w:name w:val="toc 6"/>
    <w:basedOn w:val="1"/>
    <w:next w:val="1"/>
    <w:qFormat/>
    <w:uiPriority w:val="39"/>
    <w:pPr>
      <w:ind w:left="2100" w:leftChars="1000"/>
      <w:jc w:val="both"/>
    </w:pPr>
    <w:rPr>
      <w:kern w:val="2"/>
      <w:sz w:val="21"/>
      <w:lang w:eastAsia="zh-CN"/>
    </w:rPr>
  </w:style>
  <w:style w:type="paragraph" w:styleId="28">
    <w:name w:val="Body Text Indent 3"/>
    <w:basedOn w:val="1"/>
    <w:link w:val="128"/>
    <w:qFormat/>
    <w:locked/>
    <w:uiPriority w:val="0"/>
    <w:pPr>
      <w:spacing w:after="120"/>
      <w:ind w:left="420" w:leftChars="200"/>
      <w:jc w:val="both"/>
    </w:pPr>
    <w:rPr>
      <w:sz w:val="16"/>
      <w:szCs w:val="16"/>
      <w:lang w:eastAsia="zh-CN"/>
    </w:rPr>
  </w:style>
  <w:style w:type="paragraph" w:styleId="29">
    <w:name w:val="toc 2"/>
    <w:basedOn w:val="1"/>
    <w:next w:val="1"/>
    <w:qFormat/>
    <w:uiPriority w:val="39"/>
    <w:pPr>
      <w:ind w:left="520"/>
    </w:pPr>
    <w:rPr>
      <w:rFonts w:ascii="宋体" w:hAnsi="宋体"/>
      <w:sz w:val="21"/>
      <w:szCs w:val="21"/>
    </w:rPr>
  </w:style>
  <w:style w:type="paragraph" w:styleId="30">
    <w:name w:val="toc 9"/>
    <w:basedOn w:val="1"/>
    <w:next w:val="1"/>
    <w:qFormat/>
    <w:uiPriority w:val="39"/>
    <w:pPr>
      <w:ind w:left="3360" w:leftChars="1600"/>
      <w:jc w:val="both"/>
    </w:pPr>
    <w:rPr>
      <w:kern w:val="2"/>
      <w:sz w:val="21"/>
      <w:lang w:eastAsia="zh-CN"/>
    </w:rPr>
  </w:style>
  <w:style w:type="paragraph" w:styleId="31">
    <w:name w:val="Normal (Web)"/>
    <w:basedOn w:val="1"/>
    <w:qFormat/>
    <w:uiPriority w:val="99"/>
    <w:pPr>
      <w:widowControl/>
      <w:spacing w:before="100" w:beforeAutospacing="1" w:after="100" w:afterAutospacing="1"/>
    </w:pPr>
    <w:rPr>
      <w:rFonts w:ascii="宋体" w:hAnsi="宋体" w:cs="宋体"/>
      <w:sz w:val="24"/>
      <w:szCs w:val="24"/>
      <w:lang w:eastAsia="zh-CN"/>
    </w:rPr>
  </w:style>
  <w:style w:type="paragraph" w:styleId="32">
    <w:name w:val="Title"/>
    <w:basedOn w:val="1"/>
    <w:next w:val="1"/>
    <w:link w:val="42"/>
    <w:qFormat/>
    <w:locked/>
    <w:uiPriority w:val="0"/>
    <w:pPr>
      <w:adjustRightInd w:val="0"/>
      <w:spacing w:before="240" w:after="60" w:line="420" w:lineRule="atLeast"/>
      <w:jc w:val="center"/>
      <w:textAlignment w:val="baseline"/>
      <w:outlineLvl w:val="0"/>
    </w:pPr>
    <w:rPr>
      <w:rFonts w:ascii="Arial" w:hAnsi="Arial"/>
      <w:b/>
      <w:sz w:val="32"/>
      <w:szCs w:val="20"/>
      <w:lang w:eastAsia="zh-CN"/>
    </w:rPr>
  </w:style>
  <w:style w:type="paragraph" w:styleId="33">
    <w:name w:val="annotation subject"/>
    <w:basedOn w:val="14"/>
    <w:next w:val="14"/>
    <w:link w:val="130"/>
    <w:qFormat/>
    <w:locked/>
    <w:uiPriority w:val="0"/>
    <w:rPr>
      <w:rFonts w:ascii="Calibri" w:hAnsi="Calibri"/>
      <w:b/>
      <w:bCs/>
      <w:kern w:val="0"/>
      <w:sz w:val="20"/>
      <w:szCs w:val="24"/>
    </w:rPr>
  </w:style>
  <w:style w:type="table" w:styleId="35">
    <w:name w:val="Table Grid"/>
    <w:basedOn w:val="34"/>
    <w:qFormat/>
    <w:locked/>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7">
    <w:name w:val="page number"/>
    <w:basedOn w:val="36"/>
    <w:unhideWhenUsed/>
    <w:qFormat/>
    <w:locked/>
    <w:uiPriority w:val="99"/>
  </w:style>
  <w:style w:type="character" w:styleId="38">
    <w:name w:val="FollowedHyperlink"/>
    <w:qFormat/>
    <w:uiPriority w:val="99"/>
    <w:rPr>
      <w:rFonts w:cs="Times New Roman"/>
      <w:color w:val="800080"/>
      <w:u w:val="single"/>
    </w:rPr>
  </w:style>
  <w:style w:type="character" w:styleId="39">
    <w:name w:val="Hyperlink"/>
    <w:basedOn w:val="36"/>
    <w:qFormat/>
    <w:uiPriority w:val="99"/>
    <w:rPr>
      <w:rFonts w:cs="Times New Roman"/>
      <w:color w:val="0000FF"/>
      <w:u w:val="single"/>
    </w:rPr>
  </w:style>
  <w:style w:type="character" w:styleId="40">
    <w:name w:val="footnote reference"/>
    <w:unhideWhenUsed/>
    <w:qFormat/>
    <w:locked/>
    <w:uiPriority w:val="99"/>
    <w:rPr>
      <w:vertAlign w:val="superscript"/>
    </w:rPr>
  </w:style>
  <w:style w:type="character" w:customStyle="1" w:styleId="41">
    <w:name w:val="标题 1 Char"/>
    <w:link w:val="4"/>
    <w:qFormat/>
    <w:locked/>
    <w:uiPriority w:val="0"/>
    <w:rPr>
      <w:rFonts w:ascii="Microsoft JhengHei" w:hAnsi="Microsoft JhengHei" w:eastAsia="方正黑体_GBK" w:cs="Times New Roman"/>
      <w:b/>
      <w:bCs/>
      <w:sz w:val="32"/>
      <w:szCs w:val="44"/>
    </w:rPr>
  </w:style>
  <w:style w:type="character" w:customStyle="1" w:styleId="42">
    <w:name w:val="标题 Char"/>
    <w:link w:val="32"/>
    <w:qFormat/>
    <w:uiPriority w:val="0"/>
    <w:rPr>
      <w:rFonts w:ascii="Arial" w:hAnsi="Arial"/>
      <w:b/>
      <w:sz w:val="32"/>
    </w:rPr>
  </w:style>
  <w:style w:type="character" w:customStyle="1" w:styleId="43">
    <w:name w:val="标题 2 Char"/>
    <w:link w:val="5"/>
    <w:qFormat/>
    <w:locked/>
    <w:uiPriority w:val="0"/>
    <w:rPr>
      <w:rFonts w:ascii="方正楷体_GBK" w:hAnsi="方正楷体_GBK" w:eastAsia="方正楷体_GBK" w:cs="Times New Roman"/>
      <w:bCs/>
      <w:sz w:val="32"/>
      <w:szCs w:val="32"/>
    </w:rPr>
  </w:style>
  <w:style w:type="character" w:customStyle="1" w:styleId="44">
    <w:name w:val="标题 3 Char"/>
    <w:link w:val="6"/>
    <w:qFormat/>
    <w:locked/>
    <w:uiPriority w:val="0"/>
    <w:rPr>
      <w:rFonts w:ascii="宋体" w:hAnsi="宋体" w:eastAsia="宋体" w:cs="Times New Roman"/>
      <w:sz w:val="28"/>
      <w:szCs w:val="28"/>
    </w:rPr>
  </w:style>
  <w:style w:type="character" w:customStyle="1" w:styleId="45">
    <w:name w:val="标题 4 Char"/>
    <w:link w:val="7"/>
    <w:qFormat/>
    <w:locked/>
    <w:uiPriority w:val="0"/>
    <w:rPr>
      <w:rFonts w:ascii="Cambria" w:hAnsi="Cambria" w:eastAsia="宋体" w:cs="Times New Roman"/>
      <w:b/>
      <w:bCs/>
      <w:kern w:val="0"/>
      <w:sz w:val="28"/>
      <w:szCs w:val="28"/>
      <w:lang w:eastAsia="en-US"/>
    </w:rPr>
  </w:style>
  <w:style w:type="character" w:customStyle="1" w:styleId="46">
    <w:name w:val="标题 6 Char"/>
    <w:link w:val="8"/>
    <w:qFormat/>
    <w:uiPriority w:val="0"/>
    <w:rPr>
      <w:rFonts w:ascii="Arial" w:hAnsi="Arial" w:eastAsia="黑体"/>
      <w:b/>
      <w:bCs/>
      <w:sz w:val="24"/>
      <w:szCs w:val="24"/>
    </w:rPr>
  </w:style>
  <w:style w:type="character" w:customStyle="1" w:styleId="47">
    <w:name w:val="标题 7 Char"/>
    <w:link w:val="9"/>
    <w:qFormat/>
    <w:uiPriority w:val="0"/>
    <w:rPr>
      <w:rFonts w:ascii="Times New Roman" w:hAnsi="Times New Roman"/>
      <w:b/>
      <w:bCs/>
      <w:sz w:val="24"/>
      <w:szCs w:val="24"/>
    </w:rPr>
  </w:style>
  <w:style w:type="character" w:customStyle="1" w:styleId="48">
    <w:name w:val="标题 8 Char"/>
    <w:link w:val="10"/>
    <w:qFormat/>
    <w:uiPriority w:val="0"/>
    <w:rPr>
      <w:rFonts w:ascii="Arial" w:hAnsi="Arial" w:eastAsia="黑体"/>
      <w:sz w:val="24"/>
      <w:szCs w:val="24"/>
    </w:rPr>
  </w:style>
  <w:style w:type="character" w:customStyle="1" w:styleId="49">
    <w:name w:val="标题 9 Char"/>
    <w:link w:val="11"/>
    <w:qFormat/>
    <w:uiPriority w:val="0"/>
    <w:rPr>
      <w:rFonts w:ascii="Arial" w:hAnsi="Arial" w:eastAsia="黑体"/>
      <w:szCs w:val="21"/>
    </w:rPr>
  </w:style>
  <w:style w:type="table" w:customStyle="1" w:styleId="50">
    <w:name w:val="Table Normal1"/>
    <w:semiHidden/>
    <w:qFormat/>
    <w:uiPriority w:val="99"/>
    <w:pPr>
      <w:widowControl w:val="0"/>
    </w:pPr>
    <w:rPr>
      <w:sz w:val="22"/>
      <w:szCs w:val="22"/>
      <w:lang w:eastAsia="en-US"/>
    </w:rPr>
    <w:tblPr>
      <w:tblCellMar>
        <w:top w:w="0" w:type="dxa"/>
        <w:left w:w="0" w:type="dxa"/>
        <w:bottom w:w="0" w:type="dxa"/>
        <w:right w:w="0" w:type="dxa"/>
      </w:tblCellMar>
    </w:tblPr>
  </w:style>
  <w:style w:type="character" w:customStyle="1" w:styleId="51">
    <w:name w:val="正文文本 Char"/>
    <w:link w:val="3"/>
    <w:qFormat/>
    <w:locked/>
    <w:uiPriority w:val="0"/>
    <w:rPr>
      <w:rFonts w:cs="Times New Roman"/>
      <w:kern w:val="0"/>
      <w:sz w:val="22"/>
      <w:lang w:eastAsia="en-US"/>
    </w:rPr>
  </w:style>
  <w:style w:type="paragraph" w:customStyle="1" w:styleId="52">
    <w:name w:val="列出段落1"/>
    <w:basedOn w:val="1"/>
    <w:link w:val="53"/>
    <w:qFormat/>
    <w:uiPriority w:val="99"/>
  </w:style>
  <w:style w:type="character" w:customStyle="1" w:styleId="53">
    <w:name w:val="列出段落 Char"/>
    <w:link w:val="52"/>
    <w:qFormat/>
    <w:locked/>
    <w:uiPriority w:val="34"/>
  </w:style>
  <w:style w:type="paragraph" w:customStyle="1" w:styleId="54">
    <w:name w:val="Table Paragraph"/>
    <w:basedOn w:val="1"/>
    <w:qFormat/>
    <w:uiPriority w:val="99"/>
  </w:style>
  <w:style w:type="character" w:customStyle="1" w:styleId="55">
    <w:name w:val="批注框文本 Char"/>
    <w:link w:val="21"/>
    <w:qFormat/>
    <w:locked/>
    <w:uiPriority w:val="0"/>
    <w:rPr>
      <w:rFonts w:cs="Times New Roman"/>
      <w:sz w:val="18"/>
      <w:szCs w:val="18"/>
    </w:rPr>
  </w:style>
  <w:style w:type="character" w:customStyle="1" w:styleId="56">
    <w:name w:val="页眉 Char"/>
    <w:link w:val="23"/>
    <w:qFormat/>
    <w:locked/>
    <w:uiPriority w:val="99"/>
    <w:rPr>
      <w:rFonts w:cs="Times New Roman"/>
      <w:sz w:val="18"/>
      <w:szCs w:val="18"/>
    </w:rPr>
  </w:style>
  <w:style w:type="character" w:customStyle="1" w:styleId="57">
    <w:name w:val="页脚 Char"/>
    <w:link w:val="22"/>
    <w:qFormat/>
    <w:locked/>
    <w:uiPriority w:val="99"/>
    <w:rPr>
      <w:rFonts w:cs="Times New Roman"/>
      <w:sz w:val="18"/>
      <w:szCs w:val="18"/>
    </w:rPr>
  </w:style>
  <w:style w:type="paragraph" w:customStyle="1" w:styleId="58">
    <w:name w:val="p0"/>
    <w:basedOn w:val="1"/>
    <w:qFormat/>
    <w:uiPriority w:val="0"/>
    <w:pPr>
      <w:widowControl/>
      <w:jc w:val="both"/>
    </w:pPr>
    <w:rPr>
      <w:rFonts w:cs="宋体"/>
      <w:sz w:val="21"/>
      <w:szCs w:val="21"/>
      <w:lang w:eastAsia="zh-CN"/>
    </w:rPr>
  </w:style>
  <w:style w:type="paragraph" w:customStyle="1" w:styleId="59">
    <w:name w:val="列出段落111"/>
    <w:basedOn w:val="1"/>
    <w:qFormat/>
    <w:uiPriority w:val="34"/>
    <w:pPr>
      <w:ind w:firstLine="420" w:firstLineChars="200"/>
      <w:jc w:val="both"/>
    </w:pPr>
    <w:rPr>
      <w:rFonts w:ascii="Times New Roman" w:hAnsi="Times New Roman"/>
      <w:kern w:val="2"/>
      <w:sz w:val="21"/>
      <w:szCs w:val="24"/>
      <w:lang w:eastAsia="zh-CN"/>
    </w:rPr>
  </w:style>
  <w:style w:type="character" w:customStyle="1" w:styleId="60">
    <w:name w:val="批注文字 Char"/>
    <w:link w:val="14"/>
    <w:qFormat/>
    <w:locked/>
    <w:uiPriority w:val="99"/>
    <w:rPr>
      <w:rFonts w:ascii="Times New Roman" w:hAnsi="Times New Roman" w:cs="Times New Roman"/>
      <w:kern w:val="2"/>
      <w:sz w:val="21"/>
      <w:lang w:eastAsia="zh-CN"/>
    </w:rPr>
  </w:style>
  <w:style w:type="character" w:customStyle="1" w:styleId="61">
    <w:name w:val="日期 Char"/>
    <w:link w:val="20"/>
    <w:qFormat/>
    <w:locked/>
    <w:uiPriority w:val="0"/>
    <w:rPr>
      <w:rFonts w:cs="Times New Roman"/>
      <w:kern w:val="2"/>
      <w:sz w:val="21"/>
      <w:lang w:eastAsia="zh-CN"/>
    </w:rPr>
  </w:style>
  <w:style w:type="character" w:customStyle="1" w:styleId="62">
    <w:name w:val="页脚 Char1"/>
    <w:qFormat/>
    <w:uiPriority w:val="0"/>
    <w:rPr>
      <w:rFonts w:ascii="Calibri" w:hAnsi="Calibri" w:eastAsia="宋体"/>
      <w:kern w:val="2"/>
      <w:sz w:val="18"/>
    </w:rPr>
  </w:style>
  <w:style w:type="character" w:customStyle="1" w:styleId="63">
    <w:name w:val="页眉 Char1"/>
    <w:qFormat/>
    <w:uiPriority w:val="0"/>
    <w:rPr>
      <w:rFonts w:ascii="Calibri" w:hAnsi="Calibri" w:eastAsia="宋体"/>
      <w:kern w:val="2"/>
      <w:sz w:val="18"/>
    </w:rPr>
  </w:style>
  <w:style w:type="character" w:customStyle="1" w:styleId="64">
    <w:name w:val="样式9 Char"/>
    <w:link w:val="65"/>
    <w:qFormat/>
    <w:locked/>
    <w:uiPriority w:val="0"/>
    <w:rPr>
      <w:rFonts w:ascii="仿宋_GB2312" w:hAnsi="Times New Roman" w:eastAsia="仿宋_GB2312"/>
      <w:sz w:val="32"/>
    </w:rPr>
  </w:style>
  <w:style w:type="paragraph" w:customStyle="1" w:styleId="65">
    <w:name w:val="样式9"/>
    <w:basedOn w:val="1"/>
    <w:link w:val="64"/>
    <w:qFormat/>
    <w:uiPriority w:val="0"/>
    <w:pPr>
      <w:widowControl/>
      <w:spacing w:line="360" w:lineRule="auto"/>
      <w:ind w:left="1271" w:hanging="420"/>
      <w:jc w:val="both"/>
    </w:pPr>
    <w:rPr>
      <w:rFonts w:ascii="仿宋_GB2312" w:hAnsi="Times New Roman" w:eastAsia="仿宋_GB2312"/>
      <w:sz w:val="32"/>
      <w:szCs w:val="20"/>
    </w:rPr>
  </w:style>
  <w:style w:type="paragraph" w:customStyle="1" w:styleId="66">
    <w:name w:val="p15"/>
    <w:basedOn w:val="1"/>
    <w:qFormat/>
    <w:uiPriority w:val="0"/>
    <w:pPr>
      <w:widowControl/>
      <w:spacing w:line="240" w:lineRule="atLeast"/>
      <w:jc w:val="both"/>
    </w:pPr>
    <w:rPr>
      <w:rFonts w:ascii="Times New Roman" w:hAnsi="Times New Roman"/>
      <w:sz w:val="32"/>
      <w:lang w:eastAsia="zh-CN"/>
    </w:rPr>
  </w:style>
  <w:style w:type="paragraph" w:customStyle="1" w:styleId="67">
    <w:name w:val="List Paragraph1"/>
    <w:basedOn w:val="1"/>
    <w:qFormat/>
    <w:uiPriority w:val="0"/>
    <w:pPr>
      <w:ind w:firstLine="420" w:firstLineChars="200"/>
      <w:jc w:val="both"/>
    </w:pPr>
    <w:rPr>
      <w:kern w:val="2"/>
      <w:sz w:val="21"/>
      <w:lang w:eastAsia="zh-CN"/>
    </w:rPr>
  </w:style>
  <w:style w:type="paragraph" w:customStyle="1" w:styleId="68">
    <w:name w:val="列出段落2"/>
    <w:basedOn w:val="1"/>
    <w:qFormat/>
    <w:uiPriority w:val="0"/>
    <w:pPr>
      <w:ind w:firstLine="420" w:firstLineChars="200"/>
      <w:jc w:val="both"/>
    </w:pPr>
    <w:rPr>
      <w:rFonts w:ascii="Times New Roman" w:hAnsi="Times New Roman"/>
      <w:kern w:val="2"/>
      <w:sz w:val="21"/>
      <w:lang w:eastAsia="zh-CN"/>
    </w:rPr>
  </w:style>
  <w:style w:type="paragraph" w:customStyle="1" w:styleId="69">
    <w:name w:val="普通(网站)1"/>
    <w:basedOn w:val="1"/>
    <w:qFormat/>
    <w:uiPriority w:val="0"/>
    <w:pPr>
      <w:widowControl/>
      <w:spacing w:before="100" w:beforeAutospacing="1" w:after="100" w:afterAutospacing="1"/>
    </w:pPr>
    <w:rPr>
      <w:rFonts w:ascii="宋体" w:hAnsi="宋体" w:cs="宋体"/>
      <w:color w:val="000000"/>
      <w:sz w:val="24"/>
      <w:szCs w:val="24"/>
      <w:lang w:eastAsia="zh-CN"/>
    </w:rPr>
  </w:style>
  <w:style w:type="paragraph" w:customStyle="1" w:styleId="70">
    <w:name w:val="纯文本1"/>
    <w:qFormat/>
    <w:uiPriority w:val="0"/>
    <w:pPr>
      <w:suppressAutoHyphens/>
    </w:pPr>
    <w:rPr>
      <w:rFonts w:ascii="宋体" w:hAnsi="宋体" w:eastAsia="宋体" w:cs="宋体"/>
      <w:kern w:val="1"/>
      <w:lang w:val="en-US" w:eastAsia="ar-SA" w:bidi="ar-SA"/>
    </w:rPr>
  </w:style>
  <w:style w:type="paragraph" w:customStyle="1" w:styleId="71">
    <w:name w:val="p17"/>
    <w:basedOn w:val="1"/>
    <w:qFormat/>
    <w:uiPriority w:val="0"/>
    <w:pPr>
      <w:widowControl/>
      <w:spacing w:line="240" w:lineRule="atLeast"/>
      <w:jc w:val="both"/>
    </w:pPr>
    <w:rPr>
      <w:rFonts w:ascii="宋体" w:hAnsi="宋体" w:cs="宋体"/>
      <w:sz w:val="32"/>
      <w:szCs w:val="32"/>
      <w:lang w:eastAsia="zh-CN"/>
    </w:rPr>
  </w:style>
  <w:style w:type="paragraph" w:customStyle="1" w:styleId="72">
    <w:name w:val="font5"/>
    <w:basedOn w:val="1"/>
    <w:qFormat/>
    <w:uiPriority w:val="0"/>
    <w:pPr>
      <w:widowControl/>
      <w:spacing w:before="100" w:beforeAutospacing="1" w:after="100" w:afterAutospacing="1"/>
    </w:pPr>
    <w:rPr>
      <w:rFonts w:ascii="宋体" w:hAnsi="宋体" w:cs="宋体"/>
      <w:sz w:val="18"/>
      <w:szCs w:val="18"/>
      <w:lang w:eastAsia="zh-CN"/>
    </w:rPr>
  </w:style>
  <w:style w:type="paragraph" w:customStyle="1" w:styleId="73">
    <w:name w:val="font6"/>
    <w:basedOn w:val="1"/>
    <w:qFormat/>
    <w:uiPriority w:val="0"/>
    <w:pPr>
      <w:widowControl/>
      <w:spacing w:before="100" w:beforeAutospacing="1" w:after="100" w:afterAutospacing="1"/>
    </w:pPr>
    <w:rPr>
      <w:rFonts w:ascii="宋体" w:hAnsi="宋体" w:cs="宋体"/>
      <w:sz w:val="18"/>
      <w:szCs w:val="18"/>
      <w:lang w:eastAsia="zh-CN"/>
    </w:rPr>
  </w:style>
  <w:style w:type="paragraph" w:customStyle="1" w:styleId="74">
    <w:name w:val="font7"/>
    <w:basedOn w:val="1"/>
    <w:qFormat/>
    <w:uiPriority w:val="0"/>
    <w:pPr>
      <w:widowControl/>
      <w:spacing w:before="100" w:beforeAutospacing="1" w:after="100" w:afterAutospacing="1"/>
    </w:pPr>
    <w:rPr>
      <w:rFonts w:ascii="仿宋" w:hAnsi="仿宋" w:eastAsia="仿宋" w:cs="宋体"/>
      <w:color w:val="000000"/>
      <w:sz w:val="18"/>
      <w:szCs w:val="18"/>
      <w:lang w:eastAsia="zh-CN"/>
    </w:rPr>
  </w:style>
  <w:style w:type="paragraph" w:customStyle="1" w:styleId="75">
    <w:name w:val="font8"/>
    <w:basedOn w:val="1"/>
    <w:qFormat/>
    <w:uiPriority w:val="0"/>
    <w:pPr>
      <w:widowControl/>
      <w:spacing w:before="100" w:beforeAutospacing="1" w:after="100" w:afterAutospacing="1"/>
    </w:pPr>
    <w:rPr>
      <w:rFonts w:ascii="仿宋" w:hAnsi="仿宋" w:eastAsia="仿宋" w:cs="宋体"/>
      <w:b/>
      <w:bCs/>
      <w:i/>
      <w:iCs/>
      <w:color w:val="FF0000"/>
      <w:sz w:val="18"/>
      <w:szCs w:val="18"/>
      <w:u w:val="single"/>
      <w:lang w:eastAsia="zh-CN"/>
    </w:rPr>
  </w:style>
  <w:style w:type="paragraph" w:customStyle="1" w:styleId="76">
    <w:name w:val="xl66"/>
    <w:basedOn w:val="1"/>
    <w:qFormat/>
    <w:uiPriority w:val="0"/>
    <w:pPr>
      <w:widowControl/>
      <w:spacing w:before="100" w:beforeAutospacing="1" w:after="100" w:afterAutospacing="1"/>
      <w:jc w:val="center"/>
      <w:textAlignment w:val="center"/>
    </w:pPr>
    <w:rPr>
      <w:rFonts w:ascii="宋体" w:hAnsi="宋体" w:cs="宋体"/>
      <w:sz w:val="24"/>
      <w:szCs w:val="24"/>
      <w:lang w:eastAsia="zh-CN"/>
    </w:rPr>
  </w:style>
  <w:style w:type="paragraph" w:customStyle="1" w:styleId="77">
    <w:name w:val="xl67"/>
    <w:basedOn w:val="1"/>
    <w:qFormat/>
    <w:uiPriority w:val="0"/>
    <w:pPr>
      <w:widowControl/>
      <w:spacing w:before="100" w:beforeAutospacing="1" w:after="100" w:afterAutospacing="1"/>
      <w:jc w:val="center"/>
      <w:textAlignment w:val="center"/>
    </w:pPr>
    <w:rPr>
      <w:rFonts w:ascii="仿宋" w:hAnsi="仿宋" w:eastAsia="仿宋" w:cs="宋体"/>
      <w:sz w:val="20"/>
      <w:lang w:eastAsia="zh-CN"/>
    </w:rPr>
  </w:style>
  <w:style w:type="paragraph" w:customStyle="1" w:styleId="78">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sz w:val="20"/>
      <w:lang w:eastAsia="zh-CN"/>
    </w:rPr>
  </w:style>
  <w:style w:type="paragraph" w:customStyle="1" w:styleId="79">
    <w:name w:val="xl69"/>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仿宋" w:hAnsi="仿宋" w:eastAsia="仿宋" w:cs="宋体"/>
      <w:sz w:val="20"/>
      <w:lang w:eastAsia="zh-CN"/>
    </w:rPr>
  </w:style>
  <w:style w:type="paragraph" w:customStyle="1" w:styleId="80">
    <w:name w:val="xl70"/>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仿宋" w:hAnsi="仿宋" w:eastAsia="仿宋" w:cs="宋体"/>
      <w:sz w:val="20"/>
      <w:lang w:eastAsia="zh-CN"/>
    </w:rPr>
  </w:style>
  <w:style w:type="paragraph" w:customStyle="1" w:styleId="81">
    <w:name w:val="xl71"/>
    <w:basedOn w:val="1"/>
    <w:qFormat/>
    <w:uiPriority w:val="0"/>
    <w:pPr>
      <w:widowControl/>
      <w:shd w:val="clear" w:color="000000" w:fill="FFFF00"/>
      <w:spacing w:before="100" w:beforeAutospacing="1" w:after="100" w:afterAutospacing="1"/>
      <w:jc w:val="center"/>
      <w:textAlignment w:val="center"/>
    </w:pPr>
    <w:rPr>
      <w:rFonts w:ascii="宋体" w:hAnsi="宋体" w:cs="宋体"/>
      <w:sz w:val="24"/>
      <w:szCs w:val="24"/>
      <w:lang w:eastAsia="zh-CN"/>
    </w:rPr>
  </w:style>
  <w:style w:type="paragraph" w:customStyle="1" w:styleId="82">
    <w:name w:val="xl72"/>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宋体" w:hAnsi="宋体" w:cs="宋体"/>
      <w:sz w:val="24"/>
      <w:szCs w:val="24"/>
      <w:lang w:eastAsia="zh-CN"/>
    </w:rPr>
  </w:style>
  <w:style w:type="paragraph" w:customStyle="1" w:styleId="83">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sz w:val="24"/>
      <w:szCs w:val="24"/>
      <w:lang w:eastAsia="zh-CN"/>
    </w:rPr>
  </w:style>
  <w:style w:type="paragraph" w:customStyle="1" w:styleId="84">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sz w:val="24"/>
      <w:szCs w:val="24"/>
      <w:lang w:eastAsia="zh-CN"/>
    </w:rPr>
  </w:style>
  <w:style w:type="paragraph" w:customStyle="1" w:styleId="85">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sz w:val="18"/>
      <w:szCs w:val="18"/>
      <w:lang w:eastAsia="zh-CN"/>
    </w:rPr>
  </w:style>
  <w:style w:type="paragraph" w:customStyle="1" w:styleId="86">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i/>
      <w:iCs/>
      <w:color w:val="FF0000"/>
      <w:sz w:val="18"/>
      <w:szCs w:val="18"/>
      <w:lang w:eastAsia="zh-CN"/>
    </w:rPr>
  </w:style>
  <w:style w:type="paragraph" w:customStyle="1" w:styleId="87">
    <w:name w:val="xl77"/>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仿宋" w:hAnsi="仿宋" w:eastAsia="仿宋" w:cs="宋体"/>
      <w:sz w:val="24"/>
      <w:szCs w:val="24"/>
      <w:lang w:eastAsia="zh-CN"/>
    </w:rPr>
  </w:style>
  <w:style w:type="paragraph" w:customStyle="1" w:styleId="88">
    <w:name w:val="xl78"/>
    <w:basedOn w:val="1"/>
    <w:qFormat/>
    <w:uiPriority w:val="0"/>
    <w:pPr>
      <w:widowControl/>
      <w:pBdr>
        <w:top w:val="single" w:color="auto" w:sz="4" w:space="0"/>
        <w:left w:val="single" w:color="auto" w:sz="4" w:space="0"/>
        <w:bottom w:val="single" w:color="auto" w:sz="4" w:space="0"/>
        <w:right w:val="single" w:color="auto" w:sz="4" w:space="0"/>
      </w:pBdr>
      <w:shd w:val="clear" w:color="000000" w:fill="FFFF00"/>
      <w:spacing w:before="100" w:beforeAutospacing="1" w:after="100" w:afterAutospacing="1"/>
      <w:jc w:val="center"/>
      <w:textAlignment w:val="center"/>
    </w:pPr>
    <w:rPr>
      <w:rFonts w:ascii="仿宋" w:hAnsi="仿宋" w:eastAsia="仿宋" w:cs="宋体"/>
      <w:sz w:val="18"/>
      <w:szCs w:val="18"/>
      <w:lang w:eastAsia="zh-CN"/>
    </w:rPr>
  </w:style>
  <w:style w:type="paragraph" w:customStyle="1" w:styleId="89">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color w:val="000000"/>
      <w:sz w:val="18"/>
      <w:szCs w:val="18"/>
      <w:lang w:eastAsia="zh-CN"/>
    </w:rPr>
  </w:style>
  <w:style w:type="paragraph" w:customStyle="1" w:styleId="90">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仿宋" w:hAnsi="仿宋" w:eastAsia="仿宋" w:cs="宋体"/>
      <w:b/>
      <w:bCs/>
      <w:sz w:val="24"/>
      <w:szCs w:val="24"/>
      <w:lang w:eastAsia="zh-CN"/>
    </w:rPr>
  </w:style>
  <w:style w:type="paragraph" w:customStyle="1" w:styleId="91">
    <w:name w:val="xl81"/>
    <w:basedOn w:val="1"/>
    <w:qFormat/>
    <w:uiPriority w:val="0"/>
    <w:pPr>
      <w:widowControl/>
      <w:spacing w:before="100" w:beforeAutospacing="1" w:after="100" w:afterAutospacing="1"/>
      <w:jc w:val="center"/>
      <w:textAlignment w:val="center"/>
    </w:pPr>
    <w:rPr>
      <w:rFonts w:ascii="宋体" w:hAnsi="宋体" w:cs="宋体"/>
      <w:b/>
      <w:bCs/>
      <w:sz w:val="24"/>
      <w:szCs w:val="24"/>
      <w:lang w:eastAsia="zh-CN"/>
    </w:rPr>
  </w:style>
  <w:style w:type="paragraph" w:customStyle="1" w:styleId="92">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sz w:val="24"/>
      <w:szCs w:val="24"/>
      <w:lang w:eastAsia="zh-CN"/>
    </w:rPr>
  </w:style>
  <w:style w:type="paragraph" w:customStyle="1" w:styleId="93">
    <w:name w:val="_Style 1"/>
    <w:basedOn w:val="1"/>
    <w:qFormat/>
    <w:uiPriority w:val="34"/>
    <w:pPr>
      <w:ind w:firstLine="420" w:firstLineChars="200"/>
      <w:jc w:val="both"/>
    </w:pPr>
    <w:rPr>
      <w:rFonts w:ascii="Times New Roman" w:hAnsi="Times New Roman"/>
      <w:kern w:val="2"/>
      <w:sz w:val="21"/>
      <w:szCs w:val="20"/>
      <w:lang w:eastAsia="zh-CN"/>
    </w:rPr>
  </w:style>
  <w:style w:type="character" w:customStyle="1" w:styleId="94">
    <w:name w:val="标题1 Char"/>
    <w:link w:val="95"/>
    <w:semiHidden/>
    <w:qFormat/>
    <w:locked/>
    <w:uiPriority w:val="0"/>
    <w:rPr>
      <w:rFonts w:ascii="Times New Roman" w:hAnsi="Times New Roman" w:eastAsia="黑体"/>
      <w:b/>
      <w:kern w:val="44"/>
      <w:sz w:val="24"/>
    </w:rPr>
  </w:style>
  <w:style w:type="paragraph" w:customStyle="1" w:styleId="95">
    <w:name w:val="标题1"/>
    <w:basedOn w:val="4"/>
    <w:link w:val="94"/>
    <w:semiHidden/>
    <w:qFormat/>
    <w:uiPriority w:val="0"/>
    <w:pPr>
      <w:keepNext/>
      <w:keepLines/>
      <w:pageBreakBefore/>
      <w:widowControl/>
      <w:tabs>
        <w:tab w:val="left" w:pos="1000"/>
      </w:tabs>
      <w:adjustRightInd w:val="0"/>
      <w:spacing w:before="120" w:after="120" w:line="360" w:lineRule="auto"/>
      <w:ind w:left="0"/>
    </w:pPr>
    <w:rPr>
      <w:rFonts w:ascii="Times New Roman" w:hAnsi="Times New Roman" w:eastAsia="黑体"/>
      <w:bCs w:val="0"/>
      <w:kern w:val="44"/>
      <w:sz w:val="24"/>
      <w:szCs w:val="20"/>
    </w:rPr>
  </w:style>
  <w:style w:type="character" w:customStyle="1" w:styleId="96">
    <w:name w:val="Footnote Text Char"/>
    <w:semiHidden/>
    <w:qFormat/>
    <w:locked/>
    <w:uiPriority w:val="99"/>
    <w:rPr>
      <w:rFonts w:cs="Times New Roman"/>
      <w:kern w:val="2"/>
      <w:sz w:val="18"/>
      <w:szCs w:val="18"/>
      <w:lang w:eastAsia="zh-CN"/>
    </w:rPr>
  </w:style>
  <w:style w:type="character" w:customStyle="1" w:styleId="97">
    <w:name w:val="脚注文本 Char"/>
    <w:link w:val="26"/>
    <w:semiHidden/>
    <w:qFormat/>
    <w:locked/>
    <w:uiPriority w:val="99"/>
    <w:rPr>
      <w:rFonts w:cs="Times New Roman"/>
      <w:kern w:val="0"/>
      <w:sz w:val="18"/>
      <w:szCs w:val="18"/>
      <w:lang w:eastAsia="en-US"/>
    </w:rPr>
  </w:style>
  <w:style w:type="paragraph" w:customStyle="1" w:styleId="98">
    <w:name w:val="列出段落11"/>
    <w:basedOn w:val="1"/>
    <w:qFormat/>
    <w:uiPriority w:val="34"/>
    <w:pPr>
      <w:ind w:firstLine="420" w:firstLineChars="200"/>
      <w:jc w:val="both"/>
    </w:pPr>
    <w:rPr>
      <w:rFonts w:ascii="Times New Roman" w:hAnsi="Times New Roman"/>
      <w:kern w:val="2"/>
      <w:sz w:val="21"/>
      <w:szCs w:val="24"/>
      <w:lang w:eastAsia="zh-CN"/>
    </w:rPr>
  </w:style>
  <w:style w:type="paragraph" w:customStyle="1" w:styleId="99">
    <w:name w:val="列出段落3"/>
    <w:basedOn w:val="1"/>
    <w:qFormat/>
    <w:uiPriority w:val="34"/>
    <w:pPr>
      <w:ind w:firstLine="420" w:firstLineChars="200"/>
      <w:jc w:val="both"/>
    </w:pPr>
    <w:rPr>
      <w:kern w:val="2"/>
      <w:sz w:val="21"/>
      <w:szCs w:val="20"/>
      <w:lang w:eastAsia="zh-CN"/>
    </w:rPr>
  </w:style>
  <w:style w:type="paragraph" w:customStyle="1" w:styleId="100">
    <w:name w:val="msonormalcxspmiddle"/>
    <w:basedOn w:val="1"/>
    <w:qFormat/>
    <w:uiPriority w:val="0"/>
    <w:pPr>
      <w:widowControl/>
      <w:spacing w:before="100" w:beforeAutospacing="1" w:after="100" w:afterAutospacing="1"/>
    </w:pPr>
    <w:rPr>
      <w:rFonts w:ascii="宋体" w:hAnsi="宋体" w:cs="宋体"/>
      <w:sz w:val="24"/>
      <w:lang w:eastAsia="zh-CN"/>
    </w:rPr>
  </w:style>
  <w:style w:type="character" w:customStyle="1" w:styleId="101">
    <w:name w:val="文档结构图 Char"/>
    <w:link w:val="13"/>
    <w:qFormat/>
    <w:uiPriority w:val="0"/>
    <w:rPr>
      <w:rFonts w:ascii="宋体"/>
      <w:kern w:val="2"/>
      <w:sz w:val="18"/>
      <w:szCs w:val="18"/>
    </w:rPr>
  </w:style>
  <w:style w:type="paragraph" w:customStyle="1" w:styleId="102">
    <w:name w:val="xl83"/>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03">
    <w:name w:val="xl84"/>
    <w:basedOn w:val="1"/>
    <w:qFormat/>
    <w:uiPriority w:val="0"/>
    <w:pPr>
      <w:widowControl/>
      <w:pBdr>
        <w:top w:val="single" w:color="auto" w:sz="4" w:space="0"/>
        <w:bottom w:val="single" w:color="auto" w:sz="4" w:space="0"/>
      </w:pBdr>
      <w:spacing w:before="100" w:beforeAutospacing="1" w:after="100" w:afterAutospacing="1"/>
      <w:jc w:val="center"/>
    </w:pPr>
    <w:rPr>
      <w:rFonts w:ascii="宋体" w:hAnsi="宋体" w:cs="宋体"/>
      <w:b/>
      <w:bCs/>
      <w:sz w:val="24"/>
      <w:szCs w:val="24"/>
      <w:lang w:eastAsia="zh-CN"/>
    </w:rPr>
  </w:style>
  <w:style w:type="paragraph" w:customStyle="1" w:styleId="104">
    <w:name w:val="xl85"/>
    <w:basedOn w:val="1"/>
    <w:qFormat/>
    <w:uiPriority w:val="0"/>
    <w:pPr>
      <w:widowControl/>
      <w:pBdr>
        <w:top w:val="single" w:color="auto" w:sz="4" w:space="0"/>
        <w:bottom w:val="single" w:color="auto" w:sz="4" w:space="0"/>
        <w:right w:val="single" w:color="auto" w:sz="4" w:space="0"/>
      </w:pBdr>
      <w:spacing w:before="100" w:beforeAutospacing="1" w:after="100" w:afterAutospacing="1"/>
    </w:pPr>
    <w:rPr>
      <w:rFonts w:ascii="宋体" w:hAnsi="宋体" w:cs="宋体"/>
      <w:b/>
      <w:bCs/>
      <w:sz w:val="24"/>
      <w:szCs w:val="24"/>
      <w:lang w:eastAsia="zh-CN"/>
    </w:rPr>
  </w:style>
  <w:style w:type="paragraph" w:customStyle="1" w:styleId="105">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06">
    <w:name w:val="xl87"/>
    <w:basedOn w:val="1"/>
    <w:qFormat/>
    <w:uiPriority w:val="0"/>
    <w:pPr>
      <w:widowControl/>
      <w:pBdr>
        <w:top w:val="single" w:color="auto" w:sz="4" w:space="0"/>
        <w:left w:val="single" w:color="auto" w:sz="4" w:space="0"/>
      </w:pBdr>
      <w:spacing w:before="100" w:beforeAutospacing="1" w:after="100" w:afterAutospacing="1"/>
    </w:pPr>
    <w:rPr>
      <w:rFonts w:ascii="宋体" w:hAnsi="宋体" w:cs="宋体"/>
      <w:sz w:val="24"/>
      <w:szCs w:val="24"/>
      <w:lang w:eastAsia="zh-CN"/>
    </w:rPr>
  </w:style>
  <w:style w:type="paragraph" w:customStyle="1" w:styleId="107">
    <w:name w:val="xl88"/>
    <w:basedOn w:val="1"/>
    <w:qFormat/>
    <w:uiPriority w:val="0"/>
    <w:pPr>
      <w:widowControl/>
      <w:pBdr>
        <w:left w:val="single" w:color="auto" w:sz="4" w:space="0"/>
      </w:pBdr>
      <w:spacing w:before="100" w:beforeAutospacing="1" w:after="100" w:afterAutospacing="1"/>
    </w:pPr>
    <w:rPr>
      <w:rFonts w:ascii="宋体" w:hAnsi="宋体" w:cs="宋体"/>
      <w:sz w:val="24"/>
      <w:szCs w:val="24"/>
      <w:lang w:eastAsia="zh-CN"/>
    </w:rPr>
  </w:style>
  <w:style w:type="paragraph" w:customStyle="1" w:styleId="108">
    <w:name w:val="xl89"/>
    <w:basedOn w:val="1"/>
    <w:qFormat/>
    <w:uiPriority w:val="0"/>
    <w:pPr>
      <w:widowControl/>
      <w:pBdr>
        <w:left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09">
    <w:name w:val="xl90"/>
    <w:basedOn w:val="1"/>
    <w:qFormat/>
    <w:uiPriority w:val="0"/>
    <w:pPr>
      <w:widowControl/>
      <w:pBdr>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10">
    <w:name w:val="xl91"/>
    <w:basedOn w:val="1"/>
    <w:qFormat/>
    <w:uiPriority w:val="0"/>
    <w:pPr>
      <w:widowControl/>
      <w:spacing w:before="100" w:beforeAutospacing="1" w:after="100" w:afterAutospacing="1"/>
      <w:jc w:val="center"/>
    </w:pPr>
    <w:rPr>
      <w:rFonts w:ascii="宋体" w:hAnsi="宋体" w:cs="宋体"/>
      <w:b/>
      <w:bCs/>
      <w:color w:val="000000"/>
      <w:sz w:val="32"/>
      <w:szCs w:val="32"/>
      <w:lang w:eastAsia="zh-CN"/>
    </w:rPr>
  </w:style>
  <w:style w:type="paragraph" w:customStyle="1" w:styleId="111">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sz w:val="24"/>
      <w:szCs w:val="24"/>
      <w:lang w:eastAsia="zh-CN"/>
    </w:rPr>
  </w:style>
  <w:style w:type="paragraph" w:customStyle="1" w:styleId="112">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both"/>
    </w:pPr>
    <w:rPr>
      <w:rFonts w:ascii="宋体" w:hAnsi="宋体" w:cs="宋体"/>
      <w:sz w:val="24"/>
      <w:szCs w:val="24"/>
      <w:lang w:eastAsia="zh-CN"/>
    </w:rPr>
  </w:style>
  <w:style w:type="paragraph" w:customStyle="1" w:styleId="113">
    <w:name w:val="xl94"/>
    <w:basedOn w:val="1"/>
    <w:qFormat/>
    <w:uiPriority w:val="0"/>
    <w:pPr>
      <w:widowControl/>
      <w:pBdr>
        <w:top w:val="single" w:color="000000" w:sz="4" w:space="0"/>
        <w:left w:val="single" w:color="000000" w:sz="4" w:space="0"/>
        <w:right w:val="single" w:color="000000" w:sz="4" w:space="0"/>
      </w:pBdr>
      <w:spacing w:before="100" w:beforeAutospacing="1" w:after="100" w:afterAutospacing="1"/>
    </w:pPr>
    <w:rPr>
      <w:rFonts w:ascii="宋体" w:hAnsi="宋体" w:cs="宋体"/>
      <w:color w:val="000000"/>
      <w:sz w:val="24"/>
      <w:szCs w:val="24"/>
      <w:lang w:eastAsia="zh-CN"/>
    </w:rPr>
  </w:style>
  <w:style w:type="paragraph" w:customStyle="1" w:styleId="114">
    <w:name w:val="xl95"/>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pPr>
    <w:rPr>
      <w:rFonts w:ascii="宋体" w:hAnsi="宋体" w:cs="宋体"/>
      <w:sz w:val="24"/>
      <w:szCs w:val="24"/>
      <w:lang w:eastAsia="zh-CN"/>
    </w:rPr>
  </w:style>
  <w:style w:type="paragraph" w:customStyle="1" w:styleId="115">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color w:val="000000"/>
      <w:sz w:val="24"/>
      <w:szCs w:val="24"/>
      <w:lang w:eastAsia="zh-CN"/>
    </w:rPr>
  </w:style>
  <w:style w:type="paragraph" w:customStyle="1" w:styleId="116">
    <w:name w:val="xl97"/>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cs="宋体"/>
      <w:sz w:val="24"/>
      <w:szCs w:val="24"/>
      <w:lang w:eastAsia="zh-CN"/>
    </w:rPr>
  </w:style>
  <w:style w:type="paragraph" w:customStyle="1" w:styleId="117">
    <w:name w:val="xl9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18">
    <w:name w:val="xl99"/>
    <w:basedOn w:val="1"/>
    <w:qFormat/>
    <w:uiPriority w:val="0"/>
    <w:pPr>
      <w:widowControl/>
      <w:pBdr>
        <w:top w:val="single" w:color="auto" w:sz="4" w:space="0"/>
        <w:left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19">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pPr>
    <w:rPr>
      <w:rFonts w:ascii="宋体" w:hAnsi="宋体" w:cs="宋体"/>
      <w:sz w:val="24"/>
      <w:szCs w:val="24"/>
      <w:lang w:eastAsia="zh-CN"/>
    </w:rPr>
  </w:style>
  <w:style w:type="paragraph" w:customStyle="1" w:styleId="120">
    <w:name w:val="xl101"/>
    <w:basedOn w:val="1"/>
    <w:qFormat/>
    <w:uiPriority w:val="0"/>
    <w:pPr>
      <w:widowControl/>
      <w:spacing w:before="100" w:beforeAutospacing="1" w:after="100" w:afterAutospacing="1"/>
      <w:jc w:val="center"/>
    </w:pPr>
    <w:rPr>
      <w:rFonts w:ascii="宋体" w:hAnsi="宋体" w:cs="宋体"/>
      <w:b/>
      <w:bCs/>
      <w:sz w:val="32"/>
      <w:szCs w:val="32"/>
      <w:lang w:eastAsia="zh-CN"/>
    </w:rPr>
  </w:style>
  <w:style w:type="paragraph" w:customStyle="1" w:styleId="121">
    <w:name w:val="xl102"/>
    <w:basedOn w:val="1"/>
    <w:qFormat/>
    <w:uiPriority w:val="0"/>
    <w:pPr>
      <w:widowControl/>
      <w:spacing w:before="100" w:beforeAutospacing="1" w:after="100" w:afterAutospacing="1"/>
      <w:jc w:val="center"/>
    </w:pPr>
    <w:rPr>
      <w:rFonts w:ascii="宋体" w:hAnsi="宋体" w:cs="宋体"/>
      <w:b/>
      <w:bCs/>
      <w:sz w:val="24"/>
      <w:szCs w:val="24"/>
      <w:lang w:eastAsia="zh-CN"/>
    </w:rPr>
  </w:style>
  <w:style w:type="paragraph" w:customStyle="1" w:styleId="122">
    <w:name w:val="xl10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pPr>
    <w:rPr>
      <w:rFonts w:ascii="宋体" w:hAnsi="宋体" w:cs="宋体"/>
      <w:sz w:val="24"/>
      <w:szCs w:val="24"/>
      <w:lang w:eastAsia="zh-CN"/>
    </w:rPr>
  </w:style>
  <w:style w:type="character" w:customStyle="1" w:styleId="123">
    <w:name w:val="font01"/>
    <w:qFormat/>
    <w:uiPriority w:val="0"/>
    <w:rPr>
      <w:rFonts w:hint="default" w:ascii="Times New Roman" w:hAnsi="Times New Roman" w:cs="Times New Roman"/>
      <w:color w:val="000000"/>
      <w:sz w:val="20"/>
      <w:szCs w:val="20"/>
      <w:u w:val="none"/>
    </w:rPr>
  </w:style>
  <w:style w:type="character" w:customStyle="1" w:styleId="124">
    <w:name w:val="font21"/>
    <w:qFormat/>
    <w:uiPriority w:val="0"/>
    <w:rPr>
      <w:rFonts w:hint="eastAsia" w:ascii="宋体" w:hAnsi="宋体" w:eastAsia="宋体"/>
      <w:color w:val="000000"/>
      <w:sz w:val="20"/>
      <w:szCs w:val="20"/>
      <w:u w:val="none"/>
    </w:rPr>
  </w:style>
  <w:style w:type="character" w:customStyle="1" w:styleId="125">
    <w:name w:val="标题 Char1"/>
    <w:qFormat/>
    <w:uiPriority w:val="10"/>
    <w:rPr>
      <w:rFonts w:ascii="Cambria" w:hAnsi="Cambria" w:cs="Times New Roman"/>
      <w:b/>
      <w:bCs/>
      <w:sz w:val="32"/>
      <w:szCs w:val="32"/>
      <w:lang w:eastAsia="en-US"/>
    </w:rPr>
  </w:style>
  <w:style w:type="character" w:customStyle="1" w:styleId="126">
    <w:name w:val="正文文本 3 Char"/>
    <w:link w:val="15"/>
    <w:qFormat/>
    <w:uiPriority w:val="0"/>
    <w:rPr>
      <w:rFonts w:ascii="宋体"/>
      <w:sz w:val="24"/>
    </w:rPr>
  </w:style>
  <w:style w:type="character" w:customStyle="1" w:styleId="127">
    <w:name w:val="正文文本 3 Char1"/>
    <w:semiHidden/>
    <w:qFormat/>
    <w:uiPriority w:val="99"/>
    <w:rPr>
      <w:sz w:val="16"/>
      <w:szCs w:val="16"/>
      <w:lang w:eastAsia="en-US"/>
    </w:rPr>
  </w:style>
  <w:style w:type="character" w:customStyle="1" w:styleId="128">
    <w:name w:val="正文文本缩进 3 Char"/>
    <w:link w:val="28"/>
    <w:qFormat/>
    <w:uiPriority w:val="0"/>
    <w:rPr>
      <w:sz w:val="16"/>
      <w:szCs w:val="16"/>
    </w:rPr>
  </w:style>
  <w:style w:type="character" w:customStyle="1" w:styleId="129">
    <w:name w:val="正文文本缩进 3 Char1"/>
    <w:semiHidden/>
    <w:qFormat/>
    <w:uiPriority w:val="99"/>
    <w:rPr>
      <w:sz w:val="16"/>
      <w:szCs w:val="16"/>
      <w:lang w:eastAsia="en-US"/>
    </w:rPr>
  </w:style>
  <w:style w:type="character" w:customStyle="1" w:styleId="130">
    <w:name w:val="批注主题 Char"/>
    <w:link w:val="33"/>
    <w:qFormat/>
    <w:uiPriority w:val="0"/>
    <w:rPr>
      <w:b/>
      <w:bCs/>
      <w:szCs w:val="24"/>
    </w:rPr>
  </w:style>
  <w:style w:type="character" w:customStyle="1" w:styleId="131">
    <w:name w:val="批注主题 Char1"/>
    <w:semiHidden/>
    <w:qFormat/>
    <w:uiPriority w:val="99"/>
    <w:rPr>
      <w:rFonts w:ascii="Times New Roman" w:hAnsi="Times New Roman" w:cs="Times New Roman"/>
      <w:b/>
      <w:bCs/>
      <w:kern w:val="2"/>
      <w:sz w:val="22"/>
      <w:szCs w:val="22"/>
      <w:lang w:eastAsia="en-US"/>
    </w:rPr>
  </w:style>
  <w:style w:type="character" w:customStyle="1" w:styleId="132">
    <w:name w:val="正文文本缩进 Char"/>
    <w:link w:val="16"/>
    <w:qFormat/>
    <w:uiPriority w:val="0"/>
    <w:rPr>
      <w:szCs w:val="24"/>
    </w:rPr>
  </w:style>
  <w:style w:type="character" w:customStyle="1" w:styleId="133">
    <w:name w:val="正文文本缩进 Char1"/>
    <w:semiHidden/>
    <w:qFormat/>
    <w:uiPriority w:val="99"/>
    <w:rPr>
      <w:sz w:val="22"/>
      <w:szCs w:val="22"/>
      <w:lang w:eastAsia="en-US"/>
    </w:rPr>
  </w:style>
  <w:style w:type="paragraph" w:customStyle="1" w:styleId="134">
    <w:name w:val="正文 New New New New New New New New New New New New New New New New New New New New New New New New New New New New New New New New New New New New New New New New New New New New New New New New"/>
    <w:qFormat/>
    <w:uiPriority w:val="0"/>
    <w:pPr>
      <w:widowControl w:val="0"/>
      <w:suppressAutoHyphens/>
      <w:jc w:val="both"/>
    </w:pPr>
    <w:rPr>
      <w:rFonts w:ascii="Calibri" w:hAnsi="Calibri" w:eastAsia="宋体" w:cs="Times New Roman"/>
      <w:kern w:val="1"/>
      <w:sz w:val="21"/>
      <w:lang w:val="en-US" w:eastAsia="ar-SA" w:bidi="ar-SA"/>
    </w:rPr>
  </w:style>
  <w:style w:type="paragraph" w:customStyle="1" w:styleId="135">
    <w:name w:val="正文 New New New New New New New New New New New New New New New New New New New New New New New New New New New New New New New New New New New New New New New New New New New New New New New New New"/>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36">
    <w:name w:val="p0 New"/>
    <w:basedOn w:val="135"/>
    <w:qFormat/>
    <w:uiPriority w:val="0"/>
    <w:pPr>
      <w:widowControl/>
    </w:pPr>
    <w:rPr>
      <w:kern w:val="0"/>
      <w:szCs w:val="20"/>
    </w:rPr>
  </w:style>
  <w:style w:type="paragraph" w:customStyle="1" w:styleId="137">
    <w:name w:val="xl63"/>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b/>
      <w:bCs/>
      <w:sz w:val="24"/>
      <w:szCs w:val="24"/>
      <w:lang w:eastAsia="zh-CN"/>
    </w:rPr>
  </w:style>
  <w:style w:type="paragraph" w:customStyle="1" w:styleId="138">
    <w:name w:val="xl64"/>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4"/>
      <w:szCs w:val="24"/>
      <w:lang w:eastAsia="zh-CN"/>
    </w:rPr>
  </w:style>
  <w:style w:type="paragraph" w:customStyle="1" w:styleId="139">
    <w:name w:val="xl65"/>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center"/>
      <w:textAlignment w:val="center"/>
    </w:pPr>
    <w:rPr>
      <w:rFonts w:ascii="宋体" w:hAnsi="宋体" w:cs="宋体"/>
      <w:sz w:val="24"/>
      <w:szCs w:val="24"/>
      <w:lang w:eastAsia="zh-CN"/>
    </w:rPr>
  </w:style>
  <w:style w:type="paragraph" w:customStyle="1" w:styleId="140">
    <w:name w:val="List Paragraph"/>
    <w:basedOn w:val="1"/>
    <w:unhideWhenUsed/>
    <w:qFormat/>
    <w:uiPriority w:val="99"/>
    <w:pPr>
      <w:ind w:firstLine="420" w:firstLineChars="200"/>
    </w:pPr>
  </w:style>
  <w:style w:type="character" w:customStyle="1" w:styleId="141">
    <w:name w:val="font11"/>
    <w:basedOn w:val="36"/>
    <w:qFormat/>
    <w:uiPriority w:val="0"/>
    <w:rPr>
      <w:rFonts w:hint="eastAsia" w:ascii="宋体" w:hAnsi="宋体" w:eastAsia="宋体" w:cs="宋体"/>
      <w:color w:val="FF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oleObject" Target="embeddings/oleObject1.bin"/><Relationship Id="rId8" Type="http://schemas.openxmlformats.org/officeDocument/2006/relationships/theme" Target="theme/theme1.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3" Type="http://schemas.openxmlformats.org/officeDocument/2006/relationships/fontTable" Target="fontTable.xml"/><Relationship Id="rId22" Type="http://schemas.openxmlformats.org/officeDocument/2006/relationships/customXml" Target="../customXml/item1.xml"/><Relationship Id="rId21" Type="http://schemas.openxmlformats.org/officeDocument/2006/relationships/numbering" Target="numbering.xml"/><Relationship Id="rId20" Type="http://schemas.openxmlformats.org/officeDocument/2006/relationships/image" Target="media/image6.emf"/><Relationship Id="rId2" Type="http://schemas.openxmlformats.org/officeDocument/2006/relationships/settings" Target="settings.xml"/><Relationship Id="rId19" Type="http://schemas.openxmlformats.org/officeDocument/2006/relationships/oleObject" Target="embeddings/oleObject6.bin"/><Relationship Id="rId18" Type="http://schemas.openxmlformats.org/officeDocument/2006/relationships/oleObject" Target="embeddings/oleObject5.bin"/><Relationship Id="rId17" Type="http://schemas.openxmlformats.org/officeDocument/2006/relationships/image" Target="media/image5.emf"/><Relationship Id="rId16" Type="http://schemas.openxmlformats.org/officeDocument/2006/relationships/oleObject" Target="embeddings/oleObject4.bin"/><Relationship Id="rId15" Type="http://schemas.openxmlformats.org/officeDocument/2006/relationships/image" Target="media/image4.emf"/><Relationship Id="rId14" Type="http://schemas.openxmlformats.org/officeDocument/2006/relationships/oleObject" Target="embeddings/oleObject3.bin"/><Relationship Id="rId13" Type="http://schemas.openxmlformats.org/officeDocument/2006/relationships/image" Target="media/image3.jpeg"/><Relationship Id="rId12" Type="http://schemas.openxmlformats.org/officeDocument/2006/relationships/image" Target="media/image2.emf"/><Relationship Id="rId11" Type="http://schemas.openxmlformats.org/officeDocument/2006/relationships/oleObject" Target="embeddings/oleObject2.bin"/><Relationship Id="rId10" Type="http://schemas.openxmlformats.org/officeDocument/2006/relationships/image" Target="media/image1.em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3893453-FF47-47EE-8B30-EAD3BEE49B65}">
  <ds:schemaRefs/>
</ds:datastoreItem>
</file>

<file path=docProps/app.xml><?xml version="1.0" encoding="utf-8"?>
<Properties xmlns="http://schemas.openxmlformats.org/officeDocument/2006/extended-properties" xmlns:vt="http://schemas.openxmlformats.org/officeDocument/2006/docPropsVTypes">
  <Template>Normal</Template>
  <Company>Lenovo</Company>
  <Pages>39</Pages>
  <Words>22209</Words>
  <Characters>28278</Characters>
  <Lines>457</Lines>
  <Paragraphs>128</Paragraphs>
  <TotalTime>8</TotalTime>
  <ScaleCrop>false</ScaleCrop>
  <LinksUpToDate>false</LinksUpToDate>
  <CharactersWithSpaces>28431</CharactersWithSpaces>
  <Application>WPS Office_11.1.0.12598_F1E327BC-269C-435d-A152-05C5408002CA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2018-10-26T07:49:00Z</dcterms:created>
  <dc:creator>袁静</dc:creator>
  <cp:lastModifiedBy>pc</cp:lastModifiedBy>
  <cp:lastPrinted>2022-03-21T09:28:00Z</cp:lastPrinted>
  <dcterms:modified xsi:type="dcterms:W3CDTF">2022-10-25T09:27:33Z</dcterms:modified>
  <dc:title>中华人民共和国</dc:title>
  <cp:revision>178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or">
    <vt:lpwstr>Microsoft® Word 2013</vt:lpwstr>
  </property>
  <property fmtid="{D5CDD505-2E9C-101B-9397-08002B2CF9AE}" pid="3" name="KSOProductBuildVer">
    <vt:lpwstr>2052-11.1.0.12598</vt:lpwstr>
  </property>
  <property fmtid="{D5CDD505-2E9C-101B-9397-08002B2CF9AE}" pid="4" name="ICV">
    <vt:lpwstr>57D6E9828A2C48C19068B18CB803A667</vt:lpwstr>
  </property>
</Properties>
</file>